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C1846" w14:textId="77777777" w:rsidR="00681AEA" w:rsidRPr="0085730F" w:rsidRDefault="00613667">
      <w:pPr>
        <w:pStyle w:val="Author"/>
        <w:spacing w:line="240" w:lineRule="auto"/>
        <w:jc w:val="both"/>
        <w:rPr>
          <w:rFonts w:ascii="Arial" w:hAnsi="Arial" w:cs="Arial"/>
          <w:bCs/>
          <w:sz w:val="36"/>
          <w:szCs w:val="36"/>
          <w:lang w:val="en-GB"/>
        </w:rPr>
      </w:pPr>
      <w:r w:rsidRPr="0085730F">
        <w:rPr>
          <w:rFonts w:ascii="Arial" w:hAnsi="Arial" w:cs="Arial"/>
          <w:bCs/>
          <w:sz w:val="36"/>
          <w:szCs w:val="36"/>
          <w:lang w:val="en-GB"/>
        </w:rPr>
        <w:t>Polyvinyl chloride exposure induces Liver injury: A biochemical and histological evaluation</w:t>
      </w:r>
    </w:p>
    <w:p w14:paraId="07BD9712" w14:textId="7D18F7D2" w:rsidR="00681AEA" w:rsidRPr="0085730F" w:rsidRDefault="00583B94">
      <w:pPr>
        <w:pStyle w:val="Copyright"/>
        <w:spacing w:after="0" w:line="240" w:lineRule="auto"/>
        <w:jc w:val="both"/>
        <w:rPr>
          <w:rFonts w:ascii="Arial" w:hAnsi="Arial" w:cs="Arial"/>
        </w:rPr>
        <w:sectPr w:rsidR="00681AEA" w:rsidRPr="0085730F" w:rsidSect="001E1384">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85730F">
        <w:rPr>
          <w:rFonts w:ascii="Arial" w:hAnsi="Arial" w:cs="Arial"/>
          <w:noProof/>
        </w:rPr>
        <mc:AlternateContent>
          <mc:Choice Requires="wps">
            <w:drawing>
              <wp:inline distT="0" distB="0" distL="0" distR="0" wp14:anchorId="16FD077B" wp14:editId="432EFFD2">
                <wp:extent cx="5303520" cy="635"/>
                <wp:effectExtent l="15240" t="17780" r="15240" b="10795"/>
                <wp:docPr id="187413507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B4271B7" id="_x0000_t32" coordsize="21600,21600" o:spt="32" o:oned="t" path="m,l21600,21600e" filled="f">
                <v:path arrowok="t" fillok="f" o:connecttype="none"/>
                <o:lock v:ext="edit" shapetype="t"/>
              </v:shapetype>
              <v:shape id="AutoShape 2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5730F">
        <w:rPr>
          <w:rFonts w:ascii="Arial" w:hAnsi="Arial" w:cs="Arial"/>
        </w:rPr>
        <w:t>.</w:t>
      </w:r>
    </w:p>
    <w:p w14:paraId="0F594E35" w14:textId="77777777" w:rsidR="00681AEA" w:rsidRPr="0085730F" w:rsidRDefault="00613667">
      <w:pPr>
        <w:pStyle w:val="AbstHead"/>
        <w:spacing w:after="0"/>
        <w:jc w:val="both"/>
        <w:rPr>
          <w:rFonts w:ascii="Arial" w:hAnsi="Arial" w:cs="Arial"/>
        </w:rPr>
      </w:pPr>
      <w:r w:rsidRPr="0085730F">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5730F" w:rsidRPr="0085730F" w14:paraId="08087F23" w14:textId="77777777">
        <w:tc>
          <w:tcPr>
            <w:tcW w:w="9576" w:type="dxa"/>
            <w:shd w:val="clear" w:color="auto" w:fill="F2F2F2"/>
          </w:tcPr>
          <w:p w14:paraId="72D562D3" w14:textId="77777777" w:rsidR="00A82C55" w:rsidRDefault="00A82C55" w:rsidP="00A82C55">
            <w:pPr>
              <w:jc w:val="both"/>
              <w:rPr>
                <w:rFonts w:ascii="Arial" w:hAnsi="Arial" w:cs="Arial"/>
                <w:color w:val="000000"/>
                <w:sz w:val="24"/>
                <w:szCs w:val="24"/>
              </w:rPr>
            </w:pPr>
            <w:r>
              <w:rPr>
                <w:rFonts w:ascii="Arial" w:hAnsi="Arial" w:cs="Arial"/>
                <w:b/>
                <w:bCs/>
                <w:color w:val="000000"/>
                <w:sz w:val="24"/>
                <w:szCs w:val="24"/>
                <w:lang w:eastAsia="zh-CN" w:bidi="ar"/>
              </w:rPr>
              <w:t>Objective</w:t>
            </w:r>
            <w:r>
              <w:rPr>
                <w:rFonts w:ascii="Arial" w:hAnsi="Arial" w:cs="Arial"/>
                <w:color w:val="000000"/>
                <w:sz w:val="24"/>
                <w:szCs w:val="24"/>
                <w:lang w:eastAsia="zh-CN" w:bidi="ar"/>
              </w:rPr>
              <w:t>: Microplastics are ubiquitous in our environment, with evidence of its presence in various body tissues, however the extent of its toxicity at low dose from chronic administration and bioaccumulation in humans remains unknown. This study aims at evaluating the toxicological impact of sub-chronic administration of polyvinyl chloride on the liver.</w:t>
            </w:r>
          </w:p>
          <w:p w14:paraId="7F3D29B7" w14:textId="3D6C62BB" w:rsidR="00A82C55" w:rsidRDefault="00A82C55" w:rsidP="00A82C55">
            <w:pPr>
              <w:jc w:val="both"/>
              <w:rPr>
                <w:rFonts w:ascii="Arial" w:hAnsi="Arial" w:cs="Arial"/>
                <w:color w:val="000000"/>
                <w:sz w:val="24"/>
                <w:szCs w:val="24"/>
              </w:rPr>
            </w:pPr>
            <w:r>
              <w:rPr>
                <w:rFonts w:ascii="Arial" w:hAnsi="Arial" w:cs="Arial"/>
                <w:b/>
                <w:bCs/>
                <w:color w:val="000000"/>
                <w:sz w:val="24"/>
                <w:szCs w:val="24"/>
                <w:lang w:eastAsia="zh-CN" w:bidi="ar"/>
              </w:rPr>
              <w:t>Methods</w:t>
            </w:r>
            <w:r>
              <w:rPr>
                <w:rFonts w:ascii="Arial" w:hAnsi="Arial" w:cs="Arial"/>
                <w:color w:val="000000"/>
                <w:sz w:val="24"/>
                <w:szCs w:val="24"/>
                <w:lang w:eastAsia="zh-CN" w:bidi="ar"/>
              </w:rPr>
              <w:t>: 50 adults male wistar rats were orally administered 10 ml/kg of deionized water (control), and treatment groups received 0.1,0.2 and 0.3mg/kg of PVC daily for 42 days using an oro-gastric tube. Liver enzymes (AST, ALT, ALP), oxidative biomarkers (GSH, GPx, CAT, SOD and MDA) and the histoarchitecture were examined. Statistical analysis was performed using ANOVA with p value &lt;</w:t>
            </w:r>
            <w:r w:rsidR="00AE3554">
              <w:rPr>
                <w:rFonts w:ascii="Arial" w:hAnsi="Arial" w:cs="Arial"/>
                <w:color w:val="000000"/>
                <w:sz w:val="24"/>
                <w:szCs w:val="24"/>
                <w:lang w:eastAsia="zh-CN" w:bidi="ar"/>
              </w:rPr>
              <w:t>.</w:t>
            </w:r>
            <w:r>
              <w:rPr>
                <w:rFonts w:ascii="Arial" w:hAnsi="Arial" w:cs="Arial"/>
                <w:color w:val="000000"/>
                <w:sz w:val="24"/>
                <w:szCs w:val="24"/>
                <w:lang w:eastAsia="zh-CN" w:bidi="ar"/>
              </w:rPr>
              <w:t>05</w:t>
            </w:r>
          </w:p>
          <w:p w14:paraId="6876556D" w14:textId="77777777" w:rsidR="00A82C55" w:rsidRDefault="00A82C55" w:rsidP="00A82C55">
            <w:pPr>
              <w:jc w:val="both"/>
              <w:rPr>
                <w:rFonts w:ascii="Arial" w:hAnsi="Arial" w:cs="Arial"/>
                <w:color w:val="000000"/>
                <w:sz w:val="24"/>
                <w:szCs w:val="24"/>
              </w:rPr>
            </w:pPr>
            <w:r>
              <w:rPr>
                <w:rFonts w:ascii="Arial" w:hAnsi="Arial" w:cs="Arial"/>
                <w:b/>
                <w:bCs/>
                <w:color w:val="000000"/>
                <w:sz w:val="24"/>
                <w:szCs w:val="24"/>
                <w:lang w:eastAsia="zh-CN" w:bidi="ar"/>
              </w:rPr>
              <w:t xml:space="preserve">Results: </w:t>
            </w:r>
            <w:r w:rsidRPr="00733B19">
              <w:rPr>
                <w:rFonts w:ascii="Arial" w:hAnsi="Arial" w:cs="Arial"/>
                <w:color w:val="000000"/>
                <w:sz w:val="24"/>
                <w:szCs w:val="24"/>
                <w:lang w:eastAsia="zh-CN" w:bidi="ar"/>
              </w:rPr>
              <w:t>T</w:t>
            </w:r>
            <w:r>
              <w:rPr>
                <w:rFonts w:ascii="Arial" w:hAnsi="Arial" w:cs="Arial"/>
                <w:color w:val="000000"/>
                <w:sz w:val="24"/>
                <w:szCs w:val="24"/>
                <w:lang w:eastAsia="zh-CN" w:bidi="ar"/>
              </w:rPr>
              <w:t>here was a disproportionate elevation of liver enzymes with a dose dependent pattern, suggestive of hepatic damage, antioxidative stress biomarkers where decreased (GSH, GPx, CAT and SOD) with an increase in pro-oxidative biomarker (MDA) indicative of an overwhelmed liver oxidative stress defense mechanisms, additionally the histomorphology of the liver showed distorted with loss of radial symmetry, ballooning of hepatocytes and loss of parenchyma organization.</w:t>
            </w:r>
          </w:p>
          <w:p w14:paraId="2271EFC8" w14:textId="1EB831DB" w:rsidR="00681AEA" w:rsidRPr="0085730F" w:rsidRDefault="00A82C55" w:rsidP="00A82C55">
            <w:pPr>
              <w:jc w:val="both"/>
              <w:rPr>
                <w:rFonts w:ascii="Arial" w:eastAsia="Calibri" w:hAnsi="Arial" w:cs="Arial"/>
                <w:szCs w:val="22"/>
              </w:rPr>
            </w:pPr>
            <w:r>
              <w:rPr>
                <w:rFonts w:ascii="Arial" w:hAnsi="Arial" w:cs="Arial"/>
                <w:b/>
                <w:bCs/>
                <w:color w:val="000000"/>
                <w:sz w:val="24"/>
                <w:szCs w:val="24"/>
                <w:lang w:eastAsia="zh-CN" w:bidi="ar"/>
              </w:rPr>
              <w:t>Conclusion:</w:t>
            </w:r>
            <w:r>
              <w:rPr>
                <w:rFonts w:ascii="Arial" w:hAnsi="Arial" w:cs="Arial"/>
                <w:color w:val="000000"/>
                <w:sz w:val="24"/>
                <w:szCs w:val="24"/>
                <w:lang w:eastAsia="zh-CN" w:bidi="ar"/>
              </w:rPr>
              <w:t xml:space="preserve"> This finding provides empirical data that PVC induces dose dependent hepatotoxicity in wistar rats, with biochemical and histological evidence. This further demonstrates that sub-chronic exposure to PVC poses grave health risk to the liver of exposed population and the need for human translational studies and policy to safeguard exposed persons.</w:t>
            </w:r>
          </w:p>
        </w:tc>
      </w:tr>
    </w:tbl>
    <w:p w14:paraId="49020D06" w14:textId="77777777" w:rsidR="00681AEA" w:rsidRPr="0085730F" w:rsidRDefault="00681AEA">
      <w:pPr>
        <w:pStyle w:val="Body"/>
        <w:spacing w:after="0"/>
        <w:rPr>
          <w:rFonts w:ascii="Arial" w:hAnsi="Arial" w:cs="Arial"/>
          <w:i/>
        </w:rPr>
      </w:pPr>
    </w:p>
    <w:p w14:paraId="2AFE3CA2" w14:textId="39A90D60" w:rsidR="00AD3C9A" w:rsidRDefault="00613667" w:rsidP="00AD3C9A">
      <w:pPr>
        <w:spacing w:after="240" w:line="360" w:lineRule="auto"/>
        <w:jc w:val="both"/>
        <w:rPr>
          <w:rFonts w:ascii="Arial" w:hAnsi="Arial" w:cs="Arial"/>
          <w:i/>
        </w:rPr>
      </w:pPr>
      <w:r w:rsidRPr="0085730F">
        <w:rPr>
          <w:rFonts w:ascii="Arial" w:hAnsi="Arial" w:cs="Arial"/>
          <w:i/>
        </w:rPr>
        <w:t xml:space="preserve">Keywords: </w:t>
      </w:r>
      <w:r w:rsidR="00086557">
        <w:rPr>
          <w:rFonts w:ascii="Arial" w:hAnsi="Arial" w:cs="Arial"/>
          <w:i/>
        </w:rPr>
        <w:t>P</w:t>
      </w:r>
      <w:r w:rsidR="00925215">
        <w:rPr>
          <w:rFonts w:ascii="Arial" w:hAnsi="Arial" w:cs="Arial"/>
          <w:i/>
        </w:rPr>
        <w:t>olyvinyl chloride (</w:t>
      </w:r>
      <w:r w:rsidR="00AD3C9A">
        <w:rPr>
          <w:rFonts w:ascii="Arial" w:hAnsi="Arial" w:cs="Arial"/>
          <w:i/>
          <w:color w:val="000000"/>
          <w:lang w:eastAsia="zh-CN" w:bidi="ar"/>
        </w:rPr>
        <w:t>PVC</w:t>
      </w:r>
      <w:r w:rsidR="00925215">
        <w:rPr>
          <w:rFonts w:ascii="Arial" w:hAnsi="Arial" w:cs="Arial"/>
          <w:i/>
          <w:color w:val="000000"/>
          <w:lang w:eastAsia="zh-CN" w:bidi="ar"/>
        </w:rPr>
        <w:t>)</w:t>
      </w:r>
      <w:r w:rsidR="00AD3C9A">
        <w:rPr>
          <w:rFonts w:ascii="Arial" w:hAnsi="Arial" w:cs="Arial"/>
          <w:i/>
          <w:color w:val="000000"/>
          <w:lang w:eastAsia="zh-CN" w:bidi="ar"/>
        </w:rPr>
        <w:t>, Microplastics, Sub-chronic toxicity, Oxidative stress, liver enzymes, bioaccumulation</w:t>
      </w:r>
    </w:p>
    <w:p w14:paraId="02B04745" w14:textId="5BB0816B" w:rsidR="00681AEA" w:rsidRPr="0085730F" w:rsidRDefault="00613667">
      <w:pPr>
        <w:pStyle w:val="AbstHead"/>
        <w:spacing w:after="0"/>
        <w:jc w:val="both"/>
        <w:rPr>
          <w:rFonts w:ascii="Arial" w:hAnsi="Arial" w:cs="Arial"/>
        </w:rPr>
      </w:pPr>
      <w:r w:rsidRPr="0085730F">
        <w:rPr>
          <w:rFonts w:ascii="Arial" w:hAnsi="Arial" w:cs="Arial"/>
        </w:rPr>
        <w:t xml:space="preserve">1. INTRODUCTION </w:t>
      </w:r>
    </w:p>
    <w:p w14:paraId="3FAAC775" w14:textId="77777777" w:rsidR="00681AEA" w:rsidRPr="0085730F" w:rsidRDefault="00681AEA">
      <w:pPr>
        <w:pStyle w:val="AbstHead"/>
        <w:spacing w:after="0"/>
        <w:jc w:val="both"/>
        <w:rPr>
          <w:rFonts w:ascii="Arial" w:hAnsi="Arial" w:cs="Arial"/>
        </w:rPr>
      </w:pPr>
    </w:p>
    <w:p w14:paraId="6CC3E719" w14:textId="0E4BC2C4" w:rsidR="00252115" w:rsidRPr="004C67B6" w:rsidRDefault="00550514" w:rsidP="004C67B6">
      <w:pPr>
        <w:spacing w:line="360" w:lineRule="auto"/>
        <w:ind w:firstLine="720"/>
        <w:jc w:val="both"/>
        <w:rPr>
          <w:rFonts w:ascii="Arial" w:hAnsi="Arial" w:cs="Arial"/>
          <w:sz w:val="22"/>
          <w:szCs w:val="22"/>
        </w:rPr>
      </w:pPr>
      <w:r>
        <w:rPr>
          <w:rFonts w:ascii="Arial" w:hAnsi="Arial" w:cs="Arial"/>
          <w:sz w:val="22"/>
          <w:szCs w:val="22"/>
          <w:lang w:val="en-GB"/>
        </w:rPr>
        <w:t xml:space="preserve">The world </w:t>
      </w:r>
      <w:r w:rsidR="00576463">
        <w:rPr>
          <w:rFonts w:ascii="Arial" w:hAnsi="Arial" w:cs="Arial"/>
          <w:sz w:val="22"/>
          <w:szCs w:val="22"/>
          <w:lang w:val="en-GB"/>
        </w:rPr>
        <w:t xml:space="preserve">invention of plastics changed the world in the last </w:t>
      </w:r>
      <w:r>
        <w:rPr>
          <w:rFonts w:ascii="Arial" w:hAnsi="Arial" w:cs="Arial"/>
          <w:sz w:val="22"/>
          <w:szCs w:val="22"/>
          <w:lang w:val="en-GB"/>
        </w:rPr>
        <w:t xml:space="preserve">centuries </w:t>
      </w:r>
      <w:r w:rsidR="004C67B6">
        <w:rPr>
          <w:rFonts w:ascii="Arial" w:hAnsi="Arial" w:cs="Arial"/>
          <w:sz w:val="22"/>
          <w:szCs w:val="22"/>
          <w:lang w:val="en-GB"/>
        </w:rPr>
        <w:t>(</w:t>
      </w:r>
      <w:r w:rsidR="004C67B6" w:rsidRPr="0085730F">
        <w:rPr>
          <w:rFonts w:ascii="Arial" w:hAnsi="Arial" w:cs="Arial"/>
          <w:sz w:val="22"/>
          <w:szCs w:val="22"/>
          <w:lang w:val="en-GB"/>
        </w:rPr>
        <w:t xml:space="preserve">Pilapitiya </w:t>
      </w:r>
      <w:r w:rsidR="00424167" w:rsidRPr="00424167">
        <w:rPr>
          <w:rFonts w:ascii="Arial" w:hAnsi="Arial" w:cs="Arial"/>
          <w:i/>
          <w:iCs/>
          <w:sz w:val="22"/>
          <w:szCs w:val="22"/>
          <w:lang w:val="en-GB"/>
        </w:rPr>
        <w:t>et al</w:t>
      </w:r>
      <w:r w:rsidR="004C67B6" w:rsidRPr="0085730F">
        <w:rPr>
          <w:rFonts w:ascii="Arial" w:hAnsi="Arial" w:cs="Arial"/>
          <w:sz w:val="22"/>
          <w:szCs w:val="22"/>
          <w:lang w:val="en-GB"/>
        </w:rPr>
        <w:t>., 2024</w:t>
      </w:r>
      <w:r w:rsidR="004C67B6">
        <w:rPr>
          <w:rFonts w:ascii="Arial" w:hAnsi="Arial" w:cs="Arial"/>
          <w:sz w:val="22"/>
          <w:szCs w:val="22"/>
          <w:lang w:val="en-GB"/>
        </w:rPr>
        <w:t>)</w:t>
      </w:r>
      <w:r w:rsidR="006B19FF">
        <w:rPr>
          <w:rFonts w:ascii="Arial" w:hAnsi="Arial" w:cs="Arial"/>
          <w:sz w:val="22"/>
          <w:szCs w:val="22"/>
          <w:lang w:val="en-GB"/>
        </w:rPr>
        <w:t>.</w:t>
      </w:r>
      <w:r w:rsidR="00C9762A">
        <w:rPr>
          <w:rFonts w:ascii="Arial" w:hAnsi="Arial" w:cs="Arial"/>
          <w:sz w:val="22"/>
          <w:szCs w:val="22"/>
          <w:lang w:val="en-GB"/>
        </w:rPr>
        <w:t xml:space="preserve"> </w:t>
      </w:r>
      <w:r w:rsidR="00ED2BE6" w:rsidRPr="00ED2BE6">
        <w:rPr>
          <w:rFonts w:ascii="Arial" w:hAnsi="Arial" w:cs="Arial"/>
          <w:sz w:val="22"/>
          <w:szCs w:val="22"/>
          <w:lang w:val="en-GB"/>
        </w:rPr>
        <w:t xml:space="preserve">The first plastic was created in 1860, and the </w:t>
      </w:r>
      <w:r w:rsidR="00576463">
        <w:rPr>
          <w:rFonts w:ascii="Arial" w:hAnsi="Arial" w:cs="Arial"/>
          <w:sz w:val="22"/>
          <w:szCs w:val="22"/>
          <w:lang w:val="en-GB"/>
        </w:rPr>
        <w:t xml:space="preserve">global </w:t>
      </w:r>
      <w:r w:rsidR="00ED2BE6" w:rsidRPr="00ED2BE6">
        <w:rPr>
          <w:rFonts w:ascii="Arial" w:hAnsi="Arial" w:cs="Arial"/>
          <w:sz w:val="22"/>
          <w:szCs w:val="22"/>
          <w:lang w:val="en-GB"/>
        </w:rPr>
        <w:t>plastic industry began in 1907. Industrialisation occurred in the 1920s, and plastic manufacturing increased in the 1940s. Plastic output rose from 2 million tonnes in 1950 to 368 million tonnes in 2019</w:t>
      </w:r>
      <w:r w:rsidR="006B19FF">
        <w:rPr>
          <w:rFonts w:ascii="Arial" w:hAnsi="Arial" w:cs="Arial"/>
          <w:sz w:val="22"/>
          <w:szCs w:val="22"/>
          <w:lang w:val="en-GB"/>
        </w:rPr>
        <w:t>.</w:t>
      </w:r>
      <w:r w:rsidR="00ED2BE6" w:rsidRPr="00ED2BE6">
        <w:rPr>
          <w:rFonts w:ascii="Arial" w:hAnsi="Arial" w:cs="Arial"/>
          <w:sz w:val="22"/>
          <w:szCs w:val="22"/>
          <w:lang w:val="en-GB"/>
        </w:rPr>
        <w:t xml:space="preserve"> Utilisation of plastic grew 180 times from 1950 to 2018. Global plastic manufacturing will </w:t>
      </w:r>
      <w:r w:rsidR="00576463">
        <w:rPr>
          <w:rFonts w:ascii="Arial" w:hAnsi="Arial" w:cs="Arial"/>
          <w:sz w:val="22"/>
          <w:szCs w:val="22"/>
          <w:lang w:val="en-GB"/>
        </w:rPr>
        <w:t xml:space="preserve">exceed </w:t>
      </w:r>
      <w:r w:rsidR="00ED2BE6" w:rsidRPr="00ED2BE6">
        <w:rPr>
          <w:rFonts w:ascii="Arial" w:hAnsi="Arial" w:cs="Arial"/>
          <w:sz w:val="22"/>
          <w:szCs w:val="22"/>
          <w:lang w:val="en-GB"/>
        </w:rPr>
        <w:t>400.3 million tonnes in 2022</w:t>
      </w:r>
      <w:r w:rsidR="00ED2BE6">
        <w:rPr>
          <w:rFonts w:ascii="Arial" w:hAnsi="Arial" w:cs="Arial"/>
          <w:sz w:val="22"/>
          <w:szCs w:val="22"/>
          <w:lang w:val="en-GB"/>
        </w:rPr>
        <w:t xml:space="preserve"> </w:t>
      </w:r>
      <w:r w:rsidR="00613667" w:rsidRPr="0085730F">
        <w:rPr>
          <w:rFonts w:ascii="Arial" w:hAnsi="Arial" w:cs="Arial"/>
          <w:sz w:val="22"/>
          <w:szCs w:val="22"/>
          <w:lang w:val="en-GB"/>
        </w:rPr>
        <w:t xml:space="preserve">(Bashir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xml:space="preserve">., 2021; Williams &amp; Rangel-Buitrago, 2022; Li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2023</w:t>
      </w:r>
      <w:r w:rsidR="006B19FF">
        <w:rPr>
          <w:rFonts w:ascii="Arial" w:hAnsi="Arial" w:cs="Arial"/>
          <w:sz w:val="22"/>
          <w:szCs w:val="22"/>
          <w:lang w:val="en-GB"/>
        </w:rPr>
        <w:t>;</w:t>
      </w:r>
      <w:r w:rsidR="004C67B6" w:rsidRPr="004C67B6">
        <w:rPr>
          <w:rFonts w:ascii="Arial" w:hAnsi="Arial" w:cs="Arial"/>
          <w:sz w:val="22"/>
          <w:szCs w:val="22"/>
        </w:rPr>
        <w:t xml:space="preserve"> Rafey &amp; Siddiqui, 2023</w:t>
      </w:r>
      <w:r w:rsidR="00613667" w:rsidRPr="0085730F">
        <w:rPr>
          <w:rFonts w:ascii="Arial" w:hAnsi="Arial" w:cs="Arial"/>
          <w:sz w:val="22"/>
          <w:szCs w:val="22"/>
          <w:lang w:val="en-GB"/>
        </w:rPr>
        <w:t xml:space="preserve">). </w:t>
      </w:r>
      <w:r w:rsidR="004C67B6">
        <w:rPr>
          <w:rFonts w:ascii="Arial" w:hAnsi="Arial" w:cs="Arial"/>
          <w:sz w:val="22"/>
          <w:szCs w:val="22"/>
          <w:lang w:val="en-GB"/>
        </w:rPr>
        <w:t>P</w:t>
      </w:r>
      <w:r w:rsidR="00A133E0">
        <w:rPr>
          <w:rFonts w:ascii="Arial" w:hAnsi="Arial" w:cs="Arial"/>
          <w:sz w:val="22"/>
          <w:szCs w:val="22"/>
          <w:lang w:val="en-GB"/>
        </w:rPr>
        <w:t>lastics</w:t>
      </w:r>
      <w:r w:rsidR="00C9762A">
        <w:rPr>
          <w:rFonts w:ascii="Arial" w:hAnsi="Arial" w:cs="Arial"/>
          <w:sz w:val="22"/>
          <w:szCs w:val="22"/>
          <w:lang w:val="en-GB"/>
        </w:rPr>
        <w:t xml:space="preserve"> </w:t>
      </w:r>
      <w:r w:rsidR="004C67B6">
        <w:rPr>
          <w:rFonts w:ascii="Arial" w:hAnsi="Arial" w:cs="Arial"/>
          <w:sz w:val="22"/>
          <w:szCs w:val="22"/>
          <w:lang w:val="en-GB"/>
        </w:rPr>
        <w:t xml:space="preserve">are </w:t>
      </w:r>
      <w:r w:rsidR="00C9762A">
        <w:rPr>
          <w:rFonts w:ascii="Arial" w:hAnsi="Arial" w:cs="Arial"/>
          <w:sz w:val="22"/>
          <w:szCs w:val="22"/>
          <w:lang w:val="en-GB"/>
        </w:rPr>
        <w:t xml:space="preserve">utilized by </w:t>
      </w:r>
      <w:r w:rsidR="00613667" w:rsidRPr="0085730F">
        <w:rPr>
          <w:rFonts w:ascii="Arial" w:hAnsi="Arial" w:cs="Arial"/>
          <w:sz w:val="22"/>
          <w:szCs w:val="22"/>
          <w:lang w:val="en-GB"/>
        </w:rPr>
        <w:t>manufactur</w:t>
      </w:r>
      <w:r w:rsidR="00C9762A">
        <w:rPr>
          <w:rFonts w:ascii="Arial" w:hAnsi="Arial" w:cs="Arial"/>
          <w:sz w:val="22"/>
          <w:szCs w:val="22"/>
          <w:lang w:val="en-GB"/>
        </w:rPr>
        <w:t xml:space="preserve">ing industries for </w:t>
      </w:r>
      <w:r w:rsidR="00DA7828">
        <w:rPr>
          <w:rFonts w:ascii="Arial" w:hAnsi="Arial" w:cs="Arial"/>
          <w:sz w:val="22"/>
          <w:szCs w:val="22"/>
          <w:lang w:val="en-GB"/>
        </w:rPr>
        <w:t xml:space="preserve">a </w:t>
      </w:r>
      <w:r w:rsidR="00613667" w:rsidRPr="0085730F">
        <w:rPr>
          <w:rFonts w:ascii="Arial" w:hAnsi="Arial" w:cs="Arial"/>
          <w:sz w:val="22"/>
          <w:szCs w:val="22"/>
          <w:lang w:val="en-GB"/>
        </w:rPr>
        <w:t xml:space="preserve">wide </w:t>
      </w:r>
      <w:r w:rsidR="00A14281">
        <w:rPr>
          <w:rFonts w:ascii="Arial" w:hAnsi="Arial" w:cs="Arial"/>
          <w:sz w:val="22"/>
          <w:szCs w:val="22"/>
          <w:lang w:val="en-GB"/>
        </w:rPr>
        <w:t xml:space="preserve">variety </w:t>
      </w:r>
      <w:r w:rsidR="00613667" w:rsidRPr="0085730F">
        <w:rPr>
          <w:rFonts w:ascii="Arial" w:hAnsi="Arial" w:cs="Arial"/>
          <w:sz w:val="22"/>
          <w:szCs w:val="22"/>
          <w:lang w:val="en-GB"/>
        </w:rPr>
        <w:t xml:space="preserve">of products, </w:t>
      </w:r>
      <w:r w:rsidR="00E95A0E">
        <w:rPr>
          <w:rFonts w:ascii="Arial" w:hAnsi="Arial" w:cs="Arial"/>
          <w:sz w:val="22"/>
          <w:szCs w:val="22"/>
          <w:lang w:val="en-GB"/>
        </w:rPr>
        <w:t>due to</w:t>
      </w:r>
      <w:r w:rsidR="00025E85">
        <w:rPr>
          <w:rFonts w:ascii="Arial" w:hAnsi="Arial" w:cs="Arial"/>
          <w:sz w:val="22"/>
          <w:szCs w:val="22"/>
          <w:lang w:val="en-GB"/>
        </w:rPr>
        <w:t xml:space="preserve"> the desirable properties of </w:t>
      </w:r>
      <w:r w:rsidR="00025E85" w:rsidRPr="0085730F">
        <w:rPr>
          <w:rFonts w:ascii="Arial" w:hAnsi="Arial" w:cs="Arial"/>
          <w:sz w:val="22"/>
          <w:szCs w:val="22"/>
          <w:lang w:val="en-GB"/>
        </w:rPr>
        <w:t xml:space="preserve">light weight, resilience, durability, </w:t>
      </w:r>
      <w:r w:rsidR="004707DE">
        <w:rPr>
          <w:rFonts w:ascii="Arial" w:hAnsi="Arial" w:cs="Arial"/>
          <w:sz w:val="22"/>
          <w:szCs w:val="22"/>
          <w:lang w:val="en-GB"/>
        </w:rPr>
        <w:t xml:space="preserve">chemical </w:t>
      </w:r>
      <w:r w:rsidR="00025E85" w:rsidRPr="0085730F">
        <w:rPr>
          <w:rFonts w:ascii="Arial" w:hAnsi="Arial" w:cs="Arial"/>
          <w:sz w:val="22"/>
          <w:szCs w:val="22"/>
          <w:lang w:val="en-GB"/>
        </w:rPr>
        <w:t>inertness</w:t>
      </w:r>
      <w:r w:rsidR="004707DE">
        <w:rPr>
          <w:rFonts w:ascii="Arial" w:hAnsi="Arial" w:cs="Arial"/>
          <w:sz w:val="22"/>
          <w:szCs w:val="22"/>
          <w:lang w:val="en-GB"/>
        </w:rPr>
        <w:t xml:space="preserve"> </w:t>
      </w:r>
      <w:r w:rsidR="00025E85" w:rsidRPr="0085730F">
        <w:rPr>
          <w:rFonts w:ascii="Arial" w:hAnsi="Arial" w:cs="Arial"/>
          <w:sz w:val="22"/>
          <w:szCs w:val="22"/>
          <w:lang w:val="en-GB"/>
        </w:rPr>
        <w:t>and cost-</w:t>
      </w:r>
      <w:r w:rsidR="00025E85" w:rsidRPr="0085730F">
        <w:rPr>
          <w:rFonts w:ascii="Arial" w:hAnsi="Arial" w:cs="Arial"/>
          <w:sz w:val="22"/>
          <w:szCs w:val="22"/>
          <w:lang w:val="en-GB"/>
        </w:rPr>
        <w:lastRenderedPageBreak/>
        <w:t>effectiveness</w:t>
      </w:r>
      <w:r w:rsidR="00025E85">
        <w:rPr>
          <w:rFonts w:ascii="Arial" w:hAnsi="Arial" w:cs="Arial"/>
          <w:sz w:val="22"/>
          <w:szCs w:val="22"/>
          <w:lang w:val="en-GB"/>
        </w:rPr>
        <w:t>,</w:t>
      </w:r>
      <w:r w:rsidR="00E95A0E">
        <w:rPr>
          <w:rFonts w:ascii="Arial" w:hAnsi="Arial" w:cs="Arial"/>
          <w:sz w:val="22"/>
          <w:szCs w:val="22"/>
          <w:lang w:val="en-GB"/>
        </w:rPr>
        <w:t xml:space="preserve"> therefore </w:t>
      </w:r>
      <w:r w:rsidR="00025E85">
        <w:rPr>
          <w:rFonts w:ascii="Arial" w:hAnsi="Arial" w:cs="Arial"/>
          <w:sz w:val="22"/>
          <w:szCs w:val="22"/>
          <w:lang w:val="en-GB"/>
        </w:rPr>
        <w:t xml:space="preserve">serving as </w:t>
      </w:r>
      <w:r w:rsidR="00E95A0E">
        <w:rPr>
          <w:rFonts w:ascii="Arial" w:hAnsi="Arial" w:cs="Arial"/>
          <w:sz w:val="22"/>
          <w:szCs w:val="22"/>
          <w:lang w:val="en-GB"/>
        </w:rPr>
        <w:t xml:space="preserve">an </w:t>
      </w:r>
      <w:r w:rsidR="00471800">
        <w:rPr>
          <w:rFonts w:ascii="Arial" w:hAnsi="Arial" w:cs="Arial"/>
          <w:sz w:val="22"/>
          <w:szCs w:val="22"/>
          <w:lang w:val="en-GB"/>
        </w:rPr>
        <w:t xml:space="preserve">effective </w:t>
      </w:r>
      <w:r w:rsidR="00471800" w:rsidRPr="0085730F">
        <w:rPr>
          <w:rFonts w:ascii="Arial" w:hAnsi="Arial" w:cs="Arial"/>
          <w:sz w:val="22"/>
          <w:szCs w:val="22"/>
          <w:lang w:val="en-GB"/>
        </w:rPr>
        <w:t>substitute</w:t>
      </w:r>
      <w:r w:rsidR="00025E85" w:rsidRPr="0085730F">
        <w:rPr>
          <w:rFonts w:ascii="Arial" w:hAnsi="Arial" w:cs="Arial"/>
          <w:sz w:val="22"/>
          <w:szCs w:val="22"/>
          <w:lang w:val="en-GB"/>
        </w:rPr>
        <w:t xml:space="preserve"> for traditional packaging materials such as glass and paper</w:t>
      </w:r>
      <w:r w:rsidR="00943CC3">
        <w:rPr>
          <w:rFonts w:ascii="Arial" w:hAnsi="Arial" w:cs="Arial"/>
          <w:sz w:val="22"/>
          <w:szCs w:val="22"/>
          <w:lang w:val="en-GB"/>
        </w:rPr>
        <w:t xml:space="preserve"> </w:t>
      </w:r>
      <w:r w:rsidR="00613667" w:rsidRPr="0085730F">
        <w:rPr>
          <w:rFonts w:ascii="Arial" w:hAnsi="Arial" w:cs="Arial"/>
          <w:sz w:val="22"/>
          <w:szCs w:val="22"/>
          <w:lang w:val="en-GB"/>
        </w:rPr>
        <w:t xml:space="preserve">(Kumar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xml:space="preserve">., 2021; Chawla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2022).</w:t>
      </w:r>
    </w:p>
    <w:p w14:paraId="2728307F" w14:textId="73C23BBA" w:rsidR="002A02EB" w:rsidRDefault="00A133E0" w:rsidP="00252115">
      <w:pPr>
        <w:spacing w:line="360" w:lineRule="auto"/>
        <w:ind w:firstLine="720"/>
        <w:jc w:val="both"/>
        <w:rPr>
          <w:rFonts w:ascii="Arial" w:hAnsi="Arial" w:cs="Arial"/>
          <w:sz w:val="22"/>
          <w:szCs w:val="22"/>
          <w:lang w:val="en-GB"/>
        </w:rPr>
      </w:pPr>
      <w:r>
        <w:rPr>
          <w:rFonts w:ascii="Arial" w:hAnsi="Arial" w:cs="Arial"/>
          <w:sz w:val="22"/>
          <w:szCs w:val="22"/>
          <w:lang w:val="en-GB"/>
        </w:rPr>
        <w:t xml:space="preserve">However, </w:t>
      </w:r>
      <w:r w:rsidR="00E008B5">
        <w:rPr>
          <w:rFonts w:ascii="Arial" w:hAnsi="Arial" w:cs="Arial"/>
          <w:sz w:val="22"/>
          <w:szCs w:val="22"/>
          <w:lang w:val="en-GB"/>
        </w:rPr>
        <w:t xml:space="preserve">these plastics </w:t>
      </w:r>
      <w:r w:rsidR="00252115">
        <w:rPr>
          <w:rFonts w:ascii="Arial" w:hAnsi="Arial" w:cs="Arial"/>
          <w:sz w:val="22"/>
          <w:szCs w:val="22"/>
          <w:lang w:val="en-GB"/>
        </w:rPr>
        <w:t>undergo</w:t>
      </w:r>
      <w:r w:rsidR="00E008B5">
        <w:rPr>
          <w:rFonts w:ascii="Arial" w:hAnsi="Arial" w:cs="Arial"/>
          <w:sz w:val="22"/>
          <w:szCs w:val="22"/>
          <w:lang w:val="en-GB"/>
        </w:rPr>
        <w:t xml:space="preserve"> degradation into minute particles known as microplastics</w:t>
      </w:r>
      <w:r w:rsidR="00252115">
        <w:rPr>
          <w:rFonts w:ascii="Arial" w:hAnsi="Arial" w:cs="Arial"/>
          <w:sz w:val="22"/>
          <w:szCs w:val="22"/>
          <w:lang w:val="en-GB"/>
        </w:rPr>
        <w:t xml:space="preserve"> (&lt;</w:t>
      </w:r>
      <w:r w:rsidR="00613667" w:rsidRPr="0085730F">
        <w:rPr>
          <w:rFonts w:ascii="Arial" w:hAnsi="Arial" w:cs="Arial"/>
          <w:sz w:val="22"/>
          <w:szCs w:val="22"/>
          <w:lang w:val="en-GB"/>
        </w:rPr>
        <w:t>5 mm</w:t>
      </w:r>
      <w:r w:rsidR="00252115">
        <w:rPr>
          <w:rFonts w:ascii="Arial" w:hAnsi="Arial" w:cs="Arial"/>
          <w:sz w:val="22"/>
          <w:szCs w:val="22"/>
          <w:lang w:val="en-GB"/>
        </w:rPr>
        <w:t xml:space="preserve">) and </w:t>
      </w:r>
      <w:r w:rsidR="00613667" w:rsidRPr="0085730F">
        <w:rPr>
          <w:rFonts w:ascii="Arial" w:hAnsi="Arial" w:cs="Arial"/>
          <w:sz w:val="22"/>
          <w:szCs w:val="22"/>
          <w:lang w:val="en-GB"/>
        </w:rPr>
        <w:t xml:space="preserve">nanoplastics </w:t>
      </w:r>
      <w:r w:rsidR="00252115">
        <w:rPr>
          <w:rFonts w:ascii="Arial" w:hAnsi="Arial" w:cs="Arial"/>
          <w:sz w:val="22"/>
          <w:szCs w:val="22"/>
          <w:lang w:val="en-GB"/>
        </w:rPr>
        <w:t>(&lt;</w:t>
      </w:r>
      <w:r w:rsidR="00613667" w:rsidRPr="0085730F">
        <w:rPr>
          <w:rFonts w:ascii="Arial" w:hAnsi="Arial" w:cs="Arial"/>
          <w:sz w:val="22"/>
          <w:szCs w:val="22"/>
          <w:lang w:val="en-GB"/>
        </w:rPr>
        <w:t>1 μm</w:t>
      </w:r>
      <w:r w:rsidR="00252115">
        <w:rPr>
          <w:rFonts w:ascii="Arial" w:hAnsi="Arial" w:cs="Arial"/>
          <w:sz w:val="22"/>
          <w:szCs w:val="22"/>
          <w:lang w:val="en-GB"/>
        </w:rPr>
        <w:t xml:space="preserve">) through </w:t>
      </w:r>
      <w:r w:rsidR="002D1BBA">
        <w:rPr>
          <w:rFonts w:ascii="Arial" w:hAnsi="Arial" w:cs="Arial"/>
          <w:sz w:val="22"/>
          <w:szCs w:val="22"/>
          <w:lang w:val="en-GB"/>
        </w:rPr>
        <w:t>environmental activities</w:t>
      </w:r>
      <w:r w:rsidR="00613667" w:rsidRPr="0085730F">
        <w:rPr>
          <w:rFonts w:ascii="Arial" w:hAnsi="Arial" w:cs="Arial"/>
          <w:sz w:val="22"/>
          <w:szCs w:val="22"/>
          <w:lang w:val="en-GB"/>
        </w:rPr>
        <w:t xml:space="preserve"> (Zhao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xml:space="preserve">., 2017; Zimmermann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2021).</w:t>
      </w:r>
      <w:r w:rsidR="003B2FAC">
        <w:rPr>
          <w:rFonts w:ascii="Arial" w:hAnsi="Arial" w:cs="Arial"/>
          <w:sz w:val="22"/>
          <w:szCs w:val="22"/>
          <w:lang w:val="en-GB"/>
        </w:rPr>
        <w:t xml:space="preserve"> They </w:t>
      </w:r>
      <w:r w:rsidR="00F2590D">
        <w:rPr>
          <w:rFonts w:ascii="Arial" w:hAnsi="Arial" w:cs="Arial"/>
          <w:sz w:val="22"/>
          <w:szCs w:val="22"/>
          <w:lang w:val="en-GB"/>
        </w:rPr>
        <w:t>can be group</w:t>
      </w:r>
      <w:r w:rsidR="000D3EDE">
        <w:rPr>
          <w:rFonts w:ascii="Arial" w:hAnsi="Arial" w:cs="Arial"/>
          <w:sz w:val="22"/>
          <w:szCs w:val="22"/>
          <w:lang w:val="en-GB"/>
        </w:rPr>
        <w:t>ed</w:t>
      </w:r>
      <w:r w:rsidR="00F2590D">
        <w:rPr>
          <w:rFonts w:ascii="Arial" w:hAnsi="Arial" w:cs="Arial"/>
          <w:sz w:val="22"/>
          <w:szCs w:val="22"/>
          <w:lang w:val="en-GB"/>
        </w:rPr>
        <w:t xml:space="preserve"> as </w:t>
      </w:r>
      <w:r w:rsidR="00613667" w:rsidRPr="0085730F">
        <w:rPr>
          <w:rFonts w:ascii="Arial" w:hAnsi="Arial" w:cs="Arial"/>
          <w:sz w:val="22"/>
          <w:szCs w:val="22"/>
          <w:lang w:val="en-GB"/>
        </w:rPr>
        <w:t xml:space="preserve">primary microplastics </w:t>
      </w:r>
      <w:r w:rsidR="00F2590D">
        <w:rPr>
          <w:rFonts w:ascii="Arial" w:hAnsi="Arial" w:cs="Arial"/>
          <w:sz w:val="22"/>
          <w:szCs w:val="22"/>
          <w:lang w:val="en-GB"/>
        </w:rPr>
        <w:t xml:space="preserve">which </w:t>
      </w:r>
      <w:r w:rsidR="00613667" w:rsidRPr="0085730F">
        <w:rPr>
          <w:rFonts w:ascii="Arial" w:hAnsi="Arial" w:cs="Arial"/>
          <w:sz w:val="22"/>
          <w:szCs w:val="22"/>
          <w:lang w:val="en-GB"/>
        </w:rPr>
        <w:t xml:space="preserve">are intentionally manufactured for industrial use, such as resin pellets used in textile </w:t>
      </w:r>
      <w:r w:rsidR="00FC0D32" w:rsidRPr="0085730F">
        <w:rPr>
          <w:rFonts w:ascii="Arial" w:hAnsi="Arial" w:cs="Arial"/>
          <w:sz w:val="22"/>
          <w:szCs w:val="22"/>
          <w:lang w:val="en-GB"/>
        </w:rPr>
        <w:t>fibres</w:t>
      </w:r>
      <w:r w:rsidR="00613667" w:rsidRPr="0085730F">
        <w:rPr>
          <w:rFonts w:ascii="Arial" w:hAnsi="Arial" w:cs="Arial"/>
          <w:sz w:val="22"/>
          <w:szCs w:val="22"/>
          <w:lang w:val="en-GB"/>
        </w:rPr>
        <w:t xml:space="preserve">, toothpaste, plastic products, and cosmetic microbeads (Begum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xml:space="preserve">., 2020; Bashir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xml:space="preserve">., 2021; Lee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2022)</w:t>
      </w:r>
      <w:r w:rsidR="003B2FAC">
        <w:rPr>
          <w:rFonts w:ascii="Arial" w:hAnsi="Arial" w:cs="Arial"/>
          <w:sz w:val="22"/>
          <w:szCs w:val="22"/>
          <w:lang w:val="en-GB"/>
        </w:rPr>
        <w:t xml:space="preserve"> </w:t>
      </w:r>
      <w:r w:rsidR="00F2590D">
        <w:rPr>
          <w:rFonts w:ascii="Arial" w:hAnsi="Arial" w:cs="Arial"/>
          <w:sz w:val="22"/>
          <w:szCs w:val="22"/>
          <w:lang w:val="en-GB"/>
        </w:rPr>
        <w:t xml:space="preserve">or </w:t>
      </w:r>
      <w:r w:rsidR="003B2FAC">
        <w:rPr>
          <w:rFonts w:ascii="Arial" w:hAnsi="Arial" w:cs="Arial"/>
          <w:sz w:val="22"/>
          <w:szCs w:val="22"/>
          <w:lang w:val="en-GB"/>
        </w:rPr>
        <w:t>s</w:t>
      </w:r>
      <w:r w:rsidR="00613667" w:rsidRPr="0085730F">
        <w:rPr>
          <w:rFonts w:ascii="Arial" w:hAnsi="Arial" w:cs="Arial"/>
          <w:sz w:val="22"/>
          <w:szCs w:val="22"/>
          <w:lang w:val="en-GB"/>
        </w:rPr>
        <w:t xml:space="preserve">econdary microplastics </w:t>
      </w:r>
      <w:r w:rsidR="003B2FAC">
        <w:rPr>
          <w:rFonts w:ascii="Arial" w:hAnsi="Arial" w:cs="Arial"/>
          <w:sz w:val="22"/>
          <w:szCs w:val="22"/>
          <w:lang w:val="en-GB"/>
        </w:rPr>
        <w:t xml:space="preserve">which </w:t>
      </w:r>
      <w:r w:rsidR="00613667" w:rsidRPr="0085730F">
        <w:rPr>
          <w:rFonts w:ascii="Arial" w:hAnsi="Arial" w:cs="Arial"/>
          <w:sz w:val="22"/>
          <w:szCs w:val="22"/>
          <w:lang w:val="en-GB"/>
        </w:rPr>
        <w:t xml:space="preserve">are generated as products from environmental degradation such as hydrolysis, photodegradation, thermo-oxidative degradation, and biodegradation (Sharma &amp; Chatterjee, 2017; Zarus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xml:space="preserve">., 2021; Ziani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xml:space="preserve">., 2023; Mathew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2024).</w:t>
      </w:r>
    </w:p>
    <w:p w14:paraId="16ED66C9" w14:textId="204F0169" w:rsidR="00DD34D1" w:rsidRPr="00C33F51" w:rsidRDefault="00793A63" w:rsidP="00535104">
      <w:pPr>
        <w:spacing w:line="360" w:lineRule="auto"/>
        <w:ind w:firstLine="720"/>
        <w:jc w:val="both"/>
        <w:rPr>
          <w:rFonts w:ascii="Arial" w:hAnsi="Arial" w:cs="Arial"/>
          <w:sz w:val="22"/>
          <w:szCs w:val="22"/>
        </w:rPr>
      </w:pPr>
      <w:r w:rsidRPr="00793A63">
        <w:rPr>
          <w:rFonts w:ascii="Arial" w:hAnsi="Arial" w:cs="Arial"/>
          <w:sz w:val="22"/>
          <w:szCs w:val="22"/>
        </w:rPr>
        <w:t>M</w:t>
      </w:r>
      <w:r w:rsidR="00867F45">
        <w:rPr>
          <w:rFonts w:ascii="Arial" w:hAnsi="Arial" w:cs="Arial"/>
          <w:sz w:val="22"/>
          <w:szCs w:val="22"/>
        </w:rPr>
        <w:t xml:space="preserve">icroplastic </w:t>
      </w:r>
      <w:r w:rsidRPr="00793A63">
        <w:rPr>
          <w:rFonts w:ascii="Arial" w:hAnsi="Arial" w:cs="Arial"/>
          <w:sz w:val="22"/>
          <w:szCs w:val="22"/>
        </w:rPr>
        <w:t xml:space="preserve">fragments </w:t>
      </w:r>
      <w:r w:rsidR="005A3451">
        <w:rPr>
          <w:rFonts w:ascii="Arial" w:hAnsi="Arial" w:cs="Arial"/>
          <w:sz w:val="22"/>
          <w:szCs w:val="22"/>
        </w:rPr>
        <w:t xml:space="preserve">are ubiquitous in our environment and </w:t>
      </w:r>
      <w:r w:rsidRPr="00793A63">
        <w:rPr>
          <w:rFonts w:ascii="Arial" w:hAnsi="Arial" w:cs="Arial"/>
          <w:sz w:val="22"/>
          <w:szCs w:val="22"/>
        </w:rPr>
        <w:t xml:space="preserve">pose a significant </w:t>
      </w:r>
      <w:r w:rsidR="006008A0">
        <w:rPr>
          <w:rFonts w:ascii="Arial" w:hAnsi="Arial" w:cs="Arial"/>
          <w:sz w:val="22"/>
          <w:szCs w:val="22"/>
        </w:rPr>
        <w:t xml:space="preserve">health and environmental </w:t>
      </w:r>
      <w:r w:rsidR="005A3451">
        <w:rPr>
          <w:rFonts w:ascii="Arial" w:hAnsi="Arial" w:cs="Arial"/>
          <w:sz w:val="22"/>
          <w:szCs w:val="22"/>
        </w:rPr>
        <w:t xml:space="preserve">risk </w:t>
      </w:r>
      <w:r w:rsidRPr="0085730F">
        <w:rPr>
          <w:rFonts w:ascii="Arial" w:hAnsi="Arial" w:cs="Arial"/>
          <w:sz w:val="22"/>
          <w:szCs w:val="22"/>
          <w:lang w:val="en-GB"/>
        </w:rPr>
        <w:t xml:space="preserve">(Chen </w:t>
      </w:r>
      <w:r w:rsidR="00424167" w:rsidRPr="00424167">
        <w:rPr>
          <w:rFonts w:ascii="Arial" w:hAnsi="Arial" w:cs="Arial"/>
          <w:i/>
          <w:iCs/>
          <w:sz w:val="22"/>
          <w:szCs w:val="22"/>
          <w:lang w:val="en-GB"/>
        </w:rPr>
        <w:t>et al</w:t>
      </w:r>
      <w:r w:rsidRPr="0085730F">
        <w:rPr>
          <w:rFonts w:ascii="Arial" w:hAnsi="Arial" w:cs="Arial"/>
          <w:sz w:val="22"/>
          <w:szCs w:val="22"/>
          <w:lang w:val="en-GB"/>
        </w:rPr>
        <w:t>., 2022</w:t>
      </w:r>
      <w:r>
        <w:rPr>
          <w:rFonts w:ascii="Arial" w:hAnsi="Arial" w:cs="Arial"/>
          <w:sz w:val="22"/>
          <w:szCs w:val="22"/>
          <w:lang w:val="en-GB"/>
        </w:rPr>
        <w:t xml:space="preserve">; </w:t>
      </w:r>
      <w:r w:rsidRPr="00793A63">
        <w:rPr>
          <w:rFonts w:ascii="Arial" w:hAnsi="Arial" w:cs="Arial"/>
          <w:sz w:val="22"/>
          <w:szCs w:val="22"/>
        </w:rPr>
        <w:t xml:space="preserve">Lamichhane </w:t>
      </w:r>
      <w:r w:rsidR="00424167" w:rsidRPr="00424167">
        <w:rPr>
          <w:rFonts w:ascii="Arial" w:hAnsi="Arial" w:cs="Arial"/>
          <w:i/>
          <w:iCs/>
          <w:sz w:val="22"/>
          <w:szCs w:val="22"/>
        </w:rPr>
        <w:t>et al</w:t>
      </w:r>
      <w:r w:rsidR="00867F45">
        <w:rPr>
          <w:rFonts w:ascii="Arial" w:hAnsi="Arial" w:cs="Arial"/>
          <w:sz w:val="22"/>
          <w:szCs w:val="22"/>
        </w:rPr>
        <w:t>.,</w:t>
      </w:r>
      <w:r w:rsidRPr="00793A63">
        <w:rPr>
          <w:rFonts w:ascii="Arial" w:hAnsi="Arial" w:cs="Arial"/>
          <w:sz w:val="22"/>
          <w:szCs w:val="22"/>
        </w:rPr>
        <w:t xml:space="preserve"> 2023</w:t>
      </w:r>
      <w:r w:rsidR="00867F45">
        <w:rPr>
          <w:rFonts w:ascii="Arial" w:hAnsi="Arial" w:cs="Arial"/>
          <w:sz w:val="22"/>
          <w:szCs w:val="22"/>
        </w:rPr>
        <w:t xml:space="preserve">). </w:t>
      </w:r>
      <w:r w:rsidR="006008A0">
        <w:rPr>
          <w:rFonts w:ascii="Arial" w:hAnsi="Arial" w:cs="Arial"/>
          <w:sz w:val="22"/>
          <w:szCs w:val="22"/>
        </w:rPr>
        <w:t xml:space="preserve"> </w:t>
      </w:r>
      <w:r w:rsidR="00DF560F">
        <w:rPr>
          <w:rFonts w:ascii="Arial" w:hAnsi="Arial" w:cs="Arial"/>
          <w:sz w:val="22"/>
          <w:szCs w:val="22"/>
        </w:rPr>
        <w:t xml:space="preserve">Most </w:t>
      </w:r>
      <w:r w:rsidR="00B42D45">
        <w:rPr>
          <w:rFonts w:ascii="Arial" w:hAnsi="Arial" w:cs="Arial"/>
          <w:sz w:val="22"/>
          <w:szCs w:val="22"/>
        </w:rPr>
        <w:t>p</w:t>
      </w:r>
      <w:r w:rsidR="003467A4" w:rsidRPr="00B250A0">
        <w:rPr>
          <w:rFonts w:ascii="Arial" w:hAnsi="Arial" w:cs="Arial"/>
          <w:sz w:val="22"/>
          <w:szCs w:val="22"/>
        </w:rPr>
        <w:t xml:space="preserve">lastic chemicals </w:t>
      </w:r>
      <w:r w:rsidR="00DF560F">
        <w:rPr>
          <w:rFonts w:ascii="Arial" w:hAnsi="Arial" w:cs="Arial"/>
          <w:sz w:val="22"/>
          <w:szCs w:val="22"/>
        </w:rPr>
        <w:t xml:space="preserve">are not covalently bonded </w:t>
      </w:r>
      <w:r w:rsidR="003467A4" w:rsidRPr="00B250A0">
        <w:rPr>
          <w:rFonts w:ascii="Arial" w:hAnsi="Arial" w:cs="Arial"/>
          <w:sz w:val="22"/>
          <w:szCs w:val="22"/>
        </w:rPr>
        <w:t>to polymer matrix,</w:t>
      </w:r>
      <w:r w:rsidR="00F16AC5">
        <w:rPr>
          <w:rFonts w:ascii="Arial" w:hAnsi="Arial" w:cs="Arial"/>
          <w:sz w:val="22"/>
          <w:szCs w:val="22"/>
        </w:rPr>
        <w:t xml:space="preserve"> and can </w:t>
      </w:r>
      <w:r w:rsidR="003467A4" w:rsidRPr="00B250A0">
        <w:rPr>
          <w:rFonts w:ascii="Arial" w:hAnsi="Arial" w:cs="Arial"/>
          <w:sz w:val="22"/>
          <w:szCs w:val="22"/>
        </w:rPr>
        <w:t xml:space="preserve">leach </w:t>
      </w:r>
      <w:r w:rsidR="00F16AC5">
        <w:rPr>
          <w:rFonts w:ascii="Arial" w:hAnsi="Arial" w:cs="Arial"/>
          <w:sz w:val="22"/>
          <w:szCs w:val="22"/>
        </w:rPr>
        <w:t xml:space="preserve">easily </w:t>
      </w:r>
      <w:r w:rsidR="003467A4" w:rsidRPr="00B250A0">
        <w:rPr>
          <w:rFonts w:ascii="Arial" w:hAnsi="Arial" w:cs="Arial"/>
          <w:sz w:val="22"/>
          <w:szCs w:val="22"/>
        </w:rPr>
        <w:t xml:space="preserve">into </w:t>
      </w:r>
      <w:r w:rsidR="00B42D45">
        <w:rPr>
          <w:rFonts w:ascii="Arial" w:hAnsi="Arial" w:cs="Arial"/>
          <w:sz w:val="22"/>
          <w:szCs w:val="22"/>
        </w:rPr>
        <w:t>food</w:t>
      </w:r>
      <w:r w:rsidR="00F16AC5">
        <w:rPr>
          <w:rFonts w:ascii="Arial" w:hAnsi="Arial" w:cs="Arial"/>
          <w:sz w:val="22"/>
          <w:szCs w:val="22"/>
        </w:rPr>
        <w:t>,</w:t>
      </w:r>
      <w:r w:rsidR="00B42D45">
        <w:rPr>
          <w:rFonts w:ascii="Arial" w:hAnsi="Arial" w:cs="Arial"/>
          <w:sz w:val="22"/>
          <w:szCs w:val="22"/>
        </w:rPr>
        <w:t xml:space="preserve"> drinks</w:t>
      </w:r>
      <w:r w:rsidR="00F16AC5">
        <w:rPr>
          <w:rFonts w:ascii="Arial" w:hAnsi="Arial" w:cs="Arial"/>
          <w:sz w:val="22"/>
          <w:szCs w:val="22"/>
        </w:rPr>
        <w:t xml:space="preserve"> and other items for consumption</w:t>
      </w:r>
      <w:r w:rsidR="00C95646">
        <w:rPr>
          <w:rFonts w:ascii="Arial" w:hAnsi="Arial" w:cs="Arial"/>
          <w:sz w:val="22"/>
          <w:szCs w:val="22"/>
        </w:rPr>
        <w:t xml:space="preserve"> (</w:t>
      </w:r>
      <w:r w:rsidR="00C95646" w:rsidRPr="00DB78E4">
        <w:rPr>
          <w:rFonts w:ascii="Arial" w:hAnsi="Arial" w:cs="Arial"/>
          <w:sz w:val="22"/>
          <w:szCs w:val="22"/>
        </w:rPr>
        <w:t>McCombie</w:t>
      </w:r>
      <w:r w:rsidR="00C95646">
        <w:rPr>
          <w:rFonts w:ascii="Arial" w:hAnsi="Arial" w:cs="Arial"/>
          <w:sz w:val="22"/>
          <w:szCs w:val="22"/>
        </w:rPr>
        <w:t xml:space="preserve"> </w:t>
      </w:r>
      <w:r w:rsidR="00424167" w:rsidRPr="00424167">
        <w:rPr>
          <w:rFonts w:ascii="Arial" w:hAnsi="Arial" w:cs="Arial"/>
          <w:i/>
          <w:iCs/>
          <w:sz w:val="22"/>
          <w:szCs w:val="22"/>
        </w:rPr>
        <w:t>et al</w:t>
      </w:r>
      <w:r w:rsidR="00C95646">
        <w:rPr>
          <w:rFonts w:ascii="Arial" w:hAnsi="Arial" w:cs="Arial"/>
          <w:sz w:val="22"/>
          <w:szCs w:val="22"/>
        </w:rPr>
        <w:t>., 2016)</w:t>
      </w:r>
      <w:r w:rsidR="00E26D08">
        <w:rPr>
          <w:rFonts w:ascii="Arial" w:hAnsi="Arial" w:cs="Arial"/>
          <w:sz w:val="22"/>
          <w:szCs w:val="22"/>
        </w:rPr>
        <w:t xml:space="preserve">. </w:t>
      </w:r>
      <w:r w:rsidR="006A60A3">
        <w:rPr>
          <w:rFonts w:ascii="Arial" w:hAnsi="Arial" w:cs="Arial"/>
          <w:sz w:val="22"/>
          <w:szCs w:val="22"/>
        </w:rPr>
        <w:t>Plastic</w:t>
      </w:r>
      <w:r w:rsidR="003467A4" w:rsidRPr="00B250A0">
        <w:rPr>
          <w:rFonts w:ascii="Arial" w:hAnsi="Arial" w:cs="Arial"/>
          <w:sz w:val="22"/>
          <w:szCs w:val="22"/>
        </w:rPr>
        <w:t xml:space="preserve"> chemicals can also leach into natural environments from littering, resulting in the exposure of wildlife</w:t>
      </w:r>
      <w:r w:rsidR="003467A4">
        <w:rPr>
          <w:rFonts w:ascii="Arial" w:hAnsi="Arial" w:cs="Arial"/>
          <w:sz w:val="22"/>
          <w:szCs w:val="22"/>
        </w:rPr>
        <w:t>, which</w:t>
      </w:r>
      <w:r w:rsidR="006A60A3">
        <w:rPr>
          <w:rFonts w:ascii="Arial" w:hAnsi="Arial" w:cs="Arial"/>
          <w:sz w:val="22"/>
          <w:szCs w:val="22"/>
        </w:rPr>
        <w:t xml:space="preserve"> in turn</w:t>
      </w:r>
      <w:r w:rsidR="003467A4">
        <w:rPr>
          <w:rFonts w:ascii="Arial" w:hAnsi="Arial" w:cs="Arial"/>
          <w:sz w:val="22"/>
          <w:szCs w:val="22"/>
        </w:rPr>
        <w:t xml:space="preserve"> </w:t>
      </w:r>
      <w:r w:rsidR="00DD090A">
        <w:rPr>
          <w:rFonts w:ascii="Arial" w:hAnsi="Arial" w:cs="Arial"/>
          <w:sz w:val="22"/>
          <w:szCs w:val="22"/>
          <w:lang w:val="en-GB"/>
        </w:rPr>
        <w:t>enters</w:t>
      </w:r>
      <w:r w:rsidR="006A60A3">
        <w:rPr>
          <w:rFonts w:ascii="Arial" w:hAnsi="Arial" w:cs="Arial"/>
          <w:sz w:val="22"/>
          <w:szCs w:val="22"/>
          <w:lang w:val="en-GB"/>
        </w:rPr>
        <w:t xml:space="preserve"> t</w:t>
      </w:r>
      <w:r w:rsidR="004B3052">
        <w:rPr>
          <w:rFonts w:ascii="Arial" w:hAnsi="Arial" w:cs="Arial"/>
          <w:sz w:val="22"/>
          <w:szCs w:val="22"/>
          <w:lang w:val="en-GB"/>
        </w:rPr>
        <w:t xml:space="preserve">he food chain </w:t>
      </w:r>
      <w:r w:rsidR="006A60A3">
        <w:rPr>
          <w:rFonts w:ascii="Arial" w:hAnsi="Arial" w:cs="Arial"/>
          <w:sz w:val="22"/>
          <w:szCs w:val="22"/>
          <w:lang w:val="en-GB"/>
        </w:rPr>
        <w:t xml:space="preserve">and </w:t>
      </w:r>
      <w:r w:rsidR="00D1505C">
        <w:rPr>
          <w:rFonts w:ascii="Arial" w:hAnsi="Arial" w:cs="Arial"/>
          <w:sz w:val="22"/>
          <w:szCs w:val="22"/>
          <w:lang w:val="en-GB"/>
        </w:rPr>
        <w:t xml:space="preserve">through </w:t>
      </w:r>
      <w:r w:rsidR="00D1505C" w:rsidRPr="0085730F">
        <w:rPr>
          <w:rFonts w:ascii="Arial" w:hAnsi="Arial" w:cs="Arial"/>
          <w:sz w:val="22"/>
          <w:szCs w:val="22"/>
          <w:lang w:val="en-GB"/>
        </w:rPr>
        <w:t>biomagnification</w:t>
      </w:r>
      <w:r w:rsidR="006A60A3">
        <w:rPr>
          <w:rFonts w:ascii="Arial" w:hAnsi="Arial" w:cs="Arial"/>
          <w:sz w:val="22"/>
          <w:szCs w:val="22"/>
          <w:lang w:val="en-GB"/>
        </w:rPr>
        <w:t xml:space="preserve"> get to man and finally</w:t>
      </w:r>
      <w:r w:rsidR="000D4D20">
        <w:rPr>
          <w:rFonts w:ascii="Arial" w:hAnsi="Arial" w:cs="Arial"/>
          <w:sz w:val="22"/>
          <w:szCs w:val="22"/>
          <w:lang w:val="en-GB"/>
        </w:rPr>
        <w:t xml:space="preserve"> </w:t>
      </w:r>
      <w:r w:rsidR="004B3052">
        <w:rPr>
          <w:rFonts w:ascii="Arial" w:hAnsi="Arial" w:cs="Arial"/>
          <w:sz w:val="22"/>
          <w:szCs w:val="22"/>
          <w:lang w:val="en-GB"/>
        </w:rPr>
        <w:t>induc</w:t>
      </w:r>
      <w:r w:rsidR="000D4D20">
        <w:rPr>
          <w:rFonts w:ascii="Arial" w:hAnsi="Arial" w:cs="Arial"/>
          <w:sz w:val="22"/>
          <w:szCs w:val="22"/>
          <w:lang w:val="en-GB"/>
        </w:rPr>
        <w:t xml:space="preserve">e </w:t>
      </w:r>
      <w:r w:rsidR="004B3052">
        <w:rPr>
          <w:rFonts w:ascii="Arial" w:hAnsi="Arial" w:cs="Arial"/>
          <w:sz w:val="22"/>
          <w:szCs w:val="22"/>
          <w:lang w:val="en-GB"/>
        </w:rPr>
        <w:t>toxicity</w:t>
      </w:r>
      <w:r w:rsidR="00417AA9">
        <w:rPr>
          <w:rFonts w:ascii="Arial" w:hAnsi="Arial" w:cs="Arial"/>
          <w:sz w:val="22"/>
          <w:szCs w:val="22"/>
          <w:lang w:val="en-GB"/>
        </w:rPr>
        <w:t xml:space="preserve"> (</w:t>
      </w:r>
      <w:r w:rsidR="00417AA9" w:rsidRPr="00417AA9">
        <w:rPr>
          <w:rFonts w:ascii="Arial" w:hAnsi="Arial" w:cs="Arial"/>
          <w:sz w:val="22"/>
          <w:szCs w:val="22"/>
        </w:rPr>
        <w:t>Capolupo</w:t>
      </w:r>
      <w:r w:rsidR="00417AA9">
        <w:rPr>
          <w:rFonts w:ascii="Arial" w:hAnsi="Arial" w:cs="Arial"/>
          <w:sz w:val="22"/>
          <w:szCs w:val="22"/>
        </w:rPr>
        <w:t xml:space="preserve"> </w:t>
      </w:r>
      <w:r w:rsidR="00424167" w:rsidRPr="00424167">
        <w:rPr>
          <w:rFonts w:ascii="Arial" w:hAnsi="Arial" w:cs="Arial"/>
          <w:i/>
          <w:iCs/>
          <w:sz w:val="22"/>
          <w:szCs w:val="22"/>
        </w:rPr>
        <w:t>et al</w:t>
      </w:r>
      <w:r w:rsidR="00417AA9">
        <w:rPr>
          <w:rFonts w:ascii="Arial" w:hAnsi="Arial" w:cs="Arial"/>
          <w:sz w:val="22"/>
          <w:szCs w:val="22"/>
        </w:rPr>
        <w:t>., 2020</w:t>
      </w:r>
      <w:r w:rsidR="00E26D08">
        <w:rPr>
          <w:rFonts w:ascii="Arial" w:hAnsi="Arial" w:cs="Arial"/>
          <w:sz w:val="22"/>
          <w:szCs w:val="22"/>
        </w:rPr>
        <w:t xml:space="preserve">; </w:t>
      </w:r>
      <w:r w:rsidR="00430A6B" w:rsidRPr="006D4DA8">
        <w:rPr>
          <w:rFonts w:ascii="Arial" w:hAnsi="Arial" w:cs="Arial"/>
          <w:sz w:val="22"/>
          <w:szCs w:val="22"/>
        </w:rPr>
        <w:t>Cunningham</w:t>
      </w:r>
      <w:r w:rsidR="00430A6B">
        <w:rPr>
          <w:rFonts w:ascii="Arial" w:hAnsi="Arial" w:cs="Arial"/>
          <w:sz w:val="22"/>
          <w:szCs w:val="22"/>
        </w:rPr>
        <w:t xml:space="preserve"> </w:t>
      </w:r>
      <w:r w:rsidR="00424167" w:rsidRPr="00424167">
        <w:rPr>
          <w:rFonts w:ascii="Arial" w:hAnsi="Arial" w:cs="Arial"/>
          <w:i/>
          <w:iCs/>
          <w:sz w:val="22"/>
          <w:szCs w:val="22"/>
        </w:rPr>
        <w:t>et al</w:t>
      </w:r>
      <w:r w:rsidR="00430A6B">
        <w:rPr>
          <w:rFonts w:ascii="Arial" w:hAnsi="Arial" w:cs="Arial"/>
          <w:sz w:val="22"/>
          <w:szCs w:val="22"/>
        </w:rPr>
        <w:t>.,</w:t>
      </w:r>
      <w:r w:rsidR="00430A6B" w:rsidRPr="006D4DA8">
        <w:rPr>
          <w:rFonts w:ascii="Arial" w:hAnsi="Arial" w:cs="Arial"/>
          <w:sz w:val="22"/>
          <w:szCs w:val="22"/>
        </w:rPr>
        <w:t xml:space="preserve"> 2022</w:t>
      </w:r>
      <w:r w:rsidR="00430A6B">
        <w:rPr>
          <w:rFonts w:ascii="Arial" w:hAnsi="Arial" w:cs="Arial"/>
          <w:sz w:val="22"/>
          <w:szCs w:val="22"/>
        </w:rPr>
        <w:t>)</w:t>
      </w:r>
      <w:r w:rsidR="00417AA9" w:rsidRPr="00B250A0">
        <w:rPr>
          <w:rFonts w:ascii="Arial" w:hAnsi="Arial" w:cs="Arial"/>
          <w:sz w:val="22"/>
          <w:szCs w:val="22"/>
        </w:rPr>
        <w:t>.</w:t>
      </w:r>
      <w:r w:rsidR="00DB78E4">
        <w:rPr>
          <w:rFonts w:ascii="Arial" w:hAnsi="Arial" w:cs="Arial"/>
          <w:sz w:val="22"/>
          <w:szCs w:val="22"/>
        </w:rPr>
        <w:t xml:space="preserve"> </w:t>
      </w:r>
      <w:r w:rsidR="004B3052">
        <w:rPr>
          <w:rFonts w:ascii="Arial" w:hAnsi="Arial" w:cs="Arial"/>
          <w:sz w:val="22"/>
          <w:szCs w:val="22"/>
          <w:lang w:val="en-GB"/>
        </w:rPr>
        <w:t>Th</w:t>
      </w:r>
      <w:r w:rsidR="001164C2">
        <w:rPr>
          <w:rFonts w:ascii="Arial" w:hAnsi="Arial" w:cs="Arial"/>
          <w:sz w:val="22"/>
          <w:szCs w:val="22"/>
          <w:lang w:val="en-GB"/>
        </w:rPr>
        <w:t>e abundance of the microplastics</w:t>
      </w:r>
      <w:r w:rsidR="004B3052">
        <w:rPr>
          <w:rFonts w:ascii="Arial" w:hAnsi="Arial" w:cs="Arial"/>
          <w:sz w:val="22"/>
          <w:szCs w:val="22"/>
          <w:lang w:val="en-GB"/>
        </w:rPr>
        <w:t xml:space="preserve"> </w:t>
      </w:r>
      <w:r w:rsidR="00613667" w:rsidRPr="0085730F">
        <w:rPr>
          <w:rFonts w:ascii="Arial" w:hAnsi="Arial" w:cs="Arial"/>
          <w:sz w:val="22"/>
          <w:szCs w:val="22"/>
          <w:lang w:val="en-GB"/>
        </w:rPr>
        <w:t>is largely due to the mismatch between the plastic waste generated and efficien</w:t>
      </w:r>
      <w:r w:rsidR="009056CF">
        <w:rPr>
          <w:rFonts w:ascii="Arial" w:hAnsi="Arial" w:cs="Arial"/>
          <w:sz w:val="22"/>
          <w:szCs w:val="22"/>
          <w:lang w:val="en-GB"/>
        </w:rPr>
        <w:t xml:space="preserve">t </w:t>
      </w:r>
      <w:r w:rsidR="00613667" w:rsidRPr="0085730F">
        <w:rPr>
          <w:rFonts w:ascii="Arial" w:hAnsi="Arial" w:cs="Arial"/>
          <w:sz w:val="22"/>
          <w:szCs w:val="22"/>
          <w:lang w:val="en-GB"/>
        </w:rPr>
        <w:t>waste management systems (</w:t>
      </w:r>
      <w:r w:rsidR="009530DE" w:rsidRPr="00DB78E4">
        <w:rPr>
          <w:rFonts w:ascii="Arial" w:hAnsi="Arial" w:cs="Arial"/>
          <w:sz w:val="22"/>
          <w:szCs w:val="22"/>
        </w:rPr>
        <w:t>McCombie</w:t>
      </w:r>
      <w:r w:rsidR="009530DE">
        <w:rPr>
          <w:rFonts w:ascii="Arial" w:hAnsi="Arial" w:cs="Arial"/>
          <w:sz w:val="22"/>
          <w:szCs w:val="22"/>
        </w:rPr>
        <w:t xml:space="preserve"> </w:t>
      </w:r>
      <w:r w:rsidR="00424167" w:rsidRPr="00424167">
        <w:rPr>
          <w:rFonts w:ascii="Arial" w:hAnsi="Arial" w:cs="Arial"/>
          <w:i/>
          <w:iCs/>
          <w:sz w:val="22"/>
          <w:szCs w:val="22"/>
        </w:rPr>
        <w:t>et al</w:t>
      </w:r>
      <w:r w:rsidR="009530DE">
        <w:rPr>
          <w:rFonts w:ascii="Arial" w:hAnsi="Arial" w:cs="Arial"/>
          <w:sz w:val="22"/>
          <w:szCs w:val="22"/>
        </w:rPr>
        <w:t>., 2016;</w:t>
      </w:r>
      <w:r w:rsidR="009530DE">
        <w:rPr>
          <w:rFonts w:ascii="Arial" w:hAnsi="Arial" w:cs="Arial"/>
          <w:sz w:val="22"/>
          <w:szCs w:val="22"/>
          <w:lang w:val="en-GB"/>
        </w:rPr>
        <w:t xml:space="preserve"> </w:t>
      </w:r>
      <w:r w:rsidR="009530DE" w:rsidRPr="0085730F">
        <w:rPr>
          <w:rFonts w:ascii="Arial" w:hAnsi="Arial" w:cs="Arial"/>
          <w:sz w:val="22"/>
          <w:szCs w:val="22"/>
          <w:lang w:val="en-GB"/>
        </w:rPr>
        <w:t xml:space="preserve">Imhof </w:t>
      </w:r>
      <w:r w:rsidR="00424167" w:rsidRPr="00424167">
        <w:rPr>
          <w:rFonts w:ascii="Arial" w:hAnsi="Arial" w:cs="Arial"/>
          <w:i/>
          <w:iCs/>
          <w:sz w:val="22"/>
          <w:szCs w:val="22"/>
          <w:lang w:val="en-GB"/>
        </w:rPr>
        <w:t>et al</w:t>
      </w:r>
      <w:r w:rsidR="009530DE" w:rsidRPr="0085730F">
        <w:rPr>
          <w:rFonts w:ascii="Arial" w:hAnsi="Arial" w:cs="Arial"/>
          <w:sz w:val="22"/>
          <w:szCs w:val="22"/>
          <w:lang w:val="en-GB"/>
        </w:rPr>
        <w:t xml:space="preserve">., 2016; Horton </w:t>
      </w:r>
      <w:r w:rsidR="00424167" w:rsidRPr="00424167">
        <w:rPr>
          <w:rFonts w:ascii="Arial" w:hAnsi="Arial" w:cs="Arial"/>
          <w:i/>
          <w:iCs/>
          <w:sz w:val="22"/>
          <w:szCs w:val="22"/>
          <w:lang w:val="en-GB"/>
        </w:rPr>
        <w:t>et al</w:t>
      </w:r>
      <w:r w:rsidR="009530DE" w:rsidRPr="0085730F">
        <w:rPr>
          <w:rFonts w:ascii="Arial" w:hAnsi="Arial" w:cs="Arial"/>
          <w:sz w:val="22"/>
          <w:szCs w:val="22"/>
          <w:lang w:val="en-GB"/>
        </w:rPr>
        <w:t xml:space="preserve">., 2017; Li </w:t>
      </w:r>
      <w:r w:rsidR="00424167" w:rsidRPr="00424167">
        <w:rPr>
          <w:rFonts w:ascii="Arial" w:hAnsi="Arial" w:cs="Arial"/>
          <w:i/>
          <w:iCs/>
          <w:sz w:val="22"/>
          <w:szCs w:val="22"/>
          <w:lang w:val="en-GB"/>
        </w:rPr>
        <w:t>et al</w:t>
      </w:r>
      <w:r w:rsidR="009530DE" w:rsidRPr="0085730F">
        <w:rPr>
          <w:rFonts w:ascii="Arial" w:hAnsi="Arial" w:cs="Arial"/>
          <w:sz w:val="22"/>
          <w:szCs w:val="22"/>
          <w:lang w:val="en-GB"/>
        </w:rPr>
        <w:t>., 2020</w:t>
      </w:r>
      <w:r w:rsidR="009530DE">
        <w:rPr>
          <w:rFonts w:ascii="Arial" w:hAnsi="Arial" w:cs="Arial"/>
          <w:sz w:val="22"/>
          <w:szCs w:val="22"/>
          <w:lang w:val="en-GB"/>
        </w:rPr>
        <w:t xml:space="preserve">; </w:t>
      </w:r>
      <w:r w:rsidR="009530DE" w:rsidRPr="0085730F">
        <w:rPr>
          <w:rFonts w:ascii="Arial" w:hAnsi="Arial" w:cs="Arial"/>
          <w:sz w:val="22"/>
          <w:szCs w:val="22"/>
          <w:lang w:val="en-GB"/>
        </w:rPr>
        <w:t xml:space="preserve">Zarus </w:t>
      </w:r>
      <w:r w:rsidR="00424167" w:rsidRPr="00424167">
        <w:rPr>
          <w:rFonts w:ascii="Arial" w:hAnsi="Arial" w:cs="Arial"/>
          <w:i/>
          <w:iCs/>
          <w:sz w:val="22"/>
          <w:szCs w:val="22"/>
          <w:lang w:val="en-GB"/>
        </w:rPr>
        <w:t>et al</w:t>
      </w:r>
      <w:r w:rsidR="009530DE" w:rsidRPr="0085730F">
        <w:rPr>
          <w:rFonts w:ascii="Arial" w:hAnsi="Arial" w:cs="Arial"/>
          <w:sz w:val="22"/>
          <w:szCs w:val="22"/>
          <w:lang w:val="en-GB"/>
        </w:rPr>
        <w:t xml:space="preserve">., 2021; </w:t>
      </w:r>
      <w:r w:rsidR="009530DE" w:rsidRPr="00F8567E">
        <w:rPr>
          <w:rFonts w:ascii="Arial" w:hAnsi="Arial" w:cs="Arial"/>
          <w:sz w:val="22"/>
          <w:szCs w:val="22"/>
          <w:lang w:val="en-GB"/>
        </w:rPr>
        <w:t xml:space="preserve">Zimmermann </w:t>
      </w:r>
      <w:r w:rsidR="00424167" w:rsidRPr="00424167">
        <w:rPr>
          <w:rFonts w:ascii="Arial" w:hAnsi="Arial" w:cs="Arial"/>
          <w:i/>
          <w:iCs/>
          <w:sz w:val="22"/>
          <w:szCs w:val="22"/>
          <w:lang w:val="en-GB"/>
        </w:rPr>
        <w:t>et al</w:t>
      </w:r>
      <w:r w:rsidR="009530DE" w:rsidRPr="00F8567E">
        <w:rPr>
          <w:rFonts w:ascii="Arial" w:hAnsi="Arial" w:cs="Arial"/>
          <w:sz w:val="22"/>
          <w:szCs w:val="22"/>
          <w:lang w:val="en-GB"/>
        </w:rPr>
        <w:t>., 2021</w:t>
      </w:r>
      <w:r w:rsidR="009530DE">
        <w:rPr>
          <w:rFonts w:ascii="Arial" w:hAnsi="Arial" w:cs="Arial"/>
          <w:sz w:val="22"/>
          <w:szCs w:val="22"/>
          <w:lang w:val="en-GB"/>
        </w:rPr>
        <w:t xml:space="preserve">; </w:t>
      </w:r>
      <w:r w:rsidR="009530DE" w:rsidRPr="0085730F">
        <w:rPr>
          <w:rFonts w:ascii="Arial" w:hAnsi="Arial" w:cs="Arial"/>
          <w:sz w:val="22"/>
          <w:szCs w:val="22"/>
          <w:lang w:val="en-GB"/>
        </w:rPr>
        <w:t xml:space="preserve">Ziani </w:t>
      </w:r>
      <w:r w:rsidR="00424167" w:rsidRPr="00424167">
        <w:rPr>
          <w:rFonts w:ascii="Arial" w:hAnsi="Arial" w:cs="Arial"/>
          <w:i/>
          <w:iCs/>
          <w:sz w:val="22"/>
          <w:szCs w:val="22"/>
          <w:lang w:val="en-GB"/>
        </w:rPr>
        <w:t>et al</w:t>
      </w:r>
      <w:r w:rsidR="009530DE" w:rsidRPr="0085730F">
        <w:rPr>
          <w:rFonts w:ascii="Arial" w:hAnsi="Arial" w:cs="Arial"/>
          <w:sz w:val="22"/>
          <w:szCs w:val="22"/>
          <w:lang w:val="en-GB"/>
        </w:rPr>
        <w:t>., 2023</w:t>
      </w:r>
      <w:r w:rsidR="009530DE">
        <w:rPr>
          <w:rFonts w:ascii="Arial" w:hAnsi="Arial" w:cs="Arial"/>
          <w:sz w:val="22"/>
          <w:szCs w:val="22"/>
          <w:lang w:val="en-GB"/>
        </w:rPr>
        <w:t xml:space="preserve">; </w:t>
      </w:r>
      <w:r w:rsidR="00613667" w:rsidRPr="0085730F">
        <w:rPr>
          <w:rFonts w:ascii="Arial" w:hAnsi="Arial" w:cs="Arial"/>
          <w:sz w:val="22"/>
          <w:szCs w:val="22"/>
          <w:lang w:val="en-GB"/>
        </w:rPr>
        <w:t xml:space="preserve">Rajvanshi </w:t>
      </w:r>
      <w:r w:rsidR="00424167" w:rsidRPr="00424167">
        <w:rPr>
          <w:rFonts w:ascii="Arial" w:hAnsi="Arial" w:cs="Arial"/>
          <w:i/>
          <w:iCs/>
          <w:sz w:val="22"/>
          <w:szCs w:val="22"/>
          <w:lang w:val="en-GB"/>
        </w:rPr>
        <w:t>et al</w:t>
      </w:r>
      <w:r w:rsidR="00613667" w:rsidRPr="0085730F">
        <w:rPr>
          <w:rFonts w:ascii="Arial" w:hAnsi="Arial" w:cs="Arial"/>
          <w:sz w:val="22"/>
          <w:szCs w:val="22"/>
          <w:lang w:val="en-GB"/>
        </w:rPr>
        <w:t>., 2024).</w:t>
      </w:r>
    </w:p>
    <w:p w14:paraId="66C80745" w14:textId="0C9ADC31" w:rsidR="00B778C7" w:rsidRDefault="0064407D" w:rsidP="00B9492F">
      <w:pPr>
        <w:spacing w:line="360" w:lineRule="auto"/>
        <w:ind w:firstLine="720"/>
        <w:jc w:val="both"/>
        <w:rPr>
          <w:rFonts w:ascii="Arial" w:hAnsi="Arial" w:cs="Arial"/>
          <w:sz w:val="22"/>
          <w:szCs w:val="22"/>
          <w:lang w:val="en-GB"/>
        </w:rPr>
      </w:pPr>
      <w:r>
        <w:rPr>
          <w:rFonts w:ascii="Arial" w:hAnsi="Arial" w:cs="Arial"/>
          <w:sz w:val="22"/>
          <w:szCs w:val="22"/>
        </w:rPr>
        <w:t>P</w:t>
      </w:r>
      <w:r w:rsidR="00512219" w:rsidRPr="00512219">
        <w:rPr>
          <w:rFonts w:ascii="Arial" w:hAnsi="Arial" w:cs="Arial"/>
          <w:sz w:val="22"/>
          <w:szCs w:val="22"/>
        </w:rPr>
        <w:t xml:space="preserve">lastics </w:t>
      </w:r>
      <w:r>
        <w:rPr>
          <w:rFonts w:ascii="Arial" w:hAnsi="Arial" w:cs="Arial"/>
          <w:sz w:val="22"/>
          <w:szCs w:val="22"/>
        </w:rPr>
        <w:t xml:space="preserve">are grouped </w:t>
      </w:r>
      <w:r w:rsidR="00512219">
        <w:rPr>
          <w:rFonts w:ascii="Arial" w:hAnsi="Arial" w:cs="Arial"/>
          <w:sz w:val="22"/>
          <w:szCs w:val="22"/>
        </w:rPr>
        <w:t>into</w:t>
      </w:r>
      <w:r w:rsidR="00512219" w:rsidRPr="00512219">
        <w:rPr>
          <w:rFonts w:ascii="Arial" w:hAnsi="Arial" w:cs="Arial"/>
          <w:sz w:val="22"/>
          <w:szCs w:val="22"/>
        </w:rPr>
        <w:t xml:space="preserve"> Polyethyelene (PE), Polypropylene (PP), Polystyrene (PS), Poly</w:t>
      </w:r>
      <w:r w:rsidR="00512219">
        <w:rPr>
          <w:rFonts w:ascii="Arial" w:hAnsi="Arial" w:cs="Arial"/>
          <w:sz w:val="22"/>
          <w:szCs w:val="22"/>
        </w:rPr>
        <w:t xml:space="preserve"> </w:t>
      </w:r>
      <w:r w:rsidR="00512219" w:rsidRPr="00512219">
        <w:rPr>
          <w:rFonts w:ascii="Arial" w:hAnsi="Arial" w:cs="Arial"/>
          <w:sz w:val="22"/>
          <w:szCs w:val="22"/>
        </w:rPr>
        <w:t xml:space="preserve">(ethylene terephthalate) (PET); and </w:t>
      </w:r>
      <w:r w:rsidR="005B493E" w:rsidRPr="00512219">
        <w:rPr>
          <w:rFonts w:ascii="Arial" w:hAnsi="Arial" w:cs="Arial"/>
          <w:sz w:val="22"/>
          <w:szCs w:val="22"/>
        </w:rPr>
        <w:t xml:space="preserve">Poly </w:t>
      </w:r>
      <w:r w:rsidR="00512219" w:rsidRPr="00512219">
        <w:rPr>
          <w:rFonts w:ascii="Arial" w:hAnsi="Arial" w:cs="Arial"/>
          <w:sz w:val="22"/>
          <w:szCs w:val="22"/>
        </w:rPr>
        <w:t>vinyl chloride (PVC)</w:t>
      </w:r>
      <w:r w:rsidR="00512219">
        <w:rPr>
          <w:rFonts w:ascii="Arial" w:hAnsi="Arial" w:cs="Arial"/>
          <w:sz w:val="22"/>
          <w:szCs w:val="22"/>
          <w:lang w:val="en-GB"/>
        </w:rPr>
        <w:t xml:space="preserve"> (Andrade, 2011</w:t>
      </w:r>
      <w:r w:rsidR="006D4DA8">
        <w:rPr>
          <w:rFonts w:ascii="Arial" w:hAnsi="Arial" w:cs="Arial"/>
          <w:sz w:val="22"/>
          <w:szCs w:val="22"/>
          <w:lang w:val="en-GB"/>
        </w:rPr>
        <w:t xml:space="preserve">; </w:t>
      </w:r>
      <w:r w:rsidR="006D4DA8" w:rsidRPr="006D4DA8">
        <w:rPr>
          <w:rFonts w:ascii="Arial" w:hAnsi="Arial" w:cs="Arial"/>
          <w:sz w:val="22"/>
          <w:szCs w:val="22"/>
        </w:rPr>
        <w:t>Cunningham</w:t>
      </w:r>
      <w:r w:rsidR="006D4DA8">
        <w:rPr>
          <w:rFonts w:ascii="Arial" w:hAnsi="Arial" w:cs="Arial"/>
          <w:sz w:val="22"/>
          <w:szCs w:val="22"/>
        </w:rPr>
        <w:t xml:space="preserve"> </w:t>
      </w:r>
      <w:r w:rsidR="00424167" w:rsidRPr="00424167">
        <w:rPr>
          <w:rFonts w:ascii="Arial" w:hAnsi="Arial" w:cs="Arial"/>
          <w:i/>
          <w:iCs/>
          <w:sz w:val="22"/>
          <w:szCs w:val="22"/>
        </w:rPr>
        <w:t>et al</w:t>
      </w:r>
      <w:r w:rsidR="006D4DA8">
        <w:rPr>
          <w:rFonts w:ascii="Arial" w:hAnsi="Arial" w:cs="Arial"/>
          <w:sz w:val="22"/>
          <w:szCs w:val="22"/>
        </w:rPr>
        <w:t>.,</w:t>
      </w:r>
      <w:r w:rsidR="006D4DA8" w:rsidRPr="006D4DA8">
        <w:rPr>
          <w:rFonts w:ascii="Arial" w:hAnsi="Arial" w:cs="Arial"/>
          <w:sz w:val="22"/>
          <w:szCs w:val="22"/>
        </w:rPr>
        <w:t xml:space="preserve"> 2022</w:t>
      </w:r>
      <w:r w:rsidR="00512219">
        <w:rPr>
          <w:rFonts w:ascii="Arial" w:hAnsi="Arial" w:cs="Arial"/>
          <w:sz w:val="22"/>
          <w:szCs w:val="22"/>
          <w:lang w:val="en-GB"/>
        </w:rPr>
        <w:t>)</w:t>
      </w:r>
      <w:r w:rsidR="00115886" w:rsidRPr="00B25D72">
        <w:rPr>
          <w:rFonts w:ascii="Arial" w:hAnsi="Arial" w:cs="Arial"/>
          <w:sz w:val="22"/>
          <w:szCs w:val="22"/>
          <w:lang w:val="en-GB"/>
        </w:rPr>
        <w:t>.</w:t>
      </w:r>
      <w:r w:rsidR="005B493E">
        <w:rPr>
          <w:rFonts w:ascii="Arial" w:hAnsi="Arial" w:cs="Arial"/>
          <w:sz w:val="22"/>
          <w:szCs w:val="22"/>
          <w:lang w:val="en-GB"/>
        </w:rPr>
        <w:t xml:space="preserve"> </w:t>
      </w:r>
      <w:r w:rsidR="00B0534D" w:rsidRPr="00B0534D">
        <w:rPr>
          <w:rFonts w:ascii="Arial" w:hAnsi="Arial" w:cs="Arial"/>
          <w:sz w:val="22"/>
          <w:szCs w:val="22"/>
        </w:rPr>
        <w:t>Poly</w:t>
      </w:r>
      <w:r w:rsidR="00B0534D">
        <w:rPr>
          <w:rFonts w:ascii="Arial" w:hAnsi="Arial" w:cs="Arial"/>
          <w:sz w:val="22"/>
          <w:szCs w:val="22"/>
        </w:rPr>
        <w:t xml:space="preserve"> </w:t>
      </w:r>
      <w:r w:rsidR="00B0534D" w:rsidRPr="00B0534D">
        <w:rPr>
          <w:rFonts w:ascii="Arial" w:hAnsi="Arial" w:cs="Arial"/>
          <w:sz w:val="22"/>
          <w:szCs w:val="22"/>
        </w:rPr>
        <w:t>(vinyl chloride)</w:t>
      </w:r>
      <w:r>
        <w:rPr>
          <w:rFonts w:ascii="Arial" w:hAnsi="Arial" w:cs="Arial"/>
          <w:sz w:val="22"/>
          <w:szCs w:val="22"/>
        </w:rPr>
        <w:t>.</w:t>
      </w:r>
      <w:r w:rsidR="00B0534D" w:rsidRPr="00B0534D">
        <w:rPr>
          <w:rFonts w:ascii="Arial" w:hAnsi="Arial" w:cs="Arial"/>
          <w:sz w:val="22"/>
          <w:szCs w:val="22"/>
        </w:rPr>
        <w:t xml:space="preserve"> </w:t>
      </w:r>
      <w:r>
        <w:rPr>
          <w:rFonts w:ascii="Arial" w:hAnsi="Arial" w:cs="Arial"/>
          <w:sz w:val="22"/>
          <w:szCs w:val="22"/>
        </w:rPr>
        <w:t xml:space="preserve">Among these, </w:t>
      </w:r>
      <w:r w:rsidR="00B0534D" w:rsidRPr="00B0534D">
        <w:rPr>
          <w:rFonts w:ascii="Arial" w:hAnsi="Arial" w:cs="Arial"/>
          <w:sz w:val="22"/>
          <w:szCs w:val="22"/>
        </w:rPr>
        <w:t>PVC</w:t>
      </w:r>
      <w:r w:rsidR="00042765">
        <w:rPr>
          <w:rFonts w:ascii="Arial" w:hAnsi="Arial" w:cs="Arial"/>
          <w:sz w:val="22"/>
          <w:szCs w:val="22"/>
        </w:rPr>
        <w:t xml:space="preserve"> is the </w:t>
      </w:r>
      <w:r w:rsidR="00B0534D" w:rsidRPr="00B0534D">
        <w:rPr>
          <w:rFonts w:ascii="Arial" w:hAnsi="Arial" w:cs="Arial"/>
          <w:sz w:val="22"/>
          <w:szCs w:val="22"/>
        </w:rPr>
        <w:t xml:space="preserve">most </w:t>
      </w:r>
      <w:r w:rsidR="00042765">
        <w:rPr>
          <w:rFonts w:ascii="Arial" w:hAnsi="Arial" w:cs="Arial"/>
          <w:sz w:val="22"/>
          <w:szCs w:val="22"/>
        </w:rPr>
        <w:t xml:space="preserve">widely used </w:t>
      </w:r>
      <w:r w:rsidR="00B0534D" w:rsidRPr="00B0534D">
        <w:rPr>
          <w:rFonts w:ascii="Arial" w:hAnsi="Arial" w:cs="Arial"/>
          <w:sz w:val="22"/>
          <w:szCs w:val="22"/>
        </w:rPr>
        <w:t>polymer</w:t>
      </w:r>
      <w:r>
        <w:rPr>
          <w:rFonts w:ascii="Arial" w:hAnsi="Arial" w:cs="Arial"/>
          <w:sz w:val="22"/>
          <w:szCs w:val="22"/>
        </w:rPr>
        <w:t xml:space="preserve"> </w:t>
      </w:r>
      <w:r w:rsidR="00B0534D" w:rsidRPr="00B0534D">
        <w:rPr>
          <w:rFonts w:ascii="Arial" w:hAnsi="Arial" w:cs="Arial"/>
          <w:sz w:val="22"/>
          <w:szCs w:val="22"/>
        </w:rPr>
        <w:t xml:space="preserve">due to its </w:t>
      </w:r>
      <w:r w:rsidR="005B493E" w:rsidRPr="005B493E">
        <w:rPr>
          <w:rFonts w:ascii="Arial" w:hAnsi="Arial" w:cs="Arial"/>
          <w:sz w:val="22"/>
          <w:szCs w:val="22"/>
          <w:lang w:val="en-GB"/>
        </w:rPr>
        <w:t>diverse array of short- and long-term</w:t>
      </w:r>
      <w:r w:rsidR="00042765">
        <w:rPr>
          <w:rFonts w:ascii="Arial" w:hAnsi="Arial" w:cs="Arial"/>
          <w:sz w:val="22"/>
          <w:szCs w:val="22"/>
          <w:lang w:val="en-GB"/>
        </w:rPr>
        <w:t xml:space="preserve"> use,</w:t>
      </w:r>
      <w:r w:rsidR="005B493E" w:rsidRPr="005B493E">
        <w:rPr>
          <w:rFonts w:ascii="Arial" w:hAnsi="Arial" w:cs="Arial"/>
          <w:sz w:val="22"/>
          <w:szCs w:val="22"/>
          <w:lang w:val="en-GB"/>
        </w:rPr>
        <w:t xml:space="preserve"> </w:t>
      </w:r>
      <w:r w:rsidR="00464D08">
        <w:rPr>
          <w:rFonts w:ascii="Arial" w:hAnsi="Arial" w:cs="Arial"/>
          <w:sz w:val="22"/>
          <w:szCs w:val="22"/>
          <w:lang w:val="en-GB"/>
        </w:rPr>
        <w:t xml:space="preserve">low-cost, </w:t>
      </w:r>
      <w:r w:rsidR="005B493E" w:rsidRPr="005B493E">
        <w:rPr>
          <w:rFonts w:ascii="Arial" w:hAnsi="Arial" w:cs="Arial"/>
          <w:sz w:val="22"/>
          <w:szCs w:val="22"/>
          <w:lang w:val="en-GB"/>
        </w:rPr>
        <w:t>adaptability to manufacturers and users</w:t>
      </w:r>
      <w:r w:rsidR="00042765">
        <w:rPr>
          <w:rFonts w:ascii="Arial" w:hAnsi="Arial" w:cs="Arial"/>
          <w:sz w:val="22"/>
          <w:szCs w:val="22"/>
          <w:lang w:val="en-GB"/>
        </w:rPr>
        <w:t>’</w:t>
      </w:r>
      <w:r w:rsidR="00272E04">
        <w:rPr>
          <w:rFonts w:ascii="Arial" w:hAnsi="Arial" w:cs="Arial"/>
          <w:sz w:val="22"/>
          <w:szCs w:val="22"/>
          <w:lang w:val="en-GB"/>
        </w:rPr>
        <w:t xml:space="preserve"> </w:t>
      </w:r>
      <w:r w:rsidR="00042765">
        <w:rPr>
          <w:rFonts w:ascii="Arial" w:hAnsi="Arial" w:cs="Arial"/>
          <w:sz w:val="22"/>
          <w:szCs w:val="22"/>
          <w:lang w:val="en-GB"/>
        </w:rPr>
        <w:t xml:space="preserve">needs </w:t>
      </w:r>
      <w:r w:rsidR="005B493E" w:rsidRPr="00B25D72">
        <w:rPr>
          <w:rFonts w:ascii="Arial" w:hAnsi="Arial" w:cs="Arial"/>
          <w:sz w:val="22"/>
          <w:szCs w:val="22"/>
          <w:lang w:val="en-GB"/>
        </w:rPr>
        <w:t xml:space="preserve">(Makris </w:t>
      </w:r>
      <w:r w:rsidR="00424167" w:rsidRPr="00424167">
        <w:rPr>
          <w:rFonts w:ascii="Arial" w:hAnsi="Arial" w:cs="Arial"/>
          <w:i/>
          <w:iCs/>
          <w:sz w:val="22"/>
          <w:szCs w:val="22"/>
          <w:lang w:val="en-GB"/>
        </w:rPr>
        <w:t>et al</w:t>
      </w:r>
      <w:r w:rsidR="005B493E" w:rsidRPr="00B25D72">
        <w:rPr>
          <w:rFonts w:ascii="Arial" w:hAnsi="Arial" w:cs="Arial"/>
          <w:sz w:val="22"/>
          <w:szCs w:val="22"/>
          <w:lang w:val="en-GB"/>
        </w:rPr>
        <w:t>., 2020</w:t>
      </w:r>
      <w:r w:rsidR="005B493E">
        <w:rPr>
          <w:rFonts w:ascii="Arial" w:hAnsi="Arial" w:cs="Arial"/>
          <w:sz w:val="22"/>
          <w:szCs w:val="22"/>
          <w:lang w:val="en-GB"/>
        </w:rPr>
        <w:t xml:space="preserve">; </w:t>
      </w:r>
      <w:r w:rsidR="005B493E" w:rsidRPr="00B25D72">
        <w:rPr>
          <w:rFonts w:ascii="Arial" w:hAnsi="Arial" w:cs="Arial"/>
          <w:sz w:val="22"/>
          <w:szCs w:val="22"/>
          <w:lang w:val="en-GB"/>
        </w:rPr>
        <w:t xml:space="preserve">Zhang </w:t>
      </w:r>
      <w:r w:rsidR="00424167" w:rsidRPr="00424167">
        <w:rPr>
          <w:rFonts w:ascii="Arial" w:hAnsi="Arial" w:cs="Arial"/>
          <w:i/>
          <w:iCs/>
          <w:sz w:val="22"/>
          <w:szCs w:val="22"/>
          <w:lang w:val="en-GB"/>
        </w:rPr>
        <w:t>et al</w:t>
      </w:r>
      <w:r w:rsidR="005B493E" w:rsidRPr="00B25D72">
        <w:rPr>
          <w:rFonts w:ascii="Arial" w:hAnsi="Arial" w:cs="Arial"/>
          <w:sz w:val="22"/>
          <w:szCs w:val="22"/>
          <w:lang w:val="en-GB"/>
        </w:rPr>
        <w:t>., 2020</w:t>
      </w:r>
      <w:r w:rsidR="005B493E">
        <w:rPr>
          <w:rFonts w:ascii="Arial" w:hAnsi="Arial" w:cs="Arial"/>
          <w:sz w:val="22"/>
          <w:szCs w:val="22"/>
          <w:lang w:val="en-GB"/>
        </w:rPr>
        <w:t>;</w:t>
      </w:r>
      <w:r w:rsidR="005B493E" w:rsidRPr="005B493E">
        <w:rPr>
          <w:rFonts w:ascii="Arial" w:hAnsi="Arial" w:cs="Arial"/>
          <w:sz w:val="22"/>
          <w:szCs w:val="22"/>
          <w:lang w:val="en-GB"/>
        </w:rPr>
        <w:t xml:space="preserve"> </w:t>
      </w:r>
      <w:r w:rsidR="005B493E" w:rsidRPr="00B25D72">
        <w:rPr>
          <w:rFonts w:ascii="Arial" w:hAnsi="Arial" w:cs="Arial"/>
          <w:sz w:val="22"/>
          <w:szCs w:val="22"/>
          <w:lang w:val="en-GB"/>
        </w:rPr>
        <w:t>Lewandowski &amp; Skórczewska, 2022</w:t>
      </w:r>
      <w:r w:rsidR="00B9492F">
        <w:rPr>
          <w:rFonts w:ascii="Arial" w:hAnsi="Arial" w:cs="Arial"/>
          <w:sz w:val="22"/>
          <w:szCs w:val="22"/>
          <w:lang w:val="en-GB"/>
        </w:rPr>
        <w:t>;</w:t>
      </w:r>
      <w:r w:rsidR="005B493E">
        <w:rPr>
          <w:rFonts w:ascii="Arial" w:hAnsi="Arial" w:cs="Arial"/>
          <w:sz w:val="22"/>
          <w:szCs w:val="22"/>
          <w:lang w:val="en-GB"/>
        </w:rPr>
        <w:t xml:space="preserve"> </w:t>
      </w:r>
      <w:r w:rsidR="005B493E" w:rsidRPr="00B25D72">
        <w:rPr>
          <w:rFonts w:ascii="Arial" w:hAnsi="Arial" w:cs="Arial"/>
          <w:sz w:val="22"/>
          <w:szCs w:val="22"/>
          <w:lang w:val="en-GB"/>
        </w:rPr>
        <w:t xml:space="preserve">Amobonye </w:t>
      </w:r>
      <w:r w:rsidR="00424167" w:rsidRPr="00424167">
        <w:rPr>
          <w:rFonts w:ascii="Arial" w:hAnsi="Arial" w:cs="Arial"/>
          <w:i/>
          <w:iCs/>
          <w:sz w:val="22"/>
          <w:szCs w:val="22"/>
          <w:lang w:val="en-GB"/>
        </w:rPr>
        <w:t>et al</w:t>
      </w:r>
      <w:r w:rsidR="005B493E" w:rsidRPr="00B25D72">
        <w:rPr>
          <w:rFonts w:ascii="Arial" w:hAnsi="Arial" w:cs="Arial"/>
          <w:sz w:val="22"/>
          <w:szCs w:val="22"/>
          <w:lang w:val="en-GB"/>
        </w:rPr>
        <w:t xml:space="preserve">., 2023; Chen </w:t>
      </w:r>
      <w:r w:rsidR="00424167" w:rsidRPr="00424167">
        <w:rPr>
          <w:rFonts w:ascii="Arial" w:hAnsi="Arial" w:cs="Arial"/>
          <w:i/>
          <w:iCs/>
          <w:sz w:val="22"/>
          <w:szCs w:val="22"/>
          <w:lang w:val="en-GB"/>
        </w:rPr>
        <w:t>et al</w:t>
      </w:r>
      <w:r w:rsidR="005B493E" w:rsidRPr="00B25D72">
        <w:rPr>
          <w:rFonts w:ascii="Arial" w:hAnsi="Arial" w:cs="Arial"/>
          <w:sz w:val="22"/>
          <w:szCs w:val="22"/>
          <w:lang w:val="en-GB"/>
        </w:rPr>
        <w:t>., 2024</w:t>
      </w:r>
      <w:r w:rsidR="005B493E">
        <w:rPr>
          <w:rFonts w:ascii="Arial" w:hAnsi="Arial" w:cs="Arial"/>
          <w:sz w:val="22"/>
          <w:szCs w:val="22"/>
          <w:lang w:val="en-GB"/>
        </w:rPr>
        <w:t xml:space="preserve">; </w:t>
      </w:r>
      <w:r w:rsidR="005B493E" w:rsidRPr="00B25D72">
        <w:rPr>
          <w:rFonts w:ascii="Arial" w:hAnsi="Arial" w:cs="Arial"/>
          <w:sz w:val="22"/>
          <w:szCs w:val="22"/>
          <w:lang w:val="en-GB"/>
        </w:rPr>
        <w:t xml:space="preserve">Xiu </w:t>
      </w:r>
      <w:r w:rsidR="00424167" w:rsidRPr="00424167">
        <w:rPr>
          <w:rFonts w:ascii="Arial" w:hAnsi="Arial" w:cs="Arial"/>
          <w:i/>
          <w:iCs/>
          <w:sz w:val="22"/>
          <w:szCs w:val="22"/>
          <w:lang w:val="en-GB"/>
        </w:rPr>
        <w:t>et al</w:t>
      </w:r>
      <w:r w:rsidR="005B493E" w:rsidRPr="00B25D72">
        <w:rPr>
          <w:rFonts w:ascii="Arial" w:hAnsi="Arial" w:cs="Arial"/>
          <w:sz w:val="22"/>
          <w:szCs w:val="22"/>
          <w:lang w:val="en-GB"/>
        </w:rPr>
        <w:t>., 2024</w:t>
      </w:r>
      <w:r w:rsidR="005B493E">
        <w:rPr>
          <w:rFonts w:ascii="Arial" w:hAnsi="Arial" w:cs="Arial"/>
          <w:sz w:val="22"/>
          <w:szCs w:val="22"/>
          <w:lang w:val="en-GB"/>
        </w:rPr>
        <w:t>).</w:t>
      </w:r>
      <w:r w:rsidR="00B9492F">
        <w:rPr>
          <w:rFonts w:ascii="Arial" w:hAnsi="Arial" w:cs="Arial"/>
          <w:sz w:val="22"/>
          <w:szCs w:val="22"/>
          <w:lang w:val="en-GB"/>
        </w:rPr>
        <w:t xml:space="preserve"> Conversely, PVC production and </w:t>
      </w:r>
      <w:r w:rsidR="00042765">
        <w:rPr>
          <w:rFonts w:ascii="Arial" w:hAnsi="Arial" w:cs="Arial"/>
          <w:sz w:val="22"/>
          <w:szCs w:val="22"/>
          <w:lang w:val="en-GB"/>
        </w:rPr>
        <w:t xml:space="preserve">use emits </w:t>
      </w:r>
      <w:r w:rsidR="00B9492F" w:rsidRPr="000E3DAF">
        <w:rPr>
          <w:rFonts w:ascii="Arial" w:hAnsi="Arial" w:cs="Arial"/>
          <w:sz w:val="22"/>
          <w:szCs w:val="22"/>
          <w:lang w:val="en-GB"/>
        </w:rPr>
        <w:t>hydrogen chloride and dioxins, among other highly toxic and carcinogenic chemicals</w:t>
      </w:r>
      <w:r w:rsidR="00F12269">
        <w:rPr>
          <w:rFonts w:ascii="Arial" w:hAnsi="Arial" w:cs="Arial"/>
          <w:sz w:val="22"/>
          <w:szCs w:val="22"/>
          <w:lang w:val="en-GB"/>
        </w:rPr>
        <w:t xml:space="preserve"> </w:t>
      </w:r>
      <w:r w:rsidR="00042765">
        <w:rPr>
          <w:rFonts w:ascii="Arial" w:hAnsi="Arial" w:cs="Arial"/>
          <w:sz w:val="22"/>
          <w:szCs w:val="22"/>
          <w:lang w:val="en-GB"/>
        </w:rPr>
        <w:t xml:space="preserve">that </w:t>
      </w:r>
      <w:r w:rsidR="00F12269">
        <w:rPr>
          <w:rFonts w:ascii="Arial" w:hAnsi="Arial" w:cs="Arial"/>
          <w:sz w:val="22"/>
          <w:szCs w:val="22"/>
          <w:lang w:val="en-GB"/>
        </w:rPr>
        <w:t xml:space="preserve">have </w:t>
      </w:r>
      <w:r w:rsidR="00042765">
        <w:rPr>
          <w:rFonts w:ascii="Arial" w:hAnsi="Arial" w:cs="Arial"/>
          <w:sz w:val="22"/>
          <w:szCs w:val="22"/>
          <w:lang w:val="en-GB"/>
        </w:rPr>
        <w:t xml:space="preserve">been </w:t>
      </w:r>
      <w:r w:rsidR="00F12269">
        <w:rPr>
          <w:rFonts w:ascii="Arial" w:hAnsi="Arial" w:cs="Arial"/>
          <w:sz w:val="22"/>
          <w:szCs w:val="22"/>
          <w:lang w:val="en-GB"/>
        </w:rPr>
        <w:t>demonstrated</w:t>
      </w:r>
      <w:r w:rsidR="00741205">
        <w:rPr>
          <w:rFonts w:ascii="Arial" w:hAnsi="Arial" w:cs="Arial"/>
          <w:sz w:val="22"/>
          <w:szCs w:val="22"/>
          <w:lang w:val="en-GB"/>
        </w:rPr>
        <w:t xml:space="preserve"> to induce </w:t>
      </w:r>
      <w:r w:rsidR="00741205">
        <w:rPr>
          <w:rFonts w:ascii="Arial" w:hAnsi="Arial" w:cs="Arial"/>
          <w:sz w:val="22"/>
          <w:szCs w:val="22"/>
        </w:rPr>
        <w:t xml:space="preserve">multisystemic </w:t>
      </w:r>
      <w:r>
        <w:rPr>
          <w:rFonts w:ascii="Arial" w:hAnsi="Arial" w:cs="Arial"/>
          <w:sz w:val="22"/>
          <w:szCs w:val="22"/>
        </w:rPr>
        <w:t>toxicity in</w:t>
      </w:r>
      <w:r w:rsidR="00741205">
        <w:rPr>
          <w:rFonts w:ascii="Arial" w:hAnsi="Arial" w:cs="Arial"/>
          <w:sz w:val="22"/>
          <w:szCs w:val="22"/>
        </w:rPr>
        <w:t xml:space="preserve"> rats, guinea pig and </w:t>
      </w:r>
      <w:r w:rsidR="00042765">
        <w:rPr>
          <w:rFonts w:ascii="Arial" w:hAnsi="Arial" w:cs="Arial"/>
          <w:sz w:val="22"/>
          <w:szCs w:val="22"/>
        </w:rPr>
        <w:t xml:space="preserve">liver </w:t>
      </w:r>
      <w:r w:rsidR="00741205">
        <w:rPr>
          <w:rFonts w:ascii="Arial" w:hAnsi="Arial" w:cs="Arial"/>
          <w:sz w:val="22"/>
          <w:szCs w:val="22"/>
        </w:rPr>
        <w:t>angiosarcoma in humans (</w:t>
      </w:r>
      <w:r w:rsidR="00741205" w:rsidRPr="00F438A0">
        <w:rPr>
          <w:rFonts w:ascii="Arial" w:hAnsi="Arial" w:cs="Arial"/>
          <w:sz w:val="22"/>
          <w:szCs w:val="22"/>
        </w:rPr>
        <w:t>Wagoner, 1983</w:t>
      </w:r>
      <w:r w:rsidR="00741205">
        <w:rPr>
          <w:rFonts w:ascii="Arial" w:hAnsi="Arial" w:cs="Arial"/>
          <w:sz w:val="22"/>
          <w:szCs w:val="22"/>
        </w:rPr>
        <w:t xml:space="preserve">; </w:t>
      </w:r>
      <w:r w:rsidR="00613667" w:rsidRPr="00B25D72">
        <w:rPr>
          <w:rFonts w:ascii="Arial" w:hAnsi="Arial" w:cs="Arial"/>
          <w:sz w:val="22"/>
          <w:szCs w:val="22"/>
          <w:lang w:val="en-GB"/>
        </w:rPr>
        <w:t xml:space="preserve">Tickner </w:t>
      </w:r>
      <w:r w:rsidR="00424167" w:rsidRPr="00424167">
        <w:rPr>
          <w:rFonts w:ascii="Arial" w:hAnsi="Arial" w:cs="Arial"/>
          <w:i/>
          <w:iCs/>
          <w:sz w:val="22"/>
          <w:szCs w:val="22"/>
          <w:lang w:val="en-GB"/>
        </w:rPr>
        <w:t>et al</w:t>
      </w:r>
      <w:r w:rsidR="00613667" w:rsidRPr="00B25D72">
        <w:rPr>
          <w:rFonts w:ascii="Arial" w:hAnsi="Arial" w:cs="Arial"/>
          <w:sz w:val="22"/>
          <w:szCs w:val="22"/>
          <w:lang w:val="en-GB"/>
        </w:rPr>
        <w:t xml:space="preserve">., 2001; Isobe </w:t>
      </w:r>
      <w:r w:rsidR="00424167" w:rsidRPr="00424167">
        <w:rPr>
          <w:rFonts w:ascii="Arial" w:hAnsi="Arial" w:cs="Arial"/>
          <w:i/>
          <w:iCs/>
          <w:sz w:val="22"/>
          <w:szCs w:val="22"/>
          <w:lang w:val="en-GB"/>
        </w:rPr>
        <w:t>et al</w:t>
      </w:r>
      <w:r w:rsidR="00613667" w:rsidRPr="00B25D72">
        <w:rPr>
          <w:rFonts w:ascii="Arial" w:hAnsi="Arial" w:cs="Arial"/>
          <w:sz w:val="22"/>
          <w:szCs w:val="22"/>
          <w:lang w:val="en-GB"/>
        </w:rPr>
        <w:t xml:space="preserve">., 2017; </w:t>
      </w:r>
      <w:r w:rsidR="00741205" w:rsidRPr="009C005F">
        <w:rPr>
          <w:rFonts w:ascii="Arial" w:hAnsi="Arial" w:cs="Arial"/>
          <w:sz w:val="22"/>
          <w:szCs w:val="22"/>
        </w:rPr>
        <w:t>Archana,</w:t>
      </w:r>
      <w:r w:rsidR="00741205">
        <w:rPr>
          <w:rFonts w:ascii="Arial" w:hAnsi="Arial" w:cs="Arial"/>
          <w:sz w:val="22"/>
          <w:szCs w:val="22"/>
        </w:rPr>
        <w:t xml:space="preserve"> </w:t>
      </w:r>
      <w:r w:rsidR="00741205" w:rsidRPr="00424167">
        <w:rPr>
          <w:rFonts w:ascii="Arial" w:hAnsi="Arial" w:cs="Arial"/>
          <w:i/>
          <w:iCs/>
          <w:sz w:val="22"/>
          <w:szCs w:val="22"/>
        </w:rPr>
        <w:t>et al</w:t>
      </w:r>
      <w:r w:rsidR="00741205">
        <w:rPr>
          <w:rFonts w:ascii="Arial" w:hAnsi="Arial" w:cs="Arial"/>
          <w:sz w:val="22"/>
          <w:szCs w:val="22"/>
        </w:rPr>
        <w:t xml:space="preserve">., </w:t>
      </w:r>
      <w:r w:rsidR="00741205" w:rsidRPr="009C005F">
        <w:rPr>
          <w:rFonts w:ascii="Arial" w:hAnsi="Arial" w:cs="Arial"/>
          <w:sz w:val="22"/>
          <w:szCs w:val="22"/>
        </w:rPr>
        <w:t>2018</w:t>
      </w:r>
      <w:r w:rsidR="00741205">
        <w:rPr>
          <w:rFonts w:ascii="Arial" w:hAnsi="Arial" w:cs="Arial"/>
          <w:sz w:val="22"/>
          <w:szCs w:val="22"/>
        </w:rPr>
        <w:t xml:space="preserve">; </w:t>
      </w:r>
      <w:r w:rsidR="00613667" w:rsidRPr="00B25D72">
        <w:rPr>
          <w:rFonts w:ascii="Arial" w:hAnsi="Arial" w:cs="Arial"/>
          <w:sz w:val="22"/>
          <w:szCs w:val="22"/>
          <w:lang w:val="en-GB"/>
        </w:rPr>
        <w:t xml:space="preserve">Banerjee </w:t>
      </w:r>
      <w:r w:rsidR="00424167" w:rsidRPr="00424167">
        <w:rPr>
          <w:rFonts w:ascii="Arial" w:hAnsi="Arial" w:cs="Arial"/>
          <w:i/>
          <w:iCs/>
          <w:sz w:val="22"/>
          <w:szCs w:val="22"/>
          <w:lang w:val="en-GB"/>
        </w:rPr>
        <w:t>et al</w:t>
      </w:r>
      <w:r w:rsidR="00613667" w:rsidRPr="00B25D72">
        <w:rPr>
          <w:rFonts w:ascii="Arial" w:hAnsi="Arial" w:cs="Arial"/>
          <w:sz w:val="22"/>
          <w:szCs w:val="22"/>
          <w:lang w:val="en-GB"/>
        </w:rPr>
        <w:t>., 2021</w:t>
      </w:r>
      <w:r w:rsidR="00272E04">
        <w:rPr>
          <w:rFonts w:ascii="Arial" w:hAnsi="Arial" w:cs="Arial"/>
          <w:sz w:val="22"/>
          <w:szCs w:val="22"/>
          <w:lang w:val="en-GB"/>
        </w:rPr>
        <w:t xml:space="preserve">; </w:t>
      </w:r>
      <w:r w:rsidR="00272E04" w:rsidRPr="00B25D72">
        <w:rPr>
          <w:rFonts w:ascii="Arial" w:hAnsi="Arial" w:cs="Arial"/>
          <w:sz w:val="22"/>
          <w:szCs w:val="22"/>
          <w:lang w:val="en-GB"/>
        </w:rPr>
        <w:t xml:space="preserve">Amobonye </w:t>
      </w:r>
      <w:r w:rsidR="00424167" w:rsidRPr="00424167">
        <w:rPr>
          <w:rFonts w:ascii="Arial" w:hAnsi="Arial" w:cs="Arial"/>
          <w:i/>
          <w:iCs/>
          <w:sz w:val="22"/>
          <w:szCs w:val="22"/>
          <w:lang w:val="en-GB"/>
        </w:rPr>
        <w:t>et al</w:t>
      </w:r>
      <w:r w:rsidR="00272E04" w:rsidRPr="00B25D72">
        <w:rPr>
          <w:rFonts w:ascii="Arial" w:hAnsi="Arial" w:cs="Arial"/>
          <w:sz w:val="22"/>
          <w:szCs w:val="22"/>
          <w:lang w:val="en-GB"/>
        </w:rPr>
        <w:t>., 2023</w:t>
      </w:r>
      <w:r w:rsidR="00613667" w:rsidRPr="00B25D72">
        <w:rPr>
          <w:rFonts w:ascii="Arial" w:hAnsi="Arial" w:cs="Arial"/>
          <w:sz w:val="22"/>
          <w:szCs w:val="22"/>
          <w:lang w:val="en-GB"/>
        </w:rPr>
        <w:t>).</w:t>
      </w:r>
    </w:p>
    <w:p w14:paraId="474E198E" w14:textId="77777777" w:rsidR="00045659" w:rsidRDefault="001D5163" w:rsidP="00F8567E">
      <w:pPr>
        <w:spacing w:line="360" w:lineRule="auto"/>
        <w:ind w:firstLine="720"/>
        <w:jc w:val="both"/>
        <w:rPr>
          <w:rFonts w:ascii="Arial" w:hAnsi="Arial" w:cs="Arial"/>
          <w:sz w:val="22"/>
          <w:szCs w:val="22"/>
          <w:lang w:val="en-GB"/>
        </w:rPr>
      </w:pPr>
      <w:r w:rsidRPr="001D5163">
        <w:rPr>
          <w:rFonts w:ascii="Arial" w:hAnsi="Arial" w:cs="Arial"/>
          <w:sz w:val="22"/>
          <w:szCs w:val="22"/>
          <w:lang w:val="en-GB"/>
        </w:rPr>
        <w:t xml:space="preserve">The liver </w:t>
      </w:r>
      <w:r w:rsidR="0064407D">
        <w:rPr>
          <w:rFonts w:ascii="Arial" w:hAnsi="Arial" w:cs="Arial"/>
          <w:sz w:val="22"/>
          <w:szCs w:val="22"/>
          <w:lang w:val="en-GB"/>
        </w:rPr>
        <w:t xml:space="preserve">is the </w:t>
      </w:r>
      <w:r w:rsidR="009732DC">
        <w:rPr>
          <w:rFonts w:ascii="Arial" w:hAnsi="Arial" w:cs="Arial"/>
          <w:sz w:val="22"/>
          <w:szCs w:val="22"/>
          <w:lang w:val="en-GB"/>
        </w:rPr>
        <w:t xml:space="preserve">main metabolic hub </w:t>
      </w:r>
      <w:r w:rsidR="0064407D">
        <w:rPr>
          <w:rFonts w:ascii="Arial" w:hAnsi="Arial" w:cs="Arial"/>
          <w:sz w:val="22"/>
          <w:szCs w:val="22"/>
          <w:lang w:val="en-GB"/>
        </w:rPr>
        <w:t xml:space="preserve">for </w:t>
      </w:r>
      <w:r w:rsidR="009732DC">
        <w:rPr>
          <w:rFonts w:ascii="Arial" w:hAnsi="Arial" w:cs="Arial"/>
          <w:sz w:val="22"/>
          <w:szCs w:val="22"/>
          <w:lang w:val="en-GB"/>
        </w:rPr>
        <w:t>detoxifi</w:t>
      </w:r>
      <w:r w:rsidR="0064407D">
        <w:rPr>
          <w:rFonts w:ascii="Arial" w:hAnsi="Arial" w:cs="Arial"/>
          <w:sz w:val="22"/>
          <w:szCs w:val="22"/>
          <w:lang w:val="en-GB"/>
        </w:rPr>
        <w:t>cation of x</w:t>
      </w:r>
      <w:r w:rsidR="009732DC">
        <w:rPr>
          <w:rFonts w:ascii="Arial" w:hAnsi="Arial" w:cs="Arial"/>
          <w:sz w:val="22"/>
          <w:szCs w:val="22"/>
          <w:lang w:val="en-GB"/>
        </w:rPr>
        <w:t xml:space="preserve">enobiotics </w:t>
      </w:r>
      <w:r w:rsidRPr="001D5163">
        <w:rPr>
          <w:rFonts w:ascii="Arial" w:hAnsi="Arial" w:cs="Arial"/>
          <w:sz w:val="22"/>
          <w:szCs w:val="22"/>
          <w:lang w:val="en-GB"/>
        </w:rPr>
        <w:t xml:space="preserve">(Zhao </w:t>
      </w:r>
      <w:r w:rsidR="00424167" w:rsidRPr="00424167">
        <w:rPr>
          <w:rFonts w:ascii="Arial" w:hAnsi="Arial" w:cs="Arial"/>
          <w:i/>
          <w:iCs/>
          <w:sz w:val="22"/>
          <w:szCs w:val="22"/>
          <w:lang w:val="en-GB"/>
        </w:rPr>
        <w:t>et al</w:t>
      </w:r>
      <w:r w:rsidRPr="001D5163">
        <w:rPr>
          <w:rFonts w:ascii="Arial" w:hAnsi="Arial" w:cs="Arial"/>
          <w:sz w:val="22"/>
          <w:szCs w:val="22"/>
          <w:lang w:val="en-GB"/>
        </w:rPr>
        <w:t xml:space="preserve">., 2023). </w:t>
      </w:r>
      <w:r w:rsidR="000505C0">
        <w:rPr>
          <w:rFonts w:ascii="Arial" w:hAnsi="Arial" w:cs="Arial"/>
          <w:sz w:val="22"/>
          <w:szCs w:val="22"/>
          <w:lang w:val="en-GB"/>
        </w:rPr>
        <w:t>Through the e</w:t>
      </w:r>
      <w:r w:rsidRPr="001D5163">
        <w:rPr>
          <w:rFonts w:ascii="Arial" w:hAnsi="Arial" w:cs="Arial"/>
          <w:sz w:val="22"/>
          <w:szCs w:val="22"/>
          <w:lang w:val="en-GB"/>
        </w:rPr>
        <w:t xml:space="preserve">nterohepatic circulation </w:t>
      </w:r>
      <w:r w:rsidR="005E36F5">
        <w:rPr>
          <w:rFonts w:ascii="Arial" w:hAnsi="Arial" w:cs="Arial"/>
          <w:sz w:val="22"/>
          <w:szCs w:val="22"/>
          <w:lang w:val="en-GB"/>
        </w:rPr>
        <w:t xml:space="preserve">xenobiotics like microplastic through a continuous process of reabsorption </w:t>
      </w:r>
      <w:r w:rsidRPr="001D5163">
        <w:rPr>
          <w:rFonts w:ascii="Arial" w:hAnsi="Arial" w:cs="Arial"/>
          <w:sz w:val="22"/>
          <w:szCs w:val="22"/>
          <w:lang w:val="en-GB"/>
        </w:rPr>
        <w:t>from the intestines into the liver,</w:t>
      </w:r>
      <w:r w:rsidR="005E36F5">
        <w:rPr>
          <w:rFonts w:ascii="Arial" w:hAnsi="Arial" w:cs="Arial"/>
          <w:sz w:val="22"/>
          <w:szCs w:val="22"/>
          <w:lang w:val="en-GB"/>
        </w:rPr>
        <w:t xml:space="preserve"> may</w:t>
      </w:r>
      <w:r w:rsidR="00FE6CEC">
        <w:rPr>
          <w:rFonts w:ascii="Arial" w:hAnsi="Arial" w:cs="Arial"/>
          <w:sz w:val="22"/>
          <w:szCs w:val="22"/>
          <w:lang w:val="en-GB"/>
        </w:rPr>
        <w:t xml:space="preserve"> </w:t>
      </w:r>
      <w:r w:rsidRPr="001D5163">
        <w:rPr>
          <w:rFonts w:ascii="Arial" w:hAnsi="Arial" w:cs="Arial"/>
          <w:sz w:val="22"/>
          <w:szCs w:val="22"/>
          <w:lang w:val="en-GB"/>
        </w:rPr>
        <w:t>accumulat</w:t>
      </w:r>
      <w:r w:rsidR="00FE6CEC">
        <w:rPr>
          <w:rFonts w:ascii="Arial" w:hAnsi="Arial" w:cs="Arial"/>
          <w:sz w:val="22"/>
          <w:szCs w:val="22"/>
          <w:lang w:val="en-GB"/>
        </w:rPr>
        <w:t>es</w:t>
      </w:r>
      <w:r w:rsidR="00C859BC">
        <w:rPr>
          <w:rFonts w:ascii="Arial" w:hAnsi="Arial" w:cs="Arial"/>
          <w:sz w:val="22"/>
          <w:szCs w:val="22"/>
          <w:lang w:val="en-GB"/>
        </w:rPr>
        <w:t xml:space="preserve"> in the </w:t>
      </w:r>
      <w:r w:rsidR="008E0AD3">
        <w:rPr>
          <w:rFonts w:ascii="Arial" w:hAnsi="Arial" w:cs="Arial"/>
          <w:sz w:val="22"/>
          <w:szCs w:val="22"/>
          <w:lang w:val="en-GB"/>
        </w:rPr>
        <w:t xml:space="preserve">liver </w:t>
      </w:r>
      <w:r w:rsidRPr="001D5163">
        <w:rPr>
          <w:rFonts w:ascii="Arial" w:hAnsi="Arial" w:cs="Arial"/>
          <w:sz w:val="22"/>
          <w:szCs w:val="22"/>
          <w:lang w:val="en-GB"/>
        </w:rPr>
        <w:t xml:space="preserve">hepatocytes (Wang </w:t>
      </w:r>
      <w:r w:rsidR="00424167" w:rsidRPr="00424167">
        <w:rPr>
          <w:rFonts w:ascii="Arial" w:hAnsi="Arial" w:cs="Arial"/>
          <w:i/>
          <w:iCs/>
          <w:sz w:val="22"/>
          <w:szCs w:val="22"/>
          <w:lang w:val="en-GB"/>
        </w:rPr>
        <w:t>et al</w:t>
      </w:r>
      <w:r w:rsidRPr="001D5163">
        <w:rPr>
          <w:rFonts w:ascii="Arial" w:hAnsi="Arial" w:cs="Arial"/>
          <w:sz w:val="22"/>
          <w:szCs w:val="22"/>
          <w:lang w:val="en-GB"/>
        </w:rPr>
        <w:t xml:space="preserve">., 2023; 2024). </w:t>
      </w:r>
      <w:r w:rsidR="00E341DF">
        <w:rPr>
          <w:rFonts w:ascii="Arial" w:hAnsi="Arial" w:cs="Arial"/>
          <w:sz w:val="22"/>
          <w:szCs w:val="22"/>
          <w:lang w:val="en-GB"/>
        </w:rPr>
        <w:t>Consequently,</w:t>
      </w:r>
      <w:r w:rsidR="008E0AD3">
        <w:rPr>
          <w:rFonts w:ascii="Arial" w:hAnsi="Arial" w:cs="Arial"/>
          <w:sz w:val="22"/>
          <w:szCs w:val="22"/>
          <w:lang w:val="en-GB"/>
        </w:rPr>
        <w:t xml:space="preserve"> eliciting</w:t>
      </w:r>
      <w:r w:rsidR="00C859BC">
        <w:rPr>
          <w:rFonts w:ascii="Arial" w:hAnsi="Arial" w:cs="Arial"/>
          <w:sz w:val="22"/>
          <w:szCs w:val="22"/>
          <w:lang w:val="en-GB"/>
        </w:rPr>
        <w:t xml:space="preserve"> </w:t>
      </w:r>
      <w:r w:rsidRPr="001D5163">
        <w:rPr>
          <w:rFonts w:ascii="Arial" w:hAnsi="Arial" w:cs="Arial"/>
          <w:sz w:val="22"/>
          <w:szCs w:val="22"/>
          <w:lang w:val="en-GB"/>
        </w:rPr>
        <w:t>oxidative stress</w:t>
      </w:r>
      <w:r w:rsidR="008E0AD3">
        <w:rPr>
          <w:rFonts w:ascii="Arial" w:hAnsi="Arial" w:cs="Arial"/>
          <w:sz w:val="22"/>
          <w:szCs w:val="22"/>
          <w:lang w:val="en-GB"/>
        </w:rPr>
        <w:t xml:space="preserve">, </w:t>
      </w:r>
      <w:r w:rsidRPr="001D5163">
        <w:rPr>
          <w:rFonts w:ascii="Arial" w:hAnsi="Arial" w:cs="Arial"/>
          <w:sz w:val="22"/>
          <w:szCs w:val="22"/>
          <w:lang w:val="en-GB"/>
        </w:rPr>
        <w:t xml:space="preserve">inflammation, and </w:t>
      </w:r>
      <w:r w:rsidR="008E0AD3">
        <w:rPr>
          <w:rFonts w:ascii="Arial" w:hAnsi="Arial" w:cs="Arial"/>
          <w:sz w:val="22"/>
          <w:szCs w:val="22"/>
          <w:lang w:val="en-GB"/>
        </w:rPr>
        <w:t xml:space="preserve">damage to </w:t>
      </w:r>
      <w:r w:rsidR="00C859BC">
        <w:rPr>
          <w:rFonts w:ascii="Arial" w:hAnsi="Arial" w:cs="Arial"/>
          <w:sz w:val="22"/>
          <w:szCs w:val="22"/>
          <w:lang w:val="en-GB"/>
        </w:rPr>
        <w:t xml:space="preserve">the liver </w:t>
      </w:r>
      <w:r w:rsidR="00C859BC">
        <w:rPr>
          <w:rFonts w:ascii="Arial" w:hAnsi="Arial" w:cs="Arial"/>
          <w:sz w:val="22"/>
          <w:szCs w:val="22"/>
          <w:lang w:val="en-GB"/>
        </w:rPr>
        <w:lastRenderedPageBreak/>
        <w:t xml:space="preserve">hepatocytes resulting in </w:t>
      </w:r>
      <w:r w:rsidRPr="001D5163">
        <w:rPr>
          <w:rFonts w:ascii="Arial" w:hAnsi="Arial" w:cs="Arial"/>
          <w:sz w:val="22"/>
          <w:szCs w:val="22"/>
          <w:lang w:val="en-GB"/>
        </w:rPr>
        <w:t xml:space="preserve">metabolic disturbance </w:t>
      </w:r>
      <w:r w:rsidR="00D51090">
        <w:rPr>
          <w:rFonts w:ascii="Arial" w:hAnsi="Arial" w:cs="Arial"/>
          <w:sz w:val="22"/>
          <w:szCs w:val="22"/>
          <w:lang w:val="en-GB"/>
        </w:rPr>
        <w:t xml:space="preserve">and liver failure </w:t>
      </w:r>
      <w:r w:rsidRPr="001D5163">
        <w:rPr>
          <w:rFonts w:ascii="Arial" w:hAnsi="Arial" w:cs="Arial"/>
          <w:sz w:val="22"/>
          <w:szCs w:val="22"/>
          <w:lang w:val="en-GB"/>
        </w:rPr>
        <w:t>(</w:t>
      </w:r>
      <w:proofErr w:type="spellStart"/>
      <w:r w:rsidRPr="001D5163">
        <w:rPr>
          <w:rFonts w:ascii="Arial" w:hAnsi="Arial" w:cs="Arial"/>
          <w:sz w:val="22"/>
          <w:szCs w:val="22"/>
          <w:lang w:val="en-GB"/>
        </w:rPr>
        <w:t>Muncke</w:t>
      </w:r>
      <w:proofErr w:type="spellEnd"/>
      <w:r w:rsidRPr="001D5163">
        <w:rPr>
          <w:rFonts w:ascii="Arial" w:hAnsi="Arial" w:cs="Arial"/>
          <w:sz w:val="22"/>
          <w:szCs w:val="22"/>
          <w:lang w:val="en-GB"/>
        </w:rPr>
        <w:t xml:space="preserve"> </w:t>
      </w:r>
      <w:r w:rsidR="00424167" w:rsidRPr="00424167">
        <w:rPr>
          <w:rFonts w:ascii="Arial" w:hAnsi="Arial" w:cs="Arial"/>
          <w:i/>
          <w:iCs/>
          <w:sz w:val="22"/>
          <w:szCs w:val="22"/>
          <w:lang w:val="en-GB"/>
        </w:rPr>
        <w:t>et al</w:t>
      </w:r>
      <w:r w:rsidRPr="001D5163">
        <w:rPr>
          <w:rFonts w:ascii="Arial" w:hAnsi="Arial" w:cs="Arial"/>
          <w:sz w:val="22"/>
          <w:szCs w:val="22"/>
          <w:lang w:val="en-GB"/>
        </w:rPr>
        <w:t xml:space="preserve">., 2020; Chiang </w:t>
      </w:r>
      <w:r w:rsidR="00424167" w:rsidRPr="00424167">
        <w:rPr>
          <w:rFonts w:ascii="Arial" w:hAnsi="Arial" w:cs="Arial"/>
          <w:i/>
          <w:iCs/>
          <w:sz w:val="22"/>
          <w:szCs w:val="22"/>
          <w:lang w:val="en-GB"/>
        </w:rPr>
        <w:t>et al</w:t>
      </w:r>
      <w:r w:rsidRPr="001D5163">
        <w:rPr>
          <w:rFonts w:ascii="Arial" w:hAnsi="Arial" w:cs="Arial"/>
          <w:sz w:val="22"/>
          <w:szCs w:val="22"/>
          <w:lang w:val="en-GB"/>
        </w:rPr>
        <w:t xml:space="preserve">., 2024). </w:t>
      </w:r>
      <w:r w:rsidR="00E341DF">
        <w:rPr>
          <w:rFonts w:ascii="Arial" w:hAnsi="Arial" w:cs="Arial"/>
          <w:sz w:val="22"/>
          <w:szCs w:val="22"/>
          <w:lang w:val="en-GB"/>
        </w:rPr>
        <w:t>This</w:t>
      </w:r>
      <w:r w:rsidR="00100544">
        <w:rPr>
          <w:rFonts w:ascii="Arial" w:hAnsi="Arial" w:cs="Arial"/>
          <w:sz w:val="22"/>
          <w:szCs w:val="22"/>
          <w:lang w:val="en-GB"/>
        </w:rPr>
        <w:t xml:space="preserve"> failure </w:t>
      </w:r>
      <w:r w:rsidR="00F109C0">
        <w:rPr>
          <w:rFonts w:ascii="Arial" w:hAnsi="Arial" w:cs="Arial"/>
          <w:sz w:val="22"/>
          <w:szCs w:val="22"/>
          <w:lang w:val="en-GB"/>
        </w:rPr>
        <w:t>results in</w:t>
      </w:r>
      <w:r w:rsidR="00100544">
        <w:rPr>
          <w:rFonts w:ascii="Arial" w:hAnsi="Arial" w:cs="Arial"/>
          <w:sz w:val="22"/>
          <w:szCs w:val="22"/>
          <w:lang w:val="en-GB"/>
        </w:rPr>
        <w:t xml:space="preserve"> increase levels of these particles in </w:t>
      </w:r>
      <w:r w:rsidRPr="001D5163">
        <w:rPr>
          <w:rFonts w:ascii="Arial" w:hAnsi="Arial" w:cs="Arial"/>
          <w:sz w:val="22"/>
          <w:szCs w:val="22"/>
          <w:lang w:val="en-GB"/>
        </w:rPr>
        <w:t xml:space="preserve">systemic circulation </w:t>
      </w:r>
      <w:r w:rsidR="00100544">
        <w:rPr>
          <w:rFonts w:ascii="Arial" w:hAnsi="Arial" w:cs="Arial"/>
          <w:sz w:val="22"/>
          <w:szCs w:val="22"/>
          <w:lang w:val="en-GB"/>
        </w:rPr>
        <w:t xml:space="preserve">leading to neurotoxicity and other multisystemic </w:t>
      </w:r>
      <w:r w:rsidRPr="001D5163">
        <w:rPr>
          <w:rFonts w:ascii="Arial" w:hAnsi="Arial" w:cs="Arial"/>
          <w:sz w:val="22"/>
          <w:szCs w:val="22"/>
          <w:lang w:val="en-GB"/>
        </w:rPr>
        <w:t xml:space="preserve">(Li </w:t>
      </w:r>
      <w:r w:rsidR="00424167" w:rsidRPr="00424167">
        <w:rPr>
          <w:rFonts w:ascii="Arial" w:hAnsi="Arial" w:cs="Arial"/>
          <w:i/>
          <w:iCs/>
          <w:sz w:val="22"/>
          <w:szCs w:val="22"/>
          <w:lang w:val="en-GB"/>
        </w:rPr>
        <w:t>et al</w:t>
      </w:r>
      <w:r w:rsidRPr="001D5163">
        <w:rPr>
          <w:rFonts w:ascii="Arial" w:hAnsi="Arial" w:cs="Arial"/>
          <w:sz w:val="22"/>
          <w:szCs w:val="22"/>
          <w:lang w:val="en-GB"/>
        </w:rPr>
        <w:t xml:space="preserve">., 2022; Wang </w:t>
      </w:r>
      <w:r w:rsidR="00424167" w:rsidRPr="00424167">
        <w:rPr>
          <w:rFonts w:ascii="Arial" w:hAnsi="Arial" w:cs="Arial"/>
          <w:i/>
          <w:iCs/>
          <w:sz w:val="22"/>
          <w:szCs w:val="22"/>
          <w:lang w:val="en-GB"/>
        </w:rPr>
        <w:t>et al</w:t>
      </w:r>
      <w:r w:rsidRPr="001D5163">
        <w:rPr>
          <w:rFonts w:ascii="Arial" w:hAnsi="Arial" w:cs="Arial"/>
          <w:sz w:val="22"/>
          <w:szCs w:val="22"/>
          <w:lang w:val="en-GB"/>
        </w:rPr>
        <w:t xml:space="preserve">., 2022; Zhou </w:t>
      </w:r>
      <w:r w:rsidR="00424167" w:rsidRPr="00424167">
        <w:rPr>
          <w:rFonts w:ascii="Arial" w:hAnsi="Arial" w:cs="Arial"/>
          <w:i/>
          <w:iCs/>
          <w:sz w:val="22"/>
          <w:szCs w:val="22"/>
          <w:lang w:val="en-GB"/>
        </w:rPr>
        <w:t>et al</w:t>
      </w:r>
      <w:r w:rsidRPr="001D5163">
        <w:rPr>
          <w:rFonts w:ascii="Arial" w:hAnsi="Arial" w:cs="Arial"/>
          <w:sz w:val="22"/>
          <w:szCs w:val="22"/>
          <w:lang w:val="en-GB"/>
        </w:rPr>
        <w:t>., 2023).</w:t>
      </w:r>
    </w:p>
    <w:p w14:paraId="1CE8B4C8" w14:textId="2C8E8E69" w:rsidR="00547F9F" w:rsidRDefault="001D5163" w:rsidP="00F8567E">
      <w:pPr>
        <w:spacing w:line="360" w:lineRule="auto"/>
        <w:ind w:firstLine="720"/>
        <w:jc w:val="both"/>
        <w:rPr>
          <w:rFonts w:ascii="Arial" w:hAnsi="Arial" w:cs="Arial"/>
          <w:sz w:val="22"/>
          <w:szCs w:val="22"/>
          <w:lang w:val="en-GB"/>
        </w:rPr>
      </w:pPr>
      <w:r w:rsidRPr="001D5163">
        <w:rPr>
          <w:rFonts w:ascii="Arial" w:hAnsi="Arial" w:cs="Arial"/>
          <w:sz w:val="22"/>
          <w:szCs w:val="22"/>
          <w:lang w:val="en-GB"/>
        </w:rPr>
        <w:t>Given the multisystemic consequences</w:t>
      </w:r>
      <w:r w:rsidR="00DD0771">
        <w:rPr>
          <w:rFonts w:ascii="Arial" w:hAnsi="Arial" w:cs="Arial"/>
          <w:sz w:val="22"/>
          <w:szCs w:val="22"/>
          <w:lang w:val="en-GB"/>
        </w:rPr>
        <w:t xml:space="preserve"> and </w:t>
      </w:r>
      <w:r w:rsidR="00576463">
        <w:rPr>
          <w:rFonts w:ascii="Arial" w:hAnsi="Arial" w:cs="Arial"/>
          <w:sz w:val="22"/>
          <w:szCs w:val="22"/>
          <w:lang w:val="en-GB"/>
        </w:rPr>
        <w:t xml:space="preserve">growing concerns </w:t>
      </w:r>
      <w:r w:rsidR="001D5662">
        <w:rPr>
          <w:rFonts w:ascii="Arial" w:hAnsi="Arial" w:cs="Arial"/>
          <w:sz w:val="22"/>
          <w:szCs w:val="22"/>
          <w:lang w:val="en-GB"/>
        </w:rPr>
        <w:t xml:space="preserve">about the </w:t>
      </w:r>
      <w:r w:rsidR="00DD0771">
        <w:rPr>
          <w:rFonts w:ascii="Arial" w:hAnsi="Arial" w:cs="Arial"/>
          <w:sz w:val="22"/>
          <w:szCs w:val="22"/>
          <w:lang w:val="en-GB"/>
        </w:rPr>
        <w:t>attendant health risk</w:t>
      </w:r>
      <w:r w:rsidR="001D5662">
        <w:rPr>
          <w:rFonts w:ascii="Arial" w:hAnsi="Arial" w:cs="Arial"/>
          <w:sz w:val="22"/>
          <w:szCs w:val="22"/>
          <w:lang w:val="en-GB"/>
        </w:rPr>
        <w:t xml:space="preserve"> of PVC exposure</w:t>
      </w:r>
      <w:r w:rsidRPr="001D5163">
        <w:rPr>
          <w:rFonts w:ascii="Arial" w:hAnsi="Arial" w:cs="Arial"/>
          <w:sz w:val="22"/>
          <w:szCs w:val="22"/>
          <w:lang w:val="en-GB"/>
        </w:rPr>
        <w:t>,</w:t>
      </w:r>
      <w:r w:rsidR="00576463">
        <w:rPr>
          <w:rFonts w:ascii="Arial" w:hAnsi="Arial" w:cs="Arial"/>
          <w:sz w:val="22"/>
          <w:szCs w:val="22"/>
          <w:lang w:val="en-GB"/>
        </w:rPr>
        <w:t xml:space="preserve"> there still </w:t>
      </w:r>
      <w:r w:rsidR="001D5662">
        <w:rPr>
          <w:rFonts w:ascii="Arial" w:hAnsi="Arial" w:cs="Arial"/>
          <w:sz w:val="22"/>
          <w:szCs w:val="22"/>
          <w:lang w:val="en-GB"/>
        </w:rPr>
        <w:t xml:space="preserve">exist a </w:t>
      </w:r>
      <w:r w:rsidR="00F67D47">
        <w:rPr>
          <w:rFonts w:ascii="Arial" w:hAnsi="Arial" w:cs="Arial"/>
          <w:sz w:val="22"/>
          <w:szCs w:val="22"/>
          <w:lang w:val="en-GB"/>
        </w:rPr>
        <w:t>need to evaluate the underexplored impact from long-term low dose P</w:t>
      </w:r>
      <w:r w:rsidR="00EB2191">
        <w:rPr>
          <w:rFonts w:ascii="Arial" w:hAnsi="Arial" w:cs="Arial"/>
          <w:sz w:val="22"/>
          <w:szCs w:val="22"/>
          <w:lang w:val="en-GB"/>
        </w:rPr>
        <w:t>VC</w:t>
      </w:r>
      <w:r w:rsidR="00F67D47">
        <w:rPr>
          <w:rFonts w:ascii="Arial" w:hAnsi="Arial" w:cs="Arial"/>
          <w:sz w:val="22"/>
          <w:szCs w:val="22"/>
          <w:lang w:val="en-GB"/>
        </w:rPr>
        <w:t xml:space="preserve"> </w:t>
      </w:r>
      <w:r w:rsidR="00EB2191">
        <w:rPr>
          <w:rFonts w:ascii="Arial" w:hAnsi="Arial" w:cs="Arial"/>
          <w:sz w:val="22"/>
          <w:szCs w:val="22"/>
          <w:lang w:val="en-GB"/>
        </w:rPr>
        <w:t xml:space="preserve">exposure </w:t>
      </w:r>
      <w:r w:rsidR="00F67D47">
        <w:rPr>
          <w:rFonts w:ascii="Arial" w:hAnsi="Arial" w:cs="Arial"/>
          <w:sz w:val="22"/>
          <w:szCs w:val="22"/>
          <w:lang w:val="en-GB"/>
        </w:rPr>
        <w:t xml:space="preserve">on liver function. </w:t>
      </w:r>
      <w:r w:rsidR="00F811CE">
        <w:rPr>
          <w:rFonts w:ascii="Arial" w:hAnsi="Arial" w:cs="Arial"/>
          <w:sz w:val="22"/>
          <w:szCs w:val="22"/>
          <w:lang w:val="en-GB"/>
        </w:rPr>
        <w:t>T</w:t>
      </w:r>
      <w:r w:rsidRPr="001D5163">
        <w:rPr>
          <w:rFonts w:ascii="Arial" w:hAnsi="Arial" w:cs="Arial"/>
          <w:sz w:val="22"/>
          <w:szCs w:val="22"/>
          <w:lang w:val="en-GB"/>
        </w:rPr>
        <w:t xml:space="preserve">his study examines the </w:t>
      </w:r>
      <w:r w:rsidR="00F811CE">
        <w:rPr>
          <w:rFonts w:ascii="Arial" w:hAnsi="Arial" w:cs="Arial"/>
          <w:sz w:val="22"/>
          <w:szCs w:val="22"/>
          <w:lang w:val="en-GB"/>
        </w:rPr>
        <w:t>effect of sub-chronic PVC exposure on wistar rats, liver enzymes, oxidative stress biomarkers and the histoarchitecture.</w:t>
      </w:r>
    </w:p>
    <w:p w14:paraId="1289FC58" w14:textId="77777777" w:rsidR="00681AEA" w:rsidRPr="0085730F" w:rsidRDefault="00613667" w:rsidP="001D5163">
      <w:pPr>
        <w:spacing w:line="360" w:lineRule="auto"/>
        <w:jc w:val="both"/>
        <w:rPr>
          <w:rFonts w:ascii="Arial" w:hAnsi="Arial" w:cs="Arial"/>
          <w:sz w:val="22"/>
          <w:szCs w:val="22"/>
        </w:rPr>
      </w:pPr>
      <w:r w:rsidRPr="0085730F">
        <w:rPr>
          <w:rFonts w:ascii="Arial" w:hAnsi="Arial" w:cs="Arial"/>
          <w:b/>
          <w:sz w:val="22"/>
          <w:szCs w:val="22"/>
        </w:rPr>
        <w:t>2.0 MATERIALS AND METHODOLOGY</w:t>
      </w:r>
    </w:p>
    <w:p w14:paraId="52A2791C"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2.1 Experimental site</w:t>
      </w:r>
    </w:p>
    <w:p w14:paraId="3E0D0967" w14:textId="77777777" w:rsidR="00681AEA" w:rsidRPr="0085730F" w:rsidRDefault="00613667" w:rsidP="00204506">
      <w:pPr>
        <w:spacing w:line="360" w:lineRule="auto"/>
        <w:ind w:firstLine="720"/>
        <w:jc w:val="both"/>
        <w:rPr>
          <w:rFonts w:ascii="Arial" w:hAnsi="Arial" w:cs="Arial"/>
          <w:sz w:val="22"/>
          <w:szCs w:val="22"/>
          <w:lang w:val="en-GB"/>
        </w:rPr>
      </w:pPr>
      <w:r w:rsidRPr="0085730F">
        <w:rPr>
          <w:rFonts w:ascii="Arial" w:hAnsi="Arial" w:cs="Arial"/>
          <w:sz w:val="22"/>
          <w:szCs w:val="22"/>
          <w:lang w:val="en-GB"/>
        </w:rPr>
        <w:t>This study was conducted at the Animal House of the Department of Pharmacology, Faculty of Basic Medical Sciences, Delta State University, Abraka.</w:t>
      </w:r>
    </w:p>
    <w:p w14:paraId="152E9348"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2.1.1 Experimental Animals</w:t>
      </w:r>
    </w:p>
    <w:p w14:paraId="2CCBE981" w14:textId="081B3CEB" w:rsidR="00493C2A" w:rsidRDefault="00613667" w:rsidP="000054A5">
      <w:pPr>
        <w:spacing w:line="360" w:lineRule="auto"/>
        <w:ind w:firstLine="720"/>
        <w:jc w:val="both"/>
        <w:rPr>
          <w:rFonts w:ascii="Arial" w:hAnsi="Arial" w:cs="Arial"/>
          <w:color w:val="000000"/>
          <w:sz w:val="22"/>
          <w:szCs w:val="22"/>
          <w:lang w:val="en-GB"/>
        </w:rPr>
      </w:pPr>
      <w:r w:rsidRPr="0085730F">
        <w:rPr>
          <w:rFonts w:ascii="Arial" w:hAnsi="Arial" w:cs="Arial"/>
          <w:sz w:val="22"/>
          <w:szCs w:val="22"/>
          <w:lang w:val="en-GB"/>
        </w:rPr>
        <w:t>F</w:t>
      </w:r>
      <w:r w:rsidR="000054A5">
        <w:rPr>
          <w:rFonts w:ascii="Arial" w:hAnsi="Arial" w:cs="Arial"/>
          <w:sz w:val="22"/>
          <w:szCs w:val="22"/>
          <w:lang w:val="en-GB"/>
        </w:rPr>
        <w:t>ifty</w:t>
      </w:r>
      <w:r w:rsidRPr="0085730F">
        <w:rPr>
          <w:rFonts w:ascii="Arial" w:hAnsi="Arial" w:cs="Arial"/>
          <w:sz w:val="22"/>
          <w:szCs w:val="22"/>
          <w:lang w:val="en-GB"/>
        </w:rPr>
        <w:t xml:space="preserve"> (50) adults male Wistar rats weighing between 90–140 g were procured from the Animal House Unit, Faculty of Basic Medical Sciences, Delta State University, Abraka. The animals were acclimatized for two weeks under standard laboratory conditions: a 12-hour light/dark cycle, temperature range of 20–31°C, with unrestricted access to standard rat feed and water. </w:t>
      </w:r>
      <w:r w:rsidR="00D34484" w:rsidRPr="00D34484">
        <w:rPr>
          <w:rFonts w:ascii="Arial" w:hAnsi="Arial" w:cs="Arial"/>
          <w:sz w:val="22"/>
          <w:szCs w:val="22"/>
        </w:rPr>
        <w:t>Ethical approval was obtained from the Ethical Committee of the Faculty of Basic Medical Sciences, Delta State University, Abraka, Nigeria (approval no. R</w:t>
      </w:r>
      <w:r w:rsidR="00D34484">
        <w:rPr>
          <w:rFonts w:ascii="Arial" w:hAnsi="Arial" w:cs="Arial"/>
          <w:sz w:val="22"/>
          <w:szCs w:val="22"/>
        </w:rPr>
        <w:t>B</w:t>
      </w:r>
      <w:r w:rsidR="00D34484" w:rsidRPr="00D34484">
        <w:rPr>
          <w:rFonts w:ascii="Arial" w:hAnsi="Arial" w:cs="Arial"/>
          <w:sz w:val="22"/>
          <w:szCs w:val="22"/>
        </w:rPr>
        <w:t>C/FBM</w:t>
      </w:r>
      <w:r w:rsidR="00D34484">
        <w:rPr>
          <w:rFonts w:ascii="Arial" w:hAnsi="Arial" w:cs="Arial"/>
          <w:sz w:val="22"/>
          <w:szCs w:val="22"/>
        </w:rPr>
        <w:t>C</w:t>
      </w:r>
      <w:r w:rsidR="00D34484" w:rsidRPr="00D34484">
        <w:rPr>
          <w:rFonts w:ascii="Arial" w:hAnsi="Arial" w:cs="Arial"/>
          <w:sz w:val="22"/>
          <w:szCs w:val="22"/>
        </w:rPr>
        <w:t>/DELSU/2</w:t>
      </w:r>
      <w:r w:rsidR="00D34484">
        <w:rPr>
          <w:rFonts w:ascii="Arial" w:hAnsi="Arial" w:cs="Arial"/>
          <w:sz w:val="22"/>
          <w:szCs w:val="22"/>
        </w:rPr>
        <w:t>5</w:t>
      </w:r>
      <w:r w:rsidR="00D34484" w:rsidRPr="00D34484">
        <w:rPr>
          <w:rFonts w:ascii="Arial" w:hAnsi="Arial" w:cs="Arial"/>
          <w:sz w:val="22"/>
          <w:szCs w:val="22"/>
        </w:rPr>
        <w:t>/</w:t>
      </w:r>
      <w:r w:rsidR="00D34484">
        <w:rPr>
          <w:rFonts w:ascii="Arial" w:hAnsi="Arial" w:cs="Arial"/>
          <w:sz w:val="22"/>
          <w:szCs w:val="22"/>
        </w:rPr>
        <w:t>921)</w:t>
      </w:r>
      <w:r w:rsidR="00D34484" w:rsidRPr="00D34484">
        <w:rPr>
          <w:rFonts w:ascii="Arial" w:hAnsi="Arial" w:cs="Arial"/>
          <w:sz w:val="22"/>
          <w:szCs w:val="22"/>
        </w:rPr>
        <w:t xml:space="preserve"> and conducted in accordance with the Guideline for the Care and Use of Laboratory Animals</w:t>
      </w:r>
      <w:r w:rsidR="00493C2A">
        <w:rPr>
          <w:rFonts w:ascii="Arial" w:hAnsi="Arial" w:cs="Arial"/>
          <w:sz w:val="22"/>
          <w:szCs w:val="22"/>
        </w:rPr>
        <w:t xml:space="preserve"> (</w:t>
      </w:r>
      <w:r w:rsidR="00493C2A">
        <w:rPr>
          <w:rFonts w:ascii="Arial" w:hAnsi="Arial" w:cs="Arial"/>
          <w:color w:val="000000"/>
          <w:sz w:val="22"/>
          <w:szCs w:val="22"/>
          <w:lang w:val="en-GB"/>
        </w:rPr>
        <w:t>NIH Publication No. 85-23, revised 1985).</w:t>
      </w:r>
    </w:p>
    <w:p w14:paraId="2014AF5F"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2.1.2 Apparatus/Equipment</w:t>
      </w:r>
    </w:p>
    <w:p w14:paraId="54989079" w14:textId="77777777" w:rsidR="00681AEA" w:rsidRPr="0085730F" w:rsidRDefault="00613667" w:rsidP="004D1FE3">
      <w:pPr>
        <w:spacing w:line="360" w:lineRule="auto"/>
        <w:ind w:firstLine="720"/>
        <w:jc w:val="both"/>
        <w:rPr>
          <w:rFonts w:ascii="Arial" w:hAnsi="Arial" w:cs="Arial"/>
          <w:sz w:val="22"/>
          <w:szCs w:val="22"/>
          <w:lang w:val="en-GB"/>
        </w:rPr>
      </w:pPr>
      <w:r w:rsidRPr="0085730F">
        <w:rPr>
          <w:rFonts w:ascii="Arial" w:hAnsi="Arial" w:cs="Arial"/>
          <w:sz w:val="22"/>
          <w:szCs w:val="22"/>
          <w:lang w:val="en-GB"/>
        </w:rPr>
        <w:t>The following equipment was used: plastic cages (42 × 30 × 27 cm), needles, syringes, oral cannula, wash bottles, hand gloves, Y-maze, open-field apparatus, tissue homogenizer, refrigerated centrifuge, digital weighing balance (JA 2003), VIS spectrophotometer (722N), thermostatic water bath (DK 420), incubator (</w:t>
      </w:r>
      <w:proofErr w:type="spellStart"/>
      <w:r w:rsidRPr="0085730F">
        <w:rPr>
          <w:rFonts w:ascii="Arial" w:hAnsi="Arial" w:cs="Arial"/>
          <w:sz w:val="22"/>
          <w:szCs w:val="22"/>
          <w:lang w:val="en-GB"/>
        </w:rPr>
        <w:t>Techmel</w:t>
      </w:r>
      <w:proofErr w:type="spellEnd"/>
      <w:r w:rsidRPr="0085730F">
        <w:rPr>
          <w:rFonts w:ascii="Arial" w:hAnsi="Arial" w:cs="Arial"/>
          <w:sz w:val="22"/>
          <w:szCs w:val="22"/>
          <w:lang w:val="en-GB"/>
        </w:rPr>
        <w:t xml:space="preserve"> and </w:t>
      </w:r>
      <w:proofErr w:type="spellStart"/>
      <w:r w:rsidRPr="0085730F">
        <w:rPr>
          <w:rFonts w:ascii="Arial" w:hAnsi="Arial" w:cs="Arial"/>
          <w:sz w:val="22"/>
          <w:szCs w:val="22"/>
          <w:lang w:val="en-GB"/>
        </w:rPr>
        <w:t>Techmel</w:t>
      </w:r>
      <w:proofErr w:type="spellEnd"/>
      <w:r w:rsidRPr="0085730F">
        <w:rPr>
          <w:rFonts w:ascii="Arial" w:hAnsi="Arial" w:cs="Arial"/>
          <w:sz w:val="22"/>
          <w:szCs w:val="22"/>
          <w:lang w:val="en-GB"/>
        </w:rPr>
        <w:t xml:space="preserve"> USA), refrigerator (Haier </w:t>
      </w:r>
      <w:proofErr w:type="spellStart"/>
      <w:r w:rsidRPr="0085730F">
        <w:rPr>
          <w:rFonts w:ascii="Arial" w:hAnsi="Arial" w:cs="Arial"/>
          <w:sz w:val="22"/>
          <w:szCs w:val="22"/>
          <w:lang w:val="en-GB"/>
        </w:rPr>
        <w:t>Thermocool</w:t>
      </w:r>
      <w:proofErr w:type="spellEnd"/>
      <w:r w:rsidRPr="0085730F">
        <w:rPr>
          <w:rFonts w:ascii="Arial" w:hAnsi="Arial" w:cs="Arial"/>
          <w:sz w:val="22"/>
          <w:szCs w:val="22"/>
          <w:lang w:val="en-GB"/>
        </w:rPr>
        <w:t>), micropipettes (REMI) 100–1000 µl, mortar and pestle, cotton filters, plastic containers, test tubes, racks, floating bath, microtome, tissue processor, cassettes, microscope slides, measuring cylinders, staining racks, cover slips, dissecting kit, and laboratory coats.</w:t>
      </w:r>
    </w:p>
    <w:p w14:paraId="7BEB5E4D" w14:textId="77777777" w:rsidR="00681AEA" w:rsidRPr="0085730F" w:rsidRDefault="00613667">
      <w:pPr>
        <w:spacing w:line="360" w:lineRule="auto"/>
        <w:rPr>
          <w:rFonts w:ascii="Arial" w:hAnsi="Arial" w:cs="Arial"/>
          <w:sz w:val="22"/>
          <w:szCs w:val="22"/>
        </w:rPr>
      </w:pPr>
      <w:r w:rsidRPr="0085730F">
        <w:rPr>
          <w:rFonts w:ascii="Arial" w:hAnsi="Arial" w:cs="Arial"/>
          <w:b/>
          <w:sz w:val="22"/>
          <w:szCs w:val="22"/>
        </w:rPr>
        <w:t>2.1.3 Chemicals/Reagents</w:t>
      </w:r>
    </w:p>
    <w:p w14:paraId="0F8DA2D7" w14:textId="77777777" w:rsidR="00681AEA" w:rsidRPr="0085730F" w:rsidRDefault="00613667" w:rsidP="004D1FE3">
      <w:pPr>
        <w:spacing w:line="360" w:lineRule="auto"/>
        <w:ind w:firstLine="720"/>
        <w:jc w:val="both"/>
        <w:rPr>
          <w:rFonts w:ascii="Arial" w:hAnsi="Arial" w:cs="Arial"/>
          <w:sz w:val="22"/>
          <w:szCs w:val="22"/>
          <w:lang w:val="en-GB"/>
        </w:rPr>
      </w:pPr>
      <w:r w:rsidRPr="0085730F">
        <w:rPr>
          <w:rFonts w:ascii="Arial" w:hAnsi="Arial" w:cs="Arial"/>
          <w:sz w:val="22"/>
          <w:szCs w:val="22"/>
          <w:lang w:val="en-GB"/>
        </w:rPr>
        <w:t xml:space="preserve">Analytical-grade reagents were used, including: Polyvinyl chloride (PVC), 5,5′-dithiobis (2-nitrobenzoic acid) (DTNB), trichloroacetic acid (TCA), </w:t>
      </w:r>
      <w:proofErr w:type="spellStart"/>
      <w:r w:rsidRPr="0085730F">
        <w:rPr>
          <w:rFonts w:ascii="Arial" w:hAnsi="Arial" w:cs="Arial"/>
          <w:sz w:val="22"/>
          <w:szCs w:val="22"/>
          <w:lang w:val="en-GB"/>
        </w:rPr>
        <w:t>thiobarbituric</w:t>
      </w:r>
      <w:proofErr w:type="spellEnd"/>
      <w:r w:rsidRPr="0085730F">
        <w:rPr>
          <w:rFonts w:ascii="Arial" w:hAnsi="Arial" w:cs="Arial"/>
          <w:sz w:val="22"/>
          <w:szCs w:val="22"/>
          <w:lang w:val="en-GB"/>
        </w:rPr>
        <w:t xml:space="preserve"> acid (TBA), Tris (hydroxymethyl)aminomethane (Tris buffer), acetic acid, sodium bicarbonate, sodium carbonate, disodium hydrogen phosphate monohydrate, sodium dihydrogen phosphate monohydrate, </w:t>
      </w:r>
      <w:r w:rsidRPr="0085730F">
        <w:rPr>
          <w:rFonts w:ascii="Arial" w:hAnsi="Arial" w:cs="Arial"/>
          <w:sz w:val="22"/>
          <w:szCs w:val="22"/>
          <w:lang w:val="en-GB"/>
        </w:rPr>
        <w:lastRenderedPageBreak/>
        <w:t>potassium dichromate, potassium chloride, and sodium hydroxide—all sourced from reputable suppliers such as Aldrich, BDH, and Sigma-Aldrich.</w:t>
      </w:r>
    </w:p>
    <w:p w14:paraId="47ACD71D" w14:textId="77777777" w:rsidR="00681AEA" w:rsidRPr="0085730F" w:rsidRDefault="00613667">
      <w:pPr>
        <w:spacing w:line="360" w:lineRule="auto"/>
        <w:jc w:val="both"/>
        <w:rPr>
          <w:rFonts w:ascii="Arial" w:hAnsi="Arial" w:cs="Arial"/>
          <w:b/>
          <w:sz w:val="22"/>
          <w:szCs w:val="22"/>
        </w:rPr>
      </w:pPr>
      <w:r w:rsidRPr="0085730F">
        <w:rPr>
          <w:rFonts w:ascii="Arial" w:hAnsi="Arial" w:cs="Arial"/>
          <w:b/>
          <w:sz w:val="22"/>
          <w:szCs w:val="22"/>
        </w:rPr>
        <w:t>2.2.0 Experimental Design</w:t>
      </w:r>
    </w:p>
    <w:p w14:paraId="4CC5588A" w14:textId="77777777" w:rsidR="00681AEA" w:rsidRPr="0085730F" w:rsidRDefault="00613667">
      <w:pPr>
        <w:spacing w:line="360" w:lineRule="auto"/>
        <w:jc w:val="both"/>
        <w:rPr>
          <w:rFonts w:ascii="Arial" w:hAnsi="Arial" w:cs="Arial"/>
          <w:b/>
          <w:sz w:val="22"/>
          <w:szCs w:val="22"/>
          <w:lang w:val="en-GB"/>
        </w:rPr>
      </w:pPr>
      <w:r w:rsidRPr="0085730F">
        <w:rPr>
          <w:rFonts w:ascii="Arial" w:hAnsi="Arial" w:cs="Arial"/>
          <w:b/>
          <w:sz w:val="22"/>
          <w:szCs w:val="22"/>
          <w:lang w:val="en-GB"/>
        </w:rPr>
        <w:t>2.2.1 PVC and Cyclohexanone Stock Preparation</w:t>
      </w:r>
    </w:p>
    <w:p w14:paraId="49E27A47" w14:textId="63900B0F" w:rsidR="00681AEA" w:rsidRPr="0085730F" w:rsidRDefault="00613667" w:rsidP="004D1FE3">
      <w:pPr>
        <w:spacing w:line="360" w:lineRule="auto"/>
        <w:ind w:firstLine="720"/>
        <w:jc w:val="both"/>
        <w:rPr>
          <w:rFonts w:ascii="Arial" w:hAnsi="Arial" w:cs="Arial"/>
          <w:sz w:val="22"/>
          <w:szCs w:val="22"/>
          <w:lang w:val="en-GB"/>
        </w:rPr>
      </w:pPr>
      <w:r w:rsidRPr="0085730F">
        <w:rPr>
          <w:rFonts w:ascii="Arial" w:hAnsi="Arial" w:cs="Arial"/>
          <w:sz w:val="22"/>
          <w:szCs w:val="22"/>
          <w:lang w:val="en-GB"/>
        </w:rPr>
        <w:t xml:space="preserve">PVC stock was prepared by dissolving 0.01 g of PVC in 1 ml of cyclohexanone (modified from Finlayson &amp; Cooke, 1951), followed by the addition of 9 ml of absolute ethanol and 190 ml of distilled water to make a final volume of 200 ml (adapted from Herrera </w:t>
      </w:r>
      <w:r w:rsidR="00424167" w:rsidRPr="00424167">
        <w:rPr>
          <w:rFonts w:ascii="Arial" w:hAnsi="Arial" w:cs="Arial"/>
          <w:i/>
          <w:iCs/>
          <w:sz w:val="22"/>
          <w:szCs w:val="22"/>
          <w:lang w:val="en-GB"/>
        </w:rPr>
        <w:t>et al</w:t>
      </w:r>
      <w:r w:rsidRPr="0085730F">
        <w:rPr>
          <w:rFonts w:ascii="Arial" w:hAnsi="Arial" w:cs="Arial"/>
          <w:sz w:val="22"/>
          <w:szCs w:val="22"/>
          <w:lang w:val="en-GB"/>
        </w:rPr>
        <w:t>., 2018).</w:t>
      </w:r>
    </w:p>
    <w:p w14:paraId="1079CEF6" w14:textId="345AEBE5" w:rsidR="00681AEA" w:rsidRPr="0085730F" w:rsidRDefault="00613667">
      <w:pPr>
        <w:spacing w:line="360" w:lineRule="auto"/>
        <w:jc w:val="both"/>
        <w:rPr>
          <w:rFonts w:ascii="Arial" w:hAnsi="Arial" w:cs="Arial"/>
          <w:b/>
          <w:sz w:val="22"/>
          <w:szCs w:val="22"/>
          <w:shd w:val="clear" w:color="auto" w:fill="FFFFFF"/>
          <w:lang w:val="en-GB"/>
        </w:rPr>
      </w:pPr>
      <w:r w:rsidRPr="0085730F">
        <w:rPr>
          <w:rFonts w:ascii="Arial" w:hAnsi="Arial" w:cs="Arial"/>
          <w:b/>
          <w:sz w:val="22"/>
          <w:szCs w:val="22"/>
        </w:rPr>
        <w:t>2.2.2 In vivo exposure</w:t>
      </w:r>
    </w:p>
    <w:p w14:paraId="2C056CB0" w14:textId="74AE93C2" w:rsidR="00681AEA" w:rsidRPr="0085730F" w:rsidRDefault="00613667" w:rsidP="004D1FE3">
      <w:pPr>
        <w:spacing w:line="360" w:lineRule="auto"/>
        <w:ind w:firstLine="720"/>
        <w:jc w:val="both"/>
        <w:rPr>
          <w:rFonts w:ascii="Arial" w:hAnsi="Arial" w:cs="Arial"/>
          <w:sz w:val="22"/>
          <w:szCs w:val="22"/>
        </w:rPr>
      </w:pPr>
      <w:r w:rsidRPr="0085730F">
        <w:rPr>
          <w:rFonts w:ascii="Arial" w:hAnsi="Arial" w:cs="Arial"/>
          <w:sz w:val="22"/>
          <w:szCs w:val="22"/>
        </w:rPr>
        <w:t xml:space="preserve">The Fifty Adult Male Wistar rats, </w:t>
      </w:r>
      <w:r w:rsidR="002D39DC">
        <w:rPr>
          <w:rFonts w:ascii="Arial" w:hAnsi="Arial" w:cs="Arial"/>
          <w:sz w:val="22"/>
          <w:szCs w:val="22"/>
        </w:rPr>
        <w:t xml:space="preserve">were </w:t>
      </w:r>
      <w:r w:rsidRPr="0085730F">
        <w:rPr>
          <w:rFonts w:ascii="Arial" w:hAnsi="Arial" w:cs="Arial"/>
          <w:sz w:val="22"/>
          <w:szCs w:val="22"/>
        </w:rPr>
        <w:t xml:space="preserve">grouped into </w:t>
      </w:r>
      <w:r w:rsidR="002A5190">
        <w:rPr>
          <w:rFonts w:ascii="Arial" w:hAnsi="Arial" w:cs="Arial"/>
          <w:sz w:val="22"/>
          <w:szCs w:val="22"/>
        </w:rPr>
        <w:t>5</w:t>
      </w:r>
      <w:r w:rsidRPr="0085730F">
        <w:rPr>
          <w:rFonts w:ascii="Arial" w:hAnsi="Arial" w:cs="Arial"/>
          <w:sz w:val="22"/>
          <w:szCs w:val="22"/>
        </w:rPr>
        <w:t xml:space="preserve"> main groups: A-E containing 10 animals each. Group A </w:t>
      </w:r>
      <w:r w:rsidR="00DE0CCD">
        <w:rPr>
          <w:rFonts w:ascii="Arial" w:hAnsi="Arial" w:cs="Arial"/>
          <w:sz w:val="22"/>
          <w:szCs w:val="22"/>
        </w:rPr>
        <w:t>(Negative control) Group</w:t>
      </w:r>
      <w:r w:rsidRPr="0085730F">
        <w:rPr>
          <w:rFonts w:ascii="Arial" w:hAnsi="Arial" w:cs="Arial"/>
          <w:sz w:val="22"/>
          <w:szCs w:val="22"/>
        </w:rPr>
        <w:t xml:space="preserve"> B (Positive control), C, D and E serve</w:t>
      </w:r>
      <w:r w:rsidR="00DE0CCD">
        <w:rPr>
          <w:rFonts w:ascii="Arial" w:hAnsi="Arial" w:cs="Arial"/>
          <w:sz w:val="22"/>
          <w:szCs w:val="22"/>
        </w:rPr>
        <w:t>d</w:t>
      </w:r>
      <w:r w:rsidRPr="0085730F">
        <w:rPr>
          <w:rFonts w:ascii="Arial" w:hAnsi="Arial" w:cs="Arial"/>
          <w:sz w:val="22"/>
          <w:szCs w:val="22"/>
        </w:rPr>
        <w:t xml:space="preserve"> as treatment groups respectively. Group A (negative control) receive</w:t>
      </w:r>
      <w:r w:rsidR="009A5758">
        <w:rPr>
          <w:rFonts w:ascii="Arial" w:hAnsi="Arial" w:cs="Arial"/>
          <w:sz w:val="22"/>
          <w:szCs w:val="22"/>
        </w:rPr>
        <w:t>d</w:t>
      </w:r>
      <w:r w:rsidRPr="0085730F">
        <w:rPr>
          <w:rFonts w:ascii="Arial" w:hAnsi="Arial" w:cs="Arial"/>
          <w:sz w:val="22"/>
          <w:szCs w:val="22"/>
        </w:rPr>
        <w:t xml:space="preserve"> food and deionized water only, while B (positive control</w:t>
      </w:r>
      <w:r w:rsidR="008F5082">
        <w:rPr>
          <w:rFonts w:ascii="Arial" w:hAnsi="Arial" w:cs="Arial"/>
          <w:sz w:val="22"/>
          <w:szCs w:val="22"/>
        </w:rPr>
        <w:t xml:space="preserve"> </w:t>
      </w:r>
      <w:r w:rsidRPr="0085730F">
        <w:rPr>
          <w:rFonts w:ascii="Arial" w:hAnsi="Arial" w:cs="Arial"/>
          <w:sz w:val="22"/>
          <w:szCs w:val="22"/>
        </w:rPr>
        <w:t>receive</w:t>
      </w:r>
      <w:r w:rsidR="008F5082">
        <w:rPr>
          <w:rFonts w:ascii="Arial" w:hAnsi="Arial" w:cs="Arial"/>
          <w:sz w:val="22"/>
          <w:szCs w:val="22"/>
        </w:rPr>
        <w:t>d</w:t>
      </w:r>
      <w:r w:rsidRPr="0085730F">
        <w:rPr>
          <w:rFonts w:ascii="Arial" w:hAnsi="Arial" w:cs="Arial"/>
          <w:sz w:val="22"/>
          <w:szCs w:val="22"/>
        </w:rPr>
        <w:t xml:space="preserve"> 0.1mg/kg of cyclohexanone), while </w:t>
      </w:r>
      <w:r w:rsidR="00881C24">
        <w:rPr>
          <w:rFonts w:ascii="Arial" w:hAnsi="Arial" w:cs="Arial"/>
          <w:sz w:val="22"/>
          <w:szCs w:val="22"/>
        </w:rPr>
        <w:t xml:space="preserve">treatment </w:t>
      </w:r>
      <w:r w:rsidRPr="0085730F">
        <w:rPr>
          <w:rFonts w:ascii="Arial" w:hAnsi="Arial" w:cs="Arial"/>
          <w:sz w:val="22"/>
          <w:szCs w:val="22"/>
        </w:rPr>
        <w:t>group</w:t>
      </w:r>
      <w:r w:rsidR="00881C24">
        <w:rPr>
          <w:rFonts w:ascii="Arial" w:hAnsi="Arial" w:cs="Arial"/>
          <w:sz w:val="22"/>
          <w:szCs w:val="22"/>
        </w:rPr>
        <w:t>s</w:t>
      </w:r>
      <w:r w:rsidRPr="0085730F">
        <w:rPr>
          <w:rFonts w:ascii="Arial" w:hAnsi="Arial" w:cs="Arial"/>
          <w:sz w:val="22"/>
          <w:szCs w:val="22"/>
        </w:rPr>
        <w:t xml:space="preserve"> C, D and E receive</w:t>
      </w:r>
      <w:r w:rsidR="00881C24">
        <w:rPr>
          <w:rFonts w:ascii="Arial" w:hAnsi="Arial" w:cs="Arial"/>
          <w:sz w:val="22"/>
          <w:szCs w:val="22"/>
        </w:rPr>
        <w:t>d</w:t>
      </w:r>
      <w:r w:rsidRPr="0085730F">
        <w:rPr>
          <w:rFonts w:ascii="Arial" w:hAnsi="Arial" w:cs="Arial"/>
          <w:sz w:val="22"/>
          <w:szCs w:val="22"/>
        </w:rPr>
        <w:t xml:space="preserve"> 0.1</w:t>
      </w:r>
      <w:r w:rsidR="002204F4">
        <w:rPr>
          <w:rFonts w:ascii="Arial" w:hAnsi="Arial" w:cs="Arial"/>
          <w:sz w:val="22"/>
          <w:szCs w:val="22"/>
        </w:rPr>
        <w:t>,</w:t>
      </w:r>
      <w:r w:rsidRPr="0085730F">
        <w:rPr>
          <w:rFonts w:ascii="Arial" w:hAnsi="Arial" w:cs="Arial"/>
          <w:sz w:val="22"/>
          <w:szCs w:val="22"/>
        </w:rPr>
        <w:t xml:space="preserve"> 0.2</w:t>
      </w:r>
      <w:r w:rsidR="002204F4">
        <w:rPr>
          <w:rFonts w:ascii="Arial" w:hAnsi="Arial" w:cs="Arial"/>
          <w:sz w:val="22"/>
          <w:szCs w:val="22"/>
        </w:rPr>
        <w:t xml:space="preserve">, and </w:t>
      </w:r>
      <w:r w:rsidRPr="0085730F">
        <w:rPr>
          <w:rFonts w:ascii="Arial" w:hAnsi="Arial" w:cs="Arial"/>
          <w:sz w:val="22"/>
          <w:szCs w:val="22"/>
        </w:rPr>
        <w:t xml:space="preserve">0.3mg/kg </w:t>
      </w:r>
      <w:r w:rsidR="00DC29BE">
        <w:rPr>
          <w:rFonts w:ascii="Arial" w:hAnsi="Arial" w:cs="Arial"/>
          <w:sz w:val="22"/>
          <w:szCs w:val="22"/>
        </w:rPr>
        <w:t xml:space="preserve">of </w:t>
      </w:r>
      <w:r w:rsidRPr="0085730F">
        <w:rPr>
          <w:rFonts w:ascii="Arial" w:hAnsi="Arial" w:cs="Arial"/>
          <w:sz w:val="22"/>
          <w:szCs w:val="22"/>
        </w:rPr>
        <w:t>PVC</w:t>
      </w:r>
      <w:r w:rsidR="00DC29BE">
        <w:rPr>
          <w:rFonts w:ascii="Arial" w:hAnsi="Arial" w:cs="Arial"/>
          <w:sz w:val="22"/>
          <w:szCs w:val="22"/>
        </w:rPr>
        <w:t xml:space="preserve"> solution</w:t>
      </w:r>
      <w:r w:rsidR="0060079B">
        <w:rPr>
          <w:rFonts w:ascii="Arial" w:hAnsi="Arial" w:cs="Arial"/>
          <w:sz w:val="22"/>
          <w:szCs w:val="22"/>
        </w:rPr>
        <w:t xml:space="preserve"> respectively</w:t>
      </w:r>
      <w:r w:rsidRPr="0085730F">
        <w:rPr>
          <w:rFonts w:ascii="Arial" w:hAnsi="Arial" w:cs="Arial"/>
          <w:sz w:val="22"/>
          <w:szCs w:val="22"/>
        </w:rPr>
        <w:t xml:space="preserve">. Treatment </w:t>
      </w:r>
      <w:r w:rsidR="00D05043">
        <w:rPr>
          <w:rFonts w:ascii="Arial" w:hAnsi="Arial" w:cs="Arial"/>
          <w:sz w:val="22"/>
          <w:szCs w:val="22"/>
        </w:rPr>
        <w:t xml:space="preserve">was </w:t>
      </w:r>
      <w:r w:rsidR="005A7D00">
        <w:rPr>
          <w:rFonts w:ascii="Arial" w:hAnsi="Arial" w:cs="Arial"/>
          <w:sz w:val="22"/>
          <w:szCs w:val="22"/>
        </w:rPr>
        <w:t xml:space="preserve">orally administered daily </w:t>
      </w:r>
      <w:r w:rsidR="00F47999">
        <w:rPr>
          <w:rFonts w:ascii="Arial" w:hAnsi="Arial" w:cs="Arial"/>
          <w:sz w:val="22"/>
          <w:szCs w:val="22"/>
        </w:rPr>
        <w:t>for 4</w:t>
      </w:r>
      <w:r w:rsidR="00EA4B1E">
        <w:rPr>
          <w:rFonts w:ascii="Arial" w:hAnsi="Arial" w:cs="Arial"/>
          <w:sz w:val="22"/>
          <w:szCs w:val="22"/>
        </w:rPr>
        <w:t>5</w:t>
      </w:r>
      <w:r w:rsidR="00F47999">
        <w:rPr>
          <w:rFonts w:ascii="Arial" w:hAnsi="Arial" w:cs="Arial"/>
          <w:sz w:val="22"/>
          <w:szCs w:val="22"/>
        </w:rPr>
        <w:t xml:space="preserve"> days </w:t>
      </w:r>
      <w:r w:rsidR="005A7D00">
        <w:rPr>
          <w:rFonts w:ascii="Arial" w:hAnsi="Arial" w:cs="Arial"/>
          <w:sz w:val="22"/>
          <w:szCs w:val="22"/>
        </w:rPr>
        <w:t xml:space="preserve">using </w:t>
      </w:r>
      <w:r w:rsidR="00F47999">
        <w:rPr>
          <w:rFonts w:ascii="Arial" w:hAnsi="Arial" w:cs="Arial"/>
          <w:sz w:val="22"/>
          <w:szCs w:val="22"/>
        </w:rPr>
        <w:t>oro-gastric tube</w:t>
      </w:r>
      <w:r w:rsidR="002A5190">
        <w:rPr>
          <w:rFonts w:ascii="Arial" w:hAnsi="Arial" w:cs="Arial"/>
          <w:sz w:val="22"/>
          <w:szCs w:val="22"/>
        </w:rPr>
        <w:t xml:space="preserve">, and </w:t>
      </w:r>
      <w:r w:rsidRPr="0085730F">
        <w:rPr>
          <w:rFonts w:ascii="Arial" w:hAnsi="Arial" w:cs="Arial"/>
          <w:sz w:val="22"/>
          <w:szCs w:val="22"/>
        </w:rPr>
        <w:t xml:space="preserve">terminated </w:t>
      </w:r>
      <w:r w:rsidR="002A5190">
        <w:rPr>
          <w:rFonts w:ascii="Arial" w:hAnsi="Arial" w:cs="Arial"/>
          <w:sz w:val="22"/>
          <w:szCs w:val="22"/>
        </w:rPr>
        <w:t xml:space="preserve">after </w:t>
      </w:r>
      <w:r w:rsidRPr="0085730F">
        <w:rPr>
          <w:rFonts w:ascii="Arial" w:hAnsi="Arial" w:cs="Arial"/>
          <w:sz w:val="22"/>
          <w:szCs w:val="22"/>
        </w:rPr>
        <w:t>4</w:t>
      </w:r>
      <w:r w:rsidR="00EA4B1E">
        <w:rPr>
          <w:rFonts w:ascii="Arial" w:hAnsi="Arial" w:cs="Arial"/>
          <w:sz w:val="22"/>
          <w:szCs w:val="22"/>
        </w:rPr>
        <w:t>5</w:t>
      </w:r>
      <w:r w:rsidRPr="0085730F">
        <w:rPr>
          <w:rFonts w:ascii="Arial" w:hAnsi="Arial" w:cs="Arial"/>
          <w:sz w:val="22"/>
          <w:szCs w:val="22"/>
        </w:rPr>
        <w:t xml:space="preserve"> </w:t>
      </w:r>
      <w:r w:rsidR="006E76D9">
        <w:rPr>
          <w:rFonts w:ascii="Arial" w:hAnsi="Arial" w:cs="Arial"/>
          <w:sz w:val="22"/>
          <w:szCs w:val="22"/>
        </w:rPr>
        <w:t xml:space="preserve">days, </w:t>
      </w:r>
      <w:r w:rsidRPr="0085730F">
        <w:rPr>
          <w:rFonts w:ascii="Arial" w:hAnsi="Arial" w:cs="Arial"/>
          <w:sz w:val="22"/>
          <w:szCs w:val="22"/>
        </w:rPr>
        <w:t xml:space="preserve">following which </w:t>
      </w:r>
      <w:r w:rsidR="00CE3213">
        <w:rPr>
          <w:rFonts w:ascii="Arial" w:hAnsi="Arial" w:cs="Arial"/>
          <w:sz w:val="22"/>
          <w:szCs w:val="22"/>
        </w:rPr>
        <w:t xml:space="preserve">the </w:t>
      </w:r>
      <w:r w:rsidRPr="0085730F">
        <w:rPr>
          <w:rFonts w:ascii="Arial" w:hAnsi="Arial" w:cs="Arial"/>
          <w:sz w:val="22"/>
          <w:szCs w:val="22"/>
        </w:rPr>
        <w:t xml:space="preserve">animals </w:t>
      </w:r>
      <w:r w:rsidR="00CE3213">
        <w:rPr>
          <w:rFonts w:ascii="Arial" w:hAnsi="Arial" w:cs="Arial"/>
          <w:sz w:val="22"/>
          <w:szCs w:val="22"/>
        </w:rPr>
        <w:t xml:space="preserve">were </w:t>
      </w:r>
      <w:r w:rsidRPr="0085730F">
        <w:rPr>
          <w:rFonts w:ascii="Arial" w:hAnsi="Arial" w:cs="Arial"/>
          <w:sz w:val="22"/>
          <w:szCs w:val="22"/>
        </w:rPr>
        <w:t>euthanized after behavioral evaluation.</w:t>
      </w:r>
    </w:p>
    <w:p w14:paraId="6727740D" w14:textId="77777777" w:rsidR="00681AEA" w:rsidRPr="0085730F" w:rsidRDefault="00613667">
      <w:pPr>
        <w:spacing w:after="80" w:line="360" w:lineRule="auto"/>
        <w:jc w:val="both"/>
        <w:outlineLvl w:val="2"/>
        <w:rPr>
          <w:rFonts w:ascii="Arial" w:hAnsi="Arial" w:cs="Arial"/>
          <w:b/>
          <w:sz w:val="22"/>
          <w:szCs w:val="22"/>
        </w:rPr>
      </w:pPr>
      <w:r w:rsidRPr="0085730F">
        <w:rPr>
          <w:rFonts w:ascii="Arial" w:hAnsi="Arial" w:cs="Arial"/>
          <w:b/>
          <w:sz w:val="22"/>
          <w:szCs w:val="22"/>
        </w:rPr>
        <w:t>2.2.3 Dosage selection</w:t>
      </w:r>
    </w:p>
    <w:p w14:paraId="6F9C07F0" w14:textId="465C3FF9" w:rsidR="00681AEA" w:rsidRPr="0085730F" w:rsidRDefault="00613667" w:rsidP="005A5ACA">
      <w:pPr>
        <w:spacing w:after="240" w:line="360" w:lineRule="auto"/>
        <w:ind w:firstLine="720"/>
        <w:jc w:val="both"/>
        <w:rPr>
          <w:rFonts w:ascii="Arial" w:hAnsi="Arial" w:cs="Arial"/>
          <w:sz w:val="22"/>
          <w:szCs w:val="22"/>
        </w:rPr>
      </w:pPr>
      <w:r w:rsidRPr="0085730F">
        <w:rPr>
          <w:rFonts w:ascii="Arial" w:hAnsi="Arial" w:cs="Arial"/>
          <w:sz w:val="22"/>
          <w:szCs w:val="22"/>
        </w:rPr>
        <w:t xml:space="preserve">The doses of PVC utilized for this study </w:t>
      </w:r>
      <w:r w:rsidR="0058644A">
        <w:rPr>
          <w:rFonts w:ascii="Arial" w:hAnsi="Arial" w:cs="Arial"/>
          <w:sz w:val="22"/>
          <w:szCs w:val="22"/>
        </w:rPr>
        <w:t xml:space="preserve">were </w:t>
      </w:r>
      <w:r w:rsidRPr="0085730F">
        <w:rPr>
          <w:rFonts w:ascii="Arial" w:hAnsi="Arial" w:cs="Arial"/>
          <w:sz w:val="22"/>
          <w:szCs w:val="22"/>
        </w:rPr>
        <w:t>0.1mg/kg, 0.2mg/kg and 0.3mg/kg</w:t>
      </w:r>
      <w:r w:rsidR="00E40F94">
        <w:rPr>
          <w:rFonts w:ascii="Arial" w:hAnsi="Arial" w:cs="Arial"/>
          <w:sz w:val="22"/>
          <w:szCs w:val="22"/>
        </w:rPr>
        <w:t>,</w:t>
      </w:r>
      <w:r w:rsidRPr="0085730F">
        <w:rPr>
          <w:rFonts w:ascii="Arial" w:hAnsi="Arial" w:cs="Arial"/>
          <w:sz w:val="22"/>
          <w:szCs w:val="22"/>
        </w:rPr>
        <w:t xml:space="preserve"> selected from previous studies (Deng </w:t>
      </w:r>
      <w:r w:rsidR="00424167" w:rsidRPr="00424167">
        <w:rPr>
          <w:rFonts w:ascii="Arial" w:hAnsi="Arial" w:cs="Arial"/>
          <w:i/>
          <w:iCs/>
          <w:sz w:val="22"/>
          <w:szCs w:val="22"/>
        </w:rPr>
        <w:t>et al</w:t>
      </w:r>
      <w:r w:rsidRPr="0085730F">
        <w:rPr>
          <w:rFonts w:ascii="Arial" w:hAnsi="Arial" w:cs="Arial"/>
          <w:sz w:val="22"/>
          <w:szCs w:val="22"/>
        </w:rPr>
        <w:t>., 2017) and duration of 4</w:t>
      </w:r>
      <w:r w:rsidR="004616C0">
        <w:rPr>
          <w:rFonts w:ascii="Arial" w:hAnsi="Arial" w:cs="Arial"/>
          <w:sz w:val="22"/>
          <w:szCs w:val="22"/>
        </w:rPr>
        <w:t>5</w:t>
      </w:r>
      <w:r w:rsidRPr="0085730F">
        <w:rPr>
          <w:rFonts w:ascii="Arial" w:hAnsi="Arial" w:cs="Arial"/>
          <w:sz w:val="22"/>
          <w:szCs w:val="22"/>
        </w:rPr>
        <w:t xml:space="preserve">days for sub-chronic toxicity modelled based </w:t>
      </w:r>
      <w:r w:rsidRPr="0085730F">
        <w:rPr>
          <w:rFonts w:ascii="Arial" w:hAnsi="Arial" w:cs="Arial"/>
          <w:sz w:val="22"/>
          <w:szCs w:val="22"/>
          <w:shd w:val="clear" w:color="auto" w:fill="FFFFFF"/>
        </w:rPr>
        <w:t xml:space="preserve">Said, </w:t>
      </w:r>
      <w:r w:rsidR="00424167" w:rsidRPr="00424167">
        <w:rPr>
          <w:rFonts w:ascii="Arial" w:hAnsi="Arial" w:cs="Arial"/>
          <w:i/>
          <w:iCs/>
          <w:sz w:val="22"/>
          <w:szCs w:val="22"/>
          <w:shd w:val="clear" w:color="auto" w:fill="FFFFFF"/>
        </w:rPr>
        <w:t>et al</w:t>
      </w:r>
      <w:r w:rsidRPr="0085730F">
        <w:rPr>
          <w:rFonts w:ascii="Arial" w:hAnsi="Arial" w:cs="Arial"/>
          <w:sz w:val="22"/>
          <w:szCs w:val="22"/>
          <w:shd w:val="clear" w:color="auto" w:fill="FFFFFF"/>
        </w:rPr>
        <w:t>., (2023)</w:t>
      </w:r>
      <w:r w:rsidR="00795245">
        <w:rPr>
          <w:rFonts w:ascii="Arial" w:hAnsi="Arial" w:cs="Arial"/>
          <w:sz w:val="22"/>
          <w:szCs w:val="22"/>
          <w:shd w:val="clear" w:color="auto" w:fill="FFFFFF"/>
        </w:rPr>
        <w:t xml:space="preserve"> study</w:t>
      </w:r>
      <w:r w:rsidRPr="0085730F">
        <w:rPr>
          <w:rFonts w:ascii="Arial" w:hAnsi="Arial" w:cs="Arial"/>
          <w:sz w:val="22"/>
          <w:szCs w:val="22"/>
          <w:shd w:val="clear" w:color="auto" w:fill="FFFFFF"/>
        </w:rPr>
        <w:t>.</w:t>
      </w:r>
    </w:p>
    <w:p w14:paraId="4FE96DA2"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2.2.4 Protein estimation</w:t>
      </w:r>
    </w:p>
    <w:p w14:paraId="491FCBF9" w14:textId="77777777" w:rsidR="00681AEA" w:rsidRPr="0085730F" w:rsidRDefault="00613667" w:rsidP="00204506">
      <w:pPr>
        <w:spacing w:line="360" w:lineRule="auto"/>
        <w:ind w:firstLine="720"/>
        <w:jc w:val="both"/>
        <w:rPr>
          <w:rFonts w:ascii="Arial" w:hAnsi="Arial" w:cs="Arial"/>
          <w:sz w:val="22"/>
          <w:szCs w:val="22"/>
          <w:lang w:val="en-GB"/>
        </w:rPr>
      </w:pPr>
      <w:r w:rsidRPr="0085730F">
        <w:rPr>
          <w:rFonts w:ascii="Arial" w:hAnsi="Arial" w:cs="Arial"/>
          <w:sz w:val="22"/>
          <w:szCs w:val="22"/>
          <w:lang w:val="en-GB"/>
        </w:rPr>
        <w:t>Total protein concentration was estimated using the biuret method. Briefly, 0.1 mL of sample was diluted with 0.9 mL distilled water and 3 mL of biuret reagent was added. The mixture was incubated at room temperature for 30 minutes and absorbance was measured at 540 nm. A bovine serum albumin standard (0.01–0.1 mg/mL) was used for calibration (Mahesha, 2012).</w:t>
      </w:r>
    </w:p>
    <w:p w14:paraId="63E0ED6A" w14:textId="38637A6A" w:rsidR="00681AEA" w:rsidRPr="0085730F" w:rsidRDefault="00613667" w:rsidP="00616F2A">
      <w:pPr>
        <w:rPr>
          <w:rFonts w:ascii="Arial" w:hAnsi="Arial" w:cs="Arial"/>
          <w:sz w:val="22"/>
          <w:szCs w:val="22"/>
        </w:rPr>
      </w:pPr>
      <w:r w:rsidRPr="0085730F">
        <w:rPr>
          <w:rFonts w:ascii="Arial" w:hAnsi="Arial" w:cs="Arial"/>
          <w:b/>
          <w:sz w:val="22"/>
          <w:szCs w:val="22"/>
        </w:rPr>
        <w:t>2.2.5 Assessment of total bilirubin</w:t>
      </w:r>
    </w:p>
    <w:p w14:paraId="4700F32B" w14:textId="1D8B9AEC" w:rsidR="00681AEA" w:rsidRPr="0085730F" w:rsidRDefault="00613667" w:rsidP="00616F2A">
      <w:pPr>
        <w:spacing w:line="360" w:lineRule="auto"/>
        <w:ind w:firstLine="720"/>
        <w:jc w:val="both"/>
        <w:rPr>
          <w:rFonts w:ascii="Arial" w:hAnsi="Arial" w:cs="Arial"/>
          <w:sz w:val="22"/>
          <w:szCs w:val="22"/>
        </w:rPr>
      </w:pPr>
      <w:r w:rsidRPr="0085730F">
        <w:rPr>
          <w:rFonts w:ascii="Arial" w:hAnsi="Arial" w:cs="Arial"/>
          <w:sz w:val="22"/>
          <w:szCs w:val="22"/>
        </w:rPr>
        <w:t xml:space="preserve">Total bilirubin level </w:t>
      </w:r>
      <w:r w:rsidR="00204506">
        <w:rPr>
          <w:rFonts w:ascii="Arial" w:hAnsi="Arial" w:cs="Arial"/>
          <w:sz w:val="22"/>
          <w:szCs w:val="22"/>
        </w:rPr>
        <w:t xml:space="preserve">was </w:t>
      </w:r>
      <w:r w:rsidRPr="0085730F">
        <w:rPr>
          <w:rFonts w:ascii="Arial" w:hAnsi="Arial" w:cs="Arial"/>
          <w:sz w:val="22"/>
          <w:szCs w:val="22"/>
        </w:rPr>
        <w:t xml:space="preserve">determined by colorimetric method using assay kit (Randox, United Kingdom) according to the manufacturer’s protocol </w:t>
      </w:r>
      <w:proofErr w:type="spellStart"/>
      <w:r w:rsidRPr="0085730F">
        <w:rPr>
          <w:rFonts w:ascii="Arial" w:hAnsi="Arial" w:cs="Arial"/>
          <w:sz w:val="22"/>
          <w:szCs w:val="22"/>
        </w:rPr>
        <w:t>fol</w:t>
      </w:r>
      <w:proofErr w:type="spellEnd"/>
      <w:r w:rsidRPr="0085730F">
        <w:rPr>
          <w:rFonts w:ascii="Arial" w:hAnsi="Arial" w:cs="Arial"/>
          <w:sz w:val="22"/>
          <w:szCs w:val="22"/>
        </w:rPr>
        <w:t xml:space="preserve">-lowing the method earlier described by </w:t>
      </w:r>
      <w:proofErr w:type="spellStart"/>
      <w:r w:rsidRPr="0085730F">
        <w:rPr>
          <w:rFonts w:ascii="Arial" w:hAnsi="Arial" w:cs="Arial"/>
          <w:sz w:val="22"/>
          <w:szCs w:val="22"/>
        </w:rPr>
        <w:t>Jendrassik</w:t>
      </w:r>
      <w:proofErr w:type="spellEnd"/>
      <w:r w:rsidRPr="0085730F">
        <w:rPr>
          <w:rFonts w:ascii="Arial" w:hAnsi="Arial" w:cs="Arial"/>
          <w:sz w:val="22"/>
          <w:szCs w:val="22"/>
        </w:rPr>
        <w:t xml:space="preserve"> and Grof, 1983. About 0.2 mL of sample was added to 3.0 mL of working solution (dilute hydrochloric acid; 0.7 mmol/L, pH 0.7: containing, 2.5 mmol of sodium nitrite, 10 mmol of sulfanilic acid, 1.0 mol of citric acid, 0.5 mol of caffeine, 3.0 mol of urea, and 0.5 g of surfactant) for the test and the sample blank, respectively. Thereafter, the mixture will be incubated at room temperature (25 </w:t>
      </w:r>
      <w:r w:rsidRPr="0085730F">
        <w:rPr>
          <w:rFonts w:ascii="Arial" w:hAnsi="Arial" w:cs="Arial"/>
          <w:sz w:val="22"/>
          <w:szCs w:val="22"/>
          <w:vertAlign w:val="superscript"/>
        </w:rPr>
        <w:t xml:space="preserve">o </w:t>
      </w:r>
      <w:r w:rsidRPr="0085730F">
        <w:rPr>
          <w:rFonts w:ascii="Arial" w:hAnsi="Arial" w:cs="Arial"/>
          <w:sz w:val="22"/>
          <w:szCs w:val="22"/>
        </w:rPr>
        <w:t>C) for 5 min and read at 578 nm vs the sample blank</w:t>
      </w:r>
      <w:r w:rsidR="001653EB">
        <w:rPr>
          <w:rFonts w:ascii="Arial" w:hAnsi="Arial" w:cs="Arial"/>
          <w:sz w:val="22"/>
          <w:szCs w:val="22"/>
        </w:rPr>
        <w:t xml:space="preserve"> </w:t>
      </w:r>
      <w:r w:rsidR="001653EB" w:rsidRPr="0085730F">
        <w:rPr>
          <w:rFonts w:ascii="Arial" w:hAnsi="Arial" w:cs="Arial"/>
          <w:sz w:val="22"/>
          <w:szCs w:val="22"/>
        </w:rPr>
        <w:t xml:space="preserve">(George </w:t>
      </w:r>
      <w:r w:rsidR="001653EB" w:rsidRPr="00424167">
        <w:rPr>
          <w:rFonts w:ascii="Arial" w:hAnsi="Arial" w:cs="Arial"/>
          <w:i/>
          <w:iCs/>
          <w:sz w:val="22"/>
          <w:szCs w:val="22"/>
        </w:rPr>
        <w:t>et al</w:t>
      </w:r>
      <w:r w:rsidR="001653EB" w:rsidRPr="0085730F">
        <w:rPr>
          <w:rFonts w:ascii="Arial" w:hAnsi="Arial" w:cs="Arial"/>
          <w:sz w:val="22"/>
          <w:szCs w:val="22"/>
        </w:rPr>
        <w:t>., 2011).</w:t>
      </w:r>
      <w:r w:rsidRPr="0085730F">
        <w:rPr>
          <w:rFonts w:ascii="Arial" w:hAnsi="Arial" w:cs="Arial"/>
          <w:sz w:val="22"/>
          <w:szCs w:val="22"/>
        </w:rPr>
        <w:t xml:space="preserve"> </w:t>
      </w:r>
    </w:p>
    <w:p w14:paraId="485080ED" w14:textId="77777777" w:rsidR="001653EB" w:rsidRDefault="001653EB">
      <w:pPr>
        <w:rPr>
          <w:rFonts w:ascii="Arial" w:hAnsi="Arial" w:cs="Arial"/>
          <w:b/>
          <w:sz w:val="22"/>
          <w:szCs w:val="22"/>
        </w:rPr>
      </w:pPr>
      <w:r>
        <w:rPr>
          <w:rFonts w:ascii="Arial" w:hAnsi="Arial" w:cs="Arial"/>
          <w:b/>
          <w:sz w:val="22"/>
          <w:szCs w:val="22"/>
        </w:rPr>
        <w:br w:type="page"/>
      </w:r>
    </w:p>
    <w:p w14:paraId="0A7D9589" w14:textId="0FC30982"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lastRenderedPageBreak/>
        <w:t>2.2.6 Assessment of alanine aminotransferase</w:t>
      </w:r>
    </w:p>
    <w:p w14:paraId="5618A1C4" w14:textId="76799B36" w:rsidR="0087524F" w:rsidRPr="0087524F" w:rsidRDefault="0087524F" w:rsidP="000371BC">
      <w:pPr>
        <w:spacing w:line="360" w:lineRule="auto"/>
        <w:ind w:firstLine="720"/>
        <w:jc w:val="both"/>
        <w:rPr>
          <w:rFonts w:ascii="Arial" w:hAnsi="Arial" w:cs="Arial"/>
          <w:sz w:val="22"/>
          <w:szCs w:val="22"/>
          <w:lang w:val="en-GB"/>
        </w:rPr>
      </w:pPr>
      <w:r w:rsidRPr="0087524F">
        <w:rPr>
          <w:rFonts w:ascii="Arial" w:hAnsi="Arial" w:cs="Arial"/>
          <w:sz w:val="22"/>
          <w:szCs w:val="22"/>
          <w:lang w:val="en-GB"/>
        </w:rPr>
        <w:t xml:space="preserve">The activity of alanine aminotransferase (ALT) in serum was quantified using spectrophotometry. Blood was obtained from each mouse via ocular puncture using a heparinised capillary tube, transferred into a lithium heparinised sample container, and centrifuged at 10,000 rpm for 15 minutes in a cool centrifuge. The serum was taken individually for each animal, and 0.1 mL of each sample was combined with 0.5 mL of a solution containing sodium phosphate buffer (100 mmol/L, pH 7.4), L-alanine (200 mmol/L), and α-oxoglutarate (2 mmol/L). The mixture </w:t>
      </w:r>
      <w:r>
        <w:rPr>
          <w:rFonts w:ascii="Arial" w:hAnsi="Arial" w:cs="Arial"/>
          <w:sz w:val="22"/>
          <w:szCs w:val="22"/>
          <w:lang w:val="en-GB"/>
        </w:rPr>
        <w:t xml:space="preserve">was </w:t>
      </w:r>
      <w:r w:rsidRPr="0087524F">
        <w:rPr>
          <w:rFonts w:ascii="Arial" w:hAnsi="Arial" w:cs="Arial"/>
          <w:sz w:val="22"/>
          <w:szCs w:val="22"/>
          <w:lang w:val="en-GB"/>
        </w:rPr>
        <w:t xml:space="preserve">thereafter incubated for 30 minutes at 37˚C. Subsequently, 0.5 ml of 2,4-dinitrophenylhydrazine (2 mmol/L) was added to the reaction mixture and </w:t>
      </w:r>
      <w:r>
        <w:rPr>
          <w:rFonts w:ascii="Arial" w:hAnsi="Arial" w:cs="Arial"/>
          <w:sz w:val="22"/>
          <w:szCs w:val="22"/>
          <w:lang w:val="en-GB"/>
        </w:rPr>
        <w:t xml:space="preserve">allowed </w:t>
      </w:r>
      <w:r w:rsidRPr="0087524F">
        <w:rPr>
          <w:rFonts w:ascii="Arial" w:hAnsi="Arial" w:cs="Arial"/>
          <w:sz w:val="22"/>
          <w:szCs w:val="22"/>
          <w:lang w:val="en-GB"/>
        </w:rPr>
        <w:t xml:space="preserve">to incubate for 20 minutes at 25˚C. Subsequently, 5.0 ml of sodium hydroxide (0.4 mol/L) was introduced, and the absorbance measured against the reagent blank after 5 minutes at 546 nm. The ALT units </w:t>
      </w:r>
      <w:proofErr w:type="gramStart"/>
      <w:r>
        <w:rPr>
          <w:rFonts w:ascii="Arial" w:hAnsi="Arial" w:cs="Arial"/>
          <w:sz w:val="22"/>
          <w:szCs w:val="22"/>
          <w:lang w:val="en-GB"/>
        </w:rPr>
        <w:t>was</w:t>
      </w:r>
      <w:proofErr w:type="gramEnd"/>
      <w:r>
        <w:rPr>
          <w:rFonts w:ascii="Arial" w:hAnsi="Arial" w:cs="Arial"/>
          <w:sz w:val="22"/>
          <w:szCs w:val="22"/>
          <w:lang w:val="en-GB"/>
        </w:rPr>
        <w:t xml:space="preserve"> </w:t>
      </w:r>
      <w:r w:rsidRPr="0087524F">
        <w:rPr>
          <w:rFonts w:ascii="Arial" w:hAnsi="Arial" w:cs="Arial"/>
          <w:sz w:val="22"/>
          <w:szCs w:val="22"/>
          <w:lang w:val="en-GB"/>
        </w:rPr>
        <w:t>denoted as U/L (George et al., 2011).</w:t>
      </w:r>
    </w:p>
    <w:p w14:paraId="04DE9F0B"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2.2.7 Assessment of aspartate aminotransferase</w:t>
      </w:r>
    </w:p>
    <w:p w14:paraId="3DA5D33C" w14:textId="69772E74" w:rsidR="006B355E" w:rsidRPr="006B355E" w:rsidRDefault="006B355E" w:rsidP="000371BC">
      <w:pPr>
        <w:spacing w:line="360" w:lineRule="auto"/>
        <w:ind w:firstLine="720"/>
        <w:jc w:val="both"/>
        <w:rPr>
          <w:rFonts w:ascii="Arial" w:hAnsi="Arial" w:cs="Arial"/>
          <w:sz w:val="22"/>
          <w:szCs w:val="22"/>
          <w:lang w:val="en-GB"/>
        </w:rPr>
      </w:pPr>
      <w:r w:rsidRPr="006B355E">
        <w:rPr>
          <w:rFonts w:ascii="Arial" w:hAnsi="Arial" w:cs="Arial"/>
          <w:sz w:val="22"/>
          <w:szCs w:val="22"/>
          <w:lang w:val="en-GB"/>
        </w:rPr>
        <w:t xml:space="preserve">The activity of aspartate aminotransferase (AST) in serum was quantified using spectrophotometry. Blood was obtained from each mouse via ocular puncture using a heparinised capillary tube into a lithium heparinised sample container and </w:t>
      </w:r>
      <w:r>
        <w:rPr>
          <w:rFonts w:ascii="Arial" w:hAnsi="Arial" w:cs="Arial"/>
          <w:sz w:val="22"/>
          <w:szCs w:val="22"/>
          <w:lang w:val="en-GB"/>
        </w:rPr>
        <w:t xml:space="preserve">was </w:t>
      </w:r>
      <w:r w:rsidRPr="006B355E">
        <w:rPr>
          <w:rFonts w:ascii="Arial" w:hAnsi="Arial" w:cs="Arial"/>
          <w:sz w:val="22"/>
          <w:szCs w:val="22"/>
          <w:lang w:val="en-GB"/>
        </w:rPr>
        <w:t xml:space="preserve">spun at 10,000 rpm for 15 minutes in a cool centrifuge. Serum </w:t>
      </w:r>
      <w:r w:rsidR="001D4098">
        <w:rPr>
          <w:rFonts w:ascii="Arial" w:hAnsi="Arial" w:cs="Arial"/>
          <w:sz w:val="22"/>
          <w:szCs w:val="22"/>
          <w:lang w:val="en-GB"/>
        </w:rPr>
        <w:t xml:space="preserve">was </w:t>
      </w:r>
      <w:r w:rsidRPr="006B355E">
        <w:rPr>
          <w:rFonts w:ascii="Arial" w:hAnsi="Arial" w:cs="Arial"/>
          <w:sz w:val="22"/>
          <w:szCs w:val="22"/>
          <w:lang w:val="en-GB"/>
        </w:rPr>
        <w:t xml:space="preserve">collected individually for each animal, and 0.1 mL of each sample </w:t>
      </w:r>
      <w:r w:rsidR="006D7D88">
        <w:rPr>
          <w:rFonts w:ascii="Arial" w:hAnsi="Arial" w:cs="Arial"/>
          <w:sz w:val="22"/>
          <w:szCs w:val="22"/>
          <w:lang w:val="en-GB"/>
        </w:rPr>
        <w:t xml:space="preserve">was </w:t>
      </w:r>
      <w:r w:rsidRPr="006B355E">
        <w:rPr>
          <w:rFonts w:ascii="Arial" w:hAnsi="Arial" w:cs="Arial"/>
          <w:sz w:val="22"/>
          <w:szCs w:val="22"/>
          <w:lang w:val="en-GB"/>
        </w:rPr>
        <w:t xml:space="preserve">combined with 0.5 mL of a solution containing sodium phosphate buffer (100 mmol/L, pH 7.4), L-aspartate (100 mmol/L), and α-oxoglutarate (2 mmol/L). The mixture </w:t>
      </w:r>
      <w:r w:rsidR="00342B61">
        <w:rPr>
          <w:rFonts w:ascii="Arial" w:hAnsi="Arial" w:cs="Arial"/>
          <w:sz w:val="22"/>
          <w:szCs w:val="22"/>
          <w:lang w:val="en-GB"/>
        </w:rPr>
        <w:t xml:space="preserve">was </w:t>
      </w:r>
      <w:r w:rsidRPr="006B355E">
        <w:rPr>
          <w:rFonts w:ascii="Arial" w:hAnsi="Arial" w:cs="Arial"/>
          <w:sz w:val="22"/>
          <w:szCs w:val="22"/>
          <w:lang w:val="en-GB"/>
        </w:rPr>
        <w:t xml:space="preserve">thereafter incubated for 30 minutes at 37˚C. Subsequently, 0.5 ml of 2,4-dinitrophenylhydrazine (2 mmol/L) </w:t>
      </w:r>
      <w:r w:rsidR="000D73CA">
        <w:rPr>
          <w:rFonts w:ascii="Arial" w:hAnsi="Arial" w:cs="Arial"/>
          <w:sz w:val="22"/>
          <w:szCs w:val="22"/>
          <w:lang w:val="en-GB"/>
        </w:rPr>
        <w:t>was</w:t>
      </w:r>
      <w:r w:rsidRPr="006B355E">
        <w:rPr>
          <w:rFonts w:ascii="Arial" w:hAnsi="Arial" w:cs="Arial"/>
          <w:sz w:val="22"/>
          <w:szCs w:val="22"/>
          <w:lang w:val="en-GB"/>
        </w:rPr>
        <w:t xml:space="preserve"> incorporated into the reaction mixture and </w:t>
      </w:r>
      <w:r w:rsidR="0037163F">
        <w:rPr>
          <w:rFonts w:ascii="Arial" w:hAnsi="Arial" w:cs="Arial"/>
          <w:sz w:val="22"/>
          <w:szCs w:val="22"/>
          <w:lang w:val="en-GB"/>
        </w:rPr>
        <w:t xml:space="preserve">allowed </w:t>
      </w:r>
      <w:r w:rsidRPr="006B355E">
        <w:rPr>
          <w:rFonts w:ascii="Arial" w:hAnsi="Arial" w:cs="Arial"/>
          <w:sz w:val="22"/>
          <w:szCs w:val="22"/>
          <w:lang w:val="en-GB"/>
        </w:rPr>
        <w:t xml:space="preserve">to stand for precisely 20 minutes at 25˚C. Subsequently, 5.0 ml of sodium hydroxide (0.4 mol/L) </w:t>
      </w:r>
      <w:r w:rsidR="00766E29">
        <w:rPr>
          <w:rFonts w:ascii="Arial" w:hAnsi="Arial" w:cs="Arial"/>
          <w:sz w:val="22"/>
          <w:szCs w:val="22"/>
          <w:lang w:val="en-GB"/>
        </w:rPr>
        <w:t xml:space="preserve">was </w:t>
      </w:r>
      <w:r w:rsidRPr="006B355E">
        <w:rPr>
          <w:rFonts w:ascii="Arial" w:hAnsi="Arial" w:cs="Arial"/>
          <w:sz w:val="22"/>
          <w:szCs w:val="22"/>
          <w:lang w:val="en-GB"/>
        </w:rPr>
        <w:t>introduced, and the absorbance measured against the reagent blank after 5 minutes at 546 nm. The units of AST will be denoted as U/L (George et al., 2011).</w:t>
      </w:r>
    </w:p>
    <w:p w14:paraId="6048D929"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2.2.8 Assessment of alkaline phosphatase</w:t>
      </w:r>
    </w:p>
    <w:p w14:paraId="7CDD01A2" w14:textId="77777777" w:rsidR="000371BC" w:rsidRDefault="00EA4F7B" w:rsidP="000371BC">
      <w:pPr>
        <w:spacing w:line="360" w:lineRule="auto"/>
        <w:ind w:firstLine="720"/>
        <w:jc w:val="both"/>
        <w:rPr>
          <w:rFonts w:ascii="Arial" w:hAnsi="Arial" w:cs="Arial"/>
          <w:sz w:val="22"/>
          <w:szCs w:val="22"/>
          <w:lang w:val="en-GB"/>
        </w:rPr>
      </w:pPr>
      <w:r w:rsidRPr="00EA4F7B">
        <w:rPr>
          <w:rFonts w:ascii="Arial" w:hAnsi="Arial" w:cs="Arial"/>
          <w:sz w:val="22"/>
          <w:szCs w:val="22"/>
          <w:lang w:val="en-GB"/>
        </w:rPr>
        <w:t xml:space="preserve">The activity of alkaline phosphatase (ALP) in serum was measured spectrophotometrically. Blood </w:t>
      </w:r>
      <w:r>
        <w:rPr>
          <w:rFonts w:ascii="Arial" w:hAnsi="Arial" w:cs="Arial"/>
          <w:sz w:val="22"/>
          <w:szCs w:val="22"/>
          <w:lang w:val="en-GB"/>
        </w:rPr>
        <w:t>was</w:t>
      </w:r>
      <w:r w:rsidRPr="00EA4F7B">
        <w:rPr>
          <w:rFonts w:ascii="Arial" w:hAnsi="Arial" w:cs="Arial"/>
          <w:sz w:val="22"/>
          <w:szCs w:val="22"/>
          <w:lang w:val="en-GB"/>
        </w:rPr>
        <w:t xml:space="preserve"> obtained from each mouse via ocular puncture using a heparinised capillary tube into a lithium heparinised sample container and subsequently spun at 10,000 rpm for 15 minutes in a cool centrifuge. Serum </w:t>
      </w:r>
      <w:r w:rsidR="007C16B2">
        <w:rPr>
          <w:rFonts w:ascii="Arial" w:hAnsi="Arial" w:cs="Arial"/>
          <w:sz w:val="22"/>
          <w:szCs w:val="22"/>
          <w:lang w:val="en-GB"/>
        </w:rPr>
        <w:t>was</w:t>
      </w:r>
      <w:r w:rsidRPr="00EA4F7B">
        <w:rPr>
          <w:rFonts w:ascii="Arial" w:hAnsi="Arial" w:cs="Arial"/>
          <w:sz w:val="22"/>
          <w:szCs w:val="22"/>
          <w:lang w:val="en-GB"/>
        </w:rPr>
        <w:t xml:space="preserve"> taken individually from each animal, and 0.05 mL of each sample </w:t>
      </w:r>
      <w:r w:rsidR="00472141">
        <w:rPr>
          <w:rFonts w:ascii="Arial" w:hAnsi="Arial" w:cs="Arial"/>
          <w:sz w:val="22"/>
          <w:szCs w:val="22"/>
          <w:lang w:val="en-GB"/>
        </w:rPr>
        <w:t xml:space="preserve">was </w:t>
      </w:r>
      <w:r w:rsidRPr="00EA4F7B">
        <w:rPr>
          <w:rFonts w:ascii="Arial" w:hAnsi="Arial" w:cs="Arial"/>
          <w:sz w:val="22"/>
          <w:szCs w:val="22"/>
          <w:lang w:val="en-GB"/>
        </w:rPr>
        <w:t xml:space="preserve">combined with 0.5 mL of a solution containing diethanolamine buffer (1 mol/L, pH 9.8) and Magnesium Chloride (0.5 mmol/L) in a test tube. Subsequently, 3 ml of p-nitrophenyl phosphate (10 mmol/L) </w:t>
      </w:r>
      <w:r w:rsidR="00472141">
        <w:rPr>
          <w:rFonts w:ascii="Arial" w:hAnsi="Arial" w:cs="Arial"/>
          <w:sz w:val="22"/>
          <w:szCs w:val="22"/>
          <w:lang w:val="en-GB"/>
        </w:rPr>
        <w:t xml:space="preserve">was </w:t>
      </w:r>
      <w:r w:rsidRPr="00EA4F7B">
        <w:rPr>
          <w:rFonts w:ascii="Arial" w:hAnsi="Arial" w:cs="Arial"/>
          <w:sz w:val="22"/>
          <w:szCs w:val="22"/>
          <w:lang w:val="en-GB"/>
        </w:rPr>
        <w:t xml:space="preserve">incorporated into the reaction mixture and maintained at 25˚C. Subsequently, absorbance </w:t>
      </w:r>
      <w:r w:rsidR="00B46522">
        <w:rPr>
          <w:rFonts w:ascii="Arial" w:hAnsi="Arial" w:cs="Arial"/>
          <w:sz w:val="22"/>
          <w:szCs w:val="22"/>
          <w:lang w:val="en-GB"/>
        </w:rPr>
        <w:t>was</w:t>
      </w:r>
      <w:r w:rsidRPr="00EA4F7B">
        <w:rPr>
          <w:rFonts w:ascii="Arial" w:hAnsi="Arial" w:cs="Arial"/>
          <w:sz w:val="22"/>
          <w:szCs w:val="22"/>
          <w:lang w:val="en-GB"/>
        </w:rPr>
        <w:t xml:space="preserve"> measured at 0, 1, 2, and 3 minutes, </w:t>
      </w:r>
      <w:r w:rsidRPr="00EA4F7B">
        <w:rPr>
          <w:rFonts w:ascii="Arial" w:hAnsi="Arial" w:cs="Arial"/>
          <w:sz w:val="22"/>
          <w:szCs w:val="22"/>
          <w:lang w:val="en-GB"/>
        </w:rPr>
        <w:lastRenderedPageBreak/>
        <w:t>respectively, at 405 nm (Augustine 2019). The units of ALP were denoted as U/L (George et al., 2011).</w:t>
      </w:r>
    </w:p>
    <w:p w14:paraId="0EB6FC1B" w14:textId="1CC641F4" w:rsidR="00681AEA" w:rsidRPr="000371BC" w:rsidRDefault="00613667" w:rsidP="000371BC">
      <w:pPr>
        <w:spacing w:line="360" w:lineRule="auto"/>
        <w:jc w:val="both"/>
        <w:rPr>
          <w:rFonts w:ascii="Arial" w:hAnsi="Arial" w:cs="Arial"/>
          <w:sz w:val="22"/>
          <w:szCs w:val="22"/>
          <w:lang w:val="en-GB"/>
        </w:rPr>
      </w:pPr>
      <w:r w:rsidRPr="0085730F">
        <w:rPr>
          <w:rFonts w:ascii="Arial" w:hAnsi="Arial" w:cs="Arial"/>
          <w:b/>
          <w:sz w:val="22"/>
          <w:szCs w:val="22"/>
        </w:rPr>
        <w:t>2.3.0 Determination of glutathione (GSH) concentration</w:t>
      </w:r>
    </w:p>
    <w:p w14:paraId="76DB7889" w14:textId="443DA8D3" w:rsidR="00115779" w:rsidRPr="00115779" w:rsidRDefault="00115779" w:rsidP="000371BC">
      <w:pPr>
        <w:spacing w:line="360" w:lineRule="auto"/>
        <w:ind w:firstLine="720"/>
        <w:jc w:val="both"/>
        <w:rPr>
          <w:rFonts w:ascii="Arial" w:hAnsi="Arial" w:cs="Arial"/>
          <w:sz w:val="22"/>
          <w:szCs w:val="22"/>
          <w:lang w:val="en-GB"/>
        </w:rPr>
      </w:pPr>
      <w:r w:rsidRPr="00115779">
        <w:rPr>
          <w:rFonts w:ascii="Arial" w:hAnsi="Arial" w:cs="Arial"/>
          <w:sz w:val="22"/>
          <w:szCs w:val="22"/>
          <w:lang w:val="en-GB"/>
        </w:rPr>
        <w:t xml:space="preserve">Aliquots of </w:t>
      </w:r>
      <w:r w:rsidR="00AE20B5">
        <w:rPr>
          <w:rFonts w:ascii="Arial" w:hAnsi="Arial" w:cs="Arial"/>
          <w:sz w:val="22"/>
          <w:szCs w:val="22"/>
          <w:lang w:val="en-GB"/>
        </w:rPr>
        <w:t xml:space="preserve">liver </w:t>
      </w:r>
      <w:r w:rsidRPr="00115779">
        <w:rPr>
          <w:rFonts w:ascii="Arial" w:hAnsi="Arial" w:cs="Arial"/>
          <w:sz w:val="22"/>
          <w:szCs w:val="22"/>
          <w:lang w:val="en-GB"/>
        </w:rPr>
        <w:t xml:space="preserve">supernatant from individual mice in the relevant treatment groups </w:t>
      </w:r>
      <w:r w:rsidR="00AE20B5">
        <w:rPr>
          <w:rFonts w:ascii="Arial" w:hAnsi="Arial" w:cs="Arial"/>
          <w:sz w:val="22"/>
          <w:szCs w:val="22"/>
          <w:lang w:val="en-GB"/>
        </w:rPr>
        <w:t xml:space="preserve">was </w:t>
      </w:r>
      <w:r w:rsidRPr="00115779">
        <w:rPr>
          <w:rFonts w:ascii="Arial" w:hAnsi="Arial" w:cs="Arial"/>
          <w:sz w:val="22"/>
          <w:szCs w:val="22"/>
          <w:lang w:val="en-GB"/>
        </w:rPr>
        <w:t xml:space="preserve">collected, and GSH concentration </w:t>
      </w:r>
      <w:r w:rsidR="00DD5F97">
        <w:rPr>
          <w:rFonts w:ascii="Arial" w:hAnsi="Arial" w:cs="Arial"/>
          <w:sz w:val="22"/>
          <w:szCs w:val="22"/>
          <w:lang w:val="en-GB"/>
        </w:rPr>
        <w:t xml:space="preserve">was </w:t>
      </w:r>
      <w:r w:rsidRPr="00115779">
        <w:rPr>
          <w:rFonts w:ascii="Arial" w:hAnsi="Arial" w:cs="Arial"/>
          <w:sz w:val="22"/>
          <w:szCs w:val="22"/>
          <w:lang w:val="en-GB"/>
        </w:rPr>
        <w:t xml:space="preserve">assessed using the method established by Moron et al. (1979). An equal volume (0.4 ml) of </w:t>
      </w:r>
      <w:r w:rsidR="001A1375">
        <w:rPr>
          <w:rFonts w:ascii="Arial" w:hAnsi="Arial" w:cs="Arial"/>
          <w:sz w:val="22"/>
          <w:szCs w:val="22"/>
          <w:lang w:val="en-GB"/>
        </w:rPr>
        <w:t xml:space="preserve">liver </w:t>
      </w:r>
      <w:r w:rsidRPr="00115779">
        <w:rPr>
          <w:rFonts w:ascii="Arial" w:hAnsi="Arial" w:cs="Arial"/>
          <w:sz w:val="22"/>
          <w:szCs w:val="22"/>
          <w:lang w:val="en-GB"/>
        </w:rPr>
        <w:t xml:space="preserve">homogenate will be combined with 0.4 ml of 20% TCA and thereafter spun in a chilled centrifuge at 10,000 rpm at 4°C for 20 minutes. To 0.25 ml of the supernatant, 2 ml of 0.6 mM DTNB </w:t>
      </w:r>
      <w:r w:rsidR="00630408">
        <w:rPr>
          <w:rFonts w:ascii="Arial" w:hAnsi="Arial" w:cs="Arial"/>
          <w:sz w:val="22"/>
          <w:szCs w:val="22"/>
          <w:lang w:val="en-GB"/>
        </w:rPr>
        <w:t>was</w:t>
      </w:r>
      <w:r w:rsidRPr="00115779">
        <w:rPr>
          <w:rFonts w:ascii="Arial" w:hAnsi="Arial" w:cs="Arial"/>
          <w:sz w:val="22"/>
          <w:szCs w:val="22"/>
          <w:lang w:val="en-GB"/>
        </w:rPr>
        <w:t xml:space="preserve"> added, and the final volume adjusted to 3 ml with 0.2 M phosphate buffer at pH 8.0. The absorbance was subsequently measured at 412 nm against a blank reagent use a spectrophotometer. The quantities of GSH in </w:t>
      </w:r>
      <w:r w:rsidR="00F2685A">
        <w:rPr>
          <w:rFonts w:ascii="Arial" w:hAnsi="Arial" w:cs="Arial"/>
          <w:sz w:val="22"/>
          <w:szCs w:val="22"/>
          <w:lang w:val="en-GB"/>
        </w:rPr>
        <w:t xml:space="preserve">liver </w:t>
      </w:r>
      <w:r w:rsidRPr="00115779">
        <w:rPr>
          <w:rFonts w:ascii="Arial" w:hAnsi="Arial" w:cs="Arial"/>
          <w:sz w:val="22"/>
          <w:szCs w:val="22"/>
          <w:lang w:val="en-GB"/>
        </w:rPr>
        <w:t xml:space="preserve">tissues were quantified in micromoles per gramme of tissue </w:t>
      </w:r>
      <w:proofErr w:type="spellStart"/>
      <w:r w:rsidRPr="00115779">
        <w:rPr>
          <w:rFonts w:ascii="Arial" w:hAnsi="Arial" w:cs="Arial"/>
          <w:sz w:val="22"/>
          <w:szCs w:val="22"/>
          <w:lang w:val="en-GB"/>
        </w:rPr>
        <w:t>μmol</w:t>
      </w:r>
      <w:proofErr w:type="spellEnd"/>
      <w:r w:rsidRPr="00115779">
        <w:rPr>
          <w:rFonts w:ascii="Arial" w:hAnsi="Arial" w:cs="Arial"/>
          <w:sz w:val="22"/>
          <w:szCs w:val="22"/>
          <w:lang w:val="en-GB"/>
        </w:rPr>
        <w:t>/g tissue (</w:t>
      </w:r>
      <w:proofErr w:type="spellStart"/>
      <w:r w:rsidRPr="00115779">
        <w:rPr>
          <w:rFonts w:ascii="Arial" w:hAnsi="Arial" w:cs="Arial"/>
          <w:sz w:val="22"/>
          <w:szCs w:val="22"/>
          <w:lang w:val="en-GB"/>
        </w:rPr>
        <w:t>Igben</w:t>
      </w:r>
      <w:proofErr w:type="spellEnd"/>
      <w:r w:rsidRPr="00115779">
        <w:rPr>
          <w:rFonts w:ascii="Arial" w:hAnsi="Arial" w:cs="Arial"/>
          <w:sz w:val="22"/>
          <w:szCs w:val="22"/>
          <w:lang w:val="en-GB"/>
        </w:rPr>
        <w:t xml:space="preserve"> et al., 2023).</w:t>
      </w:r>
    </w:p>
    <w:p w14:paraId="167E3E59"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2.3.1 Estimation of malondialdehyde level</w:t>
      </w:r>
    </w:p>
    <w:p w14:paraId="127D5831" w14:textId="5FC8A810" w:rsidR="000371BC" w:rsidRPr="000371BC" w:rsidRDefault="000371BC" w:rsidP="00057B12">
      <w:pPr>
        <w:spacing w:line="360" w:lineRule="auto"/>
        <w:ind w:firstLine="720"/>
        <w:jc w:val="both"/>
        <w:rPr>
          <w:rFonts w:ascii="Arial" w:hAnsi="Arial" w:cs="Arial"/>
          <w:sz w:val="22"/>
          <w:szCs w:val="22"/>
          <w:lang w:val="en-GB"/>
        </w:rPr>
      </w:pPr>
      <w:r w:rsidRPr="000371BC">
        <w:rPr>
          <w:rFonts w:ascii="Arial" w:hAnsi="Arial" w:cs="Arial"/>
          <w:sz w:val="22"/>
          <w:szCs w:val="22"/>
          <w:lang w:val="en-GB"/>
        </w:rPr>
        <w:t xml:space="preserve">The </w:t>
      </w:r>
      <w:r w:rsidR="00057B12">
        <w:rPr>
          <w:rFonts w:ascii="Arial" w:hAnsi="Arial" w:cs="Arial"/>
          <w:sz w:val="22"/>
          <w:szCs w:val="22"/>
          <w:lang w:val="en-GB"/>
        </w:rPr>
        <w:t xml:space="preserve">liver </w:t>
      </w:r>
      <w:r w:rsidRPr="000371BC">
        <w:rPr>
          <w:rFonts w:ascii="Arial" w:hAnsi="Arial" w:cs="Arial"/>
          <w:sz w:val="22"/>
          <w:szCs w:val="22"/>
          <w:lang w:val="en-GB"/>
        </w:rPr>
        <w:t>concentration of MDA, a biomarker indicative of lipid peroxidation, was assessed using the technique established by Adam-Vizi and Seregi (1982). An aliquot of 0.4 ml of the supernatant was combined with 1.6 ml of Tris–</w:t>
      </w:r>
      <w:proofErr w:type="spellStart"/>
      <w:r w:rsidRPr="000371BC">
        <w:rPr>
          <w:rFonts w:ascii="Arial" w:hAnsi="Arial" w:cs="Arial"/>
          <w:sz w:val="22"/>
          <w:szCs w:val="22"/>
          <w:lang w:val="en-GB"/>
        </w:rPr>
        <w:t>KCl</w:t>
      </w:r>
      <w:proofErr w:type="spellEnd"/>
      <w:r w:rsidRPr="000371BC">
        <w:rPr>
          <w:rFonts w:ascii="Arial" w:hAnsi="Arial" w:cs="Arial"/>
          <w:sz w:val="22"/>
          <w:szCs w:val="22"/>
          <w:lang w:val="en-GB"/>
        </w:rPr>
        <w:t xml:space="preserve"> buffer, followed by the addition of 0.5 ml of 30% TCA. Subsequently, 0.5 ml of 0.75% TBA was introduced and incubated in a water bath for 45 minutes at 80°C. The mixture was subsequently chilled in ice and centrifuged at 3000 rpm for 15 minutes. The transparent supernatant was obtained, and absorbance was assessed relative to a distilled water reference blank at 532 nm utilising a spectrophotometer. The MDA concentration was determined utilising a molar extinction coefficient of 1.56×10^5 M^-1 cm^-1, with results represented as micromoles of MDA per gramme of tissue (</w:t>
      </w:r>
      <w:proofErr w:type="spellStart"/>
      <w:r w:rsidRPr="000371BC">
        <w:rPr>
          <w:rFonts w:ascii="Arial" w:hAnsi="Arial" w:cs="Arial"/>
          <w:sz w:val="22"/>
          <w:szCs w:val="22"/>
          <w:lang w:val="en-GB"/>
        </w:rPr>
        <w:t>Yilgor</w:t>
      </w:r>
      <w:proofErr w:type="spellEnd"/>
      <w:r w:rsidRPr="000371BC">
        <w:rPr>
          <w:rFonts w:ascii="Arial" w:hAnsi="Arial" w:cs="Arial"/>
          <w:sz w:val="22"/>
          <w:szCs w:val="22"/>
          <w:lang w:val="en-GB"/>
        </w:rPr>
        <w:t xml:space="preserve"> &amp; Demir, 2024).</w:t>
      </w:r>
    </w:p>
    <w:p w14:paraId="7373A07C"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2.3.2 Determination of superoxide dismutase (SOD) activity</w:t>
      </w:r>
    </w:p>
    <w:p w14:paraId="6A096285" w14:textId="542CA850" w:rsidR="003B295F" w:rsidRPr="003B295F" w:rsidRDefault="003B295F" w:rsidP="003B295F">
      <w:pPr>
        <w:spacing w:line="360" w:lineRule="auto"/>
        <w:ind w:firstLine="720"/>
        <w:jc w:val="both"/>
        <w:rPr>
          <w:rFonts w:ascii="Arial" w:hAnsi="Arial" w:cs="Arial"/>
          <w:sz w:val="22"/>
          <w:szCs w:val="22"/>
          <w:lang w:val="en-GB"/>
        </w:rPr>
      </w:pPr>
      <w:r w:rsidRPr="003B295F">
        <w:rPr>
          <w:rFonts w:ascii="Arial" w:hAnsi="Arial" w:cs="Arial"/>
          <w:sz w:val="22"/>
          <w:szCs w:val="22"/>
          <w:lang w:val="en-GB"/>
        </w:rPr>
        <w:t xml:space="preserve">SOD activity was assessed using the technique established by Misra and </w:t>
      </w:r>
      <w:proofErr w:type="spellStart"/>
      <w:r w:rsidRPr="003B295F">
        <w:rPr>
          <w:rFonts w:ascii="Arial" w:hAnsi="Arial" w:cs="Arial"/>
          <w:sz w:val="22"/>
          <w:szCs w:val="22"/>
          <w:lang w:val="en-GB"/>
        </w:rPr>
        <w:t>Fridovich</w:t>
      </w:r>
      <w:proofErr w:type="spellEnd"/>
      <w:r w:rsidRPr="003B295F">
        <w:rPr>
          <w:rFonts w:ascii="Arial" w:hAnsi="Arial" w:cs="Arial"/>
          <w:sz w:val="22"/>
          <w:szCs w:val="22"/>
          <w:lang w:val="en-GB"/>
        </w:rPr>
        <w:t xml:space="preserve"> (1972). In summary, 0.1 ml of </w:t>
      </w:r>
      <w:r>
        <w:rPr>
          <w:rFonts w:ascii="Arial" w:hAnsi="Arial" w:cs="Arial"/>
          <w:sz w:val="22"/>
          <w:szCs w:val="22"/>
          <w:lang w:val="en-GB"/>
        </w:rPr>
        <w:t xml:space="preserve">liver </w:t>
      </w:r>
      <w:r w:rsidRPr="003B295F">
        <w:rPr>
          <w:rFonts w:ascii="Arial" w:hAnsi="Arial" w:cs="Arial"/>
          <w:sz w:val="22"/>
          <w:szCs w:val="22"/>
          <w:lang w:val="en-GB"/>
        </w:rPr>
        <w:t xml:space="preserve">supernatant was combined with 2.6 ml of 0.05 M carbonate buffer (pH 10.2) for equilibration in the spectrophotometer, and the reaction commenced with the addition of 0.3 ml of newly generated 0.3 mM adrenaline to the mixture, which was promptly mixed by inversion. The reference cuvette had 2.6 ml of buffer, 0.3 ml of adrenaline, and 0.1 ml of distilled water. The absorbance at 480 nm was recorded at 60-second intervals for a duration of 3 minutes. The activity of superoxide dismutase (SOD) was quantified in units of adrenaline used per minute per </w:t>
      </w:r>
      <w:proofErr w:type="spellStart"/>
      <w:r w:rsidRPr="003B295F">
        <w:rPr>
          <w:rFonts w:ascii="Arial" w:hAnsi="Arial" w:cs="Arial"/>
          <w:sz w:val="22"/>
          <w:szCs w:val="22"/>
          <w:lang w:val="en-GB"/>
        </w:rPr>
        <w:t>milligramme</w:t>
      </w:r>
      <w:proofErr w:type="spellEnd"/>
      <w:r w:rsidRPr="003B295F">
        <w:rPr>
          <w:rFonts w:ascii="Arial" w:hAnsi="Arial" w:cs="Arial"/>
          <w:sz w:val="22"/>
          <w:szCs w:val="22"/>
          <w:lang w:val="en-GB"/>
        </w:rPr>
        <w:t xml:space="preserve"> of protein (</w:t>
      </w:r>
      <w:proofErr w:type="spellStart"/>
      <w:r w:rsidRPr="003B295F">
        <w:rPr>
          <w:rFonts w:ascii="Arial" w:hAnsi="Arial" w:cs="Arial"/>
          <w:sz w:val="22"/>
          <w:szCs w:val="22"/>
          <w:lang w:val="en-GB"/>
        </w:rPr>
        <w:t>Igben</w:t>
      </w:r>
      <w:proofErr w:type="spellEnd"/>
      <w:r w:rsidRPr="003B295F">
        <w:rPr>
          <w:rFonts w:ascii="Arial" w:hAnsi="Arial" w:cs="Arial"/>
          <w:sz w:val="22"/>
          <w:szCs w:val="22"/>
          <w:lang w:val="en-GB"/>
        </w:rPr>
        <w:t xml:space="preserve"> et al., 2025).</w:t>
      </w:r>
    </w:p>
    <w:p w14:paraId="065D039B"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2.3.3 Estimation of catalase activity</w:t>
      </w:r>
    </w:p>
    <w:p w14:paraId="396015A5" w14:textId="44BF6AFB" w:rsidR="00681AEA" w:rsidRPr="0085730F" w:rsidRDefault="00613667" w:rsidP="0098444A">
      <w:pPr>
        <w:spacing w:line="360" w:lineRule="auto"/>
        <w:ind w:firstLine="720"/>
        <w:jc w:val="both"/>
        <w:rPr>
          <w:rFonts w:ascii="Arial" w:hAnsi="Arial" w:cs="Arial"/>
          <w:sz w:val="22"/>
          <w:szCs w:val="22"/>
        </w:rPr>
      </w:pPr>
      <w:r w:rsidRPr="0085730F">
        <w:rPr>
          <w:rFonts w:ascii="Arial" w:hAnsi="Arial" w:cs="Arial"/>
          <w:sz w:val="22"/>
          <w:szCs w:val="22"/>
        </w:rPr>
        <w:t xml:space="preserve">Catalase activity </w:t>
      </w:r>
      <w:r w:rsidR="00DD1E1C">
        <w:rPr>
          <w:rFonts w:ascii="Arial" w:hAnsi="Arial" w:cs="Arial"/>
          <w:sz w:val="22"/>
          <w:szCs w:val="22"/>
        </w:rPr>
        <w:t xml:space="preserve">was </w:t>
      </w:r>
      <w:r w:rsidRPr="0085730F">
        <w:rPr>
          <w:rFonts w:ascii="Arial" w:hAnsi="Arial" w:cs="Arial"/>
          <w:sz w:val="22"/>
          <w:szCs w:val="22"/>
        </w:rPr>
        <w:t>determined according to the method previously described (Sinha, 1971). Aliquots of mouse brain supernatant (0.1 ml) will be added to 2 ml of sodium phosphate buffer (0.05 M; pH 7.4) and 0.9 ml of H</w:t>
      </w:r>
      <w:r w:rsidRPr="0085730F">
        <w:rPr>
          <w:rFonts w:ascii="Arial" w:hAnsi="Arial" w:cs="Arial"/>
          <w:sz w:val="22"/>
          <w:szCs w:val="22"/>
          <w:vertAlign w:val="subscript"/>
        </w:rPr>
        <w:t>2</w:t>
      </w:r>
      <w:r w:rsidRPr="0085730F">
        <w:rPr>
          <w:rFonts w:ascii="Arial" w:hAnsi="Arial" w:cs="Arial"/>
          <w:sz w:val="22"/>
          <w:szCs w:val="22"/>
        </w:rPr>
        <w:t>O</w:t>
      </w:r>
      <w:r w:rsidRPr="0085730F">
        <w:rPr>
          <w:rFonts w:ascii="Arial" w:hAnsi="Arial" w:cs="Arial"/>
          <w:sz w:val="22"/>
          <w:szCs w:val="22"/>
          <w:vertAlign w:val="subscript"/>
        </w:rPr>
        <w:t>2</w:t>
      </w:r>
      <w:r w:rsidRPr="0085730F">
        <w:rPr>
          <w:rFonts w:ascii="Arial" w:hAnsi="Arial" w:cs="Arial"/>
          <w:sz w:val="22"/>
          <w:szCs w:val="22"/>
        </w:rPr>
        <w:t xml:space="preserve"> (800 µmoles). The reaction mixture was mixed by a </w:t>
      </w:r>
      <w:r w:rsidRPr="0085730F">
        <w:rPr>
          <w:rFonts w:ascii="Arial" w:hAnsi="Arial" w:cs="Arial"/>
          <w:sz w:val="22"/>
          <w:szCs w:val="22"/>
        </w:rPr>
        <w:lastRenderedPageBreak/>
        <w:t xml:space="preserve">gentle swirling motion at room temperature and 1 ml of this mixture was added to 2 ml dichromate/acetic acid reagent. The absorbance was read using a spectrophotometer at a wavelength of 570 nm and change in absorbance at 60 s intervals. The catalase activity was expressed as </w:t>
      </w:r>
      <w:proofErr w:type="spellStart"/>
      <w:r w:rsidRPr="0085730F">
        <w:rPr>
          <w:rFonts w:ascii="Arial" w:hAnsi="Arial" w:cs="Arial"/>
          <w:sz w:val="22"/>
          <w:szCs w:val="22"/>
        </w:rPr>
        <w:t>μmol</w:t>
      </w:r>
      <w:proofErr w:type="spellEnd"/>
      <w:r w:rsidRPr="0085730F">
        <w:rPr>
          <w:rFonts w:ascii="Arial" w:hAnsi="Arial" w:cs="Arial"/>
          <w:sz w:val="22"/>
          <w:szCs w:val="22"/>
        </w:rPr>
        <w:t xml:space="preserve"> of H</w:t>
      </w:r>
      <w:r w:rsidRPr="0085730F">
        <w:rPr>
          <w:rFonts w:ascii="Arial" w:hAnsi="Arial" w:cs="Arial"/>
          <w:sz w:val="22"/>
          <w:szCs w:val="22"/>
          <w:vertAlign w:val="subscript"/>
        </w:rPr>
        <w:t>2</w:t>
      </w:r>
      <w:r w:rsidRPr="0085730F">
        <w:rPr>
          <w:rFonts w:ascii="Arial" w:hAnsi="Arial" w:cs="Arial"/>
          <w:sz w:val="22"/>
          <w:szCs w:val="22"/>
        </w:rPr>
        <w:t>O</w:t>
      </w:r>
      <w:r w:rsidRPr="0085730F">
        <w:rPr>
          <w:rFonts w:ascii="Arial" w:hAnsi="Arial" w:cs="Arial"/>
          <w:sz w:val="22"/>
          <w:szCs w:val="22"/>
          <w:vertAlign w:val="subscript"/>
        </w:rPr>
        <w:t>2</w:t>
      </w:r>
      <w:r w:rsidRPr="0085730F">
        <w:rPr>
          <w:rFonts w:ascii="Arial" w:hAnsi="Arial" w:cs="Arial"/>
          <w:sz w:val="22"/>
          <w:szCs w:val="22"/>
        </w:rPr>
        <w:t xml:space="preserve"> decomposed per minute per mg protein (</w:t>
      </w:r>
      <w:r w:rsidRPr="0085730F">
        <w:rPr>
          <w:rFonts w:ascii="Arial" w:hAnsi="Arial" w:cs="Arial"/>
          <w:sz w:val="22"/>
          <w:szCs w:val="22"/>
          <w:shd w:val="clear" w:color="auto" w:fill="FFFFFF"/>
        </w:rPr>
        <w:t xml:space="preserve">Eduviere, </w:t>
      </w:r>
      <w:r w:rsidR="00424167" w:rsidRPr="00424167">
        <w:rPr>
          <w:rFonts w:ascii="Arial" w:hAnsi="Arial" w:cs="Arial"/>
          <w:i/>
          <w:iCs/>
          <w:sz w:val="22"/>
          <w:szCs w:val="22"/>
          <w:shd w:val="clear" w:color="auto" w:fill="FFFFFF"/>
        </w:rPr>
        <w:t>et al</w:t>
      </w:r>
      <w:r w:rsidRPr="0085730F">
        <w:rPr>
          <w:rFonts w:ascii="Arial" w:hAnsi="Arial" w:cs="Arial"/>
          <w:sz w:val="22"/>
          <w:szCs w:val="22"/>
          <w:shd w:val="clear" w:color="auto" w:fill="FFFFFF"/>
        </w:rPr>
        <w:t>., 2015)</w:t>
      </w:r>
      <w:r w:rsidRPr="0085730F">
        <w:rPr>
          <w:rFonts w:ascii="Arial" w:hAnsi="Arial" w:cs="Arial"/>
          <w:sz w:val="22"/>
          <w:szCs w:val="22"/>
        </w:rPr>
        <w:t>.</w:t>
      </w:r>
    </w:p>
    <w:p w14:paraId="362B2798"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2.4.0</w:t>
      </w:r>
      <w:r w:rsidRPr="0085730F">
        <w:rPr>
          <w:rFonts w:ascii="Arial" w:hAnsi="Arial" w:cs="Arial"/>
          <w:sz w:val="22"/>
          <w:szCs w:val="22"/>
        </w:rPr>
        <w:t xml:space="preserve">  </w:t>
      </w:r>
      <w:r w:rsidRPr="0085730F">
        <w:rPr>
          <w:rFonts w:ascii="Arial" w:hAnsi="Arial" w:cs="Arial"/>
          <w:b/>
          <w:sz w:val="22"/>
          <w:szCs w:val="22"/>
        </w:rPr>
        <w:t> Animal sacrifice</w:t>
      </w:r>
    </w:p>
    <w:p w14:paraId="309AC517" w14:textId="10312B19" w:rsidR="005E5351" w:rsidRDefault="00613667" w:rsidP="0098444A">
      <w:pPr>
        <w:spacing w:line="360" w:lineRule="auto"/>
        <w:ind w:firstLine="720"/>
        <w:jc w:val="both"/>
        <w:rPr>
          <w:rFonts w:ascii="Arial" w:hAnsi="Arial" w:cs="Arial"/>
          <w:sz w:val="22"/>
          <w:szCs w:val="22"/>
          <w:lang w:val="en-GB"/>
        </w:rPr>
      </w:pPr>
      <w:r w:rsidRPr="0085730F">
        <w:rPr>
          <w:rFonts w:ascii="Arial" w:hAnsi="Arial" w:cs="Arial"/>
          <w:sz w:val="22"/>
          <w:szCs w:val="22"/>
          <w:lang w:val="en-GB"/>
        </w:rPr>
        <w:t>At the end of the 45-day exposure period, rats were weighed and sacrificed by cervical dislocation to avoid interference from anaesthetics</w:t>
      </w:r>
      <w:r w:rsidR="005E5351">
        <w:rPr>
          <w:rFonts w:ascii="Arial" w:hAnsi="Arial" w:cs="Arial"/>
          <w:sz w:val="22"/>
          <w:szCs w:val="22"/>
          <w:lang w:val="en-GB"/>
        </w:rPr>
        <w:t>, exploratory laparotomy was carried out and the liver tissue harvested</w:t>
      </w:r>
      <w:r w:rsidRPr="0085730F">
        <w:rPr>
          <w:rFonts w:ascii="Arial" w:hAnsi="Arial" w:cs="Arial"/>
          <w:sz w:val="22"/>
          <w:szCs w:val="22"/>
          <w:lang w:val="en-GB"/>
        </w:rPr>
        <w:t>.</w:t>
      </w:r>
    </w:p>
    <w:p w14:paraId="3C87D926" w14:textId="1C3B27C3"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2.4.1 Sample collection</w:t>
      </w:r>
    </w:p>
    <w:p w14:paraId="42A25FD2" w14:textId="32ADF79E" w:rsidR="00681AEA" w:rsidRPr="0085730F" w:rsidRDefault="005E5351" w:rsidP="00707F29">
      <w:pPr>
        <w:spacing w:line="360" w:lineRule="auto"/>
        <w:ind w:firstLine="720"/>
        <w:rPr>
          <w:rFonts w:ascii="Arial" w:hAnsi="Arial" w:cs="Arial"/>
          <w:sz w:val="22"/>
          <w:szCs w:val="22"/>
          <w:lang w:val="en-GB"/>
        </w:rPr>
      </w:pPr>
      <w:r>
        <w:rPr>
          <w:rFonts w:ascii="Arial" w:hAnsi="Arial" w:cs="Arial"/>
          <w:sz w:val="22"/>
          <w:szCs w:val="22"/>
          <w:lang w:val="en-GB"/>
        </w:rPr>
        <w:t>The l</w:t>
      </w:r>
      <w:r w:rsidR="00613667" w:rsidRPr="0085730F">
        <w:rPr>
          <w:rFonts w:ascii="Arial" w:hAnsi="Arial" w:cs="Arial"/>
          <w:sz w:val="22"/>
          <w:szCs w:val="22"/>
          <w:lang w:val="en-GB"/>
        </w:rPr>
        <w:t xml:space="preserve">iver </w:t>
      </w:r>
      <w:r>
        <w:rPr>
          <w:rFonts w:ascii="Arial" w:hAnsi="Arial" w:cs="Arial"/>
          <w:sz w:val="22"/>
          <w:szCs w:val="22"/>
          <w:lang w:val="en-GB"/>
        </w:rPr>
        <w:t xml:space="preserve">tissue in whole </w:t>
      </w:r>
      <w:r w:rsidR="00613667" w:rsidRPr="0085730F">
        <w:rPr>
          <w:rFonts w:ascii="Arial" w:hAnsi="Arial" w:cs="Arial"/>
          <w:sz w:val="22"/>
          <w:szCs w:val="22"/>
          <w:lang w:val="en-GB"/>
        </w:rPr>
        <w:t xml:space="preserve">was carefully dissected, weighed, and fixed in 10% </w:t>
      </w:r>
      <w:r w:rsidR="00707F29" w:rsidRPr="0085730F">
        <w:rPr>
          <w:rFonts w:ascii="Arial" w:hAnsi="Arial" w:cs="Arial"/>
          <w:sz w:val="22"/>
          <w:szCs w:val="22"/>
          <w:lang w:val="en-GB"/>
        </w:rPr>
        <w:t>formal saline</w:t>
      </w:r>
      <w:r w:rsidR="00613667" w:rsidRPr="0085730F">
        <w:rPr>
          <w:rFonts w:ascii="Arial" w:hAnsi="Arial" w:cs="Arial"/>
          <w:sz w:val="22"/>
          <w:szCs w:val="22"/>
          <w:lang w:val="en-GB"/>
        </w:rPr>
        <w:t xml:space="preserve"> for histological analysis.</w:t>
      </w:r>
    </w:p>
    <w:p w14:paraId="6A42CD09"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2.4.2 Tissue processing</w:t>
      </w:r>
    </w:p>
    <w:p w14:paraId="1FC0B2A1" w14:textId="7895E3A1" w:rsidR="00681AEA" w:rsidRPr="0085730F" w:rsidRDefault="00E4691D" w:rsidP="007C26D9">
      <w:pPr>
        <w:spacing w:line="360" w:lineRule="auto"/>
        <w:ind w:firstLine="720"/>
        <w:jc w:val="both"/>
        <w:rPr>
          <w:rFonts w:ascii="Arial" w:hAnsi="Arial" w:cs="Arial"/>
          <w:sz w:val="22"/>
          <w:szCs w:val="22"/>
          <w:lang w:val="en-GB"/>
        </w:rPr>
      </w:pPr>
      <w:r>
        <w:rPr>
          <w:rFonts w:ascii="Arial" w:hAnsi="Arial" w:cs="Arial"/>
          <w:sz w:val="22"/>
          <w:szCs w:val="22"/>
          <w:lang w:val="en-GB"/>
        </w:rPr>
        <w:t>The harvested l</w:t>
      </w:r>
      <w:r w:rsidR="00A70515">
        <w:rPr>
          <w:rFonts w:ascii="Arial" w:hAnsi="Arial" w:cs="Arial"/>
          <w:sz w:val="22"/>
          <w:szCs w:val="22"/>
          <w:lang w:val="en-GB"/>
        </w:rPr>
        <w:t xml:space="preserve">iver </w:t>
      </w:r>
      <w:r w:rsidR="00613667" w:rsidRPr="0085730F">
        <w:rPr>
          <w:rFonts w:ascii="Arial" w:hAnsi="Arial" w:cs="Arial"/>
          <w:sz w:val="22"/>
          <w:szCs w:val="22"/>
          <w:lang w:val="en-GB"/>
        </w:rPr>
        <w:t>tissues were processed manually through standard histological stages: fixation, dehydration, clearing, embedding, sectioning, mounting, staining, and photomicrography.</w:t>
      </w:r>
    </w:p>
    <w:p w14:paraId="3E919498" w14:textId="77777777" w:rsidR="00681AEA" w:rsidRPr="0085730F" w:rsidRDefault="00613667">
      <w:pPr>
        <w:rPr>
          <w:rFonts w:ascii="Arial" w:hAnsi="Arial" w:cs="Arial"/>
          <w:sz w:val="22"/>
          <w:szCs w:val="22"/>
        </w:rPr>
      </w:pPr>
      <w:r w:rsidRPr="0085730F">
        <w:rPr>
          <w:rFonts w:ascii="Arial" w:hAnsi="Arial" w:cs="Arial"/>
          <w:b/>
          <w:sz w:val="22"/>
          <w:szCs w:val="22"/>
        </w:rPr>
        <w:t>2.4.3 Photomicrograph</w:t>
      </w:r>
    </w:p>
    <w:p w14:paraId="71FE5758" w14:textId="77777777" w:rsidR="00681AEA" w:rsidRPr="0085730F" w:rsidRDefault="00613667" w:rsidP="007C26D9">
      <w:pPr>
        <w:spacing w:line="360" w:lineRule="auto"/>
        <w:ind w:firstLine="720"/>
        <w:jc w:val="both"/>
        <w:rPr>
          <w:rFonts w:ascii="Arial" w:hAnsi="Arial" w:cs="Arial"/>
          <w:sz w:val="22"/>
          <w:szCs w:val="22"/>
          <w:lang w:val="en-GB"/>
        </w:rPr>
      </w:pPr>
      <w:r w:rsidRPr="0085730F">
        <w:rPr>
          <w:rFonts w:ascii="Arial" w:hAnsi="Arial" w:cs="Arial"/>
          <w:sz w:val="22"/>
          <w:szCs w:val="22"/>
          <w:lang w:val="en-GB"/>
        </w:rPr>
        <w:t>Prepared slides were viewed under a digital microscope (SCOPETEK DCM 500, 5.0 MP) connected to a computer. Photomicrographs were used to evaluate the histological and cytological effects on the liver, hippocampus and prefrontal cortex.</w:t>
      </w:r>
    </w:p>
    <w:p w14:paraId="4569B9CA"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 xml:space="preserve">2.4.4   </w:t>
      </w:r>
      <w:r w:rsidRPr="0085730F">
        <w:rPr>
          <w:rFonts w:ascii="Arial" w:hAnsi="Arial" w:cs="Arial"/>
          <w:b/>
          <w:sz w:val="22"/>
          <w:szCs w:val="22"/>
        </w:rPr>
        <w:tab/>
        <w:t>Statistical analysis</w:t>
      </w:r>
    </w:p>
    <w:p w14:paraId="040946BD" w14:textId="40D983B1" w:rsidR="00681AEA" w:rsidRPr="0085730F" w:rsidRDefault="00613667" w:rsidP="007C26D9">
      <w:pPr>
        <w:spacing w:line="360" w:lineRule="auto"/>
        <w:ind w:firstLine="720"/>
        <w:jc w:val="both"/>
        <w:rPr>
          <w:rFonts w:ascii="Arial" w:hAnsi="Arial" w:cs="Arial"/>
          <w:sz w:val="22"/>
          <w:szCs w:val="22"/>
        </w:rPr>
      </w:pPr>
      <w:r w:rsidRPr="0085730F">
        <w:rPr>
          <w:rFonts w:ascii="Arial" w:hAnsi="Arial" w:cs="Arial"/>
          <w:sz w:val="22"/>
          <w:szCs w:val="22"/>
        </w:rPr>
        <w:t xml:space="preserve">Statistical analysis was performed using GraphPad Prism® version 7.01 (GraphPad Software, Inc., La Jolla, CA, USA). Data were presented as mean ± standard error of mean (SEM). One- or two-way ANOVA followed by Bonferroni post hoc test was used to determine statistical significance. </w:t>
      </w:r>
      <w:r w:rsidR="007C26D9" w:rsidRPr="0085730F">
        <w:rPr>
          <w:rFonts w:ascii="Arial" w:hAnsi="Arial" w:cs="Arial"/>
          <w:sz w:val="22"/>
          <w:szCs w:val="22"/>
        </w:rPr>
        <w:t>The p</w:t>
      </w:r>
      <w:r w:rsidRPr="0085730F">
        <w:rPr>
          <w:rFonts w:ascii="Arial" w:hAnsi="Arial" w:cs="Arial"/>
          <w:sz w:val="22"/>
          <w:szCs w:val="22"/>
        </w:rPr>
        <w:t xml:space="preserve">-value of </w:t>
      </w:r>
      <w:r w:rsidRPr="0085730F">
        <w:rPr>
          <w:rFonts w:ascii="Arial" w:hAnsi="Arial" w:cs="Arial"/>
          <w:sz w:val="22"/>
          <w:szCs w:val="22"/>
          <w:lang w:val="en-GB"/>
        </w:rPr>
        <w:t>=</w:t>
      </w:r>
      <w:r w:rsidRPr="0085730F">
        <w:rPr>
          <w:rFonts w:ascii="Arial" w:hAnsi="Arial" w:cs="Arial"/>
          <w:sz w:val="22"/>
          <w:szCs w:val="22"/>
        </w:rPr>
        <w:t xml:space="preserve"> .05 was considered statistically significant.</w:t>
      </w:r>
    </w:p>
    <w:p w14:paraId="0B1F0894" w14:textId="77777777" w:rsidR="00F26674" w:rsidRDefault="00F26674">
      <w:pPr>
        <w:rPr>
          <w:rFonts w:ascii="Arial" w:hAnsi="Arial" w:cs="Arial"/>
          <w:b/>
          <w:caps/>
          <w:sz w:val="22"/>
        </w:rPr>
      </w:pPr>
      <w:r>
        <w:rPr>
          <w:rFonts w:ascii="Arial" w:hAnsi="Arial" w:cs="Arial"/>
        </w:rPr>
        <w:br w:type="page"/>
      </w:r>
    </w:p>
    <w:p w14:paraId="72EB77A8" w14:textId="32D75D32" w:rsidR="00681AEA" w:rsidRPr="0085730F" w:rsidRDefault="00613667">
      <w:pPr>
        <w:pStyle w:val="Head1"/>
        <w:spacing w:after="0"/>
        <w:jc w:val="both"/>
        <w:rPr>
          <w:rFonts w:ascii="Arial" w:hAnsi="Arial" w:cs="Arial"/>
        </w:rPr>
      </w:pPr>
      <w:r w:rsidRPr="0085730F">
        <w:rPr>
          <w:rFonts w:ascii="Arial" w:hAnsi="Arial" w:cs="Arial"/>
        </w:rPr>
        <w:lastRenderedPageBreak/>
        <w:t>3. results and discussion</w:t>
      </w:r>
    </w:p>
    <w:p w14:paraId="4E5A4E4F" w14:textId="77777777" w:rsidR="00681AEA" w:rsidRPr="0085730F" w:rsidRDefault="00681AEA">
      <w:pPr>
        <w:pStyle w:val="Head1"/>
        <w:spacing w:after="0"/>
        <w:jc w:val="both"/>
        <w:rPr>
          <w:rFonts w:ascii="Arial" w:hAnsi="Arial" w:cs="Arial"/>
        </w:rPr>
      </w:pPr>
    </w:p>
    <w:p w14:paraId="74D19943" w14:textId="30679806" w:rsidR="00F26674" w:rsidRDefault="00583B94" w:rsidP="00F26674">
      <w:pPr>
        <w:rPr>
          <w:rFonts w:ascii="Arial" w:hAnsi="Arial" w:cs="Arial"/>
          <w:b/>
          <w:bCs/>
          <w:sz w:val="24"/>
          <w:szCs w:val="24"/>
          <w:lang w:val="en-GB"/>
        </w:rPr>
      </w:pPr>
      <w:r w:rsidRPr="0085730F">
        <w:rPr>
          <w:noProof/>
        </w:rPr>
        <mc:AlternateContent>
          <mc:Choice Requires="wps">
            <w:drawing>
              <wp:anchor distT="0" distB="0" distL="114300" distR="114300" simplePos="0" relativeHeight="251661312" behindDoc="0" locked="0" layoutInCell="1" allowOverlap="1" wp14:anchorId="2C010481" wp14:editId="5955E15A">
                <wp:simplePos x="0" y="0"/>
                <wp:positionH relativeFrom="column">
                  <wp:posOffset>2524125</wp:posOffset>
                </wp:positionH>
                <wp:positionV relativeFrom="paragraph">
                  <wp:posOffset>300355</wp:posOffset>
                </wp:positionV>
                <wp:extent cx="381000" cy="295275"/>
                <wp:effectExtent l="3810" t="2540" r="0" b="0"/>
                <wp:wrapNone/>
                <wp:docPr id="16876282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CC2FB7" w14:textId="113FEFDB" w:rsidR="00681AEA" w:rsidRDefault="00681AEA">
                            <w:pPr>
                              <w:rPr>
                                <w:b/>
                                <w:bCs/>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C010481" id="_x0000_t202" coordsize="21600,21600" o:spt="202" path="m,l,21600r21600,l21600,xe">
                <v:stroke joinstyle="miter"/>
                <v:path gradientshapeok="t" o:connecttype="rect"/>
              </v:shapetype>
              <v:shape id="Text Box 21" o:spid="_x0000_s1026" type="#_x0000_t202" style="position:absolute;margin-left:198.75pt;margin-top:23.65pt;width:3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" stroked="f" strokeweight=".5pt">
                <v:textbox>
                  <w:txbxContent>
                    <w:p w14:paraId="33CC2FB7" w14:textId="113FEFDB" w:rsidR="00681AEA" w:rsidRDefault="00681AEA">
                      <w:pPr>
                        <w:rPr>
                          <w:b/>
                          <w:bCs/>
                          <w:sz w:val="24"/>
                          <w:szCs w:val="24"/>
                          <w:lang w:val="en-GB"/>
                        </w:rPr>
                      </w:pPr>
                    </w:p>
                  </w:txbxContent>
                </v:textbox>
              </v:shape>
            </w:pict>
          </mc:Fallback>
        </mc:AlternateContent>
      </w:r>
      <w:r w:rsidRPr="0085730F">
        <w:rPr>
          <w:noProof/>
        </w:rPr>
        <mc:AlternateContent>
          <mc:Choice Requires="wps">
            <w:drawing>
              <wp:anchor distT="0" distB="0" distL="114300" distR="114300" simplePos="0" relativeHeight="251660288" behindDoc="0" locked="0" layoutInCell="1" allowOverlap="1" wp14:anchorId="3E1684A8" wp14:editId="5599DC0A">
                <wp:simplePos x="0" y="0"/>
                <wp:positionH relativeFrom="column">
                  <wp:posOffset>2676525</wp:posOffset>
                </wp:positionH>
                <wp:positionV relativeFrom="paragraph">
                  <wp:posOffset>300355</wp:posOffset>
                </wp:positionV>
                <wp:extent cx="381000" cy="295275"/>
                <wp:effectExtent l="3810" t="2540" r="0" b="0"/>
                <wp:wrapNone/>
                <wp:docPr id="13501430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11313C" w14:textId="77777777" w:rsidR="00681AEA" w:rsidRDefault="00613667">
                            <w:pPr>
                              <w:rPr>
                                <w:b/>
                                <w:bCs/>
                                <w:sz w:val="24"/>
                                <w:szCs w:val="24"/>
                                <w:lang w:val="en-GB"/>
                              </w:rPr>
                            </w:pPr>
                            <w:r>
                              <w:rPr>
                                <w:b/>
                                <w:bCs/>
                                <w:sz w:val="24"/>
                                <w:szCs w:val="24"/>
                                <w:lang w:val="en-G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E1684A8" id="Text Box 1" o:spid="_x0000_s1027" type="#_x0000_t202" style="position:absolute;left:0;text-align:left;margin-left:210.75pt;margin-top:23.65pt;width:30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" stroked="f" strokeweight=".5pt">
                <v:textbox>
                  <w:txbxContent>
                    <w:p w14:paraId="6E11313C" w14:textId="77777777" w:rsidR="00681AEA" w:rsidRDefault="00613667">
                      <w:pPr>
                        <w:rPr>
                          <w:b/>
                          <w:bCs/>
                          <w:sz w:val="24"/>
                          <w:szCs w:val="24"/>
                          <w:lang w:val="en-GB"/>
                        </w:rPr>
                      </w:pPr>
                      <w:r>
                        <w:rPr>
                          <w:b/>
                          <w:bCs/>
                          <w:sz w:val="24"/>
                          <w:szCs w:val="24"/>
                          <w:lang w:val="en-GB"/>
                        </w:rPr>
                        <w:t>a</w:t>
                      </w:r>
                    </w:p>
                  </w:txbxContent>
                </v:textbox>
              </v:shape>
            </w:pict>
          </mc:Fallback>
        </mc:AlternateContent>
      </w:r>
    </w:p>
    <w:p w14:paraId="6FB02032" w14:textId="77777777" w:rsidR="00F26674" w:rsidRDefault="00F26674">
      <w:pPr>
        <w:spacing w:line="360" w:lineRule="auto"/>
        <w:rPr>
          <w:rFonts w:ascii="Arial" w:hAnsi="Arial" w:cs="Arial"/>
          <w:b/>
          <w:bCs/>
          <w:sz w:val="24"/>
          <w:szCs w:val="24"/>
          <w:lang w:val="en-GB"/>
        </w:rPr>
      </w:pPr>
    </w:p>
    <w:p w14:paraId="5493C0D5" w14:textId="5787FF99" w:rsidR="00F26674" w:rsidRDefault="00F26674">
      <w:pPr>
        <w:spacing w:line="360" w:lineRule="auto"/>
        <w:rPr>
          <w:rFonts w:ascii="Arial" w:hAnsi="Arial" w:cs="Arial"/>
          <w:b/>
          <w:bCs/>
          <w:sz w:val="24"/>
          <w:szCs w:val="24"/>
          <w:lang w:val="en-GB"/>
        </w:rPr>
      </w:pPr>
      <w:r>
        <w:rPr>
          <w:rFonts w:ascii="Arial" w:hAnsi="Arial" w:cs="Arial"/>
          <w:b/>
          <w:bCs/>
          <w:sz w:val="24"/>
          <w:szCs w:val="24"/>
          <w:lang w:val="en-GB"/>
        </w:rPr>
        <w:object w:dxaOrig="10166" w:dyaOrig="5445" w14:anchorId="2873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68pt;height:250.5pt" o:ole="" filled="t">
            <v:imagedata r:id="rId15" o:title=""/>
          </v:shape>
          <o:OLEObject Type="Embed" ProgID="Prism8.Document" ShapeID="_x0000_i1066" DrawAspect="Content" ObjectID="_1815205297" r:id="rId16"/>
        </w:object>
      </w:r>
    </w:p>
    <w:p w14:paraId="7DDFA85A" w14:textId="77777777" w:rsidR="00F26674" w:rsidRDefault="00F26674">
      <w:pPr>
        <w:spacing w:line="360" w:lineRule="auto"/>
        <w:rPr>
          <w:rFonts w:ascii="Arial" w:hAnsi="Arial" w:cs="Arial"/>
          <w:b/>
          <w:bCs/>
          <w:sz w:val="24"/>
          <w:szCs w:val="24"/>
          <w:lang w:val="en-GB"/>
        </w:rPr>
      </w:pPr>
    </w:p>
    <w:p w14:paraId="79FC218D" w14:textId="5CE15795" w:rsidR="00F26674" w:rsidRDefault="00F26674">
      <w:pPr>
        <w:spacing w:line="360" w:lineRule="auto"/>
        <w:rPr>
          <w:rFonts w:ascii="Arial" w:hAnsi="Arial" w:cs="Arial"/>
          <w:b/>
          <w:bCs/>
          <w:sz w:val="24"/>
          <w:szCs w:val="24"/>
          <w:lang w:val="en-GB"/>
        </w:rPr>
      </w:pPr>
    </w:p>
    <w:p w14:paraId="04780433" w14:textId="2FE70FCC" w:rsidR="00F26674" w:rsidRDefault="00F26674">
      <w:pPr>
        <w:spacing w:line="360" w:lineRule="auto"/>
        <w:rPr>
          <w:rFonts w:ascii="Arial" w:hAnsi="Arial" w:cs="Arial"/>
          <w:b/>
          <w:bCs/>
          <w:sz w:val="24"/>
          <w:szCs w:val="24"/>
          <w:lang w:val="en-GB"/>
        </w:rPr>
      </w:pPr>
      <w:r>
        <w:rPr>
          <w:rFonts w:ascii="Arial" w:hAnsi="Arial" w:cs="Arial"/>
          <w:b/>
          <w:bCs/>
          <w:sz w:val="24"/>
          <w:szCs w:val="24"/>
          <w:lang w:val="en-GB"/>
        </w:rPr>
        <w:object w:dxaOrig="9814" w:dyaOrig="4550" w14:anchorId="2770C4D6">
          <v:shape id="_x0000_i1074" type="#_x0000_t75" style="width:468pt;height:216.75pt" o:ole="" filled="t">
            <v:imagedata r:id="rId17" o:title=""/>
          </v:shape>
          <o:OLEObject Type="Embed" ProgID="Prism8.Document" ShapeID="_x0000_i1074" DrawAspect="Content" ObjectID="_1815205298" r:id="rId18"/>
        </w:object>
      </w:r>
    </w:p>
    <w:p w14:paraId="1988E952" w14:textId="77777777" w:rsidR="00F26674" w:rsidRDefault="00F26674">
      <w:pPr>
        <w:spacing w:line="360" w:lineRule="auto"/>
        <w:rPr>
          <w:rFonts w:ascii="Arial" w:hAnsi="Arial" w:cs="Arial"/>
          <w:b/>
          <w:bCs/>
          <w:sz w:val="24"/>
          <w:szCs w:val="24"/>
          <w:lang w:val="en-GB"/>
        </w:rPr>
      </w:pPr>
    </w:p>
    <w:p w14:paraId="7F6071AE" w14:textId="2119D344" w:rsidR="00681AEA" w:rsidRPr="0085730F" w:rsidRDefault="00583B94">
      <w:pPr>
        <w:spacing w:line="360" w:lineRule="auto"/>
        <w:rPr>
          <w:rFonts w:ascii="Arial" w:hAnsi="Arial" w:cs="Arial"/>
          <w:b/>
          <w:bCs/>
          <w:sz w:val="24"/>
          <w:szCs w:val="24"/>
          <w:lang w:val="en-GB"/>
        </w:rPr>
      </w:pPr>
      <w:r w:rsidRPr="0085730F">
        <w:rPr>
          <w:noProof/>
        </w:rPr>
        <mc:AlternateContent>
          <mc:Choice Requires="wps">
            <w:drawing>
              <wp:anchor distT="0" distB="0" distL="114300" distR="114300" simplePos="0" relativeHeight="251663360" behindDoc="0" locked="0" layoutInCell="1" allowOverlap="1" wp14:anchorId="00EBF8ED" wp14:editId="600E9456">
                <wp:simplePos x="0" y="0"/>
                <wp:positionH relativeFrom="column">
                  <wp:posOffset>2724150</wp:posOffset>
                </wp:positionH>
                <wp:positionV relativeFrom="paragraph">
                  <wp:posOffset>2898140</wp:posOffset>
                </wp:positionV>
                <wp:extent cx="381000" cy="295275"/>
                <wp:effectExtent l="3810" t="0" r="0" b="3810"/>
                <wp:wrapNone/>
                <wp:docPr id="1111559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4E290F" w14:textId="77777777" w:rsidR="00681AEA" w:rsidRDefault="00613667">
                            <w:pPr>
                              <w:rPr>
                                <w:b/>
                                <w:bCs/>
                                <w:sz w:val="24"/>
                                <w:szCs w:val="24"/>
                                <w:lang w:val="en-GB"/>
                              </w:rPr>
                            </w:pPr>
                            <w:r>
                              <w:rPr>
                                <w:b/>
                                <w:bCs/>
                                <w:sz w:val="24"/>
                                <w:szCs w:val="24"/>
                                <w:lang w:val="en-G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EBF8ED" id="Text Box 19" o:spid="_x0000_s1028" type="#_x0000_t202" style="position:absolute;margin-left:214.5pt;margin-top:228.2pt;width:30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" stroked="f" strokeweight=".5pt">
                <v:textbox>
                  <w:txbxContent>
                    <w:p w14:paraId="5F4E290F" w14:textId="77777777" w:rsidR="00681AEA" w:rsidRDefault="00613667">
                      <w:pPr>
                        <w:rPr>
                          <w:b/>
                          <w:bCs/>
                          <w:sz w:val="24"/>
                          <w:szCs w:val="24"/>
                          <w:lang w:val="en-GB"/>
                        </w:rPr>
                      </w:pPr>
                      <w:r>
                        <w:rPr>
                          <w:b/>
                          <w:bCs/>
                          <w:sz w:val="24"/>
                          <w:szCs w:val="24"/>
                          <w:lang w:val="en-GB"/>
                        </w:rPr>
                        <w:t>c</w:t>
                      </w:r>
                    </w:p>
                  </w:txbxContent>
                </v:textbox>
              </v:shape>
            </w:pict>
          </mc:Fallback>
        </mc:AlternateContent>
      </w:r>
      <w:r w:rsidRPr="0085730F">
        <w:rPr>
          <w:noProof/>
        </w:rPr>
        <mc:AlternateContent>
          <mc:Choice Requires="wps">
            <w:drawing>
              <wp:anchor distT="0" distB="0" distL="114300" distR="114300" simplePos="0" relativeHeight="251662336" behindDoc="0" locked="0" layoutInCell="1" allowOverlap="1" wp14:anchorId="77B9520B" wp14:editId="3EFE71B3">
                <wp:simplePos x="0" y="0"/>
                <wp:positionH relativeFrom="column">
                  <wp:posOffset>2571750</wp:posOffset>
                </wp:positionH>
                <wp:positionV relativeFrom="paragraph">
                  <wp:posOffset>1612265</wp:posOffset>
                </wp:positionV>
                <wp:extent cx="381000" cy="295275"/>
                <wp:effectExtent l="3810" t="0" r="0" b="3810"/>
                <wp:wrapNone/>
                <wp:docPr id="13463119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06B65F" w14:textId="77777777" w:rsidR="00681AEA" w:rsidRDefault="00613667">
                            <w:pPr>
                              <w:rPr>
                                <w:b/>
                                <w:bCs/>
                                <w:sz w:val="24"/>
                                <w:szCs w:val="24"/>
                                <w:lang w:val="en-GB"/>
                              </w:rPr>
                            </w:pPr>
                            <w:r>
                              <w:rPr>
                                <w:b/>
                                <w:bCs/>
                                <w:sz w:val="24"/>
                                <w:szCs w:val="24"/>
                                <w:lang w:val="en-G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7B9520B" id="Text Box 18" o:spid="_x0000_s1029" type="#_x0000_t202" style="position:absolute;margin-left:202.5pt;margin-top:126.95pt;width:30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" stroked="f" strokeweight=".5pt">
                <v:textbox>
                  <w:txbxContent>
                    <w:p w14:paraId="4F06B65F" w14:textId="77777777" w:rsidR="00681AEA" w:rsidRDefault="00613667">
                      <w:pPr>
                        <w:rPr>
                          <w:b/>
                          <w:bCs/>
                          <w:sz w:val="24"/>
                          <w:szCs w:val="24"/>
                          <w:lang w:val="en-GB"/>
                        </w:rPr>
                      </w:pPr>
                      <w:r>
                        <w:rPr>
                          <w:b/>
                          <w:bCs/>
                          <w:sz w:val="24"/>
                          <w:szCs w:val="24"/>
                          <w:lang w:val="en-GB"/>
                        </w:rPr>
                        <w:t>b</w:t>
                      </w:r>
                    </w:p>
                  </w:txbxContent>
                </v:textbox>
              </v:shape>
            </w:pict>
          </mc:Fallback>
        </mc:AlternateContent>
      </w:r>
    </w:p>
    <w:p w14:paraId="4BDBCA0A" w14:textId="77777777" w:rsidR="00F26674" w:rsidRDefault="00F26674">
      <w:pPr>
        <w:spacing w:after="160" w:line="360" w:lineRule="auto"/>
        <w:rPr>
          <w:rFonts w:ascii="Arial" w:hAnsi="Arial" w:cs="Arial"/>
          <w:b/>
          <w:bCs/>
          <w:sz w:val="24"/>
          <w:szCs w:val="24"/>
          <w:lang w:val="en-GB"/>
        </w:rPr>
      </w:pPr>
    </w:p>
    <w:p w14:paraId="67337120" w14:textId="270682A6" w:rsidR="00F26674" w:rsidRDefault="00F26674">
      <w:pPr>
        <w:spacing w:after="160" w:line="360" w:lineRule="auto"/>
        <w:rPr>
          <w:rFonts w:ascii="Arial" w:hAnsi="Arial" w:cs="Arial"/>
          <w:b/>
          <w:bCs/>
          <w:sz w:val="24"/>
          <w:szCs w:val="24"/>
          <w:lang w:val="en-GB"/>
        </w:rPr>
      </w:pPr>
      <w:r>
        <w:rPr>
          <w:rFonts w:ascii="Arial" w:hAnsi="Arial" w:cs="Arial"/>
          <w:b/>
          <w:bCs/>
          <w:sz w:val="24"/>
          <w:szCs w:val="24"/>
          <w:lang w:val="en-GB"/>
        </w:rPr>
        <w:object w:dxaOrig="11398" w:dyaOrig="7114" w14:anchorId="4E3DB8D9">
          <v:shape id="_x0000_i1083" type="#_x0000_t75" style="width:468pt;height:291.75pt" o:ole="" filled="t">
            <v:imagedata r:id="rId19" o:title=""/>
          </v:shape>
          <o:OLEObject Type="Embed" ProgID="Prism8.Document" ShapeID="_x0000_i1083" DrawAspect="Content" ObjectID="_1815205299" r:id="rId20"/>
        </w:object>
      </w:r>
    </w:p>
    <w:p w14:paraId="3F990BAA" w14:textId="1C5E42C0" w:rsidR="00E764C7" w:rsidRPr="0085730F" w:rsidRDefault="00E764C7" w:rsidP="00A26084">
      <w:pPr>
        <w:spacing w:after="160" w:line="360" w:lineRule="auto"/>
        <w:jc w:val="both"/>
        <w:rPr>
          <w:rFonts w:ascii="Arial" w:hAnsi="Arial" w:cs="Arial"/>
          <w:b/>
          <w:bCs/>
          <w:sz w:val="24"/>
          <w:szCs w:val="24"/>
          <w:lang w:val="en-GB"/>
        </w:rPr>
      </w:pPr>
      <w:r w:rsidRPr="0085730F">
        <w:rPr>
          <w:rFonts w:ascii="Arial" w:hAnsi="Arial" w:cs="Arial"/>
          <w:b/>
          <w:bCs/>
          <w:sz w:val="24"/>
          <w:szCs w:val="24"/>
          <w:lang w:val="en-GB"/>
        </w:rPr>
        <w:t>Fig 1-</w:t>
      </w:r>
      <w:r w:rsidR="00AC4812">
        <w:rPr>
          <w:rFonts w:ascii="Arial" w:hAnsi="Arial" w:cs="Arial"/>
          <w:b/>
          <w:bCs/>
          <w:sz w:val="24"/>
          <w:szCs w:val="24"/>
          <w:lang w:val="en-GB"/>
        </w:rPr>
        <w:t xml:space="preserve"> </w:t>
      </w:r>
      <w:r w:rsidR="00AC4812" w:rsidRPr="00AC4812">
        <w:rPr>
          <w:rFonts w:ascii="Arial" w:hAnsi="Arial" w:cs="Arial"/>
          <w:b/>
          <w:bCs/>
          <w:sz w:val="24"/>
          <w:szCs w:val="24"/>
          <w:lang w:val="en-GB"/>
        </w:rPr>
        <w:t>Effect of PVC on serum total protein</w:t>
      </w:r>
      <w:r w:rsidR="00AC4812">
        <w:rPr>
          <w:rFonts w:ascii="Arial" w:hAnsi="Arial" w:cs="Arial"/>
          <w:b/>
          <w:bCs/>
          <w:sz w:val="24"/>
          <w:szCs w:val="24"/>
          <w:lang w:val="en-GB"/>
        </w:rPr>
        <w:t>,</w:t>
      </w:r>
      <w:r w:rsidR="00AC4812" w:rsidRPr="00AC4812">
        <w:rPr>
          <w:rFonts w:ascii="Arial" w:hAnsi="Arial" w:cs="Arial"/>
          <w:b/>
          <w:bCs/>
          <w:sz w:val="24"/>
          <w:szCs w:val="24"/>
          <w:lang w:val="en-GB"/>
        </w:rPr>
        <w:t xml:space="preserve"> albumin levels</w:t>
      </w:r>
      <w:r w:rsidR="00AC4812">
        <w:rPr>
          <w:rFonts w:ascii="Arial" w:hAnsi="Arial" w:cs="Arial"/>
          <w:b/>
          <w:bCs/>
          <w:sz w:val="24"/>
          <w:szCs w:val="24"/>
          <w:lang w:val="en-GB"/>
        </w:rPr>
        <w:t xml:space="preserve">, </w:t>
      </w:r>
      <w:r w:rsidR="00BB03FF">
        <w:rPr>
          <w:rFonts w:ascii="Arial" w:hAnsi="Arial" w:cs="Arial"/>
          <w:b/>
          <w:bCs/>
          <w:sz w:val="24"/>
          <w:szCs w:val="24"/>
          <w:lang w:val="en-GB"/>
        </w:rPr>
        <w:t xml:space="preserve">total bilirubin, </w:t>
      </w:r>
      <w:r w:rsidR="00AC4812" w:rsidRPr="00AC4812">
        <w:rPr>
          <w:rFonts w:ascii="Arial" w:hAnsi="Arial" w:cs="Arial"/>
          <w:b/>
          <w:bCs/>
          <w:sz w:val="24"/>
          <w:szCs w:val="24"/>
          <w:lang w:val="en-GB"/>
        </w:rPr>
        <w:t>unconjugated bilirubin levels</w:t>
      </w:r>
      <w:r w:rsidR="00BB03FF">
        <w:rPr>
          <w:rFonts w:ascii="Arial" w:hAnsi="Arial" w:cs="Arial"/>
          <w:b/>
          <w:bCs/>
          <w:sz w:val="24"/>
          <w:szCs w:val="24"/>
          <w:lang w:val="en-GB"/>
        </w:rPr>
        <w:t xml:space="preserve"> and </w:t>
      </w:r>
      <w:r w:rsidR="00BB03FF" w:rsidRPr="00BB03FF">
        <w:rPr>
          <w:rFonts w:ascii="Arial" w:hAnsi="Arial" w:cs="Arial"/>
          <w:b/>
          <w:bCs/>
          <w:sz w:val="24"/>
          <w:szCs w:val="24"/>
          <w:lang w:val="en-GB"/>
        </w:rPr>
        <w:t xml:space="preserve">liver function enzyme levels (ALT, AST, and </w:t>
      </w:r>
      <w:r w:rsidR="00CD704C" w:rsidRPr="00BB03FF">
        <w:rPr>
          <w:rFonts w:ascii="Arial" w:hAnsi="Arial" w:cs="Arial"/>
          <w:b/>
          <w:bCs/>
          <w:sz w:val="24"/>
          <w:szCs w:val="24"/>
          <w:lang w:val="en-GB"/>
        </w:rPr>
        <w:t xml:space="preserve">ALP) </w:t>
      </w:r>
      <w:r w:rsidR="00CD704C" w:rsidRPr="00AC4812">
        <w:rPr>
          <w:rFonts w:ascii="Arial" w:hAnsi="Arial" w:cs="Arial"/>
          <w:b/>
          <w:bCs/>
          <w:sz w:val="24"/>
          <w:szCs w:val="24"/>
          <w:lang w:val="en-GB"/>
        </w:rPr>
        <w:t>in</w:t>
      </w:r>
      <w:r w:rsidR="00AC4812" w:rsidRPr="00AC4812">
        <w:rPr>
          <w:rFonts w:ascii="Arial" w:hAnsi="Arial" w:cs="Arial"/>
          <w:b/>
          <w:bCs/>
          <w:sz w:val="24"/>
          <w:szCs w:val="24"/>
          <w:lang w:val="en-GB"/>
        </w:rPr>
        <w:t xml:space="preserve"> </w:t>
      </w:r>
      <w:r w:rsidR="00AC4812">
        <w:rPr>
          <w:rFonts w:ascii="Arial" w:hAnsi="Arial" w:cs="Arial"/>
          <w:b/>
          <w:bCs/>
          <w:sz w:val="24"/>
          <w:szCs w:val="24"/>
          <w:lang w:val="en-GB"/>
        </w:rPr>
        <w:t xml:space="preserve">Wister </w:t>
      </w:r>
      <w:r w:rsidR="00AC4812" w:rsidRPr="00AC4812">
        <w:rPr>
          <w:rFonts w:ascii="Arial" w:hAnsi="Arial" w:cs="Arial"/>
          <w:b/>
          <w:bCs/>
          <w:sz w:val="24"/>
          <w:szCs w:val="24"/>
          <w:lang w:val="en-GB"/>
        </w:rPr>
        <w:t>rats</w:t>
      </w:r>
      <w:r w:rsidR="00AC4812">
        <w:rPr>
          <w:rFonts w:ascii="Arial" w:hAnsi="Arial" w:cs="Arial"/>
          <w:b/>
          <w:bCs/>
          <w:sz w:val="24"/>
          <w:szCs w:val="24"/>
          <w:lang w:val="en-GB"/>
        </w:rPr>
        <w:t xml:space="preserve"> </w:t>
      </w:r>
    </w:p>
    <w:p w14:paraId="33F881CA" w14:textId="5BE23CD9" w:rsidR="00652C6A" w:rsidRPr="00C45C2D" w:rsidRDefault="00613667" w:rsidP="00652C6A">
      <w:pPr>
        <w:spacing w:after="160" w:line="360" w:lineRule="auto"/>
        <w:jc w:val="both"/>
        <w:rPr>
          <w:rFonts w:ascii="Arial" w:hAnsi="Arial" w:cs="Arial"/>
          <w:b/>
          <w:bCs/>
          <w:sz w:val="24"/>
          <w:szCs w:val="24"/>
          <w:lang w:val="en-GB"/>
        </w:rPr>
      </w:pPr>
      <w:r w:rsidRPr="00C45C2D">
        <w:rPr>
          <w:rFonts w:ascii="Arial" w:hAnsi="Arial" w:cs="Arial"/>
          <w:b/>
          <w:bCs/>
          <w:sz w:val="24"/>
          <w:szCs w:val="24"/>
          <w:lang w:val="en-GB"/>
        </w:rPr>
        <w:t>4.5 Effect of PVC on Liver function tes</w:t>
      </w:r>
      <w:r w:rsidR="00652C6A" w:rsidRPr="00C45C2D">
        <w:rPr>
          <w:rFonts w:ascii="Arial" w:hAnsi="Arial" w:cs="Arial"/>
          <w:b/>
          <w:bCs/>
          <w:sz w:val="24"/>
          <w:szCs w:val="24"/>
          <w:lang w:val="en-GB"/>
        </w:rPr>
        <w:t>t</w:t>
      </w:r>
      <w:r w:rsidR="00652C6A" w:rsidRPr="00C45C2D">
        <w:rPr>
          <w:rFonts w:ascii="Arial" w:hAnsi="Arial" w:cs="Arial"/>
          <w:b/>
          <w:bCs/>
          <w:sz w:val="24"/>
          <w:szCs w:val="24"/>
          <w:lang w:val="en-GB"/>
        </w:rPr>
        <w:t xml:space="preserve"> and Liver protein level in wistar rats (a) Bilirubin level (b) Liver protein level (c) Liver enzymes of male wistar rats</w:t>
      </w:r>
      <w:r w:rsidR="00D777D3" w:rsidRPr="00C45C2D">
        <w:rPr>
          <w:rFonts w:ascii="Arial" w:hAnsi="Arial" w:cs="Arial"/>
          <w:b/>
          <w:bCs/>
          <w:sz w:val="24"/>
          <w:szCs w:val="24"/>
          <w:lang w:val="en-GB"/>
        </w:rPr>
        <w:t xml:space="preserve">. </w:t>
      </w:r>
      <w:r w:rsidR="00652C6A" w:rsidRPr="00C45C2D">
        <w:rPr>
          <w:rFonts w:ascii="Arial" w:hAnsi="Arial" w:cs="Arial"/>
          <w:b/>
          <w:bCs/>
          <w:sz w:val="24"/>
          <w:szCs w:val="24"/>
          <w:lang w:val="en-GB"/>
        </w:rPr>
        <w:t>Bars represent the Mean ± SEM (n=5). *P &lt; 0.05, **P &lt; 0.01, ***P &lt; 0.001 vs control using one-way ANOVA followed by Bonferroni’s post hoc test.</w:t>
      </w:r>
    </w:p>
    <w:p w14:paraId="2D1FF51F" w14:textId="5F97F39A" w:rsidR="00652C6A" w:rsidRDefault="00652C6A">
      <w:pPr>
        <w:spacing w:after="160" w:line="360" w:lineRule="auto"/>
        <w:rPr>
          <w:rFonts w:ascii="Arial" w:hAnsi="Arial" w:cs="Arial"/>
          <w:b/>
          <w:bCs/>
          <w:sz w:val="24"/>
          <w:szCs w:val="24"/>
          <w:lang w:val="en-GB"/>
        </w:rPr>
      </w:pPr>
    </w:p>
    <w:p w14:paraId="696CAE04" w14:textId="037BF1FC" w:rsidR="00652C6A" w:rsidRDefault="00413F2C">
      <w:pPr>
        <w:spacing w:after="160" w:line="360" w:lineRule="auto"/>
        <w:rPr>
          <w:rFonts w:ascii="Arial" w:hAnsi="Arial" w:cs="Arial"/>
          <w:b/>
          <w:bCs/>
          <w:sz w:val="24"/>
          <w:szCs w:val="24"/>
          <w:lang w:val="en-GB"/>
        </w:rPr>
      </w:pPr>
      <w:r>
        <w:rPr>
          <w:rFonts w:ascii="Arial" w:hAnsi="Arial" w:cs="Arial"/>
          <w:b/>
          <w:bCs/>
          <w:sz w:val="24"/>
          <w:szCs w:val="24"/>
          <w:lang w:val="en-GB"/>
        </w:rPr>
        <w:object w:dxaOrig="9338" w:dyaOrig="10769" w14:anchorId="45E2C7D6">
          <v:shape id="_x0000_i1092" type="#_x0000_t75" style="width:467.25pt;height:276pt" o:ole="" filled="t">
            <v:imagedata r:id="rId21" o:title="" cropbottom="24553f"/>
          </v:shape>
          <o:OLEObject Type="Embed" ProgID="Prism8.Document" ShapeID="_x0000_i1092" DrawAspect="Content" ObjectID="_1815205300" r:id="rId22"/>
        </w:object>
      </w:r>
    </w:p>
    <w:p w14:paraId="062AB2E6" w14:textId="0F1627FE" w:rsidR="00F37FB2" w:rsidRDefault="00F37FB2">
      <w:pPr>
        <w:spacing w:after="160" w:line="360" w:lineRule="auto"/>
        <w:jc w:val="both"/>
        <w:rPr>
          <w:rFonts w:ascii="Arial" w:hAnsi="Arial" w:cs="Arial"/>
          <w:b/>
          <w:bCs/>
          <w:sz w:val="24"/>
          <w:szCs w:val="24"/>
          <w:lang w:val="en-GB"/>
        </w:rPr>
      </w:pPr>
      <w:r>
        <w:rPr>
          <w:rFonts w:ascii="Arial" w:hAnsi="Arial" w:cs="Arial"/>
          <w:b/>
          <w:bCs/>
          <w:sz w:val="24"/>
          <w:szCs w:val="24"/>
          <w:lang w:val="en-GB"/>
        </w:rPr>
        <w:object w:dxaOrig="8770" w:dyaOrig="9459" w14:anchorId="3B4B05C6">
          <v:shape id="_x0000_i1105" type="#_x0000_t75" style="width:438.75pt;height:291.75pt" o:ole="" filled="t">
            <v:imagedata r:id="rId23" o:title="" cropbottom="25134f"/>
          </v:shape>
          <o:OLEObject Type="Embed" ProgID="Prism8.Document" ShapeID="_x0000_i1105" DrawAspect="Content" ObjectID="_1815205301" r:id="rId24"/>
        </w:object>
      </w:r>
    </w:p>
    <w:p w14:paraId="4DA37F4B" w14:textId="72EBBDAF" w:rsidR="00EE0CCF" w:rsidRDefault="00EE0CCF">
      <w:pPr>
        <w:spacing w:after="160" w:line="360" w:lineRule="auto"/>
        <w:jc w:val="both"/>
        <w:rPr>
          <w:rFonts w:ascii="Arial" w:hAnsi="Arial" w:cs="Arial"/>
          <w:b/>
          <w:bCs/>
          <w:sz w:val="24"/>
          <w:szCs w:val="24"/>
          <w:lang w:val="en-GB"/>
        </w:rPr>
      </w:pPr>
      <w:r>
        <w:rPr>
          <w:rFonts w:ascii="Arial" w:hAnsi="Arial" w:cs="Arial"/>
          <w:b/>
          <w:bCs/>
          <w:sz w:val="24"/>
          <w:szCs w:val="24"/>
          <w:lang w:val="en-GB"/>
        </w:rPr>
        <w:object w:dxaOrig="9742" w:dyaOrig="8580" w14:anchorId="14574481">
          <v:shape id="_x0000_i1144" type="#_x0000_t75" style="width:468pt;height:259.5pt" o:ole="" filled="t">
            <v:imagedata r:id="rId25" o:title="" cropbottom="24308f"/>
          </v:shape>
          <o:OLEObject Type="Embed" ProgID="Prism8.Document" ShapeID="_x0000_i1144" DrawAspect="Content" ObjectID="_1815205302" r:id="rId26"/>
        </w:object>
      </w:r>
    </w:p>
    <w:p w14:paraId="0CB5A5C8" w14:textId="661F1D27" w:rsidR="00F37FB2" w:rsidRDefault="00413F2C">
      <w:pPr>
        <w:spacing w:after="160" w:line="360" w:lineRule="auto"/>
        <w:jc w:val="both"/>
        <w:rPr>
          <w:rFonts w:ascii="Arial" w:hAnsi="Arial" w:cs="Arial"/>
          <w:b/>
          <w:bCs/>
          <w:sz w:val="24"/>
          <w:szCs w:val="24"/>
        </w:rPr>
      </w:pPr>
      <w:r>
        <w:rPr>
          <w:rFonts w:ascii="Arial" w:hAnsi="Arial" w:cs="Arial"/>
          <w:lang w:val="en-GB"/>
        </w:rPr>
        <w:object w:dxaOrig="8330" w:dyaOrig="6816" w14:anchorId="627DC2B2">
          <v:shape id="_x0000_i1132" type="#_x0000_t75" style="width:416.25pt;height:208.5pt" o:ole="" filled="t">
            <v:imagedata r:id="rId27" o:title="" cropbottom="18910f"/>
          </v:shape>
          <o:OLEObject Type="Embed" ProgID="Prism8.Document" ShapeID="_x0000_i1132" DrawAspect="Content" ObjectID="_1815205303" r:id="rId28"/>
        </w:object>
      </w:r>
    </w:p>
    <w:p w14:paraId="48AE3C1F" w14:textId="77777777" w:rsidR="00EE0CCF" w:rsidRDefault="00EE0CCF">
      <w:pPr>
        <w:spacing w:after="160" w:line="360" w:lineRule="auto"/>
        <w:jc w:val="both"/>
        <w:rPr>
          <w:rFonts w:ascii="Arial" w:hAnsi="Arial" w:cs="Arial"/>
          <w:b/>
          <w:bCs/>
          <w:sz w:val="24"/>
          <w:szCs w:val="24"/>
          <w:lang w:val="en-GB"/>
        </w:rPr>
      </w:pPr>
    </w:p>
    <w:p w14:paraId="7CE75A0B" w14:textId="77777777" w:rsidR="00F37FB2" w:rsidRPr="0085730F" w:rsidRDefault="00F37FB2">
      <w:pPr>
        <w:spacing w:after="160" w:line="360" w:lineRule="auto"/>
        <w:jc w:val="both"/>
        <w:rPr>
          <w:rFonts w:ascii="Arial" w:hAnsi="Arial" w:cs="Arial"/>
          <w:b/>
          <w:bCs/>
          <w:sz w:val="24"/>
          <w:szCs w:val="24"/>
          <w:lang w:val="en-GB"/>
        </w:rPr>
      </w:pPr>
    </w:p>
    <w:p w14:paraId="72B6974A" w14:textId="13D41A38" w:rsidR="00681AEA" w:rsidRDefault="00583B94">
      <w:pPr>
        <w:spacing w:after="160" w:line="360" w:lineRule="auto"/>
        <w:jc w:val="both"/>
        <w:rPr>
          <w:rFonts w:ascii="Arial" w:eastAsia="Aptos" w:hAnsi="Arial" w:cs="Arial"/>
          <w:noProof/>
          <w:sz w:val="22"/>
          <w:szCs w:val="22"/>
        </w:rPr>
      </w:pPr>
      <w:r w:rsidRPr="0085730F">
        <w:rPr>
          <w:noProof/>
        </w:rPr>
        <mc:AlternateContent>
          <mc:Choice Requires="wps">
            <w:drawing>
              <wp:anchor distT="0" distB="0" distL="114300" distR="114300" simplePos="0" relativeHeight="251668480" behindDoc="0" locked="0" layoutInCell="1" allowOverlap="1" wp14:anchorId="1EAE529C" wp14:editId="4DE0532B">
                <wp:simplePos x="0" y="0"/>
                <wp:positionH relativeFrom="column">
                  <wp:posOffset>1628775</wp:posOffset>
                </wp:positionH>
                <wp:positionV relativeFrom="paragraph">
                  <wp:posOffset>1463675</wp:posOffset>
                </wp:positionV>
                <wp:extent cx="381000" cy="295275"/>
                <wp:effectExtent l="3810" t="0" r="0" b="3175"/>
                <wp:wrapNone/>
                <wp:docPr id="21410499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B4985F" w14:textId="77777777" w:rsidR="00681AEA" w:rsidRDefault="00613667">
                            <w:pPr>
                              <w:rPr>
                                <w:b/>
                                <w:bCs/>
                                <w:sz w:val="24"/>
                                <w:szCs w:val="24"/>
                                <w:lang w:val="en-GB"/>
                              </w:rPr>
                            </w:pPr>
                            <w:r>
                              <w:rPr>
                                <w:b/>
                                <w:bCs/>
                                <w:sz w:val="24"/>
                                <w:szCs w:val="24"/>
                                <w:lang w:val="en-G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AE529C" id="Text Box 14" o:spid="_x0000_s1030" type="#_x0000_t202" style="position:absolute;left:0;text-align:left;margin-left:128.25pt;margin-top:115.25pt;width:30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" stroked="f" strokeweight=".5pt">
                <v:textbox>
                  <w:txbxContent>
                    <w:p w14:paraId="76B4985F" w14:textId="77777777" w:rsidR="00681AEA" w:rsidRDefault="00613667">
                      <w:pPr>
                        <w:rPr>
                          <w:b/>
                          <w:bCs/>
                          <w:sz w:val="24"/>
                          <w:szCs w:val="24"/>
                          <w:lang w:val="en-GB"/>
                        </w:rPr>
                      </w:pPr>
                      <w:r>
                        <w:rPr>
                          <w:b/>
                          <w:bCs/>
                          <w:sz w:val="24"/>
                          <w:szCs w:val="24"/>
                          <w:lang w:val="en-GB"/>
                        </w:rPr>
                        <w:t>e</w:t>
                      </w:r>
                    </w:p>
                  </w:txbxContent>
                </v:textbox>
              </v:shape>
            </w:pict>
          </mc:Fallback>
        </mc:AlternateContent>
      </w:r>
      <w:r w:rsidRPr="0085730F">
        <w:rPr>
          <w:rFonts w:ascii="Arial" w:hAnsi="Arial" w:cs="Arial"/>
          <w:b/>
          <w:bCs/>
          <w:sz w:val="24"/>
          <w:szCs w:val="24"/>
          <w:lang w:val="en-GB"/>
        </w:rPr>
        <w:tab/>
      </w:r>
      <w:r w:rsidRPr="0085730F">
        <w:rPr>
          <w:rFonts w:ascii="Arial" w:hAnsi="Arial" w:cs="Arial"/>
          <w:b/>
          <w:bCs/>
          <w:sz w:val="24"/>
          <w:szCs w:val="24"/>
          <w:lang w:val="en-GB"/>
        </w:rPr>
        <w:tab/>
        <w:t xml:space="preserve"> </w:t>
      </w:r>
    </w:p>
    <w:p w14:paraId="42879F86" w14:textId="3A63C95D" w:rsidR="00EE0CCF" w:rsidRDefault="00EE0CCF">
      <w:pPr>
        <w:spacing w:after="160" w:line="360" w:lineRule="auto"/>
        <w:jc w:val="both"/>
        <w:rPr>
          <w:rFonts w:ascii="Arial" w:hAnsi="Arial" w:cs="Arial"/>
          <w:b/>
          <w:bCs/>
          <w:sz w:val="24"/>
          <w:szCs w:val="24"/>
          <w:lang w:val="en-GB"/>
        </w:rPr>
      </w:pPr>
      <w:r>
        <w:rPr>
          <w:rFonts w:ascii="Arial" w:hAnsi="Arial" w:cs="Arial"/>
          <w:b/>
          <w:bCs/>
          <w:sz w:val="24"/>
          <w:szCs w:val="24"/>
          <w:lang w:val="en-GB"/>
        </w:rPr>
        <w:object w:dxaOrig="8057" w:dyaOrig="8213" w14:anchorId="682B4D38">
          <v:shape id="_x0000_i1145" type="#_x0000_t75" style="width:402.75pt;height:219.75pt" o:ole="" filled="t">
            <v:imagedata r:id="rId29" o:title="" cropbottom="30488f"/>
          </v:shape>
          <o:OLEObject Type="Embed" ProgID="Prism8.Document" ShapeID="_x0000_i1145" DrawAspect="Content" ObjectID="_1815205304" r:id="rId30"/>
        </w:object>
      </w:r>
    </w:p>
    <w:p w14:paraId="4D352353" w14:textId="77777777" w:rsidR="00C45C2D" w:rsidRDefault="00613667" w:rsidP="00C45C2D">
      <w:pPr>
        <w:spacing w:after="160" w:line="360" w:lineRule="auto"/>
        <w:jc w:val="both"/>
        <w:rPr>
          <w:rFonts w:ascii="Arial" w:hAnsi="Arial" w:cs="Arial"/>
          <w:sz w:val="24"/>
          <w:szCs w:val="24"/>
          <w:lang w:val="en-GB"/>
        </w:rPr>
      </w:pPr>
      <w:r w:rsidRPr="00C45C2D">
        <w:rPr>
          <w:rFonts w:ascii="Arial" w:hAnsi="Arial" w:cs="Arial"/>
          <w:b/>
          <w:bCs/>
          <w:sz w:val="24"/>
          <w:szCs w:val="26"/>
        </w:rPr>
        <w:t xml:space="preserve">Fig. </w:t>
      </w:r>
      <w:r w:rsidR="0085730F" w:rsidRPr="00C45C2D">
        <w:rPr>
          <w:rFonts w:ascii="Arial" w:hAnsi="Arial" w:cs="Arial"/>
          <w:b/>
          <w:bCs/>
          <w:sz w:val="24"/>
          <w:szCs w:val="26"/>
        </w:rPr>
        <w:t>2</w:t>
      </w:r>
      <w:r w:rsidRPr="00C45C2D">
        <w:rPr>
          <w:rFonts w:ascii="Arial" w:hAnsi="Arial" w:cs="Arial"/>
          <w:b/>
          <w:bCs/>
          <w:sz w:val="24"/>
          <w:szCs w:val="26"/>
        </w:rPr>
        <w:t xml:space="preserve">. Effect of PVC on liver oxidative biomarkers a.  </w:t>
      </w:r>
      <w:r w:rsidRPr="00C45C2D">
        <w:rPr>
          <w:rFonts w:ascii="Arial" w:hAnsi="Arial" w:cs="Arial"/>
          <w:b/>
          <w:bCs/>
          <w:sz w:val="24"/>
          <w:szCs w:val="24"/>
          <w:lang w:val="en-GB"/>
        </w:rPr>
        <w:t xml:space="preserve">GSH (b) GPx (c) MDA (d) CAT (e) SOD Liver enzymes of male wistar rats. </w:t>
      </w:r>
      <w:r w:rsidRPr="00C45C2D">
        <w:rPr>
          <w:rFonts w:ascii="Arial" w:hAnsi="Arial" w:cs="Arial"/>
          <w:sz w:val="24"/>
          <w:szCs w:val="24"/>
          <w:lang w:val="en-GB"/>
        </w:rPr>
        <w:t>Bars represent the Mean ± SEM (n=5). *P &lt; .05, **P &lt; 0.05, ***P &lt; .001 vs control using one-way ANOVA followed by Bonferroni’s post hoc test.</w:t>
      </w:r>
    </w:p>
    <w:p w14:paraId="61D6E066" w14:textId="669C1B6F" w:rsidR="00681AEA" w:rsidRPr="00C45C2D" w:rsidRDefault="00613667" w:rsidP="00C45C2D">
      <w:pPr>
        <w:spacing w:after="160" w:line="360" w:lineRule="auto"/>
        <w:jc w:val="both"/>
        <w:rPr>
          <w:rFonts w:ascii="Arial" w:hAnsi="Arial" w:cs="Arial"/>
          <w:b/>
          <w:bCs/>
          <w:sz w:val="24"/>
          <w:szCs w:val="24"/>
          <w:lang w:val="en-GB"/>
        </w:rPr>
      </w:pPr>
      <w:r w:rsidRPr="00C45C2D">
        <w:rPr>
          <w:rFonts w:ascii="Arial" w:hAnsi="Arial" w:cs="Arial"/>
          <w:b/>
          <w:bCs/>
          <w:sz w:val="24"/>
          <w:szCs w:val="24"/>
          <w:lang w:val="en-GB"/>
        </w:rPr>
        <w:t>GSH-Glutathione, GPx-Glutathione Peroxidase, MDA</w:t>
      </w:r>
      <w:r w:rsidR="00C45C2D">
        <w:rPr>
          <w:rFonts w:ascii="Arial" w:hAnsi="Arial" w:cs="Arial"/>
          <w:b/>
          <w:bCs/>
          <w:sz w:val="24"/>
          <w:szCs w:val="24"/>
          <w:lang w:val="en-GB"/>
        </w:rPr>
        <w:t>-</w:t>
      </w:r>
      <w:r w:rsidRPr="00C45C2D">
        <w:rPr>
          <w:rFonts w:ascii="Arial" w:hAnsi="Arial" w:cs="Arial"/>
          <w:b/>
          <w:bCs/>
          <w:sz w:val="24"/>
          <w:szCs w:val="24"/>
          <w:lang w:val="en-GB"/>
        </w:rPr>
        <w:t>Malondialdehyde, CAT-Catalase, SOD-Super oxide Dismutase</w:t>
      </w:r>
    </w:p>
    <w:p w14:paraId="0B6BA643" w14:textId="77777777" w:rsidR="00681AEA" w:rsidRPr="0085730F" w:rsidRDefault="00681AEA">
      <w:pPr>
        <w:spacing w:after="160" w:line="360" w:lineRule="auto"/>
        <w:jc w:val="both"/>
        <w:rPr>
          <w:rFonts w:ascii="Arial" w:hAnsi="Arial" w:cs="Arial"/>
          <w:b/>
          <w:bCs/>
          <w:sz w:val="24"/>
          <w:szCs w:val="24"/>
          <w:lang w:val="en-GB"/>
        </w:rPr>
      </w:pPr>
    </w:p>
    <w:p w14:paraId="45B1C154" w14:textId="77777777" w:rsidR="004C663D" w:rsidRDefault="004C663D">
      <w:pPr>
        <w:spacing w:line="360" w:lineRule="auto"/>
        <w:rPr>
          <w:rFonts w:ascii="Arial" w:hAnsi="Arial" w:cs="Arial"/>
          <w:b/>
          <w:bCs/>
          <w:sz w:val="24"/>
          <w:szCs w:val="24"/>
        </w:rPr>
      </w:pPr>
    </w:p>
    <w:p w14:paraId="1CC65EE6" w14:textId="5144B491" w:rsidR="004C663D" w:rsidRDefault="004C663D">
      <w:pPr>
        <w:spacing w:line="360" w:lineRule="auto"/>
        <w:rPr>
          <w:rFonts w:ascii="Arial" w:hAnsi="Arial" w:cs="Arial"/>
          <w:b/>
          <w:bCs/>
          <w:sz w:val="24"/>
          <w:szCs w:val="24"/>
        </w:rPr>
      </w:pPr>
    </w:p>
    <w:p w14:paraId="3BD61FD2" w14:textId="38FF920D" w:rsidR="00681AEA" w:rsidRPr="0085730F" w:rsidRDefault="00583B94">
      <w:pPr>
        <w:spacing w:line="360" w:lineRule="auto"/>
        <w:rPr>
          <w:rFonts w:ascii="Arial" w:hAnsi="Arial" w:cs="Arial"/>
          <w:b/>
          <w:bCs/>
          <w:sz w:val="24"/>
          <w:szCs w:val="24"/>
        </w:rPr>
      </w:pPr>
      <w:r w:rsidRPr="0085730F">
        <w:rPr>
          <w:noProof/>
        </w:rPr>
        <mc:AlternateContent>
          <mc:Choice Requires="wps">
            <w:drawing>
              <wp:anchor distT="0" distB="0" distL="114300" distR="114300" simplePos="0" relativeHeight="251673600" behindDoc="0" locked="0" layoutInCell="1" allowOverlap="1" wp14:anchorId="786A0D78" wp14:editId="3F92D2F7">
                <wp:simplePos x="0" y="0"/>
                <wp:positionH relativeFrom="column">
                  <wp:posOffset>2057400</wp:posOffset>
                </wp:positionH>
                <wp:positionV relativeFrom="paragraph">
                  <wp:posOffset>1743075</wp:posOffset>
                </wp:positionV>
                <wp:extent cx="381000" cy="295275"/>
                <wp:effectExtent l="0" t="0" r="0" b="0"/>
                <wp:wrapNone/>
                <wp:docPr id="11245830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95275"/>
                        </a:xfrm>
                        <a:prstGeom prst="rect">
                          <a:avLst/>
                        </a:prstGeom>
                        <a:noFill/>
                        <a:ln w="6350">
                          <a:noFill/>
                        </a:ln>
                      </wps:spPr>
                      <wps:txbx>
                        <w:txbxContent>
                          <w:p w14:paraId="6F3A7F53" w14:textId="77777777" w:rsidR="00681AEA" w:rsidRDefault="00613667">
                            <w:pPr>
                              <w:rPr>
                                <w:b/>
                                <w:bCs/>
                                <w:sz w:val="24"/>
                                <w:szCs w:val="24"/>
                                <w:lang w:val="en-GB"/>
                              </w:rPr>
                            </w:pPr>
                            <w:r>
                              <w:rPr>
                                <w:b/>
                                <w:bCs/>
                                <w:sz w:val="24"/>
                                <w:szCs w:val="24"/>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6A0D78" id="_x0000_s1031" type="#_x0000_t202" style="position:absolute;margin-left:162pt;margin-top:137.25pt;width:30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dLJwIAAEs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" filled="f" stroked="f" strokeweight=".5pt">
                <v:textbox>
                  <w:txbxContent>
                    <w:p w14:paraId="6F3A7F53" w14:textId="77777777" w:rsidR="00681AEA" w:rsidRDefault="00613667">
                      <w:pPr>
                        <w:rPr>
                          <w:b/>
                          <w:bCs/>
                          <w:sz w:val="24"/>
                          <w:szCs w:val="24"/>
                          <w:lang w:val="en-GB"/>
                        </w:rPr>
                      </w:pPr>
                      <w:r>
                        <w:rPr>
                          <w:b/>
                          <w:bCs/>
                          <w:sz w:val="24"/>
                          <w:szCs w:val="24"/>
                          <w:lang w:val="en-GB"/>
                        </w:rPr>
                        <w:t>e</w:t>
                      </w:r>
                    </w:p>
                  </w:txbxContent>
                </v:textbox>
              </v:shape>
            </w:pict>
          </mc:Fallback>
        </mc:AlternateContent>
      </w:r>
      <w:r w:rsidR="002C71DD" w:rsidRPr="0085730F">
        <w:rPr>
          <w:rFonts w:ascii="Aptos" w:eastAsia="Aptos" w:hAnsi="Aptos" w:hint="eastAsia"/>
          <w:noProof/>
        </w:rPr>
        <w:drawing>
          <wp:inline distT="0" distB="0" distL="114300" distR="114300" wp14:anchorId="486AECD2" wp14:editId="35E52F6C">
            <wp:extent cx="2295728" cy="2070062"/>
            <wp:effectExtent l="0" t="0" r="0" b="0"/>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8"/>
                    <pic:cNvPicPr>
                      <a:picLocks noChangeAspect="1"/>
                    </pic:cNvPicPr>
                  </pic:nvPicPr>
                  <pic:blipFill>
                    <a:blip r:embed="rId31"/>
                    <a:stretch>
                      <a:fillRect/>
                    </a:stretch>
                  </pic:blipFill>
                  <pic:spPr>
                    <a:xfrm>
                      <a:off x="0" y="0"/>
                      <a:ext cx="2311498" cy="2084282"/>
                    </a:xfrm>
                    <a:prstGeom prst="rect">
                      <a:avLst/>
                    </a:prstGeom>
                    <a:noFill/>
                    <a:ln>
                      <a:noFill/>
                    </a:ln>
                  </pic:spPr>
                </pic:pic>
              </a:graphicData>
            </a:graphic>
          </wp:inline>
        </w:drawing>
      </w:r>
      <w:r w:rsidRPr="0085730F">
        <w:rPr>
          <w:rFonts w:ascii="Arial" w:hAnsi="Arial" w:cs="Arial"/>
          <w:b/>
          <w:bCs/>
          <w:sz w:val="24"/>
          <w:szCs w:val="24"/>
        </w:rPr>
        <w:t xml:space="preserve">      </w:t>
      </w:r>
      <w:r w:rsidR="002C71DD" w:rsidRPr="0085730F">
        <w:rPr>
          <w:rFonts w:ascii="Aptos" w:eastAsia="Aptos" w:hAnsi="Aptos" w:hint="eastAsia"/>
          <w:noProof/>
        </w:rPr>
        <w:drawing>
          <wp:inline distT="0" distB="0" distL="114300" distR="114300" wp14:anchorId="621B4404" wp14:editId="2FE3F195">
            <wp:extent cx="2130358" cy="2191888"/>
            <wp:effectExtent l="0" t="0" r="0" b="0"/>
            <wp:docPr id="56" name="Picture 39"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9" descr="A close-up of a microscope&#10;&#10;AI-generated content may be incorrect."/>
                    <pic:cNvPicPr>
                      <a:picLocks noChangeAspect="1"/>
                    </pic:cNvPicPr>
                  </pic:nvPicPr>
                  <pic:blipFill>
                    <a:blip r:embed="rId32"/>
                    <a:stretch>
                      <a:fillRect/>
                    </a:stretch>
                  </pic:blipFill>
                  <pic:spPr>
                    <a:xfrm>
                      <a:off x="0" y="0"/>
                      <a:ext cx="2137727" cy="2199470"/>
                    </a:xfrm>
                    <a:prstGeom prst="rect">
                      <a:avLst/>
                    </a:prstGeom>
                    <a:noFill/>
                    <a:ln>
                      <a:noFill/>
                    </a:ln>
                  </pic:spPr>
                </pic:pic>
              </a:graphicData>
            </a:graphic>
          </wp:inline>
        </w:drawing>
      </w:r>
    </w:p>
    <w:p w14:paraId="081A3E69" w14:textId="61CEE0EF" w:rsidR="002C71DD" w:rsidRPr="0085730F" w:rsidRDefault="002C71DD">
      <w:pPr>
        <w:spacing w:line="360" w:lineRule="auto"/>
        <w:rPr>
          <w:rFonts w:ascii="Arial" w:hAnsi="Arial" w:cs="Arial"/>
          <w:b/>
          <w:bCs/>
          <w:sz w:val="24"/>
          <w:szCs w:val="24"/>
        </w:rPr>
      </w:pPr>
      <w:r w:rsidRPr="0085730F">
        <w:rPr>
          <w:rFonts w:ascii="Aptos" w:eastAsia="Aptos" w:hAnsi="Aptos" w:hint="eastAsia"/>
          <w:noProof/>
        </w:rPr>
        <w:lastRenderedPageBreak/>
        <w:drawing>
          <wp:inline distT="0" distB="0" distL="114300" distR="114300" wp14:anchorId="3C972154" wp14:editId="0CC03AC8">
            <wp:extent cx="2686477" cy="2132641"/>
            <wp:effectExtent l="0" t="0" r="0" b="0"/>
            <wp:docPr id="66" name="Picture 40" descr="A close-up of a microscope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0" descr="A close-up of a microscope slide&#10;&#10;AI-generated content may be incorrect."/>
                    <pic:cNvPicPr>
                      <a:picLocks noChangeAspect="1"/>
                    </pic:cNvPicPr>
                  </pic:nvPicPr>
                  <pic:blipFill>
                    <a:blip r:embed="rId33"/>
                    <a:stretch>
                      <a:fillRect/>
                    </a:stretch>
                  </pic:blipFill>
                  <pic:spPr>
                    <a:xfrm>
                      <a:off x="0" y="0"/>
                      <a:ext cx="2704559" cy="2146995"/>
                    </a:xfrm>
                    <a:prstGeom prst="rect">
                      <a:avLst/>
                    </a:prstGeom>
                    <a:noFill/>
                    <a:ln>
                      <a:noFill/>
                    </a:ln>
                  </pic:spPr>
                </pic:pic>
              </a:graphicData>
            </a:graphic>
          </wp:inline>
        </w:drawing>
      </w:r>
      <w:r w:rsidRPr="0085730F">
        <w:rPr>
          <w:rFonts w:ascii="Arial" w:hAnsi="Arial" w:cs="Arial"/>
          <w:b/>
          <w:bCs/>
          <w:sz w:val="24"/>
          <w:szCs w:val="24"/>
        </w:rPr>
        <w:t xml:space="preserve"> </w:t>
      </w:r>
      <w:r w:rsidRPr="0085730F">
        <w:rPr>
          <w:rFonts w:ascii="Aptos" w:eastAsia="Aptos" w:hAnsi="Aptos" w:hint="eastAsia"/>
          <w:noProof/>
        </w:rPr>
        <w:drawing>
          <wp:inline distT="0" distB="0" distL="114300" distR="114300" wp14:anchorId="5898087D" wp14:editId="5A0E9797">
            <wp:extent cx="2451370" cy="2129790"/>
            <wp:effectExtent l="0" t="0" r="0" b="0"/>
            <wp:docPr id="67" name="Picture 41" descr="A close-up of a red and white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1" descr="A close-up of a red and white structure&#10;&#10;AI-generated content may be incorrect."/>
                    <pic:cNvPicPr>
                      <a:picLocks noChangeAspect="1"/>
                    </pic:cNvPicPr>
                  </pic:nvPicPr>
                  <pic:blipFill>
                    <a:blip r:embed="rId34"/>
                    <a:stretch>
                      <a:fillRect/>
                    </a:stretch>
                  </pic:blipFill>
                  <pic:spPr>
                    <a:xfrm>
                      <a:off x="0" y="0"/>
                      <a:ext cx="2466607" cy="2143028"/>
                    </a:xfrm>
                    <a:prstGeom prst="rect">
                      <a:avLst/>
                    </a:prstGeom>
                    <a:noFill/>
                    <a:ln>
                      <a:noFill/>
                    </a:ln>
                  </pic:spPr>
                </pic:pic>
              </a:graphicData>
            </a:graphic>
          </wp:inline>
        </w:drawing>
      </w:r>
    </w:p>
    <w:p w14:paraId="3F2A9DF0" w14:textId="65F1C447" w:rsidR="002C71DD" w:rsidRPr="0085730F" w:rsidRDefault="002C71DD">
      <w:pPr>
        <w:spacing w:line="360" w:lineRule="auto"/>
        <w:rPr>
          <w:rFonts w:ascii="Arial" w:hAnsi="Arial" w:cs="Arial"/>
          <w:b/>
          <w:bCs/>
          <w:sz w:val="24"/>
          <w:szCs w:val="24"/>
        </w:rPr>
      </w:pPr>
      <w:r w:rsidRPr="0085730F">
        <w:rPr>
          <w:rFonts w:ascii="Aptos" w:eastAsia="Aptos" w:hAnsi="Aptos" w:hint="eastAsia"/>
          <w:noProof/>
        </w:rPr>
        <w:drawing>
          <wp:inline distT="0" distB="0" distL="114300" distR="114300" wp14:anchorId="0703BB74" wp14:editId="192F2358">
            <wp:extent cx="3439910" cy="3045230"/>
            <wp:effectExtent l="0" t="0" r="0" b="0"/>
            <wp:docPr id="57" name="Picture 42" descr="A close-up of a red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2" descr="A close-up of a red tissue&#10;&#10;AI-generated content may be incorrect."/>
                    <pic:cNvPicPr>
                      <a:picLocks noChangeAspect="1"/>
                    </pic:cNvPicPr>
                  </pic:nvPicPr>
                  <pic:blipFill>
                    <a:blip r:embed="rId35"/>
                    <a:stretch>
                      <a:fillRect/>
                    </a:stretch>
                  </pic:blipFill>
                  <pic:spPr>
                    <a:xfrm>
                      <a:off x="0" y="0"/>
                      <a:ext cx="3470846" cy="3072617"/>
                    </a:xfrm>
                    <a:prstGeom prst="rect">
                      <a:avLst/>
                    </a:prstGeom>
                    <a:noFill/>
                    <a:ln>
                      <a:noFill/>
                    </a:ln>
                  </pic:spPr>
                </pic:pic>
              </a:graphicData>
            </a:graphic>
          </wp:inline>
        </w:drawing>
      </w:r>
    </w:p>
    <w:p w14:paraId="208FA012" w14:textId="100AA01A" w:rsidR="00681AEA" w:rsidRPr="0085730F" w:rsidRDefault="00613667" w:rsidP="00487CC4">
      <w:pPr>
        <w:ind w:firstLine="720"/>
        <w:jc w:val="both"/>
        <w:rPr>
          <w:rFonts w:ascii="Arial" w:eastAsia="Aptos" w:hAnsi="Arial" w:cs="Arial"/>
          <w:sz w:val="24"/>
          <w:szCs w:val="24"/>
          <w:lang w:val="en-GB"/>
        </w:rPr>
      </w:pPr>
      <w:r w:rsidRPr="0085730F">
        <w:rPr>
          <w:rFonts w:ascii="Arial" w:hAnsi="Arial" w:cs="Arial"/>
          <w:b/>
          <w:bCs/>
          <w:sz w:val="24"/>
          <w:szCs w:val="24"/>
          <w:lang w:val="en-GB"/>
        </w:rPr>
        <w:t xml:space="preserve">Fig </w:t>
      </w:r>
      <w:r w:rsidR="0085730F" w:rsidRPr="0085730F">
        <w:rPr>
          <w:rFonts w:ascii="Arial" w:hAnsi="Arial" w:cs="Arial"/>
          <w:b/>
          <w:bCs/>
          <w:sz w:val="24"/>
          <w:szCs w:val="24"/>
          <w:lang w:val="en-GB"/>
        </w:rPr>
        <w:t>3</w:t>
      </w:r>
      <w:r w:rsidR="00F4293D" w:rsidRPr="0085730F">
        <w:rPr>
          <w:rFonts w:ascii="Arial" w:hAnsi="Arial" w:cs="Arial"/>
          <w:b/>
          <w:bCs/>
          <w:sz w:val="24"/>
          <w:szCs w:val="24"/>
          <w:lang w:val="en-GB"/>
        </w:rPr>
        <w:t>-</w:t>
      </w:r>
      <w:r w:rsidRPr="0085730F">
        <w:rPr>
          <w:rFonts w:ascii="Arial" w:hAnsi="Arial" w:cs="Arial"/>
          <w:b/>
          <w:bCs/>
          <w:sz w:val="24"/>
          <w:szCs w:val="24"/>
          <w:lang w:val="en-GB"/>
        </w:rPr>
        <w:t xml:space="preserve"> </w:t>
      </w:r>
      <w:r w:rsidRPr="0085730F">
        <w:rPr>
          <w:rFonts w:ascii="Arial" w:eastAsia="Aptos" w:hAnsi="Arial" w:cs="Arial"/>
          <w:sz w:val="24"/>
          <w:szCs w:val="24"/>
        </w:rPr>
        <w:t xml:space="preserve">Photomicrographs of hematoxylin and eosin (H&amp;E) stained liver sections, </w:t>
      </w:r>
      <w:r w:rsidRPr="0085730F">
        <w:rPr>
          <w:rFonts w:ascii="Arial" w:eastAsia="Aptos" w:hAnsi="Arial" w:cs="Arial"/>
          <w:b/>
          <w:bCs/>
          <w:sz w:val="24"/>
          <w:szCs w:val="24"/>
          <w:lang w:val="en-GB"/>
        </w:rPr>
        <w:t>(A)</w:t>
      </w:r>
      <w:r w:rsidRPr="0085730F">
        <w:rPr>
          <w:rFonts w:ascii="Arial" w:eastAsia="Aptos" w:hAnsi="Arial" w:cs="Arial"/>
          <w:sz w:val="24"/>
          <w:szCs w:val="24"/>
          <w:lang w:val="en-GB"/>
        </w:rPr>
        <w:t xml:space="preserve"> there is preservation of the hepatic lobular architecture with clear central veins and radiating hepatic cords, sinusoidal spaces are intact, and hepatocytes display uniform morphology with no necrotic or signs of inflammation </w:t>
      </w:r>
      <w:r w:rsidRPr="0085730F">
        <w:rPr>
          <w:rFonts w:ascii="Arial" w:eastAsia="Aptos" w:hAnsi="Arial" w:cs="Arial"/>
          <w:b/>
          <w:bCs/>
          <w:sz w:val="24"/>
          <w:szCs w:val="24"/>
          <w:lang w:val="en-GB"/>
        </w:rPr>
        <w:t>(organized hepatic radial symmetry, with conserved central venule)</w:t>
      </w:r>
      <w:r w:rsidRPr="0085730F">
        <w:rPr>
          <w:rFonts w:ascii="Arial" w:eastAsia="Aptos" w:hAnsi="Arial" w:cs="Arial"/>
          <w:sz w:val="24"/>
          <w:szCs w:val="24"/>
          <w:lang w:val="en-GB"/>
        </w:rPr>
        <w:t xml:space="preserve"> </w:t>
      </w:r>
      <w:r w:rsidRPr="0085730F">
        <w:rPr>
          <w:rFonts w:ascii="Arial" w:eastAsia="Aptos" w:hAnsi="Arial" w:cs="Arial"/>
          <w:b/>
          <w:bCs/>
          <w:sz w:val="24"/>
          <w:szCs w:val="24"/>
          <w:lang w:val="en-GB"/>
        </w:rPr>
        <w:t xml:space="preserve">(B) </w:t>
      </w:r>
      <w:r w:rsidRPr="0085730F">
        <w:rPr>
          <w:rFonts w:ascii="Arial" w:eastAsia="Aptos" w:hAnsi="Arial" w:cs="Arial"/>
          <w:sz w:val="24"/>
          <w:szCs w:val="24"/>
          <w:lang w:val="en-GB"/>
        </w:rPr>
        <w:t xml:space="preserve">the liver histoarchitecture appears normal, with well-organized hepatic cords radiating from the central vein. There is visible central nucleus in the hepatocytes with uniform well and distributed sinusoidal spaces. no visible signs of necrotic changes </w:t>
      </w:r>
      <w:r w:rsidRPr="0085730F">
        <w:rPr>
          <w:rFonts w:ascii="Arial" w:eastAsia="Aptos" w:hAnsi="Arial" w:cs="Arial"/>
          <w:b/>
          <w:bCs/>
          <w:sz w:val="24"/>
          <w:szCs w:val="24"/>
          <w:lang w:val="en-GB"/>
        </w:rPr>
        <w:t>(reactive hepatocytes, with increase basophilic nucleus, possible cell regeneration from repeated insults)</w:t>
      </w:r>
      <w:r w:rsidRPr="0085730F">
        <w:rPr>
          <w:rFonts w:ascii="Arial" w:eastAsia="Aptos" w:hAnsi="Arial" w:cs="Arial"/>
          <w:sz w:val="24"/>
          <w:szCs w:val="24"/>
          <w:lang w:val="en-GB"/>
        </w:rPr>
        <w:t xml:space="preserve"> ( (</w:t>
      </w:r>
      <w:r w:rsidRPr="0085730F">
        <w:rPr>
          <w:rFonts w:ascii="Arial" w:eastAsia="Aptos" w:hAnsi="Arial" w:cs="Arial"/>
          <w:b/>
          <w:bCs/>
          <w:sz w:val="24"/>
          <w:szCs w:val="24"/>
          <w:lang w:val="en-GB"/>
        </w:rPr>
        <w:t>C</w:t>
      </w:r>
      <w:r w:rsidRPr="0085730F">
        <w:rPr>
          <w:rFonts w:ascii="Arial" w:eastAsia="Aptos" w:hAnsi="Arial" w:cs="Arial"/>
          <w:sz w:val="24"/>
          <w:szCs w:val="24"/>
          <w:lang w:val="en-GB"/>
        </w:rPr>
        <w:t xml:space="preserve">) there is mild disorganization of hepatic cords, and slight dilation of sinusoids, hepatocellular vacuolation and cytoplasmic granularity, as well as early ballooning degeneration in scattered hepatocytes, with minimal portal inflammation </w:t>
      </w:r>
      <w:r w:rsidRPr="0085730F">
        <w:rPr>
          <w:rFonts w:ascii="Arial" w:eastAsia="Aptos" w:hAnsi="Arial" w:cs="Arial"/>
          <w:b/>
          <w:bCs/>
          <w:sz w:val="24"/>
          <w:szCs w:val="24"/>
          <w:lang w:val="en-GB"/>
        </w:rPr>
        <w:t>(circle encircling disruption in radial symmetry of the hepatocytes)</w:t>
      </w:r>
      <w:r w:rsidRPr="0085730F">
        <w:rPr>
          <w:rFonts w:ascii="Arial" w:eastAsia="Aptos" w:hAnsi="Arial" w:cs="Arial"/>
          <w:sz w:val="24"/>
          <w:szCs w:val="24"/>
          <w:lang w:val="en-GB"/>
        </w:rPr>
        <w:t xml:space="preserve"> </w:t>
      </w:r>
      <w:r w:rsidRPr="0085730F">
        <w:rPr>
          <w:rFonts w:ascii="Arial" w:eastAsia="Aptos" w:hAnsi="Arial" w:cs="Arial"/>
          <w:b/>
          <w:bCs/>
          <w:sz w:val="24"/>
          <w:szCs w:val="24"/>
          <w:lang w:val="en-GB"/>
        </w:rPr>
        <w:t xml:space="preserve">(D) </w:t>
      </w:r>
      <w:r w:rsidRPr="0085730F">
        <w:rPr>
          <w:rFonts w:ascii="Arial" w:eastAsia="Aptos" w:hAnsi="Arial" w:cs="Arial"/>
          <w:sz w:val="24"/>
          <w:szCs w:val="24"/>
          <w:lang w:val="en-GB"/>
        </w:rPr>
        <w:t xml:space="preserve">there is disorganization of lobular histoarchitecture with disruption of the radiating hepatic cords, there is observed inflammatory cell infiltration in periportal areas, along with early signs of vascular congestion. displays more pronounced changes, including increased cytoplasmic </w:t>
      </w:r>
      <w:r w:rsidRPr="0085730F">
        <w:rPr>
          <w:rFonts w:ascii="Arial" w:eastAsia="Aptos" w:hAnsi="Arial" w:cs="Arial"/>
          <w:sz w:val="24"/>
          <w:szCs w:val="24"/>
          <w:lang w:val="en-GB"/>
        </w:rPr>
        <w:lastRenderedPageBreak/>
        <w:t xml:space="preserve">vacuolation and hepatocyte swelling, sinusoidal dilation, and mild inflammatory cell infiltration. Notably, focal necrosis is observed in some lobules </w:t>
      </w:r>
      <w:r w:rsidRPr="0085730F">
        <w:rPr>
          <w:rFonts w:ascii="Arial" w:eastAsia="Aptos" w:hAnsi="Arial" w:cs="Arial"/>
          <w:b/>
          <w:bCs/>
          <w:sz w:val="24"/>
          <w:szCs w:val="24"/>
          <w:lang w:val="en-GB"/>
        </w:rPr>
        <w:t>(blue arrow pointing at disorganization of the parenchyma architecture)</w:t>
      </w:r>
      <w:r w:rsidRPr="0085730F">
        <w:rPr>
          <w:rFonts w:ascii="Arial" w:eastAsia="Aptos" w:hAnsi="Arial" w:cs="Arial"/>
          <w:sz w:val="24"/>
          <w:szCs w:val="24"/>
          <w:lang w:val="en-GB"/>
        </w:rPr>
        <w:t xml:space="preserve"> </w:t>
      </w:r>
      <w:r w:rsidRPr="0085730F">
        <w:rPr>
          <w:rFonts w:ascii="Arial" w:eastAsia="Aptos" w:hAnsi="Arial" w:cs="Arial"/>
          <w:b/>
          <w:bCs/>
          <w:sz w:val="24"/>
          <w:szCs w:val="24"/>
          <w:lang w:val="en-GB"/>
        </w:rPr>
        <w:t xml:space="preserve">(E) </w:t>
      </w:r>
      <w:r w:rsidRPr="0085730F">
        <w:rPr>
          <w:rFonts w:ascii="Arial" w:eastAsia="Aptos" w:hAnsi="Arial" w:cs="Arial"/>
          <w:sz w:val="24"/>
          <w:szCs w:val="24"/>
          <w:lang w:val="en-GB"/>
        </w:rPr>
        <w:t xml:space="preserve">there is significant hepatocellular degeneration, necrosis, and loss of lobular architecture. prominent vascular congestion, central vein dilation, and haemorrhagic foci are evident. Moderate portal inflammation accompanied by marked disruption of normal lobular architecture, widespread ballooning and necrotic hepatocytes, dense inflammatory cell infiltration, and sinusoidal congestion </w:t>
      </w:r>
      <w:r w:rsidRPr="0085730F">
        <w:rPr>
          <w:rFonts w:ascii="Arial" w:eastAsia="Aptos" w:hAnsi="Arial" w:cs="Arial"/>
          <w:b/>
          <w:bCs/>
          <w:sz w:val="24"/>
          <w:szCs w:val="24"/>
          <w:lang w:val="en-GB"/>
        </w:rPr>
        <w:t>(black circle shows loss of radial symmetry, and coalescent of the central venules)</w:t>
      </w:r>
      <w:r w:rsidRPr="0085730F">
        <w:rPr>
          <w:rFonts w:ascii="Arial" w:eastAsia="Aptos" w:hAnsi="Arial" w:cs="Arial"/>
          <w:sz w:val="24"/>
          <w:szCs w:val="24"/>
          <w:lang w:val="en-GB"/>
        </w:rPr>
        <w:t>. Furthermore, there is evidence of beginning fibrosis, areas with cell dropout, and possible regeneration nodules.</w:t>
      </w:r>
    </w:p>
    <w:p w14:paraId="40FC91C7" w14:textId="77777777" w:rsidR="00681AEA" w:rsidRPr="0085730F" w:rsidRDefault="00613667">
      <w:pPr>
        <w:spacing w:after="160" w:line="360" w:lineRule="auto"/>
        <w:jc w:val="both"/>
        <w:rPr>
          <w:rFonts w:ascii="Arial" w:hAnsi="Arial" w:cs="Arial"/>
          <w:sz w:val="24"/>
          <w:szCs w:val="24"/>
          <w:lang w:val="en-GB"/>
        </w:rPr>
      </w:pPr>
      <w:r w:rsidRPr="0085730F">
        <w:rPr>
          <w:rFonts w:ascii="Arial" w:hAnsi="Arial" w:cs="Arial"/>
          <w:sz w:val="24"/>
          <w:szCs w:val="24"/>
          <w:lang w:val="en-GB"/>
        </w:rPr>
        <w:t>(A: Control, B: Cyclohexanone 2ml/kg, C: 0.1 PVC mg/kg, D: 0.2 PVC mg/kg, E. 0.3 PVC mg/kg)</w:t>
      </w:r>
    </w:p>
    <w:p w14:paraId="347164D2" w14:textId="77777777" w:rsidR="00681AEA" w:rsidRPr="0085730F" w:rsidRDefault="00613667">
      <w:pPr>
        <w:spacing w:line="360" w:lineRule="auto"/>
        <w:jc w:val="both"/>
        <w:rPr>
          <w:rFonts w:ascii="Arial" w:cs="Arial"/>
          <w:b/>
          <w:sz w:val="28"/>
          <w:szCs w:val="28"/>
          <w:lang w:val="en-GB"/>
        </w:rPr>
      </w:pPr>
      <w:r w:rsidRPr="0085730F">
        <w:rPr>
          <w:rFonts w:ascii="Arial" w:cs="Arial"/>
          <w:b/>
          <w:sz w:val="28"/>
          <w:szCs w:val="28"/>
          <w:lang w:val="en-GB"/>
        </w:rPr>
        <w:t>4.0</w:t>
      </w:r>
      <w:r w:rsidRPr="0085730F">
        <w:rPr>
          <w:rFonts w:ascii="Arial" w:cs="Arial"/>
          <w:b/>
          <w:sz w:val="28"/>
          <w:szCs w:val="28"/>
          <w:lang w:val="en-GB"/>
        </w:rPr>
        <w:tab/>
        <w:t>DISCUSSION</w:t>
      </w:r>
    </w:p>
    <w:p w14:paraId="7D35AAD8" w14:textId="18A094E0" w:rsidR="00681AEA" w:rsidRPr="00336341" w:rsidRDefault="00F25534" w:rsidP="00722EB8">
      <w:pPr>
        <w:spacing w:line="360" w:lineRule="auto"/>
        <w:ind w:firstLine="720"/>
        <w:jc w:val="both"/>
        <w:rPr>
          <w:rFonts w:ascii="Arial" w:cs="Arial"/>
          <w:sz w:val="24"/>
          <w:szCs w:val="24"/>
          <w:lang w:val="en-GB"/>
        </w:rPr>
      </w:pPr>
      <w:r w:rsidRPr="00F25534">
        <w:rPr>
          <w:rFonts w:ascii="Arial" w:cs="Arial"/>
          <w:sz w:val="24"/>
          <w:szCs w:val="24"/>
          <w:lang w:val="en-GB"/>
        </w:rPr>
        <w:t xml:space="preserve">Chronic </w:t>
      </w:r>
      <w:r w:rsidR="00C16EC8">
        <w:rPr>
          <w:rFonts w:ascii="Arial" w:cs="Arial"/>
          <w:sz w:val="24"/>
          <w:szCs w:val="24"/>
          <w:lang w:val="en-GB"/>
        </w:rPr>
        <w:t xml:space="preserve">exposure of human cells </w:t>
      </w:r>
      <w:r w:rsidR="00BF1661">
        <w:rPr>
          <w:rFonts w:ascii="Arial" w:cs="Arial"/>
          <w:sz w:val="24"/>
          <w:szCs w:val="24"/>
          <w:lang w:val="en-GB"/>
        </w:rPr>
        <w:t xml:space="preserve">to </w:t>
      </w:r>
      <w:r w:rsidRPr="00F25534">
        <w:rPr>
          <w:rFonts w:ascii="Arial" w:cs="Arial"/>
          <w:sz w:val="24"/>
          <w:szCs w:val="24"/>
          <w:lang w:val="en-GB"/>
        </w:rPr>
        <w:t>microp</w:t>
      </w:r>
      <w:r w:rsidR="00AE18BC">
        <w:rPr>
          <w:rFonts w:ascii="Arial" w:cs="Arial"/>
          <w:sz w:val="24"/>
          <w:szCs w:val="24"/>
          <w:lang w:val="en-GB"/>
        </w:rPr>
        <w:t>lastic</w:t>
      </w:r>
      <w:r w:rsidRPr="00F25534">
        <w:rPr>
          <w:rFonts w:ascii="Arial" w:cs="Arial"/>
          <w:sz w:val="24"/>
          <w:szCs w:val="24"/>
          <w:lang w:val="en-GB"/>
        </w:rPr>
        <w:t xml:space="preserve"> </w:t>
      </w:r>
      <w:r w:rsidR="00313076">
        <w:rPr>
          <w:rFonts w:ascii="Arial" w:cs="Arial"/>
          <w:sz w:val="24"/>
          <w:szCs w:val="24"/>
          <w:lang w:val="en-GB"/>
        </w:rPr>
        <w:t xml:space="preserve">results in </w:t>
      </w:r>
      <w:r w:rsidRPr="00F25534">
        <w:rPr>
          <w:rFonts w:ascii="Arial" w:cs="Arial"/>
          <w:sz w:val="24"/>
          <w:szCs w:val="24"/>
          <w:lang w:val="en-GB"/>
        </w:rPr>
        <w:t>increase</w:t>
      </w:r>
      <w:r w:rsidR="00582B73">
        <w:rPr>
          <w:rFonts w:ascii="Arial" w:cs="Arial"/>
          <w:sz w:val="24"/>
          <w:szCs w:val="24"/>
          <w:lang w:val="en-GB"/>
        </w:rPr>
        <w:t xml:space="preserve"> </w:t>
      </w:r>
      <w:r w:rsidR="00F257C5">
        <w:rPr>
          <w:rFonts w:ascii="Arial" w:cs="Arial"/>
          <w:sz w:val="24"/>
          <w:szCs w:val="24"/>
          <w:lang w:val="en-GB"/>
        </w:rPr>
        <w:t>generation</w:t>
      </w:r>
      <w:r w:rsidR="00313076">
        <w:rPr>
          <w:rFonts w:ascii="Arial" w:cs="Arial"/>
          <w:sz w:val="24"/>
          <w:szCs w:val="24"/>
          <w:lang w:val="en-GB"/>
        </w:rPr>
        <w:t xml:space="preserve"> of </w:t>
      </w:r>
      <w:r w:rsidRPr="00F25534">
        <w:rPr>
          <w:rFonts w:ascii="Arial" w:cs="Arial"/>
          <w:sz w:val="24"/>
          <w:szCs w:val="24"/>
          <w:lang w:val="en-GB"/>
        </w:rPr>
        <w:t>ROS</w:t>
      </w:r>
      <w:r w:rsidR="00565124">
        <w:rPr>
          <w:rFonts w:ascii="Arial" w:cs="Arial"/>
          <w:sz w:val="24"/>
          <w:szCs w:val="24"/>
          <w:lang w:val="en-GB"/>
        </w:rPr>
        <w:t xml:space="preserve">, </w:t>
      </w:r>
      <w:r w:rsidRPr="00F25534">
        <w:rPr>
          <w:rFonts w:ascii="Arial" w:cs="Arial"/>
          <w:sz w:val="24"/>
          <w:szCs w:val="24"/>
          <w:lang w:val="en-GB"/>
        </w:rPr>
        <w:t>oxidative damage</w:t>
      </w:r>
      <w:r>
        <w:rPr>
          <w:rFonts w:ascii="Arial" w:cs="Arial"/>
          <w:sz w:val="24"/>
          <w:szCs w:val="24"/>
          <w:lang w:val="en-GB"/>
        </w:rPr>
        <w:t xml:space="preserve"> </w:t>
      </w:r>
      <w:r w:rsidR="002062F5">
        <w:rPr>
          <w:rFonts w:ascii="Arial" w:cs="Arial"/>
          <w:sz w:val="24"/>
          <w:szCs w:val="24"/>
          <w:lang w:val="en-GB"/>
        </w:rPr>
        <w:t xml:space="preserve">and </w:t>
      </w:r>
      <w:r w:rsidR="002062F5">
        <w:rPr>
          <w:rFonts w:ascii="Arial" w:cs="Arial"/>
          <w:sz w:val="24"/>
          <w:szCs w:val="24"/>
          <w:lang w:val="en-GB"/>
        </w:rPr>
        <w:t xml:space="preserve">inflammation </w:t>
      </w:r>
      <w:r w:rsidR="00613667" w:rsidRPr="0085730F">
        <w:rPr>
          <w:rFonts w:ascii="Arial" w:cs="Arial"/>
          <w:sz w:val="24"/>
          <w:szCs w:val="24"/>
          <w:lang w:val="en-GB"/>
        </w:rPr>
        <w:t>(</w:t>
      </w:r>
      <w:r w:rsidRPr="00F25534">
        <w:rPr>
          <w:rFonts w:ascii="Arial" w:cs="Arial"/>
          <w:sz w:val="24"/>
          <w:szCs w:val="24"/>
        </w:rPr>
        <w:t>Mahmud</w:t>
      </w:r>
      <w:r w:rsidR="00613667" w:rsidRPr="0085730F">
        <w:rPr>
          <w:rFonts w:ascii="Arial" w:cs="Arial"/>
          <w:sz w:val="24"/>
          <w:szCs w:val="24"/>
        </w:rPr>
        <w:t xml:space="preserve">, </w:t>
      </w:r>
      <w:r w:rsidR="00424167" w:rsidRPr="00424167">
        <w:rPr>
          <w:rFonts w:ascii="Arial" w:cs="Arial"/>
          <w:i/>
          <w:iCs/>
          <w:sz w:val="24"/>
          <w:szCs w:val="24"/>
        </w:rPr>
        <w:t>et al</w:t>
      </w:r>
      <w:r w:rsidR="00613667" w:rsidRPr="0085730F">
        <w:rPr>
          <w:rFonts w:ascii="Arial" w:cs="Arial"/>
          <w:sz w:val="24"/>
          <w:szCs w:val="24"/>
        </w:rPr>
        <w:t>., 2020</w:t>
      </w:r>
      <w:r w:rsidR="003C3BDC">
        <w:rPr>
          <w:rFonts w:ascii="Arial" w:cs="Arial"/>
          <w:sz w:val="24"/>
          <w:szCs w:val="24"/>
        </w:rPr>
        <w:t xml:space="preserve">; </w:t>
      </w:r>
      <w:r w:rsidR="00D857B1" w:rsidRPr="00D857B1">
        <w:rPr>
          <w:rFonts w:ascii="Arial" w:cs="Arial"/>
          <w:sz w:val="24"/>
          <w:szCs w:val="24"/>
        </w:rPr>
        <w:t>Dong</w:t>
      </w:r>
      <w:r w:rsidR="00D857B1" w:rsidRPr="0085730F">
        <w:rPr>
          <w:rFonts w:ascii="Arial" w:cs="Arial"/>
          <w:sz w:val="24"/>
          <w:szCs w:val="24"/>
        </w:rPr>
        <w:t xml:space="preserve"> </w:t>
      </w:r>
      <w:r w:rsidR="00D857B1" w:rsidRPr="00D857B1">
        <w:rPr>
          <w:rFonts w:ascii="Arial" w:cs="Arial"/>
          <w:i/>
          <w:iCs/>
          <w:sz w:val="24"/>
          <w:szCs w:val="24"/>
        </w:rPr>
        <w:t>et al</w:t>
      </w:r>
      <w:r w:rsidR="00D857B1">
        <w:rPr>
          <w:rFonts w:ascii="Arial" w:cs="Arial"/>
          <w:sz w:val="24"/>
          <w:szCs w:val="24"/>
        </w:rPr>
        <w:t xml:space="preserve">., 2020; </w:t>
      </w:r>
      <w:r w:rsidR="00613667" w:rsidRPr="0085730F">
        <w:rPr>
          <w:rFonts w:ascii="Arial" w:cs="Arial"/>
          <w:sz w:val="24"/>
          <w:szCs w:val="24"/>
        </w:rPr>
        <w:t xml:space="preserve">Das, A., 2023; Lee, </w:t>
      </w:r>
      <w:r w:rsidR="00424167" w:rsidRPr="00424167">
        <w:rPr>
          <w:rFonts w:ascii="Arial" w:cs="Arial"/>
          <w:i/>
          <w:iCs/>
          <w:sz w:val="24"/>
          <w:szCs w:val="24"/>
        </w:rPr>
        <w:t>et al</w:t>
      </w:r>
      <w:r w:rsidR="00613667" w:rsidRPr="0085730F">
        <w:rPr>
          <w:rFonts w:ascii="Arial" w:cs="Arial"/>
          <w:sz w:val="24"/>
          <w:szCs w:val="24"/>
        </w:rPr>
        <w:t>., 2024</w:t>
      </w:r>
      <w:r w:rsidR="003D19CD">
        <w:rPr>
          <w:rFonts w:ascii="Arial" w:cs="Arial"/>
          <w:sz w:val="24"/>
          <w:szCs w:val="24"/>
        </w:rPr>
        <w:t xml:space="preserve">; </w:t>
      </w:r>
      <w:r w:rsidR="00613667" w:rsidRPr="0085730F">
        <w:rPr>
          <w:rFonts w:ascii="Arial" w:cs="Arial"/>
          <w:sz w:val="24"/>
          <w:szCs w:val="24"/>
        </w:rPr>
        <w:t xml:space="preserve">Zou, </w:t>
      </w:r>
      <w:r w:rsidR="00424167" w:rsidRPr="00424167">
        <w:rPr>
          <w:rFonts w:ascii="Arial" w:cs="Arial"/>
          <w:i/>
          <w:iCs/>
          <w:sz w:val="24"/>
          <w:szCs w:val="24"/>
        </w:rPr>
        <w:t>et al</w:t>
      </w:r>
      <w:r w:rsidR="00613667" w:rsidRPr="0085730F">
        <w:rPr>
          <w:rFonts w:ascii="Arial" w:cs="Arial"/>
          <w:sz w:val="24"/>
          <w:szCs w:val="24"/>
        </w:rPr>
        <w:t>., 2025)</w:t>
      </w:r>
      <w:r w:rsidR="00253474">
        <w:rPr>
          <w:rFonts w:ascii="Arial" w:cs="Arial"/>
          <w:sz w:val="24"/>
          <w:szCs w:val="24"/>
          <w:lang w:val="en-GB"/>
        </w:rPr>
        <w:t>.</w:t>
      </w:r>
      <w:r w:rsidR="000554B5">
        <w:rPr>
          <w:rFonts w:ascii="Arial" w:cs="Arial"/>
          <w:sz w:val="24"/>
          <w:szCs w:val="24"/>
          <w:lang w:val="en-GB"/>
        </w:rPr>
        <w:t xml:space="preserve"> </w:t>
      </w:r>
      <w:r w:rsidR="00F70B91">
        <w:rPr>
          <w:rFonts w:ascii="Arial" w:cs="Arial"/>
          <w:sz w:val="24"/>
          <w:szCs w:val="24"/>
          <w:lang w:val="en-GB"/>
        </w:rPr>
        <w:t>Data from s</w:t>
      </w:r>
      <w:proofErr w:type="spellStart"/>
      <w:r w:rsidR="00253474">
        <w:rPr>
          <w:rFonts w:ascii="Arial" w:cs="Arial"/>
          <w:sz w:val="24"/>
          <w:szCs w:val="24"/>
        </w:rPr>
        <w:t>tudies</w:t>
      </w:r>
      <w:proofErr w:type="spellEnd"/>
      <w:r w:rsidR="00253474">
        <w:rPr>
          <w:rFonts w:ascii="Arial" w:cs="Arial"/>
          <w:sz w:val="24"/>
          <w:szCs w:val="24"/>
        </w:rPr>
        <w:t xml:space="preserve"> have shown </w:t>
      </w:r>
      <w:r w:rsidR="00F70B91">
        <w:rPr>
          <w:rFonts w:ascii="Arial" w:cs="Arial"/>
          <w:sz w:val="24"/>
          <w:szCs w:val="24"/>
        </w:rPr>
        <w:t xml:space="preserve">that PVC induces </w:t>
      </w:r>
      <w:r w:rsidR="000554B5" w:rsidRPr="000554B5">
        <w:rPr>
          <w:rFonts w:ascii="Arial" w:cs="Arial"/>
          <w:sz w:val="24"/>
          <w:szCs w:val="24"/>
        </w:rPr>
        <w:t>toxic</w:t>
      </w:r>
      <w:r w:rsidR="00253474">
        <w:rPr>
          <w:rFonts w:ascii="Arial" w:cs="Arial"/>
          <w:sz w:val="24"/>
          <w:szCs w:val="24"/>
        </w:rPr>
        <w:t xml:space="preserve">ity </w:t>
      </w:r>
      <w:r w:rsidR="00F70B91">
        <w:rPr>
          <w:rFonts w:ascii="Arial" w:cs="Arial"/>
          <w:sz w:val="24"/>
          <w:szCs w:val="24"/>
        </w:rPr>
        <w:t>in</w:t>
      </w:r>
      <w:r w:rsidR="000554B5" w:rsidRPr="000554B5">
        <w:rPr>
          <w:rFonts w:ascii="Arial" w:cs="Arial"/>
          <w:sz w:val="24"/>
          <w:szCs w:val="24"/>
        </w:rPr>
        <w:t xml:space="preserve"> </w:t>
      </w:r>
      <w:r w:rsidR="009468BB">
        <w:rPr>
          <w:rFonts w:ascii="Arial" w:cs="Arial"/>
          <w:sz w:val="24"/>
          <w:szCs w:val="24"/>
        </w:rPr>
        <w:t xml:space="preserve">in the liver and intestine of </w:t>
      </w:r>
      <w:r w:rsidR="000554B5" w:rsidRPr="000554B5">
        <w:rPr>
          <w:rFonts w:ascii="Arial" w:cs="Arial"/>
          <w:sz w:val="24"/>
          <w:szCs w:val="24"/>
        </w:rPr>
        <w:t>aquatic organisms and terrestrial mammals</w:t>
      </w:r>
      <w:r w:rsidR="00613667" w:rsidRPr="0085730F">
        <w:rPr>
          <w:rFonts w:ascii="Arial" w:cs="Arial"/>
          <w:sz w:val="24"/>
          <w:szCs w:val="24"/>
          <w:lang w:val="en-GB"/>
        </w:rPr>
        <w:t xml:space="preserve"> (</w:t>
      </w:r>
      <w:r w:rsidR="00613667" w:rsidRPr="0085730F">
        <w:rPr>
          <w:rFonts w:ascii="Arial" w:cs="Arial"/>
          <w:sz w:val="24"/>
          <w:szCs w:val="24"/>
        </w:rPr>
        <w:t xml:space="preserve">Chen, </w:t>
      </w:r>
      <w:r w:rsidR="00424167" w:rsidRPr="00424167">
        <w:rPr>
          <w:rFonts w:ascii="Arial" w:cs="Arial"/>
          <w:i/>
          <w:iCs/>
          <w:sz w:val="24"/>
          <w:szCs w:val="24"/>
        </w:rPr>
        <w:t>et al</w:t>
      </w:r>
      <w:r w:rsidR="00613667" w:rsidRPr="0085730F">
        <w:rPr>
          <w:rFonts w:ascii="Arial" w:cs="Arial"/>
          <w:sz w:val="24"/>
          <w:szCs w:val="24"/>
        </w:rPr>
        <w:t>., 2022</w:t>
      </w:r>
      <w:r w:rsidR="0011559F">
        <w:rPr>
          <w:rFonts w:ascii="Arial" w:cs="Arial"/>
          <w:sz w:val="24"/>
          <w:szCs w:val="24"/>
        </w:rPr>
        <w:t xml:space="preserve">; </w:t>
      </w:r>
      <w:r w:rsidR="0011559F" w:rsidRPr="0085730F">
        <w:rPr>
          <w:rFonts w:ascii="Arial" w:cs="Arial"/>
          <w:sz w:val="24"/>
          <w:szCs w:val="24"/>
        </w:rPr>
        <w:t xml:space="preserve">Chen, </w:t>
      </w:r>
      <w:r w:rsidR="0011559F" w:rsidRPr="00424167">
        <w:rPr>
          <w:rFonts w:ascii="Arial" w:cs="Arial"/>
          <w:i/>
          <w:iCs/>
          <w:sz w:val="24"/>
          <w:szCs w:val="24"/>
        </w:rPr>
        <w:t>et al</w:t>
      </w:r>
      <w:r w:rsidR="0011559F" w:rsidRPr="0085730F">
        <w:rPr>
          <w:rFonts w:ascii="Arial" w:cs="Arial"/>
          <w:sz w:val="24"/>
          <w:szCs w:val="24"/>
        </w:rPr>
        <w:t>., 202</w:t>
      </w:r>
      <w:r w:rsidR="0011559F">
        <w:rPr>
          <w:rFonts w:ascii="Arial" w:cs="Arial"/>
          <w:sz w:val="24"/>
          <w:szCs w:val="24"/>
        </w:rPr>
        <w:t>2</w:t>
      </w:r>
      <w:r w:rsidR="0034062C">
        <w:rPr>
          <w:rFonts w:ascii="Arial" w:cs="Arial"/>
          <w:sz w:val="24"/>
          <w:szCs w:val="24"/>
        </w:rPr>
        <w:t>;</w:t>
      </w:r>
      <w:r w:rsidR="0034062C" w:rsidRPr="0034062C">
        <w:rPr>
          <w:rFonts w:ascii="Arial" w:cs="Arial"/>
          <w:sz w:val="24"/>
          <w:szCs w:val="24"/>
        </w:rPr>
        <w:t xml:space="preserve"> </w:t>
      </w:r>
      <w:r w:rsidR="0034062C" w:rsidRPr="0085730F">
        <w:rPr>
          <w:rFonts w:ascii="Arial" w:cs="Arial"/>
          <w:sz w:val="24"/>
          <w:szCs w:val="24"/>
        </w:rPr>
        <w:t xml:space="preserve">Chen, </w:t>
      </w:r>
      <w:r w:rsidR="0034062C" w:rsidRPr="00424167">
        <w:rPr>
          <w:rFonts w:ascii="Arial" w:cs="Arial"/>
          <w:i/>
          <w:iCs/>
          <w:sz w:val="24"/>
          <w:szCs w:val="24"/>
        </w:rPr>
        <w:t>et al</w:t>
      </w:r>
      <w:r w:rsidR="0034062C" w:rsidRPr="0085730F">
        <w:rPr>
          <w:rFonts w:ascii="Arial" w:cs="Arial"/>
          <w:sz w:val="24"/>
          <w:szCs w:val="24"/>
        </w:rPr>
        <w:t>., 2</w:t>
      </w:r>
      <w:r w:rsidR="00253474" w:rsidRPr="0085730F">
        <w:rPr>
          <w:rFonts w:ascii="Arial" w:cs="Arial"/>
          <w:sz w:val="24"/>
          <w:szCs w:val="24"/>
        </w:rPr>
        <w:t>2024; Lolescu</w:t>
      </w:r>
      <w:r w:rsidR="00613667" w:rsidRPr="0085730F">
        <w:rPr>
          <w:rFonts w:ascii="Arial" w:cs="Arial"/>
          <w:sz w:val="24"/>
          <w:szCs w:val="24"/>
        </w:rPr>
        <w:t xml:space="preserve"> </w:t>
      </w:r>
      <w:r w:rsidR="00424167" w:rsidRPr="00424167">
        <w:rPr>
          <w:rFonts w:ascii="Arial" w:cs="Arial"/>
          <w:i/>
          <w:iCs/>
          <w:sz w:val="24"/>
          <w:szCs w:val="24"/>
        </w:rPr>
        <w:t>et al</w:t>
      </w:r>
      <w:r w:rsidR="00613667" w:rsidRPr="0085730F">
        <w:rPr>
          <w:rFonts w:ascii="Arial" w:cs="Arial"/>
          <w:sz w:val="24"/>
          <w:szCs w:val="24"/>
        </w:rPr>
        <w:t xml:space="preserve">., 2024; Romeo, </w:t>
      </w:r>
      <w:r w:rsidR="00424167" w:rsidRPr="00424167">
        <w:rPr>
          <w:rFonts w:ascii="Arial" w:cs="Arial"/>
          <w:i/>
          <w:iCs/>
          <w:sz w:val="24"/>
          <w:szCs w:val="24"/>
        </w:rPr>
        <w:t>et al</w:t>
      </w:r>
      <w:r w:rsidR="00613667" w:rsidRPr="0085730F">
        <w:rPr>
          <w:rFonts w:ascii="Arial" w:cs="Arial"/>
          <w:sz w:val="24"/>
          <w:szCs w:val="24"/>
        </w:rPr>
        <w:t>., 2025)</w:t>
      </w:r>
      <w:r w:rsidR="0011559F">
        <w:rPr>
          <w:rFonts w:ascii="Arial" w:cs="Arial"/>
          <w:sz w:val="24"/>
          <w:szCs w:val="24"/>
        </w:rPr>
        <w:t>.</w:t>
      </w:r>
    </w:p>
    <w:p w14:paraId="0EE82984" w14:textId="7DC0EB45" w:rsidR="00681AEA" w:rsidRPr="0085730F" w:rsidRDefault="003A6BED" w:rsidP="00722EB8">
      <w:pPr>
        <w:spacing w:line="360" w:lineRule="auto"/>
        <w:ind w:firstLine="720"/>
        <w:jc w:val="both"/>
        <w:rPr>
          <w:rFonts w:ascii="Arial" w:cs="Arial"/>
          <w:sz w:val="24"/>
          <w:szCs w:val="24"/>
          <w:lang w:val="en-GB"/>
        </w:rPr>
      </w:pPr>
      <w:r>
        <w:rPr>
          <w:rFonts w:ascii="Arial" w:cs="Arial"/>
          <w:sz w:val="24"/>
          <w:szCs w:val="24"/>
          <w:lang w:val="en-GB"/>
        </w:rPr>
        <w:t>Derangement in liver enzymes</w:t>
      </w:r>
      <w:r w:rsidR="00253474">
        <w:rPr>
          <w:rFonts w:ascii="Arial" w:cs="Arial"/>
          <w:sz w:val="24"/>
          <w:szCs w:val="24"/>
          <w:lang w:val="en-GB"/>
        </w:rPr>
        <w:t xml:space="preserve"> level </w:t>
      </w:r>
      <w:r>
        <w:rPr>
          <w:rFonts w:ascii="Arial" w:cs="Arial"/>
          <w:sz w:val="24"/>
          <w:szCs w:val="24"/>
          <w:lang w:val="en-GB"/>
        </w:rPr>
        <w:t xml:space="preserve">of </w:t>
      </w:r>
      <w:r w:rsidR="003B5789" w:rsidRPr="003B5789">
        <w:rPr>
          <w:rFonts w:ascii="Arial" w:cs="Arial"/>
          <w:sz w:val="24"/>
          <w:szCs w:val="24"/>
          <w:lang w:val="en-GB"/>
        </w:rPr>
        <w:t>ALT</w:t>
      </w:r>
      <w:r w:rsidR="007301D8">
        <w:rPr>
          <w:rFonts w:ascii="Arial" w:cs="Arial"/>
          <w:sz w:val="24"/>
          <w:szCs w:val="24"/>
          <w:lang w:val="en-GB"/>
        </w:rPr>
        <w:t xml:space="preserve"> (Alanine transaminases)</w:t>
      </w:r>
      <w:r>
        <w:rPr>
          <w:rFonts w:ascii="Arial" w:cs="Arial"/>
          <w:sz w:val="24"/>
          <w:szCs w:val="24"/>
          <w:lang w:val="en-GB"/>
        </w:rPr>
        <w:t xml:space="preserve">, </w:t>
      </w:r>
      <w:r w:rsidR="003B5789" w:rsidRPr="003B5789">
        <w:rPr>
          <w:rFonts w:ascii="Arial" w:cs="Arial"/>
          <w:sz w:val="24"/>
          <w:szCs w:val="24"/>
          <w:lang w:val="en-GB"/>
        </w:rPr>
        <w:t>AST</w:t>
      </w:r>
      <w:r w:rsidR="007301D8">
        <w:rPr>
          <w:rFonts w:ascii="Arial" w:cs="Arial"/>
          <w:sz w:val="24"/>
          <w:szCs w:val="24"/>
          <w:lang w:val="en-GB"/>
        </w:rPr>
        <w:t xml:space="preserve"> (Aspartate transaminase)</w:t>
      </w:r>
      <w:r w:rsidR="003B5789" w:rsidRPr="003B5789">
        <w:rPr>
          <w:rFonts w:ascii="Arial" w:cs="Arial"/>
          <w:sz w:val="24"/>
          <w:szCs w:val="24"/>
          <w:lang w:val="en-GB"/>
        </w:rPr>
        <w:t xml:space="preserve"> to ALP</w:t>
      </w:r>
      <w:r w:rsidR="007301D8">
        <w:rPr>
          <w:rFonts w:ascii="Arial" w:cs="Arial"/>
          <w:sz w:val="24"/>
          <w:szCs w:val="24"/>
          <w:lang w:val="en-GB"/>
        </w:rPr>
        <w:t xml:space="preserve"> (Alkaline phosphatase)</w:t>
      </w:r>
      <w:r w:rsidR="003B5789" w:rsidRPr="003B5789">
        <w:rPr>
          <w:rFonts w:ascii="Arial" w:cs="Arial"/>
          <w:sz w:val="24"/>
          <w:szCs w:val="24"/>
          <w:lang w:val="en-GB"/>
        </w:rPr>
        <w:t>, bilirubin</w:t>
      </w:r>
      <w:r w:rsidR="00091D42">
        <w:rPr>
          <w:rFonts w:ascii="Arial" w:cs="Arial"/>
          <w:sz w:val="24"/>
          <w:szCs w:val="24"/>
          <w:lang w:val="en-GB"/>
        </w:rPr>
        <w:t xml:space="preserve"> </w:t>
      </w:r>
      <w:r w:rsidR="00B952E4">
        <w:rPr>
          <w:rFonts w:ascii="Arial" w:cs="Arial"/>
          <w:sz w:val="24"/>
          <w:szCs w:val="24"/>
          <w:lang w:val="en-GB"/>
        </w:rPr>
        <w:t xml:space="preserve">and albumin, </w:t>
      </w:r>
      <w:r w:rsidR="00B952E4">
        <w:rPr>
          <w:rFonts w:ascii="Arial" w:cs="Arial"/>
          <w:sz w:val="24"/>
          <w:szCs w:val="24"/>
          <w:lang w:val="en-GB"/>
        </w:rPr>
        <w:t xml:space="preserve">signifies liver damage rather </w:t>
      </w:r>
      <w:r w:rsidR="00B952E4" w:rsidRPr="003B5789">
        <w:rPr>
          <w:rFonts w:ascii="Arial" w:cs="Arial"/>
          <w:sz w:val="24"/>
          <w:szCs w:val="24"/>
          <w:lang w:val="en-GB"/>
        </w:rPr>
        <w:t xml:space="preserve">than </w:t>
      </w:r>
      <w:r w:rsidR="00B952E4">
        <w:rPr>
          <w:rFonts w:ascii="Arial" w:cs="Arial"/>
          <w:sz w:val="24"/>
          <w:szCs w:val="24"/>
          <w:lang w:val="en-GB"/>
        </w:rPr>
        <w:t xml:space="preserve">disturbance in </w:t>
      </w:r>
      <w:r w:rsidR="00B952E4" w:rsidRPr="003B5789">
        <w:rPr>
          <w:rFonts w:ascii="Arial" w:cs="Arial"/>
          <w:sz w:val="24"/>
          <w:szCs w:val="24"/>
          <w:lang w:val="en-GB"/>
        </w:rPr>
        <w:t>liver's function</w:t>
      </w:r>
      <w:r w:rsidR="00B952E4">
        <w:rPr>
          <w:rFonts w:ascii="Arial" w:cs="Arial"/>
          <w:sz w:val="24"/>
          <w:szCs w:val="24"/>
          <w:lang w:val="en-GB"/>
        </w:rPr>
        <w:t xml:space="preserve">. </w:t>
      </w:r>
      <w:r w:rsidR="00B17E5C">
        <w:rPr>
          <w:rFonts w:ascii="Arial" w:cs="Arial"/>
          <w:sz w:val="24"/>
          <w:szCs w:val="24"/>
          <w:lang w:val="en-GB"/>
        </w:rPr>
        <w:t>H</w:t>
      </w:r>
      <w:r w:rsidR="00B952E4">
        <w:rPr>
          <w:rFonts w:ascii="Arial" w:cs="Arial"/>
          <w:sz w:val="24"/>
          <w:szCs w:val="24"/>
          <w:lang w:val="en-GB"/>
        </w:rPr>
        <w:t xml:space="preserve">epatocellular damage is characterized by elevation </w:t>
      </w:r>
      <w:r w:rsidR="002C4037">
        <w:rPr>
          <w:rFonts w:ascii="Arial" w:cs="Arial"/>
          <w:sz w:val="24"/>
          <w:szCs w:val="24"/>
          <w:lang w:val="en-GB"/>
        </w:rPr>
        <w:t>in AST and ALT levels</w:t>
      </w:r>
      <w:r w:rsidR="003B5789" w:rsidRPr="003B5789">
        <w:rPr>
          <w:rFonts w:ascii="Arial" w:cs="Arial"/>
          <w:sz w:val="24"/>
          <w:szCs w:val="24"/>
          <w:lang w:val="en-GB"/>
        </w:rPr>
        <w:t>.</w:t>
      </w:r>
      <w:r w:rsidR="00091D42">
        <w:rPr>
          <w:rFonts w:ascii="Arial" w:cs="Arial"/>
          <w:sz w:val="24"/>
          <w:szCs w:val="24"/>
          <w:lang w:val="en-GB"/>
        </w:rPr>
        <w:t xml:space="preserve"> </w:t>
      </w:r>
      <w:r w:rsidR="002C4037">
        <w:rPr>
          <w:rFonts w:ascii="Arial" w:cs="Arial"/>
          <w:sz w:val="24"/>
          <w:szCs w:val="24"/>
          <w:lang w:val="en-GB"/>
        </w:rPr>
        <w:t xml:space="preserve">While </w:t>
      </w:r>
      <w:r w:rsidR="00091D42">
        <w:rPr>
          <w:rFonts w:ascii="Arial" w:cs="Arial"/>
          <w:sz w:val="24"/>
          <w:szCs w:val="24"/>
          <w:lang w:val="en-GB"/>
        </w:rPr>
        <w:t>c</w:t>
      </w:r>
      <w:r w:rsidR="003B5789" w:rsidRPr="003B5789">
        <w:rPr>
          <w:rFonts w:ascii="Arial" w:cs="Arial"/>
          <w:sz w:val="24"/>
          <w:szCs w:val="24"/>
          <w:lang w:val="en-GB"/>
        </w:rPr>
        <w:t>holestatic</w:t>
      </w:r>
      <w:r w:rsidR="00091D42">
        <w:rPr>
          <w:rFonts w:ascii="Arial" w:cs="Arial"/>
          <w:sz w:val="24"/>
          <w:szCs w:val="24"/>
          <w:lang w:val="en-GB"/>
        </w:rPr>
        <w:t xml:space="preserve"> diseases </w:t>
      </w:r>
      <w:r w:rsidR="002C4037">
        <w:rPr>
          <w:rFonts w:ascii="Arial" w:cs="Arial"/>
          <w:sz w:val="24"/>
          <w:szCs w:val="24"/>
          <w:lang w:val="en-GB"/>
        </w:rPr>
        <w:t xml:space="preserve">manifest as </w:t>
      </w:r>
      <w:r w:rsidR="003B5789" w:rsidRPr="003B5789">
        <w:rPr>
          <w:rFonts w:ascii="Arial" w:cs="Arial"/>
          <w:sz w:val="24"/>
          <w:szCs w:val="24"/>
          <w:lang w:val="en-GB"/>
        </w:rPr>
        <w:t>elevat</w:t>
      </w:r>
      <w:r w:rsidR="00091D42">
        <w:rPr>
          <w:rFonts w:ascii="Arial" w:cs="Arial"/>
          <w:sz w:val="24"/>
          <w:szCs w:val="24"/>
          <w:lang w:val="en-GB"/>
        </w:rPr>
        <w:t xml:space="preserve">ion </w:t>
      </w:r>
      <w:r w:rsidR="002C4037">
        <w:rPr>
          <w:rFonts w:ascii="Arial" w:cs="Arial"/>
          <w:sz w:val="24"/>
          <w:szCs w:val="24"/>
          <w:lang w:val="en-GB"/>
        </w:rPr>
        <w:t xml:space="preserve">in </w:t>
      </w:r>
      <w:r w:rsidR="003B5789" w:rsidRPr="003B5789">
        <w:rPr>
          <w:rFonts w:ascii="Arial" w:cs="Arial"/>
          <w:sz w:val="24"/>
          <w:szCs w:val="24"/>
          <w:lang w:val="en-GB"/>
        </w:rPr>
        <w:t xml:space="preserve">ALP and bilirubin </w:t>
      </w:r>
      <w:r w:rsidR="00A768CE">
        <w:rPr>
          <w:rFonts w:ascii="Arial" w:cs="Arial"/>
          <w:sz w:val="24"/>
          <w:szCs w:val="24"/>
          <w:lang w:val="en-GB"/>
        </w:rPr>
        <w:t>levels</w:t>
      </w:r>
      <w:r w:rsidR="003B5789" w:rsidRPr="003B5789">
        <w:rPr>
          <w:rFonts w:ascii="Arial" w:cs="Arial"/>
          <w:sz w:val="24"/>
          <w:szCs w:val="24"/>
          <w:lang w:val="en-GB"/>
        </w:rPr>
        <w:t>.</w:t>
      </w:r>
      <w:r w:rsidR="00A53CE8">
        <w:rPr>
          <w:rFonts w:ascii="Arial" w:cs="Arial"/>
          <w:sz w:val="24"/>
          <w:szCs w:val="24"/>
          <w:lang w:val="en-GB"/>
        </w:rPr>
        <w:t xml:space="preserve"> </w:t>
      </w:r>
      <w:r w:rsidR="00675044">
        <w:rPr>
          <w:rFonts w:ascii="Arial" w:cs="Arial"/>
          <w:sz w:val="24"/>
          <w:szCs w:val="24"/>
          <w:lang w:val="en-GB"/>
        </w:rPr>
        <w:t>I</w:t>
      </w:r>
      <w:r w:rsidR="007301D8">
        <w:rPr>
          <w:rFonts w:ascii="Arial" w:cs="Arial"/>
          <w:sz w:val="24"/>
          <w:szCs w:val="24"/>
          <w:lang w:val="en-GB"/>
        </w:rPr>
        <w:t xml:space="preserve">n mixed hepatic damage there is </w:t>
      </w:r>
      <w:r w:rsidR="00A53CE8">
        <w:rPr>
          <w:rFonts w:ascii="Arial" w:cs="Arial"/>
          <w:sz w:val="24"/>
          <w:szCs w:val="24"/>
          <w:lang w:val="en-GB"/>
        </w:rPr>
        <w:t xml:space="preserve">elevation of </w:t>
      </w:r>
      <w:r w:rsidR="00675044">
        <w:rPr>
          <w:rFonts w:ascii="Arial" w:cs="Arial"/>
          <w:sz w:val="24"/>
          <w:szCs w:val="24"/>
          <w:lang w:val="en-GB"/>
        </w:rPr>
        <w:t xml:space="preserve">both </w:t>
      </w:r>
      <w:r w:rsidR="003B5789" w:rsidRPr="003B5789">
        <w:rPr>
          <w:rFonts w:ascii="Arial" w:cs="Arial"/>
          <w:sz w:val="24"/>
          <w:szCs w:val="24"/>
          <w:lang w:val="en-GB"/>
        </w:rPr>
        <w:t>A</w:t>
      </w:r>
      <w:r w:rsidR="007301D8">
        <w:rPr>
          <w:rFonts w:ascii="Arial" w:cs="Arial"/>
          <w:sz w:val="24"/>
          <w:szCs w:val="24"/>
          <w:lang w:val="en-GB"/>
        </w:rPr>
        <w:t xml:space="preserve">LP </w:t>
      </w:r>
      <w:r w:rsidR="003B5789" w:rsidRPr="003B5789">
        <w:rPr>
          <w:rFonts w:ascii="Arial" w:cs="Arial"/>
          <w:sz w:val="24"/>
          <w:szCs w:val="24"/>
          <w:lang w:val="en-GB"/>
        </w:rPr>
        <w:t xml:space="preserve">and AST/ALT </w:t>
      </w:r>
      <w:r w:rsidR="007301D8">
        <w:rPr>
          <w:rFonts w:ascii="Arial" w:cs="Arial"/>
          <w:sz w:val="24"/>
          <w:szCs w:val="24"/>
          <w:lang w:val="en-GB"/>
        </w:rPr>
        <w:t>level</w:t>
      </w:r>
      <w:r w:rsidR="00675044">
        <w:rPr>
          <w:rFonts w:ascii="Arial" w:cs="Arial"/>
          <w:sz w:val="24"/>
          <w:szCs w:val="24"/>
          <w:lang w:val="en-GB"/>
        </w:rPr>
        <w:t>s</w:t>
      </w:r>
      <w:r w:rsidR="00021132">
        <w:rPr>
          <w:rFonts w:ascii="Arial" w:cs="Arial"/>
          <w:sz w:val="24"/>
          <w:szCs w:val="24"/>
          <w:lang w:val="en-GB"/>
        </w:rPr>
        <w:t xml:space="preserve"> </w:t>
      </w:r>
      <w:r w:rsidR="0054044B">
        <w:rPr>
          <w:rFonts w:ascii="Arial" w:cs="Arial"/>
          <w:sz w:val="24"/>
          <w:szCs w:val="24"/>
          <w:lang w:val="en-GB"/>
        </w:rPr>
        <w:t>(</w:t>
      </w:r>
      <w:r w:rsidR="0054044B" w:rsidRPr="0054044B">
        <w:rPr>
          <w:rFonts w:ascii="Arial" w:cs="Arial"/>
          <w:sz w:val="24"/>
          <w:szCs w:val="24"/>
        </w:rPr>
        <w:t xml:space="preserve">Lala, </w:t>
      </w:r>
      <w:r w:rsidR="0054044B" w:rsidRPr="0054044B">
        <w:rPr>
          <w:rFonts w:ascii="Arial" w:cs="Arial"/>
          <w:i/>
          <w:iCs/>
          <w:sz w:val="24"/>
          <w:szCs w:val="24"/>
        </w:rPr>
        <w:t>et al</w:t>
      </w:r>
      <w:r w:rsidR="0054044B">
        <w:rPr>
          <w:rFonts w:ascii="Arial" w:cs="Arial"/>
          <w:sz w:val="24"/>
          <w:szCs w:val="24"/>
        </w:rPr>
        <w:t xml:space="preserve">., </w:t>
      </w:r>
      <w:r w:rsidR="0054044B" w:rsidRPr="0054044B">
        <w:rPr>
          <w:rFonts w:ascii="Arial" w:cs="Arial"/>
          <w:sz w:val="24"/>
          <w:szCs w:val="24"/>
        </w:rPr>
        <w:t xml:space="preserve">2023). </w:t>
      </w:r>
      <w:r w:rsidR="000130D8">
        <w:rPr>
          <w:rFonts w:ascii="Arial" w:cs="Arial"/>
          <w:sz w:val="24"/>
          <w:szCs w:val="24"/>
        </w:rPr>
        <w:t xml:space="preserve">These enzymes are non-specific, because they are also expressed in other </w:t>
      </w:r>
      <w:r w:rsidR="00613667" w:rsidRPr="0085730F">
        <w:rPr>
          <w:rFonts w:ascii="Arial" w:cs="Arial"/>
          <w:sz w:val="24"/>
          <w:szCs w:val="24"/>
          <w:lang w:val="en-GB"/>
        </w:rPr>
        <w:t>organs</w:t>
      </w:r>
      <w:r w:rsidR="000130D8">
        <w:rPr>
          <w:rFonts w:ascii="Arial" w:cs="Arial"/>
          <w:sz w:val="24"/>
          <w:szCs w:val="24"/>
          <w:lang w:val="en-GB"/>
        </w:rPr>
        <w:t xml:space="preserve"> (</w:t>
      </w:r>
      <w:r w:rsidR="00613667" w:rsidRPr="0085730F">
        <w:rPr>
          <w:rFonts w:ascii="Arial" w:cs="Arial"/>
          <w:sz w:val="24"/>
          <w:szCs w:val="24"/>
          <w:lang w:val="en-GB"/>
        </w:rPr>
        <w:t>kidneys, pancreas, bones, and intestines</w:t>
      </w:r>
      <w:r w:rsidR="000130D8">
        <w:rPr>
          <w:rFonts w:ascii="Arial" w:cs="Arial"/>
          <w:sz w:val="24"/>
          <w:szCs w:val="24"/>
          <w:lang w:val="en-GB"/>
        </w:rPr>
        <w:t>)</w:t>
      </w:r>
      <w:r w:rsidR="00613667" w:rsidRPr="0085730F">
        <w:rPr>
          <w:rFonts w:ascii="Arial" w:cs="Arial"/>
          <w:sz w:val="24"/>
          <w:szCs w:val="24"/>
          <w:lang w:val="en-GB"/>
        </w:rPr>
        <w:t xml:space="preserve">. To improve </w:t>
      </w:r>
      <w:r w:rsidR="000479CF">
        <w:rPr>
          <w:rFonts w:ascii="Arial" w:cs="Arial"/>
          <w:sz w:val="24"/>
          <w:szCs w:val="24"/>
          <w:lang w:val="en-GB"/>
        </w:rPr>
        <w:t xml:space="preserve">reliability and </w:t>
      </w:r>
      <w:r w:rsidR="00613667" w:rsidRPr="0085730F">
        <w:rPr>
          <w:rFonts w:ascii="Arial" w:cs="Arial"/>
          <w:sz w:val="24"/>
          <w:szCs w:val="24"/>
          <w:lang w:val="en-GB"/>
        </w:rPr>
        <w:t xml:space="preserve">specificity in our study, liver homogenate was used for enzyme </w:t>
      </w:r>
      <w:r w:rsidR="000479CF">
        <w:rPr>
          <w:rFonts w:ascii="Arial" w:cs="Arial"/>
          <w:sz w:val="24"/>
          <w:szCs w:val="24"/>
          <w:lang w:val="en-GB"/>
        </w:rPr>
        <w:t xml:space="preserve">assay </w:t>
      </w:r>
      <w:r w:rsidR="00613667" w:rsidRPr="0085730F">
        <w:rPr>
          <w:rFonts w:ascii="Arial" w:cs="Arial"/>
          <w:sz w:val="24"/>
          <w:szCs w:val="24"/>
          <w:lang w:val="en-GB"/>
        </w:rPr>
        <w:t>analysis.</w:t>
      </w:r>
    </w:p>
    <w:p w14:paraId="3D2A0A64" w14:textId="2A4942D8" w:rsidR="00C67E77" w:rsidRDefault="0031564E" w:rsidP="00482AE3">
      <w:pPr>
        <w:spacing w:line="360" w:lineRule="auto"/>
        <w:ind w:firstLine="720"/>
        <w:jc w:val="both"/>
        <w:rPr>
          <w:rFonts w:ascii="Arial" w:cs="Arial"/>
          <w:sz w:val="24"/>
          <w:szCs w:val="24"/>
          <w:lang w:val="en-GB"/>
        </w:rPr>
      </w:pPr>
      <w:r>
        <w:rPr>
          <w:rFonts w:ascii="Arial" w:cs="Arial"/>
          <w:sz w:val="24"/>
          <w:szCs w:val="24"/>
          <w:lang w:val="en-GB"/>
        </w:rPr>
        <w:t>Findings from this study noted that there was significant increase in t</w:t>
      </w:r>
      <w:r w:rsidR="00166ABD">
        <w:rPr>
          <w:rFonts w:ascii="Arial" w:cs="Arial"/>
          <w:sz w:val="24"/>
          <w:szCs w:val="24"/>
          <w:lang w:val="en-GB"/>
        </w:rPr>
        <w:t>he l</w:t>
      </w:r>
      <w:r w:rsidR="00613667" w:rsidRPr="0085730F">
        <w:rPr>
          <w:rFonts w:ascii="Arial" w:cs="Arial"/>
          <w:sz w:val="24"/>
          <w:szCs w:val="24"/>
          <w:lang w:val="en-GB"/>
        </w:rPr>
        <w:t>iver enzyme levels (AST, ALT, ALP) in the 0.2</w:t>
      </w:r>
      <w:r w:rsidR="00166ABD">
        <w:rPr>
          <w:rFonts w:ascii="Arial" w:cs="Arial"/>
          <w:sz w:val="24"/>
          <w:szCs w:val="24"/>
          <w:lang w:val="en-GB"/>
        </w:rPr>
        <w:t xml:space="preserve">mg/kg group and </w:t>
      </w:r>
      <w:r w:rsidR="00613667" w:rsidRPr="0085730F">
        <w:rPr>
          <w:rFonts w:ascii="Arial" w:cs="Arial"/>
          <w:sz w:val="24"/>
          <w:szCs w:val="24"/>
          <w:lang w:val="en-GB"/>
        </w:rPr>
        <w:t>more in 0.3 mg/kg group</w:t>
      </w:r>
      <w:r w:rsidR="00166ABD">
        <w:rPr>
          <w:rFonts w:ascii="Arial" w:cs="Arial"/>
          <w:sz w:val="24"/>
          <w:szCs w:val="24"/>
          <w:lang w:val="en-GB"/>
        </w:rPr>
        <w:t>, compared to 0.1group and control (negative and positive)</w:t>
      </w:r>
      <w:r>
        <w:rPr>
          <w:rFonts w:ascii="Arial" w:cs="Arial"/>
          <w:sz w:val="24"/>
          <w:szCs w:val="24"/>
          <w:lang w:val="en-GB"/>
        </w:rPr>
        <w:t xml:space="preserve"> p</w:t>
      </w:r>
      <w:r w:rsidR="00A46D4F">
        <w:rPr>
          <w:rFonts w:ascii="Arial" w:cs="Arial"/>
          <w:sz w:val="24"/>
          <w:szCs w:val="24"/>
          <w:lang w:val="en-GB"/>
        </w:rPr>
        <w:t>&lt;</w:t>
      </w:r>
      <w:r>
        <w:rPr>
          <w:rFonts w:ascii="Arial" w:cs="Arial"/>
          <w:sz w:val="24"/>
          <w:szCs w:val="24"/>
          <w:lang w:val="en-GB"/>
        </w:rPr>
        <w:t>.05</w:t>
      </w:r>
      <w:r w:rsidR="00166ABD" w:rsidRPr="0085730F">
        <w:rPr>
          <w:rFonts w:ascii="Arial" w:cs="Arial"/>
          <w:sz w:val="24"/>
          <w:szCs w:val="24"/>
          <w:lang w:val="en-GB"/>
        </w:rPr>
        <w:t>,</w:t>
      </w:r>
      <w:r w:rsidR="00166ABD">
        <w:rPr>
          <w:rFonts w:ascii="Arial" w:cs="Arial"/>
          <w:sz w:val="24"/>
          <w:szCs w:val="24"/>
          <w:lang w:val="en-GB"/>
        </w:rPr>
        <w:t xml:space="preserve"> this </w:t>
      </w:r>
      <w:r w:rsidR="00AB7C20">
        <w:rPr>
          <w:rFonts w:ascii="Arial" w:cs="Arial"/>
          <w:sz w:val="24"/>
          <w:szCs w:val="24"/>
          <w:lang w:val="en-GB"/>
        </w:rPr>
        <w:t xml:space="preserve">corroborates the findings from the </w:t>
      </w:r>
      <w:r w:rsidR="00166ABD">
        <w:rPr>
          <w:rFonts w:ascii="Arial" w:cs="Arial"/>
          <w:sz w:val="24"/>
          <w:szCs w:val="24"/>
          <w:lang w:val="en-GB"/>
        </w:rPr>
        <w:t xml:space="preserve">work of Kalas </w:t>
      </w:r>
      <w:r w:rsidR="00166ABD" w:rsidRPr="003A62EC">
        <w:rPr>
          <w:rFonts w:ascii="Arial" w:cs="Arial"/>
          <w:i/>
          <w:iCs/>
          <w:sz w:val="24"/>
          <w:szCs w:val="24"/>
          <w:lang w:val="en-GB"/>
        </w:rPr>
        <w:t>et al</w:t>
      </w:r>
      <w:r w:rsidR="00166ABD">
        <w:rPr>
          <w:rFonts w:ascii="Arial" w:cs="Arial"/>
          <w:sz w:val="24"/>
          <w:szCs w:val="24"/>
          <w:lang w:val="en-GB"/>
        </w:rPr>
        <w:t xml:space="preserve">., </w:t>
      </w:r>
      <w:r w:rsidR="003A62EC">
        <w:rPr>
          <w:rFonts w:ascii="Arial" w:cs="Arial"/>
          <w:sz w:val="24"/>
          <w:szCs w:val="24"/>
          <w:lang w:val="en-GB"/>
        </w:rPr>
        <w:t>(</w:t>
      </w:r>
      <w:r w:rsidR="00166ABD">
        <w:rPr>
          <w:rFonts w:ascii="Arial" w:cs="Arial"/>
          <w:sz w:val="24"/>
          <w:szCs w:val="24"/>
          <w:lang w:val="en-GB"/>
        </w:rPr>
        <w:t>2021</w:t>
      </w:r>
      <w:r w:rsidR="003A62EC">
        <w:rPr>
          <w:rFonts w:ascii="Arial" w:cs="Arial"/>
          <w:sz w:val="24"/>
          <w:szCs w:val="24"/>
          <w:lang w:val="en-GB"/>
        </w:rPr>
        <w:t>)</w:t>
      </w:r>
      <w:r w:rsidR="00166ABD">
        <w:rPr>
          <w:rFonts w:ascii="Arial" w:cs="Arial"/>
          <w:sz w:val="24"/>
          <w:szCs w:val="24"/>
          <w:lang w:val="en-GB"/>
        </w:rPr>
        <w:t>, which showed a similar alteration in enzyme levels.</w:t>
      </w:r>
      <w:r w:rsidR="00347691">
        <w:rPr>
          <w:rFonts w:ascii="Arial" w:cs="Arial"/>
          <w:sz w:val="24"/>
          <w:szCs w:val="24"/>
          <w:lang w:val="en-GB"/>
        </w:rPr>
        <w:t xml:space="preserve"> </w:t>
      </w:r>
      <w:r w:rsidR="00325BEB">
        <w:rPr>
          <w:rFonts w:ascii="Arial" w:cs="Arial"/>
          <w:sz w:val="24"/>
          <w:szCs w:val="24"/>
          <w:lang w:val="en-GB"/>
        </w:rPr>
        <w:t xml:space="preserve">According to </w:t>
      </w:r>
      <w:proofErr w:type="spellStart"/>
      <w:r w:rsidR="00325BEB" w:rsidRPr="00624405">
        <w:rPr>
          <w:rFonts w:ascii="Arial" w:cs="Arial"/>
          <w:sz w:val="24"/>
          <w:szCs w:val="24"/>
        </w:rPr>
        <w:t>Rochling</w:t>
      </w:r>
      <w:proofErr w:type="spellEnd"/>
      <w:r w:rsidR="00325BEB" w:rsidRPr="00624405">
        <w:rPr>
          <w:rFonts w:ascii="Arial" w:cs="Arial"/>
          <w:sz w:val="24"/>
          <w:szCs w:val="24"/>
        </w:rPr>
        <w:t xml:space="preserve">, </w:t>
      </w:r>
      <w:r w:rsidR="00325BEB">
        <w:rPr>
          <w:rFonts w:ascii="Arial" w:cs="Arial"/>
          <w:sz w:val="24"/>
          <w:szCs w:val="24"/>
        </w:rPr>
        <w:t>(</w:t>
      </w:r>
      <w:r w:rsidR="00325BEB" w:rsidRPr="00624405">
        <w:rPr>
          <w:rFonts w:ascii="Arial" w:cs="Arial"/>
          <w:sz w:val="24"/>
          <w:szCs w:val="24"/>
        </w:rPr>
        <w:t>2001</w:t>
      </w:r>
      <w:r w:rsidR="00325BEB">
        <w:rPr>
          <w:rFonts w:ascii="Arial" w:cs="Arial"/>
          <w:sz w:val="24"/>
          <w:szCs w:val="24"/>
        </w:rPr>
        <w:t xml:space="preserve">), </w:t>
      </w:r>
      <w:r w:rsidR="00613667" w:rsidRPr="0085730F">
        <w:rPr>
          <w:rFonts w:ascii="Arial" w:cs="Arial"/>
          <w:sz w:val="24"/>
          <w:szCs w:val="24"/>
          <w:lang w:val="en-GB"/>
        </w:rPr>
        <w:t>ALT</w:t>
      </w:r>
      <w:r w:rsidR="00624405">
        <w:rPr>
          <w:rFonts w:ascii="Arial" w:cs="Arial"/>
          <w:sz w:val="24"/>
          <w:szCs w:val="24"/>
          <w:lang w:val="en-GB"/>
        </w:rPr>
        <w:t xml:space="preserve"> is a more specific enzyme </w:t>
      </w:r>
      <w:r w:rsidR="0019327B">
        <w:rPr>
          <w:rFonts w:ascii="Arial" w:cs="Arial"/>
          <w:sz w:val="24"/>
          <w:szCs w:val="24"/>
          <w:lang w:val="en-GB"/>
        </w:rPr>
        <w:t>marker that</w:t>
      </w:r>
      <w:r w:rsidR="00624405">
        <w:rPr>
          <w:rFonts w:ascii="Arial" w:cs="Arial"/>
          <w:sz w:val="24"/>
          <w:szCs w:val="24"/>
          <w:lang w:val="en-GB"/>
        </w:rPr>
        <w:t xml:space="preserve"> depicts </w:t>
      </w:r>
      <w:r w:rsidR="00613667" w:rsidRPr="0085730F">
        <w:rPr>
          <w:rFonts w:ascii="Arial" w:cs="Arial"/>
          <w:sz w:val="24"/>
          <w:szCs w:val="24"/>
          <w:lang w:val="en-GB"/>
        </w:rPr>
        <w:lastRenderedPageBreak/>
        <w:t xml:space="preserve">hepatocellular damage </w:t>
      </w:r>
      <w:r w:rsidR="0019327B">
        <w:rPr>
          <w:rFonts w:ascii="Arial" w:cs="Arial"/>
          <w:sz w:val="24"/>
          <w:szCs w:val="24"/>
          <w:lang w:val="en-GB"/>
        </w:rPr>
        <w:t xml:space="preserve">when </w:t>
      </w:r>
      <w:r w:rsidR="00613667" w:rsidRPr="0085730F">
        <w:rPr>
          <w:rFonts w:ascii="Arial" w:cs="Arial"/>
          <w:sz w:val="24"/>
          <w:szCs w:val="24"/>
          <w:lang w:val="en-GB"/>
        </w:rPr>
        <w:t>compared to AST or ALP</w:t>
      </w:r>
      <w:r w:rsidR="00E84C6E">
        <w:rPr>
          <w:rFonts w:ascii="Arial" w:cs="Arial"/>
          <w:sz w:val="24"/>
          <w:szCs w:val="24"/>
          <w:lang w:val="en-GB"/>
        </w:rPr>
        <w:t xml:space="preserve">, and our data showed significant elevation in ALT level, </w:t>
      </w:r>
      <w:r w:rsidR="00A95129">
        <w:rPr>
          <w:rFonts w:ascii="Arial" w:cs="Arial"/>
          <w:sz w:val="24"/>
          <w:szCs w:val="24"/>
          <w:lang w:val="en-GB"/>
        </w:rPr>
        <w:t xml:space="preserve">affirming that PVC induces hepatocellular damage </w:t>
      </w:r>
      <w:r w:rsidR="005958E9">
        <w:rPr>
          <w:rFonts w:ascii="Arial" w:cs="Arial"/>
          <w:sz w:val="24"/>
          <w:szCs w:val="24"/>
          <w:lang w:val="en-GB"/>
        </w:rPr>
        <w:t>in</w:t>
      </w:r>
      <w:r w:rsidR="00A95129">
        <w:rPr>
          <w:rFonts w:ascii="Arial" w:cs="Arial"/>
          <w:sz w:val="24"/>
          <w:szCs w:val="24"/>
          <w:lang w:val="en-GB"/>
        </w:rPr>
        <w:t xml:space="preserve"> the liver</w:t>
      </w:r>
      <w:r w:rsidR="007B0ED6">
        <w:rPr>
          <w:rFonts w:ascii="Arial" w:cs="Arial"/>
          <w:sz w:val="24"/>
          <w:szCs w:val="24"/>
          <w:lang w:val="en-GB"/>
        </w:rPr>
        <w:t>.</w:t>
      </w:r>
    </w:p>
    <w:p w14:paraId="6B73A0C6" w14:textId="2254708C" w:rsidR="00681AEA" w:rsidRDefault="007B0ED6" w:rsidP="00F70184">
      <w:pPr>
        <w:spacing w:line="360" w:lineRule="auto"/>
        <w:ind w:firstLine="720"/>
        <w:jc w:val="both"/>
        <w:rPr>
          <w:rFonts w:ascii="Arial" w:cs="Arial"/>
          <w:sz w:val="24"/>
          <w:szCs w:val="24"/>
          <w:lang w:val="en-GB"/>
        </w:rPr>
      </w:pPr>
      <w:r>
        <w:rPr>
          <w:rFonts w:ascii="Arial" w:cs="Arial"/>
          <w:sz w:val="24"/>
          <w:szCs w:val="24"/>
          <w:lang w:val="en-GB"/>
        </w:rPr>
        <w:t>A</w:t>
      </w:r>
      <w:r w:rsidR="00C67E77" w:rsidRPr="00C67E77">
        <w:rPr>
          <w:rFonts w:ascii="Arial" w:cs="Arial"/>
          <w:sz w:val="24"/>
          <w:szCs w:val="24"/>
          <w:lang w:val="en-GB"/>
        </w:rPr>
        <w:t xml:space="preserve">lbumin </w:t>
      </w:r>
      <w:r w:rsidR="003C67AD">
        <w:rPr>
          <w:rFonts w:ascii="Arial" w:cs="Arial"/>
          <w:sz w:val="24"/>
          <w:szCs w:val="24"/>
          <w:lang w:val="en-GB"/>
        </w:rPr>
        <w:t xml:space="preserve">is </w:t>
      </w:r>
      <w:r w:rsidR="00C67E77" w:rsidRPr="00C67E77">
        <w:rPr>
          <w:rFonts w:ascii="Arial" w:cs="Arial"/>
          <w:sz w:val="24"/>
          <w:szCs w:val="24"/>
          <w:lang w:val="en-GB"/>
        </w:rPr>
        <w:t>the</w:t>
      </w:r>
      <w:r w:rsidR="00C67E77">
        <w:rPr>
          <w:rFonts w:ascii="Arial" w:cs="Arial"/>
          <w:sz w:val="24"/>
          <w:szCs w:val="24"/>
          <w:lang w:val="en-GB"/>
        </w:rPr>
        <w:t xml:space="preserve"> common</w:t>
      </w:r>
      <w:r>
        <w:rPr>
          <w:rFonts w:ascii="Arial" w:cs="Arial"/>
          <w:sz w:val="24"/>
          <w:szCs w:val="24"/>
          <w:lang w:val="en-GB"/>
        </w:rPr>
        <w:t>est</w:t>
      </w:r>
      <w:r w:rsidR="00C67E77" w:rsidRPr="00C67E77">
        <w:rPr>
          <w:rFonts w:ascii="Arial" w:cs="Arial"/>
          <w:sz w:val="24"/>
          <w:szCs w:val="24"/>
          <w:lang w:val="en-GB"/>
        </w:rPr>
        <w:t xml:space="preserve"> plasma </w:t>
      </w:r>
      <w:r w:rsidR="00A222DB" w:rsidRPr="00C67E77">
        <w:rPr>
          <w:rFonts w:ascii="Arial" w:cs="Arial"/>
          <w:sz w:val="24"/>
          <w:szCs w:val="24"/>
          <w:lang w:val="en-GB"/>
        </w:rPr>
        <w:t>protein and</w:t>
      </w:r>
      <w:r w:rsidR="00F70184">
        <w:rPr>
          <w:rFonts w:ascii="Arial" w:cs="Arial"/>
          <w:sz w:val="24"/>
          <w:szCs w:val="24"/>
          <w:lang w:val="en-GB"/>
        </w:rPr>
        <w:t xml:space="preserve"> </w:t>
      </w:r>
      <w:r w:rsidR="00F70184" w:rsidRPr="00C67E77">
        <w:rPr>
          <w:rFonts w:ascii="Arial" w:cs="Arial"/>
          <w:sz w:val="24"/>
          <w:szCs w:val="24"/>
          <w:lang w:val="en-GB"/>
        </w:rPr>
        <w:t xml:space="preserve">contributes </w:t>
      </w:r>
      <w:r w:rsidR="004058E0">
        <w:rPr>
          <w:rFonts w:ascii="Arial" w:cs="Arial"/>
          <w:sz w:val="24"/>
          <w:szCs w:val="24"/>
          <w:lang w:val="en-GB"/>
        </w:rPr>
        <w:t xml:space="preserve">about </w:t>
      </w:r>
      <w:r w:rsidR="00F70184" w:rsidRPr="00C67E77">
        <w:rPr>
          <w:rFonts w:ascii="Arial" w:cs="Arial"/>
          <w:sz w:val="24"/>
          <w:szCs w:val="24"/>
          <w:lang w:val="en-GB"/>
        </w:rPr>
        <w:t>80% of plasma colloidal osmotic pressure</w:t>
      </w:r>
      <w:r w:rsidR="00F70184">
        <w:rPr>
          <w:rFonts w:ascii="Arial" w:cs="Arial"/>
          <w:sz w:val="24"/>
          <w:szCs w:val="24"/>
          <w:lang w:val="en-GB"/>
        </w:rPr>
        <w:t xml:space="preserve">. </w:t>
      </w:r>
      <w:r w:rsidR="00F70184" w:rsidRPr="00C67E77">
        <w:rPr>
          <w:rFonts w:ascii="Arial" w:cs="Arial"/>
          <w:sz w:val="24"/>
          <w:szCs w:val="24"/>
          <w:lang w:val="en-GB"/>
        </w:rPr>
        <w:t xml:space="preserve">It appears to have antioxidant, anti-inflammatory, ligand-binding, and transport properties in addition to regulating colloidal osmotic pressure. </w:t>
      </w:r>
      <w:r w:rsidR="00F70184">
        <w:rPr>
          <w:rFonts w:ascii="Arial" w:cs="Arial"/>
          <w:sz w:val="24"/>
          <w:szCs w:val="24"/>
          <w:lang w:val="en-GB"/>
        </w:rPr>
        <w:t xml:space="preserve"> </w:t>
      </w:r>
      <w:r w:rsidR="00C67E77" w:rsidRPr="00C67E77">
        <w:rPr>
          <w:rFonts w:ascii="Arial" w:cs="Arial"/>
          <w:sz w:val="24"/>
          <w:szCs w:val="24"/>
          <w:lang w:val="en-GB"/>
        </w:rPr>
        <w:t xml:space="preserve">With hepatic dysfunction, advanced cirrhosis, </w:t>
      </w:r>
      <w:r w:rsidR="004058E0">
        <w:rPr>
          <w:rFonts w:ascii="Arial" w:cs="Arial"/>
          <w:sz w:val="24"/>
          <w:szCs w:val="24"/>
          <w:lang w:val="en-GB"/>
        </w:rPr>
        <w:t xml:space="preserve">liver </w:t>
      </w:r>
      <w:r w:rsidR="00F70184" w:rsidRPr="00C67E77">
        <w:rPr>
          <w:rFonts w:ascii="Arial" w:cs="Arial"/>
          <w:sz w:val="24"/>
          <w:szCs w:val="24"/>
          <w:lang w:val="en-GB"/>
        </w:rPr>
        <w:t xml:space="preserve">albumin </w:t>
      </w:r>
      <w:r w:rsidR="004058E0">
        <w:rPr>
          <w:rFonts w:ascii="Arial" w:cs="Arial"/>
          <w:sz w:val="24"/>
          <w:szCs w:val="24"/>
          <w:lang w:val="en-GB"/>
        </w:rPr>
        <w:t>production</w:t>
      </w:r>
      <w:r w:rsidR="00F70184">
        <w:rPr>
          <w:rFonts w:ascii="Arial" w:cs="Arial"/>
          <w:sz w:val="24"/>
          <w:szCs w:val="24"/>
          <w:lang w:val="en-GB"/>
        </w:rPr>
        <w:t xml:space="preserve"> </w:t>
      </w:r>
      <w:r w:rsidR="00F70184" w:rsidRPr="00C67E77">
        <w:rPr>
          <w:rFonts w:ascii="Arial" w:cs="Arial"/>
          <w:sz w:val="24"/>
          <w:szCs w:val="24"/>
          <w:lang w:val="en-GB"/>
        </w:rPr>
        <w:t>decreases</w:t>
      </w:r>
      <w:r w:rsidR="00613667" w:rsidRPr="0085730F">
        <w:rPr>
          <w:rFonts w:ascii="Arial" w:cs="Arial"/>
          <w:sz w:val="24"/>
          <w:szCs w:val="24"/>
          <w:lang w:val="en-GB"/>
        </w:rPr>
        <w:t xml:space="preserve"> (</w:t>
      </w:r>
      <w:r w:rsidR="00587FEA" w:rsidRPr="0085730F">
        <w:rPr>
          <w:rFonts w:ascii="Arial" w:cs="Arial"/>
          <w:sz w:val="24"/>
          <w:szCs w:val="24"/>
        </w:rPr>
        <w:t xml:space="preserve">Chen, </w:t>
      </w:r>
      <w:r w:rsidR="00587FEA" w:rsidRPr="00424167">
        <w:rPr>
          <w:rFonts w:ascii="Arial" w:cs="Arial"/>
          <w:i/>
          <w:iCs/>
          <w:sz w:val="24"/>
          <w:szCs w:val="24"/>
        </w:rPr>
        <w:t>et al</w:t>
      </w:r>
      <w:r w:rsidR="00587FEA" w:rsidRPr="0085730F">
        <w:rPr>
          <w:rFonts w:ascii="Arial" w:cs="Arial"/>
          <w:sz w:val="24"/>
          <w:szCs w:val="24"/>
        </w:rPr>
        <w:t>., 2021</w:t>
      </w:r>
      <w:r w:rsidR="00587FEA">
        <w:rPr>
          <w:rFonts w:ascii="Arial" w:cs="Arial"/>
          <w:sz w:val="24"/>
          <w:szCs w:val="24"/>
        </w:rPr>
        <w:t xml:space="preserve">; </w:t>
      </w:r>
      <w:r w:rsidR="00613667" w:rsidRPr="0085730F">
        <w:rPr>
          <w:rFonts w:ascii="Arial" w:cs="Arial"/>
          <w:sz w:val="24"/>
          <w:szCs w:val="24"/>
          <w:lang w:val="en-GB"/>
        </w:rPr>
        <w:t xml:space="preserve">Jagdish </w:t>
      </w:r>
      <w:r w:rsidR="00424167" w:rsidRPr="00424167">
        <w:rPr>
          <w:rFonts w:ascii="Arial" w:cs="Arial"/>
          <w:i/>
          <w:iCs/>
          <w:sz w:val="24"/>
          <w:szCs w:val="24"/>
          <w:lang w:val="en-GB"/>
        </w:rPr>
        <w:t>et al</w:t>
      </w:r>
      <w:r w:rsidR="00613667" w:rsidRPr="0085730F">
        <w:rPr>
          <w:rFonts w:ascii="Arial" w:cs="Arial"/>
          <w:sz w:val="24"/>
          <w:szCs w:val="24"/>
          <w:lang w:val="en-GB"/>
        </w:rPr>
        <w:t xml:space="preserve">., 2021; </w:t>
      </w:r>
      <w:proofErr w:type="spellStart"/>
      <w:r w:rsidR="00613667" w:rsidRPr="0085730F">
        <w:rPr>
          <w:rFonts w:ascii="Arial" w:cs="Arial"/>
          <w:sz w:val="24"/>
          <w:szCs w:val="24"/>
          <w:lang w:val="en-GB"/>
        </w:rPr>
        <w:t>Sheinenzon</w:t>
      </w:r>
      <w:proofErr w:type="spellEnd"/>
      <w:r w:rsidR="00613667" w:rsidRPr="0085730F">
        <w:rPr>
          <w:rFonts w:ascii="Arial" w:cs="Arial"/>
          <w:sz w:val="24"/>
          <w:szCs w:val="24"/>
          <w:lang w:val="en-GB"/>
        </w:rPr>
        <w:t xml:space="preserve"> </w:t>
      </w:r>
      <w:r w:rsidR="00424167" w:rsidRPr="00424167">
        <w:rPr>
          <w:rFonts w:ascii="Arial" w:cs="Arial"/>
          <w:i/>
          <w:iCs/>
          <w:sz w:val="24"/>
          <w:szCs w:val="24"/>
          <w:lang w:val="en-GB"/>
        </w:rPr>
        <w:t>et al</w:t>
      </w:r>
      <w:r w:rsidR="00613667" w:rsidRPr="0085730F">
        <w:rPr>
          <w:rFonts w:ascii="Arial" w:cs="Arial"/>
          <w:sz w:val="24"/>
          <w:szCs w:val="24"/>
          <w:lang w:val="en-GB"/>
        </w:rPr>
        <w:t>., 2021</w:t>
      </w:r>
      <w:r w:rsidR="00587FEA">
        <w:rPr>
          <w:rFonts w:ascii="Arial" w:cs="Arial"/>
          <w:sz w:val="24"/>
          <w:szCs w:val="24"/>
          <w:lang w:val="en-GB"/>
        </w:rPr>
        <w:t>;</w:t>
      </w:r>
      <w:r w:rsidR="00587FEA" w:rsidRPr="0085730F">
        <w:rPr>
          <w:rFonts w:ascii="Arial" w:cs="Arial"/>
          <w:sz w:val="24"/>
          <w:szCs w:val="24"/>
        </w:rPr>
        <w:t xml:space="preserve"> Cunningham and Porat-</w:t>
      </w:r>
      <w:proofErr w:type="spellStart"/>
      <w:r w:rsidR="00587FEA" w:rsidRPr="0085730F">
        <w:rPr>
          <w:rFonts w:ascii="Arial" w:cs="Arial"/>
          <w:sz w:val="24"/>
          <w:szCs w:val="24"/>
        </w:rPr>
        <w:t>Shliom</w:t>
      </w:r>
      <w:proofErr w:type="spellEnd"/>
      <w:r w:rsidR="00587FEA" w:rsidRPr="0085730F">
        <w:rPr>
          <w:rFonts w:ascii="Arial" w:cs="Arial"/>
          <w:sz w:val="24"/>
          <w:szCs w:val="24"/>
        </w:rPr>
        <w:t>, 2021)</w:t>
      </w:r>
      <w:r w:rsidR="00613667" w:rsidRPr="0085730F">
        <w:rPr>
          <w:rFonts w:ascii="Arial" w:cs="Arial"/>
          <w:sz w:val="24"/>
          <w:szCs w:val="24"/>
          <w:lang w:val="en-GB"/>
        </w:rPr>
        <w:t>. In this study</w:t>
      </w:r>
      <w:r w:rsidR="00956F13">
        <w:rPr>
          <w:rFonts w:ascii="Arial" w:cs="Arial"/>
          <w:sz w:val="24"/>
          <w:szCs w:val="24"/>
          <w:lang w:val="en-GB"/>
        </w:rPr>
        <w:t xml:space="preserve"> the r</w:t>
      </w:r>
      <w:r w:rsidR="00F271A6">
        <w:rPr>
          <w:rFonts w:ascii="Arial" w:cs="Arial"/>
          <w:sz w:val="24"/>
          <w:szCs w:val="24"/>
          <w:lang w:val="en-GB"/>
        </w:rPr>
        <w:t>esu</w:t>
      </w:r>
      <w:r w:rsidR="00613667" w:rsidRPr="0085730F">
        <w:rPr>
          <w:rFonts w:ascii="Arial" w:cs="Arial"/>
          <w:sz w:val="24"/>
          <w:szCs w:val="24"/>
          <w:lang w:val="en-GB"/>
        </w:rPr>
        <w:t>lt</w:t>
      </w:r>
      <w:r w:rsidR="00956F13">
        <w:rPr>
          <w:rFonts w:ascii="Arial" w:cs="Arial"/>
          <w:sz w:val="24"/>
          <w:szCs w:val="24"/>
          <w:lang w:val="en-GB"/>
        </w:rPr>
        <w:t>s showed significant decrease in</w:t>
      </w:r>
      <w:r w:rsidR="00613667" w:rsidRPr="0085730F">
        <w:rPr>
          <w:rFonts w:ascii="Arial" w:cs="Arial"/>
          <w:sz w:val="24"/>
          <w:szCs w:val="24"/>
          <w:lang w:val="en-GB"/>
        </w:rPr>
        <w:t xml:space="preserve"> </w:t>
      </w:r>
      <w:r w:rsidR="00017072">
        <w:rPr>
          <w:rFonts w:ascii="Arial" w:cs="Arial"/>
          <w:sz w:val="24"/>
          <w:szCs w:val="24"/>
          <w:lang w:val="en-GB"/>
        </w:rPr>
        <w:t>level</w:t>
      </w:r>
      <w:r w:rsidR="00956F13">
        <w:rPr>
          <w:rFonts w:ascii="Arial" w:cs="Arial"/>
          <w:sz w:val="24"/>
          <w:szCs w:val="24"/>
          <w:lang w:val="en-GB"/>
        </w:rPr>
        <w:t>s</w:t>
      </w:r>
      <w:r w:rsidR="00017072">
        <w:rPr>
          <w:rFonts w:ascii="Arial" w:cs="Arial"/>
          <w:sz w:val="24"/>
          <w:szCs w:val="24"/>
          <w:lang w:val="en-GB"/>
        </w:rPr>
        <w:t xml:space="preserve"> of </w:t>
      </w:r>
      <w:r w:rsidR="00613667" w:rsidRPr="0085730F">
        <w:rPr>
          <w:rFonts w:ascii="Arial" w:cs="Arial"/>
          <w:sz w:val="24"/>
          <w:szCs w:val="24"/>
          <w:lang w:val="en-GB"/>
        </w:rPr>
        <w:t xml:space="preserve">total protein and </w:t>
      </w:r>
      <w:r w:rsidR="00073A4C">
        <w:rPr>
          <w:rFonts w:ascii="Arial" w:cs="Arial"/>
          <w:sz w:val="24"/>
          <w:szCs w:val="24"/>
          <w:lang w:val="en-GB"/>
        </w:rPr>
        <w:t xml:space="preserve">serum </w:t>
      </w:r>
      <w:r w:rsidR="00613667" w:rsidRPr="0085730F">
        <w:rPr>
          <w:rFonts w:ascii="Arial" w:cs="Arial"/>
          <w:sz w:val="24"/>
          <w:szCs w:val="24"/>
          <w:lang w:val="en-GB"/>
        </w:rPr>
        <w:t xml:space="preserve">albumin </w:t>
      </w:r>
      <w:r w:rsidR="007C738D">
        <w:rPr>
          <w:rFonts w:ascii="Arial" w:cs="Arial"/>
          <w:sz w:val="24"/>
          <w:szCs w:val="24"/>
          <w:lang w:val="en-GB"/>
        </w:rPr>
        <w:t xml:space="preserve">in the </w:t>
      </w:r>
      <w:r w:rsidR="00613667" w:rsidRPr="0085730F">
        <w:rPr>
          <w:rFonts w:ascii="Arial" w:cs="Arial"/>
          <w:sz w:val="24"/>
          <w:szCs w:val="24"/>
          <w:lang w:val="en-GB"/>
        </w:rPr>
        <w:t>0.2</w:t>
      </w:r>
      <w:r w:rsidR="00017072">
        <w:rPr>
          <w:rFonts w:ascii="Arial" w:cs="Arial"/>
          <w:sz w:val="24"/>
          <w:szCs w:val="24"/>
          <w:lang w:val="en-GB"/>
        </w:rPr>
        <w:t>-0.3</w:t>
      </w:r>
      <w:r w:rsidR="00613667" w:rsidRPr="0085730F">
        <w:rPr>
          <w:rFonts w:ascii="Arial" w:cs="Arial"/>
          <w:sz w:val="24"/>
          <w:szCs w:val="24"/>
          <w:lang w:val="en-GB"/>
        </w:rPr>
        <w:t xml:space="preserve">mg/kg </w:t>
      </w:r>
      <w:r w:rsidR="00B927F4">
        <w:rPr>
          <w:rFonts w:ascii="Arial" w:cs="Arial"/>
          <w:sz w:val="24"/>
          <w:szCs w:val="24"/>
          <w:lang w:val="en-GB"/>
        </w:rPr>
        <w:t xml:space="preserve">treated </w:t>
      </w:r>
      <w:r w:rsidR="00613667" w:rsidRPr="0085730F">
        <w:rPr>
          <w:rFonts w:ascii="Arial" w:cs="Arial"/>
          <w:sz w:val="24"/>
          <w:szCs w:val="24"/>
          <w:lang w:val="en-GB"/>
        </w:rPr>
        <w:t>group</w:t>
      </w:r>
      <w:r w:rsidR="00B927F4">
        <w:rPr>
          <w:rFonts w:ascii="Arial" w:cs="Arial"/>
          <w:sz w:val="24"/>
          <w:szCs w:val="24"/>
          <w:lang w:val="en-GB"/>
        </w:rPr>
        <w:t>s</w:t>
      </w:r>
      <w:r w:rsidR="00956F13">
        <w:rPr>
          <w:rFonts w:ascii="Arial" w:cs="Arial"/>
          <w:sz w:val="24"/>
          <w:szCs w:val="24"/>
          <w:lang w:val="en-GB"/>
        </w:rPr>
        <w:t xml:space="preserve"> (p&lt;.05)</w:t>
      </w:r>
      <w:r w:rsidR="00613667" w:rsidRPr="0085730F">
        <w:rPr>
          <w:rFonts w:ascii="Arial" w:cs="Arial"/>
          <w:sz w:val="24"/>
          <w:szCs w:val="24"/>
          <w:lang w:val="en-GB"/>
        </w:rPr>
        <w:t xml:space="preserve">. These findings </w:t>
      </w:r>
      <w:r w:rsidR="00C258CE" w:rsidRPr="0085730F">
        <w:rPr>
          <w:rFonts w:ascii="Arial" w:cs="Arial"/>
          <w:sz w:val="24"/>
          <w:szCs w:val="24"/>
          <w:lang w:val="en-GB"/>
        </w:rPr>
        <w:t>support</w:t>
      </w:r>
      <w:r w:rsidR="004F3471">
        <w:rPr>
          <w:rFonts w:ascii="Arial" w:cs="Arial"/>
          <w:sz w:val="24"/>
          <w:szCs w:val="24"/>
          <w:lang w:val="en-GB"/>
        </w:rPr>
        <w:t xml:space="preserve"> already </w:t>
      </w:r>
      <w:r w:rsidR="002B7E94">
        <w:rPr>
          <w:rFonts w:ascii="Arial" w:cs="Arial"/>
          <w:sz w:val="24"/>
          <w:szCs w:val="24"/>
          <w:lang w:val="en-GB"/>
        </w:rPr>
        <w:t>establish</w:t>
      </w:r>
      <w:r w:rsidR="004F3471">
        <w:rPr>
          <w:rFonts w:ascii="Arial" w:cs="Arial"/>
          <w:sz w:val="24"/>
          <w:szCs w:val="24"/>
          <w:lang w:val="en-GB"/>
        </w:rPr>
        <w:t>ed</w:t>
      </w:r>
      <w:r w:rsidR="002B7E94">
        <w:rPr>
          <w:rFonts w:ascii="Arial" w:cs="Arial"/>
          <w:sz w:val="24"/>
          <w:szCs w:val="24"/>
          <w:lang w:val="en-GB"/>
        </w:rPr>
        <w:t xml:space="preserve"> data </w:t>
      </w:r>
      <w:r w:rsidR="00C258CE">
        <w:rPr>
          <w:rFonts w:ascii="Arial" w:cs="Arial"/>
          <w:sz w:val="24"/>
          <w:szCs w:val="24"/>
          <w:lang w:val="en-GB"/>
        </w:rPr>
        <w:t>from</w:t>
      </w:r>
      <w:r w:rsidR="007504B5" w:rsidRPr="007504B5">
        <w:rPr>
          <w:rFonts w:ascii="Arial" w:cs="Arial"/>
          <w:sz w:val="24"/>
          <w:szCs w:val="24"/>
        </w:rPr>
        <w:t xml:space="preserve"> meta-analysis studies confirm</w:t>
      </w:r>
      <w:r w:rsidR="007504B5">
        <w:rPr>
          <w:rFonts w:ascii="Arial" w:cs="Arial"/>
          <w:sz w:val="24"/>
          <w:szCs w:val="24"/>
        </w:rPr>
        <w:t xml:space="preserve">ing </w:t>
      </w:r>
      <w:r w:rsidR="007504B5" w:rsidRPr="007504B5">
        <w:rPr>
          <w:rFonts w:ascii="Arial" w:cs="Arial"/>
          <w:sz w:val="24"/>
          <w:szCs w:val="24"/>
        </w:rPr>
        <w:t>the benefits of albumin in reducing hyponatremia, post-PICD, GI bleeding, recurrence of ascites, renal failure, HE, and mortality in patients with liver cirrhosis after large-volume paracentesis</w:t>
      </w:r>
      <w:r w:rsidR="00126479">
        <w:rPr>
          <w:rFonts w:ascii="Arial" w:cs="Arial"/>
          <w:sz w:val="24"/>
          <w:szCs w:val="24"/>
        </w:rPr>
        <w:t>, and consequent clinical implication</w:t>
      </w:r>
      <w:r w:rsidR="00936489">
        <w:rPr>
          <w:rFonts w:ascii="Arial" w:cs="Arial"/>
          <w:sz w:val="24"/>
          <w:szCs w:val="24"/>
        </w:rPr>
        <w:t>s</w:t>
      </w:r>
      <w:r w:rsidR="00126479">
        <w:rPr>
          <w:rFonts w:ascii="Arial" w:cs="Arial"/>
          <w:sz w:val="24"/>
          <w:szCs w:val="24"/>
        </w:rPr>
        <w:t xml:space="preserve"> of its reduction </w:t>
      </w:r>
      <w:r w:rsidR="007504B5">
        <w:rPr>
          <w:rFonts w:ascii="Arial" w:cs="Arial"/>
          <w:sz w:val="24"/>
          <w:szCs w:val="24"/>
        </w:rPr>
        <w:t xml:space="preserve"> </w:t>
      </w:r>
      <w:r w:rsidR="00C258CE">
        <w:rPr>
          <w:rFonts w:ascii="Arial" w:cs="Arial"/>
          <w:sz w:val="24"/>
          <w:szCs w:val="24"/>
        </w:rPr>
        <w:t xml:space="preserve"> </w:t>
      </w:r>
      <w:r w:rsidR="00613667" w:rsidRPr="0085730F">
        <w:rPr>
          <w:rFonts w:ascii="Arial" w:cs="Arial"/>
          <w:sz w:val="24"/>
          <w:szCs w:val="24"/>
          <w:lang w:val="en-GB"/>
        </w:rPr>
        <w:t>(</w:t>
      </w:r>
      <w:r w:rsidR="00A82403" w:rsidRPr="00A82403">
        <w:rPr>
          <w:rFonts w:ascii="Arial" w:cs="Arial"/>
          <w:sz w:val="24"/>
          <w:szCs w:val="24"/>
        </w:rPr>
        <w:t>Bernardi</w:t>
      </w:r>
      <w:r w:rsidR="00A82403">
        <w:rPr>
          <w:rFonts w:ascii="Arial" w:cs="Arial"/>
          <w:sz w:val="24"/>
          <w:szCs w:val="24"/>
          <w:lang w:val="en-GB"/>
        </w:rPr>
        <w:t xml:space="preserve">, et al., 2012; </w:t>
      </w:r>
      <w:r w:rsidR="00613667" w:rsidRPr="0085730F">
        <w:rPr>
          <w:rFonts w:ascii="Arial" w:cs="Arial"/>
          <w:sz w:val="24"/>
          <w:szCs w:val="24"/>
          <w:lang w:val="en-GB"/>
        </w:rPr>
        <w:t>Carvalho &amp; Machado, 2018</w:t>
      </w:r>
      <w:r w:rsidR="00422F6D">
        <w:rPr>
          <w:rFonts w:ascii="Arial" w:cs="Arial"/>
          <w:sz w:val="24"/>
          <w:szCs w:val="24"/>
          <w:lang w:val="en-GB"/>
        </w:rPr>
        <w:t xml:space="preserve">; </w:t>
      </w:r>
      <w:r w:rsidR="00422F6D" w:rsidRPr="00422F6D">
        <w:rPr>
          <w:rFonts w:ascii="Arial" w:cs="Arial"/>
          <w:sz w:val="24"/>
          <w:szCs w:val="24"/>
        </w:rPr>
        <w:t>Shrestha</w:t>
      </w:r>
      <w:r w:rsidR="00422F6D">
        <w:rPr>
          <w:rFonts w:ascii="Arial" w:cs="Arial"/>
          <w:sz w:val="24"/>
          <w:szCs w:val="24"/>
        </w:rPr>
        <w:t xml:space="preserve"> </w:t>
      </w:r>
      <w:r w:rsidR="00422F6D" w:rsidRPr="00422F6D">
        <w:rPr>
          <w:rFonts w:ascii="Arial" w:cs="Arial"/>
          <w:i/>
          <w:iCs/>
          <w:sz w:val="24"/>
          <w:szCs w:val="24"/>
        </w:rPr>
        <w:t>et al</w:t>
      </w:r>
      <w:r w:rsidR="00422F6D">
        <w:rPr>
          <w:rFonts w:ascii="Arial" w:cs="Arial"/>
          <w:sz w:val="24"/>
          <w:szCs w:val="24"/>
        </w:rPr>
        <w:t>.,</w:t>
      </w:r>
      <w:r w:rsidR="00A82403">
        <w:rPr>
          <w:rFonts w:ascii="Arial" w:cs="Arial"/>
          <w:sz w:val="24"/>
          <w:szCs w:val="24"/>
        </w:rPr>
        <w:t xml:space="preserve"> </w:t>
      </w:r>
      <w:r w:rsidR="00422F6D">
        <w:rPr>
          <w:rFonts w:ascii="Arial" w:cs="Arial"/>
          <w:sz w:val="24"/>
          <w:szCs w:val="24"/>
        </w:rPr>
        <w:t>2021</w:t>
      </w:r>
      <w:r w:rsidR="00A82403">
        <w:rPr>
          <w:rFonts w:ascii="Arial" w:cs="Arial"/>
          <w:sz w:val="24"/>
          <w:szCs w:val="24"/>
        </w:rPr>
        <w:t xml:space="preserve">; </w:t>
      </w:r>
      <w:r w:rsidR="00A82403" w:rsidRPr="00A82403">
        <w:rPr>
          <w:rFonts w:ascii="Arial" w:cs="Arial"/>
          <w:sz w:val="24"/>
          <w:szCs w:val="24"/>
        </w:rPr>
        <w:t>Zheng,</w:t>
      </w:r>
      <w:r w:rsidR="00A82403">
        <w:rPr>
          <w:rFonts w:ascii="Arial" w:cs="Arial"/>
          <w:sz w:val="24"/>
          <w:szCs w:val="24"/>
        </w:rPr>
        <w:t xml:space="preserve"> </w:t>
      </w:r>
      <w:r w:rsidR="00A82403" w:rsidRPr="00A82403">
        <w:rPr>
          <w:rFonts w:ascii="Arial" w:cs="Arial"/>
          <w:i/>
          <w:iCs/>
          <w:sz w:val="24"/>
          <w:szCs w:val="24"/>
        </w:rPr>
        <w:t>et al</w:t>
      </w:r>
      <w:r w:rsidR="00A82403">
        <w:rPr>
          <w:rFonts w:ascii="Arial" w:cs="Arial"/>
          <w:sz w:val="24"/>
          <w:szCs w:val="24"/>
        </w:rPr>
        <w:t>., 2021</w:t>
      </w:r>
      <w:r w:rsidR="00587FEA">
        <w:rPr>
          <w:rFonts w:ascii="Arial" w:cs="Arial"/>
          <w:sz w:val="24"/>
          <w:szCs w:val="24"/>
        </w:rPr>
        <w:t>)</w:t>
      </w:r>
      <w:r w:rsidR="00C70D65">
        <w:rPr>
          <w:rFonts w:ascii="Arial" w:cs="Arial"/>
          <w:sz w:val="24"/>
          <w:szCs w:val="24"/>
          <w:lang w:val="en-GB"/>
        </w:rPr>
        <w:t>.</w:t>
      </w:r>
    </w:p>
    <w:p w14:paraId="4DEBC4F0" w14:textId="33D00CD4" w:rsidR="00681AEA" w:rsidRPr="0085730F" w:rsidRDefault="00613667" w:rsidP="009245AC">
      <w:pPr>
        <w:spacing w:line="360" w:lineRule="auto"/>
        <w:ind w:firstLine="720"/>
        <w:jc w:val="both"/>
        <w:rPr>
          <w:rFonts w:ascii="Arial" w:cs="Arial"/>
          <w:sz w:val="24"/>
          <w:szCs w:val="24"/>
        </w:rPr>
      </w:pPr>
      <w:r w:rsidRPr="0085730F">
        <w:rPr>
          <w:rFonts w:ascii="Arial" w:cs="Arial"/>
          <w:sz w:val="24"/>
          <w:szCs w:val="24"/>
        </w:rPr>
        <w:t xml:space="preserve">Bilirubin </w:t>
      </w:r>
      <w:r w:rsidR="000804B9">
        <w:rPr>
          <w:rFonts w:ascii="Arial" w:cs="Arial"/>
          <w:sz w:val="24"/>
          <w:szCs w:val="24"/>
        </w:rPr>
        <w:t xml:space="preserve">is </w:t>
      </w:r>
      <w:r w:rsidRPr="0085730F">
        <w:rPr>
          <w:rFonts w:ascii="Arial" w:cs="Arial"/>
          <w:sz w:val="24"/>
          <w:szCs w:val="24"/>
        </w:rPr>
        <w:t xml:space="preserve">a </w:t>
      </w:r>
      <w:r w:rsidR="00C70D65">
        <w:rPr>
          <w:rFonts w:ascii="Arial" w:cs="Arial"/>
          <w:sz w:val="24"/>
          <w:szCs w:val="24"/>
        </w:rPr>
        <w:t>by-</w:t>
      </w:r>
      <w:r w:rsidRPr="0085730F">
        <w:rPr>
          <w:rFonts w:ascii="Arial" w:cs="Arial"/>
          <w:sz w:val="24"/>
          <w:szCs w:val="24"/>
        </w:rPr>
        <w:t>product of hemoglobin</w:t>
      </w:r>
      <w:r w:rsidR="000804B9">
        <w:rPr>
          <w:rFonts w:ascii="Arial" w:cs="Arial"/>
          <w:sz w:val="24"/>
          <w:szCs w:val="24"/>
        </w:rPr>
        <w:t xml:space="preserve"> </w:t>
      </w:r>
      <w:r w:rsidR="000804B9">
        <w:rPr>
          <w:rFonts w:ascii="Arial" w:cs="Arial"/>
          <w:sz w:val="24"/>
          <w:szCs w:val="24"/>
        </w:rPr>
        <w:t>catabolism</w:t>
      </w:r>
      <w:r w:rsidRPr="0085730F">
        <w:rPr>
          <w:rFonts w:ascii="Arial" w:cs="Arial"/>
          <w:sz w:val="24"/>
          <w:szCs w:val="24"/>
        </w:rPr>
        <w:t xml:space="preserve">, </w:t>
      </w:r>
      <w:r w:rsidR="00C70D65">
        <w:rPr>
          <w:rFonts w:ascii="Arial" w:cs="Arial"/>
          <w:sz w:val="24"/>
          <w:szCs w:val="24"/>
        </w:rPr>
        <w:t xml:space="preserve">which is </w:t>
      </w:r>
      <w:r w:rsidRPr="0085730F">
        <w:rPr>
          <w:rFonts w:ascii="Arial" w:cs="Arial"/>
          <w:sz w:val="24"/>
          <w:szCs w:val="24"/>
        </w:rPr>
        <w:t xml:space="preserve">conjugated in the </w:t>
      </w:r>
      <w:r w:rsidR="0039701A" w:rsidRPr="0085730F">
        <w:rPr>
          <w:rFonts w:ascii="Arial" w:cs="Arial"/>
          <w:sz w:val="24"/>
          <w:szCs w:val="24"/>
        </w:rPr>
        <w:t>liver</w:t>
      </w:r>
      <w:r w:rsidRPr="0085730F">
        <w:rPr>
          <w:rFonts w:ascii="Arial" w:cs="Arial"/>
          <w:sz w:val="24"/>
          <w:szCs w:val="24"/>
        </w:rPr>
        <w:t xml:space="preserve"> </w:t>
      </w:r>
      <w:r w:rsidR="00C70D65">
        <w:rPr>
          <w:rFonts w:ascii="Arial" w:cs="Arial"/>
          <w:sz w:val="24"/>
          <w:szCs w:val="24"/>
        </w:rPr>
        <w:t xml:space="preserve">into soluble form for ease of </w:t>
      </w:r>
      <w:r w:rsidRPr="0085730F">
        <w:rPr>
          <w:rFonts w:ascii="Arial" w:cs="Arial"/>
          <w:sz w:val="24"/>
          <w:szCs w:val="24"/>
        </w:rPr>
        <w:t xml:space="preserve">excretion (Vitek </w:t>
      </w:r>
      <w:r w:rsidR="00424167" w:rsidRPr="00424167">
        <w:rPr>
          <w:rFonts w:ascii="Arial" w:cs="Arial"/>
          <w:i/>
          <w:iCs/>
          <w:sz w:val="24"/>
          <w:szCs w:val="24"/>
        </w:rPr>
        <w:t>et al</w:t>
      </w:r>
      <w:r w:rsidRPr="0085730F">
        <w:rPr>
          <w:rFonts w:ascii="Arial" w:cs="Arial"/>
          <w:sz w:val="24"/>
          <w:szCs w:val="24"/>
        </w:rPr>
        <w:t xml:space="preserve">., 2023). </w:t>
      </w:r>
      <w:r w:rsidR="00BF7BC6">
        <w:rPr>
          <w:rFonts w:ascii="Arial" w:cs="Arial"/>
          <w:sz w:val="24"/>
          <w:szCs w:val="24"/>
        </w:rPr>
        <w:t>An el</w:t>
      </w:r>
      <w:r w:rsidR="00443793">
        <w:rPr>
          <w:rFonts w:ascii="Arial" w:cs="Arial"/>
          <w:sz w:val="24"/>
          <w:szCs w:val="24"/>
        </w:rPr>
        <w:t>e</w:t>
      </w:r>
      <w:r w:rsidR="00BF7BC6">
        <w:rPr>
          <w:rFonts w:ascii="Arial" w:cs="Arial"/>
          <w:sz w:val="24"/>
          <w:szCs w:val="24"/>
        </w:rPr>
        <w:t>v</w:t>
      </w:r>
      <w:r w:rsidR="00443793">
        <w:rPr>
          <w:rFonts w:ascii="Arial" w:cs="Arial"/>
          <w:sz w:val="24"/>
          <w:szCs w:val="24"/>
        </w:rPr>
        <w:t>a</w:t>
      </w:r>
      <w:r w:rsidR="00BF7BC6">
        <w:rPr>
          <w:rFonts w:ascii="Arial" w:cs="Arial"/>
          <w:sz w:val="24"/>
          <w:szCs w:val="24"/>
        </w:rPr>
        <w:t xml:space="preserve">tion is serum </w:t>
      </w:r>
      <w:r w:rsidRPr="0085730F">
        <w:rPr>
          <w:rFonts w:ascii="Arial" w:cs="Arial"/>
          <w:sz w:val="24"/>
          <w:szCs w:val="24"/>
        </w:rPr>
        <w:t xml:space="preserve">bilirubin levels </w:t>
      </w:r>
      <w:r w:rsidR="004A3A2D">
        <w:rPr>
          <w:rFonts w:ascii="Arial" w:cs="Arial"/>
          <w:sz w:val="24"/>
          <w:szCs w:val="24"/>
        </w:rPr>
        <w:t xml:space="preserve">especially unconjugated fraction, </w:t>
      </w:r>
      <w:r w:rsidR="00BF7BC6">
        <w:rPr>
          <w:rFonts w:ascii="Arial" w:cs="Arial"/>
          <w:sz w:val="24"/>
          <w:szCs w:val="24"/>
        </w:rPr>
        <w:t>i</w:t>
      </w:r>
      <w:r w:rsidRPr="0085730F">
        <w:rPr>
          <w:rFonts w:ascii="Arial" w:cs="Arial"/>
          <w:sz w:val="24"/>
          <w:szCs w:val="24"/>
        </w:rPr>
        <w:t>ndicate</w:t>
      </w:r>
      <w:r w:rsidR="004A3A2D">
        <w:rPr>
          <w:rFonts w:ascii="Arial" w:cs="Arial"/>
          <w:sz w:val="24"/>
          <w:szCs w:val="24"/>
        </w:rPr>
        <w:t>s</w:t>
      </w:r>
      <w:r w:rsidRPr="0085730F">
        <w:rPr>
          <w:rFonts w:ascii="Arial" w:cs="Arial"/>
          <w:sz w:val="24"/>
          <w:szCs w:val="24"/>
        </w:rPr>
        <w:t xml:space="preserve"> liver damage </w:t>
      </w:r>
      <w:r w:rsidR="000013E3">
        <w:rPr>
          <w:rFonts w:ascii="Arial" w:cs="Arial"/>
          <w:sz w:val="24"/>
          <w:szCs w:val="24"/>
        </w:rPr>
        <w:t xml:space="preserve">with consequent impair conjugation capability </w:t>
      </w:r>
      <w:r w:rsidRPr="0085730F">
        <w:rPr>
          <w:rFonts w:ascii="Arial" w:cs="Arial"/>
          <w:sz w:val="24"/>
          <w:szCs w:val="24"/>
        </w:rPr>
        <w:t xml:space="preserve">(Guerra Ruiz </w:t>
      </w:r>
      <w:r w:rsidR="00424167" w:rsidRPr="00424167">
        <w:rPr>
          <w:rFonts w:ascii="Arial" w:cs="Arial"/>
          <w:i/>
          <w:iCs/>
          <w:sz w:val="24"/>
          <w:szCs w:val="24"/>
        </w:rPr>
        <w:t>et al</w:t>
      </w:r>
      <w:r w:rsidRPr="0085730F">
        <w:rPr>
          <w:rFonts w:ascii="Arial" w:cs="Arial"/>
          <w:sz w:val="24"/>
          <w:szCs w:val="24"/>
        </w:rPr>
        <w:t>., 2021; V</w:t>
      </w:r>
      <w:r w:rsidRPr="0085730F">
        <w:rPr>
          <w:rFonts w:ascii="Arial" w:cs="Arial"/>
          <w:sz w:val="24"/>
          <w:szCs w:val="24"/>
        </w:rPr>
        <w:t>í</w:t>
      </w:r>
      <w:r w:rsidRPr="0085730F">
        <w:rPr>
          <w:rFonts w:ascii="Arial" w:cs="Arial"/>
          <w:sz w:val="24"/>
          <w:szCs w:val="24"/>
        </w:rPr>
        <w:t xml:space="preserve">tek &amp; </w:t>
      </w:r>
      <w:proofErr w:type="spellStart"/>
      <w:r w:rsidRPr="0085730F">
        <w:rPr>
          <w:rFonts w:ascii="Arial" w:cs="Arial"/>
          <w:sz w:val="24"/>
          <w:szCs w:val="24"/>
        </w:rPr>
        <w:t>Tiribelli</w:t>
      </w:r>
      <w:proofErr w:type="spellEnd"/>
      <w:r w:rsidRPr="0085730F">
        <w:rPr>
          <w:rFonts w:ascii="Arial" w:cs="Arial"/>
          <w:sz w:val="24"/>
          <w:szCs w:val="24"/>
        </w:rPr>
        <w:t xml:space="preserve">, 2021). In </w:t>
      </w:r>
      <w:r w:rsidR="002E09CE">
        <w:rPr>
          <w:rFonts w:ascii="Arial" w:cs="Arial"/>
          <w:sz w:val="24"/>
          <w:szCs w:val="24"/>
        </w:rPr>
        <w:t xml:space="preserve">this </w:t>
      </w:r>
      <w:r w:rsidRPr="0085730F">
        <w:rPr>
          <w:rFonts w:ascii="Arial" w:cs="Arial"/>
          <w:sz w:val="24"/>
          <w:szCs w:val="24"/>
        </w:rPr>
        <w:t xml:space="preserve">study, </w:t>
      </w:r>
      <w:r w:rsidR="002E09CE">
        <w:rPr>
          <w:rFonts w:ascii="Arial" w:cs="Arial"/>
          <w:sz w:val="24"/>
          <w:szCs w:val="24"/>
        </w:rPr>
        <w:t xml:space="preserve">the </w:t>
      </w:r>
      <w:r w:rsidRPr="0085730F">
        <w:rPr>
          <w:rFonts w:ascii="Arial" w:cs="Arial"/>
          <w:sz w:val="24"/>
          <w:szCs w:val="24"/>
        </w:rPr>
        <w:t xml:space="preserve">rats </w:t>
      </w:r>
      <w:r w:rsidR="00403372">
        <w:rPr>
          <w:rFonts w:ascii="Arial" w:cs="Arial"/>
          <w:sz w:val="24"/>
          <w:szCs w:val="24"/>
        </w:rPr>
        <w:t xml:space="preserve">in the treated group all </w:t>
      </w:r>
      <w:r w:rsidRPr="0085730F">
        <w:rPr>
          <w:rFonts w:ascii="Arial" w:cs="Arial"/>
          <w:sz w:val="24"/>
          <w:szCs w:val="24"/>
        </w:rPr>
        <w:t xml:space="preserve">showed </w:t>
      </w:r>
      <w:r w:rsidR="00403372">
        <w:rPr>
          <w:rFonts w:ascii="Arial" w:cs="Arial"/>
          <w:sz w:val="24"/>
          <w:szCs w:val="24"/>
        </w:rPr>
        <w:t>a</w:t>
      </w:r>
      <w:r w:rsidR="00AB68F8">
        <w:rPr>
          <w:rFonts w:ascii="Arial" w:cs="Arial"/>
          <w:sz w:val="24"/>
          <w:szCs w:val="24"/>
        </w:rPr>
        <w:t xml:space="preserve"> significant</w:t>
      </w:r>
      <w:r w:rsidR="00403372">
        <w:rPr>
          <w:rFonts w:ascii="Arial" w:cs="Arial"/>
          <w:sz w:val="24"/>
          <w:szCs w:val="24"/>
        </w:rPr>
        <w:t xml:space="preserve"> </w:t>
      </w:r>
      <w:r w:rsidRPr="0085730F">
        <w:rPr>
          <w:rFonts w:ascii="Arial" w:cs="Arial"/>
          <w:sz w:val="24"/>
          <w:szCs w:val="24"/>
        </w:rPr>
        <w:t>increas</w:t>
      </w:r>
      <w:r w:rsidR="00403372">
        <w:rPr>
          <w:rFonts w:ascii="Arial" w:cs="Arial"/>
          <w:sz w:val="24"/>
          <w:szCs w:val="24"/>
        </w:rPr>
        <w:t xml:space="preserve">e </w:t>
      </w:r>
      <w:r w:rsidR="00AB68F8">
        <w:rPr>
          <w:rFonts w:ascii="Arial" w:cs="Arial"/>
          <w:sz w:val="24"/>
          <w:szCs w:val="24"/>
        </w:rPr>
        <w:t xml:space="preserve">(p&lt;.05) </w:t>
      </w:r>
      <w:r w:rsidR="00403372">
        <w:rPr>
          <w:rFonts w:ascii="Arial" w:cs="Arial"/>
          <w:sz w:val="24"/>
          <w:szCs w:val="24"/>
        </w:rPr>
        <w:t xml:space="preserve">in the level of </w:t>
      </w:r>
      <w:r w:rsidRPr="0085730F">
        <w:rPr>
          <w:rFonts w:ascii="Arial" w:cs="Arial"/>
          <w:sz w:val="24"/>
          <w:szCs w:val="24"/>
        </w:rPr>
        <w:t xml:space="preserve">total and indirect (unconjugated) bilirubin levels, </w:t>
      </w:r>
      <w:r w:rsidR="00403372">
        <w:rPr>
          <w:rFonts w:ascii="Arial" w:cs="Arial"/>
          <w:sz w:val="24"/>
          <w:szCs w:val="24"/>
        </w:rPr>
        <w:t xml:space="preserve">this </w:t>
      </w:r>
      <w:r w:rsidRPr="0085730F">
        <w:rPr>
          <w:rFonts w:ascii="Arial" w:cs="Arial"/>
          <w:sz w:val="24"/>
          <w:szCs w:val="24"/>
        </w:rPr>
        <w:t>suggest</w:t>
      </w:r>
      <w:r w:rsidR="00403372">
        <w:rPr>
          <w:rFonts w:ascii="Arial" w:cs="Arial"/>
          <w:sz w:val="24"/>
          <w:szCs w:val="24"/>
        </w:rPr>
        <w:t xml:space="preserve">s </w:t>
      </w:r>
      <w:r w:rsidR="000A5F33">
        <w:rPr>
          <w:rFonts w:ascii="Arial" w:cs="Arial"/>
          <w:sz w:val="24"/>
          <w:szCs w:val="24"/>
        </w:rPr>
        <w:t xml:space="preserve">severe </w:t>
      </w:r>
      <w:r w:rsidRPr="0085730F">
        <w:rPr>
          <w:rFonts w:ascii="Arial" w:cs="Arial"/>
          <w:sz w:val="24"/>
          <w:szCs w:val="24"/>
        </w:rPr>
        <w:t>impair</w:t>
      </w:r>
      <w:r w:rsidR="00403372">
        <w:rPr>
          <w:rFonts w:ascii="Arial" w:cs="Arial"/>
          <w:sz w:val="24"/>
          <w:szCs w:val="24"/>
        </w:rPr>
        <w:t xml:space="preserve">ment in the conjugating ability of the </w:t>
      </w:r>
      <w:r w:rsidRPr="0085730F">
        <w:rPr>
          <w:rFonts w:ascii="Arial" w:cs="Arial"/>
          <w:sz w:val="24"/>
          <w:szCs w:val="24"/>
        </w:rPr>
        <w:t>liver</w:t>
      </w:r>
      <w:r w:rsidR="008708E6">
        <w:rPr>
          <w:rFonts w:ascii="Arial" w:cs="Arial"/>
          <w:sz w:val="24"/>
          <w:szCs w:val="24"/>
        </w:rPr>
        <w:t xml:space="preserve"> </w:t>
      </w:r>
      <w:r w:rsidRPr="0085730F">
        <w:rPr>
          <w:rFonts w:ascii="Arial" w:cs="Arial"/>
          <w:sz w:val="24"/>
          <w:szCs w:val="24"/>
        </w:rPr>
        <w:t>(Brites and Silva, 2021)</w:t>
      </w:r>
      <w:r w:rsidR="008708E6">
        <w:rPr>
          <w:rFonts w:ascii="Arial" w:cs="Arial"/>
          <w:sz w:val="24"/>
          <w:szCs w:val="24"/>
        </w:rPr>
        <w:t>.</w:t>
      </w:r>
    </w:p>
    <w:p w14:paraId="68EF1283" w14:textId="0BD4E349" w:rsidR="00681AEA" w:rsidRPr="0085730F" w:rsidRDefault="00613667" w:rsidP="00722EB8">
      <w:pPr>
        <w:spacing w:line="360" w:lineRule="auto"/>
        <w:ind w:firstLine="720"/>
        <w:jc w:val="both"/>
        <w:rPr>
          <w:rFonts w:ascii="Arial" w:cs="Arial"/>
          <w:sz w:val="24"/>
          <w:szCs w:val="24"/>
          <w:lang w:val="en-GB"/>
        </w:rPr>
      </w:pPr>
      <w:r w:rsidRPr="0085730F">
        <w:rPr>
          <w:rFonts w:ascii="Arial" w:cs="Arial"/>
          <w:sz w:val="24"/>
          <w:szCs w:val="24"/>
          <w:lang w:val="en-GB"/>
        </w:rPr>
        <w:t>According to Hy</w:t>
      </w:r>
      <w:r w:rsidRPr="0085730F">
        <w:rPr>
          <w:rFonts w:ascii="Arial" w:cs="Arial"/>
          <w:sz w:val="24"/>
          <w:szCs w:val="24"/>
          <w:lang w:val="en-GB"/>
        </w:rPr>
        <w:t>’</w:t>
      </w:r>
      <w:r w:rsidRPr="0085730F">
        <w:rPr>
          <w:rFonts w:ascii="Arial" w:cs="Arial"/>
          <w:sz w:val="24"/>
          <w:szCs w:val="24"/>
          <w:lang w:val="en-GB"/>
        </w:rPr>
        <w:t>s law, concurrent elevations in AST/ALT and bilirubin</w:t>
      </w:r>
      <w:r w:rsidR="000A5F33">
        <w:rPr>
          <w:rFonts w:ascii="Arial" w:cs="Arial"/>
          <w:sz w:val="24"/>
          <w:szCs w:val="24"/>
          <w:lang w:val="en-GB"/>
        </w:rPr>
        <w:t xml:space="preserve"> </w:t>
      </w:r>
      <w:r w:rsidR="00CB4046">
        <w:rPr>
          <w:rFonts w:ascii="Arial" w:cs="Arial"/>
          <w:sz w:val="24"/>
          <w:szCs w:val="24"/>
          <w:lang w:val="en-GB"/>
        </w:rPr>
        <w:t xml:space="preserve">strongly </w:t>
      </w:r>
      <w:r w:rsidR="00CB4046" w:rsidRPr="0085730F">
        <w:rPr>
          <w:rFonts w:ascii="Arial" w:cs="Arial"/>
          <w:sz w:val="24"/>
          <w:szCs w:val="24"/>
          <w:lang w:val="en-GB"/>
        </w:rPr>
        <w:t>suggest</w:t>
      </w:r>
      <w:r w:rsidRPr="0085730F">
        <w:rPr>
          <w:rFonts w:ascii="Arial" w:cs="Arial"/>
          <w:sz w:val="24"/>
          <w:szCs w:val="24"/>
          <w:lang w:val="en-GB"/>
        </w:rPr>
        <w:t xml:space="preserve"> drug</w:t>
      </w:r>
      <w:r w:rsidR="000A5F33">
        <w:rPr>
          <w:rFonts w:ascii="Arial" w:cs="Arial"/>
          <w:sz w:val="24"/>
          <w:szCs w:val="24"/>
          <w:lang w:val="en-GB"/>
        </w:rPr>
        <w:t xml:space="preserve"> or toxin</w:t>
      </w:r>
      <w:r w:rsidR="00CB4046">
        <w:rPr>
          <w:rFonts w:ascii="Arial" w:cs="Arial"/>
          <w:sz w:val="24"/>
          <w:szCs w:val="24"/>
          <w:lang w:val="en-GB"/>
        </w:rPr>
        <w:t xml:space="preserve"> related </w:t>
      </w:r>
      <w:r w:rsidR="00E57484">
        <w:rPr>
          <w:rFonts w:ascii="Arial" w:cs="Arial"/>
          <w:sz w:val="24"/>
          <w:szCs w:val="24"/>
          <w:lang w:val="en-GB"/>
        </w:rPr>
        <w:t xml:space="preserve">liver injury </w:t>
      </w:r>
      <w:r w:rsidRPr="0085730F">
        <w:rPr>
          <w:rFonts w:ascii="Arial" w:cs="Arial"/>
          <w:sz w:val="24"/>
          <w:szCs w:val="24"/>
          <w:lang w:val="en-GB"/>
        </w:rPr>
        <w:t>(</w:t>
      </w:r>
      <w:r w:rsidR="008758F7" w:rsidRPr="00E57484">
        <w:rPr>
          <w:rFonts w:ascii="Arial" w:hAnsi="Arial" w:cs="Arial"/>
          <w:bCs/>
          <w:sz w:val="24"/>
          <w:szCs w:val="24"/>
        </w:rPr>
        <w:t>Re</w:t>
      </w:r>
      <w:r w:rsidR="008758F7" w:rsidRPr="00E57484">
        <w:rPr>
          <w:rFonts w:ascii="Arial" w:cs="Arial"/>
          <w:sz w:val="24"/>
          <w:szCs w:val="24"/>
        </w:rPr>
        <w:t xml:space="preserve"> </w:t>
      </w:r>
      <w:r w:rsidR="00424167" w:rsidRPr="00E57484">
        <w:rPr>
          <w:rFonts w:ascii="Arial" w:cs="Arial"/>
          <w:i/>
          <w:iCs/>
          <w:sz w:val="24"/>
          <w:szCs w:val="24"/>
        </w:rPr>
        <w:t>et al</w:t>
      </w:r>
      <w:r w:rsidR="008758F7" w:rsidRPr="0085730F">
        <w:rPr>
          <w:rFonts w:ascii="Arial" w:cs="Arial"/>
          <w:sz w:val="24"/>
          <w:szCs w:val="24"/>
        </w:rPr>
        <w:t xml:space="preserve">., 2015; </w:t>
      </w:r>
      <w:r w:rsidRPr="0085730F">
        <w:rPr>
          <w:rFonts w:ascii="Arial" w:cs="Arial"/>
          <w:sz w:val="24"/>
          <w:szCs w:val="24"/>
        </w:rPr>
        <w:t xml:space="preserve">Barritt, </w:t>
      </w:r>
      <w:r w:rsidR="00424167" w:rsidRPr="00424167">
        <w:rPr>
          <w:rFonts w:ascii="Arial" w:cs="Arial"/>
          <w:i/>
          <w:iCs/>
          <w:sz w:val="24"/>
          <w:szCs w:val="24"/>
        </w:rPr>
        <w:t>et al</w:t>
      </w:r>
      <w:r w:rsidRPr="0085730F">
        <w:rPr>
          <w:rFonts w:ascii="Arial" w:cs="Arial"/>
          <w:sz w:val="24"/>
          <w:szCs w:val="24"/>
        </w:rPr>
        <w:t xml:space="preserve">., 2022), </w:t>
      </w:r>
      <w:r w:rsidRPr="0085730F">
        <w:rPr>
          <w:rFonts w:ascii="Arial" w:cs="Arial"/>
          <w:sz w:val="24"/>
          <w:szCs w:val="24"/>
          <w:lang w:val="en-GB"/>
        </w:rPr>
        <w:t xml:space="preserve">which supports our </w:t>
      </w:r>
      <w:r w:rsidR="0033065E">
        <w:rPr>
          <w:rFonts w:ascii="Arial" w:cs="Arial"/>
          <w:sz w:val="24"/>
          <w:szCs w:val="24"/>
          <w:lang w:val="en-GB"/>
        </w:rPr>
        <w:t xml:space="preserve">mechanistic </w:t>
      </w:r>
      <w:r w:rsidR="00492DA8">
        <w:rPr>
          <w:rFonts w:ascii="Arial" w:cs="Arial"/>
          <w:sz w:val="24"/>
          <w:szCs w:val="24"/>
          <w:lang w:val="en-GB"/>
        </w:rPr>
        <w:t>hypothesis</w:t>
      </w:r>
      <w:r w:rsidRPr="0085730F">
        <w:rPr>
          <w:rFonts w:ascii="Arial" w:cs="Arial"/>
          <w:sz w:val="24"/>
          <w:szCs w:val="24"/>
          <w:lang w:val="en-GB"/>
        </w:rPr>
        <w:t xml:space="preserve">, that PVC </w:t>
      </w:r>
      <w:r w:rsidR="00492DA8">
        <w:rPr>
          <w:rFonts w:ascii="Arial" w:cs="Arial"/>
          <w:sz w:val="24"/>
          <w:szCs w:val="24"/>
          <w:lang w:val="en-GB"/>
        </w:rPr>
        <w:t xml:space="preserve">microplastic </w:t>
      </w:r>
      <w:r w:rsidRPr="0085730F">
        <w:rPr>
          <w:rFonts w:ascii="Arial" w:cs="Arial"/>
          <w:sz w:val="24"/>
          <w:szCs w:val="24"/>
          <w:lang w:val="en-GB"/>
        </w:rPr>
        <w:t xml:space="preserve">induces </w:t>
      </w:r>
      <w:r w:rsidR="0033065E">
        <w:rPr>
          <w:rFonts w:ascii="Arial" w:cs="Arial"/>
          <w:sz w:val="24"/>
          <w:szCs w:val="24"/>
          <w:lang w:val="en-GB"/>
        </w:rPr>
        <w:t xml:space="preserve">direct </w:t>
      </w:r>
      <w:r w:rsidRPr="0085730F">
        <w:rPr>
          <w:rFonts w:ascii="Arial" w:cs="Arial"/>
          <w:sz w:val="24"/>
          <w:szCs w:val="24"/>
          <w:lang w:val="en-GB"/>
        </w:rPr>
        <w:t xml:space="preserve">liver injury </w:t>
      </w:r>
      <w:r w:rsidR="00764FA1">
        <w:rPr>
          <w:rFonts w:ascii="Arial" w:cs="Arial"/>
          <w:sz w:val="24"/>
          <w:szCs w:val="24"/>
          <w:lang w:val="en-GB"/>
        </w:rPr>
        <w:t xml:space="preserve">through </w:t>
      </w:r>
      <w:r w:rsidR="0033065E">
        <w:rPr>
          <w:rFonts w:ascii="Arial" w:cs="Arial"/>
          <w:sz w:val="24"/>
          <w:szCs w:val="24"/>
          <w:lang w:val="en-GB"/>
        </w:rPr>
        <w:t xml:space="preserve">direct </w:t>
      </w:r>
      <w:r w:rsidRPr="0085730F">
        <w:rPr>
          <w:rFonts w:ascii="Arial" w:cs="Arial"/>
          <w:sz w:val="24"/>
          <w:szCs w:val="24"/>
          <w:lang w:val="en-GB"/>
        </w:rPr>
        <w:t>toxicity, oxidative stress, and hypoxia from vascular stasis or thrombosis.</w:t>
      </w:r>
    </w:p>
    <w:p w14:paraId="36A617F0" w14:textId="2909D408" w:rsidR="00681AEA" w:rsidRPr="0085730F" w:rsidRDefault="00613667" w:rsidP="00C70D65">
      <w:pPr>
        <w:spacing w:line="360" w:lineRule="auto"/>
        <w:ind w:firstLine="720"/>
        <w:jc w:val="both"/>
        <w:rPr>
          <w:rFonts w:ascii="Arial" w:cs="Arial"/>
          <w:sz w:val="24"/>
          <w:szCs w:val="24"/>
          <w:lang w:val="en-GB"/>
        </w:rPr>
      </w:pPr>
      <w:r w:rsidRPr="0085730F">
        <w:rPr>
          <w:rFonts w:ascii="Arial" w:cs="Arial"/>
          <w:sz w:val="24"/>
          <w:szCs w:val="24"/>
        </w:rPr>
        <w:t xml:space="preserve">Malondialdehyde (MDA) is a </w:t>
      </w:r>
      <w:r w:rsidR="00584735">
        <w:rPr>
          <w:rFonts w:ascii="Arial" w:cs="Arial"/>
          <w:sz w:val="24"/>
          <w:szCs w:val="24"/>
        </w:rPr>
        <w:t xml:space="preserve">derivative </w:t>
      </w:r>
      <w:r w:rsidRPr="0085730F">
        <w:rPr>
          <w:rFonts w:ascii="Arial" w:cs="Arial"/>
          <w:sz w:val="24"/>
          <w:szCs w:val="24"/>
        </w:rPr>
        <w:t xml:space="preserve">from the peroxidation of polyunsaturated fatty acids. </w:t>
      </w:r>
      <w:r w:rsidR="00584735">
        <w:rPr>
          <w:rFonts w:ascii="Arial" w:cs="Arial"/>
          <w:sz w:val="24"/>
          <w:szCs w:val="24"/>
        </w:rPr>
        <w:t xml:space="preserve">It serves as a </w:t>
      </w:r>
      <w:r w:rsidRPr="0085730F">
        <w:rPr>
          <w:rFonts w:ascii="Arial" w:cs="Arial"/>
          <w:sz w:val="24"/>
          <w:szCs w:val="24"/>
        </w:rPr>
        <w:t xml:space="preserve">biomarker </w:t>
      </w:r>
      <w:r w:rsidR="00584735">
        <w:rPr>
          <w:rFonts w:ascii="Arial" w:cs="Arial"/>
          <w:sz w:val="24"/>
          <w:szCs w:val="24"/>
        </w:rPr>
        <w:t xml:space="preserve">used for </w:t>
      </w:r>
      <w:r w:rsidRPr="0085730F">
        <w:rPr>
          <w:rFonts w:ascii="Arial" w:cs="Arial"/>
          <w:sz w:val="24"/>
          <w:szCs w:val="24"/>
        </w:rPr>
        <w:t>measur</w:t>
      </w:r>
      <w:r w:rsidR="00584735">
        <w:rPr>
          <w:rFonts w:ascii="Arial" w:cs="Arial"/>
          <w:sz w:val="24"/>
          <w:szCs w:val="24"/>
        </w:rPr>
        <w:t>ing</w:t>
      </w:r>
      <w:r w:rsidRPr="0085730F">
        <w:rPr>
          <w:rFonts w:ascii="Arial" w:cs="Arial"/>
          <w:sz w:val="24"/>
          <w:szCs w:val="24"/>
        </w:rPr>
        <w:t xml:space="preserve"> oxidative stress in biological </w:t>
      </w:r>
      <w:r w:rsidR="00B42F95">
        <w:rPr>
          <w:rFonts w:ascii="Arial" w:cs="Arial"/>
          <w:sz w:val="24"/>
          <w:szCs w:val="24"/>
        </w:rPr>
        <w:t xml:space="preserve">models </w:t>
      </w:r>
      <w:r w:rsidR="00417E45">
        <w:rPr>
          <w:rFonts w:ascii="Arial" w:cs="Arial"/>
          <w:sz w:val="24"/>
          <w:szCs w:val="24"/>
        </w:rPr>
        <w:t xml:space="preserve">and </w:t>
      </w:r>
      <w:r w:rsidR="00A85B7B">
        <w:rPr>
          <w:rFonts w:ascii="Arial" w:cs="Arial"/>
          <w:sz w:val="24"/>
          <w:szCs w:val="24"/>
        </w:rPr>
        <w:t>its values are affected a</w:t>
      </w:r>
      <w:r w:rsidRPr="0085730F">
        <w:rPr>
          <w:rFonts w:ascii="Arial" w:cs="Arial"/>
          <w:sz w:val="24"/>
          <w:szCs w:val="24"/>
        </w:rPr>
        <w:t xml:space="preserve"> </w:t>
      </w:r>
      <w:r w:rsidR="00A85B7B">
        <w:rPr>
          <w:rFonts w:ascii="Arial" w:cs="Arial"/>
          <w:sz w:val="24"/>
          <w:szCs w:val="24"/>
        </w:rPr>
        <w:t xml:space="preserve">range of </w:t>
      </w:r>
      <w:r w:rsidRPr="0085730F">
        <w:rPr>
          <w:rFonts w:ascii="Arial" w:cs="Arial"/>
          <w:sz w:val="24"/>
          <w:szCs w:val="24"/>
        </w:rPr>
        <w:t xml:space="preserve">diseases (Cordiano, </w:t>
      </w:r>
      <w:r w:rsidR="00424167" w:rsidRPr="00424167">
        <w:rPr>
          <w:rFonts w:ascii="Arial" w:cs="Arial"/>
          <w:i/>
          <w:iCs/>
          <w:sz w:val="24"/>
          <w:szCs w:val="24"/>
        </w:rPr>
        <w:t>et al</w:t>
      </w:r>
      <w:r w:rsidRPr="0085730F">
        <w:rPr>
          <w:rFonts w:ascii="Arial" w:cs="Arial"/>
          <w:sz w:val="24"/>
          <w:szCs w:val="24"/>
        </w:rPr>
        <w:t>., 2023)</w:t>
      </w:r>
      <w:r w:rsidRPr="0085730F">
        <w:rPr>
          <w:rFonts w:ascii="Arial" w:cs="Arial"/>
          <w:sz w:val="24"/>
          <w:szCs w:val="24"/>
          <w:lang w:val="en-GB"/>
        </w:rPr>
        <w:t>.  This study reported an increase</w:t>
      </w:r>
      <w:r w:rsidR="00ED53D3">
        <w:rPr>
          <w:rFonts w:ascii="Arial" w:cs="Arial"/>
          <w:sz w:val="24"/>
          <w:szCs w:val="24"/>
          <w:lang w:val="en-GB"/>
        </w:rPr>
        <w:t>d</w:t>
      </w:r>
      <w:r w:rsidRPr="0085730F">
        <w:rPr>
          <w:rFonts w:ascii="Arial" w:cs="Arial"/>
          <w:sz w:val="24"/>
          <w:szCs w:val="24"/>
          <w:lang w:val="en-GB"/>
        </w:rPr>
        <w:t xml:space="preserve"> MDA levels in </w:t>
      </w:r>
      <w:r w:rsidR="00E602D8">
        <w:rPr>
          <w:rFonts w:ascii="Arial" w:cs="Arial"/>
          <w:sz w:val="24"/>
          <w:szCs w:val="24"/>
          <w:lang w:val="en-GB"/>
        </w:rPr>
        <w:t xml:space="preserve">0.2-0.3mg/kg </w:t>
      </w:r>
      <w:r w:rsidRPr="0085730F">
        <w:rPr>
          <w:rFonts w:ascii="Arial" w:cs="Arial"/>
          <w:sz w:val="24"/>
          <w:szCs w:val="24"/>
          <w:lang w:val="en-GB"/>
        </w:rPr>
        <w:t>treated groups</w:t>
      </w:r>
      <w:r w:rsidR="003F6DB5">
        <w:rPr>
          <w:rFonts w:ascii="Arial" w:cs="Arial"/>
          <w:sz w:val="24"/>
          <w:szCs w:val="24"/>
          <w:lang w:val="en-GB"/>
        </w:rPr>
        <w:t xml:space="preserve"> (p&lt;.05)</w:t>
      </w:r>
      <w:r w:rsidRPr="0085730F">
        <w:rPr>
          <w:rFonts w:ascii="Arial" w:cs="Arial"/>
          <w:sz w:val="24"/>
          <w:szCs w:val="24"/>
          <w:lang w:val="en-GB"/>
        </w:rPr>
        <w:t xml:space="preserve">, </w:t>
      </w:r>
      <w:r w:rsidR="00A24921">
        <w:rPr>
          <w:rFonts w:ascii="Arial" w:cs="Arial"/>
          <w:sz w:val="24"/>
          <w:szCs w:val="24"/>
          <w:lang w:val="en-GB"/>
        </w:rPr>
        <w:t>aligning with</w:t>
      </w:r>
      <w:r w:rsidRPr="0085730F">
        <w:rPr>
          <w:rFonts w:ascii="Arial" w:cs="Arial"/>
          <w:sz w:val="24"/>
          <w:szCs w:val="24"/>
          <w:lang w:val="en-GB"/>
        </w:rPr>
        <w:t xml:space="preserve"> </w:t>
      </w:r>
      <w:r w:rsidR="006F3670">
        <w:rPr>
          <w:rFonts w:ascii="Arial" w:cs="Arial"/>
          <w:sz w:val="24"/>
          <w:szCs w:val="24"/>
          <w:lang w:val="en-GB"/>
        </w:rPr>
        <w:t xml:space="preserve">earlier </w:t>
      </w:r>
      <w:r w:rsidR="00A24921">
        <w:rPr>
          <w:rFonts w:ascii="Arial" w:cs="Arial"/>
          <w:sz w:val="24"/>
          <w:szCs w:val="24"/>
          <w:lang w:val="en-GB"/>
        </w:rPr>
        <w:t xml:space="preserve">evidence </w:t>
      </w:r>
      <w:r w:rsidRPr="0085730F">
        <w:rPr>
          <w:rFonts w:ascii="Arial" w:cs="Arial"/>
          <w:sz w:val="24"/>
          <w:szCs w:val="24"/>
          <w:lang w:val="en-GB"/>
        </w:rPr>
        <w:t>that PVC induces hepatotoxicity through ROS generation</w:t>
      </w:r>
      <w:r w:rsidR="005C0149">
        <w:rPr>
          <w:rFonts w:ascii="Arial" w:cs="Arial"/>
          <w:sz w:val="24"/>
          <w:szCs w:val="24"/>
          <w:lang w:val="en-GB"/>
        </w:rPr>
        <w:t xml:space="preserve"> </w:t>
      </w:r>
      <w:r w:rsidR="005C0149">
        <w:rPr>
          <w:rFonts w:ascii="Arial" w:cs="Arial"/>
          <w:sz w:val="24"/>
          <w:szCs w:val="24"/>
          <w:lang w:val="en-GB"/>
        </w:rPr>
        <w:t>(</w:t>
      </w:r>
      <w:proofErr w:type="spellStart"/>
      <w:r w:rsidR="005C0149" w:rsidRPr="00DC1812">
        <w:rPr>
          <w:rFonts w:ascii="Arial" w:cs="Arial"/>
          <w:sz w:val="24"/>
          <w:szCs w:val="24"/>
        </w:rPr>
        <w:t>Jawdhari</w:t>
      </w:r>
      <w:proofErr w:type="spellEnd"/>
      <w:r w:rsidR="005C0149">
        <w:rPr>
          <w:rFonts w:ascii="Arial" w:cs="Arial"/>
          <w:sz w:val="24"/>
          <w:szCs w:val="24"/>
        </w:rPr>
        <w:t xml:space="preserve"> et al., 2023)</w:t>
      </w:r>
      <w:r w:rsidR="00941666">
        <w:rPr>
          <w:rFonts w:ascii="Arial" w:cs="Arial"/>
          <w:sz w:val="24"/>
          <w:szCs w:val="24"/>
        </w:rPr>
        <w:t>.</w:t>
      </w:r>
    </w:p>
    <w:p w14:paraId="1CF11EB1" w14:textId="4D3CDFFF" w:rsidR="00681AEA" w:rsidRDefault="00613667" w:rsidP="0064101C">
      <w:pPr>
        <w:spacing w:line="360" w:lineRule="auto"/>
        <w:ind w:firstLine="720"/>
        <w:jc w:val="both"/>
        <w:rPr>
          <w:rFonts w:ascii="Arial" w:cs="Arial"/>
          <w:sz w:val="24"/>
          <w:szCs w:val="24"/>
          <w:lang w:val="en-GB"/>
        </w:rPr>
      </w:pPr>
      <w:r w:rsidRPr="0085730F">
        <w:rPr>
          <w:rFonts w:ascii="Arial" w:cs="Arial"/>
          <w:sz w:val="24"/>
          <w:szCs w:val="24"/>
        </w:rPr>
        <w:lastRenderedPageBreak/>
        <w:t xml:space="preserve">Oxidative stress occurs </w:t>
      </w:r>
      <w:r w:rsidR="00A05071">
        <w:rPr>
          <w:rFonts w:ascii="Arial" w:cs="Arial"/>
          <w:sz w:val="24"/>
          <w:szCs w:val="24"/>
        </w:rPr>
        <w:t>due to</w:t>
      </w:r>
      <w:r w:rsidR="00886E25">
        <w:rPr>
          <w:rFonts w:ascii="Arial" w:cs="Arial"/>
          <w:sz w:val="24"/>
          <w:szCs w:val="24"/>
        </w:rPr>
        <w:t xml:space="preserve"> disequilibrium </w:t>
      </w:r>
      <w:r w:rsidRPr="0085730F">
        <w:rPr>
          <w:rFonts w:ascii="Arial" w:cs="Arial"/>
          <w:sz w:val="24"/>
          <w:szCs w:val="24"/>
        </w:rPr>
        <w:t xml:space="preserve">between </w:t>
      </w:r>
      <w:r w:rsidR="00886E25">
        <w:rPr>
          <w:rFonts w:ascii="Arial" w:cs="Arial"/>
          <w:sz w:val="24"/>
          <w:szCs w:val="24"/>
        </w:rPr>
        <w:t>pro-</w:t>
      </w:r>
      <w:r w:rsidRPr="0085730F">
        <w:rPr>
          <w:rFonts w:ascii="Arial" w:cs="Arial"/>
          <w:sz w:val="24"/>
          <w:szCs w:val="24"/>
        </w:rPr>
        <w:t>oxidants</w:t>
      </w:r>
      <w:r w:rsidR="00AC5368">
        <w:rPr>
          <w:rFonts w:ascii="Arial" w:cs="Arial"/>
          <w:sz w:val="24"/>
          <w:szCs w:val="24"/>
        </w:rPr>
        <w:t xml:space="preserve"> </w:t>
      </w:r>
      <w:r w:rsidR="00AC5368">
        <w:rPr>
          <w:rFonts w:ascii="Arial" w:cs="Arial"/>
          <w:sz w:val="24"/>
          <w:szCs w:val="24"/>
        </w:rPr>
        <w:t>(</w:t>
      </w:r>
      <w:r w:rsidR="00AC5368" w:rsidRPr="0085730F">
        <w:rPr>
          <w:rFonts w:ascii="Arial" w:cs="Arial"/>
          <w:sz w:val="24"/>
          <w:szCs w:val="24"/>
        </w:rPr>
        <w:t>ROS</w:t>
      </w:r>
      <w:r w:rsidR="00AC5368">
        <w:rPr>
          <w:rFonts w:ascii="Arial" w:cs="Arial"/>
          <w:sz w:val="24"/>
          <w:szCs w:val="24"/>
        </w:rPr>
        <w:t xml:space="preserve">), </w:t>
      </w:r>
      <w:r w:rsidR="00AC5368" w:rsidRPr="0085730F">
        <w:rPr>
          <w:rFonts w:ascii="Arial" w:cs="Arial"/>
          <w:sz w:val="24"/>
          <w:szCs w:val="24"/>
        </w:rPr>
        <w:t>reactive nitrogen species (RNS)</w:t>
      </w:r>
      <w:r w:rsidR="00AC5368">
        <w:rPr>
          <w:rFonts w:ascii="Arial" w:cs="Arial"/>
          <w:sz w:val="24"/>
          <w:szCs w:val="24"/>
        </w:rPr>
        <w:t xml:space="preserve"> </w:t>
      </w:r>
      <w:r w:rsidRPr="0085730F">
        <w:rPr>
          <w:rFonts w:ascii="Arial" w:cs="Arial"/>
          <w:sz w:val="24"/>
          <w:szCs w:val="24"/>
        </w:rPr>
        <w:t>and antioxidants</w:t>
      </w:r>
      <w:r w:rsidR="00907BF2">
        <w:rPr>
          <w:rFonts w:ascii="Arial" w:cs="Arial"/>
          <w:sz w:val="24"/>
          <w:szCs w:val="24"/>
        </w:rPr>
        <w:t xml:space="preserve"> defense </w:t>
      </w:r>
      <w:r w:rsidR="00D51308">
        <w:rPr>
          <w:rFonts w:ascii="Arial" w:cs="Arial"/>
          <w:sz w:val="24"/>
          <w:szCs w:val="24"/>
        </w:rPr>
        <w:t>mechanisms</w:t>
      </w:r>
      <w:r w:rsidR="00C7027C">
        <w:rPr>
          <w:rFonts w:ascii="Arial" w:cs="Arial"/>
          <w:sz w:val="24"/>
          <w:szCs w:val="24"/>
        </w:rPr>
        <w:t xml:space="preserve">. </w:t>
      </w:r>
      <w:r w:rsidR="00B0643B">
        <w:rPr>
          <w:rFonts w:ascii="Arial" w:cs="Arial"/>
          <w:sz w:val="24"/>
          <w:szCs w:val="24"/>
        </w:rPr>
        <w:t>T</w:t>
      </w:r>
      <w:r w:rsidR="00886E25">
        <w:rPr>
          <w:rFonts w:ascii="Arial" w:cs="Arial"/>
          <w:sz w:val="24"/>
          <w:szCs w:val="24"/>
        </w:rPr>
        <w:t xml:space="preserve">he release of </w:t>
      </w:r>
      <w:r w:rsidRPr="0085730F">
        <w:rPr>
          <w:rFonts w:ascii="Arial" w:cs="Arial"/>
          <w:sz w:val="24"/>
          <w:szCs w:val="24"/>
        </w:rPr>
        <w:t>free radicals</w:t>
      </w:r>
      <w:r w:rsidR="00B0643B">
        <w:rPr>
          <w:rFonts w:ascii="Arial" w:cs="Arial"/>
          <w:sz w:val="24"/>
          <w:szCs w:val="24"/>
        </w:rPr>
        <w:t xml:space="preserve"> </w:t>
      </w:r>
      <w:r w:rsidR="00D51308" w:rsidRPr="0085730F">
        <w:rPr>
          <w:rFonts w:ascii="Arial" w:cs="Arial"/>
          <w:sz w:val="24"/>
          <w:szCs w:val="24"/>
        </w:rPr>
        <w:t>damage</w:t>
      </w:r>
      <w:r w:rsidR="00D51308">
        <w:rPr>
          <w:rFonts w:ascii="Arial" w:cs="Arial"/>
          <w:sz w:val="24"/>
          <w:szCs w:val="24"/>
        </w:rPr>
        <w:t>s</w:t>
      </w:r>
      <w:r w:rsidR="00886E25">
        <w:rPr>
          <w:rFonts w:ascii="Arial" w:cs="Arial"/>
          <w:sz w:val="24"/>
          <w:szCs w:val="24"/>
        </w:rPr>
        <w:t xml:space="preserve"> subcellular and cellular</w:t>
      </w:r>
      <w:r w:rsidRPr="0085730F">
        <w:rPr>
          <w:rFonts w:ascii="Arial" w:cs="Arial"/>
          <w:sz w:val="24"/>
          <w:szCs w:val="24"/>
        </w:rPr>
        <w:t xml:space="preserve"> biomolecules</w:t>
      </w:r>
      <w:r w:rsidR="00886E25">
        <w:rPr>
          <w:rFonts w:ascii="Arial" w:cs="Arial"/>
          <w:sz w:val="24"/>
          <w:szCs w:val="24"/>
        </w:rPr>
        <w:t xml:space="preserve"> such as </w:t>
      </w:r>
      <w:r w:rsidRPr="0085730F">
        <w:rPr>
          <w:rFonts w:ascii="Arial" w:cs="Arial"/>
          <w:sz w:val="24"/>
          <w:szCs w:val="24"/>
        </w:rPr>
        <w:t>lipids, proteins, and DNA.</w:t>
      </w:r>
      <w:r w:rsidR="00886E25">
        <w:rPr>
          <w:rFonts w:ascii="Arial" w:cs="Arial"/>
          <w:sz w:val="24"/>
          <w:szCs w:val="24"/>
        </w:rPr>
        <w:t xml:space="preserve"> The counter defense system</w:t>
      </w:r>
      <w:r w:rsidR="00891CF4">
        <w:rPr>
          <w:rFonts w:ascii="Arial" w:cs="Arial"/>
          <w:sz w:val="24"/>
          <w:szCs w:val="24"/>
        </w:rPr>
        <w:t>s</w:t>
      </w:r>
      <w:r w:rsidR="00886E25">
        <w:rPr>
          <w:rFonts w:ascii="Arial" w:cs="Arial"/>
          <w:sz w:val="24"/>
          <w:szCs w:val="24"/>
        </w:rPr>
        <w:t xml:space="preserve"> </w:t>
      </w:r>
      <w:r w:rsidRPr="0085730F">
        <w:rPr>
          <w:rFonts w:ascii="Arial" w:cs="Arial"/>
          <w:sz w:val="24"/>
          <w:szCs w:val="24"/>
        </w:rPr>
        <w:t xml:space="preserve">work to mitigate this </w:t>
      </w:r>
      <w:r w:rsidR="00886E25">
        <w:rPr>
          <w:rFonts w:ascii="Arial" w:cs="Arial"/>
          <w:sz w:val="24"/>
          <w:szCs w:val="24"/>
        </w:rPr>
        <w:t>impact</w:t>
      </w:r>
      <w:r w:rsidR="00C7027C">
        <w:rPr>
          <w:rFonts w:ascii="Arial" w:cs="Arial"/>
          <w:sz w:val="24"/>
          <w:szCs w:val="24"/>
        </w:rPr>
        <w:t xml:space="preserve"> through </w:t>
      </w:r>
      <w:r w:rsidRPr="0085730F">
        <w:rPr>
          <w:rFonts w:ascii="Arial" w:cs="Arial"/>
          <w:sz w:val="24"/>
          <w:szCs w:val="24"/>
        </w:rPr>
        <w:t xml:space="preserve">enzymatic antioxidants like superoxide dismutase (SOD), catalase (CAT), and glutathione peroxidase (GPx), as well as non-enzymatic antioxidants like glutathione (GSH) (Carmo </w:t>
      </w:r>
      <w:r w:rsidR="00424167" w:rsidRPr="00424167">
        <w:rPr>
          <w:rFonts w:ascii="Arial" w:cs="Arial"/>
          <w:i/>
          <w:iCs/>
          <w:sz w:val="24"/>
          <w:szCs w:val="24"/>
        </w:rPr>
        <w:t>et al</w:t>
      </w:r>
      <w:r w:rsidRPr="0085730F">
        <w:rPr>
          <w:rFonts w:ascii="Arial" w:cs="Arial"/>
          <w:sz w:val="24"/>
          <w:szCs w:val="24"/>
        </w:rPr>
        <w:t xml:space="preserve">., 2022; Tekin &amp; Seven, 2022; </w:t>
      </w:r>
      <w:proofErr w:type="spellStart"/>
      <w:r w:rsidRPr="0085730F">
        <w:rPr>
          <w:rFonts w:ascii="Arial" w:cs="Arial"/>
          <w:sz w:val="24"/>
          <w:szCs w:val="24"/>
        </w:rPr>
        <w:t>Zarezadeh</w:t>
      </w:r>
      <w:proofErr w:type="spellEnd"/>
      <w:r w:rsidRPr="0085730F">
        <w:rPr>
          <w:rFonts w:ascii="Arial" w:cs="Arial"/>
          <w:sz w:val="24"/>
          <w:szCs w:val="24"/>
        </w:rPr>
        <w:t xml:space="preserve"> </w:t>
      </w:r>
      <w:r w:rsidR="00424167" w:rsidRPr="00424167">
        <w:rPr>
          <w:rFonts w:ascii="Arial" w:cs="Arial"/>
          <w:i/>
          <w:iCs/>
          <w:sz w:val="24"/>
          <w:szCs w:val="24"/>
        </w:rPr>
        <w:t>et al</w:t>
      </w:r>
      <w:r w:rsidRPr="0085730F">
        <w:rPr>
          <w:rFonts w:ascii="Arial" w:cs="Arial"/>
          <w:sz w:val="24"/>
          <w:szCs w:val="24"/>
        </w:rPr>
        <w:t xml:space="preserve">., 2022). </w:t>
      </w:r>
      <w:r w:rsidRPr="0085730F">
        <w:rPr>
          <w:rFonts w:ascii="Arial" w:cs="Arial"/>
          <w:sz w:val="24"/>
          <w:szCs w:val="24"/>
          <w:lang w:val="en-GB"/>
        </w:rPr>
        <w:t xml:space="preserve">Initially, these enzymes are upregulated, but chronic exposure </w:t>
      </w:r>
      <w:r w:rsidR="007B3CB6">
        <w:rPr>
          <w:rFonts w:ascii="Arial" w:cs="Arial"/>
          <w:sz w:val="24"/>
          <w:szCs w:val="24"/>
          <w:lang w:val="en-GB"/>
        </w:rPr>
        <w:t>results in</w:t>
      </w:r>
      <w:r w:rsidRPr="0085730F">
        <w:rPr>
          <w:rFonts w:ascii="Arial" w:cs="Arial"/>
          <w:sz w:val="24"/>
          <w:szCs w:val="24"/>
          <w:lang w:val="en-GB"/>
        </w:rPr>
        <w:t xml:space="preserve"> their depletion.  </w:t>
      </w:r>
      <w:r w:rsidR="000E1CDE">
        <w:rPr>
          <w:rFonts w:ascii="Arial" w:cs="Arial"/>
          <w:sz w:val="24"/>
          <w:szCs w:val="24"/>
          <w:lang w:val="en-GB"/>
        </w:rPr>
        <w:t xml:space="preserve">From </w:t>
      </w:r>
      <w:r w:rsidRPr="0085730F">
        <w:rPr>
          <w:rFonts w:ascii="Arial" w:cs="Arial"/>
          <w:sz w:val="24"/>
          <w:szCs w:val="24"/>
          <w:lang w:val="en-GB"/>
        </w:rPr>
        <w:t xml:space="preserve">our study, </w:t>
      </w:r>
      <w:r w:rsidR="00D75645">
        <w:rPr>
          <w:rFonts w:ascii="Arial" w:cs="Arial"/>
          <w:sz w:val="24"/>
          <w:szCs w:val="24"/>
          <w:lang w:val="en-GB"/>
        </w:rPr>
        <w:t xml:space="preserve">the </w:t>
      </w:r>
      <w:r w:rsidRPr="0085730F">
        <w:rPr>
          <w:rFonts w:ascii="Arial" w:cs="Arial"/>
          <w:sz w:val="24"/>
          <w:szCs w:val="24"/>
          <w:lang w:val="en-GB"/>
        </w:rPr>
        <w:t>levels of GSH, GPx, SOD, and CAT were significantly decreased</w:t>
      </w:r>
      <w:r w:rsidR="00D75645">
        <w:rPr>
          <w:rFonts w:ascii="Arial" w:cs="Arial"/>
          <w:sz w:val="24"/>
          <w:szCs w:val="24"/>
          <w:lang w:val="en-GB"/>
        </w:rPr>
        <w:t xml:space="preserve"> (p&lt;.05) in the treated groups </w:t>
      </w:r>
      <w:r w:rsidR="00F84D9A">
        <w:rPr>
          <w:rFonts w:ascii="Arial" w:cs="Arial"/>
          <w:sz w:val="24"/>
          <w:szCs w:val="24"/>
          <w:lang w:val="en-GB"/>
        </w:rPr>
        <w:t>0.2 and 0.3mg/kg</w:t>
      </w:r>
      <w:r w:rsidRPr="0085730F">
        <w:rPr>
          <w:rFonts w:ascii="Arial" w:cs="Arial"/>
          <w:sz w:val="24"/>
          <w:szCs w:val="24"/>
          <w:lang w:val="en-GB"/>
        </w:rPr>
        <w:t xml:space="preserve">, especially in the 0.3 mg/kg group, </w:t>
      </w:r>
      <w:r w:rsidR="00BA31BB">
        <w:rPr>
          <w:rFonts w:ascii="Arial" w:cs="Arial"/>
          <w:sz w:val="24"/>
          <w:szCs w:val="24"/>
          <w:lang w:val="en-GB"/>
        </w:rPr>
        <w:t xml:space="preserve">this </w:t>
      </w:r>
      <w:r w:rsidRPr="0085730F">
        <w:rPr>
          <w:rFonts w:ascii="Arial" w:cs="Arial"/>
          <w:sz w:val="24"/>
          <w:szCs w:val="24"/>
          <w:lang w:val="en-GB"/>
        </w:rPr>
        <w:t>suggest</w:t>
      </w:r>
      <w:r w:rsidR="00BA31BB">
        <w:rPr>
          <w:rFonts w:ascii="Arial" w:cs="Arial"/>
          <w:sz w:val="24"/>
          <w:szCs w:val="24"/>
          <w:lang w:val="en-GB"/>
        </w:rPr>
        <w:t>s a</w:t>
      </w:r>
      <w:r w:rsidRPr="0085730F">
        <w:rPr>
          <w:rFonts w:ascii="Arial" w:cs="Arial"/>
          <w:sz w:val="24"/>
          <w:szCs w:val="24"/>
          <w:lang w:val="en-GB"/>
        </w:rPr>
        <w:t xml:space="preserve"> compromise</w:t>
      </w:r>
      <w:r w:rsidR="00BA31BB">
        <w:rPr>
          <w:rFonts w:ascii="Arial" w:cs="Arial"/>
          <w:sz w:val="24"/>
          <w:szCs w:val="24"/>
          <w:lang w:val="en-GB"/>
        </w:rPr>
        <w:t xml:space="preserve"> in </w:t>
      </w:r>
      <w:r w:rsidR="00D10B7D">
        <w:rPr>
          <w:rFonts w:ascii="Arial" w:cs="Arial"/>
          <w:sz w:val="24"/>
          <w:szCs w:val="24"/>
          <w:lang w:val="en-GB"/>
        </w:rPr>
        <w:t xml:space="preserve">the </w:t>
      </w:r>
      <w:r w:rsidR="00D10B7D" w:rsidRPr="0085730F">
        <w:rPr>
          <w:rFonts w:ascii="Arial" w:cs="Arial"/>
          <w:sz w:val="24"/>
          <w:szCs w:val="24"/>
          <w:lang w:val="en-GB"/>
        </w:rPr>
        <w:t>antioxidant</w:t>
      </w:r>
      <w:r w:rsidRPr="0085730F">
        <w:rPr>
          <w:rFonts w:ascii="Arial" w:cs="Arial"/>
          <w:sz w:val="24"/>
          <w:szCs w:val="24"/>
          <w:lang w:val="en-GB"/>
        </w:rPr>
        <w:t xml:space="preserve"> defences and increase vulnerability to oxidative damage</w:t>
      </w:r>
    </w:p>
    <w:p w14:paraId="00ADEF40" w14:textId="77777777" w:rsidR="002F483E" w:rsidRDefault="00482AE3" w:rsidP="00C875FF">
      <w:pPr>
        <w:spacing w:line="360" w:lineRule="auto"/>
        <w:ind w:firstLine="720"/>
        <w:jc w:val="both"/>
        <w:rPr>
          <w:rFonts w:ascii="Arial" w:cs="Arial"/>
          <w:sz w:val="24"/>
          <w:szCs w:val="24"/>
          <w:lang w:val="en-GB"/>
        </w:rPr>
      </w:pPr>
      <w:r w:rsidRPr="0085730F">
        <w:rPr>
          <w:rFonts w:ascii="Arial" w:cs="Arial"/>
          <w:sz w:val="24"/>
          <w:szCs w:val="24"/>
          <w:lang w:val="en-GB"/>
        </w:rPr>
        <w:t xml:space="preserve">Histological sections of liver tissue revealed parenchymal distortion characterized by vascular stasis, nuclear enlargement, and disruption of hepatocyte radial symmetry. Hepatocytes appeared irregular in shape, </w:t>
      </w:r>
      <w:r w:rsidR="007F3265">
        <w:rPr>
          <w:rFonts w:ascii="Arial" w:cs="Arial"/>
          <w:sz w:val="24"/>
          <w:szCs w:val="24"/>
          <w:lang w:val="en-GB"/>
        </w:rPr>
        <w:t xml:space="preserve">with congestion of the </w:t>
      </w:r>
      <w:r w:rsidRPr="0085730F">
        <w:rPr>
          <w:rFonts w:ascii="Arial" w:cs="Arial"/>
          <w:sz w:val="24"/>
          <w:szCs w:val="24"/>
          <w:lang w:val="en-GB"/>
        </w:rPr>
        <w:t>central vein,</w:t>
      </w:r>
      <w:r w:rsidR="007F3265">
        <w:rPr>
          <w:rFonts w:ascii="Arial" w:cs="Arial"/>
          <w:sz w:val="24"/>
          <w:szCs w:val="24"/>
          <w:lang w:val="en-GB"/>
        </w:rPr>
        <w:t xml:space="preserve"> there was also </w:t>
      </w:r>
      <w:r w:rsidRPr="0085730F">
        <w:rPr>
          <w:rFonts w:ascii="Arial" w:cs="Arial"/>
          <w:sz w:val="24"/>
          <w:szCs w:val="24"/>
          <w:lang w:val="en-GB"/>
        </w:rPr>
        <w:t>dilat</w:t>
      </w:r>
      <w:r w:rsidR="007F3265">
        <w:rPr>
          <w:rFonts w:ascii="Arial" w:cs="Arial"/>
          <w:sz w:val="24"/>
          <w:szCs w:val="24"/>
          <w:lang w:val="en-GB"/>
        </w:rPr>
        <w:t xml:space="preserve">ion and </w:t>
      </w:r>
      <w:r w:rsidRPr="0085730F">
        <w:rPr>
          <w:rFonts w:ascii="Arial" w:cs="Arial"/>
          <w:sz w:val="24"/>
          <w:szCs w:val="24"/>
          <w:lang w:val="en-GB"/>
        </w:rPr>
        <w:t xml:space="preserve">infiltrated </w:t>
      </w:r>
      <w:r w:rsidR="007F3265">
        <w:rPr>
          <w:rFonts w:ascii="Arial" w:cs="Arial"/>
          <w:sz w:val="24"/>
          <w:szCs w:val="24"/>
          <w:lang w:val="en-GB"/>
        </w:rPr>
        <w:t xml:space="preserve">by </w:t>
      </w:r>
      <w:r w:rsidRPr="0085730F">
        <w:rPr>
          <w:rFonts w:ascii="Arial" w:cs="Arial"/>
          <w:sz w:val="24"/>
          <w:szCs w:val="24"/>
          <w:lang w:val="en-GB"/>
        </w:rPr>
        <w:t>inflammatory cells and erythrocytes. These changes occurred in a dose-dependent manner in groups treated with 0.2 mg/kg and 0.3 mg/kg PVC, as compared to controls findings consistent with previous studies.</w:t>
      </w:r>
    </w:p>
    <w:p w14:paraId="65E7D8F9" w14:textId="77777777" w:rsidR="00C72617" w:rsidRDefault="000A2F82" w:rsidP="00C875FF">
      <w:pPr>
        <w:spacing w:line="360" w:lineRule="auto"/>
        <w:ind w:firstLine="720"/>
        <w:jc w:val="both"/>
        <w:rPr>
          <w:rFonts w:ascii="Arial" w:cs="Arial"/>
          <w:sz w:val="24"/>
          <w:szCs w:val="24"/>
          <w:lang w:val="en-GB"/>
        </w:rPr>
      </w:pPr>
      <w:r>
        <w:rPr>
          <w:rFonts w:ascii="Arial" w:cs="Arial"/>
          <w:sz w:val="24"/>
          <w:szCs w:val="24"/>
          <w:lang w:val="en-GB"/>
        </w:rPr>
        <w:t>Taking together, t</w:t>
      </w:r>
      <w:r w:rsidR="00482AE3" w:rsidRPr="0085730F">
        <w:rPr>
          <w:rFonts w:ascii="Arial" w:cs="Arial"/>
          <w:sz w:val="24"/>
          <w:szCs w:val="24"/>
          <w:lang w:val="en-GB"/>
        </w:rPr>
        <w:t>h</w:t>
      </w:r>
      <w:r w:rsidR="00FA13B3">
        <w:rPr>
          <w:rFonts w:ascii="Arial" w:cs="Arial"/>
          <w:sz w:val="24"/>
          <w:szCs w:val="24"/>
          <w:lang w:val="en-GB"/>
        </w:rPr>
        <w:t>e</w:t>
      </w:r>
      <w:r w:rsidR="00482AE3" w:rsidRPr="0085730F">
        <w:rPr>
          <w:rFonts w:ascii="Arial" w:cs="Arial"/>
          <w:sz w:val="24"/>
          <w:szCs w:val="24"/>
          <w:lang w:val="en-GB"/>
        </w:rPr>
        <w:t xml:space="preserve"> </w:t>
      </w:r>
      <w:r w:rsidR="00FA13B3">
        <w:rPr>
          <w:rFonts w:ascii="Arial" w:cs="Arial"/>
          <w:sz w:val="24"/>
          <w:szCs w:val="24"/>
          <w:lang w:val="en-GB"/>
        </w:rPr>
        <w:t xml:space="preserve">biochemical and histopathological </w:t>
      </w:r>
      <w:r w:rsidR="00755DD3">
        <w:rPr>
          <w:rFonts w:ascii="Arial" w:cs="Arial"/>
          <w:sz w:val="24"/>
          <w:szCs w:val="24"/>
          <w:lang w:val="en-GB"/>
        </w:rPr>
        <w:t xml:space="preserve">finding </w:t>
      </w:r>
      <w:r w:rsidR="00723EBB">
        <w:rPr>
          <w:rFonts w:ascii="Arial" w:cs="Arial"/>
          <w:sz w:val="24"/>
          <w:szCs w:val="24"/>
          <w:lang w:val="en-GB"/>
        </w:rPr>
        <w:t>from this study</w:t>
      </w:r>
      <w:r w:rsidR="00FA13B3">
        <w:rPr>
          <w:rFonts w:ascii="Arial" w:cs="Arial"/>
          <w:sz w:val="24"/>
          <w:szCs w:val="24"/>
          <w:lang w:val="en-GB"/>
        </w:rPr>
        <w:t>,</w:t>
      </w:r>
      <w:r w:rsidR="00723EBB">
        <w:rPr>
          <w:rFonts w:ascii="Arial" w:cs="Arial"/>
          <w:sz w:val="24"/>
          <w:szCs w:val="24"/>
          <w:lang w:val="en-GB"/>
        </w:rPr>
        <w:t xml:space="preserve"> it </w:t>
      </w:r>
      <w:r w:rsidR="00755DD3">
        <w:rPr>
          <w:rFonts w:ascii="Arial" w:cs="Arial"/>
          <w:sz w:val="24"/>
          <w:szCs w:val="24"/>
          <w:lang w:val="en-GB"/>
        </w:rPr>
        <w:t xml:space="preserve">affirms the position </w:t>
      </w:r>
      <w:r w:rsidR="00723EBB">
        <w:rPr>
          <w:rFonts w:ascii="Arial" w:cs="Arial"/>
          <w:sz w:val="24"/>
          <w:szCs w:val="24"/>
          <w:lang w:val="en-GB"/>
        </w:rPr>
        <w:t xml:space="preserve">that PVC at low dose and sub-chronic exposure, induces dose dependent hepatocellular </w:t>
      </w:r>
      <w:r w:rsidR="00755DD3">
        <w:rPr>
          <w:rFonts w:ascii="Arial" w:cs="Arial"/>
          <w:sz w:val="24"/>
          <w:szCs w:val="24"/>
          <w:lang w:val="en-GB"/>
        </w:rPr>
        <w:t>injury with disturbance in metabolic</w:t>
      </w:r>
      <w:r w:rsidR="00482AE3" w:rsidRPr="0085730F">
        <w:rPr>
          <w:rFonts w:ascii="Arial" w:cs="Arial"/>
          <w:sz w:val="24"/>
          <w:szCs w:val="24"/>
          <w:lang w:val="en-GB"/>
        </w:rPr>
        <w:t>, synthetic, biochemical, and enzymatic functions.</w:t>
      </w:r>
      <w:r w:rsidR="00C230E9">
        <w:rPr>
          <w:rFonts w:ascii="Arial" w:cs="Arial"/>
          <w:sz w:val="24"/>
          <w:szCs w:val="24"/>
          <w:lang w:val="en-GB"/>
        </w:rPr>
        <w:t xml:space="preserve"> </w:t>
      </w:r>
    </w:p>
    <w:p w14:paraId="5D1F1B48" w14:textId="36FB14E2" w:rsidR="00C72617" w:rsidRPr="0085730F" w:rsidRDefault="00C72617" w:rsidP="00C72617">
      <w:pPr>
        <w:pStyle w:val="ConcHead"/>
        <w:spacing w:after="0"/>
        <w:jc w:val="both"/>
        <w:rPr>
          <w:rFonts w:ascii="Arial" w:hAnsi="Arial" w:cs="Arial"/>
        </w:rPr>
      </w:pPr>
      <w:r>
        <w:rPr>
          <w:rFonts w:ascii="Arial" w:hAnsi="Arial" w:cs="Arial"/>
        </w:rPr>
        <w:t>4.1. Limitation of study</w:t>
      </w:r>
    </w:p>
    <w:p w14:paraId="6FC73601" w14:textId="77777777" w:rsidR="00C72617" w:rsidRPr="0085730F" w:rsidRDefault="00C72617" w:rsidP="00C72617">
      <w:pPr>
        <w:spacing w:line="360" w:lineRule="auto"/>
        <w:ind w:firstLine="720"/>
        <w:jc w:val="both"/>
        <w:rPr>
          <w:rFonts w:ascii="Arial" w:cs="Arial"/>
          <w:sz w:val="24"/>
          <w:szCs w:val="24"/>
          <w:lang w:val="en-GB"/>
        </w:rPr>
      </w:pPr>
      <w:r>
        <w:rPr>
          <w:rFonts w:ascii="Arial" w:cs="Arial"/>
          <w:sz w:val="24"/>
          <w:szCs w:val="24"/>
          <w:lang w:val="en-GB"/>
        </w:rPr>
        <w:t xml:space="preserve">While this study provides important data on the toxic impact of PVC on the liver, the methodology was limited </w:t>
      </w:r>
      <w:proofErr w:type="gramStart"/>
      <w:r>
        <w:rPr>
          <w:rFonts w:ascii="Arial" w:cs="Arial"/>
          <w:sz w:val="24"/>
          <w:szCs w:val="24"/>
          <w:lang w:val="en-GB"/>
        </w:rPr>
        <w:t>by the use of</w:t>
      </w:r>
      <w:proofErr w:type="gramEnd"/>
      <w:r>
        <w:rPr>
          <w:rFonts w:ascii="Arial" w:cs="Arial"/>
          <w:sz w:val="24"/>
          <w:szCs w:val="24"/>
          <w:lang w:val="en-GB"/>
        </w:rPr>
        <w:t xml:space="preserve"> male wistar rats, which does not take into consideration gender specific impact of reproductive hormones on metabolic outcome. Although biochemical assay was done, molecular analysis, such as gene profiling, inflammatory markers to determine the subcellular mechanism behind the cell death was not done which could give more insight on the mechanistic pathway of the induced toxicity. Additionally, other modulatory environmental and physiological variables like gut microbiota, diet et were not considered.</w:t>
      </w:r>
    </w:p>
    <w:p w14:paraId="6933313C" w14:textId="595CF186" w:rsidR="00681AEA" w:rsidRPr="0085730F" w:rsidRDefault="00613667">
      <w:pPr>
        <w:pStyle w:val="ConcHead"/>
        <w:spacing w:after="0"/>
        <w:jc w:val="both"/>
        <w:rPr>
          <w:rFonts w:ascii="Arial" w:hAnsi="Arial" w:cs="Arial"/>
        </w:rPr>
      </w:pPr>
      <w:r w:rsidRPr="0085730F">
        <w:rPr>
          <w:rFonts w:ascii="Arial" w:hAnsi="Arial" w:cs="Arial"/>
        </w:rPr>
        <w:lastRenderedPageBreak/>
        <w:t>4.</w:t>
      </w:r>
      <w:r w:rsidR="00C72617">
        <w:rPr>
          <w:rFonts w:ascii="Arial" w:hAnsi="Arial" w:cs="Arial"/>
        </w:rPr>
        <w:t>2</w:t>
      </w:r>
      <w:r w:rsidRPr="0085730F">
        <w:rPr>
          <w:rFonts w:ascii="Arial" w:hAnsi="Arial" w:cs="Arial"/>
        </w:rPr>
        <w:t xml:space="preserve"> Conclusion</w:t>
      </w:r>
    </w:p>
    <w:p w14:paraId="23FDCBA6" w14:textId="7D0E14A9" w:rsidR="00681AEA" w:rsidRPr="0085730F" w:rsidRDefault="006741D8" w:rsidP="0064101C">
      <w:pPr>
        <w:spacing w:line="360" w:lineRule="auto"/>
        <w:ind w:firstLine="720"/>
        <w:jc w:val="both"/>
        <w:rPr>
          <w:rFonts w:ascii="Arial" w:cs="Arial"/>
          <w:sz w:val="24"/>
          <w:szCs w:val="24"/>
          <w:lang w:val="en-GB"/>
        </w:rPr>
      </w:pPr>
      <w:r>
        <w:rPr>
          <w:rFonts w:ascii="Arial" w:cs="Arial"/>
          <w:sz w:val="24"/>
          <w:szCs w:val="24"/>
          <w:lang w:val="en-GB"/>
        </w:rPr>
        <w:t xml:space="preserve">This study established that sub-chronic oral administration of low dose </w:t>
      </w:r>
      <w:r w:rsidR="00BA382C">
        <w:rPr>
          <w:rFonts w:ascii="Arial" w:cs="Arial"/>
          <w:sz w:val="24"/>
          <w:szCs w:val="24"/>
          <w:lang w:val="en-GB"/>
        </w:rPr>
        <w:t>PVC to</w:t>
      </w:r>
      <w:r>
        <w:rPr>
          <w:rFonts w:ascii="Arial" w:cs="Arial"/>
          <w:sz w:val="24"/>
          <w:szCs w:val="24"/>
          <w:lang w:val="en-GB"/>
        </w:rPr>
        <w:t xml:space="preserve"> </w:t>
      </w:r>
      <w:r w:rsidR="00997D3C">
        <w:rPr>
          <w:rFonts w:ascii="Arial" w:cs="Arial"/>
          <w:sz w:val="24"/>
          <w:szCs w:val="24"/>
          <w:lang w:val="en-GB"/>
        </w:rPr>
        <w:t>male w</w:t>
      </w:r>
      <w:r w:rsidR="00613667" w:rsidRPr="0085730F">
        <w:rPr>
          <w:rFonts w:ascii="Arial" w:cs="Arial"/>
          <w:sz w:val="24"/>
          <w:szCs w:val="24"/>
          <w:lang w:val="en-GB"/>
        </w:rPr>
        <w:t>istar rats</w:t>
      </w:r>
      <w:r>
        <w:rPr>
          <w:rFonts w:ascii="Arial" w:cs="Arial"/>
          <w:sz w:val="24"/>
          <w:szCs w:val="24"/>
          <w:lang w:val="en-GB"/>
        </w:rPr>
        <w:t>, r</w:t>
      </w:r>
      <w:r w:rsidR="00613667" w:rsidRPr="0085730F">
        <w:rPr>
          <w:rFonts w:ascii="Arial" w:cs="Arial"/>
          <w:sz w:val="24"/>
          <w:szCs w:val="24"/>
          <w:lang w:val="en-GB"/>
        </w:rPr>
        <w:t>esult</w:t>
      </w:r>
      <w:r>
        <w:rPr>
          <w:rFonts w:ascii="Arial" w:cs="Arial"/>
          <w:sz w:val="24"/>
          <w:szCs w:val="24"/>
          <w:lang w:val="en-GB"/>
        </w:rPr>
        <w:t xml:space="preserve">ed in </w:t>
      </w:r>
      <w:r w:rsidR="00613667" w:rsidRPr="0085730F">
        <w:rPr>
          <w:rFonts w:ascii="Arial" w:cs="Arial"/>
          <w:sz w:val="24"/>
          <w:szCs w:val="24"/>
          <w:lang w:val="en-GB"/>
        </w:rPr>
        <w:t xml:space="preserve">dose-dependent </w:t>
      </w:r>
      <w:r>
        <w:rPr>
          <w:rFonts w:ascii="Arial" w:cs="Arial"/>
          <w:sz w:val="24"/>
          <w:szCs w:val="24"/>
          <w:lang w:val="en-GB"/>
        </w:rPr>
        <w:t xml:space="preserve">hepatic </w:t>
      </w:r>
      <w:r w:rsidR="00613667" w:rsidRPr="0085730F">
        <w:rPr>
          <w:rFonts w:ascii="Arial" w:cs="Arial"/>
          <w:sz w:val="24"/>
          <w:szCs w:val="24"/>
          <w:lang w:val="en-GB"/>
        </w:rPr>
        <w:t xml:space="preserve">tissue injury </w:t>
      </w:r>
      <w:r>
        <w:rPr>
          <w:rFonts w:ascii="Arial" w:cs="Arial"/>
          <w:sz w:val="24"/>
          <w:szCs w:val="24"/>
          <w:lang w:val="en-GB"/>
        </w:rPr>
        <w:t xml:space="preserve">with distortion of physiological and anatomical </w:t>
      </w:r>
      <w:r w:rsidR="00BA382C">
        <w:rPr>
          <w:rFonts w:ascii="Arial" w:cs="Arial"/>
          <w:sz w:val="24"/>
          <w:szCs w:val="24"/>
          <w:lang w:val="en-GB"/>
        </w:rPr>
        <w:t>structure through</w:t>
      </w:r>
      <w:r>
        <w:rPr>
          <w:rFonts w:ascii="Arial" w:cs="Arial"/>
          <w:sz w:val="24"/>
          <w:szCs w:val="24"/>
          <w:lang w:val="en-GB"/>
        </w:rPr>
        <w:t xml:space="preserve"> oxidative stress</w:t>
      </w:r>
      <w:r w:rsidR="00613667" w:rsidRPr="0085730F">
        <w:rPr>
          <w:rFonts w:ascii="Arial" w:cs="Arial"/>
          <w:sz w:val="24"/>
          <w:szCs w:val="24"/>
          <w:lang w:val="en-GB"/>
        </w:rPr>
        <w:t xml:space="preserve"> and inflammation. </w:t>
      </w:r>
      <w:r w:rsidR="00BA382C">
        <w:rPr>
          <w:rFonts w:ascii="Arial" w:cs="Arial"/>
          <w:sz w:val="24"/>
          <w:szCs w:val="24"/>
          <w:lang w:val="en-GB"/>
        </w:rPr>
        <w:t xml:space="preserve">This finding </w:t>
      </w:r>
      <w:r w:rsidR="00613667" w:rsidRPr="0085730F">
        <w:rPr>
          <w:rFonts w:ascii="Arial" w:cs="Arial"/>
          <w:sz w:val="24"/>
          <w:szCs w:val="24"/>
          <w:lang w:val="en-GB"/>
        </w:rPr>
        <w:t xml:space="preserve">highlights </w:t>
      </w:r>
      <w:r w:rsidR="00BA382C">
        <w:rPr>
          <w:rFonts w:ascii="Arial" w:cs="Arial"/>
          <w:sz w:val="24"/>
          <w:szCs w:val="24"/>
          <w:lang w:val="en-GB"/>
        </w:rPr>
        <w:t xml:space="preserve">the attendant </w:t>
      </w:r>
      <w:r w:rsidR="00613667" w:rsidRPr="0085730F">
        <w:rPr>
          <w:rFonts w:ascii="Arial" w:cs="Arial"/>
          <w:sz w:val="24"/>
          <w:szCs w:val="24"/>
          <w:lang w:val="en-GB"/>
        </w:rPr>
        <w:t xml:space="preserve">health </w:t>
      </w:r>
      <w:r w:rsidR="00BA382C">
        <w:rPr>
          <w:rFonts w:ascii="Arial" w:cs="Arial"/>
          <w:sz w:val="24"/>
          <w:szCs w:val="24"/>
          <w:lang w:val="en-GB"/>
        </w:rPr>
        <w:t xml:space="preserve">and environment </w:t>
      </w:r>
      <w:r w:rsidR="00613667" w:rsidRPr="0085730F">
        <w:rPr>
          <w:rFonts w:ascii="Arial" w:cs="Arial"/>
          <w:sz w:val="24"/>
          <w:szCs w:val="24"/>
          <w:lang w:val="en-GB"/>
        </w:rPr>
        <w:t xml:space="preserve">risks </w:t>
      </w:r>
      <w:r w:rsidR="00BA382C">
        <w:rPr>
          <w:rFonts w:ascii="Arial" w:cs="Arial"/>
          <w:sz w:val="24"/>
          <w:szCs w:val="24"/>
          <w:lang w:val="en-GB"/>
        </w:rPr>
        <w:t xml:space="preserve">of PVC exposure and the need </w:t>
      </w:r>
      <w:r w:rsidR="00613667" w:rsidRPr="0085730F">
        <w:rPr>
          <w:rFonts w:ascii="Arial" w:cs="Arial"/>
          <w:sz w:val="24"/>
          <w:szCs w:val="24"/>
          <w:lang w:val="en-GB"/>
        </w:rPr>
        <w:t xml:space="preserve">for </w:t>
      </w:r>
      <w:r w:rsidR="003F74D2">
        <w:rPr>
          <w:rFonts w:ascii="Arial" w:cs="Arial"/>
          <w:sz w:val="24"/>
          <w:szCs w:val="24"/>
          <w:lang w:val="en-GB"/>
        </w:rPr>
        <w:t xml:space="preserve">stronger regulatory control from </w:t>
      </w:r>
      <w:r w:rsidR="00BA382C">
        <w:rPr>
          <w:rFonts w:ascii="Arial" w:cs="Arial"/>
          <w:sz w:val="24"/>
          <w:szCs w:val="24"/>
          <w:lang w:val="en-GB"/>
        </w:rPr>
        <w:t>policy maker</w:t>
      </w:r>
      <w:r w:rsidR="003F74D2">
        <w:rPr>
          <w:rFonts w:ascii="Arial" w:cs="Arial"/>
          <w:sz w:val="24"/>
          <w:szCs w:val="24"/>
          <w:lang w:val="en-GB"/>
        </w:rPr>
        <w:t xml:space="preserve"> to</w:t>
      </w:r>
      <w:r w:rsidR="00BA382C">
        <w:rPr>
          <w:rFonts w:ascii="Arial" w:cs="Arial"/>
          <w:sz w:val="24"/>
          <w:szCs w:val="24"/>
          <w:lang w:val="en-GB"/>
        </w:rPr>
        <w:t xml:space="preserve"> </w:t>
      </w:r>
      <w:r w:rsidR="00147A0C">
        <w:rPr>
          <w:rFonts w:ascii="Arial" w:cs="Arial"/>
          <w:sz w:val="24"/>
          <w:szCs w:val="24"/>
          <w:lang w:val="en-GB"/>
        </w:rPr>
        <w:t xml:space="preserve">help limit </w:t>
      </w:r>
      <w:r w:rsidR="00613667" w:rsidRPr="0085730F">
        <w:rPr>
          <w:rFonts w:ascii="Arial" w:cs="Arial"/>
          <w:sz w:val="24"/>
          <w:szCs w:val="24"/>
          <w:lang w:val="en-GB"/>
        </w:rPr>
        <w:t>plastic exposure</w:t>
      </w:r>
      <w:r w:rsidR="00147A0C">
        <w:rPr>
          <w:rFonts w:ascii="Arial" w:cs="Arial"/>
          <w:sz w:val="24"/>
          <w:szCs w:val="24"/>
          <w:lang w:val="en-GB"/>
        </w:rPr>
        <w:t xml:space="preserve"> especially </w:t>
      </w:r>
      <w:r w:rsidR="00613667" w:rsidRPr="0085730F">
        <w:rPr>
          <w:rFonts w:ascii="Arial" w:cs="Arial"/>
          <w:sz w:val="24"/>
          <w:szCs w:val="24"/>
          <w:lang w:val="en-GB"/>
        </w:rPr>
        <w:t>in occupational and industrial environments</w:t>
      </w:r>
    </w:p>
    <w:p w14:paraId="1852C014" w14:textId="77777777" w:rsidR="00681AEA" w:rsidRPr="0085730F" w:rsidRDefault="00681AEA">
      <w:pPr>
        <w:pStyle w:val="ReferHead"/>
        <w:spacing w:after="0"/>
        <w:jc w:val="both"/>
        <w:rPr>
          <w:rFonts w:ascii="Arial" w:hAnsi="Arial" w:cs="Arial"/>
          <w:b w:val="0"/>
          <w:caps w:val="0"/>
          <w:sz w:val="20"/>
        </w:rPr>
      </w:pPr>
    </w:p>
    <w:p w14:paraId="399F7B35" w14:textId="2A52CC21" w:rsidR="00681AEA" w:rsidRPr="0085730F" w:rsidRDefault="00613667">
      <w:pPr>
        <w:pStyle w:val="ReferHead"/>
        <w:spacing w:after="0"/>
        <w:jc w:val="both"/>
        <w:rPr>
          <w:rFonts w:ascii="Arial" w:hAnsi="Arial" w:cs="Arial"/>
          <w:bCs/>
          <w:sz w:val="20"/>
        </w:rPr>
      </w:pPr>
      <w:r w:rsidRPr="0085730F">
        <w:rPr>
          <w:rFonts w:ascii="Arial" w:hAnsi="Arial" w:cs="Arial"/>
          <w:bCs/>
          <w:sz w:val="20"/>
        </w:rPr>
        <w:t>Consent (</w:t>
      </w:r>
      <w:r w:rsidR="009E3E5C" w:rsidRPr="0085730F">
        <w:rPr>
          <w:rFonts w:ascii="Arial" w:hAnsi="Arial" w:cs="Arial"/>
          <w:bCs/>
          <w:sz w:val="20"/>
        </w:rPr>
        <w:t>WHEREVER</w:t>
      </w:r>
      <w:r w:rsidRPr="0085730F">
        <w:rPr>
          <w:rFonts w:ascii="Arial" w:hAnsi="Arial" w:cs="Arial"/>
          <w:bCs/>
          <w:sz w:val="20"/>
        </w:rPr>
        <w:t xml:space="preserve"> applicable)</w:t>
      </w:r>
    </w:p>
    <w:p w14:paraId="36468615" w14:textId="77777777" w:rsidR="00681AEA" w:rsidRPr="0085730F" w:rsidRDefault="00613667">
      <w:pPr>
        <w:pStyle w:val="ReferHead"/>
        <w:spacing w:after="0"/>
        <w:jc w:val="both"/>
        <w:rPr>
          <w:rFonts w:ascii="Arial" w:hAnsi="Arial" w:cs="Arial"/>
          <w:b w:val="0"/>
          <w:caps w:val="0"/>
          <w:sz w:val="20"/>
          <w:lang w:val="en-GB"/>
        </w:rPr>
      </w:pPr>
      <w:r w:rsidRPr="0085730F">
        <w:rPr>
          <w:rFonts w:ascii="Arial" w:hAnsi="Arial" w:cs="Arial"/>
          <w:b w:val="0"/>
          <w:caps w:val="0"/>
          <w:sz w:val="20"/>
        </w:rPr>
        <w:t>No</w:t>
      </w:r>
      <w:r w:rsidRPr="0085730F">
        <w:rPr>
          <w:rFonts w:ascii="Arial" w:hAnsi="Arial" w:cs="Arial"/>
          <w:b w:val="0"/>
          <w:caps w:val="0"/>
          <w:sz w:val="20"/>
          <w:lang w:val="en-GB"/>
        </w:rPr>
        <w:t>t applicable</w:t>
      </w:r>
    </w:p>
    <w:p w14:paraId="6CFA3E58" w14:textId="46C40A42" w:rsidR="006505F1" w:rsidRDefault="006505F1">
      <w:pPr>
        <w:rPr>
          <w:rFonts w:ascii="Arial" w:hAnsi="Arial" w:cs="Arial"/>
          <w:b/>
          <w:bCs/>
          <w:sz w:val="24"/>
          <w:szCs w:val="24"/>
        </w:rPr>
      </w:pPr>
    </w:p>
    <w:p w14:paraId="653047F4" w14:textId="77777777" w:rsidR="006505F1" w:rsidRPr="00A27F67" w:rsidRDefault="006505F1" w:rsidP="006505F1">
      <w:r w:rsidRPr="00A27F67">
        <w:t>Disclaimer (Artificial intelligence)</w:t>
      </w:r>
    </w:p>
    <w:p w14:paraId="0845460B" w14:textId="77777777" w:rsidR="006505F1" w:rsidRPr="00394842" w:rsidRDefault="006505F1" w:rsidP="006505F1">
      <w:pPr>
        <w:rPr>
          <w:highlight w:val="yellow"/>
        </w:rPr>
      </w:pPr>
    </w:p>
    <w:p w14:paraId="42919BD0" w14:textId="1580FD33" w:rsidR="006505F1" w:rsidRPr="00A27F67" w:rsidRDefault="006505F1" w:rsidP="006505F1">
      <w:r w:rsidRPr="00A27F67">
        <w:t xml:space="preserve">Author(s) hereby </w:t>
      </w:r>
      <w:r w:rsidR="00A27F67" w:rsidRPr="00A27F67">
        <w:t>declares</w:t>
      </w:r>
      <w:r w:rsidRPr="00A27F67">
        <w:t xml:space="preserve"> that NO generative AI technologies such as Large Language Models (ChatGPT, COPILOT, etc.) and text-to-image generators have been used during the writing or editing of this manuscript. </w:t>
      </w:r>
    </w:p>
    <w:p w14:paraId="671361BD" w14:textId="77777777" w:rsidR="006505F1" w:rsidRPr="00394842" w:rsidRDefault="006505F1" w:rsidP="006505F1">
      <w:pPr>
        <w:rPr>
          <w:highlight w:val="yellow"/>
        </w:rPr>
      </w:pPr>
    </w:p>
    <w:p w14:paraId="327E6E41" w14:textId="3C42E28E" w:rsidR="00681AEA" w:rsidRPr="0085730F" w:rsidRDefault="00613667">
      <w:pPr>
        <w:rPr>
          <w:rFonts w:ascii="Arial" w:hAnsi="Arial" w:cs="Arial"/>
          <w:b/>
          <w:bCs/>
          <w:sz w:val="24"/>
          <w:szCs w:val="24"/>
        </w:rPr>
      </w:pPr>
      <w:r w:rsidRPr="0085730F">
        <w:rPr>
          <w:rFonts w:ascii="Arial" w:hAnsi="Arial" w:cs="Arial"/>
          <w:b/>
          <w:bCs/>
          <w:sz w:val="24"/>
          <w:szCs w:val="24"/>
        </w:rPr>
        <w:t>REFERENCES</w:t>
      </w:r>
    </w:p>
    <w:p w14:paraId="601EF450" w14:textId="77777777" w:rsidR="00550514" w:rsidRPr="0085730F" w:rsidRDefault="00550514" w:rsidP="0082260E">
      <w:pPr>
        <w:ind w:left="567" w:hanging="547"/>
        <w:jc w:val="both"/>
        <w:rPr>
          <w:rFonts w:ascii="Arial" w:hAnsi="Arial" w:cs="Arial"/>
          <w:sz w:val="24"/>
          <w:szCs w:val="24"/>
          <w:shd w:val="clear" w:color="auto" w:fill="FFFFFF"/>
        </w:rPr>
      </w:pPr>
    </w:p>
    <w:p w14:paraId="1E8F8A1D" w14:textId="77777777" w:rsidR="00550514" w:rsidRPr="0074653A" w:rsidRDefault="00550514" w:rsidP="0082260E">
      <w:pPr>
        <w:ind w:left="567" w:hanging="547"/>
        <w:jc w:val="both"/>
        <w:rPr>
          <w:rFonts w:ascii="Arial" w:hAnsi="Arial" w:cs="Arial"/>
          <w:bCs/>
          <w:sz w:val="24"/>
          <w:szCs w:val="24"/>
        </w:rPr>
      </w:pPr>
    </w:p>
    <w:p w14:paraId="026CDD9F"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Amobonye, A. E., Bhagwat, P., Singh, S., &amp; Pillai, S. (2023). Biodegradability of polyvinyl chloride. In </w:t>
      </w:r>
      <w:r w:rsidRPr="002D701F">
        <w:rPr>
          <w:rFonts w:ascii="Arial" w:hAnsi="Arial" w:cs="Arial"/>
          <w:i/>
          <w:iCs/>
          <w:sz w:val="24"/>
          <w:szCs w:val="24"/>
        </w:rPr>
        <w:t>Biodegradability of conventional plastics</w:t>
      </w:r>
      <w:r w:rsidRPr="002D701F">
        <w:rPr>
          <w:rFonts w:ascii="Arial" w:hAnsi="Arial" w:cs="Arial"/>
          <w:sz w:val="24"/>
          <w:szCs w:val="24"/>
        </w:rPr>
        <w:t xml:space="preserve"> (pp. 201–220). Elsevier.</w:t>
      </w:r>
    </w:p>
    <w:p w14:paraId="257EBF75"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Andrade, A. L. (2011). Microplastics in the marine environment. </w:t>
      </w:r>
      <w:r w:rsidRPr="002D701F">
        <w:rPr>
          <w:rFonts w:ascii="Arial" w:hAnsi="Arial" w:cs="Arial"/>
          <w:i/>
          <w:iCs/>
          <w:sz w:val="24"/>
          <w:szCs w:val="24"/>
        </w:rPr>
        <w:t>Marine Pollution Bulletin, 62</w:t>
      </w:r>
      <w:r w:rsidRPr="002D701F">
        <w:rPr>
          <w:rFonts w:ascii="Arial" w:hAnsi="Arial" w:cs="Arial"/>
          <w:sz w:val="24"/>
          <w:szCs w:val="24"/>
        </w:rPr>
        <w:t xml:space="preserve">(8), 1596–1605. </w:t>
      </w:r>
      <w:hyperlink r:id="rId36" w:history="1">
        <w:r w:rsidRPr="002D701F">
          <w:rPr>
            <w:rStyle w:val="Hyperlink"/>
            <w:rFonts w:ascii="Arial" w:hAnsi="Arial" w:cs="Arial"/>
            <w:sz w:val="24"/>
            <w:szCs w:val="24"/>
          </w:rPr>
          <w:t>https://doi.org/10.1016/j.marpolbul.2011.06.030</w:t>
        </w:r>
      </w:hyperlink>
    </w:p>
    <w:p w14:paraId="0A83A2CF"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Archana, D., Supriya, C., Girish, B. P., Kishori, B., &amp; Reddy, P. S. (2018). Alleviative effect of resveratrol on polyvinyl chloride-induced reproductive toxicity in male Wistar rats. </w:t>
      </w:r>
      <w:r w:rsidRPr="002D701F">
        <w:rPr>
          <w:rFonts w:ascii="Arial" w:hAnsi="Arial" w:cs="Arial"/>
          <w:i/>
          <w:iCs/>
          <w:sz w:val="24"/>
          <w:szCs w:val="24"/>
        </w:rPr>
        <w:t>Food and Chemical Toxicology, 116</w:t>
      </w:r>
      <w:r w:rsidRPr="002D701F">
        <w:rPr>
          <w:rFonts w:ascii="Arial" w:hAnsi="Arial" w:cs="Arial"/>
          <w:sz w:val="24"/>
          <w:szCs w:val="24"/>
        </w:rPr>
        <w:t xml:space="preserve">, 173–181. </w:t>
      </w:r>
      <w:hyperlink r:id="rId37" w:history="1">
        <w:r w:rsidRPr="002D701F">
          <w:rPr>
            <w:rStyle w:val="Hyperlink"/>
            <w:rFonts w:ascii="Arial" w:hAnsi="Arial" w:cs="Arial"/>
            <w:sz w:val="24"/>
            <w:szCs w:val="24"/>
          </w:rPr>
          <w:t>https://doi.org/10.1016/j.fct.2018.04.055</w:t>
        </w:r>
      </w:hyperlink>
    </w:p>
    <w:p w14:paraId="77098542"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Banerjee, G., Kim, H. J., &amp; Fox, Z. (2021). Hippocampal blood flow abnormalities in Alzheimer's disease: A combined study of ultrasound and DCE-MRI. </w:t>
      </w:r>
      <w:r w:rsidRPr="002D701F">
        <w:rPr>
          <w:rFonts w:ascii="Arial" w:hAnsi="Arial" w:cs="Arial"/>
          <w:i/>
          <w:iCs/>
          <w:sz w:val="24"/>
          <w:szCs w:val="24"/>
        </w:rPr>
        <w:t>Alzheimer’s &amp; Dementia: Diagnosis, Assessment &amp; Disease Monitoring, 13</w:t>
      </w:r>
      <w:r w:rsidRPr="002D701F">
        <w:rPr>
          <w:rFonts w:ascii="Arial" w:hAnsi="Arial" w:cs="Arial"/>
          <w:sz w:val="24"/>
          <w:szCs w:val="24"/>
        </w:rPr>
        <w:t xml:space="preserve">(1), e12204. </w:t>
      </w:r>
      <w:hyperlink r:id="rId38" w:history="1">
        <w:r w:rsidRPr="002D701F">
          <w:rPr>
            <w:rStyle w:val="Hyperlink"/>
            <w:rFonts w:ascii="Arial" w:hAnsi="Arial" w:cs="Arial"/>
            <w:sz w:val="24"/>
            <w:szCs w:val="24"/>
          </w:rPr>
          <w:t>https://doi.org/10.1002/dad2.12204</w:t>
        </w:r>
      </w:hyperlink>
    </w:p>
    <w:p w14:paraId="434A3FAB"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Barritt, A. S., Hayashi, P. H., Stolz, A. A., Barnhart, H., &amp; Hoofnagle, J. H. (2022). Refinement of Hy’s Law using the Drug-Induced Liver Injury Network Database. </w:t>
      </w:r>
      <w:r w:rsidRPr="002D701F">
        <w:rPr>
          <w:rFonts w:ascii="Arial" w:hAnsi="Arial" w:cs="Arial"/>
          <w:i/>
          <w:iCs/>
          <w:sz w:val="24"/>
          <w:szCs w:val="24"/>
        </w:rPr>
        <w:t>The American Journal of Gastroenterology</w:t>
      </w:r>
      <w:r w:rsidRPr="002D701F">
        <w:rPr>
          <w:rFonts w:ascii="Arial" w:hAnsi="Arial" w:cs="Arial"/>
          <w:sz w:val="24"/>
          <w:szCs w:val="24"/>
        </w:rPr>
        <w:t xml:space="preserve">, 117, 14309. </w:t>
      </w:r>
      <w:hyperlink r:id="rId39" w:history="1">
        <w:r w:rsidRPr="002D701F">
          <w:rPr>
            <w:rStyle w:val="Hyperlink"/>
            <w:rFonts w:ascii="Arial" w:hAnsi="Arial" w:cs="Arial"/>
            <w:sz w:val="24"/>
            <w:szCs w:val="24"/>
          </w:rPr>
          <w:t>https://doi.org/10.14309/ajg.00000000000014309</w:t>
        </w:r>
      </w:hyperlink>
    </w:p>
    <w:p w14:paraId="1279655B"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Bashir, S. M., Kimiko, S., Mak, C. W., Fang, J. K. H., &amp; Gonçalves, D. (2021). Personal care and cosmetic products as a potential source of environmental contamination by microplastics in a densely populated Asian city. </w:t>
      </w:r>
      <w:r w:rsidRPr="002D701F">
        <w:rPr>
          <w:rFonts w:ascii="Arial" w:hAnsi="Arial" w:cs="Arial"/>
          <w:i/>
          <w:iCs/>
          <w:sz w:val="24"/>
          <w:szCs w:val="24"/>
        </w:rPr>
        <w:t>Frontiers in Marine Science, 8</w:t>
      </w:r>
      <w:r w:rsidRPr="002D701F">
        <w:rPr>
          <w:rFonts w:ascii="Arial" w:hAnsi="Arial" w:cs="Arial"/>
          <w:sz w:val="24"/>
          <w:szCs w:val="24"/>
        </w:rPr>
        <w:t xml:space="preserve">, 683482. </w:t>
      </w:r>
      <w:hyperlink r:id="rId40" w:history="1">
        <w:r w:rsidRPr="002D701F">
          <w:rPr>
            <w:rStyle w:val="Hyperlink"/>
            <w:rFonts w:ascii="Arial" w:hAnsi="Arial" w:cs="Arial"/>
            <w:sz w:val="24"/>
            <w:szCs w:val="24"/>
          </w:rPr>
          <w:t>https://doi.org/10.3389/fmars.2021.683482</w:t>
        </w:r>
      </w:hyperlink>
    </w:p>
    <w:p w14:paraId="56320C8E"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lastRenderedPageBreak/>
        <w:t xml:space="preserve">Begum, S. A., Rane, A. V., &amp; </w:t>
      </w:r>
      <w:proofErr w:type="spellStart"/>
      <w:r w:rsidRPr="002D701F">
        <w:rPr>
          <w:rFonts w:ascii="Arial" w:hAnsi="Arial" w:cs="Arial"/>
          <w:sz w:val="24"/>
          <w:szCs w:val="24"/>
        </w:rPr>
        <w:t>Kanny</w:t>
      </w:r>
      <w:proofErr w:type="spellEnd"/>
      <w:r w:rsidRPr="002D701F">
        <w:rPr>
          <w:rFonts w:ascii="Arial" w:hAnsi="Arial" w:cs="Arial"/>
          <w:sz w:val="24"/>
          <w:szCs w:val="24"/>
        </w:rPr>
        <w:t xml:space="preserve">, K. (2020). Applications </w:t>
      </w:r>
      <w:proofErr w:type="gramStart"/>
      <w:r w:rsidRPr="002D701F">
        <w:rPr>
          <w:rFonts w:ascii="Arial" w:hAnsi="Arial" w:cs="Arial"/>
          <w:sz w:val="24"/>
          <w:szCs w:val="24"/>
        </w:rPr>
        <w:t>of</w:t>
      </w:r>
      <w:proofErr w:type="gramEnd"/>
      <w:r w:rsidRPr="002D701F">
        <w:rPr>
          <w:rFonts w:ascii="Arial" w:hAnsi="Arial" w:cs="Arial"/>
          <w:sz w:val="24"/>
          <w:szCs w:val="24"/>
        </w:rPr>
        <w:t xml:space="preserve"> compatibilized polymer blends in automobile industry. In </w:t>
      </w:r>
      <w:r w:rsidRPr="002D701F">
        <w:rPr>
          <w:rFonts w:ascii="Arial" w:hAnsi="Arial" w:cs="Arial"/>
          <w:i/>
          <w:iCs/>
          <w:sz w:val="24"/>
          <w:szCs w:val="24"/>
        </w:rPr>
        <w:t>Compatibilization of polymer blends</w:t>
      </w:r>
      <w:r w:rsidRPr="002D701F">
        <w:rPr>
          <w:rFonts w:ascii="Arial" w:hAnsi="Arial" w:cs="Arial"/>
          <w:sz w:val="24"/>
          <w:szCs w:val="24"/>
        </w:rPr>
        <w:t xml:space="preserve"> (pp. 563–593). Elsevier. </w:t>
      </w:r>
      <w:hyperlink r:id="rId41" w:history="1">
        <w:r w:rsidRPr="002D701F">
          <w:rPr>
            <w:rStyle w:val="Hyperlink"/>
            <w:rFonts w:ascii="Arial" w:hAnsi="Arial" w:cs="Arial"/>
            <w:sz w:val="24"/>
            <w:szCs w:val="24"/>
          </w:rPr>
          <w:t>https://doi.org/10.1016/B978-0-12-816006-8.00022-1</w:t>
        </w:r>
      </w:hyperlink>
    </w:p>
    <w:p w14:paraId="59187BC6" w14:textId="77777777" w:rsidR="003E2CE9" w:rsidRDefault="003E2CE9" w:rsidP="00DC1812">
      <w:pPr>
        <w:ind w:left="426" w:hanging="426"/>
        <w:jc w:val="both"/>
        <w:rPr>
          <w:rFonts w:ascii="Arial" w:hAnsi="Arial" w:cs="Arial"/>
          <w:sz w:val="24"/>
          <w:szCs w:val="24"/>
          <w:shd w:val="clear" w:color="auto" w:fill="FFFFFF"/>
        </w:rPr>
      </w:pPr>
      <w:r w:rsidRPr="00A82403">
        <w:rPr>
          <w:rFonts w:ascii="Arial" w:cs="Arial"/>
          <w:sz w:val="24"/>
          <w:szCs w:val="24"/>
        </w:rPr>
        <w:t xml:space="preserve">Bernardi, M., </w:t>
      </w:r>
      <w:proofErr w:type="spellStart"/>
      <w:r w:rsidRPr="00A82403">
        <w:rPr>
          <w:rFonts w:ascii="Arial" w:cs="Arial"/>
          <w:sz w:val="24"/>
          <w:szCs w:val="24"/>
        </w:rPr>
        <w:t>Caraceni</w:t>
      </w:r>
      <w:proofErr w:type="spellEnd"/>
      <w:r w:rsidRPr="00A82403">
        <w:rPr>
          <w:rFonts w:ascii="Arial" w:cs="Arial"/>
          <w:sz w:val="24"/>
          <w:szCs w:val="24"/>
        </w:rPr>
        <w:t xml:space="preserve">, P., </w:t>
      </w:r>
      <w:proofErr w:type="spellStart"/>
      <w:r w:rsidRPr="00A82403">
        <w:rPr>
          <w:rFonts w:ascii="Arial" w:cs="Arial"/>
          <w:sz w:val="24"/>
          <w:szCs w:val="24"/>
        </w:rPr>
        <w:t>Navickis</w:t>
      </w:r>
      <w:proofErr w:type="spellEnd"/>
      <w:r w:rsidRPr="00A82403">
        <w:rPr>
          <w:rFonts w:ascii="Arial" w:cs="Arial"/>
          <w:sz w:val="24"/>
          <w:szCs w:val="24"/>
        </w:rPr>
        <w:t>, R. J., &amp; Wilkes, M. M. (2012). Albumin infusion in patients undergoing large</w:t>
      </w:r>
      <w:r w:rsidRPr="00A82403">
        <w:rPr>
          <w:rFonts w:ascii="Cambria Math" w:hAnsi="Cambria Math" w:cs="Cambria Math"/>
          <w:sz w:val="24"/>
          <w:szCs w:val="24"/>
        </w:rPr>
        <w:t>‐</w:t>
      </w:r>
      <w:r w:rsidRPr="00A82403">
        <w:rPr>
          <w:rFonts w:ascii="Arial" w:cs="Arial"/>
          <w:sz w:val="24"/>
          <w:szCs w:val="24"/>
        </w:rPr>
        <w:t>volume paracentesis: a meta</w:t>
      </w:r>
      <w:r w:rsidRPr="00A82403">
        <w:rPr>
          <w:rFonts w:ascii="Cambria Math" w:hAnsi="Cambria Math" w:cs="Cambria Math"/>
          <w:sz w:val="24"/>
          <w:szCs w:val="24"/>
        </w:rPr>
        <w:t>‐</w:t>
      </w:r>
      <w:r w:rsidRPr="00A82403">
        <w:rPr>
          <w:rFonts w:ascii="Arial" w:cs="Arial"/>
          <w:sz w:val="24"/>
          <w:szCs w:val="24"/>
        </w:rPr>
        <w:t>analysis of randomized trials.</w:t>
      </w:r>
      <w:r w:rsidRPr="00A82403">
        <w:rPr>
          <w:rFonts w:ascii="Arial" w:cs="Arial"/>
          <w:sz w:val="24"/>
          <w:szCs w:val="24"/>
        </w:rPr>
        <w:t> </w:t>
      </w:r>
      <w:r w:rsidRPr="00A82403">
        <w:rPr>
          <w:rFonts w:ascii="Arial" w:cs="Arial"/>
          <w:i/>
          <w:iCs/>
          <w:sz w:val="24"/>
          <w:szCs w:val="24"/>
        </w:rPr>
        <w:t>Hepatology</w:t>
      </w:r>
      <w:r w:rsidRPr="00A82403">
        <w:rPr>
          <w:rFonts w:ascii="Arial" w:cs="Arial"/>
          <w:sz w:val="24"/>
          <w:szCs w:val="24"/>
        </w:rPr>
        <w:t>,</w:t>
      </w:r>
      <w:r w:rsidRPr="00A82403">
        <w:rPr>
          <w:rFonts w:ascii="Arial" w:cs="Arial"/>
          <w:sz w:val="24"/>
          <w:szCs w:val="24"/>
        </w:rPr>
        <w:t> </w:t>
      </w:r>
      <w:r w:rsidRPr="00A82403">
        <w:rPr>
          <w:rFonts w:ascii="Arial" w:cs="Arial"/>
          <w:i/>
          <w:iCs/>
          <w:sz w:val="24"/>
          <w:szCs w:val="24"/>
        </w:rPr>
        <w:t>55</w:t>
      </w:r>
      <w:r w:rsidRPr="00A82403">
        <w:rPr>
          <w:rFonts w:ascii="Arial" w:cs="Arial"/>
          <w:sz w:val="24"/>
          <w:szCs w:val="24"/>
        </w:rPr>
        <w:t>(4), 1172-1181.</w:t>
      </w:r>
    </w:p>
    <w:p w14:paraId="1B51531E"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Brites, D., &amp; Silva, R. F. (2021). Bilirubin neurotoxicity: A narrative review on long-lasting, insidious, and dangerous effects. </w:t>
      </w:r>
      <w:r w:rsidRPr="002D701F">
        <w:rPr>
          <w:rFonts w:ascii="Arial" w:hAnsi="Arial" w:cs="Arial"/>
          <w:i/>
          <w:iCs/>
          <w:sz w:val="24"/>
          <w:szCs w:val="24"/>
        </w:rPr>
        <w:t>Pediatric Medicine, 4</w:t>
      </w:r>
      <w:r w:rsidRPr="002D701F">
        <w:rPr>
          <w:rFonts w:ascii="Arial" w:hAnsi="Arial" w:cs="Arial"/>
          <w:sz w:val="24"/>
          <w:szCs w:val="24"/>
        </w:rPr>
        <w:t xml:space="preserve">. </w:t>
      </w:r>
      <w:hyperlink r:id="rId42" w:history="1">
        <w:r w:rsidRPr="002D701F">
          <w:rPr>
            <w:rStyle w:val="Hyperlink"/>
            <w:rFonts w:ascii="Arial" w:hAnsi="Arial" w:cs="Arial"/>
            <w:sz w:val="24"/>
            <w:szCs w:val="24"/>
          </w:rPr>
          <w:t>https://doi.org/10.21037/pm-20-100</w:t>
        </w:r>
      </w:hyperlink>
    </w:p>
    <w:p w14:paraId="19EE66DD"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Capolupo, M., Sørensen, L., Jayasena, K. D., Booth, A. M., &amp; Fabbri, E. (2020). Chemical composition and ecotoxicity of plastic and car tire rubber leachates to aquatic organisms. </w:t>
      </w:r>
      <w:r w:rsidRPr="002D701F">
        <w:rPr>
          <w:rFonts w:ascii="Arial" w:hAnsi="Arial" w:cs="Arial"/>
          <w:i/>
          <w:iCs/>
          <w:sz w:val="24"/>
          <w:szCs w:val="24"/>
        </w:rPr>
        <w:t>Water Research, 169</w:t>
      </w:r>
      <w:r w:rsidRPr="002D701F">
        <w:rPr>
          <w:rFonts w:ascii="Arial" w:hAnsi="Arial" w:cs="Arial"/>
          <w:sz w:val="24"/>
          <w:szCs w:val="24"/>
        </w:rPr>
        <w:t xml:space="preserve">, 115270. </w:t>
      </w:r>
      <w:hyperlink r:id="rId43" w:history="1">
        <w:r w:rsidRPr="002D701F">
          <w:rPr>
            <w:rStyle w:val="Hyperlink"/>
            <w:rFonts w:ascii="Arial" w:hAnsi="Arial" w:cs="Arial"/>
            <w:sz w:val="24"/>
            <w:szCs w:val="24"/>
          </w:rPr>
          <w:t>https://doi.org/10.1016/j.watres.2019.115270</w:t>
        </w:r>
      </w:hyperlink>
    </w:p>
    <w:p w14:paraId="69ECF244"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Carmo de Carvalho e Martins, M. D., da Silva Santos Oliveira, A. S., da Silva, L. A. A., Primo, M. G. S., &amp; de Carvalho Lira, V. B. (2022). Biological indicators of oxidative stress [malondialdehyde, catalase, glutathione peroxidase, and superoxide dismutase] and their application in nutrition. In </w:t>
      </w:r>
      <w:r w:rsidRPr="002D701F">
        <w:rPr>
          <w:rFonts w:ascii="Arial" w:hAnsi="Arial" w:cs="Arial"/>
          <w:i/>
          <w:iCs/>
          <w:sz w:val="24"/>
          <w:szCs w:val="24"/>
        </w:rPr>
        <w:t>Biomarkers in nutrition</w:t>
      </w:r>
      <w:r w:rsidRPr="002D701F">
        <w:rPr>
          <w:rFonts w:ascii="Arial" w:hAnsi="Arial" w:cs="Arial"/>
          <w:sz w:val="24"/>
          <w:szCs w:val="24"/>
        </w:rPr>
        <w:t xml:space="preserve"> (pp. 833–856). Springer. </w:t>
      </w:r>
      <w:hyperlink r:id="rId44" w:history="1">
        <w:r w:rsidRPr="002D701F">
          <w:rPr>
            <w:rStyle w:val="Hyperlink"/>
            <w:rFonts w:ascii="Arial" w:hAnsi="Arial" w:cs="Arial"/>
            <w:sz w:val="24"/>
            <w:szCs w:val="24"/>
          </w:rPr>
          <w:t>https://doi.org/10.1007/978-3-030-93841-8_44</w:t>
        </w:r>
      </w:hyperlink>
    </w:p>
    <w:p w14:paraId="42170D92"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Carvalho, J. R., &amp; Machado, M. V. (2018). New insights about albumin and liver disease. </w:t>
      </w:r>
      <w:r w:rsidRPr="002D701F">
        <w:rPr>
          <w:rFonts w:ascii="Arial" w:hAnsi="Arial" w:cs="Arial"/>
          <w:i/>
          <w:iCs/>
          <w:sz w:val="24"/>
          <w:szCs w:val="24"/>
        </w:rPr>
        <w:t>Annals of Hepatology, 17</w:t>
      </w:r>
      <w:r w:rsidRPr="002D701F">
        <w:rPr>
          <w:rFonts w:ascii="Arial" w:hAnsi="Arial" w:cs="Arial"/>
          <w:sz w:val="24"/>
          <w:szCs w:val="24"/>
        </w:rPr>
        <w:t xml:space="preserve">(4), 547–560. </w:t>
      </w:r>
      <w:hyperlink r:id="rId45" w:history="1">
        <w:r w:rsidRPr="002D701F">
          <w:rPr>
            <w:rStyle w:val="Hyperlink"/>
            <w:rFonts w:ascii="Arial" w:hAnsi="Arial" w:cs="Arial"/>
            <w:sz w:val="24"/>
            <w:szCs w:val="24"/>
          </w:rPr>
          <w:t>https://doi.org/10.5604/01.3001.0012.1045</w:t>
        </w:r>
      </w:hyperlink>
    </w:p>
    <w:p w14:paraId="09705EFA"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Chawla, S., Varghese, B. S., Chithra, A., Hussain, C. G., </w:t>
      </w:r>
      <w:proofErr w:type="spellStart"/>
      <w:r w:rsidRPr="002D701F">
        <w:rPr>
          <w:rFonts w:ascii="Arial" w:hAnsi="Arial" w:cs="Arial"/>
          <w:sz w:val="24"/>
          <w:szCs w:val="24"/>
        </w:rPr>
        <w:t>Keçili</w:t>
      </w:r>
      <w:proofErr w:type="spellEnd"/>
      <w:r w:rsidRPr="002D701F">
        <w:rPr>
          <w:rFonts w:ascii="Arial" w:hAnsi="Arial" w:cs="Arial"/>
          <w:sz w:val="24"/>
          <w:szCs w:val="24"/>
        </w:rPr>
        <w:t xml:space="preserve">, R., &amp; Hussain, C. M. (2022). Environmental impacts of post-consumer plastic wastes: Treatment technologies towards eco-sustainability and circular economy. </w:t>
      </w:r>
      <w:r w:rsidRPr="002D701F">
        <w:rPr>
          <w:rFonts w:ascii="Arial" w:hAnsi="Arial" w:cs="Arial"/>
          <w:i/>
          <w:iCs/>
          <w:sz w:val="24"/>
          <w:szCs w:val="24"/>
        </w:rPr>
        <w:t>Chemosphere, 308</w:t>
      </w:r>
      <w:r w:rsidRPr="002D701F">
        <w:rPr>
          <w:rFonts w:ascii="Arial" w:hAnsi="Arial" w:cs="Arial"/>
          <w:sz w:val="24"/>
          <w:szCs w:val="24"/>
        </w:rPr>
        <w:t xml:space="preserve">, 135867. </w:t>
      </w:r>
      <w:hyperlink r:id="rId46" w:history="1">
        <w:r w:rsidRPr="002D701F">
          <w:rPr>
            <w:rStyle w:val="Hyperlink"/>
            <w:rFonts w:ascii="Arial" w:hAnsi="Arial" w:cs="Arial"/>
            <w:sz w:val="24"/>
            <w:szCs w:val="24"/>
          </w:rPr>
          <w:t>https://doi.org/10.1016/j.chemosphere.2022.135867</w:t>
        </w:r>
      </w:hyperlink>
    </w:p>
    <w:p w14:paraId="36F8547E"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Chen, C. B., Hammo, B., Barry, J., &amp; Radhakrishnan, K. (2021). Overview of albumin physiology and its role in pediatric diseases. </w:t>
      </w:r>
      <w:r w:rsidRPr="002D701F">
        <w:rPr>
          <w:rFonts w:ascii="Arial" w:hAnsi="Arial" w:cs="Arial"/>
          <w:i/>
          <w:iCs/>
          <w:sz w:val="24"/>
          <w:szCs w:val="24"/>
        </w:rPr>
        <w:t>Current Gastroenterology Reports, 23</w:t>
      </w:r>
      <w:r w:rsidRPr="002D701F">
        <w:rPr>
          <w:rFonts w:ascii="Arial" w:hAnsi="Arial" w:cs="Arial"/>
          <w:sz w:val="24"/>
          <w:szCs w:val="24"/>
        </w:rPr>
        <w:t xml:space="preserve">(8), 11. </w:t>
      </w:r>
      <w:hyperlink r:id="rId47" w:history="1">
        <w:r w:rsidRPr="002D701F">
          <w:rPr>
            <w:rStyle w:val="Hyperlink"/>
            <w:rFonts w:ascii="Arial" w:hAnsi="Arial" w:cs="Arial"/>
            <w:sz w:val="24"/>
            <w:szCs w:val="24"/>
          </w:rPr>
          <w:t>https://doi.org/10.1007/s11894-021-00804-9</w:t>
        </w:r>
      </w:hyperlink>
    </w:p>
    <w:p w14:paraId="6FCE3E09"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Chen, X., Zhuang, J., Chen, Q., Xu, L., </w:t>
      </w:r>
      <w:proofErr w:type="gramStart"/>
      <w:r w:rsidRPr="002D701F">
        <w:rPr>
          <w:rFonts w:ascii="Arial" w:hAnsi="Arial" w:cs="Arial"/>
          <w:sz w:val="24"/>
          <w:szCs w:val="24"/>
        </w:rPr>
        <w:t>Yue, X.</w:t>
      </w:r>
      <w:proofErr w:type="gramEnd"/>
      <w:r w:rsidRPr="002D701F">
        <w:rPr>
          <w:rFonts w:ascii="Arial" w:hAnsi="Arial" w:cs="Arial"/>
          <w:sz w:val="24"/>
          <w:szCs w:val="24"/>
        </w:rPr>
        <w:t xml:space="preserve">, &amp; Qiao, D. (2022). Polyvinyl chloride microplastics induced gut barrier dysfunction, microbiota dysbiosis and metabolism disorder in adult mice. </w:t>
      </w:r>
      <w:r w:rsidRPr="002D701F">
        <w:rPr>
          <w:rFonts w:ascii="Arial" w:hAnsi="Arial" w:cs="Arial"/>
          <w:i/>
          <w:iCs/>
          <w:sz w:val="24"/>
          <w:szCs w:val="24"/>
        </w:rPr>
        <w:t>Ecotoxicology and Environmental Safety, 241</w:t>
      </w:r>
      <w:r w:rsidRPr="002D701F">
        <w:rPr>
          <w:rFonts w:ascii="Arial" w:hAnsi="Arial" w:cs="Arial"/>
          <w:sz w:val="24"/>
          <w:szCs w:val="24"/>
        </w:rPr>
        <w:t xml:space="preserve">, 113809. </w:t>
      </w:r>
      <w:hyperlink r:id="rId48" w:history="1">
        <w:r w:rsidRPr="002D701F">
          <w:rPr>
            <w:rStyle w:val="Hyperlink"/>
            <w:rFonts w:ascii="Arial" w:hAnsi="Arial" w:cs="Arial"/>
            <w:sz w:val="24"/>
            <w:szCs w:val="24"/>
          </w:rPr>
          <w:t>https://doi.org/10.1016/j.ecoenv.2022.113809</w:t>
        </w:r>
      </w:hyperlink>
    </w:p>
    <w:p w14:paraId="562EDE6C" w14:textId="77777777" w:rsidR="003E2CE9" w:rsidRPr="00BE7440" w:rsidRDefault="003E2CE9" w:rsidP="00BE7440">
      <w:pPr>
        <w:ind w:left="426" w:hanging="426"/>
        <w:jc w:val="both"/>
        <w:rPr>
          <w:rFonts w:ascii="Arial" w:cs="Arial"/>
          <w:sz w:val="24"/>
          <w:szCs w:val="24"/>
          <w:lang w:val="en-GB"/>
        </w:rPr>
      </w:pPr>
      <w:r w:rsidRPr="000554B5">
        <w:rPr>
          <w:rFonts w:ascii="Arial" w:cs="Arial"/>
          <w:sz w:val="24"/>
          <w:szCs w:val="24"/>
        </w:rPr>
        <w:t xml:space="preserve">Chen, X., Zhuang, J., Chen, Q., Xu, L., </w:t>
      </w:r>
      <w:proofErr w:type="gramStart"/>
      <w:r w:rsidRPr="000554B5">
        <w:rPr>
          <w:rFonts w:ascii="Arial" w:cs="Arial"/>
          <w:sz w:val="24"/>
          <w:szCs w:val="24"/>
        </w:rPr>
        <w:t>Yue, X.</w:t>
      </w:r>
      <w:proofErr w:type="gramEnd"/>
      <w:r w:rsidRPr="000554B5">
        <w:rPr>
          <w:rFonts w:ascii="Arial" w:cs="Arial"/>
          <w:sz w:val="24"/>
          <w:szCs w:val="24"/>
        </w:rPr>
        <w:t>, &amp; Qiao, D. (2022). Chronic exposure to polyvinyl chloride microplastics induces liver injury and gut microbiota dysbiosis based on the integration of liver transcriptome profiles and full-length 16S rRNA sequencing data.</w:t>
      </w:r>
      <w:r w:rsidRPr="000554B5">
        <w:rPr>
          <w:rFonts w:ascii="Arial" w:cs="Arial"/>
          <w:sz w:val="24"/>
          <w:szCs w:val="24"/>
        </w:rPr>
        <w:t> </w:t>
      </w:r>
      <w:r w:rsidRPr="000554B5">
        <w:rPr>
          <w:rFonts w:ascii="Arial" w:cs="Arial"/>
          <w:i/>
          <w:iCs/>
          <w:sz w:val="24"/>
          <w:szCs w:val="24"/>
        </w:rPr>
        <w:t>Science of the Total Environment</w:t>
      </w:r>
      <w:r w:rsidRPr="000554B5">
        <w:rPr>
          <w:rFonts w:ascii="Arial" w:cs="Arial"/>
          <w:sz w:val="24"/>
          <w:szCs w:val="24"/>
        </w:rPr>
        <w:t>,</w:t>
      </w:r>
      <w:r w:rsidRPr="000554B5">
        <w:rPr>
          <w:rFonts w:ascii="Arial" w:cs="Arial"/>
          <w:sz w:val="24"/>
          <w:szCs w:val="24"/>
        </w:rPr>
        <w:t> </w:t>
      </w:r>
      <w:r w:rsidRPr="000554B5">
        <w:rPr>
          <w:rFonts w:ascii="Arial" w:cs="Arial"/>
          <w:i/>
          <w:iCs/>
          <w:sz w:val="24"/>
          <w:szCs w:val="24"/>
        </w:rPr>
        <w:t>839</w:t>
      </w:r>
      <w:r w:rsidRPr="000554B5">
        <w:rPr>
          <w:rFonts w:ascii="Arial" w:cs="Arial"/>
          <w:sz w:val="24"/>
          <w:szCs w:val="24"/>
        </w:rPr>
        <w:t>, 155984.</w:t>
      </w:r>
    </w:p>
    <w:p w14:paraId="5F17B883"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Chen, Y., Cai, Y., Song, C., Zhang, X., Chen, D., &amp; Yang, W. (2024). Synthesis of </w:t>
      </w:r>
      <w:proofErr w:type="gramStart"/>
      <w:r w:rsidRPr="002D701F">
        <w:rPr>
          <w:rFonts w:ascii="Arial" w:hAnsi="Arial" w:cs="Arial"/>
          <w:sz w:val="24"/>
          <w:szCs w:val="24"/>
        </w:rPr>
        <w:t>poly[</w:t>
      </w:r>
      <w:proofErr w:type="gramEnd"/>
      <w:r w:rsidRPr="002D701F">
        <w:rPr>
          <w:rFonts w:ascii="Arial" w:hAnsi="Arial" w:cs="Arial"/>
          <w:sz w:val="24"/>
          <w:szCs w:val="24"/>
        </w:rPr>
        <w:t>(vinyl chloride)-co</w:t>
      </w:r>
      <w:proofErr w:type="gramStart"/>
      <w:r w:rsidRPr="002D701F">
        <w:rPr>
          <w:rFonts w:ascii="Arial" w:hAnsi="Arial" w:cs="Arial"/>
          <w:sz w:val="24"/>
          <w:szCs w:val="24"/>
        </w:rPr>
        <w:t>-(</w:t>
      </w:r>
      <w:proofErr w:type="gramEnd"/>
      <w:r w:rsidRPr="002D701F">
        <w:rPr>
          <w:rFonts w:ascii="Arial" w:hAnsi="Arial" w:cs="Arial"/>
          <w:sz w:val="24"/>
          <w:szCs w:val="24"/>
        </w:rPr>
        <w:t xml:space="preserve">vinyl polydimethylsiloxane)] via precipitation polymerization and its lubrication behavior in the PVC matrix. </w:t>
      </w:r>
      <w:r w:rsidRPr="002D701F">
        <w:rPr>
          <w:rFonts w:ascii="Arial" w:hAnsi="Arial" w:cs="Arial"/>
          <w:i/>
          <w:iCs/>
          <w:sz w:val="24"/>
          <w:szCs w:val="24"/>
        </w:rPr>
        <w:t>ACS Applied Polymer Materials, 6</w:t>
      </w:r>
      <w:r w:rsidRPr="002D701F">
        <w:rPr>
          <w:rFonts w:ascii="Arial" w:hAnsi="Arial" w:cs="Arial"/>
          <w:sz w:val="24"/>
          <w:szCs w:val="24"/>
        </w:rPr>
        <w:t xml:space="preserve">(9), 5139–5149. </w:t>
      </w:r>
      <w:hyperlink r:id="rId49" w:history="1">
        <w:r w:rsidRPr="002D701F">
          <w:rPr>
            <w:rStyle w:val="Hyperlink"/>
            <w:rFonts w:ascii="Arial" w:hAnsi="Arial" w:cs="Arial"/>
            <w:sz w:val="24"/>
            <w:szCs w:val="24"/>
          </w:rPr>
          <w:t>https://doi.org/10.1021/acsapm.3c01292</w:t>
        </w:r>
      </w:hyperlink>
    </w:p>
    <w:p w14:paraId="2C0E6D48"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lastRenderedPageBreak/>
        <w:t xml:space="preserve">Chen, Y., Jin, H., Ali, W., Zhuang, T., Sun, J., Wang, T., Song, J., Ma, Y., Yuan, Y., Bian, J., &amp; Liu, Z. (2024). Co-exposure of polyvinyl chloride microplastics with cadmium promotes nonalcoholic fatty liver disease in female ducks through oxidative stress and glycolipid accumulation. </w:t>
      </w:r>
      <w:r w:rsidRPr="002D701F">
        <w:rPr>
          <w:rFonts w:ascii="Arial" w:hAnsi="Arial" w:cs="Arial"/>
          <w:i/>
          <w:iCs/>
          <w:sz w:val="24"/>
          <w:szCs w:val="24"/>
        </w:rPr>
        <w:t>Poultry Science, 103</w:t>
      </w:r>
      <w:r w:rsidRPr="002D701F">
        <w:rPr>
          <w:rFonts w:ascii="Arial" w:hAnsi="Arial" w:cs="Arial"/>
          <w:sz w:val="24"/>
          <w:szCs w:val="24"/>
        </w:rPr>
        <w:t xml:space="preserve">(11), 104152. </w:t>
      </w:r>
      <w:hyperlink r:id="rId50" w:history="1">
        <w:r w:rsidRPr="002D701F">
          <w:rPr>
            <w:rStyle w:val="Hyperlink"/>
            <w:rFonts w:ascii="Arial" w:hAnsi="Arial" w:cs="Arial"/>
            <w:sz w:val="24"/>
            <w:szCs w:val="24"/>
          </w:rPr>
          <w:t>https://doi.org/10.1016/j.psj.2024.104152</w:t>
        </w:r>
      </w:hyperlink>
    </w:p>
    <w:p w14:paraId="40832804"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Chiang, C. C., Yeh, H., Shiu, R. F., Chin, W. C., &amp; Yen, T. H. (2024). Impact of microplastics and nanoplastics on liver health: Current understanding and future research directions. </w:t>
      </w:r>
      <w:r w:rsidRPr="002D701F">
        <w:rPr>
          <w:rFonts w:ascii="Arial" w:hAnsi="Arial" w:cs="Arial"/>
          <w:i/>
          <w:iCs/>
          <w:sz w:val="24"/>
          <w:szCs w:val="24"/>
        </w:rPr>
        <w:t>World Journal of Gastroenterology, 30</w:t>
      </w:r>
      <w:r w:rsidRPr="002D701F">
        <w:rPr>
          <w:rFonts w:ascii="Arial" w:hAnsi="Arial" w:cs="Arial"/>
          <w:sz w:val="24"/>
          <w:szCs w:val="24"/>
        </w:rPr>
        <w:t xml:space="preserve">(9), 1011. </w:t>
      </w:r>
      <w:hyperlink r:id="rId51" w:history="1">
        <w:r w:rsidRPr="002D701F">
          <w:rPr>
            <w:rStyle w:val="Hyperlink"/>
            <w:rFonts w:ascii="Arial" w:hAnsi="Arial" w:cs="Arial"/>
            <w:sz w:val="24"/>
            <w:szCs w:val="24"/>
          </w:rPr>
          <w:t>https://doi.org/10.3748/wjg.v30.i9.1011</w:t>
        </w:r>
      </w:hyperlink>
    </w:p>
    <w:p w14:paraId="02A2F886"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Cordiano, R., Di Gioacchino, M., </w:t>
      </w:r>
      <w:proofErr w:type="spellStart"/>
      <w:r w:rsidRPr="002D701F">
        <w:rPr>
          <w:rFonts w:ascii="Arial" w:hAnsi="Arial" w:cs="Arial"/>
          <w:sz w:val="24"/>
          <w:szCs w:val="24"/>
        </w:rPr>
        <w:t>Mangifesta</w:t>
      </w:r>
      <w:proofErr w:type="spellEnd"/>
      <w:r w:rsidRPr="002D701F">
        <w:rPr>
          <w:rFonts w:ascii="Arial" w:hAnsi="Arial" w:cs="Arial"/>
          <w:sz w:val="24"/>
          <w:szCs w:val="24"/>
        </w:rPr>
        <w:t xml:space="preserve">, R., Panzera, C., Gangemi, S., &amp; </w:t>
      </w:r>
      <w:proofErr w:type="spellStart"/>
      <w:r w:rsidRPr="002D701F">
        <w:rPr>
          <w:rFonts w:ascii="Arial" w:hAnsi="Arial" w:cs="Arial"/>
          <w:sz w:val="24"/>
          <w:szCs w:val="24"/>
        </w:rPr>
        <w:t>Minciullo</w:t>
      </w:r>
      <w:proofErr w:type="spellEnd"/>
      <w:r w:rsidRPr="002D701F">
        <w:rPr>
          <w:rFonts w:ascii="Arial" w:hAnsi="Arial" w:cs="Arial"/>
          <w:sz w:val="24"/>
          <w:szCs w:val="24"/>
        </w:rPr>
        <w:t xml:space="preserve">, P. L. (2023). Malondialdehyde as a potential oxidative stress marker for allergy-oriented diseases: An update. </w:t>
      </w:r>
      <w:r w:rsidRPr="002D701F">
        <w:rPr>
          <w:rFonts w:ascii="Arial" w:hAnsi="Arial" w:cs="Arial"/>
          <w:i/>
          <w:iCs/>
          <w:sz w:val="24"/>
          <w:szCs w:val="24"/>
        </w:rPr>
        <w:t>Molecules, 28</w:t>
      </w:r>
      <w:r w:rsidRPr="002D701F">
        <w:rPr>
          <w:rFonts w:ascii="Arial" w:hAnsi="Arial" w:cs="Arial"/>
          <w:sz w:val="24"/>
          <w:szCs w:val="24"/>
        </w:rPr>
        <w:t xml:space="preserve">(16), 5979. </w:t>
      </w:r>
      <w:hyperlink r:id="rId52" w:history="1">
        <w:r w:rsidRPr="002D701F">
          <w:rPr>
            <w:rStyle w:val="Hyperlink"/>
            <w:rFonts w:ascii="Arial" w:hAnsi="Arial" w:cs="Arial"/>
            <w:sz w:val="24"/>
            <w:szCs w:val="24"/>
          </w:rPr>
          <w:t>https://doi.org/10.3390/molecules28165979</w:t>
        </w:r>
      </w:hyperlink>
    </w:p>
    <w:p w14:paraId="4124E2B4"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Cunningham, B., Harper, B., Brander, S., &amp; Harper, S. (2022). Toxicity of micro and nano tire particles and leachate for model freshwater organisms. </w:t>
      </w:r>
      <w:r w:rsidRPr="002D701F">
        <w:rPr>
          <w:rFonts w:ascii="Arial" w:hAnsi="Arial" w:cs="Arial"/>
          <w:i/>
          <w:iCs/>
          <w:sz w:val="24"/>
          <w:szCs w:val="24"/>
        </w:rPr>
        <w:t>Journal of Hazardous Materials, 429</w:t>
      </w:r>
      <w:r w:rsidRPr="002D701F">
        <w:rPr>
          <w:rFonts w:ascii="Arial" w:hAnsi="Arial" w:cs="Arial"/>
          <w:sz w:val="24"/>
          <w:szCs w:val="24"/>
        </w:rPr>
        <w:t xml:space="preserve">, 128319. </w:t>
      </w:r>
      <w:hyperlink r:id="rId53" w:history="1">
        <w:r w:rsidRPr="002D701F">
          <w:rPr>
            <w:rStyle w:val="Hyperlink"/>
            <w:rFonts w:ascii="Arial" w:hAnsi="Arial" w:cs="Arial"/>
            <w:sz w:val="24"/>
            <w:szCs w:val="24"/>
          </w:rPr>
          <w:t>https://doi.org/10.1016/j.jhazmat.2021.128319</w:t>
        </w:r>
      </w:hyperlink>
    </w:p>
    <w:p w14:paraId="3F19EBCF"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Cunningham, R. P., &amp; Porat-</w:t>
      </w:r>
      <w:proofErr w:type="spellStart"/>
      <w:r w:rsidRPr="002D701F">
        <w:rPr>
          <w:rFonts w:ascii="Arial" w:hAnsi="Arial" w:cs="Arial"/>
          <w:sz w:val="24"/>
          <w:szCs w:val="24"/>
        </w:rPr>
        <w:t>Shliom</w:t>
      </w:r>
      <w:proofErr w:type="spellEnd"/>
      <w:r w:rsidRPr="002D701F">
        <w:rPr>
          <w:rFonts w:ascii="Arial" w:hAnsi="Arial" w:cs="Arial"/>
          <w:sz w:val="24"/>
          <w:szCs w:val="24"/>
        </w:rPr>
        <w:t xml:space="preserve">, N. (2021). Liver zonation–Revisiting old questions with new technologies. </w:t>
      </w:r>
      <w:r w:rsidRPr="002D701F">
        <w:rPr>
          <w:rFonts w:ascii="Arial" w:hAnsi="Arial" w:cs="Arial"/>
          <w:i/>
          <w:iCs/>
          <w:sz w:val="24"/>
          <w:szCs w:val="24"/>
        </w:rPr>
        <w:t>Frontiers in Physiology, 12</w:t>
      </w:r>
      <w:r w:rsidRPr="002D701F">
        <w:rPr>
          <w:rFonts w:ascii="Arial" w:hAnsi="Arial" w:cs="Arial"/>
          <w:sz w:val="24"/>
          <w:szCs w:val="24"/>
        </w:rPr>
        <w:t xml:space="preserve">, 732929. </w:t>
      </w:r>
      <w:hyperlink r:id="rId54" w:history="1">
        <w:r w:rsidRPr="002D701F">
          <w:rPr>
            <w:rStyle w:val="Hyperlink"/>
            <w:rFonts w:ascii="Arial" w:hAnsi="Arial" w:cs="Arial"/>
            <w:sz w:val="24"/>
            <w:szCs w:val="24"/>
          </w:rPr>
          <w:t>https://doi.org/10.3389/fphys.2021.732929</w:t>
        </w:r>
      </w:hyperlink>
    </w:p>
    <w:p w14:paraId="60783B90"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Das, A. (2023). The emerging role of microplastics in systemic toxicity: Involvement of reactive oxygen species (ROS). </w:t>
      </w:r>
      <w:r w:rsidRPr="002D701F">
        <w:rPr>
          <w:rFonts w:ascii="Arial" w:hAnsi="Arial" w:cs="Arial"/>
          <w:i/>
          <w:iCs/>
          <w:sz w:val="24"/>
          <w:szCs w:val="24"/>
        </w:rPr>
        <w:t>Science of the Total Environment, 895</w:t>
      </w:r>
      <w:r w:rsidRPr="002D701F">
        <w:rPr>
          <w:rFonts w:ascii="Arial" w:hAnsi="Arial" w:cs="Arial"/>
          <w:sz w:val="24"/>
          <w:szCs w:val="24"/>
        </w:rPr>
        <w:t xml:space="preserve">, 165076. </w:t>
      </w:r>
      <w:hyperlink r:id="rId55" w:history="1">
        <w:r w:rsidRPr="002D701F">
          <w:rPr>
            <w:rStyle w:val="Hyperlink"/>
            <w:rFonts w:ascii="Arial" w:hAnsi="Arial" w:cs="Arial"/>
            <w:sz w:val="24"/>
            <w:szCs w:val="24"/>
          </w:rPr>
          <w:t>https://doi.org/10.1016/j.scitotenv.2023.165076</w:t>
        </w:r>
      </w:hyperlink>
    </w:p>
    <w:p w14:paraId="7F91FB92"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Deng, Y., Zhang, Y., Lemos, B., &amp; Ren, H. (2017). Tissue accumulation of microplastics in mice and biomarker responses suggest widespread health risks of exposure. </w:t>
      </w:r>
      <w:r w:rsidRPr="002D701F">
        <w:rPr>
          <w:rFonts w:ascii="Arial" w:hAnsi="Arial" w:cs="Arial"/>
          <w:i/>
          <w:iCs/>
          <w:sz w:val="24"/>
          <w:szCs w:val="24"/>
        </w:rPr>
        <w:t>Scientific Reports, 7</w:t>
      </w:r>
      <w:r w:rsidRPr="002D701F">
        <w:rPr>
          <w:rFonts w:ascii="Arial" w:hAnsi="Arial" w:cs="Arial"/>
          <w:sz w:val="24"/>
          <w:szCs w:val="24"/>
        </w:rPr>
        <w:t xml:space="preserve">(1), 46687. </w:t>
      </w:r>
      <w:hyperlink r:id="rId56" w:history="1">
        <w:r w:rsidRPr="002D701F">
          <w:rPr>
            <w:rStyle w:val="Hyperlink"/>
            <w:rFonts w:ascii="Arial" w:hAnsi="Arial" w:cs="Arial"/>
            <w:sz w:val="24"/>
            <w:szCs w:val="24"/>
          </w:rPr>
          <w:t>https://doi.org/10.1038/srep46687</w:t>
        </w:r>
      </w:hyperlink>
    </w:p>
    <w:p w14:paraId="1E6CFE56" w14:textId="77777777" w:rsidR="003E2CE9" w:rsidRDefault="003E2CE9" w:rsidP="00BE7440">
      <w:pPr>
        <w:ind w:left="426" w:hanging="426"/>
        <w:jc w:val="both"/>
        <w:rPr>
          <w:rFonts w:ascii="Arial" w:cs="Arial"/>
          <w:sz w:val="24"/>
          <w:szCs w:val="24"/>
        </w:rPr>
      </w:pPr>
      <w:r w:rsidRPr="00BE7440">
        <w:rPr>
          <w:rFonts w:ascii="Arial" w:cs="Arial"/>
          <w:sz w:val="24"/>
          <w:szCs w:val="24"/>
          <w:lang w:val="en-GB"/>
        </w:rPr>
        <w:t xml:space="preserve">Dong, C. D., Chen, C. W., Chen, Y. C., Chen, H. H., Lee, J. S., &amp; Lin, C. H. (2020). Polystyrene microplastic particles: In vitro pulmonary toxicity assessment. </w:t>
      </w:r>
      <w:r w:rsidRPr="00BE7440">
        <w:rPr>
          <w:rFonts w:ascii="Arial" w:cs="Arial"/>
          <w:i/>
          <w:iCs/>
          <w:sz w:val="24"/>
          <w:szCs w:val="24"/>
          <w:lang w:val="en-GB"/>
        </w:rPr>
        <w:t>Journal of Hazardous Materials, 385</w:t>
      </w:r>
      <w:r w:rsidRPr="00BE7440">
        <w:rPr>
          <w:rFonts w:ascii="Arial" w:cs="Arial"/>
          <w:sz w:val="24"/>
          <w:szCs w:val="24"/>
          <w:lang w:val="en-GB"/>
        </w:rPr>
        <w:t xml:space="preserve">, 121575. </w:t>
      </w:r>
      <w:hyperlink r:id="rId57" w:history="1">
        <w:r w:rsidRPr="00BE7440">
          <w:rPr>
            <w:rStyle w:val="Hyperlink"/>
            <w:rFonts w:ascii="Arial" w:cs="Arial"/>
            <w:sz w:val="24"/>
            <w:szCs w:val="24"/>
            <w:lang w:val="en-GB"/>
          </w:rPr>
          <w:t>https://doi.org/10.1016/j.jhazmat.2019.121575</w:t>
        </w:r>
      </w:hyperlink>
    </w:p>
    <w:p w14:paraId="5665EB1A"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Eduviere, A. T., Umukoro, S., Aderibigbe, A. O., Ajayi, A. M., &amp; Adewole, F. A. (2015). Methyl </w:t>
      </w:r>
      <w:proofErr w:type="spellStart"/>
      <w:r w:rsidRPr="002D701F">
        <w:rPr>
          <w:rFonts w:ascii="Arial" w:hAnsi="Arial" w:cs="Arial"/>
          <w:sz w:val="24"/>
          <w:szCs w:val="24"/>
        </w:rPr>
        <w:t>jasmonate</w:t>
      </w:r>
      <w:proofErr w:type="spellEnd"/>
      <w:r w:rsidRPr="002D701F">
        <w:rPr>
          <w:rFonts w:ascii="Arial" w:hAnsi="Arial" w:cs="Arial"/>
          <w:sz w:val="24"/>
          <w:szCs w:val="24"/>
        </w:rPr>
        <w:t xml:space="preserve"> enhances memory performance through inhibition of oxidative stress and acetylcholinesterase activity in mice. </w:t>
      </w:r>
      <w:r w:rsidRPr="002D701F">
        <w:rPr>
          <w:rFonts w:ascii="Arial" w:hAnsi="Arial" w:cs="Arial"/>
          <w:i/>
          <w:iCs/>
          <w:sz w:val="24"/>
          <w:szCs w:val="24"/>
        </w:rPr>
        <w:t>Life Sciences, 132</w:t>
      </w:r>
      <w:r w:rsidRPr="002D701F">
        <w:rPr>
          <w:rFonts w:ascii="Arial" w:hAnsi="Arial" w:cs="Arial"/>
          <w:sz w:val="24"/>
          <w:szCs w:val="24"/>
        </w:rPr>
        <w:t xml:space="preserve">, 20–26. </w:t>
      </w:r>
      <w:hyperlink r:id="rId58" w:history="1">
        <w:r w:rsidRPr="002D701F">
          <w:rPr>
            <w:rStyle w:val="Hyperlink"/>
            <w:rFonts w:ascii="Arial" w:hAnsi="Arial" w:cs="Arial"/>
            <w:sz w:val="24"/>
            <w:szCs w:val="24"/>
          </w:rPr>
          <w:t>https://doi.org/10.1016/j.lfs.2015.04.009</w:t>
        </w:r>
      </w:hyperlink>
    </w:p>
    <w:p w14:paraId="1EF937B0"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Finlayson, D., &amp; Cooke, A. W. M. (1951). </w:t>
      </w:r>
      <w:r w:rsidRPr="002D701F">
        <w:rPr>
          <w:rFonts w:ascii="Arial" w:hAnsi="Arial" w:cs="Arial"/>
          <w:i/>
          <w:iCs/>
          <w:sz w:val="24"/>
          <w:szCs w:val="24"/>
        </w:rPr>
        <w:t>Solutions of polyvinyl chloride and the process for preparing same</w:t>
      </w:r>
      <w:r w:rsidRPr="002D701F">
        <w:rPr>
          <w:rFonts w:ascii="Arial" w:hAnsi="Arial" w:cs="Arial"/>
          <w:sz w:val="24"/>
          <w:szCs w:val="24"/>
        </w:rPr>
        <w:t xml:space="preserve"> (U.S. Patent No. 2,538,091). United States Patent and Trademark Office.</w:t>
      </w:r>
    </w:p>
    <w:p w14:paraId="59DA1C59"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George, B. O., </w:t>
      </w:r>
      <w:proofErr w:type="spellStart"/>
      <w:r w:rsidRPr="002D701F">
        <w:rPr>
          <w:rFonts w:ascii="Arial" w:hAnsi="Arial" w:cs="Arial"/>
          <w:sz w:val="24"/>
          <w:szCs w:val="24"/>
        </w:rPr>
        <w:t>Osioma</w:t>
      </w:r>
      <w:proofErr w:type="spellEnd"/>
      <w:r w:rsidRPr="002D701F">
        <w:rPr>
          <w:rFonts w:ascii="Arial" w:hAnsi="Arial" w:cs="Arial"/>
          <w:sz w:val="24"/>
          <w:szCs w:val="24"/>
        </w:rPr>
        <w:t xml:space="preserve">, E., </w:t>
      </w:r>
      <w:proofErr w:type="spellStart"/>
      <w:r w:rsidRPr="002D701F">
        <w:rPr>
          <w:rFonts w:ascii="Arial" w:hAnsi="Arial" w:cs="Arial"/>
          <w:sz w:val="24"/>
          <w:szCs w:val="24"/>
        </w:rPr>
        <w:t>Okpoghono</w:t>
      </w:r>
      <w:proofErr w:type="spellEnd"/>
      <w:r w:rsidRPr="002D701F">
        <w:rPr>
          <w:rFonts w:ascii="Arial" w:hAnsi="Arial" w:cs="Arial"/>
          <w:sz w:val="24"/>
          <w:szCs w:val="24"/>
        </w:rPr>
        <w:t>, J., &amp; Aina</w:t>
      </w:r>
      <w:proofErr w:type="gramStart"/>
      <w:r w:rsidRPr="002D701F">
        <w:rPr>
          <w:rFonts w:ascii="Arial" w:hAnsi="Arial" w:cs="Arial"/>
          <w:sz w:val="24"/>
          <w:szCs w:val="24"/>
        </w:rPr>
        <w:t>, O.</w:t>
      </w:r>
      <w:proofErr w:type="gramEnd"/>
      <w:r w:rsidRPr="002D701F">
        <w:rPr>
          <w:rFonts w:ascii="Arial" w:hAnsi="Arial" w:cs="Arial"/>
          <w:sz w:val="24"/>
          <w:szCs w:val="24"/>
        </w:rPr>
        <w:t xml:space="preserve"> O. (2011). Changes in liver and serum transaminases and alkaline phosphatase enzyme activities in </w:t>
      </w:r>
      <w:r w:rsidRPr="002D701F">
        <w:rPr>
          <w:rFonts w:ascii="Arial" w:hAnsi="Arial" w:cs="Arial"/>
          <w:i/>
          <w:iCs/>
          <w:sz w:val="24"/>
          <w:szCs w:val="24"/>
        </w:rPr>
        <w:t xml:space="preserve">Plasmodium </w:t>
      </w:r>
      <w:proofErr w:type="spellStart"/>
      <w:r w:rsidRPr="002D701F">
        <w:rPr>
          <w:rFonts w:ascii="Arial" w:hAnsi="Arial" w:cs="Arial"/>
          <w:i/>
          <w:iCs/>
          <w:sz w:val="24"/>
          <w:szCs w:val="24"/>
        </w:rPr>
        <w:lastRenderedPageBreak/>
        <w:t>berghei</w:t>
      </w:r>
      <w:proofErr w:type="spellEnd"/>
      <w:r w:rsidRPr="002D701F">
        <w:rPr>
          <w:rFonts w:ascii="Arial" w:hAnsi="Arial" w:cs="Arial"/>
          <w:sz w:val="24"/>
          <w:szCs w:val="24"/>
        </w:rPr>
        <w:t xml:space="preserve">-infected mice treated with aqueous extract of </w:t>
      </w:r>
      <w:proofErr w:type="spellStart"/>
      <w:r w:rsidRPr="002D701F">
        <w:rPr>
          <w:rFonts w:ascii="Arial" w:hAnsi="Arial" w:cs="Arial"/>
          <w:i/>
          <w:iCs/>
          <w:sz w:val="24"/>
          <w:szCs w:val="24"/>
        </w:rPr>
        <w:t>Aframomum</w:t>
      </w:r>
      <w:proofErr w:type="spellEnd"/>
      <w:r w:rsidRPr="002D701F">
        <w:rPr>
          <w:rFonts w:ascii="Arial" w:hAnsi="Arial" w:cs="Arial"/>
          <w:i/>
          <w:iCs/>
          <w:sz w:val="24"/>
          <w:szCs w:val="24"/>
        </w:rPr>
        <w:t xml:space="preserve"> </w:t>
      </w:r>
      <w:proofErr w:type="spellStart"/>
      <w:r w:rsidRPr="002D701F">
        <w:rPr>
          <w:rFonts w:ascii="Arial" w:hAnsi="Arial" w:cs="Arial"/>
          <w:i/>
          <w:iCs/>
          <w:sz w:val="24"/>
          <w:szCs w:val="24"/>
        </w:rPr>
        <w:t>sceptrum</w:t>
      </w:r>
      <w:proofErr w:type="spellEnd"/>
      <w:r w:rsidRPr="002D701F">
        <w:rPr>
          <w:rFonts w:ascii="Arial" w:hAnsi="Arial" w:cs="Arial"/>
          <w:sz w:val="24"/>
          <w:szCs w:val="24"/>
        </w:rPr>
        <w:t xml:space="preserve">. </w:t>
      </w:r>
      <w:r w:rsidRPr="002D701F">
        <w:rPr>
          <w:rFonts w:ascii="Arial" w:hAnsi="Arial" w:cs="Arial"/>
          <w:i/>
          <w:iCs/>
          <w:sz w:val="24"/>
          <w:szCs w:val="24"/>
        </w:rPr>
        <w:t>African Journal of Biochemistry Research, 5</w:t>
      </w:r>
      <w:r w:rsidRPr="002D701F">
        <w:rPr>
          <w:rFonts w:ascii="Arial" w:hAnsi="Arial" w:cs="Arial"/>
          <w:sz w:val="24"/>
          <w:szCs w:val="24"/>
        </w:rPr>
        <w:t>(9), 277–281.</w:t>
      </w:r>
    </w:p>
    <w:p w14:paraId="1F7E7221"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Guerra Ruiz, A. R., Crespo, J., López Martínez, R. M., </w:t>
      </w:r>
      <w:proofErr w:type="spellStart"/>
      <w:r w:rsidRPr="002D701F">
        <w:rPr>
          <w:rFonts w:ascii="Arial" w:hAnsi="Arial" w:cs="Arial"/>
          <w:sz w:val="24"/>
          <w:szCs w:val="24"/>
        </w:rPr>
        <w:t>Iruzubieta</w:t>
      </w:r>
      <w:proofErr w:type="spellEnd"/>
      <w:r w:rsidRPr="002D701F">
        <w:rPr>
          <w:rFonts w:ascii="Arial" w:hAnsi="Arial" w:cs="Arial"/>
          <w:sz w:val="24"/>
          <w:szCs w:val="24"/>
        </w:rPr>
        <w:t xml:space="preserve">, P., Casals Mercadal, G., Lalana Garcés, M., Lavin, B., &amp; Morales Ruiz, M. (2021). Measurement and clinical usefulness of bilirubin in liver disease. </w:t>
      </w:r>
      <w:r w:rsidRPr="002D701F">
        <w:rPr>
          <w:rFonts w:ascii="Arial" w:hAnsi="Arial" w:cs="Arial"/>
          <w:i/>
          <w:iCs/>
          <w:sz w:val="24"/>
          <w:szCs w:val="24"/>
        </w:rPr>
        <w:t xml:space="preserve">Advances in Laboratory Medicine / </w:t>
      </w:r>
      <w:proofErr w:type="spellStart"/>
      <w:r w:rsidRPr="002D701F">
        <w:rPr>
          <w:rFonts w:ascii="Arial" w:hAnsi="Arial" w:cs="Arial"/>
          <w:i/>
          <w:iCs/>
          <w:sz w:val="24"/>
          <w:szCs w:val="24"/>
        </w:rPr>
        <w:t>Avances</w:t>
      </w:r>
      <w:proofErr w:type="spellEnd"/>
      <w:r w:rsidRPr="002D701F">
        <w:rPr>
          <w:rFonts w:ascii="Arial" w:hAnsi="Arial" w:cs="Arial"/>
          <w:i/>
          <w:iCs/>
          <w:sz w:val="24"/>
          <w:szCs w:val="24"/>
        </w:rPr>
        <w:t xml:space="preserve"> </w:t>
      </w:r>
      <w:proofErr w:type="spellStart"/>
      <w:r w:rsidRPr="002D701F">
        <w:rPr>
          <w:rFonts w:ascii="Arial" w:hAnsi="Arial" w:cs="Arial"/>
          <w:i/>
          <w:iCs/>
          <w:sz w:val="24"/>
          <w:szCs w:val="24"/>
        </w:rPr>
        <w:t>en</w:t>
      </w:r>
      <w:proofErr w:type="spellEnd"/>
      <w:r w:rsidRPr="002D701F">
        <w:rPr>
          <w:rFonts w:ascii="Arial" w:hAnsi="Arial" w:cs="Arial"/>
          <w:i/>
          <w:iCs/>
          <w:sz w:val="24"/>
          <w:szCs w:val="24"/>
        </w:rPr>
        <w:t xml:space="preserve"> Medicina de Laboratorio, 2</w:t>
      </w:r>
      <w:r w:rsidRPr="002D701F">
        <w:rPr>
          <w:rFonts w:ascii="Arial" w:hAnsi="Arial" w:cs="Arial"/>
          <w:sz w:val="24"/>
          <w:szCs w:val="24"/>
        </w:rPr>
        <w:t xml:space="preserve">(3), 352–361. </w:t>
      </w:r>
      <w:hyperlink r:id="rId59" w:history="1">
        <w:r w:rsidRPr="002D701F">
          <w:rPr>
            <w:rStyle w:val="Hyperlink"/>
            <w:rFonts w:ascii="Arial" w:hAnsi="Arial" w:cs="Arial"/>
            <w:sz w:val="24"/>
            <w:szCs w:val="24"/>
          </w:rPr>
          <w:t>https://doi.org/10.1515/almed-2021-0023</w:t>
        </w:r>
      </w:hyperlink>
    </w:p>
    <w:p w14:paraId="50ED0FC3"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Herrera, A., Garrido-Amador, P., Martínez, I., Samper, M. D., López-Martínez, J., Gómez, M., &amp; Packard, T. T. (2018). Novel methodology to isolate microplastics from vegetal-rich samples. </w:t>
      </w:r>
      <w:r w:rsidRPr="002D701F">
        <w:rPr>
          <w:rFonts w:ascii="Arial" w:hAnsi="Arial" w:cs="Arial"/>
          <w:i/>
          <w:iCs/>
          <w:sz w:val="24"/>
          <w:szCs w:val="24"/>
        </w:rPr>
        <w:t>Marine Pollution Bulletin, 129</w:t>
      </w:r>
      <w:r w:rsidRPr="002D701F">
        <w:rPr>
          <w:rFonts w:ascii="Arial" w:hAnsi="Arial" w:cs="Arial"/>
          <w:sz w:val="24"/>
          <w:szCs w:val="24"/>
        </w:rPr>
        <w:t xml:space="preserve">(1), 61–69. </w:t>
      </w:r>
      <w:hyperlink r:id="rId60" w:history="1">
        <w:r w:rsidRPr="002D701F">
          <w:rPr>
            <w:rStyle w:val="Hyperlink"/>
            <w:rFonts w:ascii="Arial" w:hAnsi="Arial" w:cs="Arial"/>
            <w:sz w:val="24"/>
            <w:szCs w:val="24"/>
          </w:rPr>
          <w:t>https://doi.org/10.1016/j.marpolbul.2018.01.009</w:t>
        </w:r>
      </w:hyperlink>
    </w:p>
    <w:p w14:paraId="31829963"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Horton, A. A., Walton, A., Spurgeon, D. J., </w:t>
      </w:r>
      <w:proofErr w:type="spellStart"/>
      <w:r w:rsidRPr="002D701F">
        <w:rPr>
          <w:rFonts w:ascii="Arial" w:hAnsi="Arial" w:cs="Arial"/>
          <w:sz w:val="24"/>
          <w:szCs w:val="24"/>
        </w:rPr>
        <w:t>Lahive</w:t>
      </w:r>
      <w:proofErr w:type="spellEnd"/>
      <w:r w:rsidRPr="002D701F">
        <w:rPr>
          <w:rFonts w:ascii="Arial" w:hAnsi="Arial" w:cs="Arial"/>
          <w:sz w:val="24"/>
          <w:szCs w:val="24"/>
        </w:rPr>
        <w:t xml:space="preserve">, E., &amp; Svendsen, C. (2017). Microplastics in freshwater and terrestrial environments: Evaluating the current understanding to identify the knowledge gaps and future research priorities. </w:t>
      </w:r>
      <w:r w:rsidRPr="002D701F">
        <w:rPr>
          <w:rFonts w:ascii="Arial" w:hAnsi="Arial" w:cs="Arial"/>
          <w:i/>
          <w:iCs/>
          <w:sz w:val="24"/>
          <w:szCs w:val="24"/>
        </w:rPr>
        <w:t>Science of the Total Environment, 586</w:t>
      </w:r>
      <w:r w:rsidRPr="002D701F">
        <w:rPr>
          <w:rFonts w:ascii="Arial" w:hAnsi="Arial" w:cs="Arial"/>
          <w:sz w:val="24"/>
          <w:szCs w:val="24"/>
        </w:rPr>
        <w:t xml:space="preserve">, 127–141. </w:t>
      </w:r>
      <w:hyperlink r:id="rId61" w:history="1">
        <w:r w:rsidRPr="002D701F">
          <w:rPr>
            <w:rStyle w:val="Hyperlink"/>
            <w:rFonts w:ascii="Arial" w:hAnsi="Arial" w:cs="Arial"/>
            <w:sz w:val="24"/>
            <w:szCs w:val="24"/>
          </w:rPr>
          <w:t>https://doi.org/10.1016/j.scitotenv.2017.01.190</w:t>
        </w:r>
      </w:hyperlink>
    </w:p>
    <w:p w14:paraId="7A4333DE"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Imhof, H. K., </w:t>
      </w:r>
      <w:proofErr w:type="spellStart"/>
      <w:r w:rsidRPr="002D701F">
        <w:rPr>
          <w:rFonts w:ascii="Arial" w:hAnsi="Arial" w:cs="Arial"/>
          <w:sz w:val="24"/>
          <w:szCs w:val="24"/>
        </w:rPr>
        <w:t>Laforsch</w:t>
      </w:r>
      <w:proofErr w:type="spellEnd"/>
      <w:r w:rsidRPr="002D701F">
        <w:rPr>
          <w:rFonts w:ascii="Arial" w:hAnsi="Arial" w:cs="Arial"/>
          <w:sz w:val="24"/>
          <w:szCs w:val="24"/>
        </w:rPr>
        <w:t xml:space="preserve">, C., </w:t>
      </w:r>
      <w:proofErr w:type="spellStart"/>
      <w:r w:rsidRPr="002D701F">
        <w:rPr>
          <w:rFonts w:ascii="Arial" w:hAnsi="Arial" w:cs="Arial"/>
          <w:sz w:val="24"/>
          <w:szCs w:val="24"/>
        </w:rPr>
        <w:t>Wiesheu</w:t>
      </w:r>
      <w:proofErr w:type="spellEnd"/>
      <w:r w:rsidRPr="002D701F">
        <w:rPr>
          <w:rFonts w:ascii="Arial" w:hAnsi="Arial" w:cs="Arial"/>
          <w:sz w:val="24"/>
          <w:szCs w:val="24"/>
        </w:rPr>
        <w:t xml:space="preserve">, A. C., Schmid, J., Anger, P. M., Niessner, R., &amp; </w:t>
      </w:r>
      <w:proofErr w:type="spellStart"/>
      <w:r w:rsidRPr="002D701F">
        <w:rPr>
          <w:rFonts w:ascii="Arial" w:hAnsi="Arial" w:cs="Arial"/>
          <w:sz w:val="24"/>
          <w:szCs w:val="24"/>
        </w:rPr>
        <w:t>Ivleva</w:t>
      </w:r>
      <w:proofErr w:type="spellEnd"/>
      <w:r w:rsidRPr="002D701F">
        <w:rPr>
          <w:rFonts w:ascii="Arial" w:hAnsi="Arial" w:cs="Arial"/>
          <w:sz w:val="24"/>
          <w:szCs w:val="24"/>
        </w:rPr>
        <w:t xml:space="preserve">, N. P. (2016). Pigments and plastic in limnetic ecosystems: A qualitative and quantitative study on microparticles of different size classes. </w:t>
      </w:r>
      <w:r w:rsidRPr="002D701F">
        <w:rPr>
          <w:rFonts w:ascii="Arial" w:hAnsi="Arial" w:cs="Arial"/>
          <w:i/>
          <w:iCs/>
          <w:sz w:val="24"/>
          <w:szCs w:val="24"/>
        </w:rPr>
        <w:t>Water Research, 98</w:t>
      </w:r>
      <w:r w:rsidRPr="002D701F">
        <w:rPr>
          <w:rFonts w:ascii="Arial" w:hAnsi="Arial" w:cs="Arial"/>
          <w:sz w:val="24"/>
          <w:szCs w:val="24"/>
        </w:rPr>
        <w:t xml:space="preserve">, 64–74. </w:t>
      </w:r>
      <w:hyperlink r:id="rId62" w:history="1">
        <w:r w:rsidRPr="002D701F">
          <w:rPr>
            <w:rStyle w:val="Hyperlink"/>
            <w:rFonts w:ascii="Arial" w:hAnsi="Arial" w:cs="Arial"/>
            <w:sz w:val="24"/>
            <w:szCs w:val="24"/>
          </w:rPr>
          <w:t>https://doi.org/10.1016/j.watres.2016.03.015</w:t>
        </w:r>
      </w:hyperlink>
    </w:p>
    <w:p w14:paraId="7F29C1BB"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Isobe, A., Uchiyama-Matsumoto, K., Uchida, K., &amp; Tokai, T. (2017). Microplastics in the Southern Ocean. </w:t>
      </w:r>
      <w:r w:rsidRPr="002D701F">
        <w:rPr>
          <w:rFonts w:ascii="Arial" w:hAnsi="Arial" w:cs="Arial"/>
          <w:i/>
          <w:iCs/>
          <w:sz w:val="24"/>
          <w:szCs w:val="24"/>
        </w:rPr>
        <w:t>Marine Pollution Bulletin, 114</w:t>
      </w:r>
      <w:r w:rsidRPr="002D701F">
        <w:rPr>
          <w:rFonts w:ascii="Arial" w:hAnsi="Arial" w:cs="Arial"/>
          <w:sz w:val="24"/>
          <w:szCs w:val="24"/>
        </w:rPr>
        <w:t xml:space="preserve">(1), 623–626. </w:t>
      </w:r>
      <w:hyperlink r:id="rId63" w:history="1">
        <w:r w:rsidRPr="002D701F">
          <w:rPr>
            <w:rStyle w:val="Hyperlink"/>
            <w:rFonts w:ascii="Arial" w:hAnsi="Arial" w:cs="Arial"/>
            <w:sz w:val="24"/>
            <w:szCs w:val="24"/>
          </w:rPr>
          <w:t>https://doi.org/10.1016/j.marpolbul.2016.09.037</w:t>
        </w:r>
      </w:hyperlink>
    </w:p>
    <w:p w14:paraId="7FFA2D53"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Jagdish, R. K., Maras, J. S., &amp; Sarin, S. K. (2021). Albumin in advanced liver diseases: The good and bad of a drug! </w:t>
      </w:r>
      <w:r w:rsidRPr="002D701F">
        <w:rPr>
          <w:rFonts w:ascii="Arial" w:hAnsi="Arial" w:cs="Arial"/>
          <w:i/>
          <w:iCs/>
          <w:sz w:val="24"/>
          <w:szCs w:val="24"/>
        </w:rPr>
        <w:t>Hepatology, 74</w:t>
      </w:r>
      <w:r w:rsidRPr="002D701F">
        <w:rPr>
          <w:rFonts w:ascii="Arial" w:hAnsi="Arial" w:cs="Arial"/>
          <w:sz w:val="24"/>
          <w:szCs w:val="24"/>
        </w:rPr>
        <w:t xml:space="preserve">(5), 2848–2862. </w:t>
      </w:r>
      <w:hyperlink r:id="rId64" w:history="1">
        <w:r w:rsidRPr="002D701F">
          <w:rPr>
            <w:rStyle w:val="Hyperlink"/>
            <w:rFonts w:ascii="Arial" w:hAnsi="Arial" w:cs="Arial"/>
            <w:sz w:val="24"/>
            <w:szCs w:val="24"/>
          </w:rPr>
          <w:t>https://doi.org/10.1002/hep.32042</w:t>
        </w:r>
      </w:hyperlink>
    </w:p>
    <w:p w14:paraId="3BA9B5E0" w14:textId="77777777" w:rsidR="003E2CE9" w:rsidRPr="00DC1812" w:rsidRDefault="003E2CE9" w:rsidP="00DC1812">
      <w:pPr>
        <w:ind w:left="426" w:hanging="426"/>
        <w:jc w:val="both"/>
        <w:rPr>
          <w:rFonts w:ascii="Arial" w:hAnsi="Arial" w:cs="Arial"/>
          <w:sz w:val="24"/>
          <w:szCs w:val="24"/>
          <w:shd w:val="clear" w:color="auto" w:fill="FFFFFF"/>
        </w:rPr>
      </w:pPr>
      <w:proofErr w:type="spellStart"/>
      <w:r w:rsidRPr="00DC1812">
        <w:rPr>
          <w:rFonts w:ascii="Arial" w:cs="Arial"/>
          <w:sz w:val="24"/>
          <w:szCs w:val="24"/>
        </w:rPr>
        <w:t>Jawdhari</w:t>
      </w:r>
      <w:proofErr w:type="spellEnd"/>
      <w:r w:rsidRPr="00DC1812">
        <w:rPr>
          <w:rFonts w:ascii="Arial" w:cs="Arial"/>
          <w:sz w:val="24"/>
          <w:szCs w:val="24"/>
        </w:rPr>
        <w:t>, A., Mih</w:t>
      </w:r>
      <w:r w:rsidRPr="00DC1812">
        <w:rPr>
          <w:rFonts w:ascii="Arial" w:cs="Arial"/>
          <w:sz w:val="24"/>
          <w:szCs w:val="24"/>
        </w:rPr>
        <w:t>ă</w:t>
      </w:r>
      <w:r w:rsidRPr="00DC1812">
        <w:rPr>
          <w:rFonts w:ascii="Arial" w:cs="Arial"/>
          <w:sz w:val="24"/>
          <w:szCs w:val="24"/>
        </w:rPr>
        <w:t>ilescu, D. F., Stan, M. S., B</w:t>
      </w:r>
      <w:r w:rsidRPr="00DC1812">
        <w:rPr>
          <w:rFonts w:ascii="Arial" w:cs="Arial"/>
          <w:sz w:val="24"/>
          <w:szCs w:val="24"/>
        </w:rPr>
        <w:t>ă</w:t>
      </w:r>
      <w:r w:rsidRPr="00DC1812">
        <w:rPr>
          <w:rFonts w:ascii="Arial" w:cs="Arial"/>
          <w:sz w:val="24"/>
          <w:szCs w:val="24"/>
        </w:rPr>
        <w:t>l</w:t>
      </w:r>
      <w:r w:rsidRPr="00DC1812">
        <w:rPr>
          <w:rFonts w:ascii="Arial" w:cs="Arial"/>
          <w:sz w:val="24"/>
          <w:szCs w:val="24"/>
        </w:rPr>
        <w:t>ă</w:t>
      </w:r>
      <w:r w:rsidRPr="00DC1812">
        <w:rPr>
          <w:rFonts w:ascii="Arial" w:cs="Arial"/>
          <w:sz w:val="24"/>
          <w:szCs w:val="24"/>
        </w:rPr>
        <w:t xml:space="preserve">nescu, M. V., </w:t>
      </w:r>
      <w:proofErr w:type="spellStart"/>
      <w:r w:rsidRPr="00DC1812">
        <w:rPr>
          <w:rFonts w:ascii="Arial" w:cs="Arial"/>
          <w:sz w:val="24"/>
          <w:szCs w:val="24"/>
        </w:rPr>
        <w:t>Vl</w:t>
      </w:r>
      <w:r w:rsidRPr="00DC1812">
        <w:rPr>
          <w:rFonts w:ascii="Arial" w:cs="Arial"/>
          <w:sz w:val="24"/>
          <w:szCs w:val="24"/>
        </w:rPr>
        <w:t>ă</w:t>
      </w:r>
      <w:r w:rsidRPr="00DC1812">
        <w:rPr>
          <w:rFonts w:ascii="Arial" w:cs="Arial"/>
          <w:sz w:val="24"/>
          <w:szCs w:val="24"/>
        </w:rPr>
        <w:t>sceanu</w:t>
      </w:r>
      <w:proofErr w:type="spellEnd"/>
      <w:r w:rsidRPr="00DC1812">
        <w:rPr>
          <w:rFonts w:ascii="Arial" w:cs="Arial"/>
          <w:sz w:val="24"/>
          <w:szCs w:val="24"/>
        </w:rPr>
        <w:t>, R. I., Staicu, C. A., ... &amp; De</w:t>
      </w:r>
      <w:r w:rsidRPr="00DC1812">
        <w:rPr>
          <w:rFonts w:ascii="Arial" w:cs="Arial"/>
          <w:sz w:val="24"/>
          <w:szCs w:val="24"/>
        </w:rPr>
        <w:t>á</w:t>
      </w:r>
      <w:r w:rsidRPr="00DC1812">
        <w:rPr>
          <w:rFonts w:ascii="Arial" w:cs="Arial"/>
          <w:sz w:val="24"/>
          <w:szCs w:val="24"/>
        </w:rPr>
        <w:t>k, G. (2023). Ingestion of polyvinylchloride powder particles induces oxidative stress and hepatic histopathological changes in Oreochromis niloticus (Nile Tilapia)</w:t>
      </w:r>
      <w:r w:rsidRPr="00DC1812">
        <w:rPr>
          <w:rFonts w:ascii="Arial" w:cs="Arial"/>
          <w:sz w:val="24"/>
          <w:szCs w:val="24"/>
        </w:rPr>
        <w:t>—</w:t>
      </w:r>
      <w:r w:rsidRPr="00DC1812">
        <w:rPr>
          <w:rFonts w:ascii="Arial" w:cs="Arial"/>
          <w:sz w:val="24"/>
          <w:szCs w:val="24"/>
        </w:rPr>
        <w:t>a preliminary study.</w:t>
      </w:r>
      <w:r w:rsidRPr="00DC1812">
        <w:rPr>
          <w:rFonts w:ascii="Arial" w:cs="Arial"/>
          <w:sz w:val="24"/>
          <w:szCs w:val="24"/>
        </w:rPr>
        <w:t> </w:t>
      </w:r>
      <w:r w:rsidRPr="00DC1812">
        <w:rPr>
          <w:rFonts w:ascii="Arial" w:cs="Arial"/>
          <w:i/>
          <w:iCs/>
          <w:sz w:val="24"/>
          <w:szCs w:val="24"/>
        </w:rPr>
        <w:t>Sustainability</w:t>
      </w:r>
      <w:r w:rsidRPr="00DC1812">
        <w:rPr>
          <w:rFonts w:ascii="Arial" w:cs="Arial"/>
          <w:sz w:val="24"/>
          <w:szCs w:val="24"/>
        </w:rPr>
        <w:t>,</w:t>
      </w:r>
      <w:r w:rsidRPr="00DC1812">
        <w:rPr>
          <w:rFonts w:ascii="Arial" w:cs="Arial"/>
          <w:sz w:val="24"/>
          <w:szCs w:val="24"/>
        </w:rPr>
        <w:t> </w:t>
      </w:r>
      <w:r w:rsidRPr="00DC1812">
        <w:rPr>
          <w:rFonts w:ascii="Arial" w:cs="Arial"/>
          <w:i/>
          <w:iCs/>
          <w:sz w:val="24"/>
          <w:szCs w:val="24"/>
        </w:rPr>
        <w:t>15</w:t>
      </w:r>
      <w:r w:rsidRPr="00DC1812">
        <w:rPr>
          <w:rFonts w:ascii="Arial" w:cs="Arial"/>
          <w:sz w:val="24"/>
          <w:szCs w:val="24"/>
        </w:rPr>
        <w:t>(8), 6494.</w:t>
      </w:r>
    </w:p>
    <w:p w14:paraId="78B31B6D"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Kalas, M. A., Chavez, L., Leon, M., </w:t>
      </w:r>
      <w:proofErr w:type="spellStart"/>
      <w:r w:rsidRPr="002D701F">
        <w:rPr>
          <w:rFonts w:ascii="Arial" w:hAnsi="Arial" w:cs="Arial"/>
          <w:sz w:val="24"/>
          <w:szCs w:val="24"/>
        </w:rPr>
        <w:t>Taweesedt</w:t>
      </w:r>
      <w:proofErr w:type="spellEnd"/>
      <w:r w:rsidRPr="002D701F">
        <w:rPr>
          <w:rFonts w:ascii="Arial" w:hAnsi="Arial" w:cs="Arial"/>
          <w:sz w:val="24"/>
          <w:szCs w:val="24"/>
        </w:rPr>
        <w:t xml:space="preserve">, P. T., &amp; Surani, S. (2021). Abnormal liver enzymes: A review for clinicians. </w:t>
      </w:r>
      <w:r w:rsidRPr="002D701F">
        <w:rPr>
          <w:rFonts w:ascii="Arial" w:hAnsi="Arial" w:cs="Arial"/>
          <w:i/>
          <w:iCs/>
          <w:sz w:val="24"/>
          <w:szCs w:val="24"/>
        </w:rPr>
        <w:t>World Journal of Hepatology, 13</w:t>
      </w:r>
      <w:r w:rsidRPr="002D701F">
        <w:rPr>
          <w:rFonts w:ascii="Arial" w:hAnsi="Arial" w:cs="Arial"/>
          <w:sz w:val="24"/>
          <w:szCs w:val="24"/>
        </w:rPr>
        <w:t xml:space="preserve">(11), 1688. </w:t>
      </w:r>
      <w:hyperlink r:id="rId65" w:history="1">
        <w:r w:rsidRPr="002D701F">
          <w:rPr>
            <w:rStyle w:val="Hyperlink"/>
            <w:rFonts w:ascii="Arial" w:hAnsi="Arial" w:cs="Arial"/>
            <w:sz w:val="24"/>
            <w:szCs w:val="24"/>
          </w:rPr>
          <w:t>https://doi.org/10.4254/wjh.v13.i11.1688</w:t>
        </w:r>
      </w:hyperlink>
    </w:p>
    <w:p w14:paraId="0A3028A0"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Kumar, A., Sharma, R. K., &amp; Jain, K. (2021). A review on waste PVC recycling and management. </w:t>
      </w:r>
      <w:r w:rsidRPr="002D701F">
        <w:rPr>
          <w:rFonts w:ascii="Arial" w:hAnsi="Arial" w:cs="Arial"/>
          <w:i/>
          <w:iCs/>
          <w:sz w:val="24"/>
          <w:szCs w:val="24"/>
        </w:rPr>
        <w:t>Journal of Polymers and the Environment, 29</w:t>
      </w:r>
      <w:r w:rsidRPr="002D701F">
        <w:rPr>
          <w:rFonts w:ascii="Arial" w:hAnsi="Arial" w:cs="Arial"/>
          <w:sz w:val="24"/>
          <w:szCs w:val="24"/>
        </w:rPr>
        <w:t xml:space="preserve">(1), 98–113. </w:t>
      </w:r>
      <w:hyperlink r:id="rId66" w:history="1">
        <w:r w:rsidRPr="002D701F">
          <w:rPr>
            <w:rStyle w:val="Hyperlink"/>
            <w:rFonts w:ascii="Arial" w:hAnsi="Arial" w:cs="Arial"/>
            <w:sz w:val="24"/>
            <w:szCs w:val="24"/>
          </w:rPr>
          <w:t>https://doi.org/10.1007/s10924-020-01869-0</w:t>
        </w:r>
      </w:hyperlink>
    </w:p>
    <w:p w14:paraId="749337B2"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Kumar, R., Verma, A., Shome, A., Sinha, R., Sinha, S., Jha, P. K., &amp; Vara Prasad, P. V. (2021). Impacts of plastic pollution on ecosystem services, sustainable development </w:t>
      </w:r>
      <w:r w:rsidRPr="002D701F">
        <w:rPr>
          <w:rFonts w:ascii="Arial" w:hAnsi="Arial" w:cs="Arial"/>
          <w:sz w:val="24"/>
          <w:szCs w:val="24"/>
        </w:rPr>
        <w:lastRenderedPageBreak/>
        <w:t xml:space="preserve">goals, and need to focus on circular economy and policy interventions. </w:t>
      </w:r>
      <w:r w:rsidRPr="002D701F">
        <w:rPr>
          <w:rFonts w:ascii="Arial" w:hAnsi="Arial" w:cs="Arial"/>
          <w:i/>
          <w:iCs/>
          <w:sz w:val="24"/>
          <w:szCs w:val="24"/>
        </w:rPr>
        <w:t>Sustainability, 13</w:t>
      </w:r>
      <w:r w:rsidRPr="002D701F">
        <w:rPr>
          <w:rFonts w:ascii="Arial" w:hAnsi="Arial" w:cs="Arial"/>
          <w:sz w:val="24"/>
          <w:szCs w:val="24"/>
        </w:rPr>
        <w:t xml:space="preserve">(17), 9963. </w:t>
      </w:r>
      <w:hyperlink r:id="rId67" w:history="1">
        <w:r w:rsidRPr="002D701F">
          <w:rPr>
            <w:rStyle w:val="Hyperlink"/>
            <w:rFonts w:ascii="Arial" w:hAnsi="Arial" w:cs="Arial"/>
            <w:sz w:val="24"/>
            <w:szCs w:val="24"/>
          </w:rPr>
          <w:t>https://doi.org/10.3390/su13179963</w:t>
        </w:r>
      </w:hyperlink>
    </w:p>
    <w:p w14:paraId="4ECCA2FF" w14:textId="77777777" w:rsidR="003E2CE9" w:rsidRDefault="003E2CE9" w:rsidP="00A54637">
      <w:pPr>
        <w:ind w:left="426" w:hanging="426"/>
        <w:jc w:val="both"/>
        <w:rPr>
          <w:rFonts w:ascii="Arial" w:hAnsi="Arial" w:cs="Arial"/>
          <w:sz w:val="24"/>
          <w:szCs w:val="24"/>
          <w:shd w:val="clear" w:color="auto" w:fill="FFFFFF"/>
        </w:rPr>
      </w:pPr>
      <w:r w:rsidRPr="0054044B">
        <w:rPr>
          <w:rFonts w:ascii="Arial" w:hAnsi="Arial" w:cs="Arial"/>
          <w:sz w:val="24"/>
          <w:szCs w:val="24"/>
          <w:shd w:val="clear" w:color="auto" w:fill="FFFFFF"/>
        </w:rPr>
        <w:t>Lala, V., Zubair, M., &amp; Minter, D. (2023). Liver function tests. </w:t>
      </w:r>
      <w:proofErr w:type="spellStart"/>
      <w:r w:rsidRPr="0054044B">
        <w:rPr>
          <w:rFonts w:ascii="Arial" w:hAnsi="Arial" w:cs="Arial"/>
          <w:i/>
          <w:iCs/>
          <w:sz w:val="24"/>
          <w:szCs w:val="24"/>
          <w:shd w:val="clear" w:color="auto" w:fill="FFFFFF"/>
        </w:rPr>
        <w:t>StatPearls</w:t>
      </w:r>
      <w:proofErr w:type="spellEnd"/>
      <w:r w:rsidRPr="0054044B">
        <w:rPr>
          <w:rFonts w:ascii="Arial" w:hAnsi="Arial" w:cs="Arial"/>
          <w:sz w:val="24"/>
          <w:szCs w:val="24"/>
          <w:shd w:val="clear" w:color="auto" w:fill="FFFFFF"/>
        </w:rPr>
        <w:t>.</w:t>
      </w:r>
    </w:p>
    <w:p w14:paraId="1B95E9E1"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Lamichhane, G., Acharya, A., </w:t>
      </w:r>
      <w:proofErr w:type="spellStart"/>
      <w:r w:rsidRPr="002D701F">
        <w:rPr>
          <w:rFonts w:ascii="Arial" w:hAnsi="Arial" w:cs="Arial"/>
          <w:sz w:val="24"/>
          <w:szCs w:val="24"/>
        </w:rPr>
        <w:t>Marahatha</w:t>
      </w:r>
      <w:proofErr w:type="spellEnd"/>
      <w:r w:rsidRPr="002D701F">
        <w:rPr>
          <w:rFonts w:ascii="Arial" w:hAnsi="Arial" w:cs="Arial"/>
          <w:sz w:val="24"/>
          <w:szCs w:val="24"/>
        </w:rPr>
        <w:t xml:space="preserve">, R., Modi, B., Paudel, R., Adhikari, A., Raut, B. K., Aryal, S., &amp; Parajuli, N. (2023). Microplastics in environment: Global concern, challenges, and controlling measures. </w:t>
      </w:r>
      <w:r w:rsidRPr="002D701F">
        <w:rPr>
          <w:rFonts w:ascii="Arial" w:hAnsi="Arial" w:cs="Arial"/>
          <w:i/>
          <w:iCs/>
          <w:sz w:val="24"/>
          <w:szCs w:val="24"/>
        </w:rPr>
        <w:t>International Journal of Environmental Science and Technology, 20</w:t>
      </w:r>
      <w:r w:rsidRPr="002D701F">
        <w:rPr>
          <w:rFonts w:ascii="Arial" w:hAnsi="Arial" w:cs="Arial"/>
          <w:sz w:val="24"/>
          <w:szCs w:val="24"/>
        </w:rPr>
        <w:t xml:space="preserve">(4), 4673–4694. </w:t>
      </w:r>
      <w:hyperlink r:id="rId68" w:history="1">
        <w:r w:rsidRPr="002D701F">
          <w:rPr>
            <w:rStyle w:val="Hyperlink"/>
            <w:rFonts w:ascii="Arial" w:hAnsi="Arial" w:cs="Arial"/>
            <w:sz w:val="24"/>
            <w:szCs w:val="24"/>
          </w:rPr>
          <w:t>https://doi.org/10.1007/s13762-021-03606-3</w:t>
        </w:r>
      </w:hyperlink>
    </w:p>
    <w:p w14:paraId="613A1D06"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Lee, S., Choi, J., Jho, E. H., &amp; Shin, S. (2024). Effects of polyvinyl chloride and low-density polyethylene microplastics on oxidative stress and mitochondria function of earthworm (</w:t>
      </w:r>
      <w:r w:rsidRPr="002D701F">
        <w:rPr>
          <w:rFonts w:ascii="Arial" w:hAnsi="Arial" w:cs="Arial"/>
          <w:i/>
          <w:iCs/>
          <w:sz w:val="24"/>
          <w:szCs w:val="24"/>
        </w:rPr>
        <w:t xml:space="preserve">Eisenia </w:t>
      </w:r>
      <w:proofErr w:type="spellStart"/>
      <w:r w:rsidRPr="002D701F">
        <w:rPr>
          <w:rFonts w:ascii="Arial" w:hAnsi="Arial" w:cs="Arial"/>
          <w:i/>
          <w:iCs/>
          <w:sz w:val="24"/>
          <w:szCs w:val="24"/>
        </w:rPr>
        <w:t>fetida</w:t>
      </w:r>
      <w:proofErr w:type="spellEnd"/>
      <w:r w:rsidRPr="002D701F">
        <w:rPr>
          <w:rFonts w:ascii="Arial" w:hAnsi="Arial" w:cs="Arial"/>
          <w:sz w:val="24"/>
          <w:szCs w:val="24"/>
        </w:rPr>
        <w:t xml:space="preserve">). </w:t>
      </w:r>
      <w:r w:rsidRPr="002D701F">
        <w:rPr>
          <w:rFonts w:ascii="Arial" w:hAnsi="Arial" w:cs="Arial"/>
          <w:i/>
          <w:iCs/>
          <w:sz w:val="24"/>
          <w:szCs w:val="24"/>
        </w:rPr>
        <w:t>Ecotoxicology and Environmental Safety, 283</w:t>
      </w:r>
      <w:r w:rsidRPr="002D701F">
        <w:rPr>
          <w:rFonts w:ascii="Arial" w:hAnsi="Arial" w:cs="Arial"/>
          <w:sz w:val="24"/>
          <w:szCs w:val="24"/>
        </w:rPr>
        <w:t xml:space="preserve">, 116847. </w:t>
      </w:r>
      <w:hyperlink r:id="rId69" w:history="1">
        <w:r w:rsidRPr="002D701F">
          <w:rPr>
            <w:rStyle w:val="Hyperlink"/>
            <w:rFonts w:ascii="Arial" w:hAnsi="Arial" w:cs="Arial"/>
            <w:sz w:val="24"/>
            <w:szCs w:val="24"/>
          </w:rPr>
          <w:t>https://doi.org/10.1016/j.ecoenv.2024.116847</w:t>
        </w:r>
      </w:hyperlink>
    </w:p>
    <w:p w14:paraId="0D78698A"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Lee, S., Kang, K. K., Sung, S. E., Choi, J. H., Sung, M., Seong, K. Y., et al. (2022). In vivo toxicity and pharmacokinetics of polytetrafluoroethylene microplastics in ICR mice. </w:t>
      </w:r>
      <w:r w:rsidRPr="002D701F">
        <w:rPr>
          <w:rFonts w:ascii="Arial" w:hAnsi="Arial" w:cs="Arial"/>
          <w:i/>
          <w:iCs/>
          <w:sz w:val="24"/>
          <w:szCs w:val="24"/>
        </w:rPr>
        <w:t>Polymers, 14</w:t>
      </w:r>
      <w:r w:rsidRPr="002D701F">
        <w:rPr>
          <w:rFonts w:ascii="Arial" w:hAnsi="Arial" w:cs="Arial"/>
          <w:sz w:val="24"/>
          <w:szCs w:val="24"/>
        </w:rPr>
        <w:t xml:space="preserve">(11), 2220. </w:t>
      </w:r>
      <w:hyperlink r:id="rId70" w:history="1">
        <w:r w:rsidRPr="002D701F">
          <w:rPr>
            <w:rStyle w:val="Hyperlink"/>
            <w:rFonts w:ascii="Arial" w:hAnsi="Arial" w:cs="Arial"/>
            <w:sz w:val="24"/>
            <w:szCs w:val="24"/>
          </w:rPr>
          <w:t>https://doi.org/10.3390/polym14112220</w:t>
        </w:r>
      </w:hyperlink>
    </w:p>
    <w:p w14:paraId="5F759E5C"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Lewandowski, K., &amp; Skórczewska, K. (2022). A brief review of poly (vinyl chloride) (PVC) recycling. </w:t>
      </w:r>
      <w:r w:rsidRPr="002D701F">
        <w:rPr>
          <w:rFonts w:ascii="Arial" w:hAnsi="Arial" w:cs="Arial"/>
          <w:i/>
          <w:iCs/>
          <w:sz w:val="24"/>
          <w:szCs w:val="24"/>
        </w:rPr>
        <w:t>Polymers, 14</w:t>
      </w:r>
      <w:r w:rsidRPr="002D701F">
        <w:rPr>
          <w:rFonts w:ascii="Arial" w:hAnsi="Arial" w:cs="Arial"/>
          <w:sz w:val="24"/>
          <w:szCs w:val="24"/>
        </w:rPr>
        <w:t xml:space="preserve">(15), 3035. </w:t>
      </w:r>
      <w:hyperlink r:id="rId71" w:history="1">
        <w:r w:rsidRPr="002D701F">
          <w:rPr>
            <w:rStyle w:val="Hyperlink"/>
            <w:rFonts w:ascii="Arial" w:hAnsi="Arial" w:cs="Arial"/>
            <w:sz w:val="24"/>
            <w:szCs w:val="24"/>
          </w:rPr>
          <w:t>https://doi.org/10.3390/polym14153035</w:t>
        </w:r>
      </w:hyperlink>
    </w:p>
    <w:p w14:paraId="3E491759"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Li, L., Xu, M., He, C., Wang, H., &amp; Hu, Q. (2022). Polystyrene nano plastics potentiate the development of hepatic fibrosis in </w:t>
      </w:r>
      <w:proofErr w:type="gramStart"/>
      <w:r w:rsidRPr="002D701F">
        <w:rPr>
          <w:rFonts w:ascii="Arial" w:hAnsi="Arial" w:cs="Arial"/>
          <w:sz w:val="24"/>
          <w:szCs w:val="24"/>
        </w:rPr>
        <w:t>a high</w:t>
      </w:r>
      <w:proofErr w:type="gramEnd"/>
      <w:r w:rsidRPr="002D701F">
        <w:rPr>
          <w:rFonts w:ascii="Arial" w:hAnsi="Arial" w:cs="Arial"/>
          <w:sz w:val="24"/>
          <w:szCs w:val="24"/>
        </w:rPr>
        <w:t xml:space="preserve"> fat </w:t>
      </w:r>
      <w:proofErr w:type="gramStart"/>
      <w:r w:rsidRPr="002D701F">
        <w:rPr>
          <w:rFonts w:ascii="Arial" w:hAnsi="Arial" w:cs="Arial"/>
          <w:sz w:val="24"/>
          <w:szCs w:val="24"/>
        </w:rPr>
        <w:t>diet-fed mice</w:t>
      </w:r>
      <w:proofErr w:type="gramEnd"/>
      <w:r w:rsidRPr="002D701F">
        <w:rPr>
          <w:rFonts w:ascii="Arial" w:hAnsi="Arial" w:cs="Arial"/>
          <w:sz w:val="24"/>
          <w:szCs w:val="24"/>
        </w:rPr>
        <w:t xml:space="preserve">. </w:t>
      </w:r>
      <w:r w:rsidRPr="002D701F">
        <w:rPr>
          <w:rFonts w:ascii="Arial" w:hAnsi="Arial" w:cs="Arial"/>
          <w:i/>
          <w:iCs/>
          <w:sz w:val="24"/>
          <w:szCs w:val="24"/>
        </w:rPr>
        <w:t>Environmental Toxicology, 37</w:t>
      </w:r>
      <w:r w:rsidRPr="002D701F">
        <w:rPr>
          <w:rFonts w:ascii="Arial" w:hAnsi="Arial" w:cs="Arial"/>
          <w:sz w:val="24"/>
          <w:szCs w:val="24"/>
        </w:rPr>
        <w:t xml:space="preserve">(2), 362–372. </w:t>
      </w:r>
      <w:hyperlink r:id="rId72" w:history="1">
        <w:r w:rsidRPr="002D701F">
          <w:rPr>
            <w:rStyle w:val="Hyperlink"/>
            <w:rFonts w:ascii="Arial" w:hAnsi="Arial" w:cs="Arial"/>
            <w:sz w:val="24"/>
            <w:szCs w:val="24"/>
          </w:rPr>
          <w:t>https://doi.org/10.1002/tox.23332</w:t>
        </w:r>
      </w:hyperlink>
    </w:p>
    <w:p w14:paraId="151188B4"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Li, Y., Tao, L., Wang, Q., Wang, F., Li, G., &amp; Song, M. (2023). Potential health impact of microplastics: A review of environmental distribution, human exposure, and toxic effects. </w:t>
      </w:r>
      <w:r w:rsidRPr="002D701F">
        <w:rPr>
          <w:rFonts w:ascii="Arial" w:hAnsi="Arial" w:cs="Arial"/>
          <w:i/>
          <w:iCs/>
          <w:sz w:val="24"/>
          <w:szCs w:val="24"/>
        </w:rPr>
        <w:t>Environment &amp; Health, 1</w:t>
      </w:r>
      <w:r w:rsidRPr="002D701F">
        <w:rPr>
          <w:rFonts w:ascii="Arial" w:hAnsi="Arial" w:cs="Arial"/>
          <w:sz w:val="24"/>
          <w:szCs w:val="24"/>
        </w:rPr>
        <w:t xml:space="preserve">(4), 249–257. </w:t>
      </w:r>
      <w:hyperlink r:id="rId73" w:history="1">
        <w:r w:rsidRPr="002D701F">
          <w:rPr>
            <w:rStyle w:val="Hyperlink"/>
            <w:rFonts w:ascii="Arial" w:hAnsi="Arial" w:cs="Arial"/>
            <w:sz w:val="24"/>
            <w:szCs w:val="24"/>
          </w:rPr>
          <w:t>https://doi.org/10.1016/j.envh.2023.06.004</w:t>
        </w:r>
      </w:hyperlink>
    </w:p>
    <w:p w14:paraId="5CB60CEC"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Li, Z., Gao, C. M., Yang, J. L., Wu, L. Z., Zhang, S., Liu, Y. H., &amp; Jin, D. D. (2020). Distribution characteristics of microplastics in surface water and sediments of </w:t>
      </w:r>
      <w:proofErr w:type="spellStart"/>
      <w:r w:rsidRPr="002D701F">
        <w:rPr>
          <w:rFonts w:ascii="Arial" w:hAnsi="Arial" w:cs="Arial"/>
          <w:sz w:val="24"/>
          <w:szCs w:val="24"/>
        </w:rPr>
        <w:t>Haizhou</w:t>
      </w:r>
      <w:proofErr w:type="spellEnd"/>
      <w:r w:rsidRPr="002D701F">
        <w:rPr>
          <w:rFonts w:ascii="Arial" w:hAnsi="Arial" w:cs="Arial"/>
          <w:sz w:val="24"/>
          <w:szCs w:val="24"/>
        </w:rPr>
        <w:t xml:space="preserve"> Bay, Lianyungang. </w:t>
      </w:r>
      <w:r w:rsidRPr="002D701F">
        <w:rPr>
          <w:rFonts w:ascii="Arial" w:hAnsi="Arial" w:cs="Arial"/>
          <w:i/>
          <w:iCs/>
          <w:sz w:val="24"/>
          <w:szCs w:val="24"/>
        </w:rPr>
        <w:t>Huan Jing Ke Xue, 41</w:t>
      </w:r>
      <w:r w:rsidRPr="002D701F">
        <w:rPr>
          <w:rFonts w:ascii="Arial" w:hAnsi="Arial" w:cs="Arial"/>
          <w:sz w:val="24"/>
          <w:szCs w:val="24"/>
        </w:rPr>
        <w:t xml:space="preserve">(7), 3212–3221. </w:t>
      </w:r>
      <w:hyperlink r:id="rId74" w:history="1">
        <w:r w:rsidRPr="002D701F">
          <w:rPr>
            <w:rStyle w:val="Hyperlink"/>
            <w:rFonts w:ascii="Arial" w:hAnsi="Arial" w:cs="Arial"/>
            <w:sz w:val="24"/>
            <w:szCs w:val="24"/>
          </w:rPr>
          <w:t>https://doi.org/10.13227/j.hjkx.201911186</w:t>
        </w:r>
      </w:hyperlink>
    </w:p>
    <w:p w14:paraId="4F1AA807"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Mahesha, H. B. (2012). Estimation of protein by Biuret method. </w:t>
      </w:r>
      <w:r w:rsidRPr="002D701F">
        <w:rPr>
          <w:rFonts w:ascii="Arial" w:hAnsi="Arial" w:cs="Arial"/>
          <w:i/>
          <w:iCs/>
          <w:sz w:val="24"/>
          <w:szCs w:val="24"/>
        </w:rPr>
        <w:t>Yuvaraja’s College, Mysore</w:t>
      </w:r>
      <w:r w:rsidRPr="002D701F">
        <w:rPr>
          <w:rFonts w:ascii="Arial" w:hAnsi="Arial" w:cs="Arial"/>
          <w:sz w:val="24"/>
          <w:szCs w:val="24"/>
        </w:rPr>
        <w:t>. [Unpublished academic material]</w:t>
      </w:r>
    </w:p>
    <w:p w14:paraId="4CACFCC5" w14:textId="77777777" w:rsidR="003E2CE9" w:rsidRPr="00BE7440" w:rsidRDefault="003E2CE9" w:rsidP="00BE7440">
      <w:pPr>
        <w:ind w:left="426" w:hanging="426"/>
        <w:jc w:val="both"/>
        <w:rPr>
          <w:rFonts w:ascii="Arial" w:cs="Arial"/>
          <w:sz w:val="24"/>
          <w:szCs w:val="24"/>
          <w:lang w:val="en-GB"/>
        </w:rPr>
      </w:pPr>
      <w:r w:rsidRPr="00BE7440">
        <w:rPr>
          <w:rFonts w:ascii="Arial" w:cs="Arial"/>
          <w:sz w:val="24"/>
          <w:szCs w:val="24"/>
          <w:lang w:val="en-GB"/>
        </w:rPr>
        <w:t xml:space="preserve">Mahmud, F., Sarker, D. B., Jocelyn, J. A., &amp; Sang, Q. X. A. (2024). Molecular and cellular effects of microplastics and nanoplastics: Focus on inflammation and senescence. </w:t>
      </w:r>
      <w:r w:rsidRPr="00BE7440">
        <w:rPr>
          <w:rFonts w:ascii="Arial" w:cs="Arial"/>
          <w:i/>
          <w:iCs/>
          <w:sz w:val="24"/>
          <w:szCs w:val="24"/>
          <w:lang w:val="en-GB"/>
        </w:rPr>
        <w:t>Cells, 13</w:t>
      </w:r>
      <w:r w:rsidRPr="00BE7440">
        <w:rPr>
          <w:rFonts w:ascii="Arial" w:cs="Arial"/>
          <w:sz w:val="24"/>
          <w:szCs w:val="24"/>
          <w:lang w:val="en-GB"/>
        </w:rPr>
        <w:t xml:space="preserve">(21), 1788. </w:t>
      </w:r>
      <w:hyperlink r:id="rId75" w:history="1">
        <w:r w:rsidRPr="00BE7440">
          <w:rPr>
            <w:rStyle w:val="Hyperlink"/>
            <w:rFonts w:ascii="Arial" w:cs="Arial"/>
            <w:sz w:val="24"/>
            <w:szCs w:val="24"/>
            <w:lang w:val="en-GB"/>
          </w:rPr>
          <w:t>https://doi.org/10.3390/cells13211788</w:t>
        </w:r>
      </w:hyperlink>
    </w:p>
    <w:p w14:paraId="2369DE72"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Makris, K. F., Langeveld, J., &amp; Clemens, F. H. (2020). A review on the durability of PVC sewer pipes: Research vs. practice. </w:t>
      </w:r>
      <w:r w:rsidRPr="002D701F">
        <w:rPr>
          <w:rFonts w:ascii="Arial" w:hAnsi="Arial" w:cs="Arial"/>
          <w:i/>
          <w:iCs/>
          <w:sz w:val="24"/>
          <w:szCs w:val="24"/>
        </w:rPr>
        <w:t>Structure and Infrastructure Engineering, 16</w:t>
      </w:r>
      <w:r w:rsidRPr="002D701F">
        <w:rPr>
          <w:rFonts w:ascii="Arial" w:hAnsi="Arial" w:cs="Arial"/>
          <w:sz w:val="24"/>
          <w:szCs w:val="24"/>
        </w:rPr>
        <w:t xml:space="preserve">(6), 880–897. </w:t>
      </w:r>
      <w:hyperlink r:id="rId76" w:history="1">
        <w:r w:rsidRPr="002D701F">
          <w:rPr>
            <w:rStyle w:val="Hyperlink"/>
            <w:rFonts w:ascii="Arial" w:hAnsi="Arial" w:cs="Arial"/>
            <w:sz w:val="24"/>
            <w:szCs w:val="24"/>
          </w:rPr>
          <w:t>https://doi.org/10.1080/15732479.2019.1678403</w:t>
        </w:r>
      </w:hyperlink>
    </w:p>
    <w:p w14:paraId="2F877CD4"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Mathew, J. T., </w:t>
      </w:r>
      <w:proofErr w:type="spellStart"/>
      <w:r w:rsidRPr="002D701F">
        <w:rPr>
          <w:rFonts w:ascii="Arial" w:hAnsi="Arial" w:cs="Arial"/>
          <w:sz w:val="24"/>
          <w:szCs w:val="24"/>
        </w:rPr>
        <w:t>Inobeme</w:t>
      </w:r>
      <w:proofErr w:type="spellEnd"/>
      <w:r w:rsidRPr="002D701F">
        <w:rPr>
          <w:rFonts w:ascii="Arial" w:hAnsi="Arial" w:cs="Arial"/>
          <w:sz w:val="24"/>
          <w:szCs w:val="24"/>
        </w:rPr>
        <w:t xml:space="preserve">, A., </w:t>
      </w:r>
      <w:proofErr w:type="spellStart"/>
      <w:r w:rsidRPr="002D701F">
        <w:rPr>
          <w:rFonts w:ascii="Arial" w:hAnsi="Arial" w:cs="Arial"/>
          <w:sz w:val="24"/>
          <w:szCs w:val="24"/>
        </w:rPr>
        <w:t>Adetuyi</w:t>
      </w:r>
      <w:proofErr w:type="spellEnd"/>
      <w:r w:rsidRPr="002D701F">
        <w:rPr>
          <w:rFonts w:ascii="Arial" w:hAnsi="Arial" w:cs="Arial"/>
          <w:sz w:val="24"/>
          <w:szCs w:val="24"/>
        </w:rPr>
        <w:t xml:space="preserve">, B. O., Adetunji, C. O., Popoola, O. A., Olaitan, F. Y., </w:t>
      </w:r>
      <w:proofErr w:type="spellStart"/>
      <w:r w:rsidRPr="002D701F">
        <w:rPr>
          <w:rFonts w:ascii="Arial" w:hAnsi="Arial" w:cs="Arial"/>
          <w:sz w:val="24"/>
          <w:szCs w:val="24"/>
        </w:rPr>
        <w:t>Akinbo</w:t>
      </w:r>
      <w:proofErr w:type="spellEnd"/>
      <w:r w:rsidRPr="002D701F">
        <w:rPr>
          <w:rFonts w:ascii="Arial" w:hAnsi="Arial" w:cs="Arial"/>
          <w:sz w:val="24"/>
          <w:szCs w:val="24"/>
        </w:rPr>
        <w:t xml:space="preserve">, O., Shahnawaz, M., Oyewole, O. A., KIT, E., &amp; Yerima, M. B. (2024). General </w:t>
      </w:r>
      <w:r w:rsidRPr="002D701F">
        <w:rPr>
          <w:rFonts w:ascii="Arial" w:hAnsi="Arial" w:cs="Arial"/>
          <w:sz w:val="24"/>
          <w:szCs w:val="24"/>
        </w:rPr>
        <w:lastRenderedPageBreak/>
        <w:t xml:space="preserve">introduction of microplastic: Uses, types, and generation. In </w:t>
      </w:r>
      <w:r w:rsidRPr="002D701F">
        <w:rPr>
          <w:rFonts w:ascii="Arial" w:hAnsi="Arial" w:cs="Arial"/>
          <w:i/>
          <w:iCs/>
          <w:sz w:val="24"/>
          <w:szCs w:val="24"/>
        </w:rPr>
        <w:t>Microplastic pollution</w:t>
      </w:r>
      <w:r w:rsidRPr="002D701F">
        <w:rPr>
          <w:rFonts w:ascii="Arial" w:hAnsi="Arial" w:cs="Arial"/>
          <w:sz w:val="24"/>
          <w:szCs w:val="24"/>
        </w:rPr>
        <w:t xml:space="preserve"> (pp. 3–21). Springer Nature Singapore. </w:t>
      </w:r>
      <w:hyperlink r:id="rId77" w:history="1">
        <w:r w:rsidRPr="002D701F">
          <w:rPr>
            <w:rStyle w:val="Hyperlink"/>
            <w:rFonts w:ascii="Arial" w:hAnsi="Arial" w:cs="Arial"/>
            <w:sz w:val="24"/>
            <w:szCs w:val="24"/>
          </w:rPr>
          <w:t>https://doi.org/10.1007/978-981-99-4462-4_1</w:t>
        </w:r>
      </w:hyperlink>
    </w:p>
    <w:p w14:paraId="7BCC9A71"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McCombie, G., </w:t>
      </w:r>
      <w:proofErr w:type="spellStart"/>
      <w:r w:rsidRPr="002D701F">
        <w:rPr>
          <w:rFonts w:ascii="Arial" w:hAnsi="Arial" w:cs="Arial"/>
          <w:sz w:val="24"/>
          <w:szCs w:val="24"/>
        </w:rPr>
        <w:t>Hötzer</w:t>
      </w:r>
      <w:proofErr w:type="spellEnd"/>
      <w:r w:rsidRPr="002D701F">
        <w:rPr>
          <w:rFonts w:ascii="Arial" w:hAnsi="Arial" w:cs="Arial"/>
          <w:sz w:val="24"/>
          <w:szCs w:val="24"/>
        </w:rPr>
        <w:t xml:space="preserve">, K., Daniel, J., Biedermann, M., Eicher, A., &amp; Grob, K. (2016). Compliance work for polyolefins in food contact: Results of an official control campaign. </w:t>
      </w:r>
      <w:r w:rsidRPr="002D701F">
        <w:rPr>
          <w:rFonts w:ascii="Arial" w:hAnsi="Arial" w:cs="Arial"/>
          <w:i/>
          <w:iCs/>
          <w:sz w:val="24"/>
          <w:szCs w:val="24"/>
        </w:rPr>
        <w:t>Food Control, 59</w:t>
      </w:r>
      <w:r w:rsidRPr="002D701F">
        <w:rPr>
          <w:rFonts w:ascii="Arial" w:hAnsi="Arial" w:cs="Arial"/>
          <w:sz w:val="24"/>
          <w:szCs w:val="24"/>
        </w:rPr>
        <w:t xml:space="preserve">, 793–800. </w:t>
      </w:r>
      <w:hyperlink r:id="rId78" w:history="1">
        <w:r w:rsidRPr="002D701F">
          <w:rPr>
            <w:rStyle w:val="Hyperlink"/>
            <w:rFonts w:ascii="Arial" w:hAnsi="Arial" w:cs="Arial"/>
            <w:sz w:val="24"/>
            <w:szCs w:val="24"/>
          </w:rPr>
          <w:t>https://doi.org/10.1016/j.foodcont.2015.06.035</w:t>
        </w:r>
      </w:hyperlink>
    </w:p>
    <w:p w14:paraId="734DE18D"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Pilapitiya, P. N. T., &amp; Ratnayake, A. S. (2024). The world of plastic waste: A review. </w:t>
      </w:r>
      <w:r w:rsidRPr="002D701F">
        <w:rPr>
          <w:rFonts w:ascii="Arial" w:hAnsi="Arial" w:cs="Arial"/>
          <w:i/>
          <w:iCs/>
          <w:sz w:val="24"/>
          <w:szCs w:val="24"/>
        </w:rPr>
        <w:t>Cleaner Materials, 2</w:t>
      </w:r>
      <w:r w:rsidRPr="002D701F">
        <w:rPr>
          <w:rFonts w:ascii="Arial" w:hAnsi="Arial" w:cs="Arial"/>
          <w:sz w:val="24"/>
          <w:szCs w:val="24"/>
        </w:rPr>
        <w:t xml:space="preserve">, 100220. </w:t>
      </w:r>
      <w:hyperlink r:id="rId79" w:history="1">
        <w:r w:rsidRPr="002D701F">
          <w:rPr>
            <w:rStyle w:val="Hyperlink"/>
            <w:rFonts w:ascii="Arial" w:hAnsi="Arial" w:cs="Arial"/>
            <w:sz w:val="24"/>
            <w:szCs w:val="24"/>
          </w:rPr>
          <w:t>https://doi.org/10.1016/j.clema.2024.100220</w:t>
        </w:r>
      </w:hyperlink>
    </w:p>
    <w:p w14:paraId="0DD2CBD9"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Rafey, A., &amp; Siddiqui, F. Z. (2023). A review of plastic waste management in India–Challenges and opportunities. </w:t>
      </w:r>
      <w:r w:rsidRPr="002D701F">
        <w:rPr>
          <w:rFonts w:ascii="Arial" w:hAnsi="Arial" w:cs="Arial"/>
          <w:i/>
          <w:iCs/>
          <w:sz w:val="24"/>
          <w:szCs w:val="24"/>
        </w:rPr>
        <w:t>International Journal of Environmental Analytical Chemistry, 103</w:t>
      </w:r>
      <w:r w:rsidRPr="002D701F">
        <w:rPr>
          <w:rFonts w:ascii="Arial" w:hAnsi="Arial" w:cs="Arial"/>
          <w:sz w:val="24"/>
          <w:szCs w:val="24"/>
        </w:rPr>
        <w:t xml:space="preserve">(16), 3971–3987. </w:t>
      </w:r>
      <w:hyperlink r:id="rId80" w:history="1">
        <w:r w:rsidRPr="002D701F">
          <w:rPr>
            <w:rStyle w:val="Hyperlink"/>
            <w:rFonts w:ascii="Arial" w:hAnsi="Arial" w:cs="Arial"/>
            <w:sz w:val="24"/>
            <w:szCs w:val="24"/>
          </w:rPr>
          <w:t>https://doi.org/10.1080/03067319.2021.2012137</w:t>
        </w:r>
      </w:hyperlink>
    </w:p>
    <w:p w14:paraId="6AE2ED6A"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Rajvanshi, J., </w:t>
      </w:r>
      <w:proofErr w:type="spellStart"/>
      <w:r w:rsidRPr="002D701F">
        <w:rPr>
          <w:rFonts w:ascii="Arial" w:hAnsi="Arial" w:cs="Arial"/>
          <w:sz w:val="24"/>
          <w:szCs w:val="24"/>
        </w:rPr>
        <w:t>Sogani</w:t>
      </w:r>
      <w:proofErr w:type="spellEnd"/>
      <w:r w:rsidRPr="002D701F">
        <w:rPr>
          <w:rFonts w:ascii="Arial" w:hAnsi="Arial" w:cs="Arial"/>
          <w:sz w:val="24"/>
          <w:szCs w:val="24"/>
        </w:rPr>
        <w:t xml:space="preserve">, M., </w:t>
      </w:r>
      <w:proofErr w:type="spellStart"/>
      <w:r w:rsidRPr="002D701F">
        <w:rPr>
          <w:rFonts w:ascii="Arial" w:hAnsi="Arial" w:cs="Arial"/>
          <w:sz w:val="24"/>
          <w:szCs w:val="24"/>
        </w:rPr>
        <w:t>Tziouvaras</w:t>
      </w:r>
      <w:proofErr w:type="spellEnd"/>
      <w:r w:rsidRPr="002D701F">
        <w:rPr>
          <w:rFonts w:ascii="Arial" w:hAnsi="Arial" w:cs="Arial"/>
          <w:sz w:val="24"/>
          <w:szCs w:val="24"/>
        </w:rPr>
        <w:t xml:space="preserve">, G., Kumar, A., Syed, Z., Sonu, K., Gupta, N. S., &amp; Sen, H. (2024). An analytical review on revamping plastic waste management: Exploring recycling, biodegradation, and the growing role of biobased plastics. </w:t>
      </w:r>
      <w:r w:rsidRPr="002D701F">
        <w:rPr>
          <w:rFonts w:ascii="Arial" w:hAnsi="Arial" w:cs="Arial"/>
          <w:i/>
          <w:iCs/>
          <w:sz w:val="24"/>
          <w:szCs w:val="24"/>
        </w:rPr>
        <w:t>Environmental Science and Pollution Research</w:t>
      </w:r>
      <w:r w:rsidRPr="002D701F">
        <w:rPr>
          <w:rFonts w:ascii="Arial" w:hAnsi="Arial" w:cs="Arial"/>
          <w:sz w:val="24"/>
          <w:szCs w:val="24"/>
        </w:rPr>
        <w:t xml:space="preserve">. </w:t>
      </w:r>
      <w:hyperlink r:id="rId81" w:history="1">
        <w:r w:rsidRPr="002D701F">
          <w:rPr>
            <w:rStyle w:val="Hyperlink"/>
            <w:rFonts w:ascii="Arial" w:hAnsi="Arial" w:cs="Arial"/>
            <w:sz w:val="24"/>
            <w:szCs w:val="24"/>
          </w:rPr>
          <w:t>https://doi.org/10.1007/s11356-024-32256-4</w:t>
        </w:r>
      </w:hyperlink>
    </w:p>
    <w:p w14:paraId="1EBAF472"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Re III, V. L., Haynes, K., Forde, K. A., Goldberg, D. S., Lewis, J. D., Carbonari, D. M., ... &amp; Corley, D. A. (2015). Risk of acute liver failure in patients with drug-induced liver injury: Evaluation of Hy’s law and a new prognostic model. </w:t>
      </w:r>
      <w:r w:rsidRPr="002D701F">
        <w:rPr>
          <w:rFonts w:ascii="Arial" w:hAnsi="Arial" w:cs="Arial"/>
          <w:i/>
          <w:iCs/>
          <w:sz w:val="24"/>
          <w:szCs w:val="24"/>
        </w:rPr>
        <w:t>Clinical Gastroenterology and Hepatology, 13</w:t>
      </w:r>
      <w:r w:rsidRPr="002D701F">
        <w:rPr>
          <w:rFonts w:ascii="Arial" w:hAnsi="Arial" w:cs="Arial"/>
          <w:sz w:val="24"/>
          <w:szCs w:val="24"/>
        </w:rPr>
        <w:t xml:space="preserve">(13), 2360–2368. </w:t>
      </w:r>
      <w:hyperlink r:id="rId82" w:history="1">
        <w:r w:rsidRPr="002D701F">
          <w:rPr>
            <w:rStyle w:val="Hyperlink"/>
            <w:rFonts w:ascii="Arial" w:hAnsi="Arial" w:cs="Arial"/>
            <w:sz w:val="24"/>
            <w:szCs w:val="24"/>
          </w:rPr>
          <w:t>https://doi.org/10.1016/j.cgh.2015.05.024</w:t>
        </w:r>
      </w:hyperlink>
    </w:p>
    <w:p w14:paraId="0540737D" w14:textId="77777777" w:rsidR="003E2CE9" w:rsidRDefault="003E2CE9" w:rsidP="00A54637">
      <w:pPr>
        <w:ind w:left="426" w:hanging="426"/>
        <w:jc w:val="both"/>
        <w:rPr>
          <w:rFonts w:ascii="Arial" w:hAnsi="Arial" w:cs="Arial"/>
          <w:sz w:val="24"/>
          <w:szCs w:val="24"/>
          <w:shd w:val="clear" w:color="auto" w:fill="FFFFFF"/>
        </w:rPr>
      </w:pPr>
      <w:proofErr w:type="spellStart"/>
      <w:r w:rsidRPr="00624405">
        <w:rPr>
          <w:rFonts w:ascii="Arial" w:hAnsi="Arial" w:cs="Arial"/>
          <w:sz w:val="24"/>
          <w:szCs w:val="24"/>
          <w:shd w:val="clear" w:color="auto" w:fill="FFFFFF"/>
        </w:rPr>
        <w:t>Rochling</w:t>
      </w:r>
      <w:proofErr w:type="spellEnd"/>
      <w:r w:rsidRPr="00624405">
        <w:rPr>
          <w:rFonts w:ascii="Arial" w:hAnsi="Arial" w:cs="Arial"/>
          <w:sz w:val="24"/>
          <w:szCs w:val="24"/>
          <w:shd w:val="clear" w:color="auto" w:fill="FFFFFF"/>
        </w:rPr>
        <w:t>, F. A. (2001). Evaluation of abnormal liver tests. </w:t>
      </w:r>
      <w:r w:rsidRPr="00624405">
        <w:rPr>
          <w:rFonts w:ascii="Arial" w:hAnsi="Arial" w:cs="Arial"/>
          <w:i/>
          <w:iCs/>
          <w:sz w:val="24"/>
          <w:szCs w:val="24"/>
          <w:shd w:val="clear" w:color="auto" w:fill="FFFFFF"/>
        </w:rPr>
        <w:t>Clinical cornerstone</w:t>
      </w:r>
      <w:r w:rsidRPr="00624405">
        <w:rPr>
          <w:rFonts w:ascii="Arial" w:hAnsi="Arial" w:cs="Arial"/>
          <w:sz w:val="24"/>
          <w:szCs w:val="24"/>
          <w:shd w:val="clear" w:color="auto" w:fill="FFFFFF"/>
        </w:rPr>
        <w:t>, </w:t>
      </w:r>
      <w:r w:rsidRPr="00624405">
        <w:rPr>
          <w:rFonts w:ascii="Arial" w:hAnsi="Arial" w:cs="Arial"/>
          <w:i/>
          <w:iCs/>
          <w:sz w:val="24"/>
          <w:szCs w:val="24"/>
          <w:shd w:val="clear" w:color="auto" w:fill="FFFFFF"/>
        </w:rPr>
        <w:t>3</w:t>
      </w:r>
      <w:r w:rsidRPr="00624405">
        <w:rPr>
          <w:rFonts w:ascii="Arial" w:hAnsi="Arial" w:cs="Arial"/>
          <w:sz w:val="24"/>
          <w:szCs w:val="24"/>
          <w:shd w:val="clear" w:color="auto" w:fill="FFFFFF"/>
        </w:rPr>
        <w:t>(6), 1-12.</w:t>
      </w:r>
    </w:p>
    <w:p w14:paraId="149B2D1F"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Said, A., Yassin, S., Mohammad, S., Muhammad, E., Abdelnaby, A., &amp; Ali, W. (2023). Studying the protective effect of N-acetyl cysteine and L-carnitine on testicular toxicity induced by valproic acid administration in adult male albino rats. </w:t>
      </w:r>
      <w:r w:rsidRPr="002D701F">
        <w:rPr>
          <w:rFonts w:ascii="Arial" w:hAnsi="Arial" w:cs="Arial"/>
          <w:i/>
          <w:iCs/>
          <w:sz w:val="24"/>
          <w:szCs w:val="24"/>
        </w:rPr>
        <w:t>Ain Shams Journal of Forensic Medicine and Clinical Toxicology, 41</w:t>
      </w:r>
      <w:r w:rsidRPr="002D701F">
        <w:rPr>
          <w:rFonts w:ascii="Arial" w:hAnsi="Arial" w:cs="Arial"/>
          <w:sz w:val="24"/>
          <w:szCs w:val="24"/>
        </w:rPr>
        <w:t>(2), 24–32.</w:t>
      </w:r>
    </w:p>
    <w:p w14:paraId="201EC645" w14:textId="77777777" w:rsidR="003E2CE9" w:rsidRPr="002D701F" w:rsidRDefault="003E2CE9" w:rsidP="00A54637">
      <w:pPr>
        <w:spacing w:after="160" w:line="259" w:lineRule="auto"/>
        <w:ind w:left="426" w:hanging="426"/>
        <w:jc w:val="both"/>
        <w:rPr>
          <w:rFonts w:ascii="Arial" w:hAnsi="Arial" w:cs="Arial"/>
          <w:sz w:val="24"/>
          <w:szCs w:val="24"/>
        </w:rPr>
      </w:pPr>
      <w:proofErr w:type="spellStart"/>
      <w:r w:rsidRPr="002D701F">
        <w:rPr>
          <w:rFonts w:ascii="Arial" w:hAnsi="Arial" w:cs="Arial"/>
          <w:sz w:val="24"/>
          <w:szCs w:val="24"/>
        </w:rPr>
        <w:t>Saidon</w:t>
      </w:r>
      <w:proofErr w:type="spellEnd"/>
      <w:r w:rsidRPr="002D701F">
        <w:rPr>
          <w:rFonts w:ascii="Arial" w:hAnsi="Arial" w:cs="Arial"/>
          <w:sz w:val="24"/>
          <w:szCs w:val="24"/>
        </w:rPr>
        <w:t xml:space="preserve">, N. B., Szabó, R., Budai, P., &amp; Lehel, J. (2024). Trophic transfer and biomagnification potential of environmental contaminants (heavy metals) in aquatic ecosystems. </w:t>
      </w:r>
      <w:r w:rsidRPr="002D701F">
        <w:rPr>
          <w:rFonts w:ascii="Arial" w:hAnsi="Arial" w:cs="Arial"/>
          <w:i/>
          <w:iCs/>
          <w:sz w:val="24"/>
          <w:szCs w:val="24"/>
        </w:rPr>
        <w:t>Environmental Pollution, 340</w:t>
      </w:r>
      <w:r w:rsidRPr="002D701F">
        <w:rPr>
          <w:rFonts w:ascii="Arial" w:hAnsi="Arial" w:cs="Arial"/>
          <w:sz w:val="24"/>
          <w:szCs w:val="24"/>
        </w:rPr>
        <w:t xml:space="preserve">, 122815. </w:t>
      </w:r>
      <w:hyperlink r:id="rId83" w:history="1">
        <w:r w:rsidRPr="002D701F">
          <w:rPr>
            <w:rStyle w:val="Hyperlink"/>
            <w:rFonts w:ascii="Arial" w:hAnsi="Arial" w:cs="Arial"/>
            <w:sz w:val="24"/>
            <w:szCs w:val="24"/>
          </w:rPr>
          <w:t>https://doi.org/10.1016/j.envpol.2023.122815</w:t>
        </w:r>
      </w:hyperlink>
    </w:p>
    <w:p w14:paraId="57A90DE5"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Sharma, S., &amp; Chatterjee, S. (2017). Microplastic pollution, a threat to marine ecosystem and human health: A short review. </w:t>
      </w:r>
      <w:r w:rsidRPr="002D701F">
        <w:rPr>
          <w:rFonts w:ascii="Arial" w:hAnsi="Arial" w:cs="Arial"/>
          <w:i/>
          <w:iCs/>
          <w:sz w:val="24"/>
          <w:szCs w:val="24"/>
        </w:rPr>
        <w:t>Environmental Science and Pollution Research, 24</w:t>
      </w:r>
      <w:r w:rsidRPr="002D701F">
        <w:rPr>
          <w:rFonts w:ascii="Arial" w:hAnsi="Arial" w:cs="Arial"/>
          <w:sz w:val="24"/>
          <w:szCs w:val="24"/>
        </w:rPr>
        <w:t xml:space="preserve">, 21530–21547. </w:t>
      </w:r>
      <w:hyperlink r:id="rId84" w:history="1">
        <w:r w:rsidRPr="002D701F">
          <w:rPr>
            <w:rStyle w:val="Hyperlink"/>
            <w:rFonts w:ascii="Arial" w:hAnsi="Arial" w:cs="Arial"/>
            <w:sz w:val="24"/>
            <w:szCs w:val="24"/>
          </w:rPr>
          <w:t>https://doi.org/10.1007/s11356-017-9910-8</w:t>
        </w:r>
      </w:hyperlink>
    </w:p>
    <w:p w14:paraId="0B86F950" w14:textId="77777777" w:rsidR="003E2CE9" w:rsidRPr="002D701F" w:rsidRDefault="003E2CE9" w:rsidP="00A54637">
      <w:pPr>
        <w:spacing w:after="160" w:line="259" w:lineRule="auto"/>
        <w:ind w:left="426" w:hanging="426"/>
        <w:jc w:val="both"/>
        <w:rPr>
          <w:rFonts w:ascii="Arial" w:hAnsi="Arial" w:cs="Arial"/>
          <w:sz w:val="24"/>
          <w:szCs w:val="24"/>
        </w:rPr>
      </w:pPr>
      <w:proofErr w:type="spellStart"/>
      <w:r w:rsidRPr="002D701F">
        <w:rPr>
          <w:rFonts w:ascii="Arial" w:hAnsi="Arial" w:cs="Arial"/>
          <w:sz w:val="24"/>
          <w:szCs w:val="24"/>
        </w:rPr>
        <w:t>Sheinenzon</w:t>
      </w:r>
      <w:proofErr w:type="spellEnd"/>
      <w:r w:rsidRPr="002D701F">
        <w:rPr>
          <w:rFonts w:ascii="Arial" w:hAnsi="Arial" w:cs="Arial"/>
          <w:sz w:val="24"/>
          <w:szCs w:val="24"/>
        </w:rPr>
        <w:t xml:space="preserve">, A., Shehadeh, M., Michelis, R., </w:t>
      </w:r>
      <w:proofErr w:type="spellStart"/>
      <w:r w:rsidRPr="002D701F">
        <w:rPr>
          <w:rFonts w:ascii="Arial" w:hAnsi="Arial" w:cs="Arial"/>
          <w:sz w:val="24"/>
          <w:szCs w:val="24"/>
        </w:rPr>
        <w:t>Shaoul</w:t>
      </w:r>
      <w:proofErr w:type="spellEnd"/>
      <w:r w:rsidRPr="002D701F">
        <w:rPr>
          <w:rFonts w:ascii="Arial" w:hAnsi="Arial" w:cs="Arial"/>
          <w:sz w:val="24"/>
          <w:szCs w:val="24"/>
        </w:rPr>
        <w:t xml:space="preserve">, E., &amp; Ronen, O. (2021). Serum albumin levels and inflammation. </w:t>
      </w:r>
      <w:r w:rsidRPr="002D701F">
        <w:rPr>
          <w:rFonts w:ascii="Arial" w:hAnsi="Arial" w:cs="Arial"/>
          <w:i/>
          <w:iCs/>
          <w:sz w:val="24"/>
          <w:szCs w:val="24"/>
        </w:rPr>
        <w:t>International Journal of Biological Macromolecules, 184</w:t>
      </w:r>
      <w:r w:rsidRPr="002D701F">
        <w:rPr>
          <w:rFonts w:ascii="Arial" w:hAnsi="Arial" w:cs="Arial"/>
          <w:sz w:val="24"/>
          <w:szCs w:val="24"/>
        </w:rPr>
        <w:t xml:space="preserve">, 857–862. </w:t>
      </w:r>
      <w:hyperlink r:id="rId85" w:history="1">
        <w:r w:rsidRPr="002D701F">
          <w:rPr>
            <w:rStyle w:val="Hyperlink"/>
            <w:rFonts w:ascii="Arial" w:hAnsi="Arial" w:cs="Arial"/>
            <w:sz w:val="24"/>
            <w:szCs w:val="24"/>
          </w:rPr>
          <w:t>https://doi.org/10.1016/j.ijbiomac.2021.06.096</w:t>
        </w:r>
      </w:hyperlink>
    </w:p>
    <w:p w14:paraId="541733D9" w14:textId="77777777" w:rsidR="003E2CE9" w:rsidRDefault="003E2CE9" w:rsidP="00DC1812">
      <w:pPr>
        <w:ind w:left="426" w:hanging="426"/>
        <w:jc w:val="both"/>
        <w:rPr>
          <w:rFonts w:ascii="Arial" w:hAnsi="Arial" w:cs="Arial"/>
          <w:sz w:val="24"/>
          <w:szCs w:val="24"/>
          <w:shd w:val="clear" w:color="auto" w:fill="FFFFFF"/>
        </w:rPr>
      </w:pPr>
      <w:r w:rsidRPr="00422F6D">
        <w:rPr>
          <w:rFonts w:ascii="Arial" w:cs="Arial"/>
          <w:sz w:val="24"/>
          <w:szCs w:val="24"/>
        </w:rPr>
        <w:t xml:space="preserve">Shrestha, D. B., Budhathoki, P., </w:t>
      </w:r>
      <w:proofErr w:type="spellStart"/>
      <w:r w:rsidRPr="00422F6D">
        <w:rPr>
          <w:rFonts w:ascii="Arial" w:cs="Arial"/>
          <w:sz w:val="24"/>
          <w:szCs w:val="24"/>
        </w:rPr>
        <w:t>Sedhai</w:t>
      </w:r>
      <w:proofErr w:type="spellEnd"/>
      <w:r w:rsidRPr="00422F6D">
        <w:rPr>
          <w:rFonts w:ascii="Arial" w:cs="Arial"/>
          <w:sz w:val="24"/>
          <w:szCs w:val="24"/>
        </w:rPr>
        <w:t xml:space="preserve">, Y. R., Baniya, R., Awal, S., Yadav, J., ... &amp; Cable, C. A. (2021). Safety and efficacy of human serum albumin treatment in patients with </w:t>
      </w:r>
      <w:r w:rsidRPr="00422F6D">
        <w:rPr>
          <w:rFonts w:ascii="Arial" w:cs="Arial"/>
          <w:sz w:val="24"/>
          <w:szCs w:val="24"/>
        </w:rPr>
        <w:lastRenderedPageBreak/>
        <w:t>cirrhotic ascites undergoing paracentesis: a systematic review and meta-analysis.</w:t>
      </w:r>
      <w:r w:rsidRPr="00422F6D">
        <w:rPr>
          <w:rFonts w:ascii="Arial" w:cs="Arial"/>
          <w:sz w:val="24"/>
          <w:szCs w:val="24"/>
        </w:rPr>
        <w:t> </w:t>
      </w:r>
      <w:r w:rsidRPr="00422F6D">
        <w:rPr>
          <w:rFonts w:ascii="Arial" w:cs="Arial"/>
          <w:i/>
          <w:iCs/>
          <w:sz w:val="24"/>
          <w:szCs w:val="24"/>
        </w:rPr>
        <w:t>Annals of hepatology</w:t>
      </w:r>
      <w:r w:rsidRPr="00422F6D">
        <w:rPr>
          <w:rFonts w:ascii="Arial" w:cs="Arial"/>
          <w:sz w:val="24"/>
          <w:szCs w:val="24"/>
        </w:rPr>
        <w:t>,</w:t>
      </w:r>
      <w:r w:rsidRPr="00422F6D">
        <w:rPr>
          <w:rFonts w:ascii="Arial" w:cs="Arial"/>
          <w:sz w:val="24"/>
          <w:szCs w:val="24"/>
        </w:rPr>
        <w:t> </w:t>
      </w:r>
      <w:r w:rsidRPr="00422F6D">
        <w:rPr>
          <w:rFonts w:ascii="Arial" w:cs="Arial"/>
          <w:i/>
          <w:iCs/>
          <w:sz w:val="24"/>
          <w:szCs w:val="24"/>
        </w:rPr>
        <w:t>26</w:t>
      </w:r>
      <w:r w:rsidRPr="00422F6D">
        <w:rPr>
          <w:rFonts w:ascii="Arial" w:cs="Arial"/>
          <w:sz w:val="24"/>
          <w:szCs w:val="24"/>
        </w:rPr>
        <w:t>, 100547.</w:t>
      </w:r>
    </w:p>
    <w:p w14:paraId="192CF81B"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Tekin, S., &amp; Seven, E. (2022). Assessment of serum catalase, reduced glutathione, and superoxide dismutase activities and malondialdehyde levels in keratoconus patients. </w:t>
      </w:r>
      <w:r w:rsidRPr="002D701F">
        <w:rPr>
          <w:rFonts w:ascii="Arial" w:hAnsi="Arial" w:cs="Arial"/>
          <w:i/>
          <w:iCs/>
          <w:sz w:val="24"/>
          <w:szCs w:val="24"/>
        </w:rPr>
        <w:t>Eye, 36</w:t>
      </w:r>
      <w:r w:rsidRPr="002D701F">
        <w:rPr>
          <w:rFonts w:ascii="Arial" w:hAnsi="Arial" w:cs="Arial"/>
          <w:sz w:val="24"/>
          <w:szCs w:val="24"/>
        </w:rPr>
        <w:t xml:space="preserve">(10), 2062–2066. </w:t>
      </w:r>
      <w:hyperlink r:id="rId86" w:history="1">
        <w:r w:rsidRPr="002D701F">
          <w:rPr>
            <w:rStyle w:val="Hyperlink"/>
            <w:rFonts w:ascii="Arial" w:hAnsi="Arial" w:cs="Arial"/>
            <w:sz w:val="24"/>
            <w:szCs w:val="24"/>
          </w:rPr>
          <w:t>https://doi.org/10.1038/s41433-021-01887-3</w:t>
        </w:r>
      </w:hyperlink>
    </w:p>
    <w:p w14:paraId="6D36E957"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Tickner, J. A., Schettler, T., Guidotti, T., McCally, M., &amp; Rossi, M. (2001). Health risks posed by use of Di-2-ethylhexyl phthalate (DEHP) in PVC medical devices: A critical review. </w:t>
      </w:r>
      <w:r w:rsidRPr="002D701F">
        <w:rPr>
          <w:rFonts w:ascii="Arial" w:hAnsi="Arial" w:cs="Arial"/>
          <w:i/>
          <w:iCs/>
          <w:sz w:val="24"/>
          <w:szCs w:val="24"/>
        </w:rPr>
        <w:t>American Journal of Industrial Medicine, 39</w:t>
      </w:r>
      <w:r w:rsidRPr="002D701F">
        <w:rPr>
          <w:rFonts w:ascii="Arial" w:hAnsi="Arial" w:cs="Arial"/>
          <w:sz w:val="24"/>
          <w:szCs w:val="24"/>
        </w:rPr>
        <w:t xml:space="preserve">(1), 100–111. </w:t>
      </w:r>
      <w:hyperlink r:id="rId87" w:history="1">
        <w:r w:rsidRPr="002D701F">
          <w:rPr>
            <w:rStyle w:val="Hyperlink"/>
            <w:rFonts w:ascii="Arial" w:hAnsi="Arial" w:cs="Arial"/>
            <w:sz w:val="24"/>
            <w:szCs w:val="24"/>
          </w:rPr>
          <w:t>https://doi.org/10.1002/ajim.1053</w:t>
        </w:r>
      </w:hyperlink>
    </w:p>
    <w:p w14:paraId="6EA29E05"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Tran-Lam, T. T., Phung, A. T. T., Pham, P. T., Bui, M. Q., Dao, Y. H., &amp; Le, G. T. (2023). Occurrence, biomagnification, and risk assessment of parabens and their metabolites in marine fish: The case study of Vietnam. </w:t>
      </w:r>
      <w:r w:rsidRPr="002D701F">
        <w:rPr>
          <w:rFonts w:ascii="Arial" w:hAnsi="Arial" w:cs="Arial"/>
          <w:i/>
          <w:iCs/>
          <w:sz w:val="24"/>
          <w:szCs w:val="24"/>
        </w:rPr>
        <w:t>Chemosphere, 344</w:t>
      </w:r>
      <w:r w:rsidRPr="002D701F">
        <w:rPr>
          <w:rFonts w:ascii="Arial" w:hAnsi="Arial" w:cs="Arial"/>
          <w:sz w:val="24"/>
          <w:szCs w:val="24"/>
        </w:rPr>
        <w:t xml:space="preserve">, 140221. </w:t>
      </w:r>
      <w:hyperlink r:id="rId88" w:history="1">
        <w:r w:rsidRPr="002D701F">
          <w:rPr>
            <w:rStyle w:val="Hyperlink"/>
            <w:rFonts w:ascii="Arial" w:hAnsi="Arial" w:cs="Arial"/>
            <w:sz w:val="24"/>
            <w:szCs w:val="24"/>
          </w:rPr>
          <w:t>https://doi.org/10.1016/j.chemosphere.2023.140221</w:t>
        </w:r>
      </w:hyperlink>
    </w:p>
    <w:p w14:paraId="6F9529EA" w14:textId="77777777" w:rsidR="003E2CE9" w:rsidRPr="002D701F" w:rsidRDefault="003E2CE9" w:rsidP="00A54637">
      <w:pPr>
        <w:spacing w:after="160" w:line="259" w:lineRule="auto"/>
        <w:ind w:left="426" w:hanging="426"/>
        <w:jc w:val="both"/>
        <w:rPr>
          <w:rFonts w:ascii="Arial" w:hAnsi="Arial" w:cs="Arial"/>
          <w:sz w:val="24"/>
          <w:szCs w:val="24"/>
        </w:rPr>
      </w:pPr>
      <w:proofErr w:type="spellStart"/>
      <w:r w:rsidRPr="002D701F">
        <w:rPr>
          <w:rFonts w:ascii="Arial" w:hAnsi="Arial" w:cs="Arial"/>
          <w:sz w:val="24"/>
          <w:szCs w:val="24"/>
        </w:rPr>
        <w:t>Vincent_Junior</w:t>
      </w:r>
      <w:proofErr w:type="spellEnd"/>
      <w:r w:rsidRPr="002D701F">
        <w:rPr>
          <w:rFonts w:ascii="Arial" w:hAnsi="Arial" w:cs="Arial"/>
          <w:sz w:val="24"/>
          <w:szCs w:val="24"/>
        </w:rPr>
        <w:t xml:space="preserve">, I. O., Promise, I. A., Godswill, O. O., </w:t>
      </w:r>
      <w:proofErr w:type="spellStart"/>
      <w:r w:rsidRPr="002D701F">
        <w:rPr>
          <w:rFonts w:ascii="Arial" w:hAnsi="Arial" w:cs="Arial"/>
          <w:sz w:val="24"/>
          <w:szCs w:val="24"/>
        </w:rPr>
        <w:t>Nwaokoro</w:t>
      </w:r>
      <w:proofErr w:type="spellEnd"/>
      <w:r w:rsidRPr="002D701F">
        <w:rPr>
          <w:rFonts w:ascii="Arial" w:hAnsi="Arial" w:cs="Arial"/>
          <w:sz w:val="24"/>
          <w:szCs w:val="24"/>
        </w:rPr>
        <w:t xml:space="preserve">, I. C., Kennedy, O. O., Oluwakemi, K. O., ... &amp; Ifechukwude, E. O. (2025). Attenuation of induced oxidative stress and neurological deficit in tramadol use by co-administration with Ribena drink and vitamin E in male Wistar rats. </w:t>
      </w:r>
      <w:r w:rsidRPr="002D701F">
        <w:rPr>
          <w:rFonts w:ascii="Arial" w:hAnsi="Arial" w:cs="Arial"/>
          <w:i/>
          <w:iCs/>
          <w:sz w:val="24"/>
          <w:szCs w:val="24"/>
        </w:rPr>
        <w:t>Asian Journal of Research in Medical and Pharmaceutical Sciences, 14</w:t>
      </w:r>
      <w:r w:rsidRPr="002D701F">
        <w:rPr>
          <w:rFonts w:ascii="Arial" w:hAnsi="Arial" w:cs="Arial"/>
          <w:sz w:val="24"/>
          <w:szCs w:val="24"/>
        </w:rPr>
        <w:t>(2), 1–12.</w:t>
      </w:r>
    </w:p>
    <w:p w14:paraId="4875D8D7"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Vítek, L., &amp; </w:t>
      </w:r>
      <w:proofErr w:type="spellStart"/>
      <w:r w:rsidRPr="002D701F">
        <w:rPr>
          <w:rFonts w:ascii="Arial" w:hAnsi="Arial" w:cs="Arial"/>
          <w:sz w:val="24"/>
          <w:szCs w:val="24"/>
        </w:rPr>
        <w:t>Tiribelli</w:t>
      </w:r>
      <w:proofErr w:type="spellEnd"/>
      <w:r w:rsidRPr="002D701F">
        <w:rPr>
          <w:rFonts w:ascii="Arial" w:hAnsi="Arial" w:cs="Arial"/>
          <w:sz w:val="24"/>
          <w:szCs w:val="24"/>
        </w:rPr>
        <w:t xml:space="preserve">, C. (2021). Bilirubin: The yellow hormone? </w:t>
      </w:r>
      <w:r w:rsidRPr="002D701F">
        <w:rPr>
          <w:rFonts w:ascii="Arial" w:hAnsi="Arial" w:cs="Arial"/>
          <w:i/>
          <w:iCs/>
          <w:sz w:val="24"/>
          <w:szCs w:val="24"/>
        </w:rPr>
        <w:t>Journal of Hepatology, 75</w:t>
      </w:r>
      <w:r w:rsidRPr="002D701F">
        <w:rPr>
          <w:rFonts w:ascii="Arial" w:hAnsi="Arial" w:cs="Arial"/>
          <w:sz w:val="24"/>
          <w:szCs w:val="24"/>
        </w:rPr>
        <w:t xml:space="preserve">(6), 1485–1490. </w:t>
      </w:r>
      <w:hyperlink r:id="rId89" w:history="1">
        <w:r w:rsidRPr="002D701F">
          <w:rPr>
            <w:rStyle w:val="Hyperlink"/>
            <w:rFonts w:ascii="Arial" w:hAnsi="Arial" w:cs="Arial"/>
            <w:sz w:val="24"/>
            <w:szCs w:val="24"/>
          </w:rPr>
          <w:t>https://doi.org/10.1016/j.jhep.2021.07.010</w:t>
        </w:r>
      </w:hyperlink>
    </w:p>
    <w:p w14:paraId="6C0C7A0F"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Vitek, L., Hinds, T. D., Stec, D. E., &amp; </w:t>
      </w:r>
      <w:proofErr w:type="spellStart"/>
      <w:r w:rsidRPr="002D701F">
        <w:rPr>
          <w:rFonts w:ascii="Arial" w:hAnsi="Arial" w:cs="Arial"/>
          <w:sz w:val="24"/>
          <w:szCs w:val="24"/>
        </w:rPr>
        <w:t>Tiribelli</w:t>
      </w:r>
      <w:proofErr w:type="spellEnd"/>
      <w:r w:rsidRPr="002D701F">
        <w:rPr>
          <w:rFonts w:ascii="Arial" w:hAnsi="Arial" w:cs="Arial"/>
          <w:sz w:val="24"/>
          <w:szCs w:val="24"/>
        </w:rPr>
        <w:t xml:space="preserve">, C. (2023). The physiology of bilirubin: Health and disease equilibrium. </w:t>
      </w:r>
      <w:r w:rsidRPr="002D701F">
        <w:rPr>
          <w:rFonts w:ascii="Arial" w:hAnsi="Arial" w:cs="Arial"/>
          <w:i/>
          <w:iCs/>
          <w:sz w:val="24"/>
          <w:szCs w:val="24"/>
        </w:rPr>
        <w:t>Trends in Molecular Medicine, 29</w:t>
      </w:r>
      <w:r w:rsidRPr="002D701F">
        <w:rPr>
          <w:rFonts w:ascii="Arial" w:hAnsi="Arial" w:cs="Arial"/>
          <w:sz w:val="24"/>
          <w:szCs w:val="24"/>
        </w:rPr>
        <w:t xml:space="preserve">(4), 315–328. </w:t>
      </w:r>
      <w:hyperlink r:id="rId90" w:history="1">
        <w:r w:rsidRPr="002D701F">
          <w:rPr>
            <w:rStyle w:val="Hyperlink"/>
            <w:rFonts w:ascii="Arial" w:hAnsi="Arial" w:cs="Arial"/>
            <w:sz w:val="24"/>
            <w:szCs w:val="24"/>
          </w:rPr>
          <w:t>https://doi.org/10.1016/j.molmed.2023.01.003</w:t>
        </w:r>
      </w:hyperlink>
    </w:p>
    <w:p w14:paraId="35B37601"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Wagoner, J. K. (1983). Toxicity of vinyl chloride and poly (vinyl chloride): A critical review. </w:t>
      </w:r>
      <w:r w:rsidRPr="002D701F">
        <w:rPr>
          <w:rFonts w:ascii="Arial" w:hAnsi="Arial" w:cs="Arial"/>
          <w:i/>
          <w:iCs/>
          <w:sz w:val="24"/>
          <w:szCs w:val="24"/>
        </w:rPr>
        <w:t>Environmental Health Perspectives, 52</w:t>
      </w:r>
      <w:r w:rsidRPr="002D701F">
        <w:rPr>
          <w:rFonts w:ascii="Arial" w:hAnsi="Arial" w:cs="Arial"/>
          <w:sz w:val="24"/>
          <w:szCs w:val="24"/>
        </w:rPr>
        <w:t xml:space="preserve">, 61–66. </w:t>
      </w:r>
      <w:hyperlink r:id="rId91" w:history="1">
        <w:r w:rsidRPr="002D701F">
          <w:rPr>
            <w:rStyle w:val="Hyperlink"/>
            <w:rFonts w:ascii="Arial" w:hAnsi="Arial" w:cs="Arial"/>
            <w:sz w:val="24"/>
            <w:szCs w:val="24"/>
          </w:rPr>
          <w:t>https://doi.org/10.1289/ehp.835261</w:t>
        </w:r>
      </w:hyperlink>
    </w:p>
    <w:p w14:paraId="40C2D536"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Wang, S., Chen, L., Shi, X., Wang, Y., &amp; Xu, S. (2023). Polystyrene microplastics-induced macrophage extracellular traps contribute to liver fibrotic injury by activating ROS/TGF-β/Smad2/3 signaling axis. </w:t>
      </w:r>
      <w:r w:rsidRPr="002D701F">
        <w:rPr>
          <w:rFonts w:ascii="Arial" w:hAnsi="Arial" w:cs="Arial"/>
          <w:i/>
          <w:iCs/>
          <w:sz w:val="24"/>
          <w:szCs w:val="24"/>
        </w:rPr>
        <w:t>Environmental Pollution, 324</w:t>
      </w:r>
      <w:r w:rsidRPr="002D701F">
        <w:rPr>
          <w:rFonts w:ascii="Arial" w:hAnsi="Arial" w:cs="Arial"/>
          <w:sz w:val="24"/>
          <w:szCs w:val="24"/>
        </w:rPr>
        <w:t xml:space="preserve">, 121388. </w:t>
      </w:r>
      <w:hyperlink r:id="rId92" w:history="1">
        <w:r w:rsidRPr="002D701F">
          <w:rPr>
            <w:rStyle w:val="Hyperlink"/>
            <w:rFonts w:ascii="Arial" w:hAnsi="Arial" w:cs="Arial"/>
            <w:sz w:val="24"/>
            <w:szCs w:val="24"/>
          </w:rPr>
          <w:t>https://doi.org/10.1016/j.envpol.2023.121388</w:t>
        </w:r>
      </w:hyperlink>
    </w:p>
    <w:p w14:paraId="0D7A5216"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Wang, X., Deng, K., Zhang, P., Chen, Q., Magnuson, J. T., Qiu, W., &amp; Zhou, Y. (2024). Microplastic-mediated new mechanism of liver damage: From the perspective of the gut-liver axis. </w:t>
      </w:r>
      <w:r w:rsidRPr="002D701F">
        <w:rPr>
          <w:rFonts w:ascii="Arial" w:hAnsi="Arial" w:cs="Arial"/>
          <w:i/>
          <w:iCs/>
          <w:sz w:val="24"/>
          <w:szCs w:val="24"/>
        </w:rPr>
        <w:t>Science of the Total Environment</w:t>
      </w:r>
      <w:r w:rsidRPr="002D701F">
        <w:rPr>
          <w:rFonts w:ascii="Arial" w:hAnsi="Arial" w:cs="Arial"/>
          <w:sz w:val="24"/>
          <w:szCs w:val="24"/>
        </w:rPr>
        <w:t xml:space="preserve">, 170962. </w:t>
      </w:r>
      <w:hyperlink r:id="rId93" w:history="1">
        <w:r w:rsidRPr="002D701F">
          <w:rPr>
            <w:rStyle w:val="Hyperlink"/>
            <w:rFonts w:ascii="Arial" w:hAnsi="Arial" w:cs="Arial"/>
            <w:sz w:val="24"/>
            <w:szCs w:val="24"/>
          </w:rPr>
          <w:t>https://doi.org/10.1016/j.scitotenv.2024.170962</w:t>
        </w:r>
      </w:hyperlink>
    </w:p>
    <w:p w14:paraId="28ABC4D3"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Williams, A. T., &amp; Rangel-Buitrago, N. (2022). The past, present, and future of plastic pollution. </w:t>
      </w:r>
      <w:r w:rsidRPr="002D701F">
        <w:rPr>
          <w:rFonts w:ascii="Arial" w:hAnsi="Arial" w:cs="Arial"/>
          <w:i/>
          <w:iCs/>
          <w:sz w:val="24"/>
          <w:szCs w:val="24"/>
        </w:rPr>
        <w:t>Marine Pollution Bulletin, 176</w:t>
      </w:r>
      <w:r w:rsidRPr="002D701F">
        <w:rPr>
          <w:rFonts w:ascii="Arial" w:hAnsi="Arial" w:cs="Arial"/>
          <w:sz w:val="24"/>
          <w:szCs w:val="24"/>
        </w:rPr>
        <w:t xml:space="preserve">, 113429. </w:t>
      </w:r>
      <w:hyperlink r:id="rId94" w:history="1">
        <w:r w:rsidRPr="002D701F">
          <w:rPr>
            <w:rStyle w:val="Hyperlink"/>
            <w:rFonts w:ascii="Arial" w:hAnsi="Arial" w:cs="Arial"/>
            <w:sz w:val="24"/>
            <w:szCs w:val="24"/>
          </w:rPr>
          <w:t>https://doi.org/10.1016/j.marpolbul.2021.113429</w:t>
        </w:r>
      </w:hyperlink>
    </w:p>
    <w:p w14:paraId="60AA9A48"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Xiu, F.-R., Zhan, L., Qi, Y., Lei, X., Wang, J., Zhou, H., &amp; Shao, W. (2024). Synergetic treatment of waste tantalum capacitors and polyvinyl chloride by subcritical water: </w:t>
      </w:r>
      <w:r w:rsidRPr="002D701F">
        <w:rPr>
          <w:rFonts w:ascii="Arial" w:hAnsi="Arial" w:cs="Arial"/>
          <w:sz w:val="24"/>
          <w:szCs w:val="24"/>
        </w:rPr>
        <w:lastRenderedPageBreak/>
        <w:t xml:space="preserve">Tantalum recovery, benzoic acid production and </w:t>
      </w:r>
      <w:proofErr w:type="spellStart"/>
      <w:r w:rsidRPr="002D701F">
        <w:rPr>
          <w:rFonts w:ascii="Arial" w:hAnsi="Arial" w:cs="Arial"/>
          <w:sz w:val="24"/>
          <w:szCs w:val="24"/>
        </w:rPr>
        <w:t>dechlorination</w:t>
      </w:r>
      <w:proofErr w:type="spellEnd"/>
      <w:r w:rsidRPr="002D701F">
        <w:rPr>
          <w:rFonts w:ascii="Arial" w:hAnsi="Arial" w:cs="Arial"/>
          <w:sz w:val="24"/>
          <w:szCs w:val="24"/>
        </w:rPr>
        <w:t xml:space="preserve">. </w:t>
      </w:r>
      <w:r w:rsidRPr="002D701F">
        <w:rPr>
          <w:rFonts w:ascii="Arial" w:hAnsi="Arial" w:cs="Arial"/>
          <w:i/>
          <w:iCs/>
          <w:sz w:val="24"/>
          <w:szCs w:val="24"/>
        </w:rPr>
        <w:t>Process Safety and Environmental Protection, 181</w:t>
      </w:r>
      <w:r w:rsidRPr="002D701F">
        <w:rPr>
          <w:rFonts w:ascii="Arial" w:hAnsi="Arial" w:cs="Arial"/>
          <w:sz w:val="24"/>
          <w:szCs w:val="24"/>
        </w:rPr>
        <w:t xml:space="preserve">, 407–415. </w:t>
      </w:r>
      <w:hyperlink r:id="rId95" w:history="1">
        <w:r w:rsidRPr="002D701F">
          <w:rPr>
            <w:rStyle w:val="Hyperlink"/>
            <w:rFonts w:ascii="Arial" w:hAnsi="Arial" w:cs="Arial"/>
            <w:sz w:val="24"/>
            <w:szCs w:val="24"/>
          </w:rPr>
          <w:t>https://doi.org/10.1016/j.psep.2024.01.001</w:t>
        </w:r>
      </w:hyperlink>
    </w:p>
    <w:p w14:paraId="0BEDAEE0" w14:textId="77777777" w:rsidR="003E2CE9" w:rsidRPr="002D701F" w:rsidRDefault="003E2CE9" w:rsidP="00A54637">
      <w:pPr>
        <w:spacing w:after="160" w:line="259" w:lineRule="auto"/>
        <w:ind w:left="426" w:hanging="426"/>
        <w:jc w:val="both"/>
        <w:rPr>
          <w:rFonts w:ascii="Arial" w:hAnsi="Arial" w:cs="Arial"/>
          <w:sz w:val="24"/>
          <w:szCs w:val="24"/>
        </w:rPr>
      </w:pPr>
      <w:proofErr w:type="spellStart"/>
      <w:r w:rsidRPr="002D701F">
        <w:rPr>
          <w:rFonts w:ascii="Arial" w:hAnsi="Arial" w:cs="Arial"/>
          <w:sz w:val="24"/>
          <w:szCs w:val="24"/>
        </w:rPr>
        <w:t>Yilgor</w:t>
      </w:r>
      <w:proofErr w:type="spellEnd"/>
      <w:r w:rsidRPr="002D701F">
        <w:rPr>
          <w:rFonts w:ascii="Arial" w:hAnsi="Arial" w:cs="Arial"/>
          <w:sz w:val="24"/>
          <w:szCs w:val="24"/>
        </w:rPr>
        <w:t xml:space="preserve">, A., &amp; Demir, C. (2024). Determination of oxidative stress level and some antioxidant activities in refractory epilepsy patients. </w:t>
      </w:r>
      <w:r w:rsidRPr="002D701F">
        <w:rPr>
          <w:rFonts w:ascii="Arial" w:hAnsi="Arial" w:cs="Arial"/>
          <w:i/>
          <w:iCs/>
          <w:sz w:val="24"/>
          <w:szCs w:val="24"/>
        </w:rPr>
        <w:t>Scientific Reports, 14</w:t>
      </w:r>
      <w:r w:rsidRPr="002D701F">
        <w:rPr>
          <w:rFonts w:ascii="Arial" w:hAnsi="Arial" w:cs="Arial"/>
          <w:sz w:val="24"/>
          <w:szCs w:val="24"/>
        </w:rPr>
        <w:t xml:space="preserve">(1), 6688. </w:t>
      </w:r>
      <w:hyperlink r:id="rId96" w:history="1">
        <w:r w:rsidRPr="002D701F">
          <w:rPr>
            <w:rStyle w:val="Hyperlink"/>
            <w:rFonts w:ascii="Arial" w:hAnsi="Arial" w:cs="Arial"/>
            <w:sz w:val="24"/>
            <w:szCs w:val="24"/>
          </w:rPr>
          <w:t>https://doi.org/10.1038/s41598-024-40807-2</w:t>
        </w:r>
      </w:hyperlink>
    </w:p>
    <w:p w14:paraId="385A7E60" w14:textId="77777777" w:rsidR="003E2CE9" w:rsidRPr="002D701F" w:rsidRDefault="003E2CE9" w:rsidP="00A54637">
      <w:pPr>
        <w:spacing w:after="160" w:line="259" w:lineRule="auto"/>
        <w:ind w:left="426" w:hanging="426"/>
        <w:jc w:val="both"/>
        <w:rPr>
          <w:rFonts w:ascii="Arial" w:hAnsi="Arial" w:cs="Arial"/>
          <w:sz w:val="24"/>
          <w:szCs w:val="24"/>
        </w:rPr>
      </w:pPr>
      <w:proofErr w:type="spellStart"/>
      <w:r w:rsidRPr="002D701F">
        <w:rPr>
          <w:rFonts w:ascii="Arial" w:hAnsi="Arial" w:cs="Arial"/>
          <w:sz w:val="24"/>
          <w:szCs w:val="24"/>
        </w:rPr>
        <w:t>Zarezadeh</w:t>
      </w:r>
      <w:proofErr w:type="spellEnd"/>
      <w:r w:rsidRPr="002D701F">
        <w:rPr>
          <w:rFonts w:ascii="Arial" w:hAnsi="Arial" w:cs="Arial"/>
          <w:sz w:val="24"/>
          <w:szCs w:val="24"/>
        </w:rPr>
        <w:t xml:space="preserve">, M., Barzegari, M., </w:t>
      </w:r>
      <w:proofErr w:type="spellStart"/>
      <w:r w:rsidRPr="002D701F">
        <w:rPr>
          <w:rFonts w:ascii="Arial" w:hAnsi="Arial" w:cs="Arial"/>
          <w:sz w:val="24"/>
          <w:szCs w:val="24"/>
        </w:rPr>
        <w:t>Aghapour</w:t>
      </w:r>
      <w:proofErr w:type="spellEnd"/>
      <w:r w:rsidRPr="002D701F">
        <w:rPr>
          <w:rFonts w:ascii="Arial" w:hAnsi="Arial" w:cs="Arial"/>
          <w:sz w:val="24"/>
          <w:szCs w:val="24"/>
        </w:rPr>
        <w:t xml:space="preserve">, B., Adeli, S., Khademi, F., Musazadeh, V., ... &amp; Ghoreishi, Z. (2022). Melatonin effectiveness in amelioration of oxidative stress and strengthening of antioxidant defense system: Findings from a systematic review and dose–response meta-analysis of controlled clinical trials. </w:t>
      </w:r>
      <w:r w:rsidRPr="002D701F">
        <w:rPr>
          <w:rFonts w:ascii="Arial" w:hAnsi="Arial" w:cs="Arial"/>
          <w:i/>
          <w:iCs/>
          <w:sz w:val="24"/>
          <w:szCs w:val="24"/>
        </w:rPr>
        <w:t>Clinical Nutrition ESPEN, 48</w:t>
      </w:r>
      <w:r w:rsidRPr="002D701F">
        <w:rPr>
          <w:rFonts w:ascii="Arial" w:hAnsi="Arial" w:cs="Arial"/>
          <w:sz w:val="24"/>
          <w:szCs w:val="24"/>
        </w:rPr>
        <w:t xml:space="preserve">, 109–120. </w:t>
      </w:r>
      <w:hyperlink r:id="rId97" w:history="1">
        <w:r w:rsidRPr="002D701F">
          <w:rPr>
            <w:rStyle w:val="Hyperlink"/>
            <w:rFonts w:ascii="Arial" w:hAnsi="Arial" w:cs="Arial"/>
            <w:sz w:val="24"/>
            <w:szCs w:val="24"/>
          </w:rPr>
          <w:t>https://doi.org/10.1016/j.clnesp.2021.12.026</w:t>
        </w:r>
      </w:hyperlink>
    </w:p>
    <w:p w14:paraId="02AEE8CB"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Zarus, G. M., </w:t>
      </w:r>
      <w:proofErr w:type="spellStart"/>
      <w:r w:rsidRPr="002D701F">
        <w:rPr>
          <w:rFonts w:ascii="Arial" w:hAnsi="Arial" w:cs="Arial"/>
          <w:sz w:val="24"/>
          <w:szCs w:val="24"/>
        </w:rPr>
        <w:t>Muianga</w:t>
      </w:r>
      <w:proofErr w:type="spellEnd"/>
      <w:r w:rsidRPr="002D701F">
        <w:rPr>
          <w:rFonts w:ascii="Arial" w:hAnsi="Arial" w:cs="Arial"/>
          <w:sz w:val="24"/>
          <w:szCs w:val="24"/>
        </w:rPr>
        <w:t xml:space="preserve">, C., Hunter, C. M., &amp; Pappas, R. S. (2021). A review of data for quantifying human exposures to micro and nanoplastics and potential health risks. </w:t>
      </w:r>
      <w:r w:rsidRPr="002D701F">
        <w:rPr>
          <w:rFonts w:ascii="Arial" w:hAnsi="Arial" w:cs="Arial"/>
          <w:i/>
          <w:iCs/>
          <w:sz w:val="24"/>
          <w:szCs w:val="24"/>
        </w:rPr>
        <w:t>Science of the Total Environment, 756</w:t>
      </w:r>
      <w:r w:rsidRPr="002D701F">
        <w:rPr>
          <w:rFonts w:ascii="Arial" w:hAnsi="Arial" w:cs="Arial"/>
          <w:sz w:val="24"/>
          <w:szCs w:val="24"/>
        </w:rPr>
        <w:t xml:space="preserve">, 144010. </w:t>
      </w:r>
      <w:hyperlink r:id="rId98" w:history="1">
        <w:r w:rsidRPr="002D701F">
          <w:rPr>
            <w:rStyle w:val="Hyperlink"/>
            <w:rFonts w:ascii="Arial" w:hAnsi="Arial" w:cs="Arial"/>
            <w:sz w:val="24"/>
            <w:szCs w:val="24"/>
          </w:rPr>
          <w:t>https://doi.org/10.1016/j.scitotenv.2020.144010</w:t>
        </w:r>
      </w:hyperlink>
    </w:p>
    <w:p w14:paraId="0B2564E7"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Zhang, X., Wang, Q., &amp; Yu, Y. (2020). Effects of alkaline hydrothermal pretreatment on the properties and microstructure of PVC. </w:t>
      </w:r>
      <w:r w:rsidRPr="002D701F">
        <w:rPr>
          <w:rFonts w:ascii="Arial" w:hAnsi="Arial" w:cs="Arial"/>
          <w:i/>
          <w:iCs/>
          <w:sz w:val="24"/>
          <w:szCs w:val="24"/>
        </w:rPr>
        <w:t>Journal of Vinyl and Additive Technology, 26</w:t>
      </w:r>
      <w:r w:rsidRPr="002D701F">
        <w:rPr>
          <w:rFonts w:ascii="Arial" w:hAnsi="Arial" w:cs="Arial"/>
          <w:sz w:val="24"/>
          <w:szCs w:val="24"/>
        </w:rPr>
        <w:t xml:space="preserve">(1), 4–12. </w:t>
      </w:r>
      <w:hyperlink r:id="rId99" w:history="1">
        <w:r w:rsidRPr="002D701F">
          <w:rPr>
            <w:rStyle w:val="Hyperlink"/>
            <w:rFonts w:ascii="Arial" w:hAnsi="Arial" w:cs="Arial"/>
            <w:sz w:val="24"/>
            <w:szCs w:val="24"/>
          </w:rPr>
          <w:t>https://doi.org/10.1002/vnl.21794</w:t>
        </w:r>
      </w:hyperlink>
    </w:p>
    <w:p w14:paraId="349CAB64"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Zhao, J., Zhang, X., Li, Y., Yu, J., Chen, Z., Niu, Y., &amp; Wu, J. (2023). Interorgan communication with the liver: Novel mechanisms and therapeutic targets. </w:t>
      </w:r>
      <w:r w:rsidRPr="002D701F">
        <w:rPr>
          <w:rFonts w:ascii="Arial" w:hAnsi="Arial" w:cs="Arial"/>
          <w:i/>
          <w:iCs/>
          <w:sz w:val="24"/>
          <w:szCs w:val="24"/>
        </w:rPr>
        <w:t>Frontiers in Immunology, 14</w:t>
      </w:r>
      <w:r w:rsidRPr="002D701F">
        <w:rPr>
          <w:rFonts w:ascii="Arial" w:hAnsi="Arial" w:cs="Arial"/>
          <w:sz w:val="24"/>
          <w:szCs w:val="24"/>
        </w:rPr>
        <w:t xml:space="preserve">, 1314123. </w:t>
      </w:r>
      <w:hyperlink r:id="rId100" w:history="1">
        <w:r w:rsidRPr="002D701F">
          <w:rPr>
            <w:rStyle w:val="Hyperlink"/>
            <w:rFonts w:ascii="Arial" w:hAnsi="Arial" w:cs="Arial"/>
            <w:sz w:val="24"/>
            <w:szCs w:val="24"/>
          </w:rPr>
          <w:t>https://doi.org/10.3389/fimmu.2023.1314123</w:t>
        </w:r>
      </w:hyperlink>
    </w:p>
    <w:p w14:paraId="7967F202"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Zhao, X., Yu, M., Xu, D., Liu, A., Hou, X., Hao, F., &amp; Jiang, G. (2017). Distribution, bioaccumulation, trophic transfer, and influences of CeO2 nanoparticles in a constructed aquatic food web. </w:t>
      </w:r>
      <w:r w:rsidRPr="002D701F">
        <w:rPr>
          <w:rFonts w:ascii="Arial" w:hAnsi="Arial" w:cs="Arial"/>
          <w:i/>
          <w:iCs/>
          <w:sz w:val="24"/>
          <w:szCs w:val="24"/>
        </w:rPr>
        <w:t>Environmental Science &amp; Technology, 51</w:t>
      </w:r>
      <w:r w:rsidRPr="002D701F">
        <w:rPr>
          <w:rFonts w:ascii="Arial" w:hAnsi="Arial" w:cs="Arial"/>
          <w:sz w:val="24"/>
          <w:szCs w:val="24"/>
        </w:rPr>
        <w:t xml:space="preserve">(9), 5205–5214. </w:t>
      </w:r>
      <w:hyperlink r:id="rId101" w:history="1">
        <w:r w:rsidRPr="002D701F">
          <w:rPr>
            <w:rStyle w:val="Hyperlink"/>
            <w:rFonts w:ascii="Arial" w:hAnsi="Arial" w:cs="Arial"/>
            <w:sz w:val="24"/>
            <w:szCs w:val="24"/>
          </w:rPr>
          <w:t>https://doi.org/10.1021/acs.est.6b05259</w:t>
        </w:r>
      </w:hyperlink>
    </w:p>
    <w:p w14:paraId="23BC2DC1" w14:textId="77777777" w:rsidR="003E2CE9" w:rsidRDefault="003E2CE9" w:rsidP="00DC1812">
      <w:pPr>
        <w:ind w:left="426" w:hanging="426"/>
        <w:jc w:val="both"/>
        <w:rPr>
          <w:rFonts w:ascii="Arial" w:hAnsi="Arial" w:cs="Arial"/>
          <w:sz w:val="24"/>
          <w:szCs w:val="24"/>
          <w:shd w:val="clear" w:color="auto" w:fill="FFFFFF"/>
        </w:rPr>
      </w:pPr>
      <w:r w:rsidRPr="00A82403">
        <w:rPr>
          <w:rFonts w:ascii="Arial" w:cs="Arial"/>
          <w:sz w:val="24"/>
          <w:szCs w:val="24"/>
        </w:rPr>
        <w:t>Zheng, Y. J., Zhuo, S. J., Huang, B., &amp; Su, S. (2021). A meta-analysis of the efficacy and safety of human serum albumin treatment in patients with ascites due to cirrhosis undergoing drainage.</w:t>
      </w:r>
      <w:r w:rsidRPr="00A82403">
        <w:rPr>
          <w:rFonts w:ascii="Arial" w:cs="Arial"/>
          <w:sz w:val="24"/>
          <w:szCs w:val="24"/>
        </w:rPr>
        <w:t> </w:t>
      </w:r>
      <w:r w:rsidRPr="00A82403">
        <w:rPr>
          <w:rFonts w:ascii="Arial" w:cs="Arial"/>
          <w:i/>
          <w:iCs/>
          <w:sz w:val="24"/>
          <w:szCs w:val="24"/>
        </w:rPr>
        <w:t>Asian journal of surgery</w:t>
      </w:r>
      <w:r w:rsidRPr="00A82403">
        <w:rPr>
          <w:rFonts w:ascii="Arial" w:cs="Arial"/>
          <w:sz w:val="24"/>
          <w:szCs w:val="24"/>
        </w:rPr>
        <w:t>,</w:t>
      </w:r>
      <w:r w:rsidRPr="00A82403">
        <w:rPr>
          <w:rFonts w:ascii="Arial" w:cs="Arial"/>
          <w:sz w:val="24"/>
          <w:szCs w:val="24"/>
        </w:rPr>
        <w:t> </w:t>
      </w:r>
      <w:r w:rsidRPr="00A82403">
        <w:rPr>
          <w:rFonts w:ascii="Arial" w:cs="Arial"/>
          <w:i/>
          <w:iCs/>
          <w:sz w:val="24"/>
          <w:szCs w:val="24"/>
        </w:rPr>
        <w:t>44</w:t>
      </w:r>
      <w:r w:rsidRPr="00A82403">
        <w:rPr>
          <w:rFonts w:ascii="Arial" w:cs="Arial"/>
          <w:sz w:val="24"/>
          <w:szCs w:val="24"/>
        </w:rPr>
        <w:t>(8), 1116-1117.</w:t>
      </w:r>
    </w:p>
    <w:p w14:paraId="0533FA17" w14:textId="77777777" w:rsidR="003E2CE9" w:rsidRDefault="003E2CE9" w:rsidP="00DC1812">
      <w:pPr>
        <w:ind w:left="426" w:hanging="426"/>
        <w:jc w:val="both"/>
        <w:rPr>
          <w:rFonts w:ascii="Arial" w:hAnsi="Arial" w:cs="Arial"/>
          <w:sz w:val="24"/>
          <w:szCs w:val="24"/>
          <w:shd w:val="clear" w:color="auto" w:fill="FFFFFF"/>
        </w:rPr>
      </w:pPr>
      <w:r w:rsidRPr="001F5265">
        <w:rPr>
          <w:rFonts w:ascii="Arial" w:hAnsi="Arial" w:cs="Arial"/>
          <w:sz w:val="24"/>
          <w:szCs w:val="24"/>
          <w:shd w:val="clear" w:color="auto" w:fill="FFFFFF"/>
        </w:rPr>
        <w:t>Zhou, H. J., Li, Z. Q., Dili, D. E., &amp; Xie, Q. (2025). Human albumin infusion for reducing hyponatremia and circulatory dysfunction in liver cirrhosis: A meta-analysis update. </w:t>
      </w:r>
      <w:r w:rsidRPr="001F5265">
        <w:rPr>
          <w:rFonts w:ascii="Arial" w:hAnsi="Arial" w:cs="Arial"/>
          <w:i/>
          <w:iCs/>
          <w:sz w:val="24"/>
          <w:szCs w:val="24"/>
          <w:shd w:val="clear" w:color="auto" w:fill="FFFFFF"/>
        </w:rPr>
        <w:t>World Journal of Hepatology</w:t>
      </w:r>
      <w:r w:rsidRPr="001F5265">
        <w:rPr>
          <w:rFonts w:ascii="Arial" w:hAnsi="Arial" w:cs="Arial"/>
          <w:sz w:val="24"/>
          <w:szCs w:val="24"/>
          <w:shd w:val="clear" w:color="auto" w:fill="FFFFFF"/>
        </w:rPr>
        <w:t>, </w:t>
      </w:r>
      <w:r w:rsidRPr="001F5265">
        <w:rPr>
          <w:rFonts w:ascii="Arial" w:hAnsi="Arial" w:cs="Arial"/>
          <w:i/>
          <w:iCs/>
          <w:sz w:val="24"/>
          <w:szCs w:val="24"/>
          <w:shd w:val="clear" w:color="auto" w:fill="FFFFFF"/>
        </w:rPr>
        <w:t>17</w:t>
      </w:r>
      <w:r w:rsidRPr="001F5265">
        <w:rPr>
          <w:rFonts w:ascii="Arial" w:hAnsi="Arial" w:cs="Arial"/>
          <w:sz w:val="24"/>
          <w:szCs w:val="24"/>
          <w:shd w:val="clear" w:color="auto" w:fill="FFFFFF"/>
        </w:rPr>
        <w:t>(6), 106418.</w:t>
      </w:r>
    </w:p>
    <w:p w14:paraId="360E07F1"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Zhou, W., Shi, W., Du, X., Han, Y., Tang, Y., Ri, S., &amp; Liu, G. (2023). Assessment of nonalcoholic fatty liver disease symptoms and gut–liver axis status in zebrafish after exposure to polystyrene microplastics and oxytetracycline, alone and in combination. </w:t>
      </w:r>
      <w:r w:rsidRPr="002D701F">
        <w:rPr>
          <w:rFonts w:ascii="Arial" w:hAnsi="Arial" w:cs="Arial"/>
          <w:i/>
          <w:iCs/>
          <w:sz w:val="24"/>
          <w:szCs w:val="24"/>
        </w:rPr>
        <w:t>Environmental Health Perspectives, 131</w:t>
      </w:r>
      <w:r w:rsidRPr="002D701F">
        <w:rPr>
          <w:rFonts w:ascii="Arial" w:hAnsi="Arial" w:cs="Arial"/>
          <w:sz w:val="24"/>
          <w:szCs w:val="24"/>
        </w:rPr>
        <w:t xml:space="preserve">(4), 047006. </w:t>
      </w:r>
      <w:hyperlink r:id="rId102" w:history="1">
        <w:r w:rsidRPr="002D701F">
          <w:rPr>
            <w:rStyle w:val="Hyperlink"/>
            <w:rFonts w:ascii="Arial" w:hAnsi="Arial" w:cs="Arial"/>
            <w:sz w:val="24"/>
            <w:szCs w:val="24"/>
          </w:rPr>
          <w:t>https://doi.org/10.1289/EHP11610</w:t>
        </w:r>
      </w:hyperlink>
    </w:p>
    <w:p w14:paraId="53537C3F"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t>Ziani, K., Ioniță-</w:t>
      </w:r>
      <w:proofErr w:type="spellStart"/>
      <w:r w:rsidRPr="002D701F">
        <w:rPr>
          <w:rFonts w:ascii="Arial" w:hAnsi="Arial" w:cs="Arial"/>
          <w:sz w:val="24"/>
          <w:szCs w:val="24"/>
        </w:rPr>
        <w:t>Mîndrican</w:t>
      </w:r>
      <w:proofErr w:type="spellEnd"/>
      <w:r w:rsidRPr="002D701F">
        <w:rPr>
          <w:rFonts w:ascii="Arial" w:hAnsi="Arial" w:cs="Arial"/>
          <w:sz w:val="24"/>
          <w:szCs w:val="24"/>
        </w:rPr>
        <w:t xml:space="preserve">, C. B., Mititelu, M., Neacșu, S. M., </w:t>
      </w:r>
      <w:proofErr w:type="spellStart"/>
      <w:r w:rsidRPr="002D701F">
        <w:rPr>
          <w:rFonts w:ascii="Arial" w:hAnsi="Arial" w:cs="Arial"/>
          <w:sz w:val="24"/>
          <w:szCs w:val="24"/>
        </w:rPr>
        <w:t>Negrei</w:t>
      </w:r>
      <w:proofErr w:type="spellEnd"/>
      <w:r w:rsidRPr="002D701F">
        <w:rPr>
          <w:rFonts w:ascii="Arial" w:hAnsi="Arial" w:cs="Arial"/>
          <w:sz w:val="24"/>
          <w:szCs w:val="24"/>
        </w:rPr>
        <w:t xml:space="preserve">, C., </w:t>
      </w:r>
      <w:proofErr w:type="spellStart"/>
      <w:r w:rsidRPr="002D701F">
        <w:rPr>
          <w:rFonts w:ascii="Arial" w:hAnsi="Arial" w:cs="Arial"/>
          <w:sz w:val="24"/>
          <w:szCs w:val="24"/>
        </w:rPr>
        <w:t>Moroșan</w:t>
      </w:r>
      <w:proofErr w:type="spellEnd"/>
      <w:r w:rsidRPr="002D701F">
        <w:rPr>
          <w:rFonts w:ascii="Arial" w:hAnsi="Arial" w:cs="Arial"/>
          <w:sz w:val="24"/>
          <w:szCs w:val="24"/>
        </w:rPr>
        <w:t xml:space="preserve">, E., &amp; </w:t>
      </w:r>
      <w:proofErr w:type="spellStart"/>
      <w:r w:rsidRPr="002D701F">
        <w:rPr>
          <w:rFonts w:ascii="Arial" w:hAnsi="Arial" w:cs="Arial"/>
          <w:sz w:val="24"/>
          <w:szCs w:val="24"/>
        </w:rPr>
        <w:t>Preda</w:t>
      </w:r>
      <w:proofErr w:type="spellEnd"/>
      <w:r w:rsidRPr="002D701F">
        <w:rPr>
          <w:rFonts w:ascii="Arial" w:hAnsi="Arial" w:cs="Arial"/>
          <w:sz w:val="24"/>
          <w:szCs w:val="24"/>
        </w:rPr>
        <w:t xml:space="preserve">, O. T. (2023). Microplastics: A real global threat </w:t>
      </w:r>
      <w:proofErr w:type="gramStart"/>
      <w:r w:rsidRPr="002D701F">
        <w:rPr>
          <w:rFonts w:ascii="Arial" w:hAnsi="Arial" w:cs="Arial"/>
          <w:sz w:val="24"/>
          <w:szCs w:val="24"/>
        </w:rPr>
        <w:t>for environment</w:t>
      </w:r>
      <w:proofErr w:type="gramEnd"/>
      <w:r w:rsidRPr="002D701F">
        <w:rPr>
          <w:rFonts w:ascii="Arial" w:hAnsi="Arial" w:cs="Arial"/>
          <w:sz w:val="24"/>
          <w:szCs w:val="24"/>
        </w:rPr>
        <w:t xml:space="preserve"> and food safety: A state-of-the-art review. </w:t>
      </w:r>
      <w:r w:rsidRPr="002D701F">
        <w:rPr>
          <w:rFonts w:ascii="Arial" w:hAnsi="Arial" w:cs="Arial"/>
          <w:i/>
          <w:iCs/>
          <w:sz w:val="24"/>
          <w:szCs w:val="24"/>
        </w:rPr>
        <w:t>Nutrients, 15</w:t>
      </w:r>
      <w:r w:rsidRPr="002D701F">
        <w:rPr>
          <w:rFonts w:ascii="Arial" w:hAnsi="Arial" w:cs="Arial"/>
          <w:sz w:val="24"/>
          <w:szCs w:val="24"/>
        </w:rPr>
        <w:t xml:space="preserve">(3), 617. </w:t>
      </w:r>
      <w:hyperlink r:id="rId103" w:history="1">
        <w:r w:rsidRPr="002D701F">
          <w:rPr>
            <w:rStyle w:val="Hyperlink"/>
            <w:rFonts w:ascii="Arial" w:hAnsi="Arial" w:cs="Arial"/>
            <w:sz w:val="24"/>
            <w:szCs w:val="24"/>
          </w:rPr>
          <w:t>https://doi.org/10.3390/nu15030617</w:t>
        </w:r>
      </w:hyperlink>
    </w:p>
    <w:p w14:paraId="44D2529B" w14:textId="77777777" w:rsidR="003E2CE9" w:rsidRPr="002D701F" w:rsidRDefault="003E2CE9" w:rsidP="00A54637">
      <w:pPr>
        <w:spacing w:after="160" w:line="259" w:lineRule="auto"/>
        <w:ind w:left="426" w:hanging="426"/>
        <w:jc w:val="both"/>
        <w:rPr>
          <w:rFonts w:ascii="Arial" w:hAnsi="Arial" w:cs="Arial"/>
          <w:sz w:val="24"/>
          <w:szCs w:val="24"/>
        </w:rPr>
      </w:pPr>
      <w:r w:rsidRPr="002D701F">
        <w:rPr>
          <w:rFonts w:ascii="Arial" w:hAnsi="Arial" w:cs="Arial"/>
          <w:sz w:val="24"/>
          <w:szCs w:val="24"/>
        </w:rPr>
        <w:lastRenderedPageBreak/>
        <w:t xml:space="preserve">Zimmermann, L., </w:t>
      </w:r>
      <w:proofErr w:type="spellStart"/>
      <w:r w:rsidRPr="002D701F">
        <w:rPr>
          <w:rFonts w:ascii="Arial" w:hAnsi="Arial" w:cs="Arial"/>
          <w:sz w:val="24"/>
          <w:szCs w:val="24"/>
        </w:rPr>
        <w:t>Bartosova</w:t>
      </w:r>
      <w:proofErr w:type="spellEnd"/>
      <w:r w:rsidRPr="002D701F">
        <w:rPr>
          <w:rFonts w:ascii="Arial" w:hAnsi="Arial" w:cs="Arial"/>
          <w:sz w:val="24"/>
          <w:szCs w:val="24"/>
        </w:rPr>
        <w:t xml:space="preserve">, Z., Braun, K., </w:t>
      </w:r>
      <w:proofErr w:type="spellStart"/>
      <w:r w:rsidRPr="002D701F">
        <w:rPr>
          <w:rFonts w:ascii="Arial" w:hAnsi="Arial" w:cs="Arial"/>
          <w:sz w:val="24"/>
          <w:szCs w:val="24"/>
        </w:rPr>
        <w:t>Oehlmann</w:t>
      </w:r>
      <w:proofErr w:type="spellEnd"/>
      <w:r w:rsidRPr="002D701F">
        <w:rPr>
          <w:rFonts w:ascii="Arial" w:hAnsi="Arial" w:cs="Arial"/>
          <w:sz w:val="24"/>
          <w:szCs w:val="24"/>
        </w:rPr>
        <w:t xml:space="preserve">, J., Völker, C., &amp; Wagner, M. (2021). Plastic products leach chemicals that </w:t>
      </w:r>
      <w:proofErr w:type="gramStart"/>
      <w:r w:rsidRPr="002D701F">
        <w:rPr>
          <w:rFonts w:ascii="Arial" w:hAnsi="Arial" w:cs="Arial"/>
          <w:sz w:val="24"/>
          <w:szCs w:val="24"/>
        </w:rPr>
        <w:t>induce in</w:t>
      </w:r>
      <w:proofErr w:type="gramEnd"/>
      <w:r w:rsidRPr="002D701F">
        <w:rPr>
          <w:rFonts w:ascii="Arial" w:hAnsi="Arial" w:cs="Arial"/>
          <w:sz w:val="24"/>
          <w:szCs w:val="24"/>
        </w:rPr>
        <w:t xml:space="preserve"> vitro toxicity under realistic use conditions. </w:t>
      </w:r>
      <w:r w:rsidRPr="002D701F">
        <w:rPr>
          <w:rFonts w:ascii="Arial" w:hAnsi="Arial" w:cs="Arial"/>
          <w:i/>
          <w:iCs/>
          <w:sz w:val="24"/>
          <w:szCs w:val="24"/>
        </w:rPr>
        <w:t>Environmental Science &amp; Technology, 55</w:t>
      </w:r>
      <w:r w:rsidRPr="002D701F">
        <w:rPr>
          <w:rFonts w:ascii="Arial" w:hAnsi="Arial" w:cs="Arial"/>
          <w:sz w:val="24"/>
          <w:szCs w:val="24"/>
        </w:rPr>
        <w:t xml:space="preserve">(17), 11814–11823. </w:t>
      </w:r>
      <w:hyperlink r:id="rId104" w:history="1">
        <w:r w:rsidRPr="002D701F">
          <w:rPr>
            <w:rStyle w:val="Hyperlink"/>
            <w:rFonts w:ascii="Arial" w:hAnsi="Arial" w:cs="Arial"/>
            <w:sz w:val="24"/>
            <w:szCs w:val="24"/>
          </w:rPr>
          <w:t>https://doi.org/10.1021/acs.est.1c01103</w:t>
        </w:r>
      </w:hyperlink>
    </w:p>
    <w:p w14:paraId="53B7D65B" w14:textId="77777777" w:rsidR="003E2CE9" w:rsidRDefault="003E2CE9" w:rsidP="003D19CD">
      <w:pPr>
        <w:spacing w:after="160" w:line="259" w:lineRule="auto"/>
        <w:ind w:left="426" w:hanging="426"/>
        <w:jc w:val="both"/>
        <w:rPr>
          <w:rFonts w:ascii="Arial" w:hAnsi="Arial" w:cs="Arial"/>
          <w:sz w:val="24"/>
          <w:szCs w:val="24"/>
        </w:rPr>
      </w:pPr>
      <w:r w:rsidRPr="002D701F">
        <w:rPr>
          <w:rFonts w:ascii="Arial" w:hAnsi="Arial" w:cs="Arial"/>
          <w:sz w:val="24"/>
          <w:szCs w:val="24"/>
        </w:rPr>
        <w:t xml:space="preserve">Zou, H., Song, J., Luo, X., Ali, W., Li, S., Xiong, L., Chen, Y., Yuan, Y., Ma, Y., Tong, X., &amp; Liu, Z. (2025). Cadmium and polyvinyl chloride microplastics induce mitochondrial damage and apoptosis under oxidative stress in duck kidney. </w:t>
      </w:r>
      <w:r w:rsidRPr="002D701F">
        <w:rPr>
          <w:rFonts w:ascii="Arial" w:hAnsi="Arial" w:cs="Arial"/>
          <w:i/>
          <w:iCs/>
          <w:sz w:val="24"/>
          <w:szCs w:val="24"/>
        </w:rPr>
        <w:t>Poultry Science, 104</w:t>
      </w:r>
      <w:r w:rsidRPr="002D701F">
        <w:rPr>
          <w:rFonts w:ascii="Arial" w:hAnsi="Arial" w:cs="Arial"/>
          <w:sz w:val="24"/>
          <w:szCs w:val="24"/>
        </w:rPr>
        <w:t xml:space="preserve">(1), 104490. </w:t>
      </w:r>
      <w:hyperlink r:id="rId105" w:history="1">
        <w:r w:rsidRPr="002D701F">
          <w:rPr>
            <w:rStyle w:val="Hyperlink"/>
            <w:rFonts w:ascii="Arial" w:hAnsi="Arial" w:cs="Arial"/>
            <w:sz w:val="24"/>
            <w:szCs w:val="24"/>
          </w:rPr>
          <w:t>https://doi.org/10.1016/j.psj.2024.104490</w:t>
        </w:r>
      </w:hyperlink>
    </w:p>
    <w:p w14:paraId="1AE9F079" w14:textId="77777777" w:rsidR="00160EE0" w:rsidRPr="00A54637" w:rsidRDefault="00160EE0" w:rsidP="00A54637">
      <w:pPr>
        <w:ind w:left="426" w:hanging="426"/>
        <w:jc w:val="both"/>
        <w:rPr>
          <w:rFonts w:ascii="Arial" w:hAnsi="Arial" w:cs="Arial"/>
          <w:sz w:val="24"/>
          <w:szCs w:val="24"/>
          <w:shd w:val="clear" w:color="auto" w:fill="FFFFFF"/>
        </w:rPr>
      </w:pPr>
    </w:p>
    <w:sectPr w:rsidR="00160EE0" w:rsidRPr="00A54637" w:rsidSect="001E1384">
      <w:headerReference w:type="even" r:id="rId106"/>
      <w:headerReference w:type="default" r:id="rId107"/>
      <w:footerReference w:type="default" r:id="rId108"/>
      <w:headerReference w:type="first" r:id="rId10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44F39" w14:textId="77777777" w:rsidR="006C0CC5" w:rsidRDefault="006C0CC5">
      <w:r>
        <w:separator/>
      </w:r>
    </w:p>
  </w:endnote>
  <w:endnote w:type="continuationSeparator" w:id="0">
    <w:p w14:paraId="3BFC9762" w14:textId="77777777" w:rsidR="006C0CC5" w:rsidRDefault="006C0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89F3" w14:textId="77777777" w:rsidR="001E1384" w:rsidRDefault="001E1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9AA2" w14:textId="77777777" w:rsidR="001E1384" w:rsidRDefault="001E13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CC982" w14:textId="071FA4C0" w:rsidR="00681AEA" w:rsidRPr="001E1384" w:rsidRDefault="00681AEA" w:rsidP="001E1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82709"/>
    </w:sdtPr>
    <w:sdtContent>
      <w:p w14:paraId="717D8041" w14:textId="509FF0BC" w:rsidR="00681AEA" w:rsidRDefault="00613667">
        <w:pPr>
          <w:pStyle w:val="Footer"/>
          <w:jc w:val="center"/>
        </w:pPr>
        <w:r>
          <w:fldChar w:fldCharType="begin"/>
        </w:r>
        <w:r>
          <w:instrText xml:space="preserve"> PAGE   \* MERGEFORMAT </w:instrText>
        </w:r>
        <w:r>
          <w:fldChar w:fldCharType="separate"/>
        </w:r>
        <w:r w:rsidR="006505F1">
          <w:rPr>
            <w:noProof/>
          </w:rPr>
          <w:t>9</w:t>
        </w:r>
        <w:r>
          <w:fldChar w:fldCharType="end"/>
        </w:r>
      </w:p>
    </w:sdtContent>
  </w:sdt>
  <w:p w14:paraId="76AE1F3E" w14:textId="77777777" w:rsidR="00681AEA" w:rsidRDefault="00681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B3F5A" w14:textId="77777777" w:rsidR="006C0CC5" w:rsidRDefault="006C0CC5">
      <w:r>
        <w:separator/>
      </w:r>
    </w:p>
  </w:footnote>
  <w:footnote w:type="continuationSeparator" w:id="0">
    <w:p w14:paraId="57DB19C4" w14:textId="77777777" w:rsidR="006C0CC5" w:rsidRDefault="006C0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6513" w14:textId="43D4189E" w:rsidR="001E1384" w:rsidRDefault="00000000">
    <w:pPr>
      <w:pStyle w:val="Header"/>
    </w:pPr>
    <w:r>
      <w:rPr>
        <w:noProof/>
      </w:rPr>
      <w:pict w14:anchorId="09C77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2"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B3F0" w14:textId="21F81F2F" w:rsidR="001E1384" w:rsidRDefault="00000000">
    <w:pPr>
      <w:pStyle w:val="Header"/>
    </w:pPr>
    <w:r>
      <w:rPr>
        <w:noProof/>
      </w:rPr>
      <w:pict w14:anchorId="1447C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3"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8FE1" w14:textId="1C9D1275" w:rsidR="00681AEA" w:rsidRDefault="00000000">
    <w:pPr>
      <w:ind w:left="2160"/>
      <w:jc w:val="center"/>
      <w:rPr>
        <w:rFonts w:ascii="Times New Roman" w:eastAsia="Calibri" w:hAnsi="Times New Roman"/>
        <w:i/>
        <w:sz w:val="18"/>
        <w:szCs w:val="22"/>
      </w:rPr>
    </w:pPr>
    <w:r>
      <w:rPr>
        <w:noProof/>
      </w:rPr>
      <w:pict w14:anchorId="3F0778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1"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8BA79DE" w14:textId="77777777" w:rsidR="00681AEA" w:rsidRDefault="00613667">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4E1E5EE" w14:textId="77777777" w:rsidR="00681AEA" w:rsidRDefault="00613667">
    <w:pPr>
      <w:jc w:val="center"/>
      <w:rPr>
        <w:rFonts w:ascii="Times New Roman" w:eastAsia="Calibri" w:hAnsi="Times New Roman"/>
        <w:i/>
        <w:sz w:val="18"/>
        <w:szCs w:val="22"/>
      </w:rPr>
    </w:pPr>
    <w:r>
      <w:rPr>
        <w:rFonts w:ascii="Times New Roman" w:eastAsia="Calibri" w:hAnsi="Times New Roman"/>
        <w:i/>
        <w:sz w:val="18"/>
        <w:szCs w:val="22"/>
      </w:rPr>
      <w:t>.</w:t>
    </w:r>
  </w:p>
  <w:p w14:paraId="193EC2B7" w14:textId="77777777" w:rsidR="00681AEA" w:rsidRDefault="00613667">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7C0A5A6" w14:textId="77777777" w:rsidR="00681AEA" w:rsidRDefault="00613667">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49F8980" w14:textId="77777777" w:rsidR="00681AEA" w:rsidRDefault="00613667">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76AD62F" w14:textId="77777777" w:rsidR="00681AEA" w:rsidRDefault="0061366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3D3B" w14:textId="3C5BFCAE" w:rsidR="001E1384" w:rsidRDefault="00000000">
    <w:pPr>
      <w:pStyle w:val="Header"/>
    </w:pPr>
    <w:r>
      <w:rPr>
        <w:noProof/>
      </w:rPr>
      <w:pict w14:anchorId="24C88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5" o:spid="_x0000_s1029"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0F62" w14:textId="3B6DC918" w:rsidR="001E1384" w:rsidRDefault="00000000">
    <w:pPr>
      <w:pStyle w:val="Header"/>
    </w:pPr>
    <w:r>
      <w:rPr>
        <w:noProof/>
      </w:rPr>
      <w:pict w14:anchorId="12EA2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6" o:spid="_x0000_s1030"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9896" w14:textId="439DCE45" w:rsidR="001E1384" w:rsidRDefault="00000000">
    <w:pPr>
      <w:pStyle w:val="Header"/>
    </w:pPr>
    <w:r>
      <w:rPr>
        <w:noProof/>
      </w:rPr>
      <w:pict w14:anchorId="11CB6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4" o:spid="_x0000_s1028"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1483504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NTMzNTK1tDQ2NjdT0lEKTi0uzszPAykwrAUAxeprBCwAAAA="/>
  </w:docVars>
  <w:rsids>
    <w:rsidRoot w:val="00172A27"/>
    <w:rsid w:val="00000F8F"/>
    <w:rsid w:val="000013E3"/>
    <w:rsid w:val="0000292D"/>
    <w:rsid w:val="000054A5"/>
    <w:rsid w:val="00007ECA"/>
    <w:rsid w:val="00012549"/>
    <w:rsid w:val="000130D8"/>
    <w:rsid w:val="00017072"/>
    <w:rsid w:val="0002000D"/>
    <w:rsid w:val="00021132"/>
    <w:rsid w:val="00025E85"/>
    <w:rsid w:val="00030174"/>
    <w:rsid w:val="000364F4"/>
    <w:rsid w:val="000371BC"/>
    <w:rsid w:val="00042765"/>
    <w:rsid w:val="00045659"/>
    <w:rsid w:val="0004579C"/>
    <w:rsid w:val="000479CF"/>
    <w:rsid w:val="000505C0"/>
    <w:rsid w:val="0005302D"/>
    <w:rsid w:val="000554B5"/>
    <w:rsid w:val="00055DBB"/>
    <w:rsid w:val="00057B12"/>
    <w:rsid w:val="00071494"/>
    <w:rsid w:val="00073A4C"/>
    <w:rsid w:val="00074F15"/>
    <w:rsid w:val="000804B9"/>
    <w:rsid w:val="00080EE3"/>
    <w:rsid w:val="00086557"/>
    <w:rsid w:val="00090ADB"/>
    <w:rsid w:val="00091D42"/>
    <w:rsid w:val="000A2F82"/>
    <w:rsid w:val="000A47FA"/>
    <w:rsid w:val="000A5F33"/>
    <w:rsid w:val="000A65D3"/>
    <w:rsid w:val="000A6D13"/>
    <w:rsid w:val="000B1E33"/>
    <w:rsid w:val="000B3318"/>
    <w:rsid w:val="000C0B68"/>
    <w:rsid w:val="000C1AA4"/>
    <w:rsid w:val="000D1CCE"/>
    <w:rsid w:val="000D3EDE"/>
    <w:rsid w:val="000D4D20"/>
    <w:rsid w:val="000D5D8F"/>
    <w:rsid w:val="000D689F"/>
    <w:rsid w:val="000D73CA"/>
    <w:rsid w:val="000E1CDE"/>
    <w:rsid w:val="000E3DAF"/>
    <w:rsid w:val="000E7B7B"/>
    <w:rsid w:val="000E7D62"/>
    <w:rsid w:val="000F4E7F"/>
    <w:rsid w:val="00100544"/>
    <w:rsid w:val="001017EA"/>
    <w:rsid w:val="00103357"/>
    <w:rsid w:val="00103B67"/>
    <w:rsid w:val="001141DD"/>
    <w:rsid w:val="0011559F"/>
    <w:rsid w:val="00115779"/>
    <w:rsid w:val="00115886"/>
    <w:rsid w:val="001164C2"/>
    <w:rsid w:val="00123C9F"/>
    <w:rsid w:val="00126190"/>
    <w:rsid w:val="00126479"/>
    <w:rsid w:val="00130F17"/>
    <w:rsid w:val="001320BF"/>
    <w:rsid w:val="001364F7"/>
    <w:rsid w:val="00143EF9"/>
    <w:rsid w:val="00147A0C"/>
    <w:rsid w:val="00160EE0"/>
    <w:rsid w:val="00163BC4"/>
    <w:rsid w:val="001653EB"/>
    <w:rsid w:val="00166ABD"/>
    <w:rsid w:val="00172A27"/>
    <w:rsid w:val="0017709B"/>
    <w:rsid w:val="00184849"/>
    <w:rsid w:val="00184E02"/>
    <w:rsid w:val="00191062"/>
    <w:rsid w:val="001920F4"/>
    <w:rsid w:val="00192B72"/>
    <w:rsid w:val="0019327B"/>
    <w:rsid w:val="00197442"/>
    <w:rsid w:val="001A1375"/>
    <w:rsid w:val="001A29D8"/>
    <w:rsid w:val="001A5CAA"/>
    <w:rsid w:val="001B0427"/>
    <w:rsid w:val="001C4D97"/>
    <w:rsid w:val="001D3A51"/>
    <w:rsid w:val="001D4098"/>
    <w:rsid w:val="001D5163"/>
    <w:rsid w:val="001D5662"/>
    <w:rsid w:val="001E10D2"/>
    <w:rsid w:val="001E1384"/>
    <w:rsid w:val="001E25B4"/>
    <w:rsid w:val="001E44FE"/>
    <w:rsid w:val="001E7860"/>
    <w:rsid w:val="001E7D41"/>
    <w:rsid w:val="001F02FC"/>
    <w:rsid w:val="001F5265"/>
    <w:rsid w:val="00200595"/>
    <w:rsid w:val="002025F2"/>
    <w:rsid w:val="00204506"/>
    <w:rsid w:val="00204835"/>
    <w:rsid w:val="002062F5"/>
    <w:rsid w:val="002204F4"/>
    <w:rsid w:val="00231920"/>
    <w:rsid w:val="0023195C"/>
    <w:rsid w:val="00231E94"/>
    <w:rsid w:val="002329BD"/>
    <w:rsid w:val="00233668"/>
    <w:rsid w:val="00233B2B"/>
    <w:rsid w:val="0024128A"/>
    <w:rsid w:val="0024282C"/>
    <w:rsid w:val="00245AE6"/>
    <w:rsid w:val="002460DC"/>
    <w:rsid w:val="00250985"/>
    <w:rsid w:val="00250E84"/>
    <w:rsid w:val="00252115"/>
    <w:rsid w:val="00253474"/>
    <w:rsid w:val="002556F6"/>
    <w:rsid w:val="0025744D"/>
    <w:rsid w:val="00261BF9"/>
    <w:rsid w:val="00272E04"/>
    <w:rsid w:val="00274023"/>
    <w:rsid w:val="00283105"/>
    <w:rsid w:val="00284C4C"/>
    <w:rsid w:val="0028553D"/>
    <w:rsid w:val="00287E68"/>
    <w:rsid w:val="002912F4"/>
    <w:rsid w:val="00295A50"/>
    <w:rsid w:val="00296529"/>
    <w:rsid w:val="002A02EB"/>
    <w:rsid w:val="002A1E9D"/>
    <w:rsid w:val="002A3C97"/>
    <w:rsid w:val="002A5190"/>
    <w:rsid w:val="002B0013"/>
    <w:rsid w:val="002B27FB"/>
    <w:rsid w:val="002B685A"/>
    <w:rsid w:val="002B7E94"/>
    <w:rsid w:val="002C04DB"/>
    <w:rsid w:val="002C4037"/>
    <w:rsid w:val="002C57D2"/>
    <w:rsid w:val="002C71DD"/>
    <w:rsid w:val="002D1BBA"/>
    <w:rsid w:val="002D39DC"/>
    <w:rsid w:val="002D5E3D"/>
    <w:rsid w:val="002E09CE"/>
    <w:rsid w:val="002E0D56"/>
    <w:rsid w:val="002E1579"/>
    <w:rsid w:val="002E3B9B"/>
    <w:rsid w:val="002E4A9F"/>
    <w:rsid w:val="002F483E"/>
    <w:rsid w:val="003042AA"/>
    <w:rsid w:val="00313076"/>
    <w:rsid w:val="00315186"/>
    <w:rsid w:val="0031564E"/>
    <w:rsid w:val="00315D1B"/>
    <w:rsid w:val="003178AC"/>
    <w:rsid w:val="0032011A"/>
    <w:rsid w:val="00325BEB"/>
    <w:rsid w:val="00326160"/>
    <w:rsid w:val="0033065E"/>
    <w:rsid w:val="0033343E"/>
    <w:rsid w:val="00336341"/>
    <w:rsid w:val="00337677"/>
    <w:rsid w:val="0034062C"/>
    <w:rsid w:val="00342B61"/>
    <w:rsid w:val="00345BA3"/>
    <w:rsid w:val="003464FF"/>
    <w:rsid w:val="003467A4"/>
    <w:rsid w:val="00346C2C"/>
    <w:rsid w:val="00347691"/>
    <w:rsid w:val="003512C2"/>
    <w:rsid w:val="00363205"/>
    <w:rsid w:val="0036424D"/>
    <w:rsid w:val="0037163F"/>
    <w:rsid w:val="00371FB6"/>
    <w:rsid w:val="003763C1"/>
    <w:rsid w:val="00376BBE"/>
    <w:rsid w:val="003830EB"/>
    <w:rsid w:val="003839C6"/>
    <w:rsid w:val="00391C91"/>
    <w:rsid w:val="0039224F"/>
    <w:rsid w:val="00392B48"/>
    <w:rsid w:val="00396712"/>
    <w:rsid w:val="0039701A"/>
    <w:rsid w:val="003A398A"/>
    <w:rsid w:val="003A43A4"/>
    <w:rsid w:val="003A62EC"/>
    <w:rsid w:val="003A6BED"/>
    <w:rsid w:val="003A7E18"/>
    <w:rsid w:val="003B295F"/>
    <w:rsid w:val="003B2FAC"/>
    <w:rsid w:val="003B5789"/>
    <w:rsid w:val="003C3BDC"/>
    <w:rsid w:val="003C4C86"/>
    <w:rsid w:val="003C6258"/>
    <w:rsid w:val="003C67AD"/>
    <w:rsid w:val="003D19CD"/>
    <w:rsid w:val="003E2904"/>
    <w:rsid w:val="003E2CE9"/>
    <w:rsid w:val="003E66B8"/>
    <w:rsid w:val="003E7899"/>
    <w:rsid w:val="003F6DB5"/>
    <w:rsid w:val="003F74D2"/>
    <w:rsid w:val="00401927"/>
    <w:rsid w:val="00403372"/>
    <w:rsid w:val="004058E0"/>
    <w:rsid w:val="0041027F"/>
    <w:rsid w:val="00412475"/>
    <w:rsid w:val="00413F2C"/>
    <w:rsid w:val="00417AA9"/>
    <w:rsid w:val="00417E45"/>
    <w:rsid w:val="00422F6D"/>
    <w:rsid w:val="00423789"/>
    <w:rsid w:val="00424167"/>
    <w:rsid w:val="00430A6B"/>
    <w:rsid w:val="00435EA8"/>
    <w:rsid w:val="004369A9"/>
    <w:rsid w:val="00440F43"/>
    <w:rsid w:val="00441B6F"/>
    <w:rsid w:val="00443793"/>
    <w:rsid w:val="00446221"/>
    <w:rsid w:val="00446D4A"/>
    <w:rsid w:val="00450E62"/>
    <w:rsid w:val="004539DB"/>
    <w:rsid w:val="004616C0"/>
    <w:rsid w:val="00464D08"/>
    <w:rsid w:val="004707DE"/>
    <w:rsid w:val="00471800"/>
    <w:rsid w:val="00471A80"/>
    <w:rsid w:val="00472141"/>
    <w:rsid w:val="00476CA6"/>
    <w:rsid w:val="00482AE3"/>
    <w:rsid w:val="0048368B"/>
    <w:rsid w:val="00487CC4"/>
    <w:rsid w:val="00492DA8"/>
    <w:rsid w:val="00493C2A"/>
    <w:rsid w:val="00494480"/>
    <w:rsid w:val="004A2FEF"/>
    <w:rsid w:val="004A3A2D"/>
    <w:rsid w:val="004B3052"/>
    <w:rsid w:val="004C52A2"/>
    <w:rsid w:val="004C663D"/>
    <w:rsid w:val="004C67B6"/>
    <w:rsid w:val="004D1FE3"/>
    <w:rsid w:val="004D305E"/>
    <w:rsid w:val="004D4277"/>
    <w:rsid w:val="004D567B"/>
    <w:rsid w:val="004D79AD"/>
    <w:rsid w:val="004E3A5C"/>
    <w:rsid w:val="004F3471"/>
    <w:rsid w:val="00502516"/>
    <w:rsid w:val="00505F06"/>
    <w:rsid w:val="00506665"/>
    <w:rsid w:val="00506828"/>
    <w:rsid w:val="00507623"/>
    <w:rsid w:val="00512219"/>
    <w:rsid w:val="005267FD"/>
    <w:rsid w:val="0053056E"/>
    <w:rsid w:val="00535104"/>
    <w:rsid w:val="0054044B"/>
    <w:rsid w:val="005412A6"/>
    <w:rsid w:val="00542EA5"/>
    <w:rsid w:val="00547F9F"/>
    <w:rsid w:val="00550514"/>
    <w:rsid w:val="00554FDA"/>
    <w:rsid w:val="00556024"/>
    <w:rsid w:val="00556A1F"/>
    <w:rsid w:val="00556D3D"/>
    <w:rsid w:val="00562686"/>
    <w:rsid w:val="00565124"/>
    <w:rsid w:val="0056592A"/>
    <w:rsid w:val="00570894"/>
    <w:rsid w:val="0057229B"/>
    <w:rsid w:val="00576463"/>
    <w:rsid w:val="00581F62"/>
    <w:rsid w:val="00582B73"/>
    <w:rsid w:val="00583B94"/>
    <w:rsid w:val="00583DBA"/>
    <w:rsid w:val="00584735"/>
    <w:rsid w:val="0058644A"/>
    <w:rsid w:val="00587FEA"/>
    <w:rsid w:val="00591DFB"/>
    <w:rsid w:val="00594294"/>
    <w:rsid w:val="005958E9"/>
    <w:rsid w:val="00596110"/>
    <w:rsid w:val="005A3451"/>
    <w:rsid w:val="005A5ACA"/>
    <w:rsid w:val="005A7D00"/>
    <w:rsid w:val="005B493E"/>
    <w:rsid w:val="005C0149"/>
    <w:rsid w:val="005C1F26"/>
    <w:rsid w:val="005C23B3"/>
    <w:rsid w:val="005C4C5E"/>
    <w:rsid w:val="005C4E97"/>
    <w:rsid w:val="005C784C"/>
    <w:rsid w:val="005D17F6"/>
    <w:rsid w:val="005E1CF4"/>
    <w:rsid w:val="005E36F5"/>
    <w:rsid w:val="005E5351"/>
    <w:rsid w:val="005E5539"/>
    <w:rsid w:val="005E64E8"/>
    <w:rsid w:val="005F407D"/>
    <w:rsid w:val="005F45C7"/>
    <w:rsid w:val="005F5289"/>
    <w:rsid w:val="005F7C6C"/>
    <w:rsid w:val="0060079B"/>
    <w:rsid w:val="006008A0"/>
    <w:rsid w:val="00602BF5"/>
    <w:rsid w:val="00613387"/>
    <w:rsid w:val="00613667"/>
    <w:rsid w:val="00615412"/>
    <w:rsid w:val="00616F2A"/>
    <w:rsid w:val="00617FDD"/>
    <w:rsid w:val="00624405"/>
    <w:rsid w:val="00630408"/>
    <w:rsid w:val="00633530"/>
    <w:rsid w:val="00633614"/>
    <w:rsid w:val="00633F68"/>
    <w:rsid w:val="00636EB2"/>
    <w:rsid w:val="006375B8"/>
    <w:rsid w:val="006404F3"/>
    <w:rsid w:val="0064101C"/>
    <w:rsid w:val="0064407D"/>
    <w:rsid w:val="006505F1"/>
    <w:rsid w:val="00650718"/>
    <w:rsid w:val="00652C6A"/>
    <w:rsid w:val="00652F42"/>
    <w:rsid w:val="006602B0"/>
    <w:rsid w:val="0066510A"/>
    <w:rsid w:val="00673F9F"/>
    <w:rsid w:val="006741D8"/>
    <w:rsid w:val="00675044"/>
    <w:rsid w:val="00681AEA"/>
    <w:rsid w:val="00683442"/>
    <w:rsid w:val="00686489"/>
    <w:rsid w:val="00686953"/>
    <w:rsid w:val="00687DEA"/>
    <w:rsid w:val="00687E67"/>
    <w:rsid w:val="006967F7"/>
    <w:rsid w:val="006A250C"/>
    <w:rsid w:val="006A60A3"/>
    <w:rsid w:val="006B19FF"/>
    <w:rsid w:val="006B21D3"/>
    <w:rsid w:val="006B355E"/>
    <w:rsid w:val="006B57D0"/>
    <w:rsid w:val="006C0CC5"/>
    <w:rsid w:val="006C19A3"/>
    <w:rsid w:val="006C4FA3"/>
    <w:rsid w:val="006D2FB5"/>
    <w:rsid w:val="006D30FF"/>
    <w:rsid w:val="006D4DA8"/>
    <w:rsid w:val="006D6940"/>
    <w:rsid w:val="006D7D88"/>
    <w:rsid w:val="006E4381"/>
    <w:rsid w:val="006E5CA1"/>
    <w:rsid w:val="006E76D9"/>
    <w:rsid w:val="006F11EC"/>
    <w:rsid w:val="006F3670"/>
    <w:rsid w:val="006F752A"/>
    <w:rsid w:val="0070082C"/>
    <w:rsid w:val="00707CBE"/>
    <w:rsid w:val="00707F29"/>
    <w:rsid w:val="00714C94"/>
    <w:rsid w:val="00716D21"/>
    <w:rsid w:val="00722EB8"/>
    <w:rsid w:val="00723EBB"/>
    <w:rsid w:val="007301D8"/>
    <w:rsid w:val="00731F30"/>
    <w:rsid w:val="007369E6"/>
    <w:rsid w:val="00741205"/>
    <w:rsid w:val="0074653A"/>
    <w:rsid w:val="00746E59"/>
    <w:rsid w:val="007504B5"/>
    <w:rsid w:val="00750820"/>
    <w:rsid w:val="00751CD4"/>
    <w:rsid w:val="00752AF9"/>
    <w:rsid w:val="00754C9A"/>
    <w:rsid w:val="0075599A"/>
    <w:rsid w:val="00755DD3"/>
    <w:rsid w:val="00755FFE"/>
    <w:rsid w:val="00761D52"/>
    <w:rsid w:val="007647B3"/>
    <w:rsid w:val="00764FA1"/>
    <w:rsid w:val="00766E29"/>
    <w:rsid w:val="0076778B"/>
    <w:rsid w:val="007701E1"/>
    <w:rsid w:val="0077749E"/>
    <w:rsid w:val="00790ADA"/>
    <w:rsid w:val="0079101B"/>
    <w:rsid w:val="0079315B"/>
    <w:rsid w:val="00793A63"/>
    <w:rsid w:val="00795245"/>
    <w:rsid w:val="007B0ED6"/>
    <w:rsid w:val="007B21C7"/>
    <w:rsid w:val="007B3CB6"/>
    <w:rsid w:val="007B728C"/>
    <w:rsid w:val="007C003F"/>
    <w:rsid w:val="007C16B2"/>
    <w:rsid w:val="007C26D9"/>
    <w:rsid w:val="007C36E3"/>
    <w:rsid w:val="007C4B18"/>
    <w:rsid w:val="007C738D"/>
    <w:rsid w:val="007D13BB"/>
    <w:rsid w:val="007D2288"/>
    <w:rsid w:val="007D29CC"/>
    <w:rsid w:val="007D7D35"/>
    <w:rsid w:val="007E04DD"/>
    <w:rsid w:val="007E088F"/>
    <w:rsid w:val="007F20F2"/>
    <w:rsid w:val="007F2746"/>
    <w:rsid w:val="007F3265"/>
    <w:rsid w:val="007F7B32"/>
    <w:rsid w:val="0080306D"/>
    <w:rsid w:val="00804BC2"/>
    <w:rsid w:val="00813AE6"/>
    <w:rsid w:val="0081431A"/>
    <w:rsid w:val="00814E2A"/>
    <w:rsid w:val="0082260E"/>
    <w:rsid w:val="00826BAF"/>
    <w:rsid w:val="00831D80"/>
    <w:rsid w:val="0083216F"/>
    <w:rsid w:val="0083500F"/>
    <w:rsid w:val="00836DAF"/>
    <w:rsid w:val="0085331A"/>
    <w:rsid w:val="008559E3"/>
    <w:rsid w:val="0085730F"/>
    <w:rsid w:val="008579AE"/>
    <w:rsid w:val="00860000"/>
    <w:rsid w:val="00863BD3"/>
    <w:rsid w:val="008641ED"/>
    <w:rsid w:val="00866D66"/>
    <w:rsid w:val="008671C6"/>
    <w:rsid w:val="00867F45"/>
    <w:rsid w:val="008708E6"/>
    <w:rsid w:val="0087524F"/>
    <w:rsid w:val="00875803"/>
    <w:rsid w:val="008758F7"/>
    <w:rsid w:val="00876636"/>
    <w:rsid w:val="00876D3E"/>
    <w:rsid w:val="00881C24"/>
    <w:rsid w:val="00886E25"/>
    <w:rsid w:val="00886FC8"/>
    <w:rsid w:val="00891CF4"/>
    <w:rsid w:val="008930D8"/>
    <w:rsid w:val="008A3C90"/>
    <w:rsid w:val="008B459E"/>
    <w:rsid w:val="008C2213"/>
    <w:rsid w:val="008C6743"/>
    <w:rsid w:val="008E0AD3"/>
    <w:rsid w:val="008E13AE"/>
    <w:rsid w:val="008E1506"/>
    <w:rsid w:val="008E4732"/>
    <w:rsid w:val="008E47B2"/>
    <w:rsid w:val="008E710C"/>
    <w:rsid w:val="008F3489"/>
    <w:rsid w:val="008F3C7C"/>
    <w:rsid w:val="008F5082"/>
    <w:rsid w:val="008F69D6"/>
    <w:rsid w:val="00902823"/>
    <w:rsid w:val="00905233"/>
    <w:rsid w:val="009056CF"/>
    <w:rsid w:val="00907BF2"/>
    <w:rsid w:val="00912B6D"/>
    <w:rsid w:val="0091327C"/>
    <w:rsid w:val="00915CA6"/>
    <w:rsid w:val="009244D1"/>
    <w:rsid w:val="009245AC"/>
    <w:rsid w:val="009248CE"/>
    <w:rsid w:val="00925215"/>
    <w:rsid w:val="00925360"/>
    <w:rsid w:val="00926859"/>
    <w:rsid w:val="00927834"/>
    <w:rsid w:val="00936489"/>
    <w:rsid w:val="00941666"/>
    <w:rsid w:val="00943CC3"/>
    <w:rsid w:val="009468BB"/>
    <w:rsid w:val="009500A6"/>
    <w:rsid w:val="009530DE"/>
    <w:rsid w:val="00956C31"/>
    <w:rsid w:val="00956F13"/>
    <w:rsid w:val="00957C18"/>
    <w:rsid w:val="009659BA"/>
    <w:rsid w:val="00966CD0"/>
    <w:rsid w:val="009732DC"/>
    <w:rsid w:val="00980FE2"/>
    <w:rsid w:val="00983040"/>
    <w:rsid w:val="0098444A"/>
    <w:rsid w:val="00991374"/>
    <w:rsid w:val="00997D3C"/>
    <w:rsid w:val="009A5758"/>
    <w:rsid w:val="009B38A9"/>
    <w:rsid w:val="009B3FB9"/>
    <w:rsid w:val="009C005F"/>
    <w:rsid w:val="009C0242"/>
    <w:rsid w:val="009C2465"/>
    <w:rsid w:val="009C2B22"/>
    <w:rsid w:val="009C3393"/>
    <w:rsid w:val="009C4367"/>
    <w:rsid w:val="009D35A0"/>
    <w:rsid w:val="009D664F"/>
    <w:rsid w:val="009D7EB7"/>
    <w:rsid w:val="009E048A"/>
    <w:rsid w:val="009E08E9"/>
    <w:rsid w:val="009E3DB9"/>
    <w:rsid w:val="009E3E5C"/>
    <w:rsid w:val="009E6E35"/>
    <w:rsid w:val="009F0EDA"/>
    <w:rsid w:val="009F1581"/>
    <w:rsid w:val="00A03B96"/>
    <w:rsid w:val="00A05071"/>
    <w:rsid w:val="00A05B19"/>
    <w:rsid w:val="00A10679"/>
    <w:rsid w:val="00A1086C"/>
    <w:rsid w:val="00A1134E"/>
    <w:rsid w:val="00A12020"/>
    <w:rsid w:val="00A133E0"/>
    <w:rsid w:val="00A14281"/>
    <w:rsid w:val="00A222DB"/>
    <w:rsid w:val="00A24921"/>
    <w:rsid w:val="00A24E7E"/>
    <w:rsid w:val="00A258C3"/>
    <w:rsid w:val="00A26084"/>
    <w:rsid w:val="00A27F67"/>
    <w:rsid w:val="00A347C0"/>
    <w:rsid w:val="00A406BC"/>
    <w:rsid w:val="00A41716"/>
    <w:rsid w:val="00A46D4F"/>
    <w:rsid w:val="00A51431"/>
    <w:rsid w:val="00A53478"/>
    <w:rsid w:val="00A539AD"/>
    <w:rsid w:val="00A53CE8"/>
    <w:rsid w:val="00A54637"/>
    <w:rsid w:val="00A70515"/>
    <w:rsid w:val="00A75492"/>
    <w:rsid w:val="00A768CE"/>
    <w:rsid w:val="00A77A64"/>
    <w:rsid w:val="00A80675"/>
    <w:rsid w:val="00A82403"/>
    <w:rsid w:val="00A82C55"/>
    <w:rsid w:val="00A85B7B"/>
    <w:rsid w:val="00A94063"/>
    <w:rsid w:val="00A94386"/>
    <w:rsid w:val="00A95129"/>
    <w:rsid w:val="00A96340"/>
    <w:rsid w:val="00AA39CA"/>
    <w:rsid w:val="00AA6219"/>
    <w:rsid w:val="00AA74E0"/>
    <w:rsid w:val="00AB68F8"/>
    <w:rsid w:val="00AB703F"/>
    <w:rsid w:val="00AB7C20"/>
    <w:rsid w:val="00AC05C6"/>
    <w:rsid w:val="00AC312C"/>
    <w:rsid w:val="00AC34BC"/>
    <w:rsid w:val="00AC3B81"/>
    <w:rsid w:val="00AC4812"/>
    <w:rsid w:val="00AC5368"/>
    <w:rsid w:val="00AC6BB8"/>
    <w:rsid w:val="00AD3C9A"/>
    <w:rsid w:val="00AD7B79"/>
    <w:rsid w:val="00AE008F"/>
    <w:rsid w:val="00AE18BC"/>
    <w:rsid w:val="00AE20B5"/>
    <w:rsid w:val="00AE3554"/>
    <w:rsid w:val="00B00FDE"/>
    <w:rsid w:val="00B01FCD"/>
    <w:rsid w:val="00B0534D"/>
    <w:rsid w:val="00B0643B"/>
    <w:rsid w:val="00B1776C"/>
    <w:rsid w:val="00B17E5C"/>
    <w:rsid w:val="00B23C64"/>
    <w:rsid w:val="00B250A0"/>
    <w:rsid w:val="00B25D72"/>
    <w:rsid w:val="00B304DA"/>
    <w:rsid w:val="00B42D45"/>
    <w:rsid w:val="00B42F95"/>
    <w:rsid w:val="00B43B21"/>
    <w:rsid w:val="00B46522"/>
    <w:rsid w:val="00B52583"/>
    <w:rsid w:val="00B52896"/>
    <w:rsid w:val="00B54B10"/>
    <w:rsid w:val="00B55723"/>
    <w:rsid w:val="00B56586"/>
    <w:rsid w:val="00B778C7"/>
    <w:rsid w:val="00B77E67"/>
    <w:rsid w:val="00B927F4"/>
    <w:rsid w:val="00B93E2F"/>
    <w:rsid w:val="00B9492F"/>
    <w:rsid w:val="00B95236"/>
    <w:rsid w:val="00B952E4"/>
    <w:rsid w:val="00B96BD9"/>
    <w:rsid w:val="00BA0B63"/>
    <w:rsid w:val="00BA161C"/>
    <w:rsid w:val="00BA1B01"/>
    <w:rsid w:val="00BA2168"/>
    <w:rsid w:val="00BA2641"/>
    <w:rsid w:val="00BA31BB"/>
    <w:rsid w:val="00BA382C"/>
    <w:rsid w:val="00BB03FF"/>
    <w:rsid w:val="00BB37AA"/>
    <w:rsid w:val="00BC53A0"/>
    <w:rsid w:val="00BD489A"/>
    <w:rsid w:val="00BE354E"/>
    <w:rsid w:val="00BE62AD"/>
    <w:rsid w:val="00BE7440"/>
    <w:rsid w:val="00BF121F"/>
    <w:rsid w:val="00BF1661"/>
    <w:rsid w:val="00BF1F80"/>
    <w:rsid w:val="00BF67CE"/>
    <w:rsid w:val="00BF7BC6"/>
    <w:rsid w:val="00C029DF"/>
    <w:rsid w:val="00C067FA"/>
    <w:rsid w:val="00C12320"/>
    <w:rsid w:val="00C15E63"/>
    <w:rsid w:val="00C166EF"/>
    <w:rsid w:val="00C16EC8"/>
    <w:rsid w:val="00C17EB0"/>
    <w:rsid w:val="00C230E9"/>
    <w:rsid w:val="00C258CE"/>
    <w:rsid w:val="00C27F5F"/>
    <w:rsid w:val="00C30A0F"/>
    <w:rsid w:val="00C30A54"/>
    <w:rsid w:val="00C31E40"/>
    <w:rsid w:val="00C33F51"/>
    <w:rsid w:val="00C37E61"/>
    <w:rsid w:val="00C45C2D"/>
    <w:rsid w:val="00C52AF9"/>
    <w:rsid w:val="00C62C2B"/>
    <w:rsid w:val="00C6326A"/>
    <w:rsid w:val="00C67E77"/>
    <w:rsid w:val="00C7027C"/>
    <w:rsid w:val="00C70D65"/>
    <w:rsid w:val="00C70F1B"/>
    <w:rsid w:val="00C71A47"/>
    <w:rsid w:val="00C72617"/>
    <w:rsid w:val="00C7464C"/>
    <w:rsid w:val="00C777F8"/>
    <w:rsid w:val="00C820AE"/>
    <w:rsid w:val="00C85588"/>
    <w:rsid w:val="00C859BC"/>
    <w:rsid w:val="00C875FF"/>
    <w:rsid w:val="00C90483"/>
    <w:rsid w:val="00C908A5"/>
    <w:rsid w:val="00C95646"/>
    <w:rsid w:val="00C9762A"/>
    <w:rsid w:val="00CA0F72"/>
    <w:rsid w:val="00CA38B0"/>
    <w:rsid w:val="00CB4046"/>
    <w:rsid w:val="00CC5BEC"/>
    <w:rsid w:val="00CC7EF6"/>
    <w:rsid w:val="00CD05FE"/>
    <w:rsid w:val="00CD6755"/>
    <w:rsid w:val="00CD6856"/>
    <w:rsid w:val="00CD6D0A"/>
    <w:rsid w:val="00CD704C"/>
    <w:rsid w:val="00CE0089"/>
    <w:rsid w:val="00CE3213"/>
    <w:rsid w:val="00CE74E1"/>
    <w:rsid w:val="00CE793C"/>
    <w:rsid w:val="00CF143A"/>
    <w:rsid w:val="00CF193C"/>
    <w:rsid w:val="00CF4248"/>
    <w:rsid w:val="00CF4782"/>
    <w:rsid w:val="00D05043"/>
    <w:rsid w:val="00D10B7D"/>
    <w:rsid w:val="00D1505C"/>
    <w:rsid w:val="00D173F1"/>
    <w:rsid w:val="00D1769F"/>
    <w:rsid w:val="00D34484"/>
    <w:rsid w:val="00D409C5"/>
    <w:rsid w:val="00D5096F"/>
    <w:rsid w:val="00D51090"/>
    <w:rsid w:val="00D51308"/>
    <w:rsid w:val="00D51936"/>
    <w:rsid w:val="00D56AA5"/>
    <w:rsid w:val="00D6741C"/>
    <w:rsid w:val="00D74CB0"/>
    <w:rsid w:val="00D755DF"/>
    <w:rsid w:val="00D75645"/>
    <w:rsid w:val="00D777D3"/>
    <w:rsid w:val="00D82134"/>
    <w:rsid w:val="00D8295D"/>
    <w:rsid w:val="00D857B1"/>
    <w:rsid w:val="00D87341"/>
    <w:rsid w:val="00D90009"/>
    <w:rsid w:val="00D9546B"/>
    <w:rsid w:val="00DA64E5"/>
    <w:rsid w:val="00DA7828"/>
    <w:rsid w:val="00DB57AE"/>
    <w:rsid w:val="00DB5ED1"/>
    <w:rsid w:val="00DB78E4"/>
    <w:rsid w:val="00DC1812"/>
    <w:rsid w:val="00DC29BE"/>
    <w:rsid w:val="00DC2A65"/>
    <w:rsid w:val="00DC5F4B"/>
    <w:rsid w:val="00DD0771"/>
    <w:rsid w:val="00DD090A"/>
    <w:rsid w:val="00DD1E1C"/>
    <w:rsid w:val="00DD34D1"/>
    <w:rsid w:val="00DD5F97"/>
    <w:rsid w:val="00DE0733"/>
    <w:rsid w:val="00DE0CCD"/>
    <w:rsid w:val="00DE15F0"/>
    <w:rsid w:val="00DE5663"/>
    <w:rsid w:val="00DE78AA"/>
    <w:rsid w:val="00DF3489"/>
    <w:rsid w:val="00DF55D9"/>
    <w:rsid w:val="00DF560F"/>
    <w:rsid w:val="00E008B5"/>
    <w:rsid w:val="00E00C4C"/>
    <w:rsid w:val="00E04321"/>
    <w:rsid w:val="00E053D0"/>
    <w:rsid w:val="00E12D81"/>
    <w:rsid w:val="00E15994"/>
    <w:rsid w:val="00E26D08"/>
    <w:rsid w:val="00E3114E"/>
    <w:rsid w:val="00E31A70"/>
    <w:rsid w:val="00E341DF"/>
    <w:rsid w:val="00E34F5A"/>
    <w:rsid w:val="00E35B02"/>
    <w:rsid w:val="00E40F94"/>
    <w:rsid w:val="00E4382B"/>
    <w:rsid w:val="00E4691D"/>
    <w:rsid w:val="00E573CD"/>
    <w:rsid w:val="00E57484"/>
    <w:rsid w:val="00E602D8"/>
    <w:rsid w:val="00E66496"/>
    <w:rsid w:val="00E66B35"/>
    <w:rsid w:val="00E66E10"/>
    <w:rsid w:val="00E72846"/>
    <w:rsid w:val="00E764C7"/>
    <w:rsid w:val="00E769F6"/>
    <w:rsid w:val="00E8407C"/>
    <w:rsid w:val="00E84C6E"/>
    <w:rsid w:val="00E84F3C"/>
    <w:rsid w:val="00E86662"/>
    <w:rsid w:val="00E93E2F"/>
    <w:rsid w:val="00E95A0E"/>
    <w:rsid w:val="00EA012C"/>
    <w:rsid w:val="00EA3B3C"/>
    <w:rsid w:val="00EA4B1E"/>
    <w:rsid w:val="00EA4F7B"/>
    <w:rsid w:val="00EA7B76"/>
    <w:rsid w:val="00EB150E"/>
    <w:rsid w:val="00EB2191"/>
    <w:rsid w:val="00EC173A"/>
    <w:rsid w:val="00EC180F"/>
    <w:rsid w:val="00EC3BEE"/>
    <w:rsid w:val="00EC4C46"/>
    <w:rsid w:val="00EC4ECA"/>
    <w:rsid w:val="00EC6A55"/>
    <w:rsid w:val="00ED0288"/>
    <w:rsid w:val="00ED2BE6"/>
    <w:rsid w:val="00ED53D3"/>
    <w:rsid w:val="00EE0CCF"/>
    <w:rsid w:val="00EE389F"/>
    <w:rsid w:val="00EE52CB"/>
    <w:rsid w:val="00EF581D"/>
    <w:rsid w:val="00EF70C9"/>
    <w:rsid w:val="00EF7FD8"/>
    <w:rsid w:val="00F06F59"/>
    <w:rsid w:val="00F109C0"/>
    <w:rsid w:val="00F10F76"/>
    <w:rsid w:val="00F12269"/>
    <w:rsid w:val="00F14C42"/>
    <w:rsid w:val="00F15057"/>
    <w:rsid w:val="00F1678D"/>
    <w:rsid w:val="00F16AC5"/>
    <w:rsid w:val="00F17988"/>
    <w:rsid w:val="00F213F3"/>
    <w:rsid w:val="00F25534"/>
    <w:rsid w:val="00F257C5"/>
    <w:rsid w:val="00F2590D"/>
    <w:rsid w:val="00F26674"/>
    <w:rsid w:val="00F2685A"/>
    <w:rsid w:val="00F271A6"/>
    <w:rsid w:val="00F35454"/>
    <w:rsid w:val="00F36467"/>
    <w:rsid w:val="00F37FB2"/>
    <w:rsid w:val="00F4016D"/>
    <w:rsid w:val="00F4293D"/>
    <w:rsid w:val="00F42C59"/>
    <w:rsid w:val="00F438A0"/>
    <w:rsid w:val="00F469F0"/>
    <w:rsid w:val="00F4700F"/>
    <w:rsid w:val="00F47999"/>
    <w:rsid w:val="00F53273"/>
    <w:rsid w:val="00F632DD"/>
    <w:rsid w:val="00F67D47"/>
    <w:rsid w:val="00F70184"/>
    <w:rsid w:val="00F70743"/>
    <w:rsid w:val="00F70B91"/>
    <w:rsid w:val="00F74BBF"/>
    <w:rsid w:val="00F755E4"/>
    <w:rsid w:val="00F77C3F"/>
    <w:rsid w:val="00F77D02"/>
    <w:rsid w:val="00F811CE"/>
    <w:rsid w:val="00F8498A"/>
    <w:rsid w:val="00F84D9A"/>
    <w:rsid w:val="00F8567E"/>
    <w:rsid w:val="00F915CD"/>
    <w:rsid w:val="00FA13B3"/>
    <w:rsid w:val="00FB2FF9"/>
    <w:rsid w:val="00FB3A86"/>
    <w:rsid w:val="00FB7037"/>
    <w:rsid w:val="00FB759D"/>
    <w:rsid w:val="00FC0D32"/>
    <w:rsid w:val="00FC144F"/>
    <w:rsid w:val="00FC4018"/>
    <w:rsid w:val="00FC70D3"/>
    <w:rsid w:val="00FD36C8"/>
    <w:rsid w:val="00FE2D91"/>
    <w:rsid w:val="00FE6CEC"/>
    <w:rsid w:val="19613133"/>
    <w:rsid w:val="1F695E3D"/>
    <w:rsid w:val="2D3F104B"/>
    <w:rsid w:val="31C4132A"/>
    <w:rsid w:val="3CF34AA7"/>
    <w:rsid w:val="45876B22"/>
    <w:rsid w:val="45BA50FD"/>
    <w:rsid w:val="4B5F7360"/>
    <w:rsid w:val="4E6C1AB9"/>
    <w:rsid w:val="62FF1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9AA50AA"/>
  <w15:docId w15:val="{3EF897AD-E007-4635-9A7C-30BC1F2A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Times New Roman" w:hAnsi="Helvetica" w:cs="Times New Roman"/>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qFormat/>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unhideWhenUsed/>
    <w:qFormat/>
    <w:pPr>
      <w:ind w:left="720"/>
    </w:pPr>
    <w:rPr>
      <w:sz w:val="22"/>
      <w:szCs w:val="22"/>
    </w:rPr>
  </w:style>
  <w:style w:type="character" w:customStyle="1" w:styleId="FooterChar">
    <w:name w:val="Footer Char"/>
    <w:basedOn w:val="DefaultParagraphFont"/>
    <w:link w:val="Footer"/>
    <w:uiPriority w:val="99"/>
    <w:qFormat/>
    <w:rPr>
      <w:rFonts w:ascii="Helvetica" w:eastAsia="Times New Roman" w:hAnsi="Helvetica" w:cs="Times New Roman"/>
      <w:lang w:val="en-US" w:eastAsia="en-US"/>
    </w:rPr>
  </w:style>
  <w:style w:type="character" w:customStyle="1" w:styleId="UnresolvedMention2">
    <w:name w:val="Unresolved Mention2"/>
    <w:basedOn w:val="DefaultParagraphFont"/>
    <w:uiPriority w:val="99"/>
    <w:semiHidden/>
    <w:unhideWhenUsed/>
    <w:rsid w:val="00391C91"/>
    <w:rPr>
      <w:color w:val="605E5C"/>
      <w:shd w:val="clear" w:color="auto" w:fill="E1DFDD"/>
    </w:rPr>
  </w:style>
  <w:style w:type="character" w:styleId="UnresolvedMention">
    <w:name w:val="Unresolved Mention"/>
    <w:basedOn w:val="DefaultParagraphFont"/>
    <w:uiPriority w:val="99"/>
    <w:semiHidden/>
    <w:unhideWhenUsed/>
    <w:rsid w:val="00B25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953251">
      <w:bodyDiv w:val="1"/>
      <w:marLeft w:val="0"/>
      <w:marRight w:val="0"/>
      <w:marTop w:val="0"/>
      <w:marBottom w:val="0"/>
      <w:divBdr>
        <w:top w:val="none" w:sz="0" w:space="0" w:color="auto"/>
        <w:left w:val="none" w:sz="0" w:space="0" w:color="auto"/>
        <w:bottom w:val="none" w:sz="0" w:space="0" w:color="auto"/>
        <w:right w:val="none" w:sz="0" w:space="0" w:color="auto"/>
      </w:divBdr>
    </w:div>
    <w:div w:id="155347331">
      <w:bodyDiv w:val="1"/>
      <w:marLeft w:val="0"/>
      <w:marRight w:val="0"/>
      <w:marTop w:val="0"/>
      <w:marBottom w:val="0"/>
      <w:divBdr>
        <w:top w:val="none" w:sz="0" w:space="0" w:color="auto"/>
        <w:left w:val="none" w:sz="0" w:space="0" w:color="auto"/>
        <w:bottom w:val="none" w:sz="0" w:space="0" w:color="auto"/>
        <w:right w:val="none" w:sz="0" w:space="0" w:color="auto"/>
      </w:divBdr>
    </w:div>
    <w:div w:id="233273663">
      <w:bodyDiv w:val="1"/>
      <w:marLeft w:val="0"/>
      <w:marRight w:val="0"/>
      <w:marTop w:val="0"/>
      <w:marBottom w:val="0"/>
      <w:divBdr>
        <w:top w:val="none" w:sz="0" w:space="0" w:color="auto"/>
        <w:left w:val="none" w:sz="0" w:space="0" w:color="auto"/>
        <w:bottom w:val="none" w:sz="0" w:space="0" w:color="auto"/>
        <w:right w:val="none" w:sz="0" w:space="0" w:color="auto"/>
      </w:divBdr>
    </w:div>
    <w:div w:id="273484402">
      <w:bodyDiv w:val="1"/>
      <w:marLeft w:val="0"/>
      <w:marRight w:val="0"/>
      <w:marTop w:val="0"/>
      <w:marBottom w:val="0"/>
      <w:divBdr>
        <w:top w:val="none" w:sz="0" w:space="0" w:color="auto"/>
        <w:left w:val="none" w:sz="0" w:space="0" w:color="auto"/>
        <w:bottom w:val="none" w:sz="0" w:space="0" w:color="auto"/>
        <w:right w:val="none" w:sz="0" w:space="0" w:color="auto"/>
      </w:divBdr>
    </w:div>
    <w:div w:id="295257874">
      <w:bodyDiv w:val="1"/>
      <w:marLeft w:val="0"/>
      <w:marRight w:val="0"/>
      <w:marTop w:val="0"/>
      <w:marBottom w:val="0"/>
      <w:divBdr>
        <w:top w:val="none" w:sz="0" w:space="0" w:color="auto"/>
        <w:left w:val="none" w:sz="0" w:space="0" w:color="auto"/>
        <w:bottom w:val="none" w:sz="0" w:space="0" w:color="auto"/>
        <w:right w:val="none" w:sz="0" w:space="0" w:color="auto"/>
      </w:divBdr>
    </w:div>
    <w:div w:id="315455512">
      <w:bodyDiv w:val="1"/>
      <w:marLeft w:val="0"/>
      <w:marRight w:val="0"/>
      <w:marTop w:val="0"/>
      <w:marBottom w:val="0"/>
      <w:divBdr>
        <w:top w:val="none" w:sz="0" w:space="0" w:color="auto"/>
        <w:left w:val="none" w:sz="0" w:space="0" w:color="auto"/>
        <w:bottom w:val="none" w:sz="0" w:space="0" w:color="auto"/>
        <w:right w:val="none" w:sz="0" w:space="0" w:color="auto"/>
      </w:divBdr>
    </w:div>
    <w:div w:id="407771535">
      <w:bodyDiv w:val="1"/>
      <w:marLeft w:val="0"/>
      <w:marRight w:val="0"/>
      <w:marTop w:val="0"/>
      <w:marBottom w:val="0"/>
      <w:divBdr>
        <w:top w:val="none" w:sz="0" w:space="0" w:color="auto"/>
        <w:left w:val="none" w:sz="0" w:space="0" w:color="auto"/>
        <w:bottom w:val="none" w:sz="0" w:space="0" w:color="auto"/>
        <w:right w:val="none" w:sz="0" w:space="0" w:color="auto"/>
      </w:divBdr>
    </w:div>
    <w:div w:id="474025499">
      <w:bodyDiv w:val="1"/>
      <w:marLeft w:val="0"/>
      <w:marRight w:val="0"/>
      <w:marTop w:val="0"/>
      <w:marBottom w:val="0"/>
      <w:divBdr>
        <w:top w:val="none" w:sz="0" w:space="0" w:color="auto"/>
        <w:left w:val="none" w:sz="0" w:space="0" w:color="auto"/>
        <w:bottom w:val="none" w:sz="0" w:space="0" w:color="auto"/>
        <w:right w:val="none" w:sz="0" w:space="0" w:color="auto"/>
      </w:divBdr>
    </w:div>
    <w:div w:id="668363859">
      <w:bodyDiv w:val="1"/>
      <w:marLeft w:val="0"/>
      <w:marRight w:val="0"/>
      <w:marTop w:val="0"/>
      <w:marBottom w:val="0"/>
      <w:divBdr>
        <w:top w:val="none" w:sz="0" w:space="0" w:color="auto"/>
        <w:left w:val="none" w:sz="0" w:space="0" w:color="auto"/>
        <w:bottom w:val="none" w:sz="0" w:space="0" w:color="auto"/>
        <w:right w:val="none" w:sz="0" w:space="0" w:color="auto"/>
      </w:divBdr>
    </w:div>
    <w:div w:id="843786999">
      <w:bodyDiv w:val="1"/>
      <w:marLeft w:val="0"/>
      <w:marRight w:val="0"/>
      <w:marTop w:val="0"/>
      <w:marBottom w:val="0"/>
      <w:divBdr>
        <w:top w:val="none" w:sz="0" w:space="0" w:color="auto"/>
        <w:left w:val="none" w:sz="0" w:space="0" w:color="auto"/>
        <w:bottom w:val="none" w:sz="0" w:space="0" w:color="auto"/>
        <w:right w:val="none" w:sz="0" w:space="0" w:color="auto"/>
      </w:divBdr>
    </w:div>
    <w:div w:id="844057807">
      <w:bodyDiv w:val="1"/>
      <w:marLeft w:val="0"/>
      <w:marRight w:val="0"/>
      <w:marTop w:val="0"/>
      <w:marBottom w:val="0"/>
      <w:divBdr>
        <w:top w:val="none" w:sz="0" w:space="0" w:color="auto"/>
        <w:left w:val="none" w:sz="0" w:space="0" w:color="auto"/>
        <w:bottom w:val="none" w:sz="0" w:space="0" w:color="auto"/>
        <w:right w:val="none" w:sz="0" w:space="0" w:color="auto"/>
      </w:divBdr>
    </w:div>
    <w:div w:id="850873283">
      <w:bodyDiv w:val="1"/>
      <w:marLeft w:val="0"/>
      <w:marRight w:val="0"/>
      <w:marTop w:val="0"/>
      <w:marBottom w:val="0"/>
      <w:divBdr>
        <w:top w:val="none" w:sz="0" w:space="0" w:color="auto"/>
        <w:left w:val="none" w:sz="0" w:space="0" w:color="auto"/>
        <w:bottom w:val="none" w:sz="0" w:space="0" w:color="auto"/>
        <w:right w:val="none" w:sz="0" w:space="0" w:color="auto"/>
      </w:divBdr>
    </w:div>
    <w:div w:id="942105160">
      <w:bodyDiv w:val="1"/>
      <w:marLeft w:val="0"/>
      <w:marRight w:val="0"/>
      <w:marTop w:val="0"/>
      <w:marBottom w:val="0"/>
      <w:divBdr>
        <w:top w:val="none" w:sz="0" w:space="0" w:color="auto"/>
        <w:left w:val="none" w:sz="0" w:space="0" w:color="auto"/>
        <w:bottom w:val="none" w:sz="0" w:space="0" w:color="auto"/>
        <w:right w:val="none" w:sz="0" w:space="0" w:color="auto"/>
      </w:divBdr>
    </w:div>
    <w:div w:id="952398696">
      <w:bodyDiv w:val="1"/>
      <w:marLeft w:val="0"/>
      <w:marRight w:val="0"/>
      <w:marTop w:val="0"/>
      <w:marBottom w:val="0"/>
      <w:divBdr>
        <w:top w:val="none" w:sz="0" w:space="0" w:color="auto"/>
        <w:left w:val="none" w:sz="0" w:space="0" w:color="auto"/>
        <w:bottom w:val="none" w:sz="0" w:space="0" w:color="auto"/>
        <w:right w:val="none" w:sz="0" w:space="0" w:color="auto"/>
      </w:divBdr>
    </w:div>
    <w:div w:id="984629222">
      <w:bodyDiv w:val="1"/>
      <w:marLeft w:val="0"/>
      <w:marRight w:val="0"/>
      <w:marTop w:val="0"/>
      <w:marBottom w:val="0"/>
      <w:divBdr>
        <w:top w:val="none" w:sz="0" w:space="0" w:color="auto"/>
        <w:left w:val="none" w:sz="0" w:space="0" w:color="auto"/>
        <w:bottom w:val="none" w:sz="0" w:space="0" w:color="auto"/>
        <w:right w:val="none" w:sz="0" w:space="0" w:color="auto"/>
      </w:divBdr>
    </w:div>
    <w:div w:id="999312154">
      <w:bodyDiv w:val="1"/>
      <w:marLeft w:val="0"/>
      <w:marRight w:val="0"/>
      <w:marTop w:val="0"/>
      <w:marBottom w:val="0"/>
      <w:divBdr>
        <w:top w:val="none" w:sz="0" w:space="0" w:color="auto"/>
        <w:left w:val="none" w:sz="0" w:space="0" w:color="auto"/>
        <w:bottom w:val="none" w:sz="0" w:space="0" w:color="auto"/>
        <w:right w:val="none" w:sz="0" w:space="0" w:color="auto"/>
      </w:divBdr>
    </w:div>
    <w:div w:id="1007366783">
      <w:bodyDiv w:val="1"/>
      <w:marLeft w:val="0"/>
      <w:marRight w:val="0"/>
      <w:marTop w:val="0"/>
      <w:marBottom w:val="0"/>
      <w:divBdr>
        <w:top w:val="none" w:sz="0" w:space="0" w:color="auto"/>
        <w:left w:val="none" w:sz="0" w:space="0" w:color="auto"/>
        <w:bottom w:val="none" w:sz="0" w:space="0" w:color="auto"/>
        <w:right w:val="none" w:sz="0" w:space="0" w:color="auto"/>
      </w:divBdr>
    </w:div>
    <w:div w:id="1017586242">
      <w:bodyDiv w:val="1"/>
      <w:marLeft w:val="0"/>
      <w:marRight w:val="0"/>
      <w:marTop w:val="0"/>
      <w:marBottom w:val="0"/>
      <w:divBdr>
        <w:top w:val="none" w:sz="0" w:space="0" w:color="auto"/>
        <w:left w:val="none" w:sz="0" w:space="0" w:color="auto"/>
        <w:bottom w:val="none" w:sz="0" w:space="0" w:color="auto"/>
        <w:right w:val="none" w:sz="0" w:space="0" w:color="auto"/>
      </w:divBdr>
    </w:div>
    <w:div w:id="1033730813">
      <w:bodyDiv w:val="1"/>
      <w:marLeft w:val="0"/>
      <w:marRight w:val="0"/>
      <w:marTop w:val="0"/>
      <w:marBottom w:val="0"/>
      <w:divBdr>
        <w:top w:val="none" w:sz="0" w:space="0" w:color="auto"/>
        <w:left w:val="none" w:sz="0" w:space="0" w:color="auto"/>
        <w:bottom w:val="none" w:sz="0" w:space="0" w:color="auto"/>
        <w:right w:val="none" w:sz="0" w:space="0" w:color="auto"/>
      </w:divBdr>
    </w:div>
    <w:div w:id="1131560008">
      <w:bodyDiv w:val="1"/>
      <w:marLeft w:val="0"/>
      <w:marRight w:val="0"/>
      <w:marTop w:val="0"/>
      <w:marBottom w:val="0"/>
      <w:divBdr>
        <w:top w:val="none" w:sz="0" w:space="0" w:color="auto"/>
        <w:left w:val="none" w:sz="0" w:space="0" w:color="auto"/>
        <w:bottom w:val="none" w:sz="0" w:space="0" w:color="auto"/>
        <w:right w:val="none" w:sz="0" w:space="0" w:color="auto"/>
      </w:divBdr>
    </w:div>
    <w:div w:id="1262373093">
      <w:bodyDiv w:val="1"/>
      <w:marLeft w:val="0"/>
      <w:marRight w:val="0"/>
      <w:marTop w:val="0"/>
      <w:marBottom w:val="0"/>
      <w:divBdr>
        <w:top w:val="none" w:sz="0" w:space="0" w:color="auto"/>
        <w:left w:val="none" w:sz="0" w:space="0" w:color="auto"/>
        <w:bottom w:val="none" w:sz="0" w:space="0" w:color="auto"/>
        <w:right w:val="none" w:sz="0" w:space="0" w:color="auto"/>
      </w:divBdr>
    </w:div>
    <w:div w:id="1399131239">
      <w:bodyDiv w:val="1"/>
      <w:marLeft w:val="0"/>
      <w:marRight w:val="0"/>
      <w:marTop w:val="0"/>
      <w:marBottom w:val="0"/>
      <w:divBdr>
        <w:top w:val="none" w:sz="0" w:space="0" w:color="auto"/>
        <w:left w:val="none" w:sz="0" w:space="0" w:color="auto"/>
        <w:bottom w:val="none" w:sz="0" w:space="0" w:color="auto"/>
        <w:right w:val="none" w:sz="0" w:space="0" w:color="auto"/>
      </w:divBdr>
    </w:div>
    <w:div w:id="1420712846">
      <w:bodyDiv w:val="1"/>
      <w:marLeft w:val="0"/>
      <w:marRight w:val="0"/>
      <w:marTop w:val="0"/>
      <w:marBottom w:val="0"/>
      <w:divBdr>
        <w:top w:val="none" w:sz="0" w:space="0" w:color="auto"/>
        <w:left w:val="none" w:sz="0" w:space="0" w:color="auto"/>
        <w:bottom w:val="none" w:sz="0" w:space="0" w:color="auto"/>
        <w:right w:val="none" w:sz="0" w:space="0" w:color="auto"/>
      </w:divBdr>
    </w:div>
    <w:div w:id="1434014773">
      <w:bodyDiv w:val="1"/>
      <w:marLeft w:val="0"/>
      <w:marRight w:val="0"/>
      <w:marTop w:val="0"/>
      <w:marBottom w:val="0"/>
      <w:divBdr>
        <w:top w:val="none" w:sz="0" w:space="0" w:color="auto"/>
        <w:left w:val="none" w:sz="0" w:space="0" w:color="auto"/>
        <w:bottom w:val="none" w:sz="0" w:space="0" w:color="auto"/>
        <w:right w:val="none" w:sz="0" w:space="0" w:color="auto"/>
      </w:divBdr>
    </w:div>
    <w:div w:id="1481119545">
      <w:bodyDiv w:val="1"/>
      <w:marLeft w:val="0"/>
      <w:marRight w:val="0"/>
      <w:marTop w:val="0"/>
      <w:marBottom w:val="0"/>
      <w:divBdr>
        <w:top w:val="none" w:sz="0" w:space="0" w:color="auto"/>
        <w:left w:val="none" w:sz="0" w:space="0" w:color="auto"/>
        <w:bottom w:val="none" w:sz="0" w:space="0" w:color="auto"/>
        <w:right w:val="none" w:sz="0" w:space="0" w:color="auto"/>
      </w:divBdr>
    </w:div>
    <w:div w:id="1585216198">
      <w:bodyDiv w:val="1"/>
      <w:marLeft w:val="0"/>
      <w:marRight w:val="0"/>
      <w:marTop w:val="0"/>
      <w:marBottom w:val="0"/>
      <w:divBdr>
        <w:top w:val="none" w:sz="0" w:space="0" w:color="auto"/>
        <w:left w:val="none" w:sz="0" w:space="0" w:color="auto"/>
        <w:bottom w:val="none" w:sz="0" w:space="0" w:color="auto"/>
        <w:right w:val="none" w:sz="0" w:space="0" w:color="auto"/>
      </w:divBdr>
    </w:div>
    <w:div w:id="1667051154">
      <w:bodyDiv w:val="1"/>
      <w:marLeft w:val="0"/>
      <w:marRight w:val="0"/>
      <w:marTop w:val="0"/>
      <w:marBottom w:val="0"/>
      <w:divBdr>
        <w:top w:val="none" w:sz="0" w:space="0" w:color="auto"/>
        <w:left w:val="none" w:sz="0" w:space="0" w:color="auto"/>
        <w:bottom w:val="none" w:sz="0" w:space="0" w:color="auto"/>
        <w:right w:val="none" w:sz="0" w:space="0" w:color="auto"/>
      </w:divBdr>
    </w:div>
    <w:div w:id="1737823385">
      <w:bodyDiv w:val="1"/>
      <w:marLeft w:val="0"/>
      <w:marRight w:val="0"/>
      <w:marTop w:val="0"/>
      <w:marBottom w:val="0"/>
      <w:divBdr>
        <w:top w:val="none" w:sz="0" w:space="0" w:color="auto"/>
        <w:left w:val="none" w:sz="0" w:space="0" w:color="auto"/>
        <w:bottom w:val="none" w:sz="0" w:space="0" w:color="auto"/>
        <w:right w:val="none" w:sz="0" w:space="0" w:color="auto"/>
      </w:divBdr>
    </w:div>
    <w:div w:id="1790858038">
      <w:bodyDiv w:val="1"/>
      <w:marLeft w:val="0"/>
      <w:marRight w:val="0"/>
      <w:marTop w:val="0"/>
      <w:marBottom w:val="0"/>
      <w:divBdr>
        <w:top w:val="none" w:sz="0" w:space="0" w:color="auto"/>
        <w:left w:val="none" w:sz="0" w:space="0" w:color="auto"/>
        <w:bottom w:val="none" w:sz="0" w:space="0" w:color="auto"/>
        <w:right w:val="none" w:sz="0" w:space="0" w:color="auto"/>
      </w:divBdr>
    </w:div>
    <w:div w:id="1814833341">
      <w:bodyDiv w:val="1"/>
      <w:marLeft w:val="0"/>
      <w:marRight w:val="0"/>
      <w:marTop w:val="0"/>
      <w:marBottom w:val="0"/>
      <w:divBdr>
        <w:top w:val="none" w:sz="0" w:space="0" w:color="auto"/>
        <w:left w:val="none" w:sz="0" w:space="0" w:color="auto"/>
        <w:bottom w:val="none" w:sz="0" w:space="0" w:color="auto"/>
        <w:right w:val="none" w:sz="0" w:space="0" w:color="auto"/>
      </w:divBdr>
    </w:div>
    <w:div w:id="1822426440">
      <w:bodyDiv w:val="1"/>
      <w:marLeft w:val="0"/>
      <w:marRight w:val="0"/>
      <w:marTop w:val="0"/>
      <w:marBottom w:val="0"/>
      <w:divBdr>
        <w:top w:val="none" w:sz="0" w:space="0" w:color="auto"/>
        <w:left w:val="none" w:sz="0" w:space="0" w:color="auto"/>
        <w:bottom w:val="none" w:sz="0" w:space="0" w:color="auto"/>
        <w:right w:val="none" w:sz="0" w:space="0" w:color="auto"/>
      </w:divBdr>
    </w:div>
    <w:div w:id="1836607309">
      <w:bodyDiv w:val="1"/>
      <w:marLeft w:val="0"/>
      <w:marRight w:val="0"/>
      <w:marTop w:val="0"/>
      <w:marBottom w:val="0"/>
      <w:divBdr>
        <w:top w:val="none" w:sz="0" w:space="0" w:color="auto"/>
        <w:left w:val="none" w:sz="0" w:space="0" w:color="auto"/>
        <w:bottom w:val="none" w:sz="0" w:space="0" w:color="auto"/>
        <w:right w:val="none" w:sz="0" w:space="0" w:color="auto"/>
      </w:divBdr>
    </w:div>
    <w:div w:id="1866484065">
      <w:bodyDiv w:val="1"/>
      <w:marLeft w:val="0"/>
      <w:marRight w:val="0"/>
      <w:marTop w:val="0"/>
      <w:marBottom w:val="0"/>
      <w:divBdr>
        <w:top w:val="none" w:sz="0" w:space="0" w:color="auto"/>
        <w:left w:val="none" w:sz="0" w:space="0" w:color="auto"/>
        <w:bottom w:val="none" w:sz="0" w:space="0" w:color="auto"/>
        <w:right w:val="none" w:sz="0" w:space="0" w:color="auto"/>
      </w:divBdr>
    </w:div>
    <w:div w:id="2103649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emf"/><Relationship Id="rId42" Type="http://schemas.openxmlformats.org/officeDocument/2006/relationships/hyperlink" Target="https://doi.org/10.21037/pm-20-100" TargetMode="External"/><Relationship Id="rId47" Type="http://schemas.openxmlformats.org/officeDocument/2006/relationships/hyperlink" Target="https://doi.org/10.1007/s11894-021-00804-9" TargetMode="External"/><Relationship Id="rId63" Type="http://schemas.openxmlformats.org/officeDocument/2006/relationships/hyperlink" Target="https://doi.org/10.1016/j.marpolbul.2016.09.037" TargetMode="External"/><Relationship Id="rId68" Type="http://schemas.openxmlformats.org/officeDocument/2006/relationships/hyperlink" Target="https://doi.org/10.1007/s13762-021-03606-3" TargetMode="External"/><Relationship Id="rId84" Type="http://schemas.openxmlformats.org/officeDocument/2006/relationships/hyperlink" Target="https://doi.org/10.1007/s11356-017-9910-8" TargetMode="External"/><Relationship Id="rId89" Type="http://schemas.openxmlformats.org/officeDocument/2006/relationships/hyperlink" Target="https://doi.org/10.1016/j.jhep.2021.07.010" TargetMode="Externa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emf"/><Relationship Id="rId107" Type="http://schemas.openxmlformats.org/officeDocument/2006/relationships/header" Target="header5.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image" Target="media/image10.png"/><Relationship Id="rId37" Type="http://schemas.openxmlformats.org/officeDocument/2006/relationships/hyperlink" Target="https://doi.org/10.1016/j.fct.2018.04.055" TargetMode="External"/><Relationship Id="rId40" Type="http://schemas.openxmlformats.org/officeDocument/2006/relationships/hyperlink" Target="https://doi.org/10.3389/fmars.2021.683482" TargetMode="External"/><Relationship Id="rId45" Type="http://schemas.openxmlformats.org/officeDocument/2006/relationships/hyperlink" Target="https://doi.org/10.5604/01.3001.0012.1045" TargetMode="External"/><Relationship Id="rId53" Type="http://schemas.openxmlformats.org/officeDocument/2006/relationships/hyperlink" Target="https://doi.org/10.1016/j.jhazmat.2021.128319" TargetMode="External"/><Relationship Id="rId58" Type="http://schemas.openxmlformats.org/officeDocument/2006/relationships/hyperlink" Target="https://doi.org/10.1016/j.lfs.2015.04.009" TargetMode="External"/><Relationship Id="rId66" Type="http://schemas.openxmlformats.org/officeDocument/2006/relationships/hyperlink" Target="https://doi.org/10.1007/s10924-020-01869-0" TargetMode="External"/><Relationship Id="rId74" Type="http://schemas.openxmlformats.org/officeDocument/2006/relationships/hyperlink" Target="https://doi.org/10.13227/j.hjkx.201911186" TargetMode="External"/><Relationship Id="rId79" Type="http://schemas.openxmlformats.org/officeDocument/2006/relationships/hyperlink" Target="https://doi.org/10.1016/j.clema.2024.100220" TargetMode="External"/><Relationship Id="rId87" Type="http://schemas.openxmlformats.org/officeDocument/2006/relationships/hyperlink" Target="https://doi.org/10.1002/ajim.1053" TargetMode="External"/><Relationship Id="rId102" Type="http://schemas.openxmlformats.org/officeDocument/2006/relationships/hyperlink" Target="https://doi.org/10.1289/EHP11610"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i.org/10.1016/j.scitotenv.2017.01.190" TargetMode="External"/><Relationship Id="rId82" Type="http://schemas.openxmlformats.org/officeDocument/2006/relationships/hyperlink" Target="https://doi.org/10.1016/j.cgh.2015.05.024" TargetMode="External"/><Relationship Id="rId90" Type="http://schemas.openxmlformats.org/officeDocument/2006/relationships/hyperlink" Target="https://doi.org/10.1016/j.molmed.2023.01.003" TargetMode="External"/><Relationship Id="rId95" Type="http://schemas.openxmlformats.org/officeDocument/2006/relationships/hyperlink" Target="https://doi.org/10.1016/j.psep.2024.01.001" TargetMode="External"/><Relationship Id="rId1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3.png"/><Relationship Id="rId43" Type="http://schemas.openxmlformats.org/officeDocument/2006/relationships/hyperlink" Target="https://doi.org/10.1016/j.watres.2019.115270" TargetMode="External"/><Relationship Id="rId48" Type="http://schemas.openxmlformats.org/officeDocument/2006/relationships/hyperlink" Target="https://doi.org/10.1016/j.ecoenv.2022.113809" TargetMode="External"/><Relationship Id="rId56" Type="http://schemas.openxmlformats.org/officeDocument/2006/relationships/hyperlink" Target="https://doi.org/10.1038/srep46687" TargetMode="External"/><Relationship Id="rId64" Type="http://schemas.openxmlformats.org/officeDocument/2006/relationships/hyperlink" Target="https://doi.org/10.1002/hep.32042" TargetMode="External"/><Relationship Id="rId69" Type="http://schemas.openxmlformats.org/officeDocument/2006/relationships/hyperlink" Target="https://doi.org/10.1016/j.ecoenv.2024.116847" TargetMode="External"/><Relationship Id="rId77" Type="http://schemas.openxmlformats.org/officeDocument/2006/relationships/hyperlink" Target="https://doi.org/10.1007/978-981-99-4462-4_1" TargetMode="External"/><Relationship Id="rId100" Type="http://schemas.openxmlformats.org/officeDocument/2006/relationships/hyperlink" Target="https://doi.org/10.3389/fimmu.2023.1314123" TargetMode="External"/><Relationship Id="rId105" Type="http://schemas.openxmlformats.org/officeDocument/2006/relationships/hyperlink" Target="https://doi.org/10.1016/j.psj.2024.104490" TargetMode="External"/><Relationship Id="rId8" Type="http://schemas.openxmlformats.org/officeDocument/2006/relationships/endnotes" Target="endnotes.xml"/><Relationship Id="rId51" Type="http://schemas.openxmlformats.org/officeDocument/2006/relationships/hyperlink" Target="https://doi.org/10.3748/wjg.v30.i9.1011" TargetMode="External"/><Relationship Id="rId72" Type="http://schemas.openxmlformats.org/officeDocument/2006/relationships/hyperlink" Target="https://doi.org/10.1002/tox.23332" TargetMode="External"/><Relationship Id="rId80" Type="http://schemas.openxmlformats.org/officeDocument/2006/relationships/hyperlink" Target="https://doi.org/10.1080/03067319.2021.2012137" TargetMode="External"/><Relationship Id="rId85" Type="http://schemas.openxmlformats.org/officeDocument/2006/relationships/hyperlink" Target="https://doi.org/10.1016/j.ijbiomac.2021.06.096" TargetMode="External"/><Relationship Id="rId93" Type="http://schemas.openxmlformats.org/officeDocument/2006/relationships/hyperlink" Target="https://doi.org/10.1016/j.scitotenv.2024.170962" TargetMode="External"/><Relationship Id="rId98" Type="http://schemas.openxmlformats.org/officeDocument/2006/relationships/hyperlink" Target="https://doi.org/10.1016/j.scitotenv.2020.144010"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png"/><Relationship Id="rId38" Type="http://schemas.openxmlformats.org/officeDocument/2006/relationships/hyperlink" Target="https://doi.org/10.1002/dad2.12204" TargetMode="External"/><Relationship Id="rId46" Type="http://schemas.openxmlformats.org/officeDocument/2006/relationships/hyperlink" Target="https://doi.org/10.1016/j.chemosphere.2022.135867" TargetMode="External"/><Relationship Id="rId59" Type="http://schemas.openxmlformats.org/officeDocument/2006/relationships/hyperlink" Target="https://doi.org/10.1515/almed-2021-0023" TargetMode="External"/><Relationship Id="rId67" Type="http://schemas.openxmlformats.org/officeDocument/2006/relationships/hyperlink" Target="https://doi.org/10.3390/su13179963" TargetMode="External"/><Relationship Id="rId103" Type="http://schemas.openxmlformats.org/officeDocument/2006/relationships/hyperlink" Target="https://doi.org/10.3390/nu15030617" TargetMode="External"/><Relationship Id="rId108" Type="http://schemas.openxmlformats.org/officeDocument/2006/relationships/footer" Target="footer4.xml"/><Relationship Id="rId20" Type="http://schemas.openxmlformats.org/officeDocument/2006/relationships/oleObject" Target="embeddings/oleObject3.bin"/><Relationship Id="rId41" Type="http://schemas.openxmlformats.org/officeDocument/2006/relationships/hyperlink" Target="https://doi.org/10.1016/B978-0-12-816006-8.00022-1" TargetMode="External"/><Relationship Id="rId54" Type="http://schemas.openxmlformats.org/officeDocument/2006/relationships/hyperlink" Target="https://doi.org/10.3389/fphys.2021.732929" TargetMode="External"/><Relationship Id="rId62" Type="http://schemas.openxmlformats.org/officeDocument/2006/relationships/hyperlink" Target="https://doi.org/10.1016/j.watres.2016.03.015" TargetMode="External"/><Relationship Id="rId70" Type="http://schemas.openxmlformats.org/officeDocument/2006/relationships/hyperlink" Target="https://doi.org/10.3390/polym14112220" TargetMode="External"/><Relationship Id="rId75" Type="http://schemas.openxmlformats.org/officeDocument/2006/relationships/hyperlink" Target="https://doi.org/10.3390/cells13211788" TargetMode="External"/><Relationship Id="rId83" Type="http://schemas.openxmlformats.org/officeDocument/2006/relationships/hyperlink" Target="https://doi.org/10.1016/j.envpol.2023.122815" TargetMode="External"/><Relationship Id="rId88" Type="http://schemas.openxmlformats.org/officeDocument/2006/relationships/hyperlink" Target="https://doi.org/10.1016/j.chemosphere.2023.140221" TargetMode="External"/><Relationship Id="rId91" Type="http://schemas.openxmlformats.org/officeDocument/2006/relationships/hyperlink" Target="https://doi.org/10.1289/ehp.835261" TargetMode="External"/><Relationship Id="rId96" Type="http://schemas.openxmlformats.org/officeDocument/2006/relationships/hyperlink" Target="https://doi.org/10.1038/s41598-024-40807-2"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hyperlink" Target="https://doi.org/10.1016/j.marpolbul.2011.06.030" TargetMode="External"/><Relationship Id="rId49" Type="http://schemas.openxmlformats.org/officeDocument/2006/relationships/hyperlink" Target="https://doi.org/10.1021/acsapm.3c01292" TargetMode="External"/><Relationship Id="rId57" Type="http://schemas.openxmlformats.org/officeDocument/2006/relationships/hyperlink" Target="https://doi.org/10.1016/j.jhazmat.2019.121575" TargetMode="External"/><Relationship Id="rId106"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yperlink" Target="https://doi.org/10.1007/978-3-030-93841-8_44" TargetMode="External"/><Relationship Id="rId52" Type="http://schemas.openxmlformats.org/officeDocument/2006/relationships/hyperlink" Target="https://doi.org/10.3390/molecules28165979" TargetMode="External"/><Relationship Id="rId60" Type="http://schemas.openxmlformats.org/officeDocument/2006/relationships/hyperlink" Target="https://doi.org/10.1016/j.marpolbul.2018.01.009" TargetMode="External"/><Relationship Id="rId65" Type="http://schemas.openxmlformats.org/officeDocument/2006/relationships/hyperlink" Target="https://doi.org/10.4254/wjh.v13.i11.1688" TargetMode="External"/><Relationship Id="rId73" Type="http://schemas.openxmlformats.org/officeDocument/2006/relationships/hyperlink" Target="https://doi.org/10.1016/j.envh.2023.06.004" TargetMode="External"/><Relationship Id="rId78" Type="http://schemas.openxmlformats.org/officeDocument/2006/relationships/hyperlink" Target="https://doi.org/10.1016/j.foodcont.2015.06.035" TargetMode="External"/><Relationship Id="rId81" Type="http://schemas.openxmlformats.org/officeDocument/2006/relationships/hyperlink" Target="https://doi.org/10.1007/s11356-024-32256-4" TargetMode="External"/><Relationship Id="rId86" Type="http://schemas.openxmlformats.org/officeDocument/2006/relationships/hyperlink" Target="https://doi.org/10.1038/s41433-021-01887-3" TargetMode="External"/><Relationship Id="rId94" Type="http://schemas.openxmlformats.org/officeDocument/2006/relationships/hyperlink" Target="https://doi.org/10.1016/j.marpolbul.2021.113429" TargetMode="External"/><Relationship Id="rId99" Type="http://schemas.openxmlformats.org/officeDocument/2006/relationships/hyperlink" Target="https://doi.org/10.1002/vnl.21794" TargetMode="External"/><Relationship Id="rId101" Type="http://schemas.openxmlformats.org/officeDocument/2006/relationships/hyperlink" Target="https://doi.org/10.1021/acs.est.6b05259"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hyperlink" Target="https://doi.org/10.14309/ajg.00000000000014309" TargetMode="External"/><Relationship Id="rId109" Type="http://schemas.openxmlformats.org/officeDocument/2006/relationships/header" Target="header6.xml"/><Relationship Id="rId34" Type="http://schemas.openxmlformats.org/officeDocument/2006/relationships/image" Target="media/image12.png"/><Relationship Id="rId50" Type="http://schemas.openxmlformats.org/officeDocument/2006/relationships/hyperlink" Target="https://doi.org/10.1016/j.psj.2024.104152" TargetMode="External"/><Relationship Id="rId55" Type="http://schemas.openxmlformats.org/officeDocument/2006/relationships/hyperlink" Target="https://doi.org/10.1016/j.scitotenv.2023.165076" TargetMode="External"/><Relationship Id="rId76" Type="http://schemas.openxmlformats.org/officeDocument/2006/relationships/hyperlink" Target="https://doi.org/10.1080/15732479.2019.1678403" TargetMode="External"/><Relationship Id="rId97" Type="http://schemas.openxmlformats.org/officeDocument/2006/relationships/hyperlink" Target="https://doi.org/10.1016/j.clnesp.2021.12.026" TargetMode="External"/><Relationship Id="rId104" Type="http://schemas.openxmlformats.org/officeDocument/2006/relationships/hyperlink" Target="https://doi.org/10.1021/acs.est.1c01103" TargetMode="External"/><Relationship Id="rId7" Type="http://schemas.openxmlformats.org/officeDocument/2006/relationships/footnotes" Target="footnotes.xml"/><Relationship Id="rId71" Type="http://schemas.openxmlformats.org/officeDocument/2006/relationships/hyperlink" Target="https://doi.org/10.3390/polym14153035" TargetMode="External"/><Relationship Id="rId92" Type="http://schemas.openxmlformats.org/officeDocument/2006/relationships/hyperlink" Target="https://doi.org/10.1016/j.envpol.2023.1213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6"/>
    <customShpInfo spid="_x0000_s1045"/>
    <customShpInfo spid="_x0000_s1044"/>
    <customShpInfo spid="_x0000_s1043"/>
    <customShpInfo spid="_x0000_s1042"/>
    <customShpInfo spid="_x0000_s1037"/>
    <customShpInfo spid="_x0000_s1041"/>
    <customShpInfo spid="_x0000_s1040"/>
    <customShpInfo spid="_x0000_s1039"/>
    <customShpInfo spid="_x0000_s1038"/>
    <customShpInfo spid="_x0000_s1036"/>
    <customShpInfo spid="_x0000_s1035"/>
    <customShpInfo spid="_x0000_s1032"/>
    <customShpInfo spid="_x0000_s1034"/>
    <customShpInfo spid="_x0000_s1033"/>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716078-958A-4733-B196-D72FDD40B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25</Pages>
  <Words>8062</Words>
  <Characters>45955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Tonia C</cp:lastModifiedBy>
  <cp:revision>544</cp:revision>
  <cp:lastPrinted>1999-07-06T11:00:00Z</cp:lastPrinted>
  <dcterms:created xsi:type="dcterms:W3CDTF">2025-07-19T20:16:00Z</dcterms:created>
  <dcterms:modified xsi:type="dcterms:W3CDTF">2025-07-28T09:39:00Z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9C96BF8FD6F1485CBC5C149551E60AB0_12</vt:lpwstr>
  </property>
  <property fmtid="{D5CDD505-2E9C-101B-9397-08002B2CF9AE}" pid="4" name="GrammarlyDocumentId">
    <vt:lpwstr>41205a53-d9ac-41f3-822e-366a51258c9b</vt:lpwstr>
  </property>
</Properties>
</file>