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3FC6" w:rsidRDefault="00903FC6" w:rsidP="0026013E">
      <w:pPr>
        <w:jc w:val="right"/>
        <w:rPr>
          <w:rFonts w:ascii="Times New Roman" w:hAnsi="Times New Roman" w:cs="Times New Roman"/>
          <w:b/>
          <w:bCs/>
          <w:iCs/>
          <w:sz w:val="24"/>
          <w:szCs w:val="24"/>
        </w:rPr>
      </w:pPr>
      <w:r w:rsidRPr="0026013E">
        <w:rPr>
          <w:rFonts w:ascii="Times New Roman" w:hAnsi="Times New Roman" w:cs="Times New Roman"/>
          <w:b/>
          <w:iCs/>
          <w:sz w:val="24"/>
          <w:szCs w:val="24"/>
        </w:rPr>
        <w:t xml:space="preserve">Assessing the Emergency Response Capacity and Resource Availability in </w:t>
      </w:r>
      <w:r w:rsidRPr="0026013E">
        <w:rPr>
          <w:rFonts w:ascii="Times New Roman" w:hAnsi="Times New Roman" w:cs="Times New Roman"/>
          <w:b/>
          <w:bCs/>
          <w:iCs/>
          <w:sz w:val="24"/>
          <w:szCs w:val="24"/>
        </w:rPr>
        <w:t xml:space="preserve">the </w:t>
      </w:r>
      <w:r w:rsidRPr="0026013E">
        <w:rPr>
          <w:rFonts w:ascii="Times New Roman" w:hAnsi="Times New Roman" w:cs="Times New Roman"/>
          <w:b/>
          <w:iCs/>
          <w:sz w:val="24"/>
          <w:szCs w:val="24"/>
        </w:rPr>
        <w:t xml:space="preserve">Primary Healthcare Facilities of </w:t>
      </w:r>
      <w:r w:rsidRPr="0026013E">
        <w:rPr>
          <w:rFonts w:ascii="Times New Roman" w:hAnsi="Times New Roman" w:cs="Times New Roman"/>
          <w:b/>
          <w:bCs/>
          <w:iCs/>
          <w:sz w:val="24"/>
          <w:szCs w:val="24"/>
        </w:rPr>
        <w:t>Ahafo Ano North District, Ghana</w:t>
      </w:r>
    </w:p>
    <w:p w:rsidR="00903FC6" w:rsidRDefault="00903FC6" w:rsidP="00903FC6">
      <w:pPr>
        <w:rPr>
          <w:rFonts w:ascii="Times New Roman" w:hAnsi="Times New Roman" w:cs="Times New Roman"/>
          <w:bCs/>
          <w:sz w:val="24"/>
          <w:szCs w:val="24"/>
        </w:rPr>
      </w:pPr>
    </w:p>
    <w:p w:rsidR="00903FC6" w:rsidRDefault="00903FC6" w:rsidP="00903FC6">
      <w:pPr>
        <w:rPr>
          <w:rFonts w:ascii="Times New Roman" w:hAnsi="Times New Roman" w:cs="Times New Roman"/>
          <w:bCs/>
          <w:sz w:val="24"/>
          <w:szCs w:val="24"/>
        </w:rPr>
      </w:pPr>
      <w:r>
        <w:rPr>
          <w:rFonts w:ascii="Times New Roman" w:hAnsi="Times New Roman" w:cs="Times New Roman"/>
          <w:b/>
          <w:bCs/>
          <w:sz w:val="24"/>
          <w:szCs w:val="24"/>
        </w:rPr>
        <w:t>ABSTRACT</w:t>
      </w:r>
    </w:p>
    <w:p w:rsidR="00903FC6" w:rsidRDefault="00903FC6" w:rsidP="00903FC6">
      <w:pPr>
        <w:rPr>
          <w:rFonts w:ascii="Times New Roman" w:hAnsi="Times New Roman" w:cs="Times New Roman"/>
          <w:bCs/>
          <w:sz w:val="24"/>
          <w:szCs w:val="24"/>
        </w:rPr>
      </w:pPr>
      <w:r>
        <w:rPr>
          <w:rFonts w:ascii="Times New Roman" w:hAnsi="Times New Roman" w:cs="Times New Roman"/>
          <w:b/>
          <w:bCs/>
          <w:sz w:val="24"/>
          <w:szCs w:val="24"/>
        </w:rPr>
        <w:t>Introduction:</w:t>
      </w:r>
      <w:r>
        <w:rPr>
          <w:rFonts w:ascii="Times New Roman" w:hAnsi="Times New Roman" w:cs="Times New Roman"/>
          <w:bCs/>
          <w:sz w:val="24"/>
          <w:szCs w:val="24"/>
        </w:rPr>
        <w:t xml:space="preserve"> Primary healthcare (PHC) facilities play a critical role in delivering emergency medical care, particularly in rural areas where they often serve as the first—and sometimes only—point of contact for individuals experiencing medical emergencies. According to the World Health Organization (WHO), PHC facilities should be capable of stabilizing patients, administering life-saving interventions, and facilitating timely referrals when necessary. Emergency care involves the provision of prompt medical attention within minutes or hours to prevent death or serious harm.</w:t>
      </w:r>
    </w:p>
    <w:p w:rsidR="00903FC6" w:rsidRDefault="00903FC6" w:rsidP="00903FC6">
      <w:pPr>
        <w:rPr>
          <w:rFonts w:ascii="Times New Roman" w:hAnsi="Times New Roman" w:cs="Times New Roman"/>
          <w:bCs/>
          <w:sz w:val="24"/>
          <w:szCs w:val="24"/>
        </w:rPr>
      </w:pPr>
      <w:r>
        <w:rPr>
          <w:rFonts w:ascii="Times New Roman" w:hAnsi="Times New Roman" w:cs="Times New Roman"/>
          <w:b/>
          <w:bCs/>
          <w:sz w:val="24"/>
          <w:szCs w:val="24"/>
        </w:rPr>
        <w:t>Objective:</w:t>
      </w:r>
      <w:r>
        <w:rPr>
          <w:rFonts w:ascii="Times New Roman" w:hAnsi="Times New Roman" w:cs="Times New Roman"/>
          <w:bCs/>
          <w:sz w:val="24"/>
          <w:szCs w:val="24"/>
        </w:rPr>
        <w:t xml:space="preserve"> This study aimed to assess the capacity of rural primary healthcare facilities in the Ahafo Ano North District to respond effectively to emergency medical situations.</w:t>
      </w:r>
    </w:p>
    <w:p w:rsidR="00903FC6" w:rsidRDefault="00903FC6" w:rsidP="00903FC6">
      <w:pPr>
        <w:rPr>
          <w:rFonts w:ascii="Times New Roman" w:hAnsi="Times New Roman" w:cs="Times New Roman"/>
          <w:bCs/>
          <w:sz w:val="24"/>
          <w:szCs w:val="24"/>
        </w:rPr>
      </w:pPr>
      <w:r>
        <w:rPr>
          <w:rFonts w:ascii="Times New Roman" w:hAnsi="Times New Roman" w:cs="Times New Roman"/>
          <w:b/>
          <w:bCs/>
          <w:sz w:val="24"/>
          <w:szCs w:val="24"/>
        </w:rPr>
        <w:t>Methods:</w:t>
      </w:r>
      <w:r>
        <w:rPr>
          <w:rFonts w:ascii="Times New Roman" w:hAnsi="Times New Roman" w:cs="Times New Roman"/>
          <w:bCs/>
          <w:sz w:val="24"/>
          <w:szCs w:val="24"/>
        </w:rPr>
        <w:t xml:space="preserve"> A descriptive cross-sectional survey design was employed to collect quantitative data in the Ahafo Ano North District. A convenience sampling method was used to select 224 nursing professionals from a total population of 246. Data were collected through structured questionnaires and analyzed using IBM SPSS Statistics version 27.</w:t>
      </w:r>
    </w:p>
    <w:p w:rsidR="00903FC6" w:rsidRDefault="00903FC6" w:rsidP="00903FC6">
      <w:pPr>
        <w:rPr>
          <w:rFonts w:ascii="Times New Roman" w:hAnsi="Times New Roman" w:cs="Times New Roman"/>
          <w:bCs/>
          <w:sz w:val="24"/>
          <w:szCs w:val="24"/>
        </w:rPr>
      </w:pPr>
      <w:r>
        <w:rPr>
          <w:rFonts w:ascii="Times New Roman" w:hAnsi="Times New Roman" w:cs="Times New Roman"/>
          <w:b/>
          <w:bCs/>
          <w:sz w:val="24"/>
          <w:szCs w:val="24"/>
        </w:rPr>
        <w:t>Results:</w:t>
      </w:r>
      <w:r>
        <w:rPr>
          <w:rFonts w:ascii="Times New Roman" w:hAnsi="Times New Roman" w:cs="Times New Roman"/>
          <w:bCs/>
          <w:sz w:val="24"/>
          <w:szCs w:val="24"/>
        </w:rPr>
        <w:t xml:space="preserve"> The ages of participants ranged from 18 to 45 years, with a mean age of 31.53 years. The study revealed significant gaps in the availability of essential emergency equipment, including automated external defibrillators (AEDs) (absent in 95.5% of facilities), stretchers (63% unavailable), oxygen (62.8% unavailable), suction devices (80.2% unavailable), first aid kits (70% unavailable), and blood products (93.7% unavailable). Regarding preparedness, 81.3% of respondents had not received formal emergency training. Additionally, 37.5% reported never practicing emergency skills, while 31.3% practiced occasionally and 25% rarely. Transportation and referral challenges were prevalent: 75.9% of respondents reported occasional delays in emergency transport, and 87.5% faced difficulties in referring patients to higher-level facilities. The other Key barriers identified were rated as follows: the lack of ambulance services was 1st (49.1), followed by long distances to referral hospitals (25%), and poor communication (13.4%) between facilities, and </w:t>
      </w:r>
      <w:r>
        <w:rPr>
          <w:rFonts w:ascii="Times New Roman" w:hAnsi="Times New Roman" w:cs="Times New Roman"/>
          <w:sz w:val="24"/>
          <w:szCs w:val="24"/>
        </w:rPr>
        <w:t xml:space="preserve">unspecified issues  (12.5%) </w:t>
      </w:r>
      <w:r>
        <w:rPr>
          <w:rFonts w:ascii="Times New Roman" w:hAnsi="Times New Roman" w:cs="Times New Roman"/>
          <w:bCs/>
          <w:sz w:val="24"/>
          <w:szCs w:val="24"/>
        </w:rPr>
        <w:t xml:space="preserve">was the least among them.  </w:t>
      </w:r>
    </w:p>
    <w:p w:rsidR="00903FC6" w:rsidRDefault="00903FC6" w:rsidP="00903FC6">
      <w:pPr>
        <w:rPr>
          <w:rFonts w:ascii="Times New Roman" w:hAnsi="Times New Roman" w:cs="Times New Roman"/>
          <w:bCs/>
          <w:sz w:val="24"/>
          <w:szCs w:val="24"/>
        </w:rPr>
      </w:pPr>
      <w:r>
        <w:rPr>
          <w:rFonts w:ascii="Times New Roman" w:hAnsi="Times New Roman" w:cs="Times New Roman"/>
          <w:b/>
          <w:bCs/>
          <w:sz w:val="24"/>
          <w:szCs w:val="24"/>
        </w:rPr>
        <w:t>Conclusion:</w:t>
      </w:r>
      <w:r>
        <w:rPr>
          <w:rFonts w:ascii="Times New Roman" w:hAnsi="Times New Roman" w:cs="Times New Roman"/>
          <w:bCs/>
          <w:sz w:val="24"/>
          <w:szCs w:val="24"/>
        </w:rPr>
        <w:t xml:space="preserve"> The findings indicate significant systemic weaknesses in emergency preparedness and logistics within rural PHC settings. The study recommends targeted emergency training for nurses and midwives, development of standardized emergency response protocols, improved allocation of resources, and strengthened referral and communication systems to enhance emergency response capacity at the primary care level.</w:t>
      </w:r>
    </w:p>
    <w:p w:rsidR="00903FC6" w:rsidRDefault="00903FC6" w:rsidP="00903FC6">
      <w:pPr>
        <w:rPr>
          <w:rFonts w:ascii="Times New Roman" w:hAnsi="Times New Roman" w:cs="Times New Roman"/>
          <w:bCs/>
          <w:sz w:val="24"/>
          <w:szCs w:val="24"/>
        </w:rPr>
      </w:pPr>
    </w:p>
    <w:p w:rsidR="00903FC6" w:rsidRDefault="00903FC6" w:rsidP="00903FC6">
      <w:pPr>
        <w:rPr>
          <w:rFonts w:ascii="Times New Roman" w:hAnsi="Times New Roman" w:cs="Times New Roman"/>
          <w:bCs/>
          <w:sz w:val="24"/>
          <w:szCs w:val="24"/>
        </w:rPr>
      </w:pPr>
      <w:r>
        <w:rPr>
          <w:rFonts w:ascii="Times New Roman" w:hAnsi="Times New Roman" w:cs="Times New Roman"/>
          <w:b/>
          <w:bCs/>
          <w:sz w:val="24"/>
          <w:szCs w:val="24"/>
        </w:rPr>
        <w:t>Keywords</w:t>
      </w:r>
      <w:r>
        <w:rPr>
          <w:rFonts w:ascii="Times New Roman" w:hAnsi="Times New Roman" w:cs="Times New Roman"/>
          <w:bCs/>
          <w:sz w:val="24"/>
          <w:szCs w:val="24"/>
        </w:rPr>
        <w:t xml:space="preserve">: Emergency Response Capacity, Resource Availability, Ahafo Ano North, and Primary Healthcare Facilities. </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INTRODUCTION</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lastRenderedPageBreak/>
        <w:t>Primary healthcare (PHC) Facilities are often the initial, and sometimes the only, point of contact for people in rural areas experiencing medical emergencies, and any successful healthcare system must include emergency medical care. According to the World Health Organization (WHO, 2010), these facilities must be able to stabilize patients, provide critical life-saving measures, and arrange prompt referrals when needed.</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provision of prompt medical attention within minutes or hours of circumstances necessitating quick action to prevent death or impairment is known as emergency care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{"citationID":"4sRALdkM","properties":{"formattedCitation":"(1,2)","plainCitation":"(1,2)","noteIndex":0},"citationItems":[{"id":305,"uris":["http://zotero.org/users/local/fuyxLwzY/items/AZHYAKW7"],"itemData":{"id":305,"type":"article-journal","container-title":"African Journal of Emergency Medicine","DOI":"10.1016/j.afjem.2013.01.001","ISSN":"2211419X","issue":"1","journalAbbreviation":"African Journal of Emergency Medicine","language":"en","license":"https://www.elsevier.com/tdm/userlicense/1.0/","page":"42-48","source":"DOI.org (Crossref)","title":"Emergency care in sub-Saharan Africa: Results of a consensus conference","title-short":"Emergency care in sub-Saharan Africa","volume":"3","author":[{"family":"Calvello","given":"Emilie"},{"family":"Reynolds","given":"Teri"},{"family":"Hirshon","given":"Jon Mark"},{"family":"Buckle","given":"Conrad"},{"family":"Moresky","given":"Rachel"},{"family":"O’Neill","given":"Joseph"},{"family":"Wallis","given":"Lee A."}],"issued":{"date-parts":[["2013",3]]}}},{"id":306,"uris":["http://zotero.org/users/local/fuyxLwzY/items/2PI2CWC7"],"itemData":{"id":306,"type":"article-journal","container-title":"Clinical Governance: An International Journal","DOI":"10.1108/CGIJ-03-2012-0010","ISSN":"1477-7274","issue":"4","journalAbbreviation":"Clinical Governance: An Intl J","language":"en","license":"http://www.emeraldinsight.com/page/tdm","page":"300-314","source":"DOI.org (Crossref)","title":"Promoting quality emergency care in a resource-constrained setting","volume":"18","author":[{"family":"M. Molyneux","given":"Elizabeth"},{"family":"Dube","given":"Queen"}],"issued":{"date-parts":[["2013",10,14]]}}}],"schema":"https://github.com/citation-style-language/schema/raw/master/csl-citation.json"}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Ailments that fall under the purview of emergency medical treatment include injuries, infectious and non-communicable diseases, acute decompensation of chronic illnesses, and pregnancy difficulties. These conditions necessitate prompt, high-quality care to prevent death or permanent impairment. Approximately 2.1 billion deaths and disability-adjusted life years occur worldwide each year as a result of these illnesses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{"citationID":"hLwefIQP","properties":{"formattedCitation":"(3)","plainCitation":"(3)","noteIndex":0},"citationItems":[{"id":307,"uris":["http://zotero.org/users/local/fuyxLwzY/items/Q3Y5MB4X"],"itemData":{"id":307,"type":"article-journal","abstract":"Objective\n              To estimate the global and national burden of emergency conditions, and compare them to emergency care usage rates.\n            \n            \n              Methods\n              We coded all 291 Global Burden of Disease 2010 conditions into three categories to estimate emergency burden: conditions that, if not addressed within hours to days of onset, commonly lead to serious disability or death; conditions with common acute decompensations that lead to serious disability or death; and non-emergencies. Emergency care usage rates were obtained from a systematic literature review on emergency care facilities in low-income and middle-income countries (LMICs), supplemented by national health system reports.\n            \n            \n              Findings\n              All 15 leading causes of death and disability-adjusted life years (DALYs) globally were conditions with potential emergent manifestations. We identified 41 facility-based reports in 23 countries, 12 of which were in LMICs; data for 17 additional countries were obtained from national or regional reports on emergency usage. Burden of emergency conditions was the highest in low-income countries, with median DALYs of 47 728 per 100 000 population (IQR 45 253–50 085) in low-income, 25 186 (IQR 21 982–40 480) in middle-income and 15 691 (IQR 14 649–16 382) in high-income countries. Patterns were similar using deaths to measure burden and excluding acute decompensations from the definition of emergency conditions. Conversely, emergency usage rates were the lowest in low-income countries, with median 8 visits per 1000 population (IQR 6–10), 78 (IQR 25–197) in middle-income and 264 (IQR 177–341) in high-income countries.\n            \n            \n              Conclusions\n              Despite higher burden of emergency conditions, emergency usage rates are substantially lower in LMICs, likely due to limited access to emergency care.","container-title":"Emergency Medicine Journal","DOI":"10.1136/emermed-2016-205709","ISSN":"1472-0205, 1472-0213","issue":"11","journalAbbreviation":"Emerg Med J","language":"en","page":"794-800","source":"DOI.org (Crossref)","title":"Burden of emergency conditions and emergency care usage: new estimates from 40 countries","title-short":"Burden of emergency conditions and emergency care usage","volume":"33","author":[{"family":"Chang","given":"Cindy Y"},{"family":"Abujaber","given":"Samer"},{"family":"Reynolds","given":"Teri A"},{"family":"Camargo","given":"Carlos A"},{"family":"Obermeyer","given":"Ziad"}],"issued":{"date-parts":[["2016",11]]}}}],"schema":"https://github.com/citation-style-language/schema/raw/master/csl-citation.json"}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In low- and middle-income countries (LMICs), where the burden of these conditions is largest and the results are disproportionately worse, the integration of emergency care systems into the broader health system has thus not lived up to its full potential, even though it is particularly life-saving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{"citationID":"N9TG6JgX","properties":{"formattedCitation":"(4)","plainCitation":"(4)","noteIndex":0},"citationItems":[{"id":309,"uris":["http://zotero.org/users/local/fuyxLwzY/items/XST7QDRC"],"itemData":{"id":309,"type":"article-journal","abstract":"Objective\n              There are currently no metrics for measuring population-level burden of emergency medical diseases (EMDs). This study presents an analysis of the burden of EMDs using two metrics: the emergency disease mortality rate (EDMR) and the emergency disease burden (EDB) per 1000 population at the national, regional and global levels.\n            \n            \n              Methods\n              We used the 1990 and 2015 Global Burden of Disease Study for morbidity and mortality data on 249 medical conditions in 195 countries. Thirty-one diseases were classified as ‘emergency medical diseases’ based on earlier published work. We developed two indicators, one focused on mortality (EDMR) and the other on burden (EDB). We compared the EDMR and EDB across countries, regions and income groups and compared these metrics from 1990 to 2015.\n            \n            \n              Results\n              In 2015, globally, there were 28.3 million deaths due to EMDs. EMDs contributed to 50.7% of mortality and 41.5% of all burden of diseases. The EDB in low-income countries is 4.4 times that of high-income countries. The EDB in the African region is 273 disability-adjusted life years (DALYs) per 1000 compared with 100 DALYs per 1000 in the European region. There has been a 6% increase in overall mortality due to EMDs from 1990 to 2015. Globally, injuries (22%), ischaemic heart disease (17%), lower respiratory infections (11%) and haemorrhagic strokes (7%) made up about 60% of EMDs in 2015.\n            \n            \n              Conclusion\n              Globally, EMDs contributed to more than half of all years of life lost. There is a significant disparity between the EDMR and EDB between regions and socioeconomic groups at the global level.","container-title":"BMJ Global Health","DOI":"10.1136/bmjgh-2018-000733","ISSN":"2059-7908","issue":"2","journalAbbreviation":"BMJ Glob Health","language":"en","page":"e000733","source":"DOI.org (Crossref)","title":"Global, regional and national burden of emergency medical diseases using specific emergency disease indicators: analysis of the 2015 Global Burden of Disease Study","title-short":"Global, regional and national burden of emergency medical diseases using specific emergency disease indicators","volume":"4","author":[{"family":"Razzak","given":"Junaid"},{"family":"Usmani","given":"Mohammad Farooq"},{"family":"Bhutta","given":"Zulfiqar A"}],"issued":{"date-parts":[["2019",3]]}}}],"schema":"https://github.com/citation-style-language/schema/raw/master/csl-citation.json"}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burden of medical, surgical, and traumatic emergency conditions is highest in LMICs worldwide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{"citationID":"qohNKCCw","properties":{"formattedCitation":"(5)","plainCitation":"(5)","noteIndex":0},"citationItems":[{"id":311,"uris":["http://zotero.org/users/local/fuyxLwzY/items/A3Q4R54G"],"itemData":{"id":311,"type":"article-journal","abstract":"Abstract\n            \n              Background\n              Surgical disease is inadequately addressed globally, and emergency conditions requiring surgery contribute substantially to the global disease burden.\n            \n            \n              Methods\n              This was a review of studies that contributed to define the population-based health burden of emergency surgical conditions (excluding trauma and obstetrics) and the status of available capacity to address this burden. Further data were retrieved from the Global Burden of Disease Study 2010 and the University of Washington's Institute for Health Metrics and Evaluation online data.\n            \n            \n              Results\n              In the index year of 2010, there were 896 000 deaths, 20 million years of life lost and 25 million disability-adjusted life-years from 11 emergency general surgical conditions reported individually in the Global Burden of Disease Study. The most common cause of death was complicated peptic ulcer disease, followed by aortic aneurysm, bowel obstruction, biliary disease, mesenteric ischaemia, peripheral vascular disease, abscess and soft tissue infections, and appendicitis. The mortality rate was higher in high-income countries (HICs) than in low- and middle-income countries (LMICs) (24·3 versus 10·6 deaths per 100 000 inhabitants respectively), primarily owing to a higher rate of vascular disease in HICs. However, because of the much larger population, 70 per cent of deaths occurred in LMICs. Deaths from vascular disease rose from 15 to 25 per cent of surgical emergency-related deaths in LMICs (from 1990 to 2010). Surgical capacity to address this burden is suboptimal in LMICs, with fewer than one operating theatre per 100 000 inhabitants in many LMICs, whereas some HICs have more than 14 per 100 000 inhabitants.\n            \n            \n              Conclusion\n              The global burden of surgical emergencies is described insufficiently. The bare estimates indicate a tremendous health burden. LMICs carry the majority of emergency conditions; in these countries the pattern of surgical disease is changing and capacity to deal with the problem is inadequate. The data presented in this study will be useful for both the surgical and public health communities to plan a more adequate response.","container-title":"Journal of British Surgery","DOI":"10.1002/bjs.9329","ISSN":"0007-1323, 1365-2168","issue":"1","language":"en","license":"https://academic.oup.com/journals/pages/open_access/funder_policies/chorus/standard_publication_model","page":"e9-e22","source":"DOI.org (Crossref)","title":"Global disease burden of conditions requiring emergency surgery","volume":"101","author":[{"family":"Stewart","given":"B"},{"family":"Khanduri","given":"P"},{"family":"McCord","given":"C"},{"family":"Ohene-Yeboah","given":"M"},{"family":"Uranues","given":"S"},{"family":"Vega Rivera","given":"F"},{"family":"Mock","given":"C"}],"issued":{"date-parts":[["2014",1,1]]}}}],"schema":"https://github.com/citation-style-language/schema/raw/master/csl-citation.json"}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There is insufficient readiness to handle and treat emergencies when they arise because of deficiencies in organizational planning, human resource capabilities, and material resources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o6JNmjUC","properties":{"formattedCitation":"(5\\uc0\\u8211{}7)","plainCitation":"(5–7)","noteIndex":0},"citationItems":[{"id":311,"uris":["http://zotero.org/users/local/fuyxLwzY/items/A3Q4R54G"],"itemData":{"id":311,"type":"article-journal","abstract":"Abstract\n            \n              Background\n              Surgical disease is inadequately addressed globally, and emergency conditions requiring surgery contribute substantially to the global disease burden.\n            \n            \n              Methods\n              This was a review of studies that contributed to define the population-based health burden of emergency surgical conditions (excluding trauma and obstetrics) and the status of available capacity to address this burden. Further data were retrieved from the Global Burden of Disease Study 2010 and the University of Washington's Institute for Health Metrics and Evaluation online data.\n            \n            \n              Results\n              In the index year of 2010, there were 896 000 deaths, 20 million years of life lost and 25 million disability-adjusted life-years from 11 emergency general surgical conditions reported individually in the Global Burden of Disease Study. The most common cause of death was complicated peptic ulcer disease, followed by aortic aneurysm, bowel obstruction, biliary disease, mesenteric ischaemia, peripheral vascular disease, abscess and soft tissue infections, and appendicitis. The mortality rate was higher in high-income countries (HICs) than in low- and middle-income countries (LMICs) (24·3 versus 10·6 deaths per 100 000 inhabitants respectively), primarily owing to a higher rate of vascular disease in HICs. However, because of the much larger population, 70 per cent of deaths occurred in LMICs. Deaths from vascular disease rose from 15 to 25 per cent of surgical emergency-related deaths in LMICs (from 1990 to 2010). Surgical capacity to address this burden is suboptimal in LMICs, with fewer than one operating theatre per 100 000 inhabitants in many LMICs, whereas some HICs have more than 14 per 100 000 inhabitants.\n            \n            \n              Conclusion\n              The global burden of surgical emergencies is described insufficiently. The bare estimates indicate a tremendous health burden. LMICs carry the majority of emergency conditions; in these countries the pattern of surgical disease is changing and capacity to deal with the problem is inadequate. The data presented in this study will be useful for both the surgical and public health communities to plan a more adequate response.","container-title":"Journal of British Surgery","DOI":"10.1002/bjs.9329","ISSN":"0007-1323, 1365-2168","issue":"1","language":"en","license":"https://academic.oup.com/journals/pages/open_access/funder_policies/chorus/standard_publication_model","page":"e9-e22","source":"DOI.org (Crossref)","title":"Global disease burden of conditions requiring emergency surgery","volume":"101","author":[{"family":"Stewart","given":"B"},{"family":"Khanduri","given":"P"},{"family":"McCord","given":"C"},{"family":"Ohene-Yeboah","given":"M"},{"family":"Uranues","given":"S"},{"family":"Vega Rivera","given":"F"},{"family":"Mock","given":"C"}],"issued":{"date-parts":[["2014",1,1]]}}},{"id":314,"uris":["http://zotero.org/users/local/fuyxLwzY/items/Q7E4YWJN"],"itemData":{"id":314,"type":"article-journal","container-title":"Journal of Surgical Research","DOI":"10.1016/j.jss.2014.08.055","ISSN":"00224804","issue":"1","journalAbbreviation":"Journal of Surgical Research","language":"en","page":"217-222","source":"DOI.org (Crossref)","title":"Prioritizing injury care: a review of trauma capacity in low and middle-income countries","title-short":"Prioritizing injury care","volume":"193","author":[{"family":"Wong","given":"Evan G."},{"family":"Gupta","given":"Shailvi"},{"family":"Deckelbaum","given":"Dan L."},{"family":"Razek","given":"Tarek"},{"family":"Kushner","given":"Adam L."}],"issued":{"date-parts":[["2015",1]]}}},{"id":315,"uris":["http://zotero.org/users/local/fuyxLwzY/items/LVD28UIA"],"itemData":{"id":315,"type":"article-journal","abstract":"Abstract\n            \n              Background\n              We sought to assess the status of availability of technology for trauma care in a state in India and to identify factors contributing to both adequate levels of availability and to deficiencies. We also sought to identify potential solutions to deficiencies in terms of health system management and product development.\n            \n            \n              Methods\n              \n                Thirty‐two technology‐related items were selected from the World Health Organization’s\n                Guidelines for Essential Trauma Care\n                . The status of these items was assessed at 43 small and large hospitals in Gujarat State. Site visits utilized direct inspection and interviews with administrative, clinical, and bioengineering staff.\n              \n            \n            \n              Results\n              Many specific individual items could be better supplied, including many that were very low cost (e.g., chest tubes). Many deficiencies arose because of mismatch of resources, such as availability of equipment in the absence of personnel trained to use it. Several locally manufactured items were fairly well supplied: pulse oximetry, image intensification, and X‐ray machines. Ventilators were often deficient because of inadequate numbers of units and frequent breakdowns.\n            \n            \n              Conclusions\n              Availability of a range of lower‐cost items could be improved by better organization and planning, such as: better procurement and stock management; eliminating mismatch of resources, including optimizing training for use of existing resources; and by strengthening service contracts and in‐house repair capabilities. From a product development viewpoint, there is a need for lower cost, more durable, and easier to repair ventilators. Promoting increased capacity for local manufacturing should also be considered as a potential method to decrease cost and increase availability of a range of equipment.","container-title":"World Journal of Surgery","DOI":"10.1007/s00268-014-2805-7","ISSN":"0364-2313, 1432-2323","issue":"2","journalAbbreviation":"World j. surg.","language":"en","license":"http://onlinelibrary.wiley.com/termsAndConditions#vor","page":"363-372","source":"DOI.org (Crossref)","title":"Assessment of the Availability of Technology for Trauma Care in India","volume":"39","author":[{"family":"Shah","given":"Mihir Tejanshu"},{"family":"Joshipura","given":"Manjul"},{"family":"Singleton","given":"Jered"},{"family":"LaBarre","given":"Paul"},{"family":"Desai","given":"Hem"},{"family":"Sharma","given":"Eliza"},{"family":"Mock","given":"Charles"}],"issued":{"date-parts":[["2015",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(5–7)</w:t>
      </w:r>
      <w:r>
        <w:rPr>
          <w:rFonts w:ascii="Times New Roman" w:hAnsi="Times New Roman" w:cs="Times New Roman"/>
          <w:sz w:val="24"/>
          <w:szCs w:val="24"/>
        </w:rPr>
        <w:fldChar w:fldCharType="end"/>
      </w:r>
      <w:r>
        <w:rPr>
          <w:rFonts w:ascii="Times New Roman" w:hAnsi="Times New Roman" w:cs="Times New Roman"/>
          <w:sz w:val="24"/>
          <w:szCs w:val="24"/>
        </w:rPr>
        <w:t>. In Sub-Saharan Africa, 71% of the population reportedly resides within two hours of a hospital that may offer emergency medical services (EMS)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{"citationID":"ZBqIzz1n","properties":{"formattedCitation":"(8)","plainCitation":"(8)","noteIndex":0},"citationItems":[{"id":317,"uris":["http://zotero.org/users/local/fuyxLwzY/items/VVA6BT7R"],"itemData":{"id":317,"type":"article-journal","container-title":"African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A highly effective emergency care service (ECS) can save more than half of all deaths in LMICs, according to Reynolds et al.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{"citationID":"0Zym1B2I","properties":{"formattedCitation":"(8)","plainCitation":"(8)","noteIndex":0},"citationItems":[{"id":317,"uris":["http://zotero.org/users/local/fuyxLwzY/items/VVA6BT7R"],"itemData":{"id":317,"type":"article-journal","container-title":"African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However, most Sub-Saharan African nations lack these services, and those that do have inadequate funding. For instance, emergency rooms account for 10–15% of the 1.6 million documented deaths in Nigeria each year. In Ghana, according to the National Ambulance Service (NAS) report in 2022, the service has expanded to transport nearly </w:t>
      </w:r>
      <w:r>
        <w:rPr>
          <w:rFonts w:ascii="Times New Roman" w:hAnsi="Times New Roman" w:cs="Times New Roman"/>
          <w:bCs/>
          <w:sz w:val="24"/>
          <w:szCs w:val="24"/>
        </w:rPr>
        <w:t>38,400 patients</w:t>
      </w:r>
      <w:r>
        <w:rPr>
          <w:rFonts w:ascii="Times New Roman" w:hAnsi="Times New Roman" w:cs="Times New Roman"/>
          <w:sz w:val="24"/>
          <w:szCs w:val="24"/>
        </w:rPr>
        <w:t xml:space="preserve"> in 2022, with 356 ambulances and 3,473 EMTs covering all 261 districts—yet utilization in remote districts remains low, with only ~0.16–0.37 transports per 100,000 per day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{"citationID":"ep3TXSkf","properties":{"formattedCitation":"(9)","plainCitation":"(9)","noteIndex":0},"citationItems":[{"id":390,"uris":["http://zotero.org/users/local/fuyxLwzY/items/2WGDPG9U"],"itemData":{"id":390,"type":"article-journal","container-title":"African Journal of Emergency Medicine","DOI":"10.1016/j.afjem.2024.06.008","ISSN":"2211-419X","issue":"3","language":"en","license":"https://www.elsevier.com/tdm/userlicense/1.0/","note":"publisher: Elsevier BV","page":"172-178","source":"Crossref","title":"The National Ambulance Service of Ghana: Changes in capacity and utilization over 20 years","title-short":"The National Ambulance Service of Ghana","volume":"14","author":[{"family":"Zakariah","given":"Ahmed N."},{"family":"Boateng","given":"Edmund"},{"family":"Achena","given":"Christiana"},{"family":"Ansong-Bridjan","given":"Foster"},{"family":"Mock","given":"Charles"}],"issued":{"date-parts":[["2024",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Despite global progress in emergency care, many low- and middle-income countries (LMICs), including Ghana, continue to face significant challenges in ensuring that PHC facilities are adequately prepared to respond to emergencies. In Ghana, emergency care is still underfunded despite its critical necessity. According to studies done by Zakariah et al, better emergency interventions might avert around half of avoidable deaths and one-third of impairments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{"citationID":"DxBukTYV","properties":{"formattedCitation":"(10)","plainCitation":"(10)","noteIndex":0},"citationItems":[{"id":302,"uris":["http://zotero.org/users/local/fuyxLwzY/items/J4AH865Q"],"itemData":{"id":302,"type":"article-journal","abstract":"Abstract\n            The healthcare landscape in Ghana is primarily composed of lower-tier\n            providers, which serve as the initial  point of contact for most medical emergencies.\n            This study aimed to assess the emergency care preparedness and readiness of primary\n            healthcare providers using a robust evaluation approach. A multicentre retrospective\n            cross-sectional study was conducted on  460 healthcare facilities  using the\n            standardised Health Facilities Emergency Preparedness Assessment Tool (HeFEPAT). Data\n            were analysed via Bayesian Belief network. Emergency preparedness was associated with\n            facility location, type, ownership, and in-charge personnel. Over 70% of facilities\n            lacked specialised emergency/critical care personnel. Although 65% of in-charges\n            reported protocol knowledge, only 7.8% could execute cardiopulmonary resuscitation. 90%\n            of facilities lacked onsite defibrillators, and over 80% had no cerebrovascular accident\n            medications. Road traffic accident protocols were largely unavailable, with an \n            estimated 53% probability of  lacking such protocols. Private-owned facilities were more\n            likely to lack protocols for road traffic accidents (76% vs 20% probability) and general\n            acute care (62% vs 32%) compared to government-owned facilities. Significant gaps in\n            emergency preparedness were identified across the studied health facilities, indicating\n            limited capacity to manage critical situations effectively. Urgent investments in\n            emergency medicine training, essential resources, and evidence-based protocols are\n            needed. Standardised emergency preparedness assessments should be implemented for\n            accreditation and quality improvement. Further research can inform the development of\n            national guidelines and targeted interventions to strengthen emergency response\n            capacities.","container-title":"Internal and Emergency Medicine","DOI":"10.1007/s11739-024-03607-6","ISSN":"1828-0447, 1970-9366","issue":"8","journalAbbreviation":"Intern Emerg Med","language":"en","page":"1-13","source":"DOI.org (Crossref)","title":"Ecology of emergency care in lower-tier healthcare providers in Ghana: an empirical data-driven Bayesian network analytical approach","title-short":"Ecology of emergency care in lower-tier healthcare providers in Ghana","volume":"19","author":[{"family":"Afrifa-Yamoah","given":"Ebenezer"},{"family":"Nunfam","given":"Victor Fannam"},{"family":"Kwanin","given":"Bernard Agyei"},{"family":"Frimpong","given":"Kwasi"}],"issued":{"date-parts":[["2024",11]]}}}],"schema":"https://github.com/citation-style-language/schema/raw/master/csl-citation.json"}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Low health spending (~4% of GDP), inadequate staff</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training, frequent shortages of necessary supplies, and inadequate infrastructure and energy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support is one of the main obstacles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{"citationID":"N7e1wapb","properties":{"formattedCitation":"(10)","plainCitation":"(10)","noteIndex":0},"citationItems":[{"id":302,"uris":["http://zotero.org/users/local/fuyxLwzY/items/J4AH865Q"],"itemData":{"id":302,"type":"article-journal","abstract":"Abstract\n            The healthcare landscape in Ghana is primarily composed of lower-tier\n            providers, which serve as the initial  point of contact for most medical emergencies.\n            This study aimed to assess the emergency care preparedness and readiness of primary\n            healthcare providers using a robust evaluation approach. A multicentre retrospective\n            cross-sectional study was conducted on  460 healthcare facilities  using the\n            standardised Health Facilities Emergency Preparedness Assessment Tool (HeFEPAT). Data\n            were analysed via Bayesian Belief network. Emergency preparedness was associated with\n            facility location, type, ownership, and in-charge personnel. Over 70% of facilities\n            lacked specialised emergency/critical care personnel. Although 65% of in-charges\n            reported protocol knowledge, only 7.8% could execute cardiopulmonary resuscitation. 90%\n            of facilities lacked onsite defibrillators, and over 80% had no cerebrovascular accident\n            medications. Road traffic accident protocols were largely unavailable, with an \n            estimated 53% probability of  lacking such protocols. Private-owned facilities were more\n            likely to lack protocols for road traffic accidents (76% vs 20% probability) and general\n            acute care (62% vs 32%) compared to government-owned facilities. Significant gaps in\n            emergency preparedness were identified across the studied health facilities, indicating\n            limited capacity to manage critical situations effectively. Urgent investments in\n            emergency medicine training, essential resources, and evidence-based protocols are\n            needed. Standardised emergency preparedness assessments should be implemented for\n            accreditation and quality improvement. Further research can inform the development of\n            national guidelines and targeted interventions to strengthen emergency response\n            capacities.","container-title":"Internal and Emergency Medicine","DOI":"10.1007/s11739-024-03607-6","ISSN":"1828-0447, 1970-9366","issue":"8","journalAbbreviation":"Intern Emerg Med","language":"en","page":"1-13","source":"DOI.org (Crossref)","title":"Ecology of emergency care in lower-tier healthcare providers in Ghana: an empirical data-driven Bayesian network analytical approach","title-short":"Ecology of emergency care in lower-tier healthcare providers in Ghana","volume":"19","author":[{"family":"Afrifa-Yamoah","given":"Ebenezer"},{"family":"Nunfam","given":"Victor Fannam"},{"family":"Kwanin","given":"Bernard Agyei"},{"family":"Frimpong","given":"Kwasi"}],"issued":{"date-parts":[["2024",11]]}}}],"schema":"https://github.com/citation-style-language/schema/raw/master/csl-citation.json"}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Significant unmet emergency care needs in locations similar to Ahafo Ano North were indicated by the National Ambulance Services' response to over 2,000 emergency cases in the surrounding Ahafo/Bono regions in 2022</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{"citationID":"3oXi5GYW","properties":{"formattedCitation":"(9)","plainCitation":"(9)","noteIndex":0},"citationItems":[{"id":390,"uris":["http://zotero.org/users/local/fuyxLwzY/items/2WGDPG9U"],"itemData":{"id":390,"type":"article-journal","container-title":"African Journal of Emergency Medicine","DOI":"10.1016/j.afjem.2024.06.008","ISSN":"2211-419X","issue":"3","language":"en","license":"https://www.elsevier.com/tdm/userlicense/1.0/","note":"publisher: Elsevier BV","page":"172-178","source":"Crossref","title":"The National Ambulance Service of Ghana: Changes in capacity and utilization over 20 years","title-short":"The National Ambulance Service of Ghana","volume":"14","author":[{"family":"Zakariah","given":"Ahmed N."},{"family":"Boateng","given":"Edmund"},{"family":"Achena","given":"Christiana"},{"family":"Ansong-Bridjan","given":"Foster"},{"family":"Mock","given":"Charles"}],"issued":{"date-parts":[["2024",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lastRenderedPageBreak/>
        <w:t xml:space="preserve">Common constraints include a shortage of trained personnel, a lack of essential drugs and equipment, poor infrastructure, and weak referral systems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{"citationID":"Mc5YQyHs","properties":{"formattedCitation":"(11)","plainCitation":"(11)","noteIndex":0},"citationItems":[{"id":321,"uris":["http://zotero.org/users/local/fuyxLwzY/items/V93WICS8"],"itemData":{"id":321,"type":"article-journal","container-title":"African Journal of Emergency Medicine","DOI":"10.1016/j.afjem.2012.11.006","ISSN":"2211419X","issue":"2","journalAbbreviation":"African Journal of Emergency Medicine","language":"en","license":"https://www.elsevier.com/tdm/userlicense/1.0/","page":"52-58","source":"DOI.org (Crossref)","title":"The evolution and current state of emergency care in Ghana","volume":"3","author":[{"family":"Osei-Ampofo","given":"Maxwell"},{"family":"Oduro","given":"George"},{"family":"Oteng","given":"Rockefeller"},{"family":"Zakariah","given":"Ahmed"},{"family":"Jacquet","given":"Gabrielle"},{"family":"Donkor","given":"Peter"}],"issued":{"date-parts":[["2013",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These limitations are particularly acute in rural areas, where health system resources are often stretched thin and distances to higher-level care are vast.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In Ghana, rural districts such as Ahafo Ano North in the Ashanti Region rely heavily on Community-based Health Planning and Services (CHPS) compounds and health centers for emergency care. However, anecdotal reports and district health reviews suggest these facilities may not be adequately resourced or staffed to handle emergencies effectively. In such contexts, delayed or ineffective emergency care can lead to avoidable morbidity and mortality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{"citationID":"x1We7KsE","properties":{"formattedCitation":"(12)","plainCitation":"(12)","noteIndex":0},"citationItems":[{"id":322,"uris":["http://zotero.org/users/local/fuyxLwzY/items/2MFP3A7P"],"itemData":{"id":322,"type":"article-journal","abstract":"Abstract\n            \n              Background\n              Injuries accounted for 11 % of the global burden of disease in 2010. This study aimed to quantify the burden of injury in low‐ and middle‐income countries (LMICs) that could be averted if basic surgical services were made available and accessible to the entire population.\n            \n            \n              Methods\n              We examined all causes of injury from the Global Burden of Disease 2010 Study. We split the disability‐adjusted life years (DALYs) for these conditions between surgically “avertable” and “nonavertable” burdens. For estimating the avertable fatal burden, we applied the lowest fatality rates among the 21 epidemiologic regions to each LMIC region, assuming that the differences in death rates between each region and the lowest rates reflect the gap in surgical care. We adjusted for fatal cases that occur prior to reaching hospitals as they are not surgically avertable. Similarly, we applied the lowest nonfatal burden per case to each LMIC region.\n            \n            \n              Results\n              Overall, 21 % of the injury burden in LMICs was potentially avertable by basic surgical care (52.3 million DALYs). The avertable proportion was greater for deaths than for nonfatal burden (23 vs. 20 %), suggesting that surgical services for injuries more effectively save lives than ameliorate disability. Sub‐Saharan Africa had the largest proportion of potentially avertable burden (25 %). South Asia had the highest total avertable DALYs (17.4 million). Road injury comprised the largest total avertable burden in LMICs (16.1 million DALYs).\n            \n            \n              Conclusions\n              Basic surgical care has the potential to play a major role in reducing the injury‐related burden in LMICs.","container-title":"World Journal of Surgery","DOI":"10.1007/s00268-014-2685-x","ISSN":"0364-2313, 1432-2323","issue":"1","journalAbbreviation":"World j. surg.","language":"en","license":"http://onlinelibrary.wiley.com/termsAndConditions#vor","page":"1-9","source":"DOI.org (Crossref)","title":"Burden of Injuries Avertable By a Basic Surgical Package in Low‐ and Middle‐Income Regions: A Systematic Analysis From the Global Burden of Disease 2010 Study","title-short":"Burden of Injuries Avertable By a Basic Surgical Package in Low‐ and Middle‐Income Regions","volume":"39","author":[{"family":"Higashi","given":"Hideki"},{"family":"Barendregt","given":"Jan J."},{"family":"Kassebaum","given":"Nicholas J."},{"family":"Weiser","given":"Thomas G."},{"family":"Bickler","given":"Stephen W."},{"family":"Vos","given":"Theo"}],"issued":{"date-parts":[["2015",1]]}}}],"schema":"https://github.com/citation-style-language/schema/raw/master/csl-citation.json"}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(Afriyie et al., 2022).</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capacity to respond to emergencies encompasses both tangible resources (for example, emergency drugs, equipment, and vehicles) and intangible aspects such as staff knowledge, clinical preparedness, and protocol adherence. Assessing this capacity is essential for identifying gaps, informing policy, and guiding investments in rural health system strengthening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{"citationID":"W6K4n0MH","properties":{"formattedCitation":"(13)","plainCitation":"(13)","noteIndex":0},"citationItems":[{"id":324,"uris":["http://zotero.org/users/local/fuyxLwzY/items/EAIUER4R"],"itemData":{"id":324,"type":"article-journal","container-title":"The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This study, therefore, seeks to assess the emergency response capacity and resource availability in rural PHC facilities in the Ahafo Ano North District, focusing on equipment, drugs, staff training, and system readiness.</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 xml:space="preserve"> Research Objectives</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Primary Objective:</w:t>
      </w:r>
    </w:p>
    <w:p w:rsidR="00903FC6" w:rsidRDefault="00903FC6" w:rsidP="00903FC6">
      <w:pPr>
        <w:numPr>
          <w:ilvl w:val="0"/>
          <w:numId w:val="14"/>
        </w:numPr>
        <w:spacing w:line="256" w:lineRule="auto"/>
        <w:rPr>
          <w:rFonts w:ascii="Times New Roman" w:hAnsi="Times New Roman" w:cs="Times New Roman"/>
          <w:sz w:val="24"/>
          <w:szCs w:val="24"/>
        </w:rPr>
      </w:pPr>
      <w:r>
        <w:rPr>
          <w:rFonts w:ascii="Times New Roman" w:hAnsi="Times New Roman" w:cs="Times New Roman"/>
          <w:sz w:val="24"/>
          <w:szCs w:val="24"/>
        </w:rPr>
        <w:t>To investigate the capacity of rural primary healthcare facilities in Ahafo Ano North to respond to emergency medical cases.</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Specific Objectives:</w:t>
      </w:r>
    </w:p>
    <w:p w:rsidR="00903FC6" w:rsidRDefault="00903FC6" w:rsidP="00903FC6">
      <w:pPr>
        <w:numPr>
          <w:ilvl w:val="0"/>
          <w:numId w:val="16"/>
        </w:numPr>
        <w:spacing w:line="256" w:lineRule="auto"/>
        <w:rPr>
          <w:rFonts w:ascii="Times New Roman" w:hAnsi="Times New Roman" w:cs="Times New Roman"/>
          <w:sz w:val="24"/>
          <w:szCs w:val="24"/>
        </w:rPr>
      </w:pPr>
      <w:bookmarkStart w:id="0" w:name="_Hlk202327494"/>
      <w:r>
        <w:rPr>
          <w:rFonts w:ascii="Times New Roman" w:hAnsi="Times New Roman" w:cs="Times New Roman"/>
          <w:sz w:val="24"/>
          <w:szCs w:val="24"/>
        </w:rPr>
        <w:t xml:space="preserve">To determine the availability of emergency care resources (equipment, drugs, and personnel) in the PHC facilities in the Ahafo Ano North district. </w:t>
      </w:r>
    </w:p>
    <w:p w:rsidR="00903FC6" w:rsidRDefault="00903FC6" w:rsidP="00903FC6">
      <w:pPr>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To assess the training and preparedness of nurses and midwives in managing emergencies in the PHC facilities in the Ahafo Ano North district.</w:t>
      </w:r>
    </w:p>
    <w:p w:rsidR="00903FC6" w:rsidRDefault="00903FC6" w:rsidP="00903FC6">
      <w:pPr>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To recommend strategies to enhance emergency preparedness at rural PHC facilities</w:t>
      </w:r>
      <w:bookmarkEnd w:id="0"/>
      <w:r>
        <w:rPr>
          <w:rFonts w:ascii="Times New Roman" w:hAnsi="Times New Roman" w:cs="Times New Roman"/>
          <w:sz w:val="24"/>
          <w:szCs w:val="24"/>
        </w:rPr>
        <w:t xml:space="preserve"> in the Ahafo Ano North district.</w:t>
      </w:r>
    </w:p>
    <w:p w:rsidR="00903FC6" w:rsidRDefault="00903FC6" w:rsidP="00903FC6">
      <w:pPr>
        <w:rPr>
          <w:rFonts w:ascii="Times New Roman" w:hAnsi="Times New Roman" w:cs="Times New Roman"/>
          <w:b/>
          <w:bCs/>
          <w:sz w:val="24"/>
          <w:szCs w:val="24"/>
        </w:rPr>
      </w:pPr>
    </w:p>
    <w:p w:rsidR="00903FC6" w:rsidRDefault="00903FC6" w:rsidP="00903FC6">
      <w:pPr>
        <w:rPr>
          <w:rFonts w:ascii="Times New Roman" w:hAnsi="Times New Roman" w:cs="Times New Roman"/>
          <w:b/>
          <w:bCs/>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b/>
          <w:sz w:val="24"/>
          <w:szCs w:val="24"/>
        </w:rPr>
      </w:pPr>
      <w:r>
        <w:rPr>
          <w:rFonts w:ascii="Times New Roman" w:hAnsi="Times New Roman" w:cs="Times New Roman"/>
          <w:b/>
          <w:sz w:val="24"/>
          <w:szCs w:val="24"/>
        </w:rPr>
        <w:t>Methodology</w:t>
      </w:r>
    </w:p>
    <w:p w:rsidR="00903FC6" w:rsidRDefault="00903FC6" w:rsidP="00903FC6">
      <w:pPr>
        <w:rPr>
          <w:rFonts w:ascii="Times New Roman" w:hAnsi="Times New Roman" w:cs="Times New Roman"/>
          <w:b/>
          <w:bCs/>
          <w:sz w:val="24"/>
          <w:szCs w:val="24"/>
          <w:lang w:val="zh-CN" w:eastAsia="zh-CN"/>
        </w:rPr>
      </w:pPr>
      <w:r>
        <w:rPr>
          <w:rFonts w:ascii="Times New Roman" w:hAnsi="Times New Roman" w:cs="Times New Roman"/>
          <w:b/>
          <w:bCs/>
          <w:sz w:val="24"/>
          <w:szCs w:val="24"/>
          <w:lang w:val="zh-CN" w:eastAsia="zh-CN"/>
        </w:rPr>
        <w:t>Study Design</w:t>
      </w:r>
    </w:p>
    <w:p w:rsidR="00903FC6" w:rsidRDefault="00903FC6" w:rsidP="00903FC6">
      <w:pPr>
        <w:rPr>
          <w:rFonts w:ascii="Times New Roman" w:hAnsi="Times New Roman" w:cs="Times New Roman"/>
          <w:sz w:val="24"/>
          <w:szCs w:val="24"/>
          <w:lang w:val="zh-CN" w:eastAsia="zh-CN"/>
        </w:rPr>
      </w:pPr>
      <w:r>
        <w:rPr>
          <w:rFonts w:ascii="Times New Roman" w:hAnsi="Times New Roman" w:cs="Times New Roman"/>
          <w:sz w:val="24"/>
          <w:szCs w:val="24"/>
          <w:lang w:val="zh-CN" w:eastAsia="zh-CN"/>
        </w:rPr>
        <w:lastRenderedPageBreak/>
        <w:t>A descriptive cross-sectional survey design w</w:t>
      </w:r>
      <w:r>
        <w:rPr>
          <w:rFonts w:ascii="Times New Roman" w:hAnsi="Times New Roman" w:cs="Times New Roman"/>
          <w:sz w:val="24"/>
          <w:szCs w:val="24"/>
        </w:rPr>
        <w:t>as</w:t>
      </w:r>
      <w:r>
        <w:rPr>
          <w:rFonts w:ascii="Times New Roman" w:hAnsi="Times New Roman" w:cs="Times New Roman"/>
          <w:sz w:val="24"/>
          <w:szCs w:val="24"/>
          <w:lang w:val="zh-CN"/>
        </w:rPr>
        <w:t xml:space="preserve"> </w:t>
      </w:r>
      <w:r>
        <w:rPr>
          <w:rFonts w:ascii="Times New Roman" w:hAnsi="Times New Roman" w:cs="Times New Roman"/>
          <w:sz w:val="24"/>
          <w:szCs w:val="24"/>
          <w:lang w:val="zh-CN" w:eastAsia="zh-CN"/>
        </w:rPr>
        <w:t>employed in the study to gather quantitative information on the emergency capacity of rural primary healthcare facilities in Ahafo Ano North, specifically in response to emergency medical cases and services</w:t>
      </w:r>
      <w:r>
        <w:rPr>
          <w:rFonts w:ascii="Times New Roman" w:hAnsi="Times New Roman" w:cs="Times New Roman"/>
          <w:sz w:val="24"/>
          <w:szCs w:val="24"/>
        </w:rPr>
        <w:t>.</w:t>
      </w:r>
    </w:p>
    <w:p w:rsidR="00903FC6" w:rsidRDefault="00903FC6" w:rsidP="00903FC6">
      <w:pPr>
        <w:rPr>
          <w:rFonts w:ascii="Times New Roman" w:hAnsi="Times New Roman" w:cs="Times New Roman"/>
          <w:b/>
          <w:bCs/>
          <w:sz w:val="24"/>
          <w:szCs w:val="24"/>
          <w:lang w:val="zh-CN" w:eastAsia="zh-CN"/>
        </w:rPr>
      </w:pPr>
      <w:r>
        <w:rPr>
          <w:rFonts w:ascii="Times New Roman" w:hAnsi="Times New Roman" w:cs="Times New Roman"/>
          <w:b/>
          <w:bCs/>
          <w:sz w:val="24"/>
          <w:szCs w:val="24"/>
          <w:lang w:val="zh-CN" w:eastAsia="zh-CN"/>
        </w:rPr>
        <w:t>Study Area</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lang w:val="zh-CN" w:eastAsia="zh-CN"/>
        </w:rPr>
        <w:t>The study w</w:t>
      </w:r>
      <w:r>
        <w:rPr>
          <w:rFonts w:ascii="Times New Roman" w:hAnsi="Times New Roman" w:cs="Times New Roman"/>
          <w:sz w:val="24"/>
          <w:szCs w:val="24"/>
        </w:rPr>
        <w:t>as</w:t>
      </w:r>
      <w:r>
        <w:rPr>
          <w:rFonts w:ascii="Times New Roman" w:hAnsi="Times New Roman" w:cs="Times New Roman"/>
          <w:sz w:val="24"/>
          <w:szCs w:val="24"/>
          <w:lang w:val="zh-CN" w:eastAsia="zh-CN"/>
        </w:rPr>
        <w:t xml:space="preserve"> carried out in Ghana's Ashanti Region in the Ahafo Ano North Municipality. This municipality comprises both rural and urban areas, and primary healthcare facilities provide the first line of treatment for medical crises.</w:t>
      </w:r>
      <w:r>
        <w:rPr>
          <w:rFonts w:ascii="Times New Roman" w:hAnsi="Times New Roman" w:cs="Times New Roman"/>
          <w:sz w:val="24"/>
          <w:szCs w:val="24"/>
        </w:rPr>
        <w:t xml:space="preserve"> Ahafo Ano North Municipality is a predominantly rural district with a population of around 93,000–95,000 people. It features a municipal hospital supported by health centres, CHPS compounds, and private/maternity facilities. With a population of 92,742</w:t>
      </w:r>
      <w:r>
        <w:rPr>
          <w:rFonts w:ascii="Times New Roman" w:hAnsi="Times New Roman" w:cs="Times New Roman"/>
          <w:b/>
          <w:bCs/>
          <w:sz w:val="24"/>
          <w:szCs w:val="24"/>
        </w:rPr>
        <w:t xml:space="preserve"> </w:t>
      </w:r>
      <w:r>
        <w:rPr>
          <w:rFonts w:ascii="Times New Roman" w:hAnsi="Times New Roman" w:cs="Times New Roman"/>
          <w:bCs/>
          <w:sz w:val="24"/>
          <w:szCs w:val="24"/>
        </w:rPr>
        <w:t>from the 2021 population census, with</w:t>
      </w:r>
      <w:r>
        <w:rPr>
          <w:rFonts w:ascii="Times New Roman" w:hAnsi="Times New Roman" w:cs="Times New Roman"/>
          <w:sz w:val="24"/>
          <w:szCs w:val="24"/>
        </w:rPr>
        <w:t xml:space="preserve"> 107 communities and 6 sub-municipals: Tepa, Manfo, Anyinasuso, Betiako, Subriso, and Twabidi, with a distribution of rural–urban distribution of 71% rural and 29% urban. The Ahafo Ano North Municipality has </w:t>
      </w:r>
      <w:r>
        <w:rPr>
          <w:rFonts w:ascii="Times New Roman" w:hAnsi="Times New Roman" w:cs="Times New Roman"/>
          <w:bCs/>
          <w:sz w:val="24"/>
          <w:szCs w:val="24"/>
        </w:rPr>
        <w:t>26 health facilities</w:t>
      </w:r>
      <w:r>
        <w:rPr>
          <w:rFonts w:ascii="Times New Roman" w:hAnsi="Times New Roman" w:cs="Times New Roman"/>
          <w:sz w:val="24"/>
          <w:szCs w:val="24"/>
        </w:rPr>
        <w:t xml:space="preserve"> in total, with 1 Government-run municipal hospital located in Tepa, 8 Government health centres, 3 Mission/CHAG facilities, 9 Private clinics/hospitals, and 4 Maternity homes/clinics. The key facilities are Ahafo Ano North Municipal Hospital, in Anyinasuso, Betiako, Manfo, Subriso, and Twabidi, Akwasiase, and </w:t>
      </w:r>
      <w:r>
        <w:rPr>
          <w:rFonts w:ascii="Times New Roman" w:hAnsi="Times New Roman" w:cs="Times New Roman"/>
          <w:bCs/>
          <w:sz w:val="24"/>
          <w:szCs w:val="24"/>
        </w:rPr>
        <w:t>CHPS compounds</w:t>
      </w:r>
      <w:r>
        <w:rPr>
          <w:rFonts w:ascii="Times New Roman" w:hAnsi="Times New Roman" w:cs="Times New Roman"/>
          <w:sz w:val="24"/>
          <w:szCs w:val="24"/>
        </w:rPr>
        <w:t>: ~39 zones covering community-level primary care</w:t>
      </w:r>
    </w:p>
    <w:p w:rsidR="00903FC6" w:rsidRDefault="00903FC6" w:rsidP="00903FC6">
      <w:pPr>
        <w:rPr>
          <w:rFonts w:ascii="Times New Roman" w:hAnsi="Times New Roman" w:cs="Times New Roman"/>
          <w:b/>
          <w:bCs/>
          <w:sz w:val="24"/>
          <w:szCs w:val="24"/>
          <w:lang w:val="zh-CN" w:eastAsia="zh-CN"/>
        </w:rPr>
      </w:pPr>
      <w:r>
        <w:rPr>
          <w:rFonts w:ascii="Times New Roman" w:hAnsi="Times New Roman" w:cs="Times New Roman"/>
          <w:b/>
          <w:bCs/>
          <w:sz w:val="24"/>
          <w:szCs w:val="24"/>
          <w:lang w:val="zh-CN" w:eastAsia="zh-CN"/>
        </w:rPr>
        <w:t>Study Population</w:t>
      </w:r>
    </w:p>
    <w:p w:rsidR="00903FC6" w:rsidRDefault="00903FC6" w:rsidP="00903FC6">
      <w:pPr>
        <w:rPr>
          <w:rFonts w:ascii="Times New Roman" w:hAnsi="Times New Roman" w:cs="Times New Roman"/>
          <w:sz w:val="24"/>
          <w:szCs w:val="24"/>
          <w:lang w:val="zh-CN" w:eastAsia="zh-CN"/>
        </w:rPr>
      </w:pPr>
      <w:r>
        <w:rPr>
          <w:rFonts w:ascii="Times New Roman" w:hAnsi="Times New Roman" w:cs="Times New Roman"/>
          <w:sz w:val="24"/>
          <w:szCs w:val="24"/>
          <w:lang w:val="zh-CN" w:eastAsia="zh-CN"/>
        </w:rPr>
        <w:t xml:space="preserve">Primary healthcare nurses, midwives, community health nurses, and other nursing professionals employed in primary healthcare facilities located within the municipality comprise the research population. To acquire a deeper understanding of the systemic issues confronting the health sector, all categories of nurses in these </w:t>
      </w:r>
      <w:r>
        <w:rPr>
          <w:rFonts w:ascii="Times New Roman" w:hAnsi="Times New Roman" w:cs="Times New Roman"/>
          <w:sz w:val="24"/>
          <w:szCs w:val="24"/>
        </w:rPr>
        <w:t>facilities</w:t>
      </w:r>
      <w:r>
        <w:rPr>
          <w:rFonts w:ascii="Times New Roman" w:hAnsi="Times New Roman" w:cs="Times New Roman"/>
          <w:sz w:val="24"/>
          <w:szCs w:val="24"/>
          <w:lang w:val="zh-CN" w:eastAsia="zh-CN"/>
        </w:rPr>
        <w:t xml:space="preserve"> w</w:t>
      </w:r>
      <w:r>
        <w:rPr>
          <w:rFonts w:ascii="Times New Roman" w:hAnsi="Times New Roman" w:cs="Times New Roman"/>
          <w:sz w:val="24"/>
          <w:szCs w:val="24"/>
        </w:rPr>
        <w:t>ere asked to answer the questionnaire.</w:t>
      </w:r>
      <w:r>
        <w:rPr>
          <w:rFonts w:ascii="Times New Roman" w:hAnsi="Times New Roman" w:cs="Times New Roman"/>
          <w:sz w:val="24"/>
          <w:szCs w:val="24"/>
          <w:lang w:val="zh-CN"/>
        </w:rPr>
        <w:t xml:space="preserve"> </w:t>
      </w:r>
    </w:p>
    <w:p w:rsidR="00903FC6" w:rsidRDefault="00903FC6" w:rsidP="00903FC6">
      <w:pPr>
        <w:rPr>
          <w:rFonts w:ascii="Times New Roman" w:hAnsi="Times New Roman" w:cs="Times New Roman"/>
          <w:b/>
          <w:bCs/>
          <w:sz w:val="24"/>
          <w:szCs w:val="24"/>
          <w:lang w:val="zh-CN" w:eastAsia="zh-CN"/>
        </w:rPr>
      </w:pPr>
      <w:r>
        <w:rPr>
          <w:rFonts w:ascii="Times New Roman" w:hAnsi="Times New Roman" w:cs="Times New Roman"/>
          <w:b/>
          <w:bCs/>
          <w:sz w:val="24"/>
          <w:szCs w:val="24"/>
          <w:lang w:val="zh-CN" w:eastAsia="zh-CN"/>
        </w:rPr>
        <w:t>Sampling Method and Size</w:t>
      </w:r>
    </w:p>
    <w:p w:rsidR="00903FC6" w:rsidRDefault="00903FC6" w:rsidP="00903FC6">
      <w:pPr>
        <w:rPr>
          <w:rFonts w:ascii="Times New Roman" w:hAnsi="Times New Roman" w:cs="Times New Roman"/>
          <w:sz w:val="24"/>
          <w:szCs w:val="24"/>
          <w:lang w:val="zh-CN" w:eastAsia="zh-CN"/>
        </w:rPr>
      </w:pPr>
      <w:r>
        <w:rPr>
          <w:rFonts w:ascii="Times New Roman" w:hAnsi="Times New Roman" w:cs="Times New Roman"/>
          <w:sz w:val="24"/>
          <w:szCs w:val="24"/>
        </w:rPr>
        <w:t xml:space="preserve">Nurses and midwives who </w:t>
      </w:r>
      <w:r>
        <w:rPr>
          <w:rFonts w:ascii="Times New Roman" w:hAnsi="Times New Roman" w:cs="Times New Roman"/>
          <w:sz w:val="24"/>
          <w:szCs w:val="24"/>
          <w:lang w:val="zh-CN" w:eastAsia="zh-CN"/>
        </w:rPr>
        <w:t xml:space="preserve">provide </w:t>
      </w:r>
      <w:r>
        <w:rPr>
          <w:rFonts w:ascii="Times New Roman" w:hAnsi="Times New Roman" w:cs="Times New Roman"/>
          <w:sz w:val="24"/>
          <w:szCs w:val="24"/>
        </w:rPr>
        <w:t xml:space="preserve">primary care </w:t>
      </w:r>
      <w:r>
        <w:rPr>
          <w:rFonts w:ascii="Times New Roman" w:hAnsi="Times New Roman" w:cs="Times New Roman"/>
          <w:sz w:val="24"/>
          <w:szCs w:val="24"/>
          <w:lang w:val="zh-CN" w:eastAsia="zh-CN"/>
        </w:rPr>
        <w:t>w</w:t>
      </w:r>
      <w:r>
        <w:rPr>
          <w:rFonts w:ascii="Times New Roman" w:hAnsi="Times New Roman" w:cs="Times New Roman"/>
          <w:sz w:val="24"/>
          <w:szCs w:val="24"/>
        </w:rPr>
        <w:t>ere</w:t>
      </w:r>
      <w:r>
        <w:rPr>
          <w:rFonts w:ascii="Times New Roman" w:hAnsi="Times New Roman" w:cs="Times New Roman"/>
          <w:sz w:val="24"/>
          <w:szCs w:val="24"/>
          <w:lang w:val="zh-CN" w:eastAsia="zh-CN"/>
        </w:rPr>
        <w:t xml:space="preserve"> chosen</w:t>
      </w:r>
      <w:r>
        <w:rPr>
          <w:rFonts w:ascii="Times New Roman" w:hAnsi="Times New Roman" w:cs="Times New Roman"/>
          <w:sz w:val="24"/>
          <w:szCs w:val="24"/>
        </w:rPr>
        <w:t>,</w:t>
      </w:r>
      <w:r>
        <w:rPr>
          <w:rFonts w:ascii="Times New Roman" w:hAnsi="Times New Roman" w:cs="Times New Roman"/>
          <w:sz w:val="24"/>
          <w:szCs w:val="24"/>
          <w:lang w:val="zh-CN" w:eastAsia="zh-CN"/>
        </w:rPr>
        <w:t xml:space="preserve"> using a</w:t>
      </w:r>
      <w:r w:rsidR="00DE62AC">
        <w:rPr>
          <w:rFonts w:ascii="Times New Roman" w:hAnsi="Times New Roman" w:cs="Times New Roman"/>
          <w:sz w:val="24"/>
          <w:szCs w:val="24"/>
          <w:lang w:eastAsia="zh-CN"/>
        </w:rPr>
        <w:t xml:space="preserve"> </w:t>
      </w:r>
      <w:r w:rsidR="00DE62AC" w:rsidRPr="00DE62AC">
        <w:rPr>
          <w:rFonts w:ascii="Times New Roman" w:hAnsi="Times New Roman" w:cs="Times New Roman"/>
          <w:sz w:val="24"/>
          <w:szCs w:val="24"/>
          <w:lang w:val="zh-CN" w:eastAsia="zh-CN"/>
        </w:rPr>
        <w:t xml:space="preserve">convenient sampling </w:t>
      </w:r>
      <w:r w:rsidRPr="00DE62AC">
        <w:rPr>
          <w:rFonts w:ascii="Times New Roman" w:hAnsi="Times New Roman" w:cs="Times New Roman"/>
          <w:sz w:val="24"/>
          <w:szCs w:val="24"/>
          <w:lang w:val="zh-CN" w:eastAsia="zh-CN"/>
        </w:rPr>
        <w:t>technique</w:t>
      </w:r>
      <w:r>
        <w:rPr>
          <w:rFonts w:ascii="Times New Roman" w:hAnsi="Times New Roman" w:cs="Times New Roman"/>
          <w:sz w:val="24"/>
          <w:szCs w:val="24"/>
          <w:lang w:val="zh-CN" w:eastAsia="zh-CN"/>
        </w:rPr>
        <w:t>.</w:t>
      </w:r>
      <w:r>
        <w:rPr>
          <w:rFonts w:ascii="Times New Roman" w:hAnsi="Times New Roman" w:cs="Times New Roman"/>
          <w:sz w:val="24"/>
          <w:szCs w:val="24"/>
        </w:rPr>
        <w:t xml:space="preserve"> A sample size of </w:t>
      </w:r>
      <w:r>
        <w:rPr>
          <w:rFonts w:ascii="Times New Roman" w:hAnsi="Times New Roman" w:cs="Times New Roman"/>
          <w:b/>
          <w:bCs/>
          <w:sz w:val="24"/>
          <w:szCs w:val="24"/>
        </w:rPr>
        <w:t>224 respondents from a total population of 246</w:t>
      </w:r>
      <w:r>
        <w:rPr>
          <w:rFonts w:ascii="Times New Roman" w:hAnsi="Times New Roman" w:cs="Times New Roman"/>
          <w:sz w:val="24"/>
          <w:szCs w:val="24"/>
        </w:rPr>
        <w:t xml:space="preserve"> represents approximately</w:t>
      </w:r>
      <w:r>
        <w:rPr>
          <w:rFonts w:ascii="Times New Roman" w:hAnsi="Times New Roman" w:cs="Times New Roman"/>
          <w:b/>
          <w:bCs/>
          <w:sz w:val="24"/>
          <w:szCs w:val="24"/>
        </w:rPr>
        <w:t xml:space="preserve"> 91%</w:t>
      </w:r>
      <w:r>
        <w:rPr>
          <w:rFonts w:ascii="Times New Roman" w:hAnsi="Times New Roman" w:cs="Times New Roman"/>
          <w:sz w:val="24"/>
          <w:szCs w:val="24"/>
        </w:rPr>
        <w:t xml:space="preserve"> of the population. Although standard sampling formulas (Cochran et al, 2022) recommend a minimum of 150 respondents for a 95% confidence level with a 5% margin of error, a larger sample was chosen to enhance accuracy and generalizability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AItAwVS","properties":{"formattedCitation":"(14)","plainCitation":"(14)","noteIndex":0},"citationItems":[{"id":236,"uris":["http://zotero.org/users/local/fuyxLwzY/items/5F2FRZZ3"],"itemData":{"id":236,"type":"book","edition":"6th","ISBN":"0-203-02905-4","title":"Research Methods in Education","author":[{"family":"Cohen","given":"Louis"},{"family":"Manion","given":"Lawrence"},{"family":"Morrison","given":"Keith"}],"issued":{"date-parts":[["2022"]]}}}],"schema":"https://github.com/citation-style-language/schema/raw/master/csl-citation.json"}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t xml:space="preserve">.  The high proportion of respondents approaching a census while remaining methodologically robust. At this high proportion, the </w:t>
      </w:r>
      <w:r>
        <w:rPr>
          <w:rFonts w:ascii="Times New Roman" w:hAnsi="Times New Roman" w:cs="Times New Roman"/>
          <w:b/>
          <w:bCs/>
          <w:sz w:val="24"/>
          <w:szCs w:val="24"/>
        </w:rPr>
        <w:t>convenient sampling method was applied due to their readily accessible and available during the data collection period.</w:t>
      </w:r>
      <w:r>
        <w:rPr>
          <w:rFonts w:ascii="Times New Roman" w:hAnsi="Times New Roman" w:cs="Times New Roman"/>
          <w:sz w:val="24"/>
          <w:szCs w:val="24"/>
          <w:lang w:val="zh-CN" w:eastAsia="zh-CN"/>
        </w:rPr>
        <w:t xml:space="preserve"> About </w:t>
      </w:r>
      <w:r>
        <w:rPr>
          <w:rFonts w:ascii="Times New Roman" w:hAnsi="Times New Roman" w:cs="Times New Roman"/>
          <w:sz w:val="24"/>
          <w:szCs w:val="24"/>
        </w:rPr>
        <w:t>224</w:t>
      </w:r>
      <w:r>
        <w:rPr>
          <w:rFonts w:ascii="Times New Roman" w:hAnsi="Times New Roman" w:cs="Times New Roman"/>
          <w:sz w:val="24"/>
          <w:szCs w:val="24"/>
          <w:lang w:val="zh-CN"/>
        </w:rPr>
        <w:t xml:space="preserve"> </w:t>
      </w:r>
      <w:r>
        <w:rPr>
          <w:rFonts w:ascii="Times New Roman" w:hAnsi="Times New Roman" w:cs="Times New Roman"/>
          <w:sz w:val="24"/>
          <w:szCs w:val="24"/>
        </w:rPr>
        <w:t>nursing</w:t>
      </w:r>
      <w:r>
        <w:rPr>
          <w:rFonts w:ascii="Times New Roman" w:hAnsi="Times New Roman" w:cs="Times New Roman"/>
          <w:sz w:val="24"/>
          <w:szCs w:val="24"/>
          <w:lang w:val="zh-CN" w:eastAsia="zh-CN"/>
        </w:rPr>
        <w:t xml:space="preserve"> professionals participated in the study; </w:t>
      </w:r>
      <w:r>
        <w:rPr>
          <w:rFonts w:ascii="Times New Roman" w:hAnsi="Times New Roman" w:cs="Times New Roman"/>
          <w:sz w:val="24"/>
          <w:szCs w:val="24"/>
        </w:rPr>
        <w:t xml:space="preserve">these were nurses and midwives who work at the </w:t>
      </w:r>
      <w:r>
        <w:rPr>
          <w:rFonts w:ascii="Times New Roman" w:hAnsi="Times New Roman" w:cs="Times New Roman"/>
          <w:sz w:val="24"/>
          <w:szCs w:val="24"/>
          <w:lang w:val="zh-CN" w:eastAsia="zh-CN"/>
        </w:rPr>
        <w:t xml:space="preserve">primary healthcare centers. </w:t>
      </w:r>
      <w:r>
        <w:rPr>
          <w:rFonts w:ascii="Times New Roman" w:hAnsi="Times New Roman" w:cs="Times New Roman"/>
          <w:sz w:val="24"/>
          <w:szCs w:val="24"/>
        </w:rPr>
        <w:t xml:space="preserve">The target population consists of all </w:t>
      </w:r>
      <w:r>
        <w:rPr>
          <w:rFonts w:ascii="Times New Roman" w:hAnsi="Times New Roman" w:cs="Times New Roman"/>
          <w:b/>
          <w:bCs/>
          <w:sz w:val="24"/>
          <w:szCs w:val="24"/>
        </w:rPr>
        <w:t>nurses and midwives (N = 246)</w:t>
      </w:r>
      <w:r>
        <w:rPr>
          <w:rFonts w:ascii="Times New Roman" w:hAnsi="Times New Roman" w:cs="Times New Roman"/>
          <w:sz w:val="24"/>
          <w:szCs w:val="24"/>
        </w:rPr>
        <w:t xml:space="preserve"> working in the Ahafo Ano North District. Census Sampling was considered to help in generalization, and 224 out of 246 is </w:t>
      </w:r>
      <w:r>
        <w:rPr>
          <w:rFonts w:ascii="Times New Roman" w:hAnsi="Times New Roman" w:cs="Times New Roman"/>
          <w:b/>
          <w:bCs/>
          <w:sz w:val="24"/>
          <w:szCs w:val="24"/>
        </w:rPr>
        <w:t>91% of the population</w:t>
      </w:r>
      <w:r>
        <w:rPr>
          <w:rFonts w:ascii="Times New Roman" w:hAnsi="Times New Roman" w:cs="Times New Roman"/>
          <w:sz w:val="24"/>
          <w:szCs w:val="24"/>
        </w:rPr>
        <w:t>.  The selected individuals were contacted, and the purpose was explained, consent obtained, and we proceeded with data collection.</w:t>
      </w:r>
    </w:p>
    <w:p w:rsidR="00903FC6" w:rsidRDefault="00903FC6" w:rsidP="00903FC6">
      <w:pPr>
        <w:rPr>
          <w:rFonts w:ascii="Times New Roman" w:hAnsi="Times New Roman" w:cs="Times New Roman"/>
          <w:sz w:val="24"/>
          <w:szCs w:val="24"/>
          <w:lang w:val="zh-CN" w:eastAsia="zh-CN"/>
        </w:rPr>
      </w:pP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lang w:val="zh-CN" w:eastAsia="zh-CN"/>
        </w:rPr>
        <w:t>Data Collection</w:t>
      </w:r>
      <w:r>
        <w:rPr>
          <w:rFonts w:ascii="Times New Roman" w:hAnsi="Times New Roman" w:cs="Times New Roman"/>
          <w:b/>
          <w:bCs/>
          <w:sz w:val="24"/>
          <w:szCs w:val="24"/>
        </w:rPr>
        <w:t xml:space="preserve"> tool and procedure </w:t>
      </w:r>
    </w:p>
    <w:p w:rsidR="00903FC6" w:rsidRDefault="00903FC6" w:rsidP="00903FC6">
      <w:pPr>
        <w:rPr>
          <w:rFonts w:ascii="Times New Roman" w:hAnsi="Times New Roman" w:cs="Times New Roman"/>
          <w:sz w:val="24"/>
          <w:szCs w:val="24"/>
          <w:lang w:val="zh-CN" w:eastAsia="zh-CN"/>
        </w:rPr>
      </w:pPr>
      <w:r>
        <w:rPr>
          <w:rFonts w:ascii="Times New Roman" w:hAnsi="Times New Roman" w:cs="Times New Roman"/>
          <w:b/>
          <w:bCs/>
          <w:sz w:val="24"/>
          <w:szCs w:val="24"/>
          <w:lang w:val="zh-CN" w:eastAsia="zh-CN"/>
        </w:rPr>
        <w:lastRenderedPageBreak/>
        <w:t>Questionnaires:</w:t>
      </w:r>
      <w:r>
        <w:rPr>
          <w:rFonts w:ascii="Times New Roman" w:hAnsi="Times New Roman" w:cs="Times New Roman"/>
          <w:sz w:val="24"/>
          <w:szCs w:val="24"/>
          <w:lang w:val="zh-CN" w:eastAsia="zh-CN"/>
        </w:rPr>
        <w:t xml:space="preserve"> Structured questionnaires were</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 xml:space="preserve">administered to nurses and </w:t>
      </w:r>
      <w:r>
        <w:rPr>
          <w:rFonts w:ascii="Times New Roman" w:hAnsi="Times New Roman" w:cs="Times New Roman"/>
          <w:sz w:val="24"/>
          <w:szCs w:val="24"/>
        </w:rPr>
        <w:t>midwives</w:t>
      </w:r>
      <w:r>
        <w:rPr>
          <w:rFonts w:ascii="Times New Roman" w:hAnsi="Times New Roman" w:cs="Times New Roman"/>
          <w:sz w:val="24"/>
          <w:szCs w:val="24"/>
          <w:lang w:val="zh-CN"/>
        </w:rPr>
        <w:t xml:space="preserve"> </w:t>
      </w:r>
      <w:r>
        <w:rPr>
          <w:rFonts w:ascii="Times New Roman" w:hAnsi="Times New Roman" w:cs="Times New Roman"/>
          <w:sz w:val="24"/>
          <w:szCs w:val="24"/>
          <w:lang w:val="zh-CN" w:eastAsia="zh-CN"/>
        </w:rPr>
        <w:t>to assess the availability of emergency care resources (equipment, drugs, and personnel),</w:t>
      </w:r>
      <w:r>
        <w:rPr>
          <w:rFonts w:ascii="Times New Roman" w:hAnsi="Times New Roman" w:cs="Times New Roman"/>
          <w:sz w:val="24"/>
          <w:szCs w:val="24"/>
        </w:rPr>
        <w:t xml:space="preserve"> t</w:t>
      </w:r>
      <w:r>
        <w:rPr>
          <w:rFonts w:ascii="Times New Roman" w:hAnsi="Times New Roman" w:cs="Times New Roman"/>
          <w:sz w:val="24"/>
          <w:szCs w:val="24"/>
          <w:lang w:val="zh-CN" w:eastAsia="zh-CN"/>
        </w:rPr>
        <w:t xml:space="preserve">o assess the training and preparedness of nurses and midwives in managing emergencies, </w:t>
      </w:r>
      <w:r>
        <w:rPr>
          <w:rFonts w:ascii="Times New Roman" w:hAnsi="Times New Roman" w:cs="Times New Roman"/>
          <w:sz w:val="24"/>
          <w:szCs w:val="24"/>
        </w:rPr>
        <w:t>and to provide possible</w:t>
      </w:r>
      <w:r>
        <w:rPr>
          <w:rFonts w:ascii="Times New Roman" w:hAnsi="Times New Roman" w:cs="Times New Roman"/>
          <w:sz w:val="24"/>
          <w:szCs w:val="24"/>
          <w:lang w:val="zh-CN" w:eastAsia="zh-CN"/>
        </w:rPr>
        <w:t xml:space="preserve"> recommendations</w:t>
      </w:r>
      <w:r>
        <w:rPr>
          <w:rFonts w:ascii="Times New Roman" w:hAnsi="Times New Roman" w:cs="Times New Roman"/>
          <w:sz w:val="24"/>
          <w:szCs w:val="24"/>
        </w:rPr>
        <w:t xml:space="preserve"> to</w:t>
      </w:r>
      <w:r>
        <w:rPr>
          <w:rFonts w:ascii="Times New Roman" w:hAnsi="Times New Roman" w:cs="Times New Roman"/>
          <w:sz w:val="24"/>
          <w:szCs w:val="24"/>
          <w:lang w:val="zh-CN" w:eastAsia="zh-CN"/>
        </w:rPr>
        <w:t xml:space="preserve"> enhance emergency preparedness at rural PHC facilities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Data was collected at the primary health care facilities from September 2024 to January 2025. The assessment covered the health care facilities' preparedness capacity (equipment and medications) and EMS, focusing on the availability of emergency </w:t>
      </w:r>
      <w:r>
        <w:rPr>
          <w:rFonts w:ascii="Times New Roman" w:hAnsi="Times New Roman" w:cs="Times New Roman"/>
          <w:sz w:val="24"/>
          <w:szCs w:val="24"/>
          <w:lang w:val="zh-CN" w:eastAsia="zh-CN"/>
        </w:rPr>
        <w:t>care resources (drugs and personnel).</w:t>
      </w:r>
      <w:r>
        <w:rPr>
          <w:rFonts w:ascii="Times New Roman" w:hAnsi="Times New Roman" w:cs="Times New Roman"/>
          <w:sz w:val="24"/>
          <w:szCs w:val="24"/>
        </w:rPr>
        <w:t xml:space="preserve"> And t</w:t>
      </w:r>
      <w:r>
        <w:rPr>
          <w:rFonts w:ascii="Times New Roman" w:hAnsi="Times New Roman" w:cs="Times New Roman"/>
          <w:sz w:val="24"/>
          <w:szCs w:val="24"/>
          <w:lang w:val="zh-CN" w:eastAsia="zh-CN"/>
        </w:rPr>
        <w:t>o assess the training and preparedness of nurses and midwives in managing emergencies</w:t>
      </w:r>
      <w:r>
        <w:rPr>
          <w:rFonts w:ascii="Times New Roman" w:hAnsi="Times New Roman" w:cs="Times New Roman"/>
          <w:sz w:val="24"/>
          <w:szCs w:val="24"/>
        </w:rPr>
        <w:t>. The nurses' perception of the availability of emergency equipment at their various facilities.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Equipment and medications were all assessed and rated using the checklist by the Ministry of Health – Ghana (MoH) policy guideline document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{"citationID":"bH36xdzT","properties":{"formattedCitation":"(13)","plainCitation":"(13)","noteIndex":0},"citationItems":[{"id":324,"uris":["http://zotero.org/users/local/fuyxLwzY/items/EAIUER4R"],"itemData":{"id":324,"type":"article-journal","container-title":"The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{"citationID":"fK4cezHj","properties":{"formattedCitation":"(15)","plainCitation":"(15)","noteIndex":0},"citationItems":[{"id":352,"uris":["http://zotero.org/users/local/fuyxLwzY/items/9C7QLG99"],"itemData":{"id":352,"type":"article-journal","container-title":"Open Access Emergency Medicine","DOI":"10.2147/OAEM.S260314","ISSN":"1179-1500","journalAbbreviation":"OAEM","language":"en","license":"http://creativecommons.org/licenses/by-nc/3.0/","page":"219-225","source":"DOI.org (Crossref)","title":"Disaster Preparedness in Selected Hospitals of Western Ethiopia and Risk Perceptions of Their Authorities","volume":"Volume 12","author":[{"family":"Woyessa","given":"Ashenafi Habte"},{"family":"Teshome","given":"Misganu"},{"family":"Mulatu","given":"Befirdu"},{"family":"Abadiga","given":"Muktar"},{"family":"Hiko","given":"Nesru"},{"family":"Kebede","given":"Burtukan"}],"issued":{"date-parts":[["2020",10]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Start w:id="1" w:name="bbib0021"/>
      <w:r>
        <w:rPr>
          <w:rFonts w:ascii="Times New Roman" w:hAnsi="Times New Roman" w:cs="Times New Roman"/>
          <w:sz w:val="24"/>
          <w:szCs w:val="24"/>
        </w:rPr>
        <w:t xml:space="preserve">This was done by observation and rating the availability and adequacy of equipment and medications. The emergency equipment was assessed with selected items from the 63-item checklist focusing on airways, breathing, circulation, and disability. The emergency medications were assessed with a 52-item checklist </w:t>
      </w:r>
      <w:r>
        <w:fldChar w:fldCharType="begin"/>
      </w:r>
      <w:r>
        <w:rPr>
          <w:rFonts w:ascii="Times New Roman" w:hAnsi="Times New Roman" w:cs="Times New Roman"/>
          <w:sz w:val="24"/>
          <w:szCs w:val="24"/>
        </w:rPr>
        <w:instrText xml:space="preserve"> ADDIN ZOTERO_ITEM CSL_CITATION {"citationID":"OK15pgv0","properties":{"formattedCitation":"(16)","plainCitation":"(16)","noteIndex":0},"citationItems":[{"id":362,"uris":["http://zotero.org/users/local/fuyxLwzY/items/A592XF87"],"itemData":{"id":362,"type":"report","title":"Hospital emergency response checklist: An all-hazards tool for hospital administrators and emergency managers. Regional Office for Europe.","author":[{"family":"","given":"World Health Organization"}],"issued":{"date-parts":[["2011"]]}}}],"schema":"https://github.com/citation-style-language/schema/raw/master/csl-citation.json"} </w:instrText>
      </w:r>
      <w:r>
        <w:fldChar w:fldCharType="separate"/>
      </w:r>
      <w:r>
        <w:rPr>
          <w:rFonts w:ascii="Times New Roman" w:hAnsi="Times New Roman" w:cs="Times New Roman"/>
          <w:sz w:val="24"/>
          <w:szCs w:val="24"/>
        </w:rPr>
        <w:t>(16)</w:t>
      </w:r>
      <w:r>
        <w:fldChar w:fldCharType="end"/>
      </w:r>
      <w:r>
        <w:rPr>
          <w:rFonts w:ascii="Times New Roman" w:hAnsi="Times New Roman" w:cs="Times New Roman"/>
          <w:sz w:val="24"/>
          <w:szCs w:val="24"/>
        </w:rPr>
        <w:t>.</w:t>
      </w:r>
    </w:p>
    <w:bookmarkEnd w:id="1"/>
    <w:p w:rsidR="00903FC6" w:rsidRDefault="00903FC6" w:rsidP="00903FC6">
      <w:pPr>
        <w:rPr>
          <w:rFonts w:ascii="Times New Roman" w:hAnsi="Times New Roman" w:cs="Times New Roman"/>
          <w:b/>
          <w:bCs/>
          <w:sz w:val="24"/>
          <w:szCs w:val="24"/>
          <w:lang w:val="zh-CN" w:eastAsia="zh-CN"/>
        </w:rPr>
      </w:pPr>
      <w:r>
        <w:rPr>
          <w:rFonts w:ascii="Times New Roman" w:hAnsi="Times New Roman" w:cs="Times New Roman"/>
          <w:b/>
          <w:bCs/>
          <w:sz w:val="24"/>
          <w:szCs w:val="24"/>
          <w:lang w:val="zh-CN" w:eastAsia="zh-CN"/>
        </w:rPr>
        <w:t>Data Analysis</w:t>
      </w:r>
    </w:p>
    <w:p w:rsidR="00903FC6" w:rsidRDefault="00903FC6" w:rsidP="00903FC6">
      <w:pPr>
        <w:rPr>
          <w:rFonts w:ascii="Times New Roman" w:hAnsi="Times New Roman" w:cs="Times New Roman"/>
          <w:sz w:val="24"/>
          <w:szCs w:val="24"/>
          <w:lang w:val="zh-CN" w:eastAsia="zh-CN"/>
        </w:rPr>
      </w:pPr>
      <w:r>
        <w:rPr>
          <w:rFonts w:ascii="Times New Roman" w:hAnsi="Times New Roman" w:cs="Times New Roman"/>
          <w:sz w:val="24"/>
          <w:szCs w:val="24"/>
        </w:rPr>
        <w:t xml:space="preserve">The </w:t>
      </w:r>
      <w:r>
        <w:rPr>
          <w:rFonts w:ascii="Times New Roman" w:hAnsi="Times New Roman" w:cs="Times New Roman"/>
          <w:sz w:val="24"/>
          <w:szCs w:val="24"/>
          <w:lang w:val="zh-CN" w:eastAsia="zh-CN"/>
        </w:rPr>
        <w:t>quantitative data w</w:t>
      </w:r>
      <w:r>
        <w:rPr>
          <w:rFonts w:ascii="Times New Roman" w:hAnsi="Times New Roman" w:cs="Times New Roman"/>
          <w:sz w:val="24"/>
          <w:szCs w:val="24"/>
        </w:rPr>
        <w:t>as</w:t>
      </w:r>
      <w:r>
        <w:rPr>
          <w:rFonts w:ascii="Times New Roman" w:hAnsi="Times New Roman" w:cs="Times New Roman"/>
          <w:sz w:val="24"/>
          <w:szCs w:val="24"/>
          <w:lang w:val="zh-CN" w:eastAsia="zh-CN"/>
        </w:rPr>
        <w:t xml:space="preserve"> studied using descriptive statistics.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Data was collected on paper forms and with KoboTool and analyzed using Microsoft Excel (version 14) and SPSS. The data was cleaned under various objectives, and the demographics of the respondents were considered. On </w:t>
      </w:r>
      <w:r>
        <w:rPr>
          <w:rFonts w:ascii="Times New Roman" w:hAnsi="Times New Roman" w:cs="Times New Roman"/>
          <w:bCs/>
          <w:sz w:val="24"/>
          <w:szCs w:val="24"/>
        </w:rPr>
        <w:t>the Availability of Emergency Equipment in the Health Institutions, the variables were evaluated on a scale of 1-5 based on their availability and adequacy (</w:t>
      </w:r>
      <w:r>
        <w:rPr>
          <w:rFonts w:ascii="Times New Roman" w:hAnsi="Times New Roman" w:cs="Times New Roman"/>
          <w:bCs/>
          <w:i/>
          <w:iCs/>
          <w:sz w:val="24"/>
          <w:szCs w:val="24"/>
        </w:rPr>
        <w:t>Availability &amp; Adequacy</w:t>
      </w:r>
      <w:r>
        <w:rPr>
          <w:rFonts w:ascii="Times New Roman" w:hAnsi="Times New Roman" w:cs="Times New Roman"/>
          <w:bCs/>
          <w:sz w:val="24"/>
          <w:szCs w:val="24"/>
        </w:rPr>
        <w:t>: 1 – Very Poor (Absent); 2 – Poor (Inadequate (available to less than half of those who need it); 3 – Moderate (Partially adequate (available to more than half, but not to most who need it); 4 – Good (Adequate (present and readily available to almost everyone in need and used when needed) 5- Very Good (Very adequate and availiable with extra in stock)</w:t>
      </w:r>
      <w:bookmarkStart w:id="2" w:name="bbib0015"/>
      <w:r>
        <w:rPr>
          <w:rFonts w:ascii="Times New Roman" w:hAnsi="Times New Roman" w:cs="Times New Roman"/>
          <w:bCs/>
          <w:sz w:val="24"/>
          <w:szCs w:val="24"/>
        </w:rPr>
        <w:t xml:space="preserve"> </w:t>
      </w:r>
      <w:r>
        <w:fldChar w:fldCharType="begin"/>
      </w:r>
      <w:r>
        <w:rPr>
          <w:rFonts w:ascii="Times New Roman" w:hAnsi="Times New Roman" w:cs="Times New Roman"/>
          <w:bCs/>
          <w:sz w:val="24"/>
          <w:szCs w:val="24"/>
        </w:rPr>
        <w:instrText xml:space="preserve"> ADDIN ZOTERO_ITEM CSL_CITATION {"citationID":"RFFSEkr9","properties":{"formattedCitation":"(17)","plainCitation":"(17)","noteIndex":0},"citationItems":[{"id":334,"uris":["http://zotero.org/users/local/fuyxLwzY/items/FU3JZLIY"],"itemData":{"id":334,"type":"article-journal","container-title":"African Journal of Emergency Medicine","DOI":"10.1016/j.afjem.2015.09.001","ISSN":"2211419X","issue":"1","journalAbbreviation":"African Journal of Emergency Medicine","language":"en","page":"3-4","source":"DOI.org (Crossref)","title":"The Sendai Framework and emergency care","volume":"6","author":[{"family":"Kim","given":"Paul Y."},{"family":"Sawe","given":"Hendry R."},{"family":"Wallis","given":"Lee A."}],"issued":{"date-parts":[["2016",3]]}}}],"schema":"https://github.com/citation-style-language/schema/raw/master/csl-citation.json"} </w:instrText>
      </w:r>
      <w:r>
        <w:fldChar w:fldCharType="separate"/>
      </w:r>
      <w:r>
        <w:rPr>
          <w:rFonts w:ascii="Times New Roman" w:hAnsi="Times New Roman" w:cs="Times New Roman"/>
          <w:sz w:val="24"/>
          <w:szCs w:val="24"/>
        </w:rPr>
        <w:t>(17)</w:t>
      </w:r>
      <w:r>
        <w:fldChar w:fldCharType="end"/>
      </w:r>
      <w:bookmarkEnd w:id="2"/>
    </w:p>
    <w:p w:rsidR="00903FC6" w:rsidRDefault="00903FC6" w:rsidP="00903FC6">
      <w:pPr>
        <w:rPr>
          <w:rFonts w:ascii="Times New Roman" w:hAnsi="Times New Roman" w:cs="Times New Roman"/>
          <w:bCs/>
          <w:sz w:val="24"/>
          <w:szCs w:val="24"/>
        </w:rPr>
      </w:pPr>
      <w:r>
        <w:rPr>
          <w:rFonts w:ascii="Times New Roman" w:hAnsi="Times New Roman" w:cs="Times New Roman"/>
          <w:bCs/>
          <w:sz w:val="24"/>
          <w:szCs w:val="24"/>
        </w:rPr>
        <w:t>Emergency Preparedness and Challenges among nurses and midwives were assessed with questions on their confidence in handling cases with the ABCDE assessment tool, no training on emergencies, how easily emergency cases can be accessed, and how often drills or simulations execeis that are performed.</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Finally, on recommending strategies to enhance emergency preparedness at rural PHC facilities, respondents were allowed to select suggested options (More medical equipment and supplies, regular training for healthcare staff, better referral system and transportation, increased staffing, improved communicated system) and make individual suggestions that will help to improve emergency case management in Primary Health Care.</w:t>
      </w:r>
    </w:p>
    <w:p w:rsidR="00903FC6" w:rsidRPr="009B68F2" w:rsidRDefault="00903FC6" w:rsidP="00903FC6">
      <w:pPr>
        <w:rPr>
          <w:rFonts w:ascii="Times New Roman" w:hAnsi="Times New Roman" w:cs="Times New Roman"/>
          <w:b/>
          <w:sz w:val="24"/>
          <w:szCs w:val="24"/>
        </w:rPr>
      </w:pPr>
      <w:r w:rsidRPr="009B68F2">
        <w:rPr>
          <w:rFonts w:ascii="Times New Roman" w:hAnsi="Times New Roman" w:cs="Times New Roman"/>
          <w:b/>
          <w:sz w:val="24"/>
          <w:szCs w:val="24"/>
        </w:rPr>
        <w:t xml:space="preserve">RESULTS </w:t>
      </w:r>
    </w:p>
    <w:p w:rsidR="00903FC6" w:rsidRPr="009B68F2" w:rsidRDefault="00903FC6" w:rsidP="00903FC6">
      <w:pPr>
        <w:rPr>
          <w:rFonts w:ascii="Times New Roman" w:hAnsi="Times New Roman" w:cs="Times New Roman"/>
          <w:b/>
          <w:bCs/>
          <w:sz w:val="24"/>
          <w:szCs w:val="24"/>
        </w:rPr>
      </w:pPr>
      <w:r w:rsidRPr="009B68F2">
        <w:rPr>
          <w:rFonts w:ascii="Times New Roman" w:hAnsi="Times New Roman" w:cs="Times New Roman"/>
          <w:b/>
          <w:sz w:val="24"/>
          <w:szCs w:val="24"/>
        </w:rPr>
        <w:t>Descriptive Analysis of Participants’ Age</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lastRenderedPageBreak/>
        <w:t xml:space="preserve">A total of 224 participants took part in the study, and their ages were examined to understand the sample's demographic profile. The participants' ages ranged from 18 to 45 years, with an average age of 31.53 years. The </w:t>
      </w:r>
      <w:r>
        <w:rPr>
          <w:rFonts w:ascii="Times New Roman" w:hAnsi="Times New Roman" w:cs="Times New Roman"/>
          <w:b/>
          <w:bCs/>
          <w:sz w:val="24"/>
          <w:szCs w:val="24"/>
        </w:rPr>
        <w:t>standard deviation</w:t>
      </w:r>
      <w:r>
        <w:rPr>
          <w:rFonts w:ascii="Times New Roman" w:hAnsi="Times New Roman" w:cs="Times New Roman"/>
          <w:b/>
          <w:sz w:val="24"/>
          <w:szCs w:val="24"/>
        </w:rPr>
        <w:t xml:space="preserve"> </w:t>
      </w:r>
      <w:r>
        <w:rPr>
          <w:rFonts w:ascii="Times New Roman" w:hAnsi="Times New Roman" w:cs="Times New Roman"/>
          <w:sz w:val="24"/>
          <w:szCs w:val="24"/>
        </w:rPr>
        <w:t xml:space="preserve">was </w:t>
      </w:r>
      <w:r>
        <w:rPr>
          <w:rFonts w:ascii="Times New Roman" w:hAnsi="Times New Roman" w:cs="Times New Roman"/>
          <w:b/>
          <w:bCs/>
          <w:sz w:val="24"/>
          <w:szCs w:val="24"/>
        </w:rPr>
        <w:t>6.696</w:t>
      </w:r>
      <w:r>
        <w:rPr>
          <w:rFonts w:ascii="Times New Roman" w:hAnsi="Times New Roman" w:cs="Times New Roman"/>
          <w:sz w:val="24"/>
          <w:szCs w:val="24"/>
        </w:rPr>
        <w:t xml:space="preserve">, indicating </w:t>
      </w:r>
      <w:r>
        <w:rPr>
          <w:rFonts w:ascii="Times New Roman" w:hAnsi="Times New Roman" w:cs="Times New Roman"/>
          <w:b/>
          <w:sz w:val="24"/>
          <w:szCs w:val="24"/>
        </w:rPr>
        <w:t xml:space="preserve">a </w:t>
      </w:r>
      <w:r>
        <w:rPr>
          <w:rFonts w:ascii="Times New Roman" w:hAnsi="Times New Roman" w:cs="Times New Roman"/>
          <w:b/>
          <w:bCs/>
          <w:sz w:val="24"/>
          <w:szCs w:val="24"/>
        </w:rPr>
        <w:t>moderate level of variability</w:t>
      </w:r>
      <w:r>
        <w:rPr>
          <w:rFonts w:ascii="Times New Roman" w:hAnsi="Times New Roman" w:cs="Times New Roman"/>
          <w:sz w:val="24"/>
          <w:szCs w:val="24"/>
        </w:rPr>
        <w:t xml:space="preserve"> in participants' ages. Most of the participants' ages were within approximately </w:t>
      </w:r>
      <w:r>
        <w:rPr>
          <w:rFonts w:ascii="Times New Roman" w:hAnsi="Times New Roman" w:cs="Times New Roman"/>
          <w:b/>
          <w:bCs/>
          <w:sz w:val="24"/>
          <w:szCs w:val="24"/>
        </w:rPr>
        <w:t>±6.7 years</w:t>
      </w:r>
      <w:r>
        <w:rPr>
          <w:rFonts w:ascii="Times New Roman" w:hAnsi="Times New Roman" w:cs="Times New Roman"/>
          <w:sz w:val="24"/>
          <w:szCs w:val="24"/>
        </w:rPr>
        <w:t xml:space="preserve"> of the mean, implying that the majority were between </w:t>
      </w:r>
      <w:r>
        <w:rPr>
          <w:rFonts w:ascii="Times New Roman" w:hAnsi="Times New Roman" w:cs="Times New Roman"/>
          <w:b/>
          <w:bCs/>
          <w:sz w:val="24"/>
          <w:szCs w:val="24"/>
        </w:rPr>
        <w:t>approximately 25 and 38 years old</w:t>
      </w:r>
      <w:r>
        <w:rPr>
          <w:rFonts w:ascii="Times New Roman" w:hAnsi="Times New Roman" w:cs="Times New Roman"/>
          <w:b/>
          <w:sz w:val="24"/>
          <w:szCs w:val="24"/>
        </w:rPr>
        <w:t>.</w:t>
      </w:r>
      <w:r>
        <w:rPr>
          <w:rFonts w:ascii="Times New Roman" w:hAnsi="Times New Roman" w:cs="Times New Roman"/>
          <w:sz w:val="24"/>
          <w:szCs w:val="24"/>
        </w:rPr>
        <w:t xml:space="preserve"> The </w:t>
      </w:r>
      <w:r>
        <w:rPr>
          <w:rFonts w:ascii="Times New Roman" w:hAnsi="Times New Roman" w:cs="Times New Roman"/>
          <w:b/>
          <w:bCs/>
          <w:sz w:val="24"/>
          <w:szCs w:val="24"/>
        </w:rPr>
        <w:t>variance</w:t>
      </w:r>
      <w:r>
        <w:rPr>
          <w:rFonts w:ascii="Times New Roman" w:hAnsi="Times New Roman" w:cs="Times New Roman"/>
          <w:sz w:val="24"/>
          <w:szCs w:val="24"/>
        </w:rPr>
        <w:t xml:space="preserve">, which represents the spread of the age data, was calculated as </w:t>
      </w:r>
      <w:r>
        <w:rPr>
          <w:rFonts w:ascii="Times New Roman" w:hAnsi="Times New Roman" w:cs="Times New Roman"/>
          <w:b/>
          <w:bCs/>
          <w:sz w:val="24"/>
          <w:szCs w:val="24"/>
        </w:rPr>
        <w:t>44.833</w:t>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skewness value was -0.082</w:t>
      </w:r>
      <w:r>
        <w:rPr>
          <w:rFonts w:ascii="Times New Roman" w:hAnsi="Times New Roman" w:cs="Times New Roman"/>
          <w:sz w:val="24"/>
          <w:szCs w:val="24"/>
        </w:rPr>
        <w:t xml:space="preserve"> (standard error = 0.163), indicating a very slight negative skew. However, this value is close to zero, suggesting that the age distribution was </w:t>
      </w:r>
      <w:r>
        <w:rPr>
          <w:rFonts w:ascii="Times New Roman" w:hAnsi="Times New Roman" w:cs="Times New Roman"/>
          <w:b/>
          <w:bCs/>
          <w:sz w:val="24"/>
          <w:szCs w:val="24"/>
        </w:rPr>
        <w:t>approximately symmetrical</w:t>
      </w:r>
      <w:r>
        <w:rPr>
          <w:rFonts w:ascii="Times New Roman" w:hAnsi="Times New Roman" w:cs="Times New Roman"/>
          <w:sz w:val="24"/>
          <w:szCs w:val="24"/>
        </w:rPr>
        <w:t xml:space="preserve">. Likewise, the </w:t>
      </w:r>
      <w:r>
        <w:rPr>
          <w:rFonts w:ascii="Times New Roman" w:hAnsi="Times New Roman" w:cs="Times New Roman"/>
          <w:b/>
          <w:bCs/>
          <w:sz w:val="24"/>
          <w:szCs w:val="24"/>
        </w:rPr>
        <w:t>kurtosis value was -0.152</w:t>
      </w:r>
      <w:r>
        <w:rPr>
          <w:rFonts w:ascii="Times New Roman" w:hAnsi="Times New Roman" w:cs="Times New Roman"/>
          <w:sz w:val="24"/>
          <w:szCs w:val="24"/>
        </w:rPr>
        <w:t xml:space="preserve"> (standard error = 0.324), suggesting a </w:t>
      </w:r>
      <w:r>
        <w:rPr>
          <w:rFonts w:ascii="Times New Roman" w:hAnsi="Times New Roman" w:cs="Times New Roman"/>
          <w:b/>
          <w:bCs/>
          <w:sz w:val="24"/>
          <w:szCs w:val="24"/>
        </w:rPr>
        <w:t>slightly platykurtic distribution</w:t>
      </w:r>
      <w:r>
        <w:rPr>
          <w:rFonts w:ascii="Times New Roman" w:hAnsi="Times New Roman" w:cs="Times New Roman"/>
          <w:sz w:val="24"/>
          <w:szCs w:val="24"/>
        </w:rPr>
        <w:t xml:space="preserve">, meaning the distribution is slightly flatter than a normal curve. However, like skewness, the kurtosis value is also very close to zero, reinforcing that the age data was </w:t>
      </w:r>
      <w:r>
        <w:rPr>
          <w:rFonts w:ascii="Times New Roman" w:hAnsi="Times New Roman" w:cs="Times New Roman"/>
          <w:b/>
          <w:bCs/>
          <w:sz w:val="24"/>
          <w:szCs w:val="24"/>
        </w:rPr>
        <w:t>approximately normally distributed</w:t>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b/>
          <w:bCs/>
          <w:sz w:val="24"/>
          <w:szCs w:val="24"/>
        </w:rPr>
      </w:pPr>
      <w:r>
        <w:rPr>
          <w:rFonts w:ascii="Times New Roman" w:hAnsi="Times New Roman" w:cs="Times New Roman"/>
          <w:sz w:val="24"/>
          <w:szCs w:val="24"/>
        </w:rPr>
        <w:t>Table 1: Descriptive Statistics for Age</w:t>
      </w:r>
    </w:p>
    <w:tbl>
      <w:tblPr>
        <w:tblW w:w="0" w:type="auto"/>
        <w:tblCellSpacing w:w="15" w:type="dxa"/>
        <w:tblLook w:val="04A0" w:firstRow="1" w:lastRow="0" w:firstColumn="1" w:lastColumn="0" w:noHBand="0" w:noVBand="1"/>
      </w:tblPr>
      <w:tblGrid>
        <w:gridCol w:w="3510"/>
        <w:gridCol w:w="2079"/>
      </w:tblGrid>
      <w:tr w:rsidR="00903FC6" w:rsidTr="00903FC6">
        <w:trPr>
          <w:tblHeader/>
          <w:tblCellSpacing w:w="15" w:type="dxa"/>
        </w:trPr>
        <w:tc>
          <w:tcPr>
            <w:tcW w:w="3465"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t>Statistic</w:t>
            </w:r>
          </w:p>
        </w:tc>
        <w:tc>
          <w:tcPr>
            <w:tcW w:w="2034"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t>Value</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N (Valid)</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224</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Minimum Age</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18</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Maximum Age</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45</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Mean Age</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31.53</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Standard Deviation</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6.696</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Variance</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44.833</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Skewness</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-0.082</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Skewness Std. Error</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0.163</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Kurtosis</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-0.152</w:t>
            </w:r>
          </w:p>
        </w:tc>
      </w:tr>
      <w:tr w:rsidR="00903FC6" w:rsidTr="00903FC6">
        <w:trPr>
          <w:tblCellSpacing w:w="15" w:type="dxa"/>
        </w:trPr>
        <w:tc>
          <w:tcPr>
            <w:tcW w:w="3465"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b/>
                <w:bCs/>
                <w:sz w:val="24"/>
                <w:szCs w:val="24"/>
              </w:rPr>
              <w:t>Kurtosis Std. Error</w:t>
            </w:r>
          </w:p>
        </w:tc>
        <w:tc>
          <w:tcPr>
            <w:tcW w:w="2034" w:type="dxa"/>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0.324</w:t>
            </w:r>
          </w:p>
        </w:tc>
      </w:tr>
    </w:tbl>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Correlational Analysis among the demographics of Participants and key Variables.</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Table 2: Pearson Correlations among Key Variables (N = 224)</w:t>
      </w:r>
    </w:p>
    <w:tbl>
      <w:tblPr>
        <w:tblW w:w="0" w:type="auto"/>
        <w:tblCellSpacing w:w="15" w:type="dxa"/>
        <w:tblLook w:val="04A0" w:firstRow="1" w:lastRow="0" w:firstColumn="1" w:lastColumn="0" w:noHBand="0" w:noVBand="1"/>
      </w:tblPr>
      <w:tblGrid>
        <w:gridCol w:w="4150"/>
        <w:gridCol w:w="835"/>
        <w:gridCol w:w="835"/>
        <w:gridCol w:w="835"/>
        <w:gridCol w:w="720"/>
        <w:gridCol w:w="835"/>
        <w:gridCol w:w="835"/>
        <w:gridCol w:w="315"/>
      </w:tblGrid>
      <w:tr w:rsidR="00903FC6" w:rsidTr="00903FC6">
        <w:trPr>
          <w:tblHeade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lastRenderedPageBreak/>
              <w:t>Variables</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t>1</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t>3</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t>4</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t>5</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t>6</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r>
              <w:rPr>
                <w:rFonts w:ascii="Times New Roman" w:hAnsi="Times New Roman" w:cs="Times New Roman"/>
                <w:b/>
                <w:bCs/>
                <w:sz w:val="24"/>
                <w:szCs w:val="24"/>
              </w:rPr>
              <w:t>7</w:t>
            </w:r>
          </w:p>
        </w:tc>
      </w:tr>
      <w:tr w:rsidR="00903FC6" w:rsidTr="00903FC6">
        <w:trPr>
          <w:tblCellSpacing w:w="15" w:type="dxa"/>
        </w:trPr>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b/>
                <w:bCs/>
                <w:sz w:val="24"/>
                <w:szCs w:val="24"/>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r>
      <w:tr w:rsidR="00903FC6" w:rsidTr="00903FC6">
        <w:trPr>
          <w:tblCellSpacing w:w="15" w:type="dxa"/>
        </w:trPr>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 Confidence level</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.71***</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r>
      <w:tr w:rsidR="00903FC6" w:rsidTr="00903FC6">
        <w:trPr>
          <w:tblCellSpacing w:w="15" w:type="dxa"/>
        </w:trPr>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 Participation in emergency drills</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.47***</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.41***</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r>
      <w:tr w:rsidR="00903FC6" w:rsidTr="00903FC6">
        <w:trPr>
          <w:tblCellSpacing w:w="15" w:type="dxa"/>
        </w:trPr>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 Formal emergency training (past 2 years)</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.35***</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.48***</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.07</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r>
      <w:tr w:rsidR="00903FC6" w:rsidTr="00903FC6">
        <w:trPr>
          <w:tblCellSpacing w:w="15" w:type="dxa"/>
        </w:trPr>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 Frequency of emergency case exposure</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–.52***</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–.34***</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–.54***</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–.03</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p>
        </w:tc>
        <w:tc>
          <w:tcPr>
            <w:tcW w:w="0" w:type="auto"/>
            <w:tcMar>
              <w:top w:w="15" w:type="dxa"/>
              <w:left w:w="15" w:type="dxa"/>
              <w:bottom w:w="15" w:type="dxa"/>
              <w:right w:w="15" w:type="dxa"/>
            </w:tcMar>
            <w:vAlign w:val="center"/>
            <w:hideMark/>
          </w:tcPr>
          <w:p w:rsidR="00903FC6" w:rsidRDefault="00903FC6">
            <w:pPr>
              <w:spacing w:after="0"/>
              <w:rPr>
                <w:sz w:val="20"/>
                <w:szCs w:val="20"/>
              </w:rPr>
            </w:pPr>
          </w:p>
        </w:tc>
      </w:tr>
      <w:tr w:rsidR="00903FC6" w:rsidTr="00903FC6">
        <w:trPr>
          <w:tblCellSpacing w:w="15" w:type="dxa"/>
        </w:trPr>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 Educational level</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.47***</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.19**</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.58***</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–.13</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–.46***</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p>
        </w:tc>
      </w:tr>
      <w:tr w:rsidR="00903FC6" w:rsidTr="00903FC6">
        <w:trPr>
          <w:tblCellSpacing w:w="15" w:type="dxa"/>
        </w:trPr>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 Confidence in assessing ABCs</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.00</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.28***</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.18**</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.26***</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–.11</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–.32***</w:t>
            </w:r>
          </w:p>
        </w:tc>
        <w:tc>
          <w:tcPr>
            <w:tcW w:w="0" w:type="auto"/>
            <w:tcMar>
              <w:top w:w="15" w:type="dxa"/>
              <w:left w:w="15" w:type="dxa"/>
              <w:bottom w:w="15" w:type="dxa"/>
              <w:right w:w="15" w:type="dxa"/>
            </w:tcMar>
            <w:vAlign w:val="center"/>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w:t>
            </w:r>
          </w:p>
        </w:tc>
      </w:tr>
    </w:tbl>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&lt; .05*, </w:t>
      </w:r>
      <w:r>
        <w:rPr>
          <w:rFonts w:ascii="Times New Roman" w:hAnsi="Times New Roman" w:cs="Times New Roman"/>
          <w:b/>
          <w:bCs/>
          <w:sz w:val="24"/>
          <w:szCs w:val="24"/>
        </w:rPr>
        <w:t>p</w:t>
      </w:r>
      <w:r>
        <w:rPr>
          <w:rFonts w:ascii="Times New Roman" w:hAnsi="Times New Roman" w:cs="Times New Roman"/>
          <w:sz w:val="24"/>
          <w:szCs w:val="24"/>
        </w:rPr>
        <w:t xml:space="preserve"> &lt; .01**, </w:t>
      </w:r>
      <w:r>
        <w:rPr>
          <w:rFonts w:ascii="Times New Roman" w:hAnsi="Times New Roman" w:cs="Times New Roman"/>
          <w:b/>
          <w:bCs/>
          <w:i/>
          <w:iCs/>
          <w:sz w:val="24"/>
          <w:szCs w:val="24"/>
        </w:rPr>
        <w:t>p</w:t>
      </w:r>
      <w:r>
        <w:rPr>
          <w:rFonts w:ascii="Times New Roman" w:hAnsi="Times New Roman" w:cs="Times New Roman"/>
          <w:sz w:val="24"/>
          <w:szCs w:val="24"/>
        </w:rPr>
        <w:t xml:space="preserve"> &lt; .001 (2-tailed).</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Correlational Analysis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A Pearson product-moment correlation coefficient was computed to examine the relationships between demographic factors, emergency-related training and exposure, and the participants' confidence levels in managing emergency cases. The results showed several significant associations, as outlined as stated above and explained below.</w:t>
      </w:r>
    </w:p>
    <w:p w:rsidR="00903FC6" w:rsidRDefault="00903FC6" w:rsidP="00903FC6">
      <w:pPr>
        <w:rPr>
          <w:rFonts w:ascii="Times New Roman" w:hAnsi="Times New Roman" w:cs="Times New Roman"/>
          <w:b/>
          <w:sz w:val="24"/>
          <w:szCs w:val="24"/>
        </w:rPr>
      </w:pPr>
      <w:r>
        <w:rPr>
          <w:rFonts w:ascii="Times New Roman" w:hAnsi="Times New Roman" w:cs="Times New Roman"/>
          <w:b/>
          <w:sz w:val="24"/>
          <w:szCs w:val="24"/>
        </w:rPr>
        <w:t>Confidence Level</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Confidence level was also positively and strongly associated with participation in emergency drills, </w:t>
      </w:r>
      <w:r>
        <w:rPr>
          <w:rFonts w:ascii="Times New Roman" w:hAnsi="Times New Roman" w:cs="Times New Roman"/>
          <w:i/>
          <w:iCs/>
          <w:sz w:val="24"/>
          <w:szCs w:val="24"/>
        </w:rPr>
        <w:t xml:space="preserve">r </w:t>
      </w:r>
      <w:r>
        <w:rPr>
          <w:rFonts w:ascii="Times New Roman" w:hAnsi="Times New Roman" w:cs="Times New Roman"/>
          <w:sz w:val="24"/>
          <w:szCs w:val="24"/>
        </w:rPr>
        <w:t xml:space="preserve">(222) = .41, </w:t>
      </w:r>
      <w:r>
        <w:rPr>
          <w:rFonts w:ascii="Times New Roman" w:hAnsi="Times New Roman" w:cs="Times New Roman"/>
          <w:i/>
          <w:iCs/>
          <w:sz w:val="24"/>
          <w:szCs w:val="24"/>
        </w:rPr>
        <w:t>p</w:t>
      </w:r>
      <w:r>
        <w:rPr>
          <w:rFonts w:ascii="Times New Roman" w:hAnsi="Times New Roman" w:cs="Times New Roman"/>
          <w:sz w:val="24"/>
          <w:szCs w:val="24"/>
        </w:rPr>
        <w:t xml:space="preserve"> &lt; .001, and formal emergency training within the past two years, </w:t>
      </w:r>
      <w:r>
        <w:rPr>
          <w:rFonts w:ascii="Times New Roman" w:hAnsi="Times New Roman" w:cs="Times New Roman"/>
          <w:i/>
          <w:iCs/>
          <w:sz w:val="24"/>
          <w:szCs w:val="24"/>
        </w:rPr>
        <w:t xml:space="preserve">r </w:t>
      </w:r>
      <w:r>
        <w:rPr>
          <w:rFonts w:ascii="Times New Roman" w:hAnsi="Times New Roman" w:cs="Times New Roman"/>
          <w:sz w:val="24"/>
          <w:szCs w:val="24"/>
        </w:rPr>
        <w:t xml:space="preserve">(222) = .48, </w:t>
      </w:r>
      <w:r>
        <w:rPr>
          <w:rFonts w:ascii="Times New Roman" w:hAnsi="Times New Roman" w:cs="Times New Roman"/>
          <w:i/>
          <w:iCs/>
          <w:sz w:val="24"/>
          <w:szCs w:val="24"/>
        </w:rPr>
        <w:t>p</w:t>
      </w:r>
      <w:r>
        <w:rPr>
          <w:rFonts w:ascii="Times New Roman" w:hAnsi="Times New Roman" w:cs="Times New Roman"/>
          <w:sz w:val="24"/>
          <w:szCs w:val="24"/>
        </w:rPr>
        <w:t xml:space="preserve"> &lt; .001. Confidence in assessing airway, breathing, and circulation (ABCs) had a significant positive relationship with overall confidence level, </w:t>
      </w:r>
      <w:r>
        <w:rPr>
          <w:rFonts w:ascii="Times New Roman" w:hAnsi="Times New Roman" w:cs="Times New Roman"/>
          <w:i/>
          <w:iCs/>
          <w:sz w:val="24"/>
          <w:szCs w:val="24"/>
        </w:rPr>
        <w:t xml:space="preserve">r </w:t>
      </w:r>
      <w:r>
        <w:rPr>
          <w:rFonts w:ascii="Times New Roman" w:hAnsi="Times New Roman" w:cs="Times New Roman"/>
          <w:sz w:val="24"/>
          <w:szCs w:val="24"/>
        </w:rPr>
        <w:t xml:space="preserve">(222) = .28, </w:t>
      </w:r>
      <w:r>
        <w:rPr>
          <w:rFonts w:ascii="Times New Roman" w:hAnsi="Times New Roman" w:cs="Times New Roman"/>
          <w:i/>
          <w:iCs/>
          <w:sz w:val="24"/>
          <w:szCs w:val="24"/>
        </w:rPr>
        <w:t>p</w:t>
      </w:r>
      <w:r>
        <w:rPr>
          <w:rFonts w:ascii="Times New Roman" w:hAnsi="Times New Roman" w:cs="Times New Roman"/>
          <w:sz w:val="24"/>
          <w:szCs w:val="24"/>
        </w:rPr>
        <w:t xml:space="preserve"> &lt; .001.</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Confidence level was moderately correlated with knowledge, </w:t>
      </w:r>
      <w:r>
        <w:rPr>
          <w:rFonts w:ascii="Times New Roman" w:hAnsi="Times New Roman" w:cs="Times New Roman"/>
          <w:i/>
          <w:iCs/>
          <w:sz w:val="24"/>
          <w:szCs w:val="24"/>
        </w:rPr>
        <w:t xml:space="preserve">r </w:t>
      </w:r>
      <w:r>
        <w:rPr>
          <w:rFonts w:ascii="Times New Roman" w:hAnsi="Times New Roman" w:cs="Times New Roman"/>
          <w:sz w:val="24"/>
          <w:szCs w:val="24"/>
        </w:rPr>
        <w:t xml:space="preserve">(222) = .71, </w:t>
      </w:r>
      <w:r>
        <w:rPr>
          <w:rFonts w:ascii="Times New Roman" w:hAnsi="Times New Roman" w:cs="Times New Roman"/>
          <w:i/>
          <w:iCs/>
          <w:sz w:val="24"/>
          <w:szCs w:val="24"/>
        </w:rPr>
        <w:t>p</w:t>
      </w:r>
      <w:r>
        <w:rPr>
          <w:rFonts w:ascii="Times New Roman" w:hAnsi="Times New Roman" w:cs="Times New Roman"/>
          <w:sz w:val="24"/>
          <w:szCs w:val="24"/>
        </w:rPr>
        <w:t xml:space="preserve"> &lt; .001, and frequency of emergency skill practice, </w:t>
      </w:r>
      <w:r>
        <w:rPr>
          <w:rFonts w:ascii="Times New Roman" w:hAnsi="Times New Roman" w:cs="Times New Roman"/>
          <w:i/>
          <w:iCs/>
          <w:sz w:val="24"/>
          <w:szCs w:val="24"/>
        </w:rPr>
        <w:t xml:space="preserve">r </w:t>
      </w:r>
      <w:r>
        <w:rPr>
          <w:rFonts w:ascii="Times New Roman" w:hAnsi="Times New Roman" w:cs="Times New Roman"/>
          <w:sz w:val="24"/>
          <w:szCs w:val="24"/>
        </w:rPr>
        <w:t xml:space="preserve">(222) = –.50, </w:t>
      </w:r>
      <w:r>
        <w:rPr>
          <w:rFonts w:ascii="Times New Roman" w:hAnsi="Times New Roman" w:cs="Times New Roman"/>
          <w:i/>
          <w:iCs/>
          <w:sz w:val="24"/>
          <w:szCs w:val="24"/>
        </w:rPr>
        <w:t>p</w:t>
      </w:r>
      <w:r>
        <w:rPr>
          <w:rFonts w:ascii="Times New Roman" w:hAnsi="Times New Roman" w:cs="Times New Roman"/>
          <w:sz w:val="24"/>
          <w:szCs w:val="24"/>
        </w:rPr>
        <w:t xml:space="preserve"> &lt; .001 (note: this negative correlation may require contextual interpretation or checking for reverse-coded items). Age had a negative correlation with confidence level, </w:t>
      </w:r>
      <w:r>
        <w:rPr>
          <w:rFonts w:ascii="Times New Roman" w:hAnsi="Times New Roman" w:cs="Times New Roman"/>
          <w:i/>
          <w:iCs/>
          <w:sz w:val="24"/>
          <w:szCs w:val="24"/>
        </w:rPr>
        <w:t xml:space="preserve">r </w:t>
      </w:r>
      <w:r>
        <w:rPr>
          <w:rFonts w:ascii="Times New Roman" w:hAnsi="Times New Roman" w:cs="Times New Roman"/>
          <w:sz w:val="24"/>
          <w:szCs w:val="24"/>
        </w:rPr>
        <w:t xml:space="preserve">(222) = –.24, </w:t>
      </w:r>
      <w:r>
        <w:rPr>
          <w:rFonts w:ascii="Times New Roman" w:hAnsi="Times New Roman" w:cs="Times New Roman"/>
          <w:i/>
          <w:iCs/>
          <w:sz w:val="24"/>
          <w:szCs w:val="24"/>
        </w:rPr>
        <w:t>p</w:t>
      </w:r>
      <w:r>
        <w:rPr>
          <w:rFonts w:ascii="Times New Roman" w:hAnsi="Times New Roman" w:cs="Times New Roman"/>
          <w:sz w:val="24"/>
          <w:szCs w:val="24"/>
        </w:rPr>
        <w:t xml:space="preserve"> &lt; .001, indicating that older participants tended to report lower confidence levels.</w:t>
      </w:r>
    </w:p>
    <w:p w:rsidR="00304697" w:rsidRDefault="00304697" w:rsidP="00903FC6">
      <w:pPr>
        <w:rPr>
          <w:rFonts w:ascii="Times New Roman" w:hAnsi="Times New Roman" w:cs="Times New Roman"/>
          <w:b/>
          <w:sz w:val="24"/>
          <w:szCs w:val="24"/>
        </w:rPr>
      </w:pPr>
    </w:p>
    <w:p w:rsidR="00903FC6" w:rsidRDefault="00903FC6" w:rsidP="00903FC6">
      <w:pPr>
        <w:rPr>
          <w:rFonts w:ascii="Times New Roman" w:hAnsi="Times New Roman" w:cs="Times New Roman"/>
          <w:b/>
          <w:sz w:val="24"/>
          <w:szCs w:val="24"/>
        </w:rPr>
      </w:pPr>
      <w:r>
        <w:rPr>
          <w:rFonts w:ascii="Times New Roman" w:hAnsi="Times New Roman" w:cs="Times New Roman"/>
          <w:b/>
          <w:sz w:val="24"/>
          <w:szCs w:val="24"/>
        </w:rPr>
        <w:t>Additional Relationships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Educational level was positively correlated with participation in emergency drills, </w:t>
      </w:r>
      <w:r>
        <w:rPr>
          <w:rFonts w:ascii="Times New Roman" w:hAnsi="Times New Roman" w:cs="Times New Roman"/>
          <w:i/>
          <w:iCs/>
          <w:sz w:val="24"/>
          <w:szCs w:val="24"/>
        </w:rPr>
        <w:t xml:space="preserve">r </w:t>
      </w:r>
      <w:r>
        <w:rPr>
          <w:rFonts w:ascii="Times New Roman" w:hAnsi="Times New Roman" w:cs="Times New Roman"/>
          <w:sz w:val="24"/>
          <w:szCs w:val="24"/>
        </w:rPr>
        <w:t xml:space="preserve">(222) = .58, p &lt; .001, and the frequency of emergency skill practice, r(222) = –.42, </w:t>
      </w:r>
      <w:r>
        <w:rPr>
          <w:rFonts w:ascii="Times New Roman" w:hAnsi="Times New Roman" w:cs="Times New Roman"/>
          <w:i/>
          <w:iCs/>
          <w:sz w:val="24"/>
          <w:szCs w:val="24"/>
        </w:rPr>
        <w:t>p</w:t>
      </w:r>
      <w:r>
        <w:rPr>
          <w:rFonts w:ascii="Times New Roman" w:hAnsi="Times New Roman" w:cs="Times New Roman"/>
          <w:sz w:val="24"/>
          <w:szCs w:val="24"/>
        </w:rPr>
        <w:t xml:space="preserve"> &lt; .001. Gender showed strong associations with several variables, including a negative correlation with educational </w:t>
      </w:r>
      <w:r>
        <w:rPr>
          <w:rFonts w:ascii="Times New Roman" w:hAnsi="Times New Roman" w:cs="Times New Roman"/>
          <w:sz w:val="24"/>
          <w:szCs w:val="24"/>
        </w:rPr>
        <w:lastRenderedPageBreak/>
        <w:t xml:space="preserve">level, </w:t>
      </w:r>
      <w:r>
        <w:rPr>
          <w:rFonts w:ascii="Times New Roman" w:hAnsi="Times New Roman" w:cs="Times New Roman"/>
          <w:i/>
          <w:iCs/>
          <w:sz w:val="24"/>
          <w:szCs w:val="24"/>
        </w:rPr>
        <w:t xml:space="preserve">r </w:t>
      </w:r>
      <w:r>
        <w:rPr>
          <w:rFonts w:ascii="Times New Roman" w:hAnsi="Times New Roman" w:cs="Times New Roman"/>
          <w:sz w:val="24"/>
          <w:szCs w:val="24"/>
        </w:rPr>
        <w:t xml:space="preserve">(222) = –.49, </w:t>
      </w:r>
      <w:r>
        <w:rPr>
          <w:rFonts w:ascii="Times New Roman" w:hAnsi="Times New Roman" w:cs="Times New Roman"/>
          <w:i/>
          <w:iCs/>
          <w:sz w:val="24"/>
          <w:szCs w:val="24"/>
        </w:rPr>
        <w:t>p</w:t>
      </w:r>
      <w:r>
        <w:rPr>
          <w:rFonts w:ascii="Times New Roman" w:hAnsi="Times New Roman" w:cs="Times New Roman"/>
          <w:sz w:val="24"/>
          <w:szCs w:val="24"/>
        </w:rPr>
        <w:t xml:space="preserve"> &lt; .001, and a positive correlation with frequency of emergency cases, </w:t>
      </w:r>
      <w:r>
        <w:rPr>
          <w:rFonts w:ascii="Times New Roman" w:hAnsi="Times New Roman" w:cs="Times New Roman"/>
          <w:i/>
          <w:iCs/>
          <w:sz w:val="24"/>
          <w:szCs w:val="24"/>
        </w:rPr>
        <w:t xml:space="preserve">r </w:t>
      </w:r>
      <w:r>
        <w:rPr>
          <w:rFonts w:ascii="Times New Roman" w:hAnsi="Times New Roman" w:cs="Times New Roman"/>
          <w:sz w:val="24"/>
          <w:szCs w:val="24"/>
        </w:rPr>
        <w:t xml:space="preserve">(222) = .48, </w:t>
      </w:r>
      <w:r>
        <w:rPr>
          <w:rFonts w:ascii="Times New Roman" w:hAnsi="Times New Roman" w:cs="Times New Roman"/>
          <w:i/>
          <w:iCs/>
          <w:sz w:val="24"/>
          <w:szCs w:val="24"/>
        </w:rPr>
        <w:t>p</w:t>
      </w:r>
      <w:r>
        <w:rPr>
          <w:rFonts w:ascii="Times New Roman" w:hAnsi="Times New Roman" w:cs="Times New Roman"/>
          <w:sz w:val="24"/>
          <w:szCs w:val="24"/>
        </w:rPr>
        <w:t xml:space="preserve"> &lt; .001.</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Taken together, the results indicate that training exposure, educational background, and institutional factors have a significant influence on confidence in emergency management. These findings underscore the importance of structured emergency training and regular practice in enhancing preparedness among healthcare professionals.</w:t>
      </w:r>
    </w:p>
    <w:p w:rsidR="00903FC6" w:rsidRDefault="00903FC6" w:rsidP="00903FC6">
      <w:pPr>
        <w:rPr>
          <w:rFonts w:ascii="Times New Roman" w:hAnsi="Times New Roman" w:cs="Times New Roman"/>
          <w:b/>
          <w:sz w:val="24"/>
          <w:szCs w:val="24"/>
          <w:u w:val="single"/>
        </w:rPr>
      </w:pPr>
      <w:r>
        <w:rPr>
          <w:rFonts w:ascii="Times New Roman" w:hAnsi="Times New Roman" w:cs="Times New Roman"/>
          <w:b/>
          <w:sz w:val="24"/>
          <w:szCs w:val="24"/>
        </w:rPr>
        <w:t xml:space="preserve">3.2  </w:t>
      </w:r>
      <w:r>
        <w:rPr>
          <w:rFonts w:ascii="Times New Roman" w:hAnsi="Times New Roman" w:cs="Times New Roman"/>
          <w:b/>
          <w:sz w:val="24"/>
          <w:szCs w:val="24"/>
          <w:u w:val="single"/>
        </w:rPr>
        <w:t xml:space="preserve"> To determine the availability of emergency care resources (equipment, drugs, and personnel).</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Figure1</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The Availability of Emergency Equipment in the Health Institutions</w:t>
      </w:r>
    </w:p>
    <w:p w:rsidR="00903FC6" w:rsidRDefault="00903FC6" w:rsidP="00903FC6">
      <w:pPr>
        <w:rPr>
          <w:rFonts w:ascii="Times New Roman" w:hAnsi="Times New Roman" w:cs="Times New Roman"/>
          <w:b/>
          <w:bCs/>
          <w:sz w:val="24"/>
          <w:szCs w:val="24"/>
        </w:rPr>
      </w:pPr>
      <w:r>
        <w:rPr>
          <w:noProof/>
        </w:rPr>
        <w:drawing>
          <wp:inline distT="0" distB="0" distL="0" distR="0">
            <wp:extent cx="4581525" cy="2752725"/>
            <wp:effectExtent l="0" t="0" r="9525" b="9525"/>
            <wp:docPr id="1882866560" name="Chart 1882866560">
              <a:extLst xmlns:a="http://schemas.openxmlformats.org/drawingml/2006/main">
                <a:ext uri="{FF2B5EF4-FFF2-40B4-BE49-F238E27FC236}">
                  <a16:creationId xmlns:a16="http://schemas.microsoft.com/office/drawing/2014/main" id="{31403BC8-6858-CA48-5CFC-5F4EA8E308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3FC6" w:rsidRDefault="00903FC6" w:rsidP="00903FC6">
      <w:pPr>
        <w:rPr>
          <w:rFonts w:ascii="Times New Roman" w:hAnsi="Times New Roman" w:cs="Times New Roman"/>
          <w:b/>
          <w:bCs/>
          <w:sz w:val="24"/>
          <w:szCs w:val="24"/>
        </w:rPr>
      </w:pP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Source of Data: Field</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The above figue 1, illustrates the nurses' perception of the availability of emergency equipment at their various facilities. Two hundred and twenty-four (224) nurses rated the availability of key emergency equipment across their respective health facilities.</w:t>
      </w:r>
    </w:p>
    <w:p w:rsidR="00903FC6" w:rsidRDefault="00903FC6" w:rsidP="00903FC6">
      <w:pPr>
        <w:rPr>
          <w:rFonts w:ascii="Times New Roman" w:hAnsi="Times New Roman" w:cs="Times New Roman"/>
          <w:sz w:val="24"/>
          <w:szCs w:val="24"/>
        </w:rPr>
      </w:pPr>
      <w:r>
        <w:rPr>
          <w:rFonts w:ascii="Times New Roman" w:hAnsi="Times New Roman" w:cs="Times New Roman"/>
          <w:bCs/>
          <w:sz w:val="24"/>
          <w:szCs w:val="24"/>
        </w:rPr>
        <w:t>Firstly, it was observed that First Aid Kits</w:t>
      </w:r>
      <w:r>
        <w:rPr>
          <w:rFonts w:ascii="Times New Roman" w:hAnsi="Times New Roman" w:cs="Times New Roman"/>
          <w:sz w:val="24"/>
          <w:szCs w:val="24"/>
        </w:rPr>
        <w:t xml:space="preserve"> have the largest proportion of nurses (70%) who rated it as nonavailable. A smaller percentage (30%) rated as available (good). Secondly, regarding </w:t>
      </w:r>
      <w:r>
        <w:rPr>
          <w:rFonts w:ascii="Times New Roman" w:hAnsi="Times New Roman" w:cs="Times New Roman"/>
          <w:bCs/>
          <w:sz w:val="24"/>
          <w:szCs w:val="24"/>
        </w:rPr>
        <w:t>Automated External Defibrillators (AEDs)</w:t>
      </w:r>
      <w:r>
        <w:rPr>
          <w:rFonts w:ascii="Times New Roman" w:hAnsi="Times New Roman" w:cs="Times New Roman"/>
          <w:sz w:val="24"/>
          <w:szCs w:val="24"/>
        </w:rPr>
        <w:t>, 95% of participants indicated (</w:t>
      </w:r>
      <w:r>
        <w:rPr>
          <w:rFonts w:ascii="Times New Roman" w:hAnsi="Times New Roman" w:cs="Times New Roman"/>
          <w:i/>
          <w:iCs/>
          <w:sz w:val="24"/>
          <w:szCs w:val="24"/>
        </w:rPr>
        <w:t>very poor)</w:t>
      </w:r>
      <w:r>
        <w:rPr>
          <w:rFonts w:ascii="Times New Roman" w:hAnsi="Times New Roman" w:cs="Times New Roman"/>
          <w:sz w:val="24"/>
          <w:szCs w:val="24"/>
        </w:rPr>
        <w:t xml:space="preserve"> nonavailable, making it the equipment with the highest negative response.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For </w:t>
      </w:r>
      <w:r>
        <w:rPr>
          <w:rFonts w:ascii="Times New Roman" w:hAnsi="Times New Roman" w:cs="Times New Roman"/>
          <w:bCs/>
          <w:sz w:val="24"/>
          <w:szCs w:val="24"/>
        </w:rPr>
        <w:t>Stretchers</w:t>
      </w:r>
      <w:r>
        <w:rPr>
          <w:rFonts w:ascii="Times New Roman" w:hAnsi="Times New Roman" w:cs="Times New Roman"/>
          <w:sz w:val="24"/>
          <w:szCs w:val="24"/>
        </w:rPr>
        <w:t xml:space="preserve">, 63% of respondents rated nonavailable (as </w:t>
      </w:r>
      <w:r>
        <w:rPr>
          <w:rFonts w:ascii="Times New Roman" w:hAnsi="Times New Roman" w:cs="Times New Roman"/>
          <w:i/>
          <w:iCs/>
          <w:sz w:val="24"/>
          <w:szCs w:val="24"/>
        </w:rPr>
        <w:t>very poor)</w:t>
      </w:r>
      <w:r>
        <w:rPr>
          <w:rFonts w:ascii="Times New Roman" w:hAnsi="Times New Roman" w:cs="Times New Roman"/>
          <w:sz w:val="24"/>
          <w:szCs w:val="24"/>
        </w:rPr>
        <w:t xml:space="preserve">, while 37% indicated it was available. In terms of </w:t>
      </w:r>
      <w:r>
        <w:rPr>
          <w:rFonts w:ascii="Times New Roman" w:hAnsi="Times New Roman" w:cs="Times New Roman"/>
          <w:bCs/>
          <w:sz w:val="24"/>
          <w:szCs w:val="24"/>
        </w:rPr>
        <w:t>Oxygen Supplies</w:t>
      </w:r>
      <w:r>
        <w:rPr>
          <w:rFonts w:ascii="Times New Roman" w:hAnsi="Times New Roman" w:cs="Times New Roman"/>
          <w:sz w:val="24"/>
          <w:szCs w:val="24"/>
        </w:rPr>
        <w:t xml:space="preserve">, 37.2% of the nurses rated their availability (as </w:t>
      </w:r>
      <w:r>
        <w:rPr>
          <w:rFonts w:ascii="Times New Roman" w:hAnsi="Times New Roman" w:cs="Times New Roman"/>
          <w:i/>
          <w:iCs/>
          <w:sz w:val="24"/>
          <w:szCs w:val="24"/>
        </w:rPr>
        <w:t>good)</w:t>
      </w:r>
      <w:r>
        <w:rPr>
          <w:rFonts w:ascii="Times New Roman" w:hAnsi="Times New Roman" w:cs="Times New Roman"/>
          <w:sz w:val="24"/>
          <w:szCs w:val="24"/>
        </w:rPr>
        <w:t xml:space="preserve">. A notable 62.8% of respondents rated oxygen supply as nonavailable (as </w:t>
      </w:r>
      <w:r>
        <w:rPr>
          <w:rFonts w:ascii="Times New Roman" w:hAnsi="Times New Roman" w:cs="Times New Roman"/>
          <w:i/>
          <w:iCs/>
          <w:sz w:val="24"/>
          <w:szCs w:val="24"/>
        </w:rPr>
        <w:t>poor)</w:t>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lastRenderedPageBreak/>
        <w:t xml:space="preserve">Regarding </w:t>
      </w:r>
      <w:r>
        <w:rPr>
          <w:rFonts w:ascii="Times New Roman" w:hAnsi="Times New Roman" w:cs="Times New Roman"/>
          <w:bCs/>
          <w:sz w:val="24"/>
          <w:szCs w:val="24"/>
        </w:rPr>
        <w:t>Suction Devices</w:t>
      </w:r>
      <w:r>
        <w:rPr>
          <w:rFonts w:ascii="Times New Roman" w:hAnsi="Times New Roman" w:cs="Times New Roman"/>
          <w:sz w:val="24"/>
          <w:szCs w:val="24"/>
        </w:rPr>
        <w:t>, more than half of the participants (80.2%) reported nonavailable (</w:t>
      </w:r>
      <w:r>
        <w:rPr>
          <w:rFonts w:ascii="Times New Roman" w:hAnsi="Times New Roman" w:cs="Times New Roman"/>
          <w:i/>
          <w:iCs/>
          <w:sz w:val="24"/>
          <w:szCs w:val="24"/>
        </w:rPr>
        <w:t>very poor),</w:t>
      </w:r>
      <w:r>
        <w:rPr>
          <w:rFonts w:ascii="Times New Roman" w:hAnsi="Times New Roman" w:cs="Times New Roman"/>
          <w:sz w:val="24"/>
          <w:szCs w:val="24"/>
        </w:rPr>
        <w:t xml:space="preserve"> and 19.8% reported as available.</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These findings highlight differing levels of emergency equipment availability across PHC facilities. While oxygen supplies showed relatively better availability, equipment such as AEDs and suction devices were most frequently reported as being </w:t>
      </w:r>
      <w:r>
        <w:rPr>
          <w:rFonts w:ascii="Times New Roman" w:hAnsi="Times New Roman" w:cs="Times New Roman"/>
          <w:i/>
          <w:iCs/>
          <w:sz w:val="24"/>
          <w:szCs w:val="24"/>
        </w:rPr>
        <w:t>very poorly</w:t>
      </w:r>
      <w:r>
        <w:rPr>
          <w:rFonts w:ascii="Times New Roman" w:hAnsi="Times New Roman" w:cs="Times New Roman"/>
          <w:sz w:val="24"/>
          <w:szCs w:val="24"/>
        </w:rPr>
        <w:t xml:space="preserve"> available.</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Figure 2</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Availability of essential emergency supplies</w:t>
      </w:r>
    </w:p>
    <w:p w:rsidR="00903FC6" w:rsidRDefault="00903FC6" w:rsidP="00903FC6">
      <w:pPr>
        <w:rPr>
          <w:rFonts w:ascii="Times New Roman" w:hAnsi="Times New Roman" w:cs="Times New Roman"/>
          <w:sz w:val="24"/>
          <w:szCs w:val="24"/>
        </w:rPr>
      </w:pPr>
      <w:r>
        <w:rPr>
          <w:noProof/>
        </w:rPr>
        <w:drawing>
          <wp:inline distT="0" distB="0" distL="0" distR="0">
            <wp:extent cx="4581525" cy="2752725"/>
            <wp:effectExtent l="0" t="0" r="9525" b="9525"/>
            <wp:docPr id="133774482" name="Chart 133774482">
              <a:extLst xmlns:a="http://schemas.openxmlformats.org/drawingml/2006/main">
                <a:ext uri="{FF2B5EF4-FFF2-40B4-BE49-F238E27FC236}">
                  <a16:creationId xmlns:a16="http://schemas.microsoft.com/office/drawing/2014/main" id="{31403BC8-6858-CA48-5CFC-5F4EA8E308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Source: Field Data, 2025</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Analysis of Emergency Supply Availability Based on Nurses’ Responses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As part of a broader look into the readiness of health institutions to handle emergencies, nurses were asked to share their experiences regarding the availability of key clinical medical supplies.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Starting with </w:t>
      </w:r>
      <w:r>
        <w:rPr>
          <w:rFonts w:ascii="Times New Roman" w:hAnsi="Times New Roman" w:cs="Times New Roman"/>
          <w:b/>
          <w:bCs/>
          <w:sz w:val="24"/>
          <w:szCs w:val="24"/>
        </w:rPr>
        <w:t>IV Fluids</w:t>
      </w:r>
      <w:r>
        <w:rPr>
          <w:rFonts w:ascii="Times New Roman" w:hAnsi="Times New Roman" w:cs="Times New Roman"/>
          <w:sz w:val="24"/>
          <w:szCs w:val="24"/>
        </w:rPr>
        <w:t xml:space="preserve">, only 27 nurses (about 12%) said these were </w:t>
      </w:r>
      <w:r>
        <w:rPr>
          <w:rFonts w:ascii="Times New Roman" w:hAnsi="Times New Roman" w:cs="Times New Roman"/>
          <w:iCs/>
          <w:sz w:val="24"/>
          <w:szCs w:val="24"/>
        </w:rPr>
        <w:t>always available</w:t>
      </w:r>
      <w:r>
        <w:rPr>
          <w:rFonts w:ascii="Times New Roman" w:hAnsi="Times New Roman" w:cs="Times New Roman"/>
          <w:sz w:val="24"/>
          <w:szCs w:val="24"/>
        </w:rPr>
        <w:t xml:space="preserve">, while a concerning 197 nurses (88%) stated they were </w:t>
      </w:r>
      <w:r>
        <w:rPr>
          <w:rFonts w:ascii="Times New Roman" w:hAnsi="Times New Roman" w:cs="Times New Roman"/>
          <w:iCs/>
          <w:sz w:val="24"/>
          <w:szCs w:val="24"/>
        </w:rPr>
        <w:t>never available</w:t>
      </w:r>
      <w:r>
        <w:rPr>
          <w:rFonts w:ascii="Times New Roman" w:hAnsi="Times New Roman" w:cs="Times New Roman"/>
          <w:sz w:val="24"/>
          <w:szCs w:val="24"/>
        </w:rPr>
        <w:t>. This suggests that although some facilities are reliably stocked, a significant number are not, which could delay or compromise patient care during fluid resuscitation or emergencies.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Responses about </w:t>
      </w:r>
      <w:r>
        <w:rPr>
          <w:rFonts w:ascii="Times New Roman" w:hAnsi="Times New Roman" w:cs="Times New Roman"/>
          <w:b/>
          <w:bCs/>
          <w:sz w:val="24"/>
          <w:szCs w:val="24"/>
        </w:rPr>
        <w:t>IV Equipment</w:t>
      </w:r>
      <w:r>
        <w:rPr>
          <w:rFonts w:ascii="Times New Roman" w:hAnsi="Times New Roman" w:cs="Times New Roman"/>
          <w:sz w:val="24"/>
          <w:szCs w:val="24"/>
        </w:rPr>
        <w:t xml:space="preserve"> showed a slightly different pattern. Only 56 nurses (25.2%) indicated it was </w:t>
      </w:r>
      <w:r>
        <w:rPr>
          <w:rFonts w:ascii="Times New Roman" w:hAnsi="Times New Roman" w:cs="Times New Roman"/>
          <w:iCs/>
          <w:sz w:val="24"/>
          <w:szCs w:val="24"/>
        </w:rPr>
        <w:t>always available</w:t>
      </w:r>
      <w:r>
        <w:rPr>
          <w:rFonts w:ascii="Times New Roman" w:hAnsi="Times New Roman" w:cs="Times New Roman"/>
          <w:sz w:val="24"/>
          <w:szCs w:val="24"/>
        </w:rPr>
        <w:t xml:space="preserve">, while 168 others (74.8%) said it was </w:t>
      </w:r>
      <w:r>
        <w:rPr>
          <w:rFonts w:ascii="Times New Roman" w:hAnsi="Times New Roman" w:cs="Times New Roman"/>
          <w:iCs/>
          <w:sz w:val="24"/>
          <w:szCs w:val="24"/>
        </w:rPr>
        <w:t>never available</w:t>
      </w:r>
      <w:r>
        <w:rPr>
          <w:rFonts w:ascii="Times New Roman" w:hAnsi="Times New Roman" w:cs="Times New Roman"/>
          <w:sz w:val="24"/>
          <w:szCs w:val="24"/>
        </w:rPr>
        <w:t>. These findings imply that inconsistency in IV equipment access is a widespread issue, affecting nurses' ability to start or maintain IV therapy efficiently.</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Regarding </w:t>
      </w:r>
      <w:r>
        <w:rPr>
          <w:rFonts w:ascii="Times New Roman" w:hAnsi="Times New Roman" w:cs="Times New Roman"/>
          <w:b/>
          <w:bCs/>
          <w:sz w:val="24"/>
          <w:szCs w:val="24"/>
        </w:rPr>
        <w:t>Oxygen Supplies</w:t>
      </w:r>
      <w:r>
        <w:rPr>
          <w:rFonts w:ascii="Times New Roman" w:hAnsi="Times New Roman" w:cs="Times New Roman"/>
          <w:sz w:val="24"/>
          <w:szCs w:val="24"/>
        </w:rPr>
        <w:t xml:space="preserve">, the availability picture was not different from the others. Seventy nurses (31%) reported </w:t>
      </w:r>
      <w:r>
        <w:rPr>
          <w:rFonts w:ascii="Times New Roman" w:hAnsi="Times New Roman" w:cs="Times New Roman"/>
          <w:iCs/>
          <w:sz w:val="24"/>
          <w:szCs w:val="24"/>
        </w:rPr>
        <w:t>always having access</w:t>
      </w:r>
      <w:r>
        <w:rPr>
          <w:rFonts w:ascii="Times New Roman" w:hAnsi="Times New Roman" w:cs="Times New Roman"/>
          <w:sz w:val="24"/>
          <w:szCs w:val="24"/>
        </w:rPr>
        <w:t xml:space="preserve"> to oxygen, while 154 (69%) said it was </w:t>
      </w:r>
      <w:r>
        <w:rPr>
          <w:rFonts w:ascii="Times New Roman" w:hAnsi="Times New Roman" w:cs="Times New Roman"/>
          <w:iCs/>
          <w:sz w:val="24"/>
          <w:szCs w:val="24"/>
        </w:rPr>
        <w:t xml:space="preserve">never </w:t>
      </w:r>
      <w:r>
        <w:rPr>
          <w:rFonts w:ascii="Times New Roman" w:hAnsi="Times New Roman" w:cs="Times New Roman"/>
          <w:iCs/>
          <w:sz w:val="24"/>
          <w:szCs w:val="24"/>
        </w:rPr>
        <w:lastRenderedPageBreak/>
        <w:t>available</w:t>
      </w:r>
      <w:r>
        <w:rPr>
          <w:rFonts w:ascii="Times New Roman" w:hAnsi="Times New Roman" w:cs="Times New Roman"/>
          <w:sz w:val="24"/>
          <w:szCs w:val="24"/>
        </w:rPr>
        <w:t>. This response may reflect poor supply levels across various departments or facilities, with some institutions better equipped than others.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On the availability of </w:t>
      </w:r>
      <w:r>
        <w:rPr>
          <w:rFonts w:ascii="Times New Roman" w:hAnsi="Times New Roman" w:cs="Times New Roman"/>
          <w:b/>
          <w:bCs/>
          <w:sz w:val="24"/>
          <w:szCs w:val="24"/>
        </w:rPr>
        <w:t>Blood Products</w:t>
      </w:r>
      <w:r>
        <w:rPr>
          <w:rFonts w:ascii="Times New Roman" w:hAnsi="Times New Roman" w:cs="Times New Roman"/>
          <w:sz w:val="24"/>
          <w:szCs w:val="24"/>
        </w:rPr>
        <w:t xml:space="preserve">, where a majority—210 nurses (93.7%)—reported that they were unavailable. Only 14 nurses each (6.3%) said blood products were </w:t>
      </w:r>
      <w:r>
        <w:rPr>
          <w:rFonts w:ascii="Times New Roman" w:hAnsi="Times New Roman" w:cs="Times New Roman"/>
          <w:iCs/>
          <w:sz w:val="24"/>
          <w:szCs w:val="24"/>
        </w:rPr>
        <w:t>sometimes</w:t>
      </w:r>
      <w:r>
        <w:rPr>
          <w:rFonts w:ascii="Times New Roman" w:hAnsi="Times New Roman" w:cs="Times New Roman"/>
          <w:sz w:val="24"/>
          <w:szCs w:val="24"/>
        </w:rPr>
        <w:t xml:space="preserve"> or </w:t>
      </w:r>
      <w:r>
        <w:rPr>
          <w:rFonts w:ascii="Times New Roman" w:hAnsi="Times New Roman" w:cs="Times New Roman"/>
          <w:iCs/>
          <w:sz w:val="24"/>
          <w:szCs w:val="24"/>
        </w:rPr>
        <w:t>rarely available</w:t>
      </w:r>
      <w:r>
        <w:rPr>
          <w:rFonts w:ascii="Times New Roman" w:hAnsi="Times New Roman" w:cs="Times New Roman"/>
          <w:sz w:val="24"/>
          <w:szCs w:val="24"/>
        </w:rPr>
        <w:t>. This suggests that there is a major challenge in the areas, most facilities seem to have no access to blood for transfusion, which is critical in trauma, surgery, and obstetric care.</w:t>
      </w:r>
    </w:p>
    <w:p w:rsidR="00903FC6" w:rsidRDefault="00903FC6" w:rsidP="00903FC6">
      <w:pPr>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To assess the training and preparedness of nurses and midwives in managing emergencies.</w:t>
      </w:r>
    </w:p>
    <w:p w:rsidR="00903FC6" w:rsidRPr="009910D6" w:rsidRDefault="00903FC6" w:rsidP="00903FC6">
      <w:pPr>
        <w:rPr>
          <w:rFonts w:ascii="Times New Roman" w:hAnsi="Times New Roman" w:cs="Times New Roman"/>
          <w:b/>
          <w:bCs/>
          <w:sz w:val="24"/>
          <w:szCs w:val="24"/>
        </w:rPr>
      </w:pPr>
      <w:r>
        <w:rPr>
          <w:rFonts w:ascii="Times New Roman" w:hAnsi="Times New Roman" w:cs="Times New Roman"/>
          <w:sz w:val="24"/>
          <w:szCs w:val="24"/>
        </w:rPr>
        <w:t>The results of respondents' obtain on emergency preparedness and challenges among nurses and midwives are presented in the tables below.</w:t>
      </w:r>
    </w:p>
    <w:p w:rsidR="00903FC6" w:rsidRDefault="00903FC6" w:rsidP="00903FC6">
      <w:pPr>
        <w:rPr>
          <w:rFonts w:ascii="Times New Roman" w:hAnsi="Times New Roman" w:cs="Times New Roman"/>
          <w:sz w:val="24"/>
          <w:szCs w:val="24"/>
          <w:lang w:val="en-GB"/>
        </w:rPr>
      </w:pPr>
      <w:r>
        <w:rPr>
          <w:rFonts w:ascii="Times New Roman" w:hAnsi="Times New Roman" w:cs="Times New Roman"/>
          <w:sz w:val="24"/>
          <w:szCs w:val="24"/>
          <w:lang w:val="en-GB"/>
        </w:rPr>
        <w:t>Table 3.On Training and preparedness of nurses and midwives, their Demographic and other variablesTraining. (N=224)</w:t>
      </w:r>
    </w:p>
    <w:tbl>
      <w:tblPr>
        <w:tblStyle w:val="TableGrid"/>
        <w:tblW w:w="0" w:type="dxa"/>
        <w:tblInd w:w="0" w:type="dxa"/>
        <w:tblLayout w:type="fixed"/>
        <w:tblLook w:val="04A0" w:firstRow="1" w:lastRow="0" w:firstColumn="1" w:lastColumn="0" w:noHBand="0" w:noVBand="1"/>
      </w:tblPr>
      <w:tblGrid>
        <w:gridCol w:w="3516"/>
        <w:gridCol w:w="3004"/>
        <w:gridCol w:w="1769"/>
        <w:gridCol w:w="1412"/>
      </w:tblGrid>
      <w:tr w:rsidR="00903FC6" w:rsidTr="00903FC6">
        <w:trPr>
          <w:trHeight w:val="167"/>
        </w:trPr>
        <w:tc>
          <w:tcPr>
            <w:tcW w:w="3516"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Variable</w:t>
            </w:r>
          </w:p>
        </w:tc>
        <w:tc>
          <w:tcPr>
            <w:tcW w:w="3004"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Response Category</w:t>
            </w:r>
          </w:p>
        </w:tc>
        <w:tc>
          <w:tcPr>
            <w:tcW w:w="1769"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Frequency</w:t>
            </w:r>
          </w:p>
        </w:tc>
        <w:tc>
          <w:tcPr>
            <w:tcW w:w="1412"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Percent (%)</w:t>
            </w:r>
          </w:p>
        </w:tc>
      </w:tr>
      <w:tr w:rsidR="00903FC6" w:rsidTr="00903FC6">
        <w:trPr>
          <w:trHeight w:val="100"/>
        </w:trPr>
        <w:tc>
          <w:tcPr>
            <w:tcW w:w="3516" w:type="dxa"/>
            <w:vMerge w:val="restart"/>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Gender of Participants</w:t>
            </w:r>
          </w:p>
        </w:tc>
        <w:tc>
          <w:tcPr>
            <w:tcW w:w="3004"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Male</w:t>
            </w:r>
          </w:p>
        </w:tc>
        <w:tc>
          <w:tcPr>
            <w:tcW w:w="1769"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182</w:t>
            </w:r>
          </w:p>
        </w:tc>
        <w:tc>
          <w:tcPr>
            <w:tcW w:w="1412"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81.3</w:t>
            </w:r>
          </w:p>
        </w:tc>
      </w:tr>
      <w:tr w:rsidR="00903FC6" w:rsidTr="00903FC6">
        <w:trPr>
          <w:trHeight w:val="100"/>
        </w:trPr>
        <w:tc>
          <w:tcPr>
            <w:tcW w:w="3516" w:type="dxa"/>
            <w:vMerge/>
            <w:tcBorders>
              <w:top w:val="single" w:sz="2" w:space="0" w:color="auto"/>
              <w:left w:val="single" w:sz="2" w:space="0" w:color="auto"/>
              <w:bottom w:val="single" w:sz="2" w:space="0" w:color="auto"/>
              <w:right w:val="single" w:sz="2"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Female (or other)</w:t>
            </w:r>
          </w:p>
        </w:tc>
        <w:tc>
          <w:tcPr>
            <w:tcW w:w="1769"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42</w:t>
            </w:r>
          </w:p>
        </w:tc>
        <w:tc>
          <w:tcPr>
            <w:tcW w:w="1412"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18.8</w:t>
            </w:r>
          </w:p>
        </w:tc>
      </w:tr>
      <w:tr w:rsidR="00903FC6" w:rsidTr="00903FC6">
        <w:trPr>
          <w:trHeight w:val="100"/>
        </w:trPr>
        <w:tc>
          <w:tcPr>
            <w:tcW w:w="3516" w:type="dxa"/>
            <w:vMerge w:val="restart"/>
            <w:tcBorders>
              <w:top w:val="single" w:sz="2" w:space="0" w:color="auto"/>
              <w:left w:val="single" w:sz="2" w:space="0" w:color="auto"/>
              <w:bottom w:val="single" w:sz="4"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Educational Level</w:t>
            </w:r>
          </w:p>
        </w:tc>
        <w:tc>
          <w:tcPr>
            <w:tcW w:w="3004"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Bachelor’s Degree</w:t>
            </w:r>
          </w:p>
        </w:tc>
        <w:tc>
          <w:tcPr>
            <w:tcW w:w="1769"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28</w:t>
            </w:r>
          </w:p>
        </w:tc>
        <w:tc>
          <w:tcPr>
            <w:tcW w:w="1412" w:type="dxa"/>
            <w:tcBorders>
              <w:top w:val="single" w:sz="2" w:space="0" w:color="auto"/>
              <w:left w:val="single" w:sz="2" w:space="0" w:color="auto"/>
              <w:bottom w:val="single" w:sz="2" w:space="0" w:color="auto"/>
              <w:right w:val="single" w:sz="2"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12.5</w:t>
            </w:r>
          </w:p>
        </w:tc>
      </w:tr>
      <w:tr w:rsidR="00903FC6" w:rsidTr="00903FC6">
        <w:trPr>
          <w:trHeight w:val="100"/>
        </w:trPr>
        <w:tc>
          <w:tcPr>
            <w:tcW w:w="3516" w:type="dxa"/>
            <w:vMerge/>
            <w:tcBorders>
              <w:top w:val="single" w:sz="2" w:space="0" w:color="auto"/>
              <w:left w:val="single" w:sz="2" w:space="0" w:color="auto"/>
              <w:bottom w:val="single" w:sz="4" w:space="0" w:color="auto"/>
              <w:right w:val="single" w:sz="2"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2"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Certificate</w:t>
            </w:r>
          </w:p>
        </w:tc>
        <w:tc>
          <w:tcPr>
            <w:tcW w:w="1769" w:type="dxa"/>
            <w:tcBorders>
              <w:top w:val="single" w:sz="2"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84</w:t>
            </w:r>
          </w:p>
        </w:tc>
        <w:tc>
          <w:tcPr>
            <w:tcW w:w="1412" w:type="dxa"/>
            <w:tcBorders>
              <w:top w:val="single" w:sz="2"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37.5</w:t>
            </w:r>
          </w:p>
        </w:tc>
      </w:tr>
      <w:tr w:rsidR="00903FC6" w:rsidTr="00903FC6">
        <w:trPr>
          <w:trHeight w:val="100"/>
        </w:trPr>
        <w:tc>
          <w:tcPr>
            <w:tcW w:w="3516" w:type="dxa"/>
            <w:vMerge/>
            <w:tcBorders>
              <w:top w:val="single" w:sz="2" w:space="0" w:color="auto"/>
              <w:left w:val="single" w:sz="2" w:space="0" w:color="auto"/>
              <w:bottom w:val="single" w:sz="4" w:space="0" w:color="auto"/>
              <w:right w:val="single" w:sz="2"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Diploma</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112</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50.0</w:t>
            </w:r>
          </w:p>
        </w:tc>
      </w:tr>
      <w:tr w:rsidR="00903FC6" w:rsidTr="00903FC6">
        <w:trPr>
          <w:trHeight w:val="103"/>
        </w:trPr>
        <w:tc>
          <w:tcPr>
            <w:tcW w:w="3516"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Working Experience</w:t>
            </w: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1–5 years</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112</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50.0</w:t>
            </w:r>
          </w:p>
        </w:tc>
      </w:tr>
      <w:tr w:rsidR="00903FC6" w:rsidTr="00903FC6">
        <w:trPr>
          <w:trHeight w:val="103"/>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6–10 years</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28</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12.5</w:t>
            </w:r>
          </w:p>
        </w:tc>
      </w:tr>
      <w:tr w:rsidR="00903FC6" w:rsidTr="00903FC6">
        <w:trPr>
          <w:trHeight w:val="103"/>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Less than 1 year</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14</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6.3</w:t>
            </w:r>
          </w:p>
        </w:tc>
      </w:tr>
      <w:tr w:rsidR="00903FC6" w:rsidTr="00903FC6">
        <w:trPr>
          <w:trHeight w:val="103"/>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More than 10 years</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70</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31.3</w:t>
            </w:r>
          </w:p>
        </w:tc>
      </w:tr>
      <w:tr w:rsidR="00903FC6" w:rsidTr="00903FC6">
        <w:trPr>
          <w:trHeight w:val="167"/>
        </w:trPr>
        <w:tc>
          <w:tcPr>
            <w:tcW w:w="3516"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Level of Health Institution</w:t>
            </w: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Community Health Post</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28</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12.5</w:t>
            </w:r>
          </w:p>
        </w:tc>
      </w:tr>
      <w:tr w:rsidR="00903FC6" w:rsidTr="00903FC6">
        <w:trPr>
          <w:trHeight w:val="167"/>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Health Center</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196</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87.5</w:t>
            </w:r>
          </w:p>
        </w:tc>
      </w:tr>
      <w:tr w:rsidR="00903FC6" w:rsidTr="00903FC6">
        <w:trPr>
          <w:trHeight w:val="103"/>
        </w:trPr>
        <w:tc>
          <w:tcPr>
            <w:tcW w:w="3516"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Emergency Training Participation</w:t>
            </w: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No</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182</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81.3</w:t>
            </w:r>
          </w:p>
        </w:tc>
      </w:tr>
      <w:tr w:rsidR="00903FC6" w:rsidTr="00903FC6">
        <w:trPr>
          <w:trHeight w:val="103"/>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Yes</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42</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18.7</w:t>
            </w:r>
          </w:p>
        </w:tc>
      </w:tr>
      <w:tr w:rsidR="00903FC6" w:rsidTr="00903FC6">
        <w:trPr>
          <w:trHeight w:val="100"/>
        </w:trPr>
        <w:tc>
          <w:tcPr>
            <w:tcW w:w="3516" w:type="dxa"/>
            <w:tcBorders>
              <w:top w:val="single" w:sz="4" w:space="0" w:color="auto"/>
              <w:left w:val="single" w:sz="4" w:space="0" w:color="auto"/>
              <w:bottom w:val="single" w:sz="4" w:space="0" w:color="auto"/>
              <w:right w:val="single" w:sz="4" w:space="0" w:color="auto"/>
            </w:tcBorders>
          </w:tcPr>
          <w:p w:rsidR="00903FC6" w:rsidRDefault="00903FC6">
            <w:pPr>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tcPr>
          <w:p w:rsidR="00903FC6" w:rsidRDefault="00903FC6">
            <w:pPr>
              <w:rPr>
                <w:rFonts w:ascii="Times New Roman" w:hAnsi="Times New Roman" w:cs="Times New Roman"/>
                <w:sz w:val="24"/>
                <w:szCs w:val="24"/>
              </w:rPr>
            </w:pPr>
          </w:p>
        </w:tc>
        <w:tc>
          <w:tcPr>
            <w:tcW w:w="1769" w:type="dxa"/>
            <w:tcBorders>
              <w:top w:val="single" w:sz="4" w:space="0" w:color="auto"/>
              <w:left w:val="single" w:sz="4" w:space="0" w:color="auto"/>
              <w:bottom w:val="single" w:sz="4" w:space="0" w:color="auto"/>
              <w:right w:val="single" w:sz="4" w:space="0" w:color="auto"/>
            </w:tcBorders>
          </w:tcPr>
          <w:p w:rsidR="00903FC6" w:rsidRDefault="00903FC6">
            <w:pPr>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903FC6" w:rsidRDefault="00903FC6">
            <w:pPr>
              <w:rPr>
                <w:rFonts w:ascii="Times New Roman" w:hAnsi="Times New Roman" w:cs="Times New Roman"/>
                <w:sz w:val="24"/>
                <w:szCs w:val="24"/>
              </w:rPr>
            </w:pPr>
          </w:p>
        </w:tc>
      </w:tr>
      <w:tr w:rsidR="00903FC6" w:rsidTr="00903FC6">
        <w:trPr>
          <w:trHeight w:val="103"/>
        </w:trPr>
        <w:tc>
          <w:tcPr>
            <w:tcW w:w="3516"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Patients’ View of Confidence Level</w:t>
            </w: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Confident</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70</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31.2</w:t>
            </w:r>
          </w:p>
        </w:tc>
      </w:tr>
      <w:tr w:rsidR="00903FC6" w:rsidTr="00903FC6">
        <w:trPr>
          <w:trHeight w:val="103"/>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Not confident</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0.8</w:t>
            </w:r>
          </w:p>
        </w:tc>
      </w:tr>
      <w:tr w:rsidR="00903FC6" w:rsidTr="00903FC6">
        <w:trPr>
          <w:trHeight w:val="103"/>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Neutral</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40</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18</w:t>
            </w:r>
          </w:p>
        </w:tc>
      </w:tr>
      <w:tr w:rsidR="00903FC6" w:rsidTr="00903FC6">
        <w:trPr>
          <w:trHeight w:val="103"/>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Very Confident</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112</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50</w:t>
            </w:r>
          </w:p>
        </w:tc>
      </w:tr>
      <w:tr w:rsidR="00903FC6" w:rsidTr="00903FC6">
        <w:trPr>
          <w:trHeight w:val="56"/>
        </w:trPr>
        <w:tc>
          <w:tcPr>
            <w:tcW w:w="3516"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Ability to evaluate with ABCDE</w:t>
            </w: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Confident</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67</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30</w:t>
            </w:r>
          </w:p>
        </w:tc>
      </w:tr>
      <w:tr w:rsidR="00903FC6" w:rsidTr="00903FC6">
        <w:trPr>
          <w:trHeight w:val="56"/>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Not confident</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14</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6.3</w:t>
            </w:r>
          </w:p>
        </w:tc>
      </w:tr>
      <w:tr w:rsidR="00903FC6" w:rsidTr="00903FC6">
        <w:trPr>
          <w:trHeight w:val="56"/>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Neutral</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100</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44.6</w:t>
            </w:r>
          </w:p>
        </w:tc>
      </w:tr>
      <w:tr w:rsidR="00903FC6" w:rsidTr="00903FC6">
        <w:trPr>
          <w:trHeight w:val="56"/>
        </w:trPr>
        <w:tc>
          <w:tcPr>
            <w:tcW w:w="3516"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Very Confident</w:t>
            </w:r>
          </w:p>
        </w:tc>
        <w:tc>
          <w:tcPr>
            <w:tcW w:w="176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43</w:t>
            </w:r>
          </w:p>
        </w:tc>
        <w:tc>
          <w:tcPr>
            <w:tcW w:w="1412"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19.1</w:t>
            </w:r>
          </w:p>
        </w:tc>
      </w:tr>
    </w:tbl>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Source: Field Data, 2025.</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As shown in Table 3, the demographic profile of the study respondents reveals that the majority were female (81.3%), with males representing only 18.8%. This gender distribution is reflective of the broader composition of the healthcare workforce in many primary care settings, where women predominantly serve in frontline roles. Regarding educational qualifications, half of the respondents (50%) possessed diploma-level training, 37.5% held certificates, and only 12.5% had attained a bachelor’s degree.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In terms of work experience, half of the participants (50%) had been in service for 1 to 5 years. A notable 31.3% had more than 10 years of experience, while 12.5% had worked for 6 to 10 years, and only 6.3% had less than one year of experience. These figures suggest a reasonably experienced workforce, which may contribute positively to emergency care delivery, although continued professional development remains essential.</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Concerning the level of health facilities, a significant majority (87.5%) worked at health centers, while 12.5% were stationed at community health posts. Daily encounters with emergency cases were reported by more than half of the respondents (55.4%), with 32.1% managing emergencies weekly and 12.5% rarely involved in such cases.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Despite frequent encounters with emergencies, only 18.8% of respondents reported having received any form of emergency care training. A concerning 81.3% had not undergone formal emergency training. Nevertheless, half of the respondents (50%) described themselves as very confident in handling emergencies, while 31.3% were somewhat confident, and 18.8% remained neutral. There was a disconnect between high confidence and low training coverage, raising concerns about overestimation of capabilities or informal learning without structured support.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When assessed on their ability to evaluate airway, breathing, and circulation (ABCs), 49.2% reported to be confident or very confident. However, 44.6% remained neutral, and 6.3% indicated a lack of confidence. </w:t>
      </w:r>
    </w:p>
    <w:p w:rsidR="00903FC6" w:rsidRDefault="00903FC6" w:rsidP="00903FC6">
      <w:pPr>
        <w:rPr>
          <w:rFonts w:ascii="Times New Roman" w:hAnsi="Times New Roman" w:cs="Times New Roman"/>
          <w:sz w:val="24"/>
          <w:szCs w:val="24"/>
          <w:lang w:val="en-GB"/>
        </w:rPr>
      </w:pPr>
    </w:p>
    <w:p w:rsidR="009910D6" w:rsidRDefault="009910D6" w:rsidP="00903FC6">
      <w:pPr>
        <w:rPr>
          <w:rFonts w:ascii="Times New Roman" w:hAnsi="Times New Roman" w:cs="Times New Roman"/>
          <w:sz w:val="24"/>
          <w:szCs w:val="24"/>
          <w:lang w:val="en-GB"/>
        </w:rPr>
      </w:pPr>
    </w:p>
    <w:p w:rsidR="00903FC6" w:rsidRDefault="00903FC6" w:rsidP="00903FC6">
      <w:pPr>
        <w:rPr>
          <w:rFonts w:ascii="Times New Roman" w:hAnsi="Times New Roman" w:cs="Times New Roman"/>
          <w:sz w:val="24"/>
          <w:szCs w:val="24"/>
          <w:lang w:val="en-GB"/>
        </w:rPr>
      </w:pPr>
      <w:r>
        <w:rPr>
          <w:rFonts w:ascii="Times New Roman" w:hAnsi="Times New Roman" w:cs="Times New Roman"/>
          <w:sz w:val="24"/>
          <w:szCs w:val="24"/>
          <w:lang w:val="en-GB"/>
        </w:rPr>
        <w:t>Table 4. Training and preparedness of nurses and midwives on ABCDE, protocols, training, and frequency of managing emergency (N=224)</w:t>
      </w:r>
      <w:r>
        <w:rPr>
          <w:rFonts w:ascii="Times New Roman" w:hAnsi="Times New Roman" w:cs="Times New Roman"/>
          <w:sz w:val="24"/>
          <w:szCs w:val="24"/>
        </w:rPr>
        <w:br/>
      </w:r>
    </w:p>
    <w:tbl>
      <w:tblPr>
        <w:tblStyle w:val="TableGrid"/>
        <w:tblW w:w="0" w:type="dxa"/>
        <w:tblInd w:w="0" w:type="dxa"/>
        <w:tblLayout w:type="fixed"/>
        <w:tblLook w:val="04A0" w:firstRow="1" w:lastRow="0" w:firstColumn="1" w:lastColumn="0" w:noHBand="0" w:noVBand="1"/>
      </w:tblPr>
      <w:tblGrid>
        <w:gridCol w:w="3039"/>
        <w:gridCol w:w="3951"/>
        <w:gridCol w:w="1899"/>
        <w:gridCol w:w="1519"/>
      </w:tblGrid>
      <w:tr w:rsidR="00903FC6" w:rsidTr="00903FC6">
        <w:trPr>
          <w:trHeight w:val="300"/>
        </w:trPr>
        <w:tc>
          <w:tcPr>
            <w:tcW w:w="303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lastRenderedPageBreak/>
              <w:t>Variable</w:t>
            </w: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Response Category</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Frequency</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Percent (%)</w:t>
            </w:r>
          </w:p>
        </w:tc>
      </w:tr>
      <w:tr w:rsidR="00903FC6" w:rsidTr="00903FC6">
        <w:trPr>
          <w:trHeight w:val="300"/>
        </w:trPr>
        <w:tc>
          <w:tcPr>
            <w:tcW w:w="3039"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Familiarity with ABCDE in Emergency</w:t>
            </w: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Familiar</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100</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44.6</w:t>
            </w:r>
          </w:p>
        </w:tc>
      </w:tr>
      <w:tr w:rsidR="00903FC6" w:rsidTr="00903FC6">
        <w:trPr>
          <w:trHeight w:val="300"/>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Somewhat Familiar</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84</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37.5</w:t>
            </w:r>
          </w:p>
        </w:tc>
      </w:tr>
      <w:tr w:rsidR="00903FC6" w:rsidTr="00903FC6">
        <w:trPr>
          <w:trHeight w:val="300"/>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Very Familiar</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40</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17.9</w:t>
            </w:r>
          </w:p>
        </w:tc>
      </w:tr>
      <w:tr w:rsidR="00903FC6" w:rsidTr="00903FC6">
        <w:trPr>
          <w:trHeight w:val="196"/>
        </w:trPr>
        <w:tc>
          <w:tcPr>
            <w:tcW w:w="3039"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Availability of emergency care guidelines and protocols</w:t>
            </w: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Available</w:t>
            </w:r>
          </w:p>
        </w:tc>
        <w:tc>
          <w:tcPr>
            <w:tcW w:w="1899" w:type="dxa"/>
            <w:tcBorders>
              <w:top w:val="single" w:sz="4" w:space="0" w:color="auto"/>
              <w:left w:val="single" w:sz="4" w:space="0" w:color="auto"/>
              <w:bottom w:val="single" w:sz="4" w:space="0" w:color="auto"/>
              <w:right w:val="single" w:sz="4" w:space="0" w:color="auto"/>
            </w:tcBorders>
          </w:tcPr>
          <w:p w:rsidR="00903FC6" w:rsidRDefault="00903FC6">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44.6</w:t>
            </w:r>
          </w:p>
        </w:tc>
      </w:tr>
      <w:tr w:rsidR="00903FC6" w:rsidTr="00903FC6">
        <w:trPr>
          <w:trHeight w:val="207"/>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Uncertain</w:t>
            </w:r>
          </w:p>
        </w:tc>
        <w:tc>
          <w:tcPr>
            <w:tcW w:w="1899" w:type="dxa"/>
            <w:tcBorders>
              <w:top w:val="single" w:sz="4" w:space="0" w:color="auto"/>
              <w:left w:val="single" w:sz="4" w:space="0" w:color="auto"/>
              <w:bottom w:val="single" w:sz="4" w:space="0" w:color="auto"/>
              <w:right w:val="single" w:sz="4" w:space="0" w:color="auto"/>
            </w:tcBorders>
          </w:tcPr>
          <w:p w:rsidR="00903FC6" w:rsidRDefault="00903FC6">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12.5</w:t>
            </w:r>
          </w:p>
        </w:tc>
      </w:tr>
      <w:tr w:rsidR="00903FC6" w:rsidTr="00903FC6">
        <w:trPr>
          <w:trHeight w:val="327"/>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Unavailable</w:t>
            </w:r>
          </w:p>
        </w:tc>
        <w:tc>
          <w:tcPr>
            <w:tcW w:w="1899" w:type="dxa"/>
            <w:tcBorders>
              <w:top w:val="single" w:sz="4" w:space="0" w:color="auto"/>
              <w:left w:val="single" w:sz="4" w:space="0" w:color="auto"/>
              <w:bottom w:val="single" w:sz="4" w:space="0" w:color="auto"/>
              <w:right w:val="single" w:sz="4" w:space="0" w:color="auto"/>
            </w:tcBorders>
          </w:tcPr>
          <w:p w:rsidR="00903FC6" w:rsidRDefault="00903FC6">
            <w:pP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42.9</w:t>
            </w:r>
          </w:p>
        </w:tc>
      </w:tr>
      <w:tr w:rsidR="00903FC6" w:rsidTr="00903FC6">
        <w:trPr>
          <w:trHeight w:val="312"/>
        </w:trPr>
        <w:tc>
          <w:tcPr>
            <w:tcW w:w="3039"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Training within Last Two Years</w:t>
            </w: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No</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56</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25.0</w:t>
            </w:r>
          </w:p>
        </w:tc>
      </w:tr>
      <w:tr w:rsidR="00903FC6" w:rsidTr="00903FC6">
        <w:trPr>
          <w:trHeight w:val="312"/>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Not Sure</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28</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12.5</w:t>
            </w:r>
          </w:p>
        </w:tc>
      </w:tr>
      <w:tr w:rsidR="00903FC6" w:rsidTr="00903FC6">
        <w:trPr>
          <w:trHeight w:val="312"/>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Yes</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140</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62.5</w:t>
            </w:r>
          </w:p>
        </w:tc>
      </w:tr>
      <w:tr w:rsidR="00903FC6" w:rsidTr="00903FC6">
        <w:trPr>
          <w:trHeight w:val="300"/>
        </w:trPr>
        <w:tc>
          <w:tcPr>
            <w:tcW w:w="3039"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Frequency of Emergency Assessment by Members</w:t>
            </w: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Rarely</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56</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25.0</w:t>
            </w:r>
          </w:p>
        </w:tc>
      </w:tr>
      <w:tr w:rsidR="00903FC6" w:rsidTr="00903FC6">
        <w:trPr>
          <w:trHeight w:val="300"/>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Daily</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70</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31.3</w:t>
            </w:r>
          </w:p>
        </w:tc>
      </w:tr>
      <w:tr w:rsidR="00903FC6" w:rsidTr="00903FC6">
        <w:trPr>
          <w:trHeight w:val="300"/>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Monthly</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30</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13.4</w:t>
            </w:r>
          </w:p>
        </w:tc>
      </w:tr>
      <w:tr w:rsidR="00903FC6" w:rsidTr="00903FC6">
        <w:trPr>
          <w:trHeight w:val="300"/>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Weekly</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68</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30.4</w:t>
            </w:r>
          </w:p>
        </w:tc>
      </w:tr>
    </w:tbl>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Source: Field Data, 2025.</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On the familiarity with the ABCDEs of emergency care, as shown in Table 4, it was reported by 62.5% of respondents, while 37.5% were only somewhat familiar. These figures suggest that while general awareness of emergency procedures exists, there are significant gaps in depth of knowledge and consistent application.</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Availability of emergency care guidelines and protocols was inconsistent. While 44.6% confirmed the presence of such resources, 42.9% indicated they were unavailable, and 12.5% were uncertain. This lack of clarity and accessibility may contribute to variability in emergency care practices. The practice of emergency skills was infrequent, with only 6.3% reporting regular (at least monthly) practice. More than one-third (37.5%) never practiced emergency skills, 31.3% did so occasionally, and 25% rarely. Limited hands-on practice opportunities may hinder healthcare workers' ability to respond effectively during real emergencies.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Emergency assessments were conducted daily by 31.3% of respondents and weekly by 30.4%, while 25% reported rare assessments and 13.4% assessed emergencies monthly. Although a majority appeared to conduct assessments regularly, one-quarter rarely engaged in this critical activity.</w:t>
      </w:r>
    </w:p>
    <w:p w:rsidR="00903FC6" w:rsidRDefault="00903FC6" w:rsidP="00903FC6">
      <w:pPr>
        <w:rPr>
          <w:rFonts w:ascii="Times New Roman" w:hAnsi="Times New Roman" w:cs="Times New Roman"/>
          <w:sz w:val="24"/>
          <w:szCs w:val="24"/>
          <w:lang w:val="en-GB"/>
        </w:rPr>
      </w:pPr>
      <w:r>
        <w:rPr>
          <w:rFonts w:ascii="Times New Roman" w:hAnsi="Times New Roman" w:cs="Times New Roman"/>
          <w:sz w:val="24"/>
          <w:szCs w:val="24"/>
          <w:lang w:val="en-GB"/>
        </w:rPr>
        <w:t>Table 5. Training and preparedness of nurses and midwives on the variables, support from stakeholders, resources such as transport, referring system, and skills practice. (N=224)</w:t>
      </w:r>
    </w:p>
    <w:tbl>
      <w:tblPr>
        <w:tblStyle w:val="TableGrid"/>
        <w:tblW w:w="10410" w:type="dxa"/>
        <w:tblInd w:w="0" w:type="dxa"/>
        <w:tblLayout w:type="fixed"/>
        <w:tblLook w:val="04A0" w:firstRow="1" w:lastRow="0" w:firstColumn="1" w:lastColumn="0" w:noHBand="0" w:noVBand="1"/>
      </w:tblPr>
      <w:tblGrid>
        <w:gridCol w:w="3040"/>
        <w:gridCol w:w="3952"/>
        <w:gridCol w:w="1899"/>
        <w:gridCol w:w="1519"/>
      </w:tblGrid>
      <w:tr w:rsidR="00903FC6" w:rsidTr="00903FC6">
        <w:trPr>
          <w:trHeight w:val="218"/>
        </w:trPr>
        <w:tc>
          <w:tcPr>
            <w:tcW w:w="303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lastRenderedPageBreak/>
              <w:t>Variable</w:t>
            </w: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Response Category</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Frequency</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b/>
                <w:sz w:val="24"/>
                <w:szCs w:val="24"/>
              </w:rPr>
            </w:pPr>
            <w:r>
              <w:rPr>
                <w:rFonts w:ascii="Times New Roman" w:hAnsi="Times New Roman" w:cs="Times New Roman"/>
                <w:b/>
                <w:sz w:val="24"/>
                <w:szCs w:val="24"/>
              </w:rPr>
              <w:t>Percent (%)</w:t>
            </w:r>
          </w:p>
        </w:tc>
      </w:tr>
      <w:tr w:rsidR="00903FC6" w:rsidTr="00903FC6">
        <w:trPr>
          <w:trHeight w:val="218"/>
        </w:trPr>
        <w:tc>
          <w:tcPr>
            <w:tcW w:w="3039"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Available support and resources during emergencies</w:t>
            </w: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very satisfied</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28</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12.6</w:t>
            </w:r>
          </w:p>
        </w:tc>
      </w:tr>
      <w:tr w:rsidR="00903FC6" w:rsidTr="00903FC6">
        <w:trPr>
          <w:trHeight w:val="218"/>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satisfied</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58</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25.8</w:t>
            </w:r>
          </w:p>
        </w:tc>
      </w:tr>
      <w:tr w:rsidR="00903FC6" w:rsidTr="00903FC6">
        <w:trPr>
          <w:trHeight w:val="130"/>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Neutral</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138</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61.6</w:t>
            </w:r>
          </w:p>
        </w:tc>
      </w:tr>
      <w:tr w:rsidR="00903FC6" w:rsidTr="00903FC6">
        <w:trPr>
          <w:trHeight w:val="193"/>
        </w:trPr>
        <w:tc>
          <w:tcPr>
            <w:tcW w:w="3039"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Transportation challenges during emergencies</w:t>
            </w: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Frequent delays</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54</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24.1</w:t>
            </w:r>
          </w:p>
        </w:tc>
      </w:tr>
      <w:tr w:rsidR="00903FC6" w:rsidTr="00903FC6">
        <w:trPr>
          <w:trHeight w:val="207"/>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Occasional delays</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142</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63.4</w:t>
            </w:r>
          </w:p>
        </w:tc>
      </w:tr>
      <w:tr w:rsidR="00903FC6" w:rsidTr="00903FC6">
        <w:trPr>
          <w:trHeight w:val="163"/>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Rarely delays</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28</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12.5</w:t>
            </w:r>
          </w:p>
        </w:tc>
      </w:tr>
      <w:tr w:rsidR="00903FC6" w:rsidTr="00903FC6">
        <w:trPr>
          <w:trHeight w:val="300"/>
        </w:trPr>
        <w:tc>
          <w:tcPr>
            <w:tcW w:w="3039" w:type="dxa"/>
            <w:vMerge w:val="restart"/>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Frequency of Emergency Skill Practice</w:t>
            </w: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Occasionally (Few times/year)</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70</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31.3</w:t>
            </w:r>
          </w:p>
        </w:tc>
      </w:tr>
      <w:tr w:rsidR="00903FC6" w:rsidTr="00903FC6">
        <w:trPr>
          <w:trHeight w:val="312"/>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Rarely</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56</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25.0</w:t>
            </w:r>
          </w:p>
        </w:tc>
      </w:tr>
      <w:tr w:rsidR="00903FC6" w:rsidTr="00903FC6">
        <w:trPr>
          <w:trHeight w:val="323"/>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Frequently (Monthly)</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14</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6.3</w:t>
            </w:r>
          </w:p>
        </w:tc>
      </w:tr>
      <w:tr w:rsidR="00903FC6" w:rsidTr="00903FC6">
        <w:trPr>
          <w:trHeight w:val="312"/>
        </w:trPr>
        <w:tc>
          <w:tcPr>
            <w:tcW w:w="3039" w:type="dxa"/>
            <w:vMerge/>
            <w:tcBorders>
              <w:top w:val="single" w:sz="4" w:space="0" w:color="auto"/>
              <w:left w:val="single" w:sz="4" w:space="0" w:color="auto"/>
              <w:bottom w:val="single" w:sz="4" w:space="0" w:color="auto"/>
              <w:right w:val="single" w:sz="4" w:space="0" w:color="auto"/>
            </w:tcBorders>
            <w:vAlign w:val="center"/>
            <w:hideMark/>
          </w:tcPr>
          <w:p w:rsidR="00903FC6" w:rsidRDefault="00903FC6">
            <w:pPr>
              <w:spacing w:after="0" w:line="240" w:lineRule="auto"/>
              <w:rPr>
                <w:rFonts w:ascii="Times New Roman" w:hAnsi="Times New Roman" w:cs="Times New Roman"/>
                <w:sz w:val="24"/>
                <w:szCs w:val="24"/>
              </w:rPr>
            </w:pPr>
          </w:p>
        </w:tc>
        <w:tc>
          <w:tcPr>
            <w:tcW w:w="3951"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Never</w:t>
            </w:r>
          </w:p>
        </w:tc>
        <w:tc>
          <w:tcPr>
            <w:tcW w:w="189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84</w:t>
            </w:r>
          </w:p>
        </w:tc>
        <w:tc>
          <w:tcPr>
            <w:tcW w:w="1519" w:type="dxa"/>
            <w:tcBorders>
              <w:top w:val="single" w:sz="4" w:space="0" w:color="auto"/>
              <w:left w:val="single" w:sz="4" w:space="0" w:color="auto"/>
              <w:bottom w:val="single" w:sz="4" w:space="0" w:color="auto"/>
              <w:right w:val="single" w:sz="4" w:space="0" w:color="auto"/>
            </w:tcBorders>
            <w:hideMark/>
          </w:tcPr>
          <w:p w:rsidR="00903FC6" w:rsidRDefault="00903FC6">
            <w:pPr>
              <w:rPr>
                <w:rFonts w:ascii="Times New Roman" w:hAnsi="Times New Roman" w:cs="Times New Roman"/>
                <w:sz w:val="24"/>
                <w:szCs w:val="24"/>
              </w:rPr>
            </w:pPr>
            <w:r>
              <w:rPr>
                <w:rFonts w:ascii="Times New Roman" w:hAnsi="Times New Roman" w:cs="Times New Roman"/>
                <w:sz w:val="24"/>
                <w:szCs w:val="24"/>
              </w:rPr>
              <w:t>37.5</w:t>
            </w:r>
          </w:p>
        </w:tc>
      </w:tr>
    </w:tbl>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Source: Field Data, 2025.</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In table 5, it shows results regarding satisfaction with available support and resources during emergencies, the largest proportion (61.6%) expressed neutrality. Only 25.9% were satisfied or very satisfied, while 12.6% reported dissatisfaction. These findings highlight a general sense of inadequacy or uncertainty regarding emergency response infrastructure.</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Transportation challenges during emergencies were common. Approximately 63.4% of respondents noted occasional delays, while 24.1% reported frequent delays. Only 12.5% experienced such delays rarely. Furthermore, an overwhelming 87.5% of respondents reported facing challenges when referring patients to higher-level facilities. On Frequency of Emergency Skills Practice (31.3%), respondents reported they have had practice a few times, and 37.5% have never had skills practice.</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Figure 3. Challenges when referring</w:t>
      </w: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r>
        <w:rPr>
          <w:noProof/>
        </w:rPr>
        <w:lastRenderedPageBreak/>
        <w:drawing>
          <wp:inline distT="0" distB="0" distL="0" distR="0">
            <wp:extent cx="4114800" cy="2752725"/>
            <wp:effectExtent l="0" t="0" r="0" b="9525"/>
            <wp:docPr id="929270351" name="Chart 929270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Figure 3 explains the key challenges identified, including a lack of ambulance services (49.1%), distance to referral hospitals (25%), poor communication between facilities (13.4%), and other unspecified issues (12.5%). </w:t>
      </w: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bCs/>
          <w:sz w:val="24"/>
          <w:szCs w:val="24"/>
          <w:u w:val="single"/>
        </w:rPr>
      </w:pPr>
      <w:r>
        <w:rPr>
          <w:rFonts w:ascii="Times New Roman" w:hAnsi="Times New Roman" w:cs="Times New Roman"/>
          <w:b/>
          <w:bCs/>
          <w:sz w:val="24"/>
          <w:szCs w:val="24"/>
          <w:u w:val="single"/>
        </w:rPr>
        <w:t>To recommend strategies to enhance emergency preparedness at rural PHC facilities</w:t>
      </w:r>
    </w:p>
    <w:p w:rsidR="00903FC6" w:rsidRDefault="00903FC6" w:rsidP="00903FC6">
      <w:pPr>
        <w:rPr>
          <w:rFonts w:ascii="Times New Roman" w:hAnsi="Times New Roman" w:cs="Times New Roman"/>
          <w:b/>
          <w:bCs/>
          <w:sz w:val="24"/>
          <w:szCs w:val="24"/>
        </w:rPr>
      </w:pPr>
      <w:r>
        <w:rPr>
          <w:rFonts w:ascii="Times New Roman" w:hAnsi="Times New Roman" w:cs="Times New Roman"/>
          <w:sz w:val="24"/>
          <w:szCs w:val="24"/>
        </w:rPr>
        <w:t>Analysis of Emergency Care Management: Recommendations, Challenges, and Types of Emergencies Managed</w:t>
      </w:r>
    </w:p>
    <w:p w:rsidR="00903FC6" w:rsidRDefault="00903FC6" w:rsidP="00903FC6">
      <w:pPr>
        <w:rPr>
          <w:rFonts w:ascii="Times New Roman" w:hAnsi="Times New Roman" w:cs="Times New Roman"/>
          <w:bCs/>
          <w:sz w:val="24"/>
          <w:szCs w:val="24"/>
        </w:rPr>
      </w:pPr>
      <w:r>
        <w:rPr>
          <w:rFonts w:ascii="Times New Roman" w:hAnsi="Times New Roman" w:cs="Times New Roman"/>
          <w:b/>
          <w:bCs/>
          <w:sz w:val="24"/>
          <w:szCs w:val="24"/>
        </w:rPr>
        <w:t xml:space="preserve">To obtain appropriate information on </w:t>
      </w:r>
      <w:r>
        <w:rPr>
          <w:rFonts w:ascii="Times New Roman" w:hAnsi="Times New Roman" w:cs="Times New Roman"/>
          <w:sz w:val="24"/>
          <w:szCs w:val="24"/>
        </w:rPr>
        <w:t>strategies to enhance emergency preparedness at rural PHC facilities, respondents were asked questions on the types of Emergencies Commonly Managed, Barriers Faced in Managing Emergencies, and participants' opinions</w:t>
      </w:r>
      <w:r>
        <w:rPr>
          <w:rFonts w:ascii="Times New Roman" w:hAnsi="Times New Roman" w:cs="Times New Roman"/>
          <w:bCs/>
          <w:sz w:val="24"/>
          <w:szCs w:val="24"/>
        </w:rPr>
        <w:t xml:space="preserve"> on Key Factors for Improving Emergency Care.</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Types of Emergencies Commonly Managed</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Participants reported managing a variety of emergencies. As shown in Figure 3, the most frequent were </w:t>
      </w:r>
      <w:r>
        <w:rPr>
          <w:rFonts w:ascii="Times New Roman" w:hAnsi="Times New Roman" w:cs="Times New Roman"/>
          <w:b/>
          <w:bCs/>
          <w:sz w:val="24"/>
          <w:szCs w:val="24"/>
        </w:rPr>
        <w:t>trauma-related accidents</w:t>
      </w:r>
      <w:r>
        <w:rPr>
          <w:rFonts w:ascii="Times New Roman" w:hAnsi="Times New Roman" w:cs="Times New Roman"/>
          <w:sz w:val="24"/>
          <w:szCs w:val="24"/>
        </w:rPr>
        <w:t xml:space="preserve">, cited by 208 participants, reflecting the high incidence of injuries likely related to road traffic accidents and workplace incidents. </w:t>
      </w:r>
      <w:r>
        <w:rPr>
          <w:rFonts w:ascii="Times New Roman" w:hAnsi="Times New Roman" w:cs="Times New Roman"/>
          <w:b/>
          <w:bCs/>
          <w:sz w:val="24"/>
          <w:szCs w:val="24"/>
        </w:rPr>
        <w:t>Obstetric emergencies</w:t>
      </w:r>
      <w:r>
        <w:rPr>
          <w:rFonts w:ascii="Times New Roman" w:hAnsi="Times New Roman" w:cs="Times New Roman"/>
          <w:sz w:val="24"/>
          <w:szCs w:val="24"/>
        </w:rPr>
        <w:t xml:space="preserve">, particularly labor complications, were also common (154 respondents), as were </w:t>
      </w:r>
      <w:r>
        <w:rPr>
          <w:rFonts w:ascii="Times New Roman" w:hAnsi="Times New Roman" w:cs="Times New Roman"/>
          <w:b/>
          <w:bCs/>
          <w:sz w:val="24"/>
          <w:szCs w:val="24"/>
        </w:rPr>
        <w:t>pediatric emergencies</w:t>
      </w:r>
      <w:r>
        <w:rPr>
          <w:rFonts w:ascii="Times New Roman" w:hAnsi="Times New Roman" w:cs="Times New Roman"/>
          <w:sz w:val="24"/>
          <w:szCs w:val="24"/>
        </w:rPr>
        <w:t xml:space="preserve"> (126) and </w:t>
      </w:r>
      <w:r>
        <w:rPr>
          <w:rFonts w:ascii="Times New Roman" w:hAnsi="Times New Roman" w:cs="Times New Roman"/>
          <w:b/>
          <w:bCs/>
          <w:sz w:val="24"/>
          <w:szCs w:val="24"/>
        </w:rPr>
        <w:t>cardiac emergencies</w:t>
      </w:r>
      <w:r>
        <w:rPr>
          <w:rFonts w:ascii="Times New Roman" w:hAnsi="Times New Roman" w:cs="Times New Roman"/>
          <w:sz w:val="24"/>
          <w:szCs w:val="24"/>
        </w:rPr>
        <w:t xml:space="preserve"> (84). An additional 30 participants noted managing other types of emergencies not specifically listed. This distribution of cases highlights the broad scope of emergency care responsibilities at the primary healthcare level.</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Barriers Faced in Managing Emergencies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As shown in Figure 4, the most significant challenge identified was </w:t>
      </w:r>
      <w:r>
        <w:rPr>
          <w:rFonts w:ascii="Times New Roman" w:hAnsi="Times New Roman" w:cs="Times New Roman"/>
          <w:b/>
          <w:bCs/>
          <w:sz w:val="24"/>
          <w:szCs w:val="24"/>
        </w:rPr>
        <w:t>staff shortages</w:t>
      </w:r>
      <w:r>
        <w:rPr>
          <w:rFonts w:ascii="Times New Roman" w:hAnsi="Times New Roman" w:cs="Times New Roman"/>
          <w:sz w:val="24"/>
          <w:szCs w:val="24"/>
        </w:rPr>
        <w:t xml:space="preserve">, reported by 196 participants. This was followed by </w:t>
      </w:r>
      <w:r>
        <w:rPr>
          <w:rFonts w:ascii="Times New Roman" w:hAnsi="Times New Roman" w:cs="Times New Roman"/>
          <w:b/>
          <w:bCs/>
          <w:sz w:val="24"/>
          <w:szCs w:val="24"/>
        </w:rPr>
        <w:t>inadequate medical equipment in hospitals</w:t>
      </w:r>
      <w:r>
        <w:rPr>
          <w:rFonts w:ascii="Times New Roman" w:hAnsi="Times New Roman" w:cs="Times New Roman"/>
          <w:sz w:val="24"/>
          <w:szCs w:val="24"/>
        </w:rPr>
        <w:t xml:space="preserve"> (182 respondents) and a </w:t>
      </w:r>
      <w:r>
        <w:rPr>
          <w:rFonts w:ascii="Times New Roman" w:hAnsi="Times New Roman" w:cs="Times New Roman"/>
          <w:b/>
          <w:bCs/>
          <w:sz w:val="24"/>
          <w:szCs w:val="24"/>
        </w:rPr>
        <w:t>lack of training</w:t>
      </w:r>
      <w:r>
        <w:rPr>
          <w:rFonts w:ascii="Times New Roman" w:hAnsi="Times New Roman" w:cs="Times New Roman"/>
          <w:sz w:val="24"/>
          <w:szCs w:val="24"/>
        </w:rPr>
        <w:t xml:space="preserve"> (128). </w:t>
      </w:r>
      <w:r>
        <w:rPr>
          <w:rFonts w:ascii="Times New Roman" w:hAnsi="Times New Roman" w:cs="Times New Roman"/>
          <w:b/>
          <w:bCs/>
          <w:sz w:val="24"/>
          <w:szCs w:val="24"/>
        </w:rPr>
        <w:t>Communication issues</w:t>
      </w:r>
      <w:r>
        <w:rPr>
          <w:rFonts w:ascii="Times New Roman" w:hAnsi="Times New Roman" w:cs="Times New Roman"/>
          <w:sz w:val="24"/>
          <w:szCs w:val="24"/>
        </w:rPr>
        <w:t xml:space="preserve"> (72) and </w:t>
      </w:r>
      <w:r>
        <w:rPr>
          <w:rFonts w:ascii="Times New Roman" w:hAnsi="Times New Roman" w:cs="Times New Roman"/>
          <w:b/>
          <w:bCs/>
          <w:sz w:val="24"/>
          <w:szCs w:val="24"/>
        </w:rPr>
        <w:t>delayed access to specialist care</w:t>
      </w:r>
      <w:r>
        <w:rPr>
          <w:rFonts w:ascii="Times New Roman" w:hAnsi="Times New Roman" w:cs="Times New Roman"/>
          <w:sz w:val="24"/>
          <w:szCs w:val="24"/>
        </w:rPr>
        <w:t xml:space="preserve"> (114) were also noted. </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lastRenderedPageBreak/>
        <w:t>Participants’ Opinions on Key Factors for Improving Emergency Care</w:t>
      </w:r>
    </w:p>
    <w:p w:rsidR="00903FC6" w:rsidRDefault="00903FC6" w:rsidP="00903FC6">
      <w:pPr>
        <w:rPr>
          <w:rFonts w:ascii="Times New Roman" w:hAnsi="Times New Roman" w:cs="Times New Roman"/>
          <w:bCs/>
          <w:sz w:val="24"/>
          <w:szCs w:val="24"/>
        </w:rPr>
      </w:pPr>
      <w:r>
        <w:rPr>
          <w:rFonts w:ascii="Times New Roman" w:hAnsi="Times New Roman" w:cs="Times New Roman"/>
          <w:bCs/>
          <w:sz w:val="24"/>
          <w:szCs w:val="24"/>
        </w:rPr>
        <w:t>Consistent with the recommendations, participants expressed strong opinions about what is needed to improve emergency services. As shown in Figure 5, again, additional training and education topped the list with 210 endorsements, as did increased staffing and better access to emergency equipment, each also cited by 210 participants. Improving communication systems was mentioned by 142 respondents, and regular emergency drills received support from 168 participants.</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Recommendations to Improve Emergency Management</w:t>
      </w:r>
    </w:p>
    <w:p w:rsidR="00903FC6" w:rsidRDefault="00903FC6" w:rsidP="00903FC6">
      <w:pPr>
        <w:rPr>
          <w:rFonts w:ascii="Times New Roman" w:hAnsi="Times New Roman" w:cs="Times New Roman"/>
          <w:bCs/>
          <w:sz w:val="24"/>
          <w:szCs w:val="24"/>
        </w:rPr>
      </w:pPr>
      <w:r>
        <w:rPr>
          <w:rFonts w:ascii="Times New Roman" w:hAnsi="Times New Roman" w:cs="Times New Roman"/>
          <w:bCs/>
          <w:sz w:val="24"/>
          <w:szCs w:val="24"/>
        </w:rPr>
        <w:t>Respondents offered several key recommendations aimed at enhancing emergency care delivery. As shown in Figure 6, the most frequently cited suggestion was the provision of more medical equipment and supplies, indicated by 210 participants. This was closely followed by the need for regular training of nurses and midwives (184 responses) and the establishment of better referral systems and transportation networks (182 responses). Increased staffing was also highlighted by 170 participants as a critical requirement, while improved communication systems were mentioned by 86 respondents. These recommendations point to systemic gaps in emergency preparedness, infrastructure, and workforce support.</w:t>
      </w:r>
    </w:p>
    <w:p w:rsidR="00903FC6" w:rsidRDefault="00903FC6" w:rsidP="00903FC6">
      <w:pPr>
        <w:rPr>
          <w:rFonts w:ascii="Times New Roman" w:hAnsi="Times New Roman" w:cs="Times New Roman"/>
          <w:bCs/>
          <w:sz w:val="24"/>
          <w:szCs w:val="24"/>
        </w:rPr>
      </w:pPr>
      <w:r>
        <w:rPr>
          <w:rFonts w:ascii="Times New Roman" w:hAnsi="Times New Roman" w:cs="Times New Roman"/>
          <w:b/>
          <w:bCs/>
          <w:sz w:val="24"/>
          <w:szCs w:val="24"/>
        </w:rPr>
        <w:t xml:space="preserve">Figure </w:t>
      </w:r>
      <w:r w:rsidR="00BC23A2">
        <w:rPr>
          <w:rFonts w:ascii="Times New Roman" w:hAnsi="Times New Roman" w:cs="Times New Roman"/>
          <w:b/>
          <w:bCs/>
          <w:sz w:val="24"/>
          <w:szCs w:val="24"/>
        </w:rPr>
        <w:t>4</w:t>
      </w:r>
    </w:p>
    <w:p w:rsidR="00903FC6" w:rsidRDefault="00903FC6" w:rsidP="00903FC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00575" cy="2771775"/>
            <wp:effectExtent l="0" t="0" r="9525" b="9525"/>
            <wp:docPr id="599050496" name="Chart 5990504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3FC6" w:rsidRDefault="00903FC6" w:rsidP="00903FC6">
      <w:pPr>
        <w:rPr>
          <w:rFonts w:ascii="Times New Roman" w:hAnsi="Times New Roman" w:cs="Times New Roman"/>
          <w:b/>
          <w:bCs/>
          <w:sz w:val="24"/>
          <w:szCs w:val="24"/>
        </w:rPr>
      </w:pPr>
      <w:r>
        <w:rPr>
          <w:rFonts w:ascii="Times New Roman" w:hAnsi="Times New Roman" w:cs="Times New Roman"/>
          <w:sz w:val="24"/>
          <w:szCs w:val="24"/>
        </w:rPr>
        <w:t>Source: Field Data, 2025</w:t>
      </w:r>
    </w:p>
    <w:p w:rsidR="00903FC6" w:rsidRDefault="00903FC6" w:rsidP="00903FC6">
      <w:pPr>
        <w:rPr>
          <w:rFonts w:ascii="Times New Roman" w:hAnsi="Times New Roman" w:cs="Times New Roman"/>
          <w:b/>
          <w:bCs/>
          <w:sz w:val="24"/>
          <w:szCs w:val="24"/>
        </w:rPr>
      </w:pPr>
    </w:p>
    <w:p w:rsidR="00903FC6" w:rsidRDefault="00903FC6" w:rsidP="00903FC6">
      <w:pPr>
        <w:rPr>
          <w:rFonts w:ascii="Times New Roman" w:hAnsi="Times New Roman" w:cs="Times New Roman"/>
          <w:b/>
          <w:bCs/>
          <w:sz w:val="24"/>
          <w:szCs w:val="24"/>
        </w:rPr>
      </w:pPr>
    </w:p>
    <w:p w:rsidR="009910D6" w:rsidRDefault="009910D6" w:rsidP="00903FC6">
      <w:pPr>
        <w:rPr>
          <w:rFonts w:ascii="Times New Roman" w:hAnsi="Times New Roman" w:cs="Times New Roman"/>
          <w:b/>
          <w:bCs/>
          <w:sz w:val="24"/>
          <w:szCs w:val="24"/>
        </w:rPr>
      </w:pPr>
    </w:p>
    <w:p w:rsidR="009910D6" w:rsidRDefault="009910D6" w:rsidP="00903FC6">
      <w:pPr>
        <w:rPr>
          <w:rFonts w:ascii="Times New Roman" w:hAnsi="Times New Roman" w:cs="Times New Roman"/>
          <w:b/>
          <w:bCs/>
          <w:sz w:val="24"/>
          <w:szCs w:val="24"/>
        </w:rPr>
      </w:pP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w:t>
      </w:r>
      <w:r w:rsidR="00BC23A2">
        <w:rPr>
          <w:rFonts w:ascii="Times New Roman" w:hAnsi="Times New Roman" w:cs="Times New Roman"/>
          <w:b/>
          <w:bCs/>
          <w:sz w:val="24"/>
          <w:szCs w:val="24"/>
        </w:rPr>
        <w:t>5</w:t>
      </w:r>
      <w:r>
        <w:rPr>
          <w:rFonts w:ascii="Times New Roman" w:hAnsi="Times New Roman" w:cs="Times New Roman"/>
          <w:b/>
          <w:bCs/>
          <w:sz w:val="24"/>
          <w:szCs w:val="24"/>
        </w:rPr>
        <w:t>.</w:t>
      </w:r>
    </w:p>
    <w:p w:rsidR="00903FC6" w:rsidRDefault="00903FC6" w:rsidP="00903FC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00575" cy="2771775"/>
            <wp:effectExtent l="0" t="0" r="9525" b="9525"/>
            <wp:docPr id="1623067811" name="Chart 16230678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Source: Field Data, 2025</w:t>
      </w:r>
    </w:p>
    <w:p w:rsidR="00903FC6" w:rsidRDefault="00903FC6" w:rsidP="00903FC6">
      <w:pPr>
        <w:rPr>
          <w:rFonts w:ascii="Times New Roman" w:hAnsi="Times New Roman" w:cs="Times New Roman"/>
          <w:b/>
          <w:bCs/>
          <w:sz w:val="24"/>
          <w:szCs w:val="24"/>
        </w:rPr>
      </w:pP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BC23A2">
        <w:rPr>
          <w:rFonts w:ascii="Times New Roman" w:hAnsi="Times New Roman" w:cs="Times New Roman"/>
          <w:b/>
          <w:bCs/>
          <w:sz w:val="24"/>
          <w:szCs w:val="24"/>
        </w:rPr>
        <w:t>6</w:t>
      </w: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00575" cy="2771775"/>
            <wp:effectExtent l="0" t="0" r="9525" b="9525"/>
            <wp:docPr id="1025856682" name="Chart 10258566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Source: Field Data, 2025</w:t>
      </w:r>
    </w:p>
    <w:p w:rsidR="00903FC6" w:rsidRDefault="00903FC6" w:rsidP="00903FC6">
      <w:pPr>
        <w:rPr>
          <w:rFonts w:ascii="Times New Roman" w:hAnsi="Times New Roman" w:cs="Times New Roman"/>
          <w:sz w:val="24"/>
          <w:szCs w:val="24"/>
        </w:rPr>
      </w:pPr>
    </w:p>
    <w:p w:rsidR="009910D6" w:rsidRDefault="009910D6" w:rsidP="00903FC6">
      <w:pPr>
        <w:rPr>
          <w:rFonts w:ascii="Times New Roman" w:hAnsi="Times New Roman" w:cs="Times New Roman"/>
          <w:sz w:val="24"/>
          <w:szCs w:val="24"/>
        </w:rPr>
      </w:pP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w:t>
      </w:r>
      <w:r w:rsidR="00BC23A2">
        <w:rPr>
          <w:rFonts w:ascii="Times New Roman" w:hAnsi="Times New Roman" w:cs="Times New Roman"/>
          <w:b/>
          <w:bCs/>
          <w:sz w:val="24"/>
          <w:szCs w:val="24"/>
        </w:rPr>
        <w:t>7</w:t>
      </w:r>
    </w:p>
    <w:p w:rsidR="00903FC6" w:rsidRDefault="00903FC6" w:rsidP="00903FC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00575" cy="2771775"/>
            <wp:effectExtent l="0" t="0" r="9525" b="9525"/>
            <wp:docPr id="213980645" name="Chart 2139806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Source: Field Data, 2025</w:t>
      </w:r>
    </w:p>
    <w:p w:rsidR="00903FC6" w:rsidRDefault="00903FC6" w:rsidP="00903FC6">
      <w:pPr>
        <w:rPr>
          <w:rFonts w:ascii="Times New Roman" w:hAnsi="Times New Roman" w:cs="Times New Roman"/>
          <w:b/>
          <w:bCs/>
          <w:sz w:val="24"/>
          <w:szCs w:val="24"/>
        </w:rPr>
      </w:pPr>
    </w:p>
    <w:p w:rsidR="00903FC6" w:rsidRDefault="00903FC6" w:rsidP="00903FC6">
      <w:pPr>
        <w:rPr>
          <w:rFonts w:ascii="Times New Roman" w:hAnsi="Times New Roman" w:cs="Times New Roman"/>
          <w:sz w:val="24"/>
          <w:szCs w:val="24"/>
          <w:u w:val="single"/>
        </w:rPr>
      </w:pPr>
      <w:r>
        <w:rPr>
          <w:rFonts w:ascii="Times New Roman" w:hAnsi="Times New Roman" w:cs="Times New Roman"/>
          <w:b/>
          <w:bCs/>
          <w:sz w:val="24"/>
          <w:szCs w:val="24"/>
          <w:u w:val="single"/>
        </w:rPr>
        <w:t>Discussion</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Assessing the Emergency Response Capacity and Resource Availability in Rural Primary Healthcare Facilities in Ahafo Ano North</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The primary objective of this study was to evaluate the ability of resources at rural primary healthcare facilities in the Ahafo Ano North District to effectively manage emergency medical situations. A critical aspect of this assessment involved determining the availability of emergency care resources, including equipment, essential medications, and adequately trained personnel. The interpretation of participants' demographic characteristics, particularly age, provides essential context for understanding the distribution and experiences of the healthcare workforce engaged in emergency response in these rural settings. Hence, the discussion of participants' demographics was done as fellows.</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Descriptive Analysis of Participants’ Age</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The age distribution of the 224 study participants offered valuable insights into the workforce profile within the assessed rural healthcare facilities. The mean age of 31.53 years, with a standard deviation of 6.696, indicates a relatively young workforce, predominantly in their early thirties. A study conducted by Asamani et al (2021) with participants’ ages ranging from 20–60 years, with an average of 33 years (±7.02 years). The majority of the health professionals (</w:t>
      </w:r>
      <w:r>
        <w:rPr>
          <w:rFonts w:ascii="Times New Roman" w:hAnsi="Times New Roman" w:cs="Times New Roman"/>
          <w:i/>
          <w:iCs/>
          <w:sz w:val="24"/>
          <w:szCs w:val="24"/>
        </w:rPr>
        <w:t>n</w:t>
      </w:r>
      <w:r>
        <w:rPr>
          <w:rFonts w:ascii="Times New Roman" w:hAnsi="Times New Roman" w:cs="Times New Roman"/>
          <w:sz w:val="24"/>
          <w:szCs w:val="24"/>
        </w:rPr>
        <w:t> = 267, 53%) were between the ages of 30–39 years, which is similar to the study findings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{"citationID":"oxB22eCR","properties":{"formattedCitation":"(18)","plainCitation":"(18)","noteIndex":0},"citationItems":[{"id":403,"uris":["http://zotero.org/users/local/fuyxLwzY/items/SGKMRMSX"],"itemData":{"id":403,"type":"article-journal","abstract":"The attainment of health system goals is largely hinged on the health workforce availability and performance; hence, health workforce planning is central to the health policy agenda. This study sought to estimate health service activity standards and standard workloads at the primary health care level in Ghana and explore any differences across health facility types. A nationally representative cross-sectional survey was conducted among 503 health professionals across eight health professions who provided estimates of health service activity standards in Ghana’s Primary Health Care (PHC) settings. Outpatient consultation time was 16 min, translating into an annual standard workload of 6030 consultations per year for General Practitioners. Routine nursing care activities take an average of 40 min (95% CI: 38–42 min) for low acuity patients; and 135 min (95% CI: 127–144 min) for high dependency patients per inpatient day. Availability of tools/equipment correlated with reduced time on clinical procedure. Physician Assistants in health centres spend more time with patients than in district hospitals. Midwives spend 78 min more during vaginal delivery in health centres/polyclinics than in district/primary hospital settings. We identified 18.9% (12 out of 67) of health service activities performed across eight health professional groups to differ between health centres/polyclinics and district/primary hospitals settings. The workload in the health facilities was rated 78.2%, but as the workload increased, and without a commensurate increase in staffing, health professionals reduced the time spent on individual patient care, which could have consequences for the quality of care and patient safety. Availability of tools and equipment at PHC was rated 56.6%, which suggests the need to retool these health facilities. The estimated standard workloads lay a foundation for evidence-based planning for the optimal number of health professionals needed in Ghana’s PHC system and the consequent adjustments necessary in both health professions education and the budgetary allocation for their employment. Finally, given similarity in results with Workload Indicators of Staffing Need (WISN) methodology used in Ghana, this study demonstrates that cross-sectional surveys can estimate health service activity standards that is suitable for health workforce planning just as the consensus-based estimates advocated in WISN.","container-title":"Healthcare","DOI":"10.3390/healthcare9030332","ISSN":"2227-9032","issue":"3","language":"en","license":"https://creativecommons.org/licenses/by/4.0/","note":"publisher: MDPI AG","page":"332","source":"Crossref","title":"Health Service Activity Standards and Standard Workloads for Primary Healthcare in Ghana: A Cross-Sectional Survey of Health Professionals","title-short":"Health Service Activity Standards and Standard Workloads for Primary Healthcare in Ghana","volume":"9","author":[{"family":"Asamani","given":"James Avoka"},{"family":"Christmals","given":"Christmal Dela"},{"family":"Reitsma","given":"Gerda Marie"}],"issued":{"date-parts":[["2021",3,16]]}}}],"schema":"https://github.com/citation-style-language/schema/raw/master/csl-citation.json"}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t xml:space="preserve">. This demographic feature may have implications for both the physical and cognitive readiness of staff to respond to emergencies. Young adult healthcare workers are typically in a phase of their </w:t>
      </w:r>
      <w:r>
        <w:rPr>
          <w:rFonts w:ascii="Times New Roman" w:hAnsi="Times New Roman" w:cs="Times New Roman"/>
          <w:sz w:val="24"/>
          <w:szCs w:val="24"/>
        </w:rPr>
        <w:lastRenderedPageBreak/>
        <w:t xml:space="preserve">professional lives where energy levels and the ability to adapt to fast-paced, high-pressure environments, such as emergencies, are high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{"citationID":"JllZdZ3D","properties":{"formattedCitation":"(19)","plainCitation":"(19)","noteIndex":0},"citationItems":[{"id":365,"uris":["http://zotero.org/users/local/fuyxLwzY/items/55A2VWCX"],"itemData":{"id":365,"type":"report","title":"State of the world’s nursing 2020: Investing in education, jobs and leadership. Geneva: WHO.","URL":"ISBN 978-92-4-000327-9","author":[{"family":"","given":"World Health Organization. (2020)."}],"issued":{"date-parts":[["2020"]]}}}],"schema":"https://github.com/citation-style-language/schema/raw/master/csl-citation.json"}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statistical measures of skewness (-0.082) and kurtosis (-0.152), on ages which are close to zero, confirm that the age distribution of the sample is approximately normal.  A symmetrical age distribution between the older and the young, which can also reflect a stable employment pattern and retention strategy within these rural health facilities, which may indirectly influence the availability and sustainability of emergency care services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{"citationID":"g1YUepwt","properties":{"formattedCitation":"(20)","plainCitation":"(20)","noteIndex":0},"citationItems":[{"id":330,"uris":["http://zotero.org/users/local/fuyxLwzY/items/ALX3EK87"],"itemData":{"id":330,"type":"article-journal","abstract":"Abstract\n            Access to good-quality health services is crucial for the improvement of many health outcomes, such as those targeted by the Millennium Development Goals (MDGs) adopted by the international community in 2000. The health-related MDGs cannot be achieved if vulnerable populations do not have access to skilled personnel and to other necessary inputs. This paper focuses on the geographical dimension of access and on one of its critical determinants: the availability of qualified personnel. The objective of this paper is to offer a better understanding of the determinants of geographical imbalances in the distribution of health personnel, and to identify and assess the strategies developed to correct them. It reviews the recent literature on determinants, barriers and the effects of strategies that attempted to correct geographical imbalances, with a focus on empirical studies from developing and developed countries. An analysis of determinants of success and failures of strategies implemented, and a summary of lessons learnt, is included.","container-title":"Human Resources for Health","DOI":"10.1186/1478-4491-4-12","ISSN":"1478-4491","issue":"1","journalAbbreviation":"Hum Resour Health","language":"en","page":"12","source":"DOI.org (Crossref)","title":"Not enough there, too many here: understanding geographical imbalances in the distribution of the health workforce","title-short":"Not enough there, too many here","volume":"4","author":[{"family":"Dussault","given":"Gilles"},{"family":"Franceschini","given":"Maria Cristina"}],"issued":{"date-parts":[["2006",12]]}}}],"schema":"https://github.com/citation-style-language/schema/raw/master/csl-citation.json"}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Previous research has shown that younger health workers often dominate rural postings due to transfer patterns and mandatory national service, findings that align with the current study (Lehmann, Dieleman, &amp; Martineau, 2008). </w:t>
      </w: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Availability of Essential Emergency Supplies (</w:t>
      </w:r>
      <w:r>
        <w:rPr>
          <w:rFonts w:ascii="Times New Roman" w:hAnsi="Times New Roman" w:cs="Times New Roman"/>
          <w:sz w:val="24"/>
          <w:szCs w:val="24"/>
        </w:rPr>
        <w:t>equipment</w:t>
      </w:r>
      <w:r>
        <w:rPr>
          <w:rFonts w:ascii="Times New Roman" w:hAnsi="Times New Roman" w:cs="Times New Roman"/>
          <w:b/>
          <w:bCs/>
          <w:sz w:val="24"/>
          <w:szCs w:val="24"/>
        </w:rPr>
        <w:t>) in Rural Primary Healthcare Facilities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The findings from this study offer a revealing picture of the challenges faced by primary healthcare facilities in Ahafo Ano North in responding to emergency medical cases. The data shows considerable gaps in the availability of critical emergency tools such as Automated External Defibrillators (AEDs), suction devices, and even basic items like first aid kits, all of which are essential for initial stabilization of critically ill or injured patients. These are further discussed as follows:</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First Aid Kits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finding that </w:t>
      </w:r>
      <w:r>
        <w:rPr>
          <w:rFonts w:ascii="Times New Roman" w:hAnsi="Times New Roman" w:cs="Times New Roman"/>
          <w:b/>
          <w:bCs/>
          <w:sz w:val="24"/>
          <w:szCs w:val="24"/>
        </w:rPr>
        <w:t>70%</w:t>
      </w:r>
      <w:r>
        <w:rPr>
          <w:rFonts w:ascii="Times New Roman" w:hAnsi="Times New Roman" w:cs="Times New Roman"/>
          <w:sz w:val="24"/>
          <w:szCs w:val="24"/>
        </w:rPr>
        <w:t xml:space="preserve"> of participants rated the nonavailable of first aid kits as </w:t>
      </w:r>
      <w:r>
        <w:rPr>
          <w:rFonts w:ascii="Times New Roman" w:hAnsi="Times New Roman" w:cs="Times New Roman"/>
          <w:i/>
          <w:iCs/>
          <w:sz w:val="24"/>
          <w:szCs w:val="24"/>
        </w:rPr>
        <w:t>very poor</w:t>
      </w:r>
      <w:r>
        <w:rPr>
          <w:rFonts w:ascii="Times New Roman" w:hAnsi="Times New Roman" w:cs="Times New Roman"/>
          <w:sz w:val="24"/>
          <w:szCs w:val="24"/>
        </w:rPr>
        <w:t xml:space="preserve"> raises significant concerns. First aid kits are the most basic form of emergency readiness, containing essential supplies for controlling bleeding, preventing infection, and stabilizing minor injuries before definitive care. The absence of such a fundamental resource could delay timely interventions and compromise patient outcomes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{"citationID":"7Ga9ag9u","properties":{"formattedCitation":"(21)","plainCitation":"(21)","noteIndex":0},"citationItems":[{"id":366,"uris":["http://zotero.org/users/local/fuyxLwzY/items/S35Y4FC6"],"itemData":{"id":366,"type":"report","title":"Standards for improving quality of maternal and newborn care in health facilities.","URL":"ISBN: 9789241511216","author":[{"family":"WHO","given":"World Health Organization"}],"issued":{"date-parts":[["2016"]]}}}],"schema":"https://github.com/citation-style-language/schema/raw/master/csl-citation.json"}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fact that only </w:t>
      </w:r>
      <w:r>
        <w:rPr>
          <w:rFonts w:ascii="Times New Roman" w:hAnsi="Times New Roman" w:cs="Times New Roman"/>
          <w:b/>
          <w:bCs/>
          <w:sz w:val="24"/>
          <w:szCs w:val="24"/>
        </w:rPr>
        <w:t>30%</w:t>
      </w:r>
      <w:r>
        <w:rPr>
          <w:rFonts w:ascii="Times New Roman" w:hAnsi="Times New Roman" w:cs="Times New Roman"/>
          <w:sz w:val="24"/>
          <w:szCs w:val="24"/>
        </w:rPr>
        <w:t xml:space="preserve"> of respondents considered their availability as </w:t>
      </w:r>
      <w:r>
        <w:rPr>
          <w:rFonts w:ascii="Times New Roman" w:hAnsi="Times New Roman" w:cs="Times New Roman"/>
          <w:i/>
          <w:iCs/>
          <w:sz w:val="24"/>
          <w:szCs w:val="24"/>
        </w:rPr>
        <w:t>very good</w:t>
      </w:r>
      <w:r>
        <w:rPr>
          <w:rFonts w:ascii="Times New Roman" w:hAnsi="Times New Roman" w:cs="Times New Roman"/>
          <w:sz w:val="24"/>
          <w:szCs w:val="24"/>
        </w:rPr>
        <w:t xml:space="preserve"> underlines the uneven distribution of basic emergency care tools in rural settings.</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Automated External Defibrillators (AEDs)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AEDs had the highest percentage (</w:t>
      </w:r>
      <w:r>
        <w:rPr>
          <w:rFonts w:ascii="Times New Roman" w:hAnsi="Times New Roman" w:cs="Times New Roman"/>
          <w:b/>
          <w:bCs/>
          <w:sz w:val="24"/>
          <w:szCs w:val="24"/>
        </w:rPr>
        <w:t>95.5%</w:t>
      </w:r>
      <w:r>
        <w:rPr>
          <w:rFonts w:ascii="Times New Roman" w:hAnsi="Times New Roman" w:cs="Times New Roman"/>
          <w:sz w:val="24"/>
          <w:szCs w:val="24"/>
        </w:rPr>
        <w:t xml:space="preserve">) of </w:t>
      </w:r>
      <w:r>
        <w:rPr>
          <w:rFonts w:ascii="Times New Roman" w:hAnsi="Times New Roman" w:cs="Times New Roman"/>
          <w:i/>
          <w:iCs/>
          <w:sz w:val="24"/>
          <w:szCs w:val="24"/>
        </w:rPr>
        <w:t>very poor</w:t>
      </w:r>
      <w:r>
        <w:rPr>
          <w:rFonts w:ascii="Times New Roman" w:hAnsi="Times New Roman" w:cs="Times New Roman"/>
          <w:sz w:val="24"/>
          <w:szCs w:val="24"/>
        </w:rPr>
        <w:t xml:space="preserve"> ratings, highlighting a particularly stark inadequacy. This study confirms other research work by Doku et al (2023) across the primary level of health facilities assessed (such as CHPS compounds and health centres). On average, only one functional sphygmomanometer was available to serve clients, with no electrocardiograms or defibrillators present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{"citationID":"JSnL64eO","properties":{"formattedCitation":"(22)","plainCitation":"(22)","noteIndex":0},"citationItems":[{"id":405,"uris":["http://zotero.org/users/local/fuyxLwzY/items/GQUCW724"],"itemData":{"id":405,"type":"article-journal","abstract":"Abstract                Introduction                Cardiovascular diseases (CVD) remain the leading cause of death worldwide, with over 70% of these deaths occurring in low- and middle-income regions such as Africa. However, most countries in Africa do not have the capacity to manage CVD. The Ghana Heart Initiative has been an ongoing national program since 2018, aimed at improving CVD care and thus reducing the death rates of these diseases in Ghana. This study therefore aimed at assessing the impact of this initiative by identifying, at baseline, the gaps in the management of CVDs within the health system to develop robust measures to bolster CVD management and care in Ghana.                              Methods                This study employed a cross-sectional study design and was conducted from November 2019 to March 2020 in 44 health facilities in the Greater Accra region. The assessment covered CVD management, equipment availability, knowledge of health workers in CVD and others including the CVD management support system, availability of CVD management guidelines and CVD/NCD indicators in the District Health Information Management System (DHIMS2).                              Results                The baseline data showed a total of 85,612 outpatient attendants over the period in the study facilities, 70% were women and 364(0.4%) were newly diagnosed with hypertension. A total of 83% of the newly diagnosed hypertensives were put on treatment, 56.3% (171) continued treatment during the study period and less than 10% (5%) had their blood pressure controlled at the end of the study (in March 2020). Other gaps identified included suboptimal health worker knowledge in CVD management (mean score of 69.0 ± 13.0, p &lt; 0.05), lack of equipment for prompt CVD emergency diagnosis, poor management and monitoring of CVD care across all levels of health care, lack of standardized protocol on CVD management, and limited number of indicators on CVD in the National Database (i.e., DHIMS2) for CVD monitoring.                              Conclusion                This study shows that there are gaps in CVD care and therefore, there is a need to address such gaps to improve the capacity of the health system to effectively manage CVDs in Ghana.","container-title":"BMC Cardiovascular Disorders","DOI":"10.1186/s12872-023-03430-5","ISSN":"1471-2261","issue":"1","journalAbbreviation":"BMC Cardiovasc Disord","language":"en","license":"https://creativecommons.org/licenses/by/4.0","note":"publisher: Springer Science and Business Media LLC","source":"Crossref","title":"A multilevel and multicenter assessment of health care system capacity to manage cardiovascular diseases in Africa: a baseline study of the Ghana Heart Initiative","title-short":"A multilevel and multicenter assessment of health care system capacity to manage cardiovascular diseases in Africa","URL":"https://bmccardiovascdisord.biomedcentral.com/articles/10.1186/s12872-023-03430-5","volume":"23","author":[{"family":"Doku","given":"Alfred"},{"family":"Tuglo","given":"Lawrence Sena"},{"family":"Chilunga","given":"Felix"},{"family":"Edzeame","given":"Juliette"},{"family":"Peters","given":"Ron J.G."},{"family":"Agyemang","given":"Charles"}],"accessed":{"date-parts":[["2025",7,22]]},"issued":{"date-parts":[["2023",8,24]]}}}],"schema":"https://github.com/citation-style-language/schema/raw/master/csl-citation.json"}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t>. AEDs are life-saving devices in cases of sudden cardiac arrest, and their absence significantly diminishes a facility's capacity to manage cardiovascular emergencies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uanulsE","properties":{"formattedCitation":"(23)","plainCitation":"(23)","noteIndex":0},"citationItems":[{"id":401,"uris":["http://zotero.org/users/local/fuyxLwzY/items/THANZRQV"],"itemData":{"id":401,"type":"article-journal","container-title":"Circulation","DOI":"10.1161/cir.0000000000000918","ISSN":"0009-7322, 1524-4539","issue":"16_suppl_2","language":"en","note":"publisher: Ovid Technologies (Wolters Kluwer Health)","source":"Crossref","title":"Part 1: Executive Summary: 2020 American Heart Association Guidelines for Cardiopulmonary Resuscitation and Emergency Cardiovascular Care","title-short":"Part 1","URL":"https://www.ahajournals.org/doi/10.1161/CIR.0000000000000918","volume":"142","author":[{"family":"Merchant","given":"Raina M."},{"family":"Topjian","given":"Alexis A."},{"family":"Panchal","given":"Ashish R."},{"family":"Cheng","given":"Adam"},{"family":"Aziz","given":"Khalid"},{"family":"Berg","given":"Katherine M."},{"family":"Lavonas","given":"Eric J."},{"family":"Magid","given":"David J."},{"literal":"On behalf of the Adult Basic and Advanced Life Support, Pediatric Basic and Advanced Life Support, Neonatal Life Support, Resuscitation Education Science, and Systems of Care Writing Groups"}],"accessed":{"date-parts":[["2025",7,22]]},"issued":{"date-parts":[["2020",10,20]]}}}],"schema":"https://github.com/citation-style-language/schema/raw/master/csl-citation.json"}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D4E8D" w:rsidRDefault="007D4E8D" w:rsidP="00903FC6">
      <w:pPr>
        <w:rPr>
          <w:rFonts w:ascii="Times New Roman" w:hAnsi="Times New Roman" w:cs="Times New Roman"/>
          <w:b/>
          <w:bCs/>
          <w:sz w:val="24"/>
          <w:szCs w:val="24"/>
        </w:rPr>
      </w:pPr>
    </w:p>
    <w:p w:rsidR="007D4E8D" w:rsidRDefault="007D4E8D" w:rsidP="00903FC6">
      <w:pPr>
        <w:rPr>
          <w:rFonts w:ascii="Times New Roman" w:hAnsi="Times New Roman" w:cs="Times New Roman"/>
          <w:b/>
          <w:bCs/>
          <w:sz w:val="24"/>
          <w:szCs w:val="24"/>
        </w:rPr>
      </w:pP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lastRenderedPageBreak/>
        <w:t>Stretchers</w:t>
      </w:r>
    </w:p>
    <w:p w:rsidR="00903FC6" w:rsidRDefault="00903FC6" w:rsidP="00903FC6">
      <w:pPr>
        <w:spacing w:line="360" w:lineRule="auto"/>
        <w:rPr>
          <w:rFonts w:ascii="Times New Roman" w:hAnsi="Times New Roman" w:cs="Times New Roman"/>
          <w:sz w:val="24"/>
          <w:szCs w:val="24"/>
        </w:rPr>
      </w:pPr>
      <w:r>
        <w:rPr>
          <w:rFonts w:ascii="Times New Roman" w:hAnsi="Times New Roman" w:cs="Times New Roman"/>
          <w:sz w:val="24"/>
          <w:szCs w:val="24"/>
        </w:rPr>
        <w:t xml:space="preserve">While </w:t>
      </w:r>
      <w:r>
        <w:rPr>
          <w:rFonts w:ascii="Times New Roman" w:hAnsi="Times New Roman" w:cs="Times New Roman"/>
          <w:b/>
          <w:bCs/>
          <w:sz w:val="24"/>
          <w:szCs w:val="24"/>
        </w:rPr>
        <w:t>37%</w:t>
      </w:r>
      <w:r>
        <w:rPr>
          <w:rFonts w:ascii="Times New Roman" w:hAnsi="Times New Roman" w:cs="Times New Roman"/>
          <w:sz w:val="24"/>
          <w:szCs w:val="24"/>
        </w:rPr>
        <w:t xml:space="preserve"> of respondents reported availability of stretchers, high percentages of 63%of nonavailable. Inadequate access to stretchers may not only delay care but also increase the risk of further injury during patient handling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{"citationID":"Yl3yVZfL","properties":{"formattedCitation":"(24)","plainCitation":"(24)","noteIndex":0},"citationItems":[{"id":369,"uris":["http://zotero.org/users/local/fuyxLwzY/items/TNPXENYG"],"itemData":{"id":369,"type":"report","title":"Top 10 health technology hazards report.","author":[{"family":"","given":"Emergency Care Research Institute (ECRI)"}],"issued":{"date-parts":[["2019"]]}}}],"schema":"https://github.com/citation-style-language/schema/raw/master/csl-citation.json"}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Oxygen Supplies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Interestingly, oxygen supplies showed relatively better availability among the equipment elevated, with </w:t>
      </w:r>
      <w:r>
        <w:rPr>
          <w:rFonts w:ascii="Times New Roman" w:hAnsi="Times New Roman" w:cs="Times New Roman"/>
          <w:b/>
          <w:bCs/>
          <w:sz w:val="24"/>
          <w:szCs w:val="24"/>
        </w:rPr>
        <w:t>37.2%</w:t>
      </w:r>
      <w:r>
        <w:rPr>
          <w:rFonts w:ascii="Times New Roman" w:hAnsi="Times New Roman" w:cs="Times New Roman"/>
          <w:sz w:val="24"/>
          <w:szCs w:val="24"/>
        </w:rPr>
        <w:t xml:space="preserve"> rated as available (</w:t>
      </w:r>
      <w:r>
        <w:rPr>
          <w:rFonts w:ascii="Times New Roman" w:hAnsi="Times New Roman" w:cs="Times New Roman"/>
          <w:i/>
          <w:iCs/>
          <w:sz w:val="24"/>
          <w:szCs w:val="24"/>
        </w:rPr>
        <w:t>very good),</w:t>
      </w:r>
      <w:r>
        <w:rPr>
          <w:rFonts w:ascii="Times New Roman" w:hAnsi="Times New Roman" w:cs="Times New Roman"/>
          <w:sz w:val="24"/>
          <w:szCs w:val="24"/>
        </w:rPr>
        <w:t xml:space="preserve"> although lower than 50%. This may reflect recent national or donor-supported initiatives to improve oxygen infrastructure, especially in the wake of COVID-19, which exposed critical gaps in respiratory care readiness. However, </w:t>
      </w:r>
      <w:r>
        <w:rPr>
          <w:rFonts w:ascii="Times New Roman" w:hAnsi="Times New Roman" w:cs="Times New Roman"/>
          <w:b/>
          <w:bCs/>
          <w:sz w:val="24"/>
          <w:szCs w:val="24"/>
        </w:rPr>
        <w:t>62.8%</w:t>
      </w:r>
      <w:r>
        <w:rPr>
          <w:rFonts w:ascii="Times New Roman" w:hAnsi="Times New Roman" w:cs="Times New Roman"/>
          <w:sz w:val="24"/>
          <w:szCs w:val="24"/>
        </w:rPr>
        <w:t xml:space="preserve"> of participants still rated oxygen as nonavailable (</w:t>
      </w:r>
      <w:r>
        <w:rPr>
          <w:rFonts w:ascii="Times New Roman" w:hAnsi="Times New Roman" w:cs="Times New Roman"/>
          <w:i/>
          <w:iCs/>
          <w:sz w:val="24"/>
          <w:szCs w:val="24"/>
        </w:rPr>
        <w:t>very poor)</w:t>
      </w:r>
      <w:r>
        <w:rPr>
          <w:rFonts w:ascii="Times New Roman" w:hAnsi="Times New Roman" w:cs="Times New Roman"/>
          <w:sz w:val="24"/>
          <w:szCs w:val="24"/>
        </w:rPr>
        <w:t>, suggesting that while some progress has been made, supply chain inconsistencies or equipment maintenance issues remain problematic.</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Suction Devices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Suction devices, essential for clearing airways in patients with obstructed breathing or excessive secretions, were reported by </w:t>
      </w:r>
      <w:r>
        <w:rPr>
          <w:rFonts w:ascii="Times New Roman" w:hAnsi="Times New Roman" w:cs="Times New Roman"/>
          <w:b/>
          <w:bCs/>
          <w:sz w:val="24"/>
          <w:szCs w:val="24"/>
        </w:rPr>
        <w:t>80.2%</w:t>
      </w:r>
      <w:r>
        <w:rPr>
          <w:rFonts w:ascii="Times New Roman" w:hAnsi="Times New Roman" w:cs="Times New Roman"/>
          <w:sz w:val="24"/>
          <w:szCs w:val="24"/>
        </w:rPr>
        <w:t xml:space="preserve"> of respondents as </w:t>
      </w:r>
      <w:r>
        <w:rPr>
          <w:rFonts w:ascii="Times New Roman" w:hAnsi="Times New Roman" w:cs="Times New Roman"/>
          <w:i/>
          <w:iCs/>
          <w:sz w:val="24"/>
          <w:szCs w:val="24"/>
        </w:rPr>
        <w:t>very poorly</w:t>
      </w:r>
      <w:r>
        <w:rPr>
          <w:rFonts w:ascii="Times New Roman" w:hAnsi="Times New Roman" w:cs="Times New Roman"/>
          <w:sz w:val="24"/>
          <w:szCs w:val="24"/>
        </w:rPr>
        <w:t xml:space="preserve"> available. This finding is particularly troubling because the inability to maintain a patent airway can lead to rapid deterioration, especially in pediatric emergencies or cases of trauma. </w:t>
      </w:r>
      <w:bookmarkStart w:id="3" w:name="_Hlk202326332"/>
      <w:r>
        <w:rPr>
          <w:rFonts w:ascii="Times New Roman" w:hAnsi="Times New Roman" w:cs="Times New Roman"/>
          <w:sz w:val="24"/>
          <w:szCs w:val="24"/>
        </w:rPr>
        <w:t xml:space="preserve"> </w:t>
      </w:r>
      <w:bookmarkEnd w:id="3"/>
      <w:r>
        <w:rPr>
          <w:rFonts w:ascii="Times New Roman" w:hAnsi="Times New Roman" w:cs="Times New Roman"/>
          <w:sz w:val="24"/>
          <w:szCs w:val="24"/>
        </w:rPr>
        <w:t xml:space="preserve">Previous literature supports these findings, pointing to structural inequalities in rural health systems, lack of consistent funding, and poor maintenance cultures as contributing factors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{"citationID":"zu8XaLCO","properties":{"formattedCitation":"(13,25)","plainCitation":"(13,25)","noteIndex":0},"citationItems":[{"id":324,"uris":["http://zotero.org/users/local/fuyxLwzY/items/EAIUER4R"],"itemData":{"id":324,"type":"article-journal","container-title":"The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Y"},{"family":"Pate","given":"Muhammad"}],"issued":{"date-parts":[["2018",11]]}}},{"id":355,"uris":["http://zotero.org/users/local/fuyxLwzY/items/SZVWV5D9"],"itemData":{"id":355,"type":"article-journal","abstract":"INTRODUCTION: Emergency care is an essential component of health systems, particularly in low- and middle-income countries. We sought to assess the availability of resources to provide emergency care at a second-level hospital in Ghana. By doing so, deficits that could guide development of targeted intervention strategies to improve emergency care could be identified.\nMETHODS: A qualitative and quantitative assessment of capacity for care of emergency patients was performed at the Emergency Centre of the Police Hospital, a second-level hospital in Accra, Ghana. Direct inspection and job-specific survey of clinical, orderly, administrative and ambulance staff was performed. Responses to quantitative questions were described. Qualitative responses were examined by content analysis.\nRESULTS: Assessment revealed marked deficiencies in many essential items and services. However, several successes were identified, such as laboratory capacity. Among the unavailable essential items, some were of low-cost, such as basic airway supplies, chest tubes and several emergency medications. Themes from staff responses when asked how to improve emergency care included: provide periodic training, increase bed numbers in the emergency unit, ensure availability of essential items and make personal protective equipment available for all staff caring for patients.\nCONCLUSION: This study identified opportunities to improve the care of patients with emergency conditions at the Police Hospital in Ghana. Low-cost improvements in training, organization and planning could improve item and service availability, such as: developing a continuing education curriculum for staff in all areas of the emergency centre; holding in-service training on existing protocols for triage and emergency care; adding checklists to guide appropriate triage and safe transfer of patients; and perform a root cause analysis of item non-availability to develop targeted interventions.","container-title":"African Journal of Emergency Medicine: Revue Africaine De La Medecine D'urgence","DOI":"10.1016/j.afjem.2015.06.006","ISSN":"2211-4203","issue":"1","journalAbbreviation":"Afr J Emerg Med","language":"eng","note":"PMID: 30456061\nPMCID: PMC6233235","page":"30-37","source":"PubMed","title":"Availability of resources for emergency care at a second-level hospital in Ghana: A mixed methods assessment","title-short":"Availability of resources for emergency care at a second-level hospital in Ghana","volume":"6","author":[{"family":"Japiong","given":"Kennedy B."},{"family":"Asiamah","given":"Godfried"},{"family":"Owusu-Dabo","given":"Ellis"},{"family":"Donkor","given":"Peter"},{"family":"Stewart","given":"Barclay"},{"family":"Ebel","given":"Beth E."},{"family":"Mock","given":"Charles N."}],"issued":{"date-parts":[["2016",3]]}}}],"schema":"https://github.com/citation-style-language/schema/raw/master/csl-citation.json"}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(13,25)</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Availability of Essential Clinical Medical Supplies in Rural Primary Healthcare Facilities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The findings of this study reveal significant disparities and inconsistencies in the availability of key medical supplies such as IV fluids, IV equipment, oxygen, and blood products. These disparities have direct implications for timely and effective patient care, particularly in emergencies where every minute counts.</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Intravenous (IV) Fluids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availability of IV fluids—a cornerstone in emergency resuscitation, dehydration management, and shock treatment—was concerning. Only </w:t>
      </w:r>
      <w:r>
        <w:rPr>
          <w:rFonts w:ascii="Times New Roman" w:hAnsi="Times New Roman" w:cs="Times New Roman"/>
          <w:b/>
          <w:bCs/>
          <w:sz w:val="24"/>
          <w:szCs w:val="24"/>
        </w:rPr>
        <w:t>12%</w:t>
      </w:r>
      <w:r>
        <w:rPr>
          <w:rFonts w:ascii="Times New Roman" w:hAnsi="Times New Roman" w:cs="Times New Roman"/>
          <w:sz w:val="24"/>
          <w:szCs w:val="24"/>
        </w:rPr>
        <w:t xml:space="preserve"> of nurses reported that IV fluids were always available, while a larger proportion (</w:t>
      </w:r>
      <w:r>
        <w:rPr>
          <w:rFonts w:ascii="Times New Roman" w:hAnsi="Times New Roman" w:cs="Times New Roman"/>
          <w:b/>
          <w:bCs/>
          <w:sz w:val="24"/>
          <w:szCs w:val="24"/>
        </w:rPr>
        <w:t>88%</w:t>
      </w:r>
      <w:r>
        <w:rPr>
          <w:rFonts w:ascii="Times New Roman" w:hAnsi="Times New Roman" w:cs="Times New Roman"/>
          <w:sz w:val="24"/>
          <w:szCs w:val="24"/>
        </w:rPr>
        <w:t>) indicated they were never available. This gap is alarming, as IV fluid therapy is often the first-line intervention in many emergency scenarios. According to the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{"citationID":"53foLlNS","properties":{"formattedCitation":"(26)","plainCitation":"(26)","noteIndex":0},"citationItems":[{"id":364,"uris":["http://zotero.org/users/local/fuyxLwzY/items/KT8XPGIX"],"itemData":{"id":364,"type":"report","title":"Emergency care systems for universal health coverage: Ensuring timely care for the acutely ill and injured. Geneva: WHO.","author":[{"family":"","given":"World Health Organization"}],"issued":{"date-parts":[["2019"]]}}}],"schema":"https://github.com/citation-style-language/schema/raw/master/csl-citation.json"}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t>Ensuring uninterrupted access to essential emergency supplies, including IV fluids, is a basic requirement for effective emergency care systems, particularly in rural settings where referral delays are common.</w:t>
      </w:r>
    </w:p>
    <w:p w:rsidR="007D4E8D" w:rsidRDefault="007D4E8D" w:rsidP="00903FC6">
      <w:pPr>
        <w:rPr>
          <w:rFonts w:ascii="Times New Roman" w:hAnsi="Times New Roman" w:cs="Times New Roman"/>
          <w:b/>
          <w:bCs/>
          <w:sz w:val="24"/>
          <w:szCs w:val="24"/>
        </w:rPr>
      </w:pPr>
    </w:p>
    <w:p w:rsidR="007D4E8D" w:rsidRDefault="007D4E8D" w:rsidP="00903FC6">
      <w:pPr>
        <w:rPr>
          <w:rFonts w:ascii="Times New Roman" w:hAnsi="Times New Roman" w:cs="Times New Roman"/>
          <w:b/>
          <w:bCs/>
          <w:sz w:val="24"/>
          <w:szCs w:val="24"/>
        </w:rPr>
      </w:pPr>
    </w:p>
    <w:p w:rsidR="007D4E8D" w:rsidRDefault="007D4E8D" w:rsidP="00903FC6">
      <w:pPr>
        <w:rPr>
          <w:rFonts w:ascii="Times New Roman" w:hAnsi="Times New Roman" w:cs="Times New Roman"/>
          <w:b/>
          <w:bCs/>
          <w:sz w:val="24"/>
          <w:szCs w:val="24"/>
        </w:rPr>
      </w:pP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lastRenderedPageBreak/>
        <w:t>IV Equipment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A similar trend of inconsistency was noted with IV equipment, such as cannulas, giving sets, and infusion lines. Only </w:t>
      </w:r>
      <w:r>
        <w:rPr>
          <w:rFonts w:ascii="Times New Roman" w:hAnsi="Times New Roman" w:cs="Times New Roman"/>
          <w:b/>
          <w:bCs/>
          <w:sz w:val="24"/>
          <w:szCs w:val="24"/>
        </w:rPr>
        <w:t>25.2%</w:t>
      </w:r>
      <w:r>
        <w:rPr>
          <w:rFonts w:ascii="Times New Roman" w:hAnsi="Times New Roman" w:cs="Times New Roman"/>
          <w:sz w:val="24"/>
          <w:szCs w:val="24"/>
        </w:rPr>
        <w:t xml:space="preserve"> of respondents stated that this equipment was always available, while 74.8</w:t>
      </w:r>
      <w:r>
        <w:rPr>
          <w:rFonts w:ascii="Times New Roman" w:hAnsi="Times New Roman" w:cs="Times New Roman"/>
          <w:b/>
          <w:bCs/>
          <w:sz w:val="24"/>
          <w:szCs w:val="24"/>
        </w:rPr>
        <w:t>%</w:t>
      </w:r>
      <w:r>
        <w:rPr>
          <w:rFonts w:ascii="Times New Roman" w:hAnsi="Times New Roman" w:cs="Times New Roman"/>
          <w:sz w:val="24"/>
          <w:szCs w:val="24"/>
        </w:rPr>
        <w:t xml:space="preserve"> reported it was never available.  These findings reflect operational vulnerabilities in supply chain management and inventory control. Studies by Aderaw and Getinet (2023) have emphasized that the unavailability of basic medical tools in rural African facilities is a major barrier to achieving universal health coverage and emergency responsiveness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{"citationID":"KrJnVUxm","properties":{"formattedCitation":"(27)","plainCitation":"(27)","noteIndex":0},"citationItems":[{"id":358,"uris":["http://zotero.org/users/local/fuyxLwzY/items/86HU3Z9Z"],"itemData":{"id":358,"type":"article-journal","container-title":"ClinicoEconomics and Outcomes Research","DOI":"10.2147/CEOR.S413546","ISSN":"1178-6981","journalAbbreviation":"CEOR","language":"en","license":"https://creativecommons.org/licenses/by-nc/3.0/","page":"443-458","source":"DOI.org (Crossref)","title":"Challenges to the Availability and Affordability of Essential Medicines in African Countries: A Scoping Review","title-short":"Challenges to the Availability and Affordability of Essential Medicines in African Countries","volume":"Volume 15","author":[{"family":"Yenet","given":"Aderaw"},{"family":"Nibret","given":"Getinet"},{"family":"Tegegne","given":"Bantayehu Addis"}],"issued":{"date-parts":[["2023",6]]}}}],"schema":"https://github.com/citation-style-language/schema/raw/master/csl-citation.json"}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Oxygen Supplies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Oxygen therapy is vital in managing respiratory distress, cardiac arrest, trauma, and neonatal emergencies. The results showed that </w:t>
      </w:r>
      <w:r>
        <w:rPr>
          <w:rFonts w:ascii="Times New Roman" w:hAnsi="Times New Roman" w:cs="Times New Roman"/>
          <w:b/>
          <w:bCs/>
          <w:sz w:val="24"/>
          <w:szCs w:val="24"/>
        </w:rPr>
        <w:t>31%</w:t>
      </w:r>
      <w:r>
        <w:rPr>
          <w:rFonts w:ascii="Times New Roman" w:hAnsi="Times New Roman" w:cs="Times New Roman"/>
          <w:sz w:val="24"/>
          <w:szCs w:val="24"/>
        </w:rPr>
        <w:t xml:space="preserve"> of nurses had consistent access to oxygen supplies, while </w:t>
      </w:r>
      <w:r>
        <w:rPr>
          <w:rFonts w:ascii="Times New Roman" w:hAnsi="Times New Roman" w:cs="Times New Roman"/>
          <w:b/>
          <w:bCs/>
          <w:sz w:val="24"/>
          <w:szCs w:val="24"/>
        </w:rPr>
        <w:t>69%</w:t>
      </w:r>
      <w:r>
        <w:rPr>
          <w:rFonts w:ascii="Times New Roman" w:hAnsi="Times New Roman" w:cs="Times New Roman"/>
          <w:sz w:val="24"/>
          <w:szCs w:val="24"/>
        </w:rPr>
        <w:t xml:space="preserve"> reported no access at all. The persistent gap in access underlines the need for further investment in oxygen concentrators, cylinder supplies, and maintenance systems. According to the </w:t>
      </w:r>
      <w:r>
        <w:rPr>
          <w:rFonts w:ascii="Times New Roman" w:hAnsi="Times New Roman" w:cs="Times New Roman"/>
          <w:i/>
          <w:iCs/>
          <w:sz w:val="24"/>
          <w:szCs w:val="24"/>
        </w:rPr>
        <w:t>Lancet Global Health Commission on High-Quality Health Systems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{"citationID":"XlmGLohw","properties":{"formattedCitation":"(13)","plainCitation":"(13)","noteIndex":0},"citationItems":[{"id":324,"uris":["http://zotero.org/users/local/fuyxLwzY/items/EAIUER4R"],"itemData":{"id":324,"type":"article-journal","container-title":"The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Y"},{"family":"Pate","given":"Muhammad"}],"issued":{"date-parts":[["2018",11]]}},"locator":"201"}],"schema":"https://github.com/citation-style-language/schema/raw/master/csl-citation.json"}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consistent oxygen availability is a critical quality metric for any emergency-capable facility.</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Blood Products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Blood products showed a non-availability of 93.7% response, and 6.3% of respondents indicated availability. As shown by Lowalekar and Ravichandran (2017), even modest gaps in blood availability can lead to preventable deaths in emergencies, especially in low-resource settings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{"citationID":"cuigxTfH","properties":{"formattedCitation":"(28)","plainCitation":"(28)","noteIndex":0},"citationItems":[{"id":361,"uris":["http://zotero.org/users/local/fuyxLwzY/items/S9G79BMD"],"itemData":{"id":361,"type":"article-journal","abstract":"Abstract\n            This paper analyses the performance of an ordering policy for hospital blood banks (HBBs) that takes into account the information regarding the on‐hand stock along with the remaining life of blood products. The blood items are assumed to start aging as soon as they have been collected. We develop a simulation model to show that the combined age‐and‐stock‐based policy would outperform some of the popular periodic reviews and continuous review policies in controlling total costs by about 5% on an average basis. Our results show that the suggested policy will reduce the total operational cost of managing platelets, which have a very short shelf life, by about 27% at a real‐life HBB. The policy will also lead to about 7% reduction in the total cost of the negative blood groups, which are characterized by extremely erratic demand patterns. The implementation of the ordering policy will help HBBs to reduce their operational costs while ensuring a minimum desirable level of the availability of critical blood products.","container-title":"International Transactions in Operational Research","DOI":"10.1111/itor.12189","ISSN":"0969-6016, 1475-3995","issue":"6","journalAbbreviation":"Int Trans Operational Res","language":"en","page":"1561-1586","source":"DOI.org (Crossref)","title":"A combined age‐and‐stock‐based policy for ordering blood units in hospital blood banks","volume":"24","author":[{"family":"Lowalekar","given":"Harshal"},{"family":"Ravichandran","given":"N."}],"issued":{"date-parts":[["2017",11]]}}}],"schema":"https://github.com/citation-style-language/schema/raw/master/csl-citation.json"}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sz w:val="24"/>
          <w:szCs w:val="24"/>
        </w:rPr>
      </w:pPr>
      <w:bookmarkStart w:id="4" w:name="_Hlk202326586"/>
      <w:r>
        <w:rPr>
          <w:rFonts w:ascii="Times New Roman" w:hAnsi="Times New Roman" w:cs="Times New Roman"/>
          <w:sz w:val="24"/>
          <w:szCs w:val="24"/>
        </w:rPr>
        <w:t>The irregular access to IV fluids and equipment, in particular, suggests a fragile emergency care foundation. This compromises patient stabilization at the primary care level, increasing the risk of deterioration during referrals or transit.</w:t>
      </w:r>
    </w:p>
    <w:p w:rsidR="00903FC6" w:rsidRDefault="00903FC6" w:rsidP="00903FC6">
      <w:pPr>
        <w:rPr>
          <w:rFonts w:ascii="Times New Roman" w:hAnsi="Times New Roman" w:cs="Times New Roman"/>
          <w:b/>
          <w:sz w:val="24"/>
          <w:szCs w:val="24"/>
          <w:u w:val="single"/>
        </w:rPr>
      </w:pPr>
      <w:bookmarkStart w:id="5" w:name="_Hlk202326650"/>
      <w:bookmarkEnd w:id="4"/>
      <w:r>
        <w:rPr>
          <w:rFonts w:ascii="Times New Roman" w:hAnsi="Times New Roman" w:cs="Times New Roman"/>
          <w:b/>
          <w:sz w:val="24"/>
          <w:szCs w:val="24"/>
          <w:u w:val="single"/>
        </w:rPr>
        <w:t>To assess the training and preparedness of nurses and midwives in managing emergencies.</w:t>
      </w:r>
    </w:p>
    <w:p w:rsidR="00903FC6" w:rsidRDefault="00903FC6" w:rsidP="00903FC6">
      <w:pPr>
        <w:rPr>
          <w:rFonts w:ascii="Times New Roman" w:hAnsi="Times New Roman" w:cs="Times New Roman"/>
          <w:bCs/>
          <w:sz w:val="24"/>
          <w:szCs w:val="24"/>
        </w:rPr>
      </w:pPr>
      <w:r>
        <w:rPr>
          <w:rFonts w:ascii="Times New Roman" w:hAnsi="Times New Roman" w:cs="Times New Roman"/>
          <w:bCs/>
          <w:sz w:val="24"/>
          <w:szCs w:val="24"/>
        </w:rPr>
        <w:t>Regarding the preparedness of PHC, 81.3% had not undergone formal emergency training. More than one-third (37.5%) never practiced emergency skills, 31.3% did so occasionally, and 25% rarely. Transportation challenges during emergencies were common. Approximately 63.4% of respondents noted occasional delays, and an overwhelming 87.5% of respondents reported facing challenges when referring patients to higher-level facilities. Some key challenges identified included a lack of ambulance services (49.1%), distance to referral hospitals (25%), as well as poor communication between facilities (13.4%).</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The findings above is similar a</w:t>
      </w:r>
      <w:bookmarkEnd w:id="5"/>
      <w:r>
        <w:rPr>
          <w:rFonts w:ascii="Times New Roman" w:hAnsi="Times New Roman" w:cs="Times New Roman"/>
          <w:sz w:val="24"/>
          <w:szCs w:val="24"/>
        </w:rPr>
        <w:t xml:space="preserve"> survey conducted in the last quarter of 2015 among a cross section of healthcare workers in Ghana to assess their level of preparedness to handle cases of Ebola Virus Diease (EVD) which was seen as emergency response, for each ten(10) respondents about nine(9) thought they were not adequately trained to handle a potential emergency response; one in every four of them thought their health facilities were ill-equipped to respond to emergency response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{"citationID":"yewfKOMO","properties":{"formattedCitation":"(29)","plainCitation":"(29)","noteIndex":0},"citationItems":[{"id":394,"uris":["http://zotero.org/users/local/fuyxLwzY/items/QWPNTBWZ"],"itemData":{"id":394,"type":"article-journal","container-title":"BMC Public Health","DOI":"10.1186/s12889-017-4474-6","ISSN":"1471-2458","issue":"1","language":"en","note":"publisher: Springer Science and Business Media LLC","source":"Crossref","title":"Health care workers indicate ill preparedness for Ebola Virus Disease outbreak in Ashanti Region of Ghana","URL":"http://bmcpublichealth.biomedcentral.com/articles/10.1186/s12889-017-4474-6","volume":"17","author":[{"family":"Annan","given":"Augustina Angelina"},{"family":"Yar","given":"Denis Dekugmen"},{"family":"Owusu","given":"Michael"},{"family":"Biney","given":"Eno Akua"},{"family":"Forson","given":"Paa Kobina"},{"family":"Okyere","given":"Portia Boakye"},{"family":"Gyimah","given":"Akosua Adumea"},{"family":"Owusu-Dabo","given":"Ellis"}],"accessed":{"date-parts":[["2025",7,20]]},"issued":{"date-parts":[["2017",12]]}}}],"schema":"https://github.com/citation-style-language/schema/raw/master/csl-citation.json"}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t xml:space="preserve">. This observation calls for the World Health Organization’s </w:t>
      </w:r>
      <w:r>
        <w:rPr>
          <w:rFonts w:ascii="Times New Roman" w:hAnsi="Times New Roman" w:cs="Times New Roman"/>
          <w:i/>
          <w:iCs/>
          <w:sz w:val="24"/>
          <w:szCs w:val="24"/>
        </w:rPr>
        <w:t>Emergency Care Systems Framework</w:t>
      </w:r>
      <w:r>
        <w:rPr>
          <w:rFonts w:ascii="Times New Roman" w:hAnsi="Times New Roman" w:cs="Times New Roman"/>
          <w:sz w:val="24"/>
          <w:szCs w:val="24"/>
        </w:rPr>
        <w:t xml:space="preserve"> (2019), which recommends integrating emergency preparedness into </w:t>
      </w:r>
      <w:r>
        <w:rPr>
          <w:rFonts w:ascii="Times New Roman" w:hAnsi="Times New Roman" w:cs="Times New Roman"/>
          <w:sz w:val="24"/>
          <w:szCs w:val="24"/>
        </w:rPr>
        <w:lastRenderedPageBreak/>
        <w:t>primary care systems, especially in rural and resource-limited contexts, as part of broader health systems strengthening.</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Strategies to Enhance Emergency Preparedness in Rural Primary Healthcare Facilities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The recommendations and opinions shared by nurses and midwives are particularly insightful for informing future interventions and policy.</w:t>
      </w:r>
    </w:p>
    <w:p w:rsidR="00903FC6" w:rsidRDefault="00903FC6" w:rsidP="00903FC6">
      <w:pPr>
        <w:rPr>
          <w:rFonts w:ascii="Times New Roman" w:hAnsi="Times New Roman" w:cs="Times New Roman"/>
          <w:b/>
          <w:bCs/>
          <w:sz w:val="24"/>
          <w:szCs w:val="24"/>
        </w:rPr>
      </w:pPr>
      <w:r>
        <w:rPr>
          <w:rFonts w:ascii="Times New Roman" w:hAnsi="Times New Roman" w:cs="Times New Roman"/>
          <w:sz w:val="24"/>
          <w:szCs w:val="24"/>
        </w:rPr>
        <w:t>Provision of Medical Equipment and Supplies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most widely recommended strategy was the </w:t>
      </w:r>
      <w:r>
        <w:rPr>
          <w:rFonts w:ascii="Times New Roman" w:hAnsi="Times New Roman" w:cs="Times New Roman"/>
          <w:b/>
          <w:bCs/>
          <w:sz w:val="24"/>
          <w:szCs w:val="24"/>
        </w:rPr>
        <w:t>provision of more medical equipment and supplies</w:t>
      </w:r>
      <w:r>
        <w:rPr>
          <w:rFonts w:ascii="Times New Roman" w:hAnsi="Times New Roman" w:cs="Times New Roman"/>
          <w:sz w:val="24"/>
          <w:szCs w:val="24"/>
        </w:rPr>
        <w:t xml:space="preserve">, cited by </w:t>
      </w:r>
      <w:r>
        <w:rPr>
          <w:rFonts w:ascii="Times New Roman" w:hAnsi="Times New Roman" w:cs="Times New Roman"/>
          <w:b/>
          <w:bCs/>
          <w:sz w:val="24"/>
          <w:szCs w:val="24"/>
        </w:rPr>
        <w:t>210 participants</w:t>
      </w:r>
      <w:r>
        <w:rPr>
          <w:rFonts w:ascii="Times New Roman" w:hAnsi="Times New Roman" w:cs="Times New Roman"/>
          <w:sz w:val="24"/>
          <w:szCs w:val="24"/>
        </w:rPr>
        <w:t>. This aligns with earlier findings from the study that revealed severe deficits in emergency equipment such as Automated External Defibrillators (AEDs), suction machines, IV fluids, and oxygen. Without adequate tools, healthcare workers are unable to provide basic life-saving interventions. The World Health Organization (WHO, 2021) identifies equipment readiness as one of the key pillars of emergency care capacity, particularly in resource-limited settings. Bridging these gaps would require strengthened procurement systems, routine inventory audits, and preventive maintenance protocols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{"citationID":"tNVvGRC0","properties":{"formattedCitation":"(26)","plainCitation":"(26)","noteIndex":0},"citationItems":[{"id":364,"uris":["http://zotero.org/users/local/fuyxLwzY/items/KT8XPGIX"],"itemData":{"id":364,"type":"report","title":"Emergency care systems for universal health coverage: Ensuring timely care for the acutely ill and injured. Geneva: WHO.","author":[{"family":"","given":"World Health Organization"}],"issued":{"date-parts":[["2019"]]}},"locator":"202"}],"schema":"https://github.com/citation-style-language/schema/raw/master/csl-citation.json"}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b/>
          <w:bCs/>
          <w:sz w:val="24"/>
          <w:szCs w:val="24"/>
        </w:rPr>
      </w:pPr>
      <w:r>
        <w:rPr>
          <w:rFonts w:ascii="Times New Roman" w:hAnsi="Times New Roman" w:cs="Times New Roman"/>
          <w:sz w:val="24"/>
          <w:szCs w:val="24"/>
        </w:rPr>
        <w:t>Regular Training and Emergency Drills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need for </w:t>
      </w:r>
      <w:r>
        <w:rPr>
          <w:rFonts w:ascii="Times New Roman" w:hAnsi="Times New Roman" w:cs="Times New Roman"/>
          <w:b/>
          <w:bCs/>
          <w:sz w:val="24"/>
          <w:szCs w:val="24"/>
        </w:rPr>
        <w:t>continuous professional development and emergency training</w:t>
      </w:r>
      <w:r>
        <w:rPr>
          <w:rFonts w:ascii="Times New Roman" w:hAnsi="Times New Roman" w:cs="Times New Roman"/>
          <w:sz w:val="24"/>
          <w:szCs w:val="24"/>
        </w:rPr>
        <w:t xml:space="preserve"> was emphasized by </w:t>
      </w:r>
      <w:r>
        <w:rPr>
          <w:rFonts w:ascii="Times New Roman" w:hAnsi="Times New Roman" w:cs="Times New Roman"/>
          <w:b/>
          <w:bCs/>
          <w:sz w:val="24"/>
          <w:szCs w:val="24"/>
        </w:rPr>
        <w:t>210 respondents</w:t>
      </w:r>
      <w:r>
        <w:rPr>
          <w:rFonts w:ascii="Times New Roman" w:hAnsi="Times New Roman" w:cs="Times New Roman"/>
          <w:sz w:val="24"/>
          <w:szCs w:val="24"/>
        </w:rPr>
        <w:t xml:space="preserve">, with </w:t>
      </w:r>
      <w:r>
        <w:rPr>
          <w:rFonts w:ascii="Times New Roman" w:hAnsi="Times New Roman" w:cs="Times New Roman"/>
          <w:b/>
          <w:bCs/>
          <w:sz w:val="24"/>
          <w:szCs w:val="24"/>
        </w:rPr>
        <w:t>168</w:t>
      </w:r>
      <w:r>
        <w:rPr>
          <w:rFonts w:ascii="Times New Roman" w:hAnsi="Times New Roman" w:cs="Times New Roman"/>
          <w:sz w:val="24"/>
          <w:szCs w:val="24"/>
        </w:rPr>
        <w:t xml:space="preserve"> also advocating for </w:t>
      </w:r>
      <w:r>
        <w:rPr>
          <w:rFonts w:ascii="Times New Roman" w:hAnsi="Times New Roman" w:cs="Times New Roman"/>
          <w:b/>
          <w:bCs/>
          <w:sz w:val="24"/>
          <w:szCs w:val="24"/>
        </w:rPr>
        <w:t>regular emergency drills</w:t>
      </w:r>
      <w:r>
        <w:rPr>
          <w:rFonts w:ascii="Times New Roman" w:hAnsi="Times New Roman" w:cs="Times New Roman"/>
          <w:sz w:val="24"/>
          <w:szCs w:val="24"/>
        </w:rPr>
        <w:t>.  As noted by  Boateng-Osei et al (2023), training builds resilience, fosters clinical decision-making in high-pressure environments, and enhances teamwork during emergencies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{"citationID":"DTtGSAgr","properties":{"formattedCitation":"(8)","plainCitation":"(8)","noteIndex":0},"citationItems":[{"id":317,"uris":["http://zotero.org/users/local/fuyxLwzY/items/VVA6BT7R"],"itemData":{"id":317,"type":"article-journal","container-title":"African Journal of Emergency Medicine","DOI":"10.1016/j.afjem.2023.05.001","ISSN":"2211419X","issue":"3","journalAbbreviation":"African Journal of Emergency Medicine","language":"en","page":"152-156","source":"DOI.org (Crossref)","title":"Emergency preparedness capacity of a university hospital in Ghana: a cross-sectional study","title-short":"Emergency preparedness capacity of a university hospital in Ghana","volume":"13","author":[{"family":"Boateng-Osei","given":"Estella Antoinette"},{"family":"Osei","given":"Isaac"},{"family":"Diji","given":"Abigail Kusi-Amponsah"},{"family":"Pambour","given":"Bernice Agyeman"},{"family":"Wireko-Gyebi","given":"Rejoice"},{"family":"Okyere","given":"Portia"},{"family":"Lomotey","given":"Alberta Yemotsoo"}],"issued":{"date-parts":[["2023",9]]}},"label":"page"}],"schema":"https://github.com/citation-style-language/schema/raw/master/csl-citation.json"}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b/>
          <w:bCs/>
          <w:sz w:val="24"/>
          <w:szCs w:val="24"/>
        </w:rPr>
      </w:pPr>
      <w:r>
        <w:rPr>
          <w:rFonts w:ascii="Times New Roman" w:hAnsi="Times New Roman" w:cs="Times New Roman"/>
          <w:sz w:val="24"/>
          <w:szCs w:val="24"/>
        </w:rPr>
        <w:t>Improved Referral and Transportation Systems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call for </w:t>
      </w:r>
      <w:r>
        <w:rPr>
          <w:rFonts w:ascii="Times New Roman" w:hAnsi="Times New Roman" w:cs="Times New Roman"/>
          <w:b/>
          <w:bCs/>
          <w:sz w:val="24"/>
          <w:szCs w:val="24"/>
        </w:rPr>
        <w:t>better referral systems and transportation networks</w:t>
      </w:r>
      <w:r>
        <w:rPr>
          <w:rFonts w:ascii="Times New Roman" w:hAnsi="Times New Roman" w:cs="Times New Roman"/>
          <w:sz w:val="24"/>
          <w:szCs w:val="24"/>
        </w:rPr>
        <w:t xml:space="preserve"> by </w:t>
      </w:r>
      <w:r>
        <w:rPr>
          <w:rFonts w:ascii="Times New Roman" w:hAnsi="Times New Roman" w:cs="Times New Roman"/>
          <w:b/>
          <w:bCs/>
          <w:sz w:val="24"/>
          <w:szCs w:val="24"/>
        </w:rPr>
        <w:t>182 participants</w:t>
      </w:r>
      <w:r>
        <w:rPr>
          <w:rFonts w:ascii="Times New Roman" w:hAnsi="Times New Roman" w:cs="Times New Roman"/>
          <w:sz w:val="24"/>
          <w:szCs w:val="24"/>
        </w:rPr>
        <w:t xml:space="preserve"> reflects the operational realities of rural care. As Kruk et al. (2018) assert, an integrated emergency referral system—including mobile communication tools and well-coordinated transport—is essential to achieving equitable emergency care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{"citationID":"lwMF0IEO","properties":{"formattedCitation":"(13)","plainCitation":"(13)","noteIndex":0},"citationItems":[{"id":324,"uris":["http://zotero.org/users/local/fuyxLwzY/items/EAIUER4R"],"itemData":{"id":324,"type":"article-journal","container-title":"The Lancet Global Health","DOI":"10.1016/S2214-109X(18)30386-3","ISSN":"2214109X","issue":"11","journalAbbreviation":"The Lancet Global Health","language":"en","page":"e1196-e1252","source":"DOI.org (Crossref)","title":"High-quality health systems in the Sustainable Development Goals era: time for a revolution","title-short":"High-quality health systems in the Sustainable Development Goals era","volume":"6","author":[{"family":"Kruk","given":"Margaret E"},{"family":"Gage","given":"Anna D"},{"family":"Arsenault","given":"Catherine"},{"family":"Jordan","given":"Keely"},{"family":"Leslie","given":"Hannah H"},{"family":"Roder-DeWan","given":"Sanam"},{"family":"Adeyi","given":"Olusoji"},{"family":"Barker","given":"Pierre"},{"family":"Daelmans","given":"Bernadette"},{"family":"Doubova","given":"Svetlana V"},{"family":"English","given":"Mike"},{"family":"García-Elorrio","given":"Ezequiel"},{"family":"Guanais","given":"Frederico"},{"family":"Gureje","given":"Oye"},{"family":"Hirschhorn","given":"Lisa R"},{"family":"Jiang","given":"Lixin"},{"family":"Kelley","given":"Edward"},{"family":"Lemango","given":"Ephrem Tekle"},{"family":"Liljestrand","given":"Jerker"},{"family":"Malata","given":"Address"},{"family":"Marchant","given":"Tanya"},{"family":"Matsoso","given":"Malebona Precious"},{"family":"Meara","given":"John G"},{"family":"Mohanan","given":"Manoj"},{"family":"Ndiaye","given":"Youssoupha"},{"family":"Norheim","given":"Ole F"},{"family":"Reddy","given":"K Srinath"},{"family":"Rowe","given":"Alexander K"},{"family":"Salomon","given":"Joshua A"},{"family":"Thapa","given":"Gagan"},{"family":"Twum-Danso","given":"Nana A Y"},{"family":"Pate","given":"Muhammad"}],"issued":{"date-parts":[["2018",11]]}}}],"schema":"https://github.com/citation-style-language/schema/raw/master/csl-citation.json"}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b/>
          <w:bCs/>
          <w:sz w:val="24"/>
          <w:szCs w:val="24"/>
        </w:rPr>
      </w:pPr>
      <w:r>
        <w:rPr>
          <w:rFonts w:ascii="Times New Roman" w:hAnsi="Times New Roman" w:cs="Times New Roman"/>
          <w:sz w:val="24"/>
          <w:szCs w:val="24"/>
        </w:rPr>
        <w:t>Increased Staffing and Human Resource Support</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Staff shortages</w:t>
      </w:r>
      <w:r>
        <w:rPr>
          <w:rFonts w:ascii="Times New Roman" w:hAnsi="Times New Roman" w:cs="Times New Roman"/>
          <w:sz w:val="24"/>
          <w:szCs w:val="24"/>
        </w:rPr>
        <w:t xml:space="preserve"> emerged both as a barrier (identified by </w:t>
      </w:r>
      <w:r>
        <w:rPr>
          <w:rFonts w:ascii="Times New Roman" w:hAnsi="Times New Roman" w:cs="Times New Roman"/>
          <w:b/>
          <w:bCs/>
          <w:sz w:val="24"/>
          <w:szCs w:val="24"/>
        </w:rPr>
        <w:t>196 participants</w:t>
      </w:r>
      <w:r>
        <w:rPr>
          <w:rFonts w:ascii="Times New Roman" w:hAnsi="Times New Roman" w:cs="Times New Roman"/>
          <w:sz w:val="24"/>
          <w:szCs w:val="24"/>
        </w:rPr>
        <w:t>) and as a recommendation (</w:t>
      </w:r>
      <w:r>
        <w:rPr>
          <w:rFonts w:ascii="Times New Roman" w:hAnsi="Times New Roman" w:cs="Times New Roman"/>
          <w:b/>
          <w:bCs/>
          <w:sz w:val="24"/>
          <w:szCs w:val="24"/>
        </w:rPr>
        <w:t>170 responses</w:t>
      </w:r>
      <w:r>
        <w:rPr>
          <w:rFonts w:ascii="Times New Roman" w:hAnsi="Times New Roman" w:cs="Times New Roman"/>
          <w:sz w:val="24"/>
          <w:szCs w:val="24"/>
        </w:rPr>
        <w:t xml:space="preserve"> calling for increased staffing). In rural Ghana, nurse-to-patient ratios are often stretched, and limited numbers of clinical staff are expected to manage a wide range of emergency scenarios. The WHO (2020) notes that sufficient and well-distributed human resources are critical to achieving Universal Health Coverage (UHC) goals. </w:t>
      </w:r>
    </w:p>
    <w:p w:rsidR="00903FC6" w:rsidRDefault="00903FC6" w:rsidP="00903FC6">
      <w:pPr>
        <w:rPr>
          <w:rFonts w:ascii="Times New Roman" w:hAnsi="Times New Roman" w:cs="Times New Roman"/>
          <w:b/>
          <w:bCs/>
          <w:sz w:val="24"/>
          <w:szCs w:val="24"/>
        </w:rPr>
      </w:pPr>
      <w:r>
        <w:rPr>
          <w:rFonts w:ascii="Times New Roman" w:hAnsi="Times New Roman" w:cs="Times New Roman"/>
          <w:sz w:val="24"/>
          <w:szCs w:val="24"/>
        </w:rPr>
        <w:t>Enhanced Communication and Coordination</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Improved communication systems</w:t>
      </w:r>
      <w:r>
        <w:rPr>
          <w:rFonts w:ascii="Times New Roman" w:hAnsi="Times New Roman" w:cs="Times New Roman"/>
          <w:sz w:val="24"/>
          <w:szCs w:val="24"/>
        </w:rPr>
        <w:t xml:space="preserve"> were recommended by </w:t>
      </w:r>
      <w:r>
        <w:rPr>
          <w:rFonts w:ascii="Times New Roman" w:hAnsi="Times New Roman" w:cs="Times New Roman"/>
          <w:b/>
          <w:bCs/>
          <w:sz w:val="24"/>
          <w:szCs w:val="24"/>
        </w:rPr>
        <w:t>86 participants</w:t>
      </w:r>
      <w:r>
        <w:rPr>
          <w:rFonts w:ascii="Times New Roman" w:hAnsi="Times New Roman" w:cs="Times New Roman"/>
          <w:sz w:val="24"/>
          <w:szCs w:val="24"/>
        </w:rPr>
        <w:t xml:space="preserve"> and identified as a barrier by </w:t>
      </w:r>
      <w:r>
        <w:rPr>
          <w:rFonts w:ascii="Times New Roman" w:hAnsi="Times New Roman" w:cs="Times New Roman"/>
          <w:b/>
          <w:bCs/>
          <w:sz w:val="24"/>
          <w:szCs w:val="24"/>
        </w:rPr>
        <w:t>72</w:t>
      </w:r>
      <w:r>
        <w:rPr>
          <w:rFonts w:ascii="Times New Roman" w:hAnsi="Times New Roman" w:cs="Times New Roman"/>
          <w:sz w:val="24"/>
          <w:szCs w:val="24"/>
        </w:rPr>
        <w:t xml:space="preserve"> others. Incorporating reliable mobile health (mHealth) solutions, two-way radios, or simple hotline systems could significantly enhance coordination during emergencies. As suggested by recent innovations in rural health delivery (Roberts et al., 2016), digital tools can bridge geographic and logistical divides, especially in low-resource areas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Ua5ucyL","properties":{"formattedCitation":"(30)","plainCitation":"(30)","noteIndex":0},"citationItems":[{"id":360,"uris":["http://zotero.org/users/local/fuyxLwzY/items/CREGEF45"],"itemData":{"id":360,"type":"article-journal","container-title":"Hematology/Oncology Clinics of North America","DOI":"10.1016/j.hoc.2015.11.011","ISSN":"08898588","issue":"2","journalAbbreviation":"Hematology/Oncology Clinics of North America","language":"en","page":"477-495","source":"DOI.org (Crossref)","title":"Problems and Approaches for Blood Transfusion in the Developing Countries","volume":"30","author":[{"family":"Roberts","given":"David J."},{"family":"Field","given":"Stephen"},{"family":"Delaney","given":"Meghan"},{"family":"Bates","given":"Imelda"}],"issued":{"date-parts":[["2016",4]]}}}],"schema":"https://github.com/citation-style-language/schema/raw/master/csl-citation.json"}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t>.</w:t>
      </w:r>
    </w:p>
    <w:p w:rsidR="00903FC6" w:rsidRDefault="00903FC6" w:rsidP="00903FC6">
      <w:pPr>
        <w:rPr>
          <w:rFonts w:ascii="Times New Roman" w:hAnsi="Times New Roman" w:cs="Times New Roman"/>
          <w:b/>
          <w:bCs/>
          <w:sz w:val="24"/>
          <w:szCs w:val="24"/>
        </w:rPr>
      </w:pPr>
      <w:r>
        <w:rPr>
          <w:rFonts w:ascii="Times New Roman" w:hAnsi="Times New Roman" w:cs="Times New Roman"/>
          <w:sz w:val="24"/>
          <w:szCs w:val="24"/>
        </w:rPr>
        <w:lastRenderedPageBreak/>
        <w:t>Diverse Emergency Case Profiles and Implications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Participants reported encountering a broad spectrum of emergencies: </w:t>
      </w:r>
      <w:r>
        <w:rPr>
          <w:rFonts w:ascii="Times New Roman" w:hAnsi="Times New Roman" w:cs="Times New Roman"/>
          <w:b/>
          <w:bCs/>
          <w:sz w:val="24"/>
          <w:szCs w:val="24"/>
        </w:rPr>
        <w:t>trauma cases</w:t>
      </w:r>
      <w:r>
        <w:rPr>
          <w:rFonts w:ascii="Times New Roman" w:hAnsi="Times New Roman" w:cs="Times New Roman"/>
          <w:sz w:val="24"/>
          <w:szCs w:val="24"/>
        </w:rPr>
        <w:t xml:space="preserve"> (208), </w:t>
      </w:r>
      <w:r>
        <w:rPr>
          <w:rFonts w:ascii="Times New Roman" w:hAnsi="Times New Roman" w:cs="Times New Roman"/>
          <w:b/>
          <w:bCs/>
          <w:sz w:val="24"/>
          <w:szCs w:val="24"/>
        </w:rPr>
        <w:t>obstetric emergencies</w:t>
      </w:r>
      <w:r>
        <w:rPr>
          <w:rFonts w:ascii="Times New Roman" w:hAnsi="Times New Roman" w:cs="Times New Roman"/>
          <w:sz w:val="24"/>
          <w:szCs w:val="24"/>
        </w:rPr>
        <w:t xml:space="preserve"> (154), </w:t>
      </w:r>
      <w:r>
        <w:rPr>
          <w:rFonts w:ascii="Times New Roman" w:hAnsi="Times New Roman" w:cs="Times New Roman"/>
          <w:b/>
          <w:bCs/>
          <w:sz w:val="24"/>
          <w:szCs w:val="24"/>
        </w:rPr>
        <w:t>pediatric cases</w:t>
      </w:r>
      <w:r>
        <w:rPr>
          <w:rFonts w:ascii="Times New Roman" w:hAnsi="Times New Roman" w:cs="Times New Roman"/>
          <w:sz w:val="24"/>
          <w:szCs w:val="24"/>
        </w:rPr>
        <w:t xml:space="preserve"> (126), and </w:t>
      </w:r>
      <w:r>
        <w:rPr>
          <w:rFonts w:ascii="Times New Roman" w:hAnsi="Times New Roman" w:cs="Times New Roman"/>
          <w:b/>
          <w:bCs/>
          <w:sz w:val="24"/>
          <w:szCs w:val="24"/>
        </w:rPr>
        <w:t>cardiac emergencies</w:t>
      </w:r>
      <w:r>
        <w:rPr>
          <w:rFonts w:ascii="Times New Roman" w:hAnsi="Times New Roman" w:cs="Times New Roman"/>
          <w:sz w:val="24"/>
          <w:szCs w:val="24"/>
        </w:rPr>
        <w:t xml:space="preserve"> (84). This diversity in caseloads illustrates that rural PHC facilities are not limited to treating minor illnesses; rather, they serve as the first line of defense for critical and often life-threatening conditions. </w:t>
      </w:r>
    </w:p>
    <w:p w:rsidR="00903FC6" w:rsidRPr="007D4E8D" w:rsidRDefault="00903FC6" w:rsidP="00903FC6">
      <w:pPr>
        <w:rPr>
          <w:rFonts w:ascii="Times New Roman" w:hAnsi="Times New Roman" w:cs="Times New Roman"/>
          <w:b/>
          <w:bCs/>
          <w:sz w:val="24"/>
          <w:szCs w:val="24"/>
        </w:rPr>
      </w:pPr>
      <w:r w:rsidRPr="007D4E8D">
        <w:rPr>
          <w:rFonts w:ascii="Times New Roman" w:hAnsi="Times New Roman" w:cs="Times New Roman"/>
          <w:b/>
          <w:bCs/>
          <w:sz w:val="24"/>
          <w:szCs w:val="24"/>
        </w:rPr>
        <w:t>CONCLUSION AND RECOMMENDATION</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CONCLUSION</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study sample exhibits a youthful age profile with a relatively normal distribution. This raises questions about mentorship, supervision, and continuous training in emergency care for relatively inexperienced staff. These findings collectively indicate a systemic weakness in emergency preparedness at the rural primary healthcare level. Despite the role these facilities play as frontline responders, they appear significantly under-resourced, which compromises their ability to manage acute medical events effectively.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These findings highlight non-availability of blood products, oxygen supply, suction devices, AED, poor access to IV fluids and equipment, suggesting a fragile emergency care foundation. This compromises patient stabilization at the primary care level, increasing the risk of deterioration during referrals or transit.</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study was clear, while many healthcare workers frequently encounter emergency cases and express confidence in their ability to manage them, the lack of formal training, limited practical application, and inadequate infrastructure, especially in transportation and referral systems, pose significant threats to effective emergency care delivery.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Participants’ recommendations for improving emergency care—such as enhanced training, better referral mechanisms, and increased resources—should inform policy decisions and capacity-building initiatives. Addressing these systemic issues is essential to ensuring timely, efficient, and effective emergency responses, ultimately improving patient outcomes at all levels of care.</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The findings demonstrate that </w:t>
      </w:r>
      <w:bookmarkStart w:id="6" w:name="_Hlk202326772"/>
      <w:r>
        <w:rPr>
          <w:rFonts w:ascii="Times New Roman" w:hAnsi="Times New Roman" w:cs="Times New Roman"/>
          <w:sz w:val="24"/>
          <w:szCs w:val="24"/>
        </w:rPr>
        <w:t xml:space="preserve">enhancing emergency preparedness in rural PHC facilities requires a holistic approach—combining improved infrastructure, continuous staff training, functional referral systems, and adequate human resources. </w:t>
      </w:r>
      <w:bookmarkEnd w:id="6"/>
      <w:r>
        <w:rPr>
          <w:rFonts w:ascii="Times New Roman" w:hAnsi="Times New Roman" w:cs="Times New Roman"/>
          <w:sz w:val="24"/>
          <w:szCs w:val="24"/>
        </w:rPr>
        <w:t>These priorities are not only echoed by the data but are consistent with international frameworks such as the WHO’s Emergency Care Systems Assessment Tool and the Lancet Global Health Commission on high-quality health systems.</w:t>
      </w:r>
    </w:p>
    <w:p w:rsidR="00903FC6" w:rsidRDefault="00903FC6" w:rsidP="00903FC6">
      <w:pPr>
        <w:rPr>
          <w:rFonts w:ascii="Times New Roman" w:hAnsi="Times New Roman" w:cs="Times New Roman"/>
          <w:b/>
          <w:bCs/>
          <w:sz w:val="24"/>
          <w:szCs w:val="24"/>
          <w:u w:val="single"/>
        </w:rPr>
      </w:pPr>
    </w:p>
    <w:p w:rsidR="00903FC6" w:rsidRDefault="00903FC6" w:rsidP="00903FC6">
      <w:pPr>
        <w:rPr>
          <w:rFonts w:ascii="Times New Roman" w:hAnsi="Times New Roman" w:cs="Times New Roman"/>
          <w:b/>
          <w:bCs/>
          <w:sz w:val="24"/>
          <w:szCs w:val="24"/>
          <w:u w:val="single"/>
        </w:rPr>
      </w:pPr>
    </w:p>
    <w:p w:rsidR="00903FC6" w:rsidRDefault="00903FC6" w:rsidP="00903FC6">
      <w:pPr>
        <w:rPr>
          <w:rFonts w:ascii="Times New Roman" w:hAnsi="Times New Roman" w:cs="Times New Roman"/>
          <w:b/>
          <w:bCs/>
          <w:sz w:val="24"/>
          <w:szCs w:val="24"/>
          <w:u w:val="single"/>
        </w:rPr>
      </w:pPr>
    </w:p>
    <w:p w:rsidR="007D4E8D" w:rsidRDefault="007D4E8D" w:rsidP="00903FC6">
      <w:pPr>
        <w:rPr>
          <w:rFonts w:ascii="Times New Roman" w:hAnsi="Times New Roman" w:cs="Times New Roman"/>
          <w:b/>
          <w:bCs/>
          <w:sz w:val="24"/>
          <w:szCs w:val="24"/>
        </w:rPr>
      </w:pPr>
    </w:p>
    <w:p w:rsidR="007D4E8D" w:rsidRDefault="007D4E8D" w:rsidP="00903FC6">
      <w:pPr>
        <w:rPr>
          <w:rFonts w:ascii="Times New Roman" w:hAnsi="Times New Roman" w:cs="Times New Roman"/>
          <w:b/>
          <w:bCs/>
          <w:sz w:val="24"/>
          <w:szCs w:val="24"/>
        </w:rPr>
      </w:pPr>
    </w:p>
    <w:p w:rsidR="00903FC6" w:rsidRPr="007D4E8D" w:rsidRDefault="00903FC6" w:rsidP="00903FC6">
      <w:pPr>
        <w:rPr>
          <w:rFonts w:ascii="Times New Roman" w:hAnsi="Times New Roman" w:cs="Times New Roman"/>
          <w:bCs/>
          <w:sz w:val="24"/>
          <w:szCs w:val="24"/>
        </w:rPr>
      </w:pPr>
      <w:r w:rsidRPr="007D4E8D">
        <w:rPr>
          <w:rFonts w:ascii="Times New Roman" w:hAnsi="Times New Roman" w:cs="Times New Roman"/>
          <w:b/>
          <w:bCs/>
          <w:sz w:val="24"/>
          <w:szCs w:val="24"/>
        </w:rPr>
        <w:lastRenderedPageBreak/>
        <w:t>Recommendation to enhance emergency preparedness at rural PHC facilities</w:t>
      </w:r>
    </w:p>
    <w:p w:rsidR="00903FC6" w:rsidRDefault="00903FC6" w:rsidP="00903FC6">
      <w:pPr>
        <w:rPr>
          <w:rFonts w:ascii="Times New Roman" w:hAnsi="Times New Roman" w:cs="Times New Roman"/>
          <w:b/>
          <w:sz w:val="24"/>
          <w:szCs w:val="24"/>
        </w:rPr>
      </w:pPr>
      <w:r>
        <w:rPr>
          <w:rFonts w:ascii="Times New Roman" w:hAnsi="Times New Roman" w:cs="Times New Roman"/>
          <w:b/>
          <w:sz w:val="24"/>
          <w:szCs w:val="24"/>
        </w:rPr>
        <w:t>Recommendation to the Municipal Health Directorate</w:t>
      </w:r>
    </w:p>
    <w:p w:rsidR="00903FC6" w:rsidRDefault="00903FC6" w:rsidP="00903FC6">
      <w:pPr>
        <w:rPr>
          <w:rFonts w:ascii="Times New Roman" w:hAnsi="Times New Roman" w:cs="Times New Roman"/>
          <w:sz w:val="24"/>
          <w:szCs w:val="24"/>
        </w:rPr>
      </w:pPr>
      <w:r>
        <w:rPr>
          <w:rFonts w:ascii="Times New Roman" w:hAnsi="Times New Roman" w:cs="Times New Roman"/>
          <w:b/>
          <w:sz w:val="24"/>
          <w:szCs w:val="24"/>
        </w:rPr>
        <w:t xml:space="preserve">Training of staff: </w:t>
      </w:r>
      <w:r>
        <w:rPr>
          <w:rFonts w:ascii="Times New Roman" w:hAnsi="Times New Roman" w:cs="Times New Roman"/>
          <w:sz w:val="24"/>
          <w:szCs w:val="24"/>
        </w:rPr>
        <w:t xml:space="preserve">As the study sample exhibits a youthful age profile with a relatively normal distribution, it underscores the need for ongoing investment in skills development. </w:t>
      </w:r>
    </w:p>
    <w:p w:rsidR="00903FC6" w:rsidRDefault="00903FC6" w:rsidP="00903FC6">
      <w:pPr>
        <w:rPr>
          <w:rFonts w:ascii="Times New Roman" w:hAnsi="Times New Roman" w:cs="Times New Roman"/>
          <w:sz w:val="24"/>
          <w:szCs w:val="24"/>
        </w:rPr>
      </w:pPr>
      <w:r>
        <w:rPr>
          <w:rFonts w:ascii="Times New Roman" w:hAnsi="Times New Roman" w:cs="Times New Roman"/>
          <w:b/>
          <w:sz w:val="24"/>
          <w:szCs w:val="24"/>
        </w:rPr>
        <w:t>Proper Referral system</w:t>
      </w:r>
      <w:r>
        <w:rPr>
          <w:rFonts w:ascii="Times New Roman" w:hAnsi="Times New Roman" w:cs="Times New Roman"/>
          <w:sz w:val="24"/>
          <w:szCs w:val="24"/>
        </w:rPr>
        <w:t>: Strengthened referral systems are essential for improving outcomes in emergency health situations.</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Supportive Work Environment:</w:t>
      </w:r>
      <w:r>
        <w:rPr>
          <w:rFonts w:ascii="Times New Roman" w:hAnsi="Times New Roman" w:cs="Times New Roman"/>
          <w:sz w:val="24"/>
          <w:szCs w:val="24"/>
        </w:rPr>
        <w:t xml:space="preserve"> Ensure adequate staffing, functional equipment, and emotional support systems to reduce burnout.</w:t>
      </w:r>
    </w:p>
    <w:p w:rsidR="00903FC6" w:rsidRDefault="00903FC6" w:rsidP="00903FC6">
      <w:pPr>
        <w:rPr>
          <w:rFonts w:ascii="Times New Roman" w:hAnsi="Times New Roman" w:cs="Times New Roman"/>
          <w:b/>
          <w:sz w:val="24"/>
          <w:szCs w:val="24"/>
        </w:rPr>
      </w:pPr>
      <w:r>
        <w:rPr>
          <w:rFonts w:ascii="Times New Roman" w:hAnsi="Times New Roman" w:cs="Times New Roman"/>
          <w:b/>
          <w:bCs/>
          <w:sz w:val="24"/>
          <w:szCs w:val="24"/>
        </w:rPr>
        <w:t>Recognition and Motivation:</w:t>
      </w:r>
      <w:r>
        <w:rPr>
          <w:rFonts w:ascii="Times New Roman" w:hAnsi="Times New Roman" w:cs="Times New Roman"/>
          <w:sz w:val="24"/>
          <w:szCs w:val="24"/>
        </w:rPr>
        <w:t xml:space="preserve"> Establish recognition programs to reward dedication and excellence in rural service</w:t>
      </w:r>
      <w:r>
        <w:rPr>
          <w:rFonts w:ascii="Times New Roman" w:hAnsi="Times New Roman" w:cs="Times New Roman"/>
          <w:b/>
          <w:sz w:val="24"/>
          <w:szCs w:val="24"/>
        </w:rPr>
        <w:t xml:space="preserve"> </w:t>
      </w:r>
    </w:p>
    <w:p w:rsidR="00903FC6" w:rsidRDefault="00903FC6" w:rsidP="00903FC6">
      <w:pPr>
        <w:rPr>
          <w:rFonts w:ascii="Times New Roman" w:hAnsi="Times New Roman" w:cs="Times New Roman"/>
          <w:sz w:val="24"/>
          <w:szCs w:val="24"/>
        </w:rPr>
      </w:pPr>
      <w:r>
        <w:rPr>
          <w:rFonts w:ascii="Times New Roman" w:hAnsi="Times New Roman" w:cs="Times New Roman"/>
          <w:b/>
          <w:sz w:val="24"/>
          <w:szCs w:val="24"/>
        </w:rPr>
        <w:t>Supervision:</w:t>
      </w:r>
      <w:r>
        <w:rPr>
          <w:rFonts w:ascii="Times New Roman" w:hAnsi="Times New Roman" w:cs="Times New Roman"/>
          <w:sz w:val="24"/>
          <w:szCs w:val="24"/>
        </w:rPr>
        <w:t xml:space="preserve"> Adequate supervision and retention strategies to enhance the emergency care capacity of rural healthcare facilities  </w:t>
      </w:r>
    </w:p>
    <w:p w:rsidR="00903FC6" w:rsidRDefault="00903FC6" w:rsidP="00903FC6">
      <w:pPr>
        <w:rPr>
          <w:rFonts w:ascii="Times New Roman" w:hAnsi="Times New Roman" w:cs="Times New Roman"/>
          <w:sz w:val="24"/>
          <w:szCs w:val="24"/>
        </w:rPr>
      </w:pPr>
      <w:r>
        <w:rPr>
          <w:rFonts w:ascii="Times New Roman" w:hAnsi="Times New Roman" w:cs="Times New Roman"/>
          <w:b/>
          <w:sz w:val="24"/>
          <w:szCs w:val="24"/>
        </w:rPr>
        <w:t>Further Research</w:t>
      </w:r>
      <w:r>
        <w:rPr>
          <w:rFonts w:ascii="Times New Roman" w:hAnsi="Times New Roman" w:cs="Times New Roman"/>
          <w:sz w:val="24"/>
          <w:szCs w:val="24"/>
        </w:rPr>
        <w:t>: To investigate how to integrate age demographics with variables such as qualification level, years of service, and emergency-specific training to better understand the true readiness of the rural health workforce. It is crucial to consider complementary data on the training, years of experience, and continuous professional development of staff, which, together with age, will offer a fuller picture of emergency response capacity.</w:t>
      </w:r>
    </w:p>
    <w:p w:rsidR="00903FC6" w:rsidRDefault="00903FC6" w:rsidP="00903FC6">
      <w:pPr>
        <w:rPr>
          <w:rFonts w:ascii="Times New Roman" w:hAnsi="Times New Roman" w:cs="Times New Roman"/>
          <w:b/>
          <w:sz w:val="24"/>
          <w:szCs w:val="24"/>
          <w:u w:val="single"/>
        </w:rPr>
      </w:pPr>
      <w:r>
        <w:rPr>
          <w:rFonts w:ascii="Times New Roman" w:hAnsi="Times New Roman" w:cs="Times New Roman"/>
          <w:b/>
          <w:sz w:val="24"/>
          <w:szCs w:val="24"/>
          <w:u w:val="single"/>
        </w:rPr>
        <w:t>Ghana Health Service</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 xml:space="preserve">Availability of equipment: </w:t>
      </w:r>
      <w:r>
        <w:rPr>
          <w:rFonts w:ascii="Times New Roman" w:hAnsi="Times New Roman" w:cs="Times New Roman"/>
          <w:bCs/>
          <w:sz w:val="24"/>
          <w:szCs w:val="24"/>
        </w:rPr>
        <w:t>The need to ensure fair distribution of equipment, which is based on the needs assessment of the PHC facilities</w:t>
      </w:r>
    </w:p>
    <w:p w:rsidR="00903FC6" w:rsidRDefault="00903FC6" w:rsidP="00903FC6">
      <w:pPr>
        <w:rPr>
          <w:rFonts w:ascii="Times New Roman" w:hAnsi="Times New Roman" w:cs="Times New Roman"/>
          <w:b/>
          <w:bCs/>
          <w:sz w:val="24"/>
          <w:szCs w:val="24"/>
        </w:rPr>
      </w:pPr>
      <w:r>
        <w:rPr>
          <w:rFonts w:ascii="Times New Roman" w:hAnsi="Times New Roman" w:cs="Times New Roman"/>
          <w:b/>
          <w:sz w:val="24"/>
          <w:szCs w:val="24"/>
        </w:rPr>
        <w:t>Policy development</w:t>
      </w:r>
      <w:r>
        <w:rPr>
          <w:rFonts w:ascii="Times New Roman" w:hAnsi="Times New Roman" w:cs="Times New Roman"/>
          <w:sz w:val="24"/>
          <w:szCs w:val="24"/>
        </w:rPr>
        <w:t>: Policies and standardized protocols aimed at strengthening rural healthcare systems</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Career Development:</w:t>
      </w:r>
      <w:r>
        <w:rPr>
          <w:rFonts w:ascii="Times New Roman" w:hAnsi="Times New Roman" w:cs="Times New Roman"/>
          <w:sz w:val="24"/>
          <w:szCs w:val="24"/>
        </w:rPr>
        <w:t xml:space="preserve"> Provide continuous professional development, increasing quota for emergency care training, and opportunities for specialization.</w:t>
      </w:r>
    </w:p>
    <w:p w:rsidR="00903FC6" w:rsidRDefault="00903FC6" w:rsidP="00903FC6">
      <w:pPr>
        <w:rPr>
          <w:rFonts w:ascii="Times New Roman" w:hAnsi="Times New Roman" w:cs="Times New Roman"/>
          <w:sz w:val="24"/>
          <w:szCs w:val="24"/>
        </w:rPr>
      </w:pPr>
      <w:r>
        <w:rPr>
          <w:rFonts w:ascii="Times New Roman" w:hAnsi="Times New Roman" w:cs="Times New Roman"/>
          <w:b/>
          <w:sz w:val="24"/>
          <w:szCs w:val="24"/>
        </w:rPr>
        <w:t>Ministry of Health</w:t>
      </w:r>
    </w:p>
    <w:p w:rsidR="00903FC6" w:rsidRDefault="00903FC6" w:rsidP="00903FC6">
      <w:pPr>
        <w:rPr>
          <w:rFonts w:ascii="Times New Roman" w:hAnsi="Times New Roman" w:cs="Times New Roman"/>
          <w:sz w:val="24"/>
          <w:szCs w:val="24"/>
        </w:rPr>
      </w:pPr>
      <w:r>
        <w:rPr>
          <w:rFonts w:ascii="Times New Roman" w:hAnsi="Times New Roman" w:cs="Times New Roman"/>
          <w:b/>
          <w:sz w:val="24"/>
          <w:szCs w:val="24"/>
        </w:rPr>
        <w:t>Improving infrastructure</w:t>
      </w:r>
      <w:r>
        <w:rPr>
          <w:rFonts w:ascii="Times New Roman" w:hAnsi="Times New Roman" w:cs="Times New Roman"/>
          <w:sz w:val="24"/>
          <w:szCs w:val="24"/>
        </w:rPr>
        <w:t>: To ensure that emergency care kits, oxygen systems, and basic life-support tools are made available, accessible, and functional.</w:t>
      </w:r>
    </w:p>
    <w:p w:rsidR="00903FC6" w:rsidRDefault="00903FC6" w:rsidP="00903FC6">
      <w:pPr>
        <w:rPr>
          <w:rFonts w:ascii="Times New Roman" w:hAnsi="Times New Roman" w:cs="Times New Roman"/>
          <w:sz w:val="24"/>
          <w:szCs w:val="24"/>
        </w:rPr>
      </w:pPr>
      <w:r>
        <w:rPr>
          <w:rFonts w:ascii="Times New Roman" w:hAnsi="Times New Roman" w:cs="Times New Roman"/>
          <w:b/>
          <w:sz w:val="24"/>
          <w:szCs w:val="24"/>
        </w:rPr>
        <w:t>Increased resource allocation:</w:t>
      </w:r>
      <w:r>
        <w:rPr>
          <w:rFonts w:ascii="Times New Roman" w:hAnsi="Times New Roman" w:cs="Times New Roman"/>
          <w:sz w:val="24"/>
          <w:szCs w:val="24"/>
        </w:rPr>
        <w:t xml:space="preserve"> To build resilience in rural emergency care, targeted investment by the central government is important, with essential medical equipment.</w:t>
      </w:r>
    </w:p>
    <w:p w:rsidR="00903FC6" w:rsidRDefault="00903FC6" w:rsidP="00903FC6">
      <w:pPr>
        <w:rPr>
          <w:rFonts w:ascii="Times New Roman" w:hAnsi="Times New Roman" w:cs="Times New Roman"/>
          <w:sz w:val="24"/>
          <w:szCs w:val="24"/>
        </w:rPr>
      </w:pPr>
      <w:r>
        <w:rPr>
          <w:rFonts w:ascii="Times New Roman" w:hAnsi="Times New Roman" w:cs="Times New Roman"/>
          <w:b/>
          <w:bCs/>
          <w:sz w:val="24"/>
          <w:szCs w:val="24"/>
        </w:rPr>
        <w:t>Incentive Packages:</w:t>
      </w:r>
      <w:r>
        <w:rPr>
          <w:rFonts w:ascii="Times New Roman" w:hAnsi="Times New Roman" w:cs="Times New Roman"/>
          <w:sz w:val="24"/>
          <w:szCs w:val="24"/>
        </w:rPr>
        <w:t xml:space="preserve"> Offer rural hardship allowances, housing support, and performance-based bonuses.</w:t>
      </w:r>
    </w:p>
    <w:p w:rsidR="00903FC6" w:rsidRDefault="00903FC6" w:rsidP="00903FC6">
      <w:pPr>
        <w:rPr>
          <w:rFonts w:ascii="Times New Roman" w:hAnsi="Times New Roman" w:cs="Times New Roman"/>
          <w:sz w:val="24"/>
          <w:szCs w:val="24"/>
        </w:rPr>
      </w:pPr>
      <w:r>
        <w:rPr>
          <w:rFonts w:ascii="Times New Roman" w:hAnsi="Times New Roman" w:cs="Times New Roman"/>
          <w:b/>
          <w:sz w:val="24"/>
          <w:szCs w:val="24"/>
        </w:rPr>
        <w:t xml:space="preserve">A multi-faceted approach, </w:t>
      </w:r>
      <w:r>
        <w:rPr>
          <w:rFonts w:ascii="Times New Roman" w:hAnsi="Times New Roman" w:cs="Times New Roman"/>
          <w:sz w:val="24"/>
          <w:szCs w:val="24"/>
        </w:rPr>
        <w:t xml:space="preserve">which involves improved supply chain logistics, strengthened facility-level inventory management, and policy support for equitable resource allocation. As the World Health Organization’s </w:t>
      </w:r>
      <w:r>
        <w:rPr>
          <w:rFonts w:ascii="Times New Roman" w:hAnsi="Times New Roman" w:cs="Times New Roman"/>
          <w:i/>
          <w:iCs/>
          <w:sz w:val="24"/>
          <w:szCs w:val="24"/>
        </w:rPr>
        <w:t>Emergency Care Systems Framework</w:t>
      </w:r>
      <w:r>
        <w:rPr>
          <w:rFonts w:ascii="Times New Roman" w:hAnsi="Times New Roman" w:cs="Times New Roman"/>
          <w:sz w:val="24"/>
          <w:szCs w:val="24"/>
        </w:rPr>
        <w:t xml:space="preserve"> (2019) recommends.</w:t>
      </w:r>
    </w:p>
    <w:p w:rsidR="00903FC6" w:rsidRDefault="00903FC6" w:rsidP="00903FC6">
      <w:pPr>
        <w:rPr>
          <w:rFonts w:ascii="Times New Roman" w:hAnsi="Times New Roman" w:cs="Times New Roman"/>
          <w:sz w:val="24"/>
          <w:szCs w:val="24"/>
        </w:rPr>
      </w:pPr>
      <w:r>
        <w:rPr>
          <w:rFonts w:ascii="Times New Roman" w:hAnsi="Times New Roman" w:cs="Times New Roman"/>
          <w:b/>
          <w:sz w:val="24"/>
          <w:szCs w:val="24"/>
        </w:rPr>
        <w:lastRenderedPageBreak/>
        <w:t>Summary:</w:t>
      </w:r>
    </w:p>
    <w:p w:rsidR="00F86B4C" w:rsidRPr="00F86B4C" w:rsidRDefault="00903FC6" w:rsidP="00F86B4C">
      <w:pPr>
        <w:rPr>
          <w:rFonts w:ascii="Times New Roman" w:hAnsi="Times New Roman" w:cs="Times New Roman"/>
          <w:b/>
          <w:bCs/>
          <w:sz w:val="24"/>
          <w:szCs w:val="24"/>
          <w:lang w:val="en-GB" w:eastAsia="zh-CN"/>
        </w:rPr>
      </w:pPr>
      <w:r>
        <w:rPr>
          <w:rFonts w:ascii="Times New Roman" w:hAnsi="Times New Roman" w:cs="Times New Roman"/>
          <w:sz w:val="24"/>
          <w:szCs w:val="24"/>
        </w:rPr>
        <w:t xml:space="preserve">A holistic approach is needed to combine an improved infrastructure with continuous staff training, functional referral systems, and adequate human resources. </w:t>
      </w:r>
      <w:r w:rsidR="00F86B4C">
        <w:rPr>
          <w:rFonts w:ascii="Times New Roman" w:hAnsi="Times New Roman" w:cs="Times New Roman"/>
          <w:sz w:val="24"/>
          <w:szCs w:val="24"/>
        </w:rPr>
        <w:br/>
      </w:r>
      <w:r w:rsidR="00F86B4C">
        <w:rPr>
          <w:rFonts w:ascii="Times New Roman" w:hAnsi="Times New Roman" w:cs="Times New Roman"/>
          <w:b/>
          <w:bCs/>
          <w:sz w:val="24"/>
          <w:szCs w:val="24"/>
          <w:lang w:val="zh-CN" w:eastAsia="zh-CN"/>
        </w:rPr>
        <w:t xml:space="preserve">Ethical </w:t>
      </w:r>
      <w:r w:rsidR="00F86B4C">
        <w:rPr>
          <w:rFonts w:ascii="Times New Roman" w:hAnsi="Times New Roman" w:cs="Times New Roman"/>
          <w:b/>
          <w:bCs/>
          <w:sz w:val="24"/>
          <w:szCs w:val="24"/>
          <w:lang w:val="en-GB" w:eastAsia="zh-CN"/>
        </w:rPr>
        <w:t>Approval and consent</w:t>
      </w:r>
    </w:p>
    <w:p w:rsidR="00F86B4C" w:rsidRDefault="00F86B4C" w:rsidP="00F86B4C">
      <w:pPr>
        <w:rPr>
          <w:rFonts w:ascii="Times New Roman" w:hAnsi="Times New Roman" w:cs="Times New Roman"/>
          <w:sz w:val="24"/>
          <w:szCs w:val="24"/>
          <w:lang w:val="zh-CN" w:eastAsia="zh-CN"/>
        </w:rPr>
      </w:pPr>
      <w:r>
        <w:rPr>
          <w:rFonts w:ascii="Times New Roman" w:hAnsi="Times New Roman" w:cs="Times New Roman"/>
          <w:sz w:val="24"/>
          <w:szCs w:val="24"/>
          <w:lang w:val="zh-CN" w:eastAsia="zh-CN"/>
        </w:rPr>
        <w:t>The Ghana Health Service of the Ahafo Ano North Municipal Health Directorate w</w:t>
      </w:r>
      <w:r>
        <w:rPr>
          <w:rFonts w:ascii="Times New Roman" w:hAnsi="Times New Roman" w:cs="Times New Roman"/>
          <w:sz w:val="24"/>
          <w:szCs w:val="24"/>
        </w:rPr>
        <w:t>as</w:t>
      </w:r>
      <w:r>
        <w:rPr>
          <w:rFonts w:ascii="Times New Roman" w:hAnsi="Times New Roman" w:cs="Times New Roman"/>
          <w:sz w:val="24"/>
          <w:szCs w:val="24"/>
          <w:lang w:val="zh-CN" w:eastAsia="zh-CN"/>
        </w:rPr>
        <w:t xml:space="preserve"> consulted to obtain approval for the study. All volunteers w</w:t>
      </w:r>
      <w:r>
        <w:rPr>
          <w:rFonts w:ascii="Times New Roman" w:hAnsi="Times New Roman" w:cs="Times New Roman"/>
          <w:sz w:val="24"/>
          <w:szCs w:val="24"/>
        </w:rPr>
        <w:t>ere</w:t>
      </w:r>
      <w:r>
        <w:rPr>
          <w:rFonts w:ascii="Times New Roman" w:hAnsi="Times New Roman" w:cs="Times New Roman"/>
          <w:sz w:val="24"/>
          <w:szCs w:val="24"/>
          <w:lang w:val="zh-CN" w:eastAsia="zh-CN"/>
        </w:rPr>
        <w:t xml:space="preserve"> give</w:t>
      </w:r>
      <w:r>
        <w:rPr>
          <w:rFonts w:ascii="Times New Roman" w:hAnsi="Times New Roman" w:cs="Times New Roman"/>
          <w:sz w:val="24"/>
          <w:szCs w:val="24"/>
        </w:rPr>
        <w:t>n</w:t>
      </w:r>
      <w:r>
        <w:rPr>
          <w:rFonts w:ascii="Times New Roman" w:hAnsi="Times New Roman" w:cs="Times New Roman"/>
          <w:sz w:val="24"/>
          <w:szCs w:val="24"/>
          <w:lang w:val="zh-CN" w:eastAsia="zh-CN"/>
        </w:rPr>
        <w:t xml:space="preserve"> their informed consent before beginning the study, and participation w</w:t>
      </w:r>
      <w:r>
        <w:rPr>
          <w:rFonts w:ascii="Times New Roman" w:hAnsi="Times New Roman" w:cs="Times New Roman"/>
          <w:sz w:val="24"/>
          <w:szCs w:val="24"/>
        </w:rPr>
        <w:t>as</w:t>
      </w:r>
      <w:r>
        <w:rPr>
          <w:rFonts w:ascii="Times New Roman" w:hAnsi="Times New Roman" w:cs="Times New Roman"/>
          <w:sz w:val="24"/>
          <w:szCs w:val="24"/>
          <w:lang w:val="zh-CN" w:eastAsia="zh-CN"/>
        </w:rPr>
        <w:t xml:space="preserve"> entirely voluntary. Anonymity and confidentiality were closely upheld during the entire research procedure.</w:t>
      </w:r>
    </w:p>
    <w:p w:rsidR="00903FC6" w:rsidRDefault="00903FC6" w:rsidP="00903FC6">
      <w:pPr>
        <w:rPr>
          <w:rFonts w:ascii="Times New Roman" w:hAnsi="Times New Roman" w:cs="Times New Roman"/>
          <w:sz w:val="24"/>
          <w:szCs w:val="24"/>
        </w:rPr>
      </w:pPr>
    </w:p>
    <w:p w:rsidR="00F224FE" w:rsidRDefault="00F224FE" w:rsidP="00903FC6">
      <w:pPr>
        <w:rPr>
          <w:rFonts w:ascii="Times New Roman" w:hAnsi="Times New Roman" w:cs="Times New Roman"/>
          <w:b/>
          <w:sz w:val="24"/>
          <w:szCs w:val="24"/>
        </w:rPr>
      </w:pPr>
    </w:p>
    <w:p w:rsidR="00903FC6" w:rsidRDefault="00903FC6" w:rsidP="00903FC6">
      <w:pPr>
        <w:rPr>
          <w:rFonts w:ascii="Times New Roman" w:hAnsi="Times New Roman" w:cs="Times New Roman"/>
          <w:b/>
          <w:sz w:val="24"/>
          <w:szCs w:val="24"/>
        </w:rPr>
      </w:pPr>
      <w:r>
        <w:rPr>
          <w:rFonts w:ascii="Times New Roman" w:hAnsi="Times New Roman" w:cs="Times New Roman"/>
          <w:b/>
          <w:sz w:val="24"/>
          <w:szCs w:val="24"/>
        </w:rPr>
        <w:t>Disclaimer (Artificial intelligence)</w:t>
      </w:r>
    </w:p>
    <w:p w:rsidR="007D4E8D" w:rsidRDefault="00F86B4C" w:rsidP="00903FC6">
      <w:pPr>
        <w:rPr>
          <w:rFonts w:ascii="Times New Roman" w:hAnsi="Times New Roman" w:cs="Times New Roman"/>
          <w:b/>
          <w:bCs/>
          <w:sz w:val="24"/>
          <w:szCs w:val="24"/>
        </w:rPr>
      </w:pPr>
      <w:r w:rsidRPr="00F86B4C">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rsidR="00903FC6" w:rsidRDefault="00903FC6" w:rsidP="00903FC6">
      <w:pPr>
        <w:rPr>
          <w:rFonts w:ascii="Times New Roman" w:hAnsi="Times New Roman" w:cs="Times New Roman"/>
          <w:b/>
          <w:bCs/>
          <w:sz w:val="24"/>
          <w:szCs w:val="24"/>
        </w:rPr>
      </w:pPr>
      <w:r>
        <w:rPr>
          <w:rFonts w:ascii="Times New Roman" w:hAnsi="Times New Roman" w:cs="Times New Roman"/>
          <w:b/>
          <w:bCs/>
          <w:sz w:val="24"/>
          <w:szCs w:val="24"/>
        </w:rPr>
        <w:t>References</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ZOTERO_BIBL {"uncited":[],"omitted":[],"custom":[]}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t xml:space="preserve">Calvello E, Reynolds T, Hirshon JM, Buckle C, Moresky R, O’Neill J, et al. Emergency care in sub-Saharan Africa: Results of a consensus conference. African Journal of Emergency Medicine. 2013 Mar;3(1):42–8.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 Molyneux E, Dube Q. Promoting quality emergency care in a resource-constrained setting. Clinical Governance: An Intl J. 2013 Oct 14;18(4):300–14.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Chang CY, Abujaber S, Reynolds TA, Camargo CA, Obermeyer Z. Burden of emergency conditions and emergency care usage: new estimates from 40 countries. Emerg Med J. 2016 Nov;33(11):794–800.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Razzak J, Usmani MF, Bhutta ZA. Global, regional and national burden of emergency medical diseases using specific emergency disease indicators: analysis of the 2015 Global Burden of Disease Study. BMJ Glob Health. 2019 Mar;4(2):e000733.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Stewart B, Khanduri P, McCord C, Ohene-Yeboah M, Uranues S, Vega Rivera F, et al. Global disease burden of conditions requiring emergency surgery. Journal of British Surgery. 2014 Jan 1;101(1):e9–22.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Wong EG, Gupta S, Deckelbaum DL, Razek T, Kushner AL. Prioritizing injury care: a review of trauma capacity in low and middle-income countries. Journal of Surgical Research. 2015 Jan;193(1):217–22.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Shah MT, Joshipura M, Singleton J, LaBarre P, Desai H, Sharma E, et al. Assessment of the Availability of Technology for Trauma Care in India. World j surg. 2015 Feb;39(2):363–72.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t xml:space="preserve">Boateng-Osei EA, Osei I, Diji AKA, Pambour BA, Wireko-Gyebi R, Okyere P, et al. Emergency preparedness capacity of a university hospital in Ghana: a cross-sectional study. African Journal of Emergency Medicine. 2023 Sep;13(3):152–6.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Zakariah AN, Boateng E, Achena C, Ansong-Bridjan F, Mock C. The National Ambulance Service of Ghana: Changes in capacity and utilization over 20 years. African Journal of Emergency Medicine. 2024 Sep;14(3):172–8.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Afrifa-Yamoah E, Nunfam VF, Kwanin BA, Frimpong K. Ecology of emergency care in lower-tier healthcare providers in Ghana: an empirical data-driven Bayesian network analytical approach. Intern Emerg Med. 2024 Nov;19(8):1–13.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Osei-Ampofo M, Oduro G, Oteng R, Zakariah A, Jacquet G, Donkor P. The evolution and current state of emergency care in Ghana. African Journal of Emergency Medicine. 2013 Jun;3(2):52–8.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Higashi H, Barendregt JJ, Kassebaum NJ, Weiser TG, Bickler SW, Vos T. Burden of Injuries Avertable By a Basic Surgical Package in Low‐ and Middle‐Income Regions: A Systematic Analysis From the Global Burden of Disease 2010 Study. World j surg. 2015 Jan;39(1):1–9.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Kruk ME, Gage AD, Arsenault C, Jordan K, Leslie HH, Roder-DeWan S, et al. High-quality health systems in the Sustainable Development Goals era: time for a revolution. The Lancet Global Health. 2018 Nov;6(11):e1196–252.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Cohen L, Manion L, Morrison K. Research Methods in Education. 6th ed. 2022.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 xml:space="preserve">Woyessa AH, Teshome M, Mulatu B, Abadiga M, Hiko N, Kebede B. Disaster Preparedness in Selected Hospitals of Western Ethiopia and Risk Perceptions of Their Authorities. OAEM. 2020 Oct;Volume 12:219–25.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World Health Organization. Hospital emergency response checklist: An all-hazards tool for hospital administrators and emergency managers. Regional Office for Europe. 2011.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 xml:space="preserve">Kim PY, Sawe HR, Wallis LA. The Sendai Framework and emergency care. African Journal of Emergency Medicine. 2016 Mar;6(1):3–4.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 xml:space="preserve">Asamani JA, Christmals CD, Reitsma GM. Health Service Activity Standards and Standard Workloads for Primary Healthcare in Ghana: A Cross-Sectional Survey of Health Professionals. Healthcare. 2021 Mar 16;9(3):332.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World Health Organization. (2020). State of the world’s nursing 2020: Investing in education, jobs and leadership. Geneva: WHO. [Internet]. 2020. Available from: ISBN 978-92-4-000327-9</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 xml:space="preserve">Dussault G, Franceschini MC. Not enough there, too many here: understanding geographical imbalances in the distribution of the health workforce. Hum Resour Health. 2006 Dec;4(1):12.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lastRenderedPageBreak/>
        <w:t>21.</w:t>
      </w:r>
      <w:r>
        <w:rPr>
          <w:rFonts w:ascii="Times New Roman" w:hAnsi="Times New Roman" w:cs="Times New Roman"/>
          <w:sz w:val="24"/>
          <w:szCs w:val="24"/>
        </w:rPr>
        <w:tab/>
        <w:t>WHO WHO. Standards for improving quality of maternal and newborn care in health facilities. [Internet]. 2016. Available from: ISBN: 9789241511216</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Doku A, Tuglo LS, Chilunga F, Edzeame J, Peters RJG, Agyemang C. A multilevel and multicenter assessment of health care system capacity to manage cardiovascular diseases in Africa: a baseline study of the Ghana Heart Initiative. BMC Cardiovasc Disord [Internet]. 2023 Aug 24 [cited 2025 Jul 22];23(1). Available from: https://bmccardiovascdisord.biomedcentral.com/articles/10.1186/s12872-023-03430-5</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Merchant RM, Topjian AA, Panchal AR, Cheng A, Aziz K, Berg KM, et al. Part 1: Executive Summary: 2020 American Heart Association Guidelines for Cardiopulmonary Resuscitation and Emergency Cardiovascular Care. Circulation [Internet]. 2020 Oct 20 [cited 2025 Jul 22];142(16_suppl_2). Available from: https://www.ahajournals.org/doi/10.1161/CIR.0000000000000918</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 xml:space="preserve">Emergency Care Research Institute (ECRI). Top 10 health technology hazards report. 2019.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 xml:space="preserve">Japiong KB, Asiamah G, Owusu-Dabo E, Donkor P, Stewart B, Ebel BE, et al. Availability of resources for emergency care at a second-level hospital in Ghana: A mixed methods assessment. Afr J Emerg Med. 2016 Mar;6(1):30–7.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World Health Organization. Emergency care systems for universal health coverage: Ensuring timely care for the acutely ill and injured. Geneva: WHO. 2019.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Yenet A, Nibret G, Tegegne BA. Challenges to the Availability and Affordability of Essential Medicines in African Countries: A Scoping Review. CEOR. 2023 Jun; Volume 15:443–58.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Lowalekar H, Ravichandran N. A combined age‐and‐stock‐based policy for ordering blood units in hospital blood banks. Int Trans Operational Res. 2017 Nov;24(6):1561–86. </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Annan AA, Yar DD, Owusu M, Biney EA, Forson PK, Okyere PB, et al. Health care workers indicate ill preparedness for Ebola Virus Disease outbreak in Ashanti Region of Ghana. BMC Public Health [Internet]. 2017 Dec [cited 2025 Jul 20];17(1). Available from: http://bmcpublichealth.biomedcentral.com/articles/10.1186/s12889-017-4474-6</w:t>
      </w:r>
    </w:p>
    <w:p w:rsidR="00903FC6" w:rsidRDefault="00903FC6" w:rsidP="00903FC6">
      <w:pP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 xml:space="preserve">Roberts DJ, Field S, Delaney M, Bates I. Problems and Approaches for Blood Transfusion in the Developing Countries. Hematology/Oncology Clinics of North America. 2016 Apr;30(2):477–95. </w:t>
      </w:r>
    </w:p>
    <w:p w:rsidR="00903FC6" w:rsidRDefault="00903FC6" w:rsidP="00903FC6">
      <w:r>
        <w:rPr>
          <w:rFonts w:ascii="Times New Roman" w:hAnsi="Times New Roman" w:cs="Times New Roman"/>
          <w:sz w:val="24"/>
          <w:szCs w:val="24"/>
        </w:rPr>
        <w:fldChar w:fldCharType="end"/>
      </w: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903FC6" w:rsidRDefault="00903FC6" w:rsidP="00903FC6">
      <w:pPr>
        <w:rPr>
          <w:rFonts w:ascii="Times New Roman" w:hAnsi="Times New Roman" w:cs="Times New Roman"/>
          <w:sz w:val="24"/>
          <w:szCs w:val="24"/>
        </w:rPr>
      </w:pPr>
    </w:p>
    <w:p w:rsidR="0011660C" w:rsidRPr="001B74F4" w:rsidRDefault="0011660C">
      <w:pPr>
        <w:spacing w:line="240" w:lineRule="auto"/>
        <w:rPr>
          <w:rFonts w:ascii="Times New Roman" w:hAnsi="Times New Roman" w:cs="Times New Roman"/>
          <w:sz w:val="24"/>
          <w:szCs w:val="24"/>
        </w:rPr>
      </w:pPr>
    </w:p>
    <w:p w:rsidR="0011660C" w:rsidRPr="001B74F4" w:rsidRDefault="0011660C">
      <w:pPr>
        <w:spacing w:line="240" w:lineRule="auto"/>
        <w:rPr>
          <w:rFonts w:ascii="Times New Roman" w:hAnsi="Times New Roman" w:cs="Times New Roman"/>
          <w:sz w:val="24"/>
          <w:szCs w:val="24"/>
        </w:rPr>
      </w:pPr>
    </w:p>
    <w:sectPr w:rsidR="0011660C" w:rsidRPr="001B74F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7BDC" w:rsidRDefault="00BA7BDC">
      <w:pPr>
        <w:spacing w:line="240" w:lineRule="auto"/>
      </w:pPr>
      <w:r>
        <w:separator/>
      </w:r>
    </w:p>
  </w:endnote>
  <w:endnote w:type="continuationSeparator" w:id="0">
    <w:p w:rsidR="00BA7BDC" w:rsidRDefault="00BA7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3682" w:rsidRDefault="00973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3682" w:rsidRDefault="00973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3682" w:rsidRDefault="0097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7BDC" w:rsidRDefault="00BA7BDC">
      <w:pPr>
        <w:spacing w:after="0"/>
      </w:pPr>
      <w:r>
        <w:separator/>
      </w:r>
    </w:p>
  </w:footnote>
  <w:footnote w:type="continuationSeparator" w:id="0">
    <w:p w:rsidR="00BA7BDC" w:rsidRDefault="00BA7B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3682"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3682"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3682"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2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4907"/>
    <w:multiLevelType w:val="multilevel"/>
    <w:tmpl w:val="07684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7B721E"/>
    <w:multiLevelType w:val="multilevel"/>
    <w:tmpl w:val="303C1B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B782F2E"/>
    <w:multiLevelType w:val="multilevel"/>
    <w:tmpl w:val="6A7C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17241"/>
    <w:multiLevelType w:val="multilevel"/>
    <w:tmpl w:val="19A172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2653961"/>
    <w:multiLevelType w:val="multilevel"/>
    <w:tmpl w:val="226539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53639EB"/>
    <w:multiLevelType w:val="multilevel"/>
    <w:tmpl w:val="253639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90C681D"/>
    <w:multiLevelType w:val="multilevel"/>
    <w:tmpl w:val="290C681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C4511CA"/>
    <w:multiLevelType w:val="multilevel"/>
    <w:tmpl w:val="2C4511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03C1B68"/>
    <w:multiLevelType w:val="multilevel"/>
    <w:tmpl w:val="303C1B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0CB67EA"/>
    <w:multiLevelType w:val="multilevel"/>
    <w:tmpl w:val="40CB67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F1652D6"/>
    <w:multiLevelType w:val="multilevel"/>
    <w:tmpl w:val="4F1652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606A0D6F"/>
    <w:multiLevelType w:val="multilevel"/>
    <w:tmpl w:val="606A0D6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A0C7C65"/>
    <w:multiLevelType w:val="multilevel"/>
    <w:tmpl w:val="7A0C7C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DCD7FB8"/>
    <w:multiLevelType w:val="multilevel"/>
    <w:tmpl w:val="7DCD7F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024698110">
    <w:abstractNumId w:val="4"/>
  </w:num>
  <w:num w:numId="2" w16cid:durableId="803817339">
    <w:abstractNumId w:val="8"/>
  </w:num>
  <w:num w:numId="3" w16cid:durableId="1439985718">
    <w:abstractNumId w:val="7"/>
  </w:num>
  <w:num w:numId="4" w16cid:durableId="920063188">
    <w:abstractNumId w:val="10"/>
  </w:num>
  <w:num w:numId="5" w16cid:durableId="519391669">
    <w:abstractNumId w:val="0"/>
  </w:num>
  <w:num w:numId="6" w16cid:durableId="1731686122">
    <w:abstractNumId w:val="11"/>
  </w:num>
  <w:num w:numId="7" w16cid:durableId="910625645">
    <w:abstractNumId w:val="12"/>
  </w:num>
  <w:num w:numId="8" w16cid:durableId="429201612">
    <w:abstractNumId w:val="5"/>
  </w:num>
  <w:num w:numId="9" w16cid:durableId="932858664">
    <w:abstractNumId w:val="3"/>
  </w:num>
  <w:num w:numId="10" w16cid:durableId="1550457668">
    <w:abstractNumId w:val="9"/>
  </w:num>
  <w:num w:numId="11" w16cid:durableId="114449711">
    <w:abstractNumId w:val="13"/>
  </w:num>
  <w:num w:numId="12" w16cid:durableId="622688505">
    <w:abstractNumId w:val="6"/>
  </w:num>
  <w:num w:numId="13" w16cid:durableId="1533880006">
    <w:abstractNumId w:val="1"/>
  </w:num>
  <w:num w:numId="14" w16cid:durableId="1134441624">
    <w:abstractNumId w:val="4"/>
  </w:num>
  <w:num w:numId="15" w16cid:durableId="1608074379">
    <w:abstractNumId w:val="2"/>
  </w:num>
  <w:num w:numId="16" w16cid:durableId="1114402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13"/>
    <w:rsid w:val="00005D60"/>
    <w:rsid w:val="000072F1"/>
    <w:rsid w:val="00026DBC"/>
    <w:rsid w:val="00035FB5"/>
    <w:rsid w:val="00076FB5"/>
    <w:rsid w:val="00077BBD"/>
    <w:rsid w:val="00082458"/>
    <w:rsid w:val="000904D9"/>
    <w:rsid w:val="000C79B5"/>
    <w:rsid w:val="000E63FD"/>
    <w:rsid w:val="000E71C0"/>
    <w:rsid w:val="000F0F59"/>
    <w:rsid w:val="000F3BAB"/>
    <w:rsid w:val="000F564F"/>
    <w:rsid w:val="00102F49"/>
    <w:rsid w:val="00111F31"/>
    <w:rsid w:val="00115D55"/>
    <w:rsid w:val="0011660C"/>
    <w:rsid w:val="00122FF6"/>
    <w:rsid w:val="001272F6"/>
    <w:rsid w:val="00137422"/>
    <w:rsid w:val="001443E3"/>
    <w:rsid w:val="00151EFC"/>
    <w:rsid w:val="00170B15"/>
    <w:rsid w:val="001A3D97"/>
    <w:rsid w:val="001B50C3"/>
    <w:rsid w:val="001B53F3"/>
    <w:rsid w:val="001B74F4"/>
    <w:rsid w:val="001B7A2E"/>
    <w:rsid w:val="001E6CAF"/>
    <w:rsid w:val="002168BC"/>
    <w:rsid w:val="00217004"/>
    <w:rsid w:val="002249E3"/>
    <w:rsid w:val="00225047"/>
    <w:rsid w:val="002445DA"/>
    <w:rsid w:val="0025233E"/>
    <w:rsid w:val="0026013E"/>
    <w:rsid w:val="002C6830"/>
    <w:rsid w:val="002E1A80"/>
    <w:rsid w:val="002F3011"/>
    <w:rsid w:val="003001AC"/>
    <w:rsid w:val="00304697"/>
    <w:rsid w:val="00331768"/>
    <w:rsid w:val="00360CD7"/>
    <w:rsid w:val="00371FEF"/>
    <w:rsid w:val="00381E2B"/>
    <w:rsid w:val="00386D2F"/>
    <w:rsid w:val="00396FC7"/>
    <w:rsid w:val="003A7770"/>
    <w:rsid w:val="003B1FE4"/>
    <w:rsid w:val="003E70B0"/>
    <w:rsid w:val="00465A24"/>
    <w:rsid w:val="004874AF"/>
    <w:rsid w:val="004A188E"/>
    <w:rsid w:val="004D0FB1"/>
    <w:rsid w:val="00502AA2"/>
    <w:rsid w:val="00504338"/>
    <w:rsid w:val="00511B97"/>
    <w:rsid w:val="0051747F"/>
    <w:rsid w:val="0052031A"/>
    <w:rsid w:val="005210BE"/>
    <w:rsid w:val="005341E5"/>
    <w:rsid w:val="005455D5"/>
    <w:rsid w:val="005510F4"/>
    <w:rsid w:val="005811A6"/>
    <w:rsid w:val="0058724D"/>
    <w:rsid w:val="005B2AE6"/>
    <w:rsid w:val="005B42DE"/>
    <w:rsid w:val="005B559F"/>
    <w:rsid w:val="005C04D4"/>
    <w:rsid w:val="005C33DE"/>
    <w:rsid w:val="005D69D8"/>
    <w:rsid w:val="005F1937"/>
    <w:rsid w:val="005F47A7"/>
    <w:rsid w:val="005F4988"/>
    <w:rsid w:val="005F75F4"/>
    <w:rsid w:val="00604B1A"/>
    <w:rsid w:val="00610817"/>
    <w:rsid w:val="006230B8"/>
    <w:rsid w:val="006335AA"/>
    <w:rsid w:val="006B35B9"/>
    <w:rsid w:val="006F7B25"/>
    <w:rsid w:val="00706A1A"/>
    <w:rsid w:val="007074E0"/>
    <w:rsid w:val="007456F8"/>
    <w:rsid w:val="00763654"/>
    <w:rsid w:val="00776C36"/>
    <w:rsid w:val="00790B2C"/>
    <w:rsid w:val="007927AE"/>
    <w:rsid w:val="007A6E0F"/>
    <w:rsid w:val="007D4E8D"/>
    <w:rsid w:val="007E3194"/>
    <w:rsid w:val="007E79B8"/>
    <w:rsid w:val="008564F6"/>
    <w:rsid w:val="0086255B"/>
    <w:rsid w:val="00867C90"/>
    <w:rsid w:val="00871A21"/>
    <w:rsid w:val="008D76D2"/>
    <w:rsid w:val="008E47A3"/>
    <w:rsid w:val="008F48B8"/>
    <w:rsid w:val="008F68CB"/>
    <w:rsid w:val="00903FC6"/>
    <w:rsid w:val="009224FA"/>
    <w:rsid w:val="00946D11"/>
    <w:rsid w:val="00947A53"/>
    <w:rsid w:val="009542EB"/>
    <w:rsid w:val="0095668B"/>
    <w:rsid w:val="009609F1"/>
    <w:rsid w:val="00961C8C"/>
    <w:rsid w:val="00964970"/>
    <w:rsid w:val="00973682"/>
    <w:rsid w:val="009765A4"/>
    <w:rsid w:val="009910D6"/>
    <w:rsid w:val="009B68F2"/>
    <w:rsid w:val="009C3AED"/>
    <w:rsid w:val="009C5EF8"/>
    <w:rsid w:val="009E2C01"/>
    <w:rsid w:val="009E6FF6"/>
    <w:rsid w:val="00A06561"/>
    <w:rsid w:val="00A11FBC"/>
    <w:rsid w:val="00A22099"/>
    <w:rsid w:val="00A54600"/>
    <w:rsid w:val="00A67399"/>
    <w:rsid w:val="00A811AF"/>
    <w:rsid w:val="00A9261F"/>
    <w:rsid w:val="00AD2373"/>
    <w:rsid w:val="00AD5FB2"/>
    <w:rsid w:val="00B03CB5"/>
    <w:rsid w:val="00B24E18"/>
    <w:rsid w:val="00B3537E"/>
    <w:rsid w:val="00B623D4"/>
    <w:rsid w:val="00B64EF5"/>
    <w:rsid w:val="00B82551"/>
    <w:rsid w:val="00BA7BDC"/>
    <w:rsid w:val="00BB5CA1"/>
    <w:rsid w:val="00BC23A2"/>
    <w:rsid w:val="00BC457C"/>
    <w:rsid w:val="00BE2989"/>
    <w:rsid w:val="00BE7E98"/>
    <w:rsid w:val="00C063BF"/>
    <w:rsid w:val="00C447B8"/>
    <w:rsid w:val="00C77EF9"/>
    <w:rsid w:val="00C81A53"/>
    <w:rsid w:val="00C8349B"/>
    <w:rsid w:val="00C8735A"/>
    <w:rsid w:val="00CC020A"/>
    <w:rsid w:val="00CD6498"/>
    <w:rsid w:val="00CD6F0B"/>
    <w:rsid w:val="00D12178"/>
    <w:rsid w:val="00D215D5"/>
    <w:rsid w:val="00D325FE"/>
    <w:rsid w:val="00D36E59"/>
    <w:rsid w:val="00D743FD"/>
    <w:rsid w:val="00D80691"/>
    <w:rsid w:val="00D94422"/>
    <w:rsid w:val="00D95843"/>
    <w:rsid w:val="00DC7837"/>
    <w:rsid w:val="00DE62AC"/>
    <w:rsid w:val="00E22485"/>
    <w:rsid w:val="00E30722"/>
    <w:rsid w:val="00E63691"/>
    <w:rsid w:val="00E64F13"/>
    <w:rsid w:val="00E7528B"/>
    <w:rsid w:val="00E768C0"/>
    <w:rsid w:val="00E820AB"/>
    <w:rsid w:val="00E94B72"/>
    <w:rsid w:val="00E95AF5"/>
    <w:rsid w:val="00EA113A"/>
    <w:rsid w:val="00EC3014"/>
    <w:rsid w:val="00ED58D8"/>
    <w:rsid w:val="00EF5C6F"/>
    <w:rsid w:val="00F224FE"/>
    <w:rsid w:val="00F25E08"/>
    <w:rsid w:val="00F86B4C"/>
    <w:rsid w:val="00FA3692"/>
    <w:rsid w:val="00FF1F5F"/>
    <w:rsid w:val="00FF5F6B"/>
    <w:rsid w:val="03CB7B24"/>
    <w:rsid w:val="144E5BFE"/>
    <w:rsid w:val="2D4476D1"/>
    <w:rsid w:val="2F9A5773"/>
    <w:rsid w:val="3640095E"/>
    <w:rsid w:val="4B8949F3"/>
    <w:rsid w:val="6E283C4C"/>
    <w:rsid w:val="713952F0"/>
    <w:rsid w:val="75880B69"/>
    <w:rsid w:val="7E53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642F"/>
  <w15:docId w15:val="{307A6527-3CFB-4800-A47B-C26F4D40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AC"/>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03FC6"/>
    <w:pPr>
      <w:keepNext/>
      <w:keepLines/>
      <w:spacing w:before="80" w:after="40" w:line="256" w:lineRule="auto"/>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03FC6"/>
    <w:pPr>
      <w:keepNext/>
      <w:keepLines/>
      <w:spacing w:before="40" w:after="0" w:line="256"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FC6"/>
    <w:pPr>
      <w:keepNext/>
      <w:keepLines/>
      <w:spacing w:before="40" w:after="0" w:line="256"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FC6"/>
    <w:pPr>
      <w:keepNext/>
      <w:keepLines/>
      <w:spacing w:after="0" w:line="256"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FC6"/>
    <w:pPr>
      <w:keepNext/>
      <w:keepLines/>
      <w:spacing w:after="0" w:line="256"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question-label">
    <w:name w:val="question-label"/>
    <w:basedOn w:val="DefaultParagraphFont"/>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character" w:customStyle="1" w:styleId="reference">
    <w:name w:val="reference"/>
    <w:basedOn w:val="DefaultParagraphFont"/>
    <w:qFormat/>
  </w:style>
  <w:style w:type="character" w:customStyle="1" w:styleId="anchor-text">
    <w:name w:val="anchor-text"/>
    <w:basedOn w:val="DefaultParagraphFont"/>
    <w:qFormat/>
  </w:style>
  <w:style w:type="character" w:customStyle="1" w:styleId="label">
    <w:name w:val="label"/>
    <w:basedOn w:val="DefaultParagraphFont"/>
  </w:style>
  <w:style w:type="character" w:customStyle="1" w:styleId="link">
    <w:name w:val="link"/>
    <w:basedOn w:val="DefaultParagraphFont"/>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Bibliography">
    <w:name w:val="Bibliography"/>
    <w:basedOn w:val="Normal"/>
    <w:next w:val="Normal"/>
    <w:uiPriority w:val="37"/>
    <w:unhideWhenUsed/>
    <w:rsid w:val="00B623D4"/>
    <w:pPr>
      <w:tabs>
        <w:tab w:val="left" w:pos="384"/>
      </w:tabs>
      <w:spacing w:after="240" w:line="240" w:lineRule="auto"/>
      <w:ind w:left="384" w:hanging="384"/>
    </w:pPr>
  </w:style>
  <w:style w:type="character" w:customStyle="1" w:styleId="UnresolvedMention1">
    <w:name w:val="Unresolved Mention1"/>
    <w:basedOn w:val="DefaultParagraphFont"/>
    <w:uiPriority w:val="99"/>
    <w:semiHidden/>
    <w:unhideWhenUsed/>
    <w:rsid w:val="00076FB5"/>
    <w:rPr>
      <w:color w:val="605E5C"/>
      <w:shd w:val="clear" w:color="auto" w:fill="E1DFDD"/>
    </w:rPr>
  </w:style>
  <w:style w:type="paragraph" w:styleId="Header">
    <w:name w:val="header"/>
    <w:basedOn w:val="Normal"/>
    <w:link w:val="HeaderChar"/>
    <w:uiPriority w:val="99"/>
    <w:unhideWhenUsed/>
    <w:rsid w:val="0097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682"/>
    <w:rPr>
      <w:sz w:val="22"/>
      <w:szCs w:val="22"/>
    </w:rPr>
  </w:style>
  <w:style w:type="paragraph" w:styleId="Footer">
    <w:name w:val="footer"/>
    <w:basedOn w:val="Normal"/>
    <w:link w:val="FooterChar"/>
    <w:uiPriority w:val="99"/>
    <w:unhideWhenUsed/>
    <w:rsid w:val="0097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682"/>
    <w:rPr>
      <w:sz w:val="22"/>
      <w:szCs w:val="22"/>
    </w:rPr>
  </w:style>
  <w:style w:type="character" w:customStyle="1" w:styleId="Heading5Char">
    <w:name w:val="Heading 5 Char"/>
    <w:basedOn w:val="DefaultParagraphFont"/>
    <w:link w:val="Heading5"/>
    <w:uiPriority w:val="9"/>
    <w:semiHidden/>
    <w:rsid w:val="00903FC6"/>
    <w:rPr>
      <w:rFonts w:eastAsiaTheme="majorEastAsia"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903FC6"/>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903FC6"/>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903FC6"/>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903FC6"/>
    <w:rPr>
      <w:rFonts w:eastAsiaTheme="majorEastAsia" w:cstheme="majorBidi"/>
      <w:color w:val="272727" w:themeColor="text1" w:themeTint="D8"/>
      <w:sz w:val="22"/>
      <w:szCs w:val="22"/>
    </w:rPr>
  </w:style>
  <w:style w:type="character" w:styleId="FollowedHyperlink">
    <w:name w:val="FollowedHyperlink"/>
    <w:basedOn w:val="DefaultParagraphFont"/>
    <w:uiPriority w:val="99"/>
    <w:semiHidden/>
    <w:unhideWhenUsed/>
    <w:rsid w:val="00903FC6"/>
    <w:rPr>
      <w:color w:val="954F72" w:themeColor="followedHyperlink"/>
      <w:u w:val="single"/>
    </w:rPr>
  </w:style>
  <w:style w:type="paragraph" w:styleId="Title">
    <w:name w:val="Title"/>
    <w:basedOn w:val="Normal"/>
    <w:next w:val="Normal"/>
    <w:link w:val="TitleChar"/>
    <w:uiPriority w:val="10"/>
    <w:qFormat/>
    <w:rsid w:val="00903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FC6"/>
    <w:pPr>
      <w:spacing w:line="25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FC6"/>
    <w:pPr>
      <w:spacing w:before="160" w:line="256" w:lineRule="auto"/>
      <w:jc w:val="center"/>
    </w:pPr>
    <w:rPr>
      <w:i/>
      <w:iCs/>
      <w:color w:val="404040" w:themeColor="text1" w:themeTint="BF"/>
    </w:rPr>
  </w:style>
  <w:style w:type="character" w:customStyle="1" w:styleId="QuoteChar">
    <w:name w:val="Quote Char"/>
    <w:basedOn w:val="DefaultParagraphFont"/>
    <w:link w:val="Quote"/>
    <w:uiPriority w:val="29"/>
    <w:rsid w:val="00903FC6"/>
    <w:rPr>
      <w:i/>
      <w:iCs/>
      <w:color w:val="404040" w:themeColor="text1" w:themeTint="BF"/>
      <w:sz w:val="22"/>
      <w:szCs w:val="22"/>
    </w:rPr>
  </w:style>
  <w:style w:type="paragraph" w:styleId="IntenseQuote">
    <w:name w:val="Intense Quote"/>
    <w:basedOn w:val="Normal"/>
    <w:next w:val="Normal"/>
    <w:link w:val="IntenseQuoteChar"/>
    <w:uiPriority w:val="30"/>
    <w:qFormat/>
    <w:rsid w:val="00903FC6"/>
    <w:pPr>
      <w:pBdr>
        <w:top w:val="single" w:sz="4" w:space="10" w:color="2E74B5" w:themeColor="accent1" w:themeShade="BF"/>
        <w:bottom w:val="single" w:sz="4" w:space="10" w:color="2E74B5" w:themeColor="accent1" w:themeShade="BF"/>
      </w:pBdr>
      <w:spacing w:before="360" w:after="360" w:line="256" w:lineRule="auto"/>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03FC6"/>
    <w:rPr>
      <w:i/>
      <w:iCs/>
      <w:color w:val="2E74B5" w:themeColor="accent1" w:themeShade="BF"/>
      <w:sz w:val="22"/>
      <w:szCs w:val="22"/>
    </w:rPr>
  </w:style>
  <w:style w:type="paragraph" w:customStyle="1" w:styleId="msonormal0">
    <w:name w:val="msonormal"/>
    <w:basedOn w:val="Normal"/>
    <w:uiPriority w:val="99"/>
    <w:semiHidden/>
    <w:rsid w:val="00903FC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903FC6"/>
    <w:rPr>
      <w:i/>
      <w:iCs/>
      <w:color w:val="2E74B5" w:themeColor="accent1" w:themeShade="BF"/>
    </w:rPr>
  </w:style>
  <w:style w:type="character" w:styleId="IntenseReference">
    <w:name w:val="Intense Reference"/>
    <w:basedOn w:val="DefaultParagraphFont"/>
    <w:uiPriority w:val="32"/>
    <w:qFormat/>
    <w:rsid w:val="00903FC6"/>
    <w:rPr>
      <w:b/>
      <w:bCs/>
      <w:smallCaps/>
      <w:color w:val="2E74B5" w:themeColor="accent1" w:themeShade="BF"/>
      <w:spacing w:val="5"/>
    </w:rPr>
  </w:style>
  <w:style w:type="table" w:styleId="TableGrid">
    <w:name w:val="Table Grid"/>
    <w:basedOn w:val="TableNormal"/>
    <w:uiPriority w:val="59"/>
    <w:rsid w:val="00903FC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8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hink\Documents\adaded%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WORLD\Desktop\emergency%20care%20service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None availability</c:v>
                </c:pt>
              </c:strCache>
            </c:strRef>
          </c:tx>
          <c:spPr>
            <a:solidFill>
              <a:schemeClr val="accent1"/>
            </a:solidFill>
            <a:ln>
              <a:noFill/>
            </a:ln>
            <a:effectLst/>
          </c:spPr>
          <c:invertIfNegative val="0"/>
          <c:cat>
            <c:strRef>
              <c:f>Sheet1!$A$2:$A$10</c:f>
              <c:strCache>
                <c:ptCount val="9"/>
                <c:pt idx="0">
                  <c:v>first aid</c:v>
                </c:pt>
                <c:pt idx="2">
                  <c:v>AED</c:v>
                </c:pt>
                <c:pt idx="4">
                  <c:v>Strecters</c:v>
                </c:pt>
                <c:pt idx="6">
                  <c:v>Oxygen</c:v>
                </c:pt>
                <c:pt idx="8">
                  <c:v>Suction devices</c:v>
                </c:pt>
              </c:strCache>
            </c:strRef>
          </c:cat>
          <c:val>
            <c:numRef>
              <c:f>Sheet1!$B$2:$B$10</c:f>
              <c:numCache>
                <c:formatCode>General</c:formatCode>
                <c:ptCount val="9"/>
                <c:pt idx="0">
                  <c:v>70</c:v>
                </c:pt>
                <c:pt idx="2">
                  <c:v>95.5</c:v>
                </c:pt>
                <c:pt idx="4">
                  <c:v>63</c:v>
                </c:pt>
                <c:pt idx="6">
                  <c:v>62.8</c:v>
                </c:pt>
                <c:pt idx="8">
                  <c:v>80.2</c:v>
                </c:pt>
              </c:numCache>
            </c:numRef>
          </c:val>
          <c:extLst>
            <c:ext xmlns:c16="http://schemas.microsoft.com/office/drawing/2014/chart" uri="{C3380CC4-5D6E-409C-BE32-E72D297353CC}">
              <c16:uniqueId val="{00000000-4D0D-4564-8410-007639C5F1D2}"/>
            </c:ext>
          </c:extLst>
        </c:ser>
        <c:ser>
          <c:idx val="1"/>
          <c:order val="1"/>
          <c:tx>
            <c:strRef>
              <c:f>Sheet1!$C$1</c:f>
              <c:strCache>
                <c:ptCount val="1"/>
                <c:pt idx="0">
                  <c:v>Available</c:v>
                </c:pt>
              </c:strCache>
            </c:strRef>
          </c:tx>
          <c:spPr>
            <a:solidFill>
              <a:schemeClr val="accent2"/>
            </a:solidFill>
            <a:ln>
              <a:noFill/>
            </a:ln>
            <a:effectLst/>
          </c:spPr>
          <c:invertIfNegative val="0"/>
          <c:cat>
            <c:strRef>
              <c:f>Sheet1!$A$2:$A$10</c:f>
              <c:strCache>
                <c:ptCount val="9"/>
                <c:pt idx="0">
                  <c:v>first aid</c:v>
                </c:pt>
                <c:pt idx="2">
                  <c:v>AED</c:v>
                </c:pt>
                <c:pt idx="4">
                  <c:v>Strecters</c:v>
                </c:pt>
                <c:pt idx="6">
                  <c:v>Oxygen</c:v>
                </c:pt>
                <c:pt idx="8">
                  <c:v>Suction devices</c:v>
                </c:pt>
              </c:strCache>
            </c:strRef>
          </c:cat>
          <c:val>
            <c:numRef>
              <c:f>Sheet1!$C$2:$C$10</c:f>
              <c:numCache>
                <c:formatCode>General</c:formatCode>
                <c:ptCount val="9"/>
                <c:pt idx="0">
                  <c:v>30</c:v>
                </c:pt>
                <c:pt idx="2">
                  <c:v>4.5</c:v>
                </c:pt>
                <c:pt idx="4">
                  <c:v>37</c:v>
                </c:pt>
                <c:pt idx="6">
                  <c:v>37.200000000000003</c:v>
                </c:pt>
                <c:pt idx="8">
                  <c:v>19.8</c:v>
                </c:pt>
              </c:numCache>
            </c:numRef>
          </c:val>
          <c:extLst>
            <c:ext xmlns:c16="http://schemas.microsoft.com/office/drawing/2014/chart" uri="{C3380CC4-5D6E-409C-BE32-E72D297353CC}">
              <c16:uniqueId val="{00000001-4D0D-4564-8410-007639C5F1D2}"/>
            </c:ext>
          </c:extLst>
        </c:ser>
        <c:dLbls>
          <c:showLegendKey val="0"/>
          <c:showVal val="0"/>
          <c:showCatName val="0"/>
          <c:showSerName val="0"/>
          <c:showPercent val="0"/>
          <c:showBubbleSize val="0"/>
        </c:dLbls>
        <c:gapWidth val="150"/>
        <c:overlap val="100"/>
        <c:axId val="592494664"/>
        <c:axId val="592493880"/>
      </c:barChart>
      <c:catAx>
        <c:axId val="59249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93880"/>
        <c:crosses val="autoZero"/>
        <c:auto val="1"/>
        <c:lblAlgn val="ctr"/>
        <c:lblOffset val="100"/>
        <c:noMultiLvlLbl val="0"/>
      </c:catAx>
      <c:valAx>
        <c:axId val="592493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94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None availability</c:v>
                </c:pt>
              </c:strCache>
            </c:strRef>
          </c:tx>
          <c:spPr>
            <a:solidFill>
              <a:schemeClr val="accent1"/>
            </a:solidFill>
            <a:ln>
              <a:noFill/>
            </a:ln>
            <a:effectLst/>
          </c:spPr>
          <c:invertIfNegative val="0"/>
          <c:cat>
            <c:strRef>
              <c:f>Sheet1!$A$2:$A$10</c:f>
              <c:strCache>
                <c:ptCount val="9"/>
                <c:pt idx="0">
                  <c:v>first aid</c:v>
                </c:pt>
                <c:pt idx="2">
                  <c:v>AED</c:v>
                </c:pt>
                <c:pt idx="4">
                  <c:v>Strecters</c:v>
                </c:pt>
                <c:pt idx="6">
                  <c:v>Oxygen</c:v>
                </c:pt>
                <c:pt idx="8">
                  <c:v>Suction devices</c:v>
                </c:pt>
              </c:strCache>
            </c:strRef>
          </c:cat>
          <c:val>
            <c:numRef>
              <c:f>Sheet1!$B$2:$B$10</c:f>
              <c:numCache>
                <c:formatCode>General</c:formatCode>
                <c:ptCount val="9"/>
                <c:pt idx="0">
                  <c:v>70</c:v>
                </c:pt>
                <c:pt idx="2">
                  <c:v>95.5</c:v>
                </c:pt>
                <c:pt idx="4">
                  <c:v>63</c:v>
                </c:pt>
                <c:pt idx="6">
                  <c:v>62.8</c:v>
                </c:pt>
                <c:pt idx="8">
                  <c:v>80.2</c:v>
                </c:pt>
              </c:numCache>
            </c:numRef>
          </c:val>
          <c:extLst>
            <c:ext xmlns:c16="http://schemas.microsoft.com/office/drawing/2014/chart" uri="{C3380CC4-5D6E-409C-BE32-E72D297353CC}">
              <c16:uniqueId val="{00000000-C641-4D0C-B670-61F06FC43911}"/>
            </c:ext>
          </c:extLst>
        </c:ser>
        <c:ser>
          <c:idx val="1"/>
          <c:order val="1"/>
          <c:tx>
            <c:strRef>
              <c:f>Sheet1!$C$1</c:f>
              <c:strCache>
                <c:ptCount val="1"/>
                <c:pt idx="0">
                  <c:v>Available</c:v>
                </c:pt>
              </c:strCache>
            </c:strRef>
          </c:tx>
          <c:spPr>
            <a:solidFill>
              <a:schemeClr val="accent2"/>
            </a:solidFill>
            <a:ln>
              <a:noFill/>
            </a:ln>
            <a:effectLst/>
          </c:spPr>
          <c:invertIfNegative val="0"/>
          <c:cat>
            <c:strRef>
              <c:f>Sheet1!$A$2:$A$10</c:f>
              <c:strCache>
                <c:ptCount val="9"/>
                <c:pt idx="0">
                  <c:v>first aid</c:v>
                </c:pt>
                <c:pt idx="2">
                  <c:v>AED</c:v>
                </c:pt>
                <c:pt idx="4">
                  <c:v>Strecters</c:v>
                </c:pt>
                <c:pt idx="6">
                  <c:v>Oxygen</c:v>
                </c:pt>
                <c:pt idx="8">
                  <c:v>Suction devices</c:v>
                </c:pt>
              </c:strCache>
            </c:strRef>
          </c:cat>
          <c:val>
            <c:numRef>
              <c:f>Sheet1!$C$2:$C$10</c:f>
              <c:numCache>
                <c:formatCode>General</c:formatCode>
                <c:ptCount val="9"/>
                <c:pt idx="0">
                  <c:v>30</c:v>
                </c:pt>
                <c:pt idx="2">
                  <c:v>4.5</c:v>
                </c:pt>
                <c:pt idx="4">
                  <c:v>37</c:v>
                </c:pt>
                <c:pt idx="6">
                  <c:v>37.200000000000003</c:v>
                </c:pt>
                <c:pt idx="8">
                  <c:v>19.8</c:v>
                </c:pt>
              </c:numCache>
            </c:numRef>
          </c:val>
          <c:extLst>
            <c:ext xmlns:c16="http://schemas.microsoft.com/office/drawing/2014/chart" uri="{C3380CC4-5D6E-409C-BE32-E72D297353CC}">
              <c16:uniqueId val="{00000001-C641-4D0C-B670-61F06FC43911}"/>
            </c:ext>
          </c:extLst>
        </c:ser>
        <c:dLbls>
          <c:showLegendKey val="0"/>
          <c:showVal val="0"/>
          <c:showCatName val="0"/>
          <c:showSerName val="0"/>
          <c:showPercent val="0"/>
          <c:showBubbleSize val="0"/>
        </c:dLbls>
        <c:gapWidth val="150"/>
        <c:overlap val="100"/>
        <c:axId val="592491528"/>
        <c:axId val="592492312"/>
      </c:barChart>
      <c:catAx>
        <c:axId val="59249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92312"/>
        <c:crosses val="autoZero"/>
        <c:auto val="1"/>
        <c:lblAlgn val="ctr"/>
        <c:lblOffset val="100"/>
        <c:noMultiLvlLbl val="0"/>
      </c:catAx>
      <c:valAx>
        <c:axId val="592492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91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a-ET"/>
              <a:t>Challenges when referring</a:t>
            </a:r>
            <a:r>
              <a:rPr lang="en-US"/>
              <a:t> Title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7B0-44F1-98A7-322DA3022BE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7B0-44F1-98A7-322DA3022BE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7B0-44F1-98A7-322DA3022BE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7B0-44F1-98A7-322DA3022BE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Sheet1!$B$47:$B$50</c:f>
              <c:strCache>
                <c:ptCount val="4"/>
                <c:pt idx="0">
                  <c:v>Ambulance services</c:v>
                </c:pt>
                <c:pt idx="1">
                  <c:v>Distance to referral hospitals</c:v>
                </c:pt>
                <c:pt idx="2">
                  <c:v>Poor communication</c:v>
                </c:pt>
                <c:pt idx="3">
                  <c:v>Unspecified issues</c:v>
                </c:pt>
              </c:strCache>
            </c:strRef>
          </c:cat>
          <c:val>
            <c:numRef>
              <c:f>Sheet1!$C$47:$C$50</c:f>
              <c:numCache>
                <c:formatCode>General</c:formatCode>
                <c:ptCount val="4"/>
                <c:pt idx="0">
                  <c:v>110</c:v>
                </c:pt>
                <c:pt idx="1">
                  <c:v>56</c:v>
                </c:pt>
                <c:pt idx="2">
                  <c:v>30</c:v>
                </c:pt>
                <c:pt idx="3">
                  <c:v>28</c:v>
                </c:pt>
              </c:numCache>
            </c:numRef>
          </c:val>
          <c:extLst>
            <c:ext xmlns:c16="http://schemas.microsoft.com/office/drawing/2014/chart" uri="{C3380CC4-5D6E-409C-BE32-E72D297353CC}">
              <c16:uniqueId val="{00000008-27B0-44F1-98A7-322DA3022BE3}"/>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27B0-44F1-98A7-322DA3022BE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27B0-44F1-98A7-322DA3022BE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27B0-44F1-98A7-322DA3022BE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27B0-44F1-98A7-322DA3022BE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Sheet1!$B$47:$B$50</c:f>
              <c:strCache>
                <c:ptCount val="4"/>
                <c:pt idx="0">
                  <c:v>Ambulance services</c:v>
                </c:pt>
                <c:pt idx="1">
                  <c:v>Distance to referral hospitals</c:v>
                </c:pt>
                <c:pt idx="2">
                  <c:v>Poor communication</c:v>
                </c:pt>
                <c:pt idx="3">
                  <c:v>Unspecified issues</c:v>
                </c:pt>
              </c:strCache>
            </c:strRef>
          </c:cat>
          <c:val>
            <c:numRef>
              <c:f>Sheet1!$D$47:$D$50</c:f>
              <c:numCache>
                <c:formatCode>General</c:formatCode>
                <c:ptCount val="4"/>
                <c:pt idx="0">
                  <c:v>49.1</c:v>
                </c:pt>
                <c:pt idx="1">
                  <c:v>25</c:v>
                </c:pt>
                <c:pt idx="2">
                  <c:v>13.4</c:v>
                </c:pt>
                <c:pt idx="3">
                  <c:v>12.5</c:v>
                </c:pt>
              </c:numCache>
            </c:numRef>
          </c:val>
          <c:extLst>
            <c:ext xmlns:c16="http://schemas.microsoft.com/office/drawing/2014/chart" uri="{C3380CC4-5D6E-409C-BE32-E72D297353CC}">
              <c16:uniqueId val="{00000011-27B0-44F1-98A7-322DA3022BE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Types of emergencies managed</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Sheet2!$L$2:$L$6</c:f>
              <c:strCache>
                <c:ptCount val="5"/>
                <c:pt idx="0">
                  <c:v>Trauma accidents</c:v>
                </c:pt>
                <c:pt idx="1">
                  <c:v>Obstetric emergencies (labor complications)</c:v>
                </c:pt>
                <c:pt idx="2">
                  <c:v>Cardiac emergencies </c:v>
                </c:pt>
                <c:pt idx="3">
                  <c:v>Pediatric emergencies </c:v>
                </c:pt>
                <c:pt idx="4">
                  <c:v>Other Please specify</c:v>
                </c:pt>
              </c:strCache>
            </c:strRef>
          </c:cat>
          <c:val>
            <c:numRef>
              <c:f>Sheet2!$M$2:$M$6</c:f>
              <c:numCache>
                <c:formatCode>General</c:formatCode>
                <c:ptCount val="5"/>
                <c:pt idx="0">
                  <c:v>208</c:v>
                </c:pt>
                <c:pt idx="1">
                  <c:v>154</c:v>
                </c:pt>
                <c:pt idx="2">
                  <c:v>84</c:v>
                </c:pt>
                <c:pt idx="3">
                  <c:v>126</c:v>
                </c:pt>
                <c:pt idx="4">
                  <c:v>30</c:v>
                </c:pt>
              </c:numCache>
            </c:numRef>
          </c:val>
          <c:extLst>
            <c:ext xmlns:c16="http://schemas.microsoft.com/office/drawing/2014/chart" uri="{C3380CC4-5D6E-409C-BE32-E72D297353CC}">
              <c16:uniqueId val="{00000000-5EEB-44B8-A6CF-40446C0277E8}"/>
            </c:ext>
          </c:extLst>
        </c:ser>
        <c:dLbls>
          <c:showLegendKey val="0"/>
          <c:showVal val="0"/>
          <c:showCatName val="0"/>
          <c:showSerName val="0"/>
          <c:showPercent val="0"/>
          <c:showBubbleSize val="0"/>
        </c:dLbls>
        <c:gapWidth val="150"/>
        <c:overlap val="100"/>
        <c:axId val="600764992"/>
        <c:axId val="600761464"/>
      </c:barChart>
      <c:catAx>
        <c:axId val="60076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0761464"/>
        <c:crosses val="autoZero"/>
        <c:auto val="1"/>
        <c:lblAlgn val="ctr"/>
        <c:lblOffset val="100"/>
        <c:noMultiLvlLbl val="0"/>
      </c:catAx>
      <c:valAx>
        <c:axId val="600761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0764992"/>
        <c:crosses val="autoZero"/>
        <c:crossBetween val="between"/>
      </c:valAx>
      <c:spPr>
        <a:noFill/>
        <a:ln>
          <a:noFill/>
        </a:ln>
        <a:effectLst/>
      </c:spPr>
    </c:plotArea>
    <c:plotVisOnly val="1"/>
    <c:dispBlanksAs val="gap"/>
    <c:showDLblsOverMax val="0"/>
    <c:extLst>
      <c:ext uri="{0b15fc19-7d7d-44ad-8c2d-2c3a37ce22c3}">
        <chartProps xmlns="https://web.wps.cn/et/2018/main" chartId="{9ff0e59f-ef6a-4669-8746-5325e682d7f5}"/>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Barriers Faced in Managing Emergencies</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Sheet2!$I$2:$I$8</c:f>
              <c:strCache>
                <c:ptCount val="7"/>
                <c:pt idx="0">
                  <c:v>Lack training</c:v>
                </c:pt>
                <c:pt idx="1">
                  <c:v>Shortage staff</c:v>
                </c:pt>
                <c:pt idx="2">
                  <c:v>Inadequate edical equipment in the hospital </c:v>
                </c:pt>
                <c:pt idx="3">
                  <c:v>Communication issues</c:v>
                </c:pt>
                <c:pt idx="4">
                  <c:v>Delayed access specialist care</c:v>
                </c:pt>
                <c:pt idx="5">
                  <c:v>Lack support management</c:v>
                </c:pt>
                <c:pt idx="6">
                  <c:v>Others</c:v>
                </c:pt>
              </c:strCache>
            </c:strRef>
          </c:cat>
          <c:val>
            <c:numRef>
              <c:f>Sheet2!$J$2:$J$8</c:f>
              <c:numCache>
                <c:formatCode>General</c:formatCode>
                <c:ptCount val="7"/>
                <c:pt idx="0">
                  <c:v>128</c:v>
                </c:pt>
                <c:pt idx="1">
                  <c:v>196</c:v>
                </c:pt>
                <c:pt idx="2">
                  <c:v>182</c:v>
                </c:pt>
                <c:pt idx="3">
                  <c:v>72</c:v>
                </c:pt>
                <c:pt idx="4">
                  <c:v>114</c:v>
                </c:pt>
                <c:pt idx="5">
                  <c:v>72</c:v>
                </c:pt>
                <c:pt idx="6">
                  <c:v>14</c:v>
                </c:pt>
              </c:numCache>
            </c:numRef>
          </c:val>
          <c:extLst>
            <c:ext xmlns:c16="http://schemas.microsoft.com/office/drawing/2014/chart" uri="{C3380CC4-5D6E-409C-BE32-E72D297353CC}">
              <c16:uniqueId val="{00000000-817F-4306-95D2-FAFC0C1C25F1}"/>
            </c:ext>
          </c:extLst>
        </c:ser>
        <c:dLbls>
          <c:showLegendKey val="0"/>
          <c:showVal val="0"/>
          <c:showCatName val="0"/>
          <c:showSerName val="0"/>
          <c:showPercent val="0"/>
          <c:showBubbleSize val="0"/>
        </c:dLbls>
        <c:gapWidth val="150"/>
        <c:overlap val="100"/>
        <c:axId val="600761856"/>
        <c:axId val="600763032"/>
      </c:barChart>
      <c:catAx>
        <c:axId val="60076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0763032"/>
        <c:crosses val="autoZero"/>
        <c:auto val="1"/>
        <c:lblAlgn val="ctr"/>
        <c:lblOffset val="100"/>
        <c:noMultiLvlLbl val="0"/>
      </c:catAx>
      <c:valAx>
        <c:axId val="600763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0761856"/>
        <c:crosses val="autoZero"/>
        <c:crossBetween val="between"/>
      </c:valAx>
      <c:spPr>
        <a:noFill/>
        <a:ln>
          <a:noFill/>
        </a:ln>
        <a:effectLst/>
      </c:spPr>
    </c:plotArea>
    <c:plotVisOnly val="1"/>
    <c:dispBlanksAs val="gap"/>
    <c:showDLblsOverMax val="0"/>
    <c:extLst>
      <c:ext uri="{0b15fc19-7d7d-44ad-8c2d-2c3a37ce22c3}">
        <chartProps xmlns="https://web.wps.cn/et/2018/main" chartId="{9d9234fa-24f0-4c62-830f-ec65dbb14f2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Participants opinion on factors to improve emergency care</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Sheet2!$E$2:$E$6</c:f>
              <c:strCache>
                <c:ptCount val="5"/>
                <c:pt idx="0">
                  <c:v>Additional training education</c:v>
                </c:pt>
                <c:pt idx="1">
                  <c:v>improvement Increased staffing</c:v>
                </c:pt>
                <c:pt idx="2">
                  <c:v>Better access emergency equipment</c:v>
                </c:pt>
                <c:pt idx="3">
                  <c:v>communication systems</c:v>
                </c:pt>
                <c:pt idx="4">
                  <c:v>improvements Regular emergency drills</c:v>
                </c:pt>
              </c:strCache>
            </c:strRef>
          </c:cat>
          <c:val>
            <c:numRef>
              <c:f>Sheet2!$F$2:$F$6</c:f>
              <c:numCache>
                <c:formatCode>General</c:formatCode>
                <c:ptCount val="5"/>
                <c:pt idx="0">
                  <c:v>210</c:v>
                </c:pt>
                <c:pt idx="1">
                  <c:v>210</c:v>
                </c:pt>
                <c:pt idx="2">
                  <c:v>210</c:v>
                </c:pt>
                <c:pt idx="3">
                  <c:v>142</c:v>
                </c:pt>
                <c:pt idx="4">
                  <c:v>168</c:v>
                </c:pt>
              </c:numCache>
            </c:numRef>
          </c:val>
          <c:extLst>
            <c:ext xmlns:c16="http://schemas.microsoft.com/office/drawing/2014/chart" uri="{C3380CC4-5D6E-409C-BE32-E72D297353CC}">
              <c16:uniqueId val="{00000000-103D-42F5-AA82-A9EF3B34286D}"/>
            </c:ext>
          </c:extLst>
        </c:ser>
        <c:dLbls>
          <c:showLegendKey val="0"/>
          <c:showVal val="0"/>
          <c:showCatName val="0"/>
          <c:showSerName val="0"/>
          <c:showPercent val="0"/>
          <c:showBubbleSize val="0"/>
        </c:dLbls>
        <c:gapWidth val="150"/>
        <c:overlap val="100"/>
        <c:axId val="600762640"/>
        <c:axId val="600764208"/>
      </c:barChart>
      <c:catAx>
        <c:axId val="60076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0764208"/>
        <c:crosses val="autoZero"/>
        <c:auto val="1"/>
        <c:lblAlgn val="ctr"/>
        <c:lblOffset val="100"/>
        <c:noMultiLvlLbl val="0"/>
      </c:catAx>
      <c:valAx>
        <c:axId val="60076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0762640"/>
        <c:crosses val="autoZero"/>
        <c:crossBetween val="between"/>
      </c:valAx>
      <c:spPr>
        <a:noFill/>
        <a:ln>
          <a:noFill/>
        </a:ln>
        <a:effectLst/>
      </c:spPr>
    </c:plotArea>
    <c:plotVisOnly val="1"/>
    <c:dispBlanksAs val="gap"/>
    <c:showDLblsOverMax val="0"/>
    <c:extLst>
      <c:ext uri="{0b15fc19-7d7d-44ad-8c2d-2c3a37ce22c3}">
        <chartProps xmlns="https://web.wps.cn/et/2018/main" chartId="{16ae36c2-99a9-40fd-a7f6-dbc229bf917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Recommendations to improve emergency management</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Sheet2!$A$2:$A$6</c:f>
              <c:strCache>
                <c:ptCount val="5"/>
                <c:pt idx="0">
                  <c:v>More medical equipment supplies  </c:v>
                </c:pt>
                <c:pt idx="1">
                  <c:v>Regular training healthcare staff </c:v>
                </c:pt>
                <c:pt idx="2">
                  <c:v>Better referral systems transportation </c:v>
                </c:pt>
                <c:pt idx="3">
                  <c:v>Increased staffing </c:v>
                </c:pt>
                <c:pt idx="4">
                  <c:v>Improved communication systems</c:v>
                </c:pt>
              </c:strCache>
            </c:strRef>
          </c:cat>
          <c:val>
            <c:numRef>
              <c:f>Sheet2!$B$2:$B$6</c:f>
              <c:numCache>
                <c:formatCode>General</c:formatCode>
                <c:ptCount val="5"/>
                <c:pt idx="0">
                  <c:v>210</c:v>
                </c:pt>
                <c:pt idx="1">
                  <c:v>184</c:v>
                </c:pt>
                <c:pt idx="2">
                  <c:v>182</c:v>
                </c:pt>
                <c:pt idx="3">
                  <c:v>170</c:v>
                </c:pt>
                <c:pt idx="4">
                  <c:v>86</c:v>
                </c:pt>
              </c:numCache>
            </c:numRef>
          </c:val>
          <c:extLst>
            <c:ext xmlns:c16="http://schemas.microsoft.com/office/drawing/2014/chart" uri="{C3380CC4-5D6E-409C-BE32-E72D297353CC}">
              <c16:uniqueId val="{00000000-CC98-4FE5-8D68-A451BB1A5D42}"/>
            </c:ext>
          </c:extLst>
        </c:ser>
        <c:dLbls>
          <c:showLegendKey val="0"/>
          <c:showVal val="0"/>
          <c:showCatName val="0"/>
          <c:showSerName val="0"/>
          <c:showPercent val="0"/>
          <c:showBubbleSize val="0"/>
        </c:dLbls>
        <c:gapWidth val="150"/>
        <c:overlap val="100"/>
        <c:axId val="602731304"/>
        <c:axId val="602730520"/>
      </c:barChart>
      <c:catAx>
        <c:axId val="602731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2730520"/>
        <c:crosses val="autoZero"/>
        <c:auto val="1"/>
        <c:lblAlgn val="ctr"/>
        <c:lblOffset val="100"/>
        <c:noMultiLvlLbl val="0"/>
      </c:catAx>
      <c:valAx>
        <c:axId val="602730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02731304"/>
        <c:crosses val="autoZero"/>
        <c:crossBetween val="between"/>
      </c:valAx>
      <c:spPr>
        <a:noFill/>
        <a:ln>
          <a:noFill/>
        </a:ln>
        <a:effectLst/>
      </c:spPr>
    </c:plotArea>
    <c:plotVisOnly val="1"/>
    <c:dispBlanksAs val="gap"/>
    <c:showDLblsOverMax val="0"/>
    <c:extLst>
      <c:ext uri="{0b15fc19-7d7d-44ad-8c2d-2c3a37ce22c3}">
        <chartProps xmlns="https://web.wps.cn/et/2018/main" chartId="{c251170d-6b67-48b3-8dd6-78a1875d2ed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7009-6B9F-4B77-B8F8-322F5950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18631</Words>
  <Characters>106203</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Editor GP 005</cp:lastModifiedBy>
  <cp:revision>13</cp:revision>
  <dcterms:created xsi:type="dcterms:W3CDTF">2025-07-23T17:47:00Z</dcterms:created>
  <dcterms:modified xsi:type="dcterms:W3CDTF">2025-07-26T06:04:00Z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ddf7122d-dfba-4e41-b74e-105609c89678</vt:lpwstr>
  </property>
  <property fmtid="{D5CDD505-2E9C-101B-9397-08002B2CF9AE}" pid="3" name="KSOProductBuildVer">
    <vt:lpwstr>1033-12.2.0.21546</vt:lpwstr>
  </property>
  <property fmtid="{D5CDD505-2E9C-101B-9397-08002B2CF9AE}" pid="4" name="ICV">
    <vt:lpwstr>17C99843A99A4134A1851AA8B9F6491A_13</vt:lpwstr>
  </property>
  <property fmtid="{D5CDD505-2E9C-101B-9397-08002B2CF9AE}" pid="5" name="ZOTERO_PREF_1">
    <vt:lpwstr>&lt;data data-version="3" zotero-version="6.0.36"&gt;&lt;session id="Syyj3bOA"/&gt;&lt;style id="http://www.zotero.org/styles/vancouver" locale="en-US" hasBibliography="1" bibliographyStyleHasBeenSet="1"/&gt;&lt;prefs&gt;&lt;pref name="fieldType" value="Field"/&gt;&lt;/prefs&gt;&lt;/data&gt;</vt:lpwstr>
  </property>
</Properties>
</file>