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2DCA" w14:textId="58607573" w:rsidR="008D6BD1" w:rsidRPr="008D6BD1" w:rsidRDefault="008D6BD1" w:rsidP="008D6BD1">
      <w:pPr>
        <w:rPr>
          <w:rFonts w:cs="Times New Roman"/>
          <w:b/>
          <w:bCs/>
          <w:sz w:val="28"/>
          <w:szCs w:val="28"/>
        </w:rPr>
      </w:pPr>
      <w:r w:rsidRPr="00502160">
        <w:rPr>
          <w:rFonts w:ascii="Arial" w:hAnsi="Arial" w:cs="Arial"/>
          <w:b/>
          <w:bCs/>
          <w:noProof/>
          <w:sz w:val="20"/>
          <w:szCs w:val="20"/>
          <w:highlight w:val="yellow"/>
        </w:rPr>
        <w:t>Original Research Article</w:t>
      </w:r>
    </w:p>
    <w:p w14:paraId="454D5429" w14:textId="02D3B8E7" w:rsidR="00B331F8" w:rsidRPr="00D507EE" w:rsidRDefault="00D507EE" w:rsidP="00B331F8">
      <w:pPr>
        <w:jc w:val="center"/>
        <w:rPr>
          <w:rFonts w:cs="Times New Roman"/>
          <w:b/>
          <w:bCs/>
          <w:sz w:val="28"/>
          <w:szCs w:val="28"/>
        </w:rPr>
      </w:pPr>
      <w:r>
        <w:rPr>
          <w:rFonts w:cs="Times New Roman"/>
          <w:b/>
          <w:bCs/>
          <w:sz w:val="28"/>
          <w:szCs w:val="28"/>
        </w:rPr>
        <w:t xml:space="preserve">Comparative Performance of Transplanted Aman Rice Varieties under Raised Bed and Conventional </w:t>
      </w:r>
      <w:r w:rsidR="0033076E">
        <w:rPr>
          <w:rFonts w:cs="Times New Roman"/>
          <w:b/>
          <w:bCs/>
          <w:sz w:val="28"/>
          <w:szCs w:val="28"/>
        </w:rPr>
        <w:t xml:space="preserve">Cultivation </w:t>
      </w:r>
      <w:r>
        <w:rPr>
          <w:rFonts w:cs="Times New Roman"/>
          <w:b/>
          <w:bCs/>
          <w:sz w:val="28"/>
          <w:szCs w:val="28"/>
        </w:rPr>
        <w:t>Methods in Bangladesh</w:t>
      </w:r>
    </w:p>
    <w:p w14:paraId="12FA40C6" w14:textId="77777777" w:rsidR="00B331F8" w:rsidRDefault="00B331F8" w:rsidP="00B331F8">
      <w:pPr>
        <w:jc w:val="center"/>
        <w:rPr>
          <w:rFonts w:cs="Times New Roman"/>
          <w:b/>
          <w:bCs/>
          <w:sz w:val="28"/>
          <w:szCs w:val="28"/>
        </w:rPr>
      </w:pPr>
    </w:p>
    <w:p w14:paraId="76F80A97" w14:textId="77777777" w:rsidR="00597AF0" w:rsidRPr="00B331F8" w:rsidRDefault="00597AF0" w:rsidP="00B331F8">
      <w:pPr>
        <w:rPr>
          <w:rFonts w:cs="Times New Roman"/>
          <w:szCs w:val="24"/>
        </w:rPr>
      </w:pPr>
    </w:p>
    <w:p w14:paraId="3A3DD2A8" w14:textId="73CCDE59" w:rsidR="000B7528" w:rsidRPr="0031469B" w:rsidRDefault="000B7528" w:rsidP="003050C3">
      <w:pPr>
        <w:rPr>
          <w:rFonts w:cs="Times New Roman"/>
          <w:b/>
        </w:rPr>
      </w:pPr>
      <w:r w:rsidRPr="0031469B">
        <w:rPr>
          <w:rFonts w:cs="Times New Roman"/>
          <w:b/>
        </w:rPr>
        <w:t>ABSTRACT</w:t>
      </w:r>
    </w:p>
    <w:p w14:paraId="0467ACE4" w14:textId="09105EFE" w:rsidR="00094A44" w:rsidRPr="0031469B" w:rsidRDefault="0092027A" w:rsidP="00094A44">
      <w:pPr>
        <w:jc w:val="both"/>
        <w:rPr>
          <w:rFonts w:cs="Times New Roman"/>
        </w:rPr>
      </w:pPr>
      <w:r w:rsidRPr="0092027A">
        <w:rPr>
          <w:rFonts w:cs="Times New Roman"/>
          <w:highlight w:val="yellow"/>
        </w:rPr>
        <w:t xml:space="preserve">Rice, a staple crop vital to </w:t>
      </w:r>
      <w:r w:rsidR="00D507EE" w:rsidRPr="0092027A">
        <w:rPr>
          <w:rFonts w:cs="Times New Roman"/>
          <w:highlight w:val="yellow"/>
        </w:rPr>
        <w:t>nutrition</w:t>
      </w:r>
      <w:r w:rsidRPr="0092027A">
        <w:rPr>
          <w:rFonts w:cs="Times New Roman"/>
          <w:highlight w:val="yellow"/>
        </w:rPr>
        <w:t xml:space="preserve"> and livelihoods of billions, must consistently achieve high yield to meet global food demands.</w:t>
      </w:r>
      <w:r>
        <w:rPr>
          <w:rFonts w:cs="Times New Roman"/>
        </w:rPr>
        <w:t xml:space="preserve"> </w:t>
      </w:r>
      <w:r w:rsidR="00686AB7" w:rsidRPr="0031469B">
        <w:rPr>
          <w:rFonts w:cs="Times New Roman"/>
        </w:rPr>
        <w:t xml:space="preserve">The rice cultivation methods have a big impact on overall yield, productivity and water usage efficiency. </w:t>
      </w:r>
      <w:r w:rsidR="0045078E" w:rsidRPr="0031469B">
        <w:rPr>
          <w:rFonts w:cs="Times New Roman"/>
        </w:rPr>
        <w:t xml:space="preserve">This study compared the yield performance of four </w:t>
      </w:r>
      <w:r w:rsidR="00856DA0">
        <w:rPr>
          <w:rFonts w:cs="Times New Roman"/>
        </w:rPr>
        <w:t xml:space="preserve">Transplanted </w:t>
      </w:r>
      <w:r w:rsidR="0045078E" w:rsidRPr="0031469B">
        <w:rPr>
          <w:rFonts w:cs="Times New Roman"/>
        </w:rPr>
        <w:t>Aman</w:t>
      </w:r>
      <w:r w:rsidR="00856DA0">
        <w:rPr>
          <w:rFonts w:cs="Times New Roman"/>
        </w:rPr>
        <w:t xml:space="preserve"> (T. Aman)</w:t>
      </w:r>
      <w:r w:rsidR="0045078E" w:rsidRPr="0031469B">
        <w:rPr>
          <w:rFonts w:cs="Times New Roman"/>
        </w:rPr>
        <w:t xml:space="preserve"> rice varieties: BRRI dhan49, BRRI dhan52, BR11,</w:t>
      </w:r>
      <w:r w:rsidR="004C0F9B">
        <w:rPr>
          <w:rFonts w:cs="Times New Roman"/>
        </w:rPr>
        <w:t xml:space="preserve"> </w:t>
      </w:r>
      <w:r w:rsidR="0045078E" w:rsidRPr="0031469B">
        <w:rPr>
          <w:rFonts w:cs="Times New Roman"/>
        </w:rPr>
        <w:t xml:space="preserve">and Binadhan-7, under raised bed and conventional method to determine the best genotype × planting method combinations for increased productivity. </w:t>
      </w:r>
      <w:r w:rsidR="009E3DC8" w:rsidRPr="0031469B">
        <w:rPr>
          <w:rFonts w:cs="Times New Roman"/>
        </w:rPr>
        <w:t>We conducted our study at Bangladesh Agricultural University using Randomized Complete Block Design (RCBD) with three replications. The result of the experiment figured out that</w:t>
      </w:r>
      <w:r w:rsidR="00266F37">
        <w:rPr>
          <w:rFonts w:cs="Times New Roman"/>
        </w:rPr>
        <w:t>,</w:t>
      </w:r>
      <w:r w:rsidR="009E3DC8" w:rsidRPr="0031469B">
        <w:rPr>
          <w:rFonts w:cs="Times New Roman"/>
        </w:rPr>
        <w:t xml:space="preserve"> for </w:t>
      </w:r>
      <w:r w:rsidR="00856DA0">
        <w:rPr>
          <w:rFonts w:cs="Times New Roman"/>
        </w:rPr>
        <w:t>T. Aman</w:t>
      </w:r>
      <w:r w:rsidR="009E3DC8" w:rsidRPr="0031469B">
        <w:rPr>
          <w:rFonts w:cs="Times New Roman"/>
        </w:rPr>
        <w:t xml:space="preserve"> rice</w:t>
      </w:r>
      <w:r w:rsidR="00266F37">
        <w:rPr>
          <w:rFonts w:cs="Times New Roman"/>
        </w:rPr>
        <w:t xml:space="preserve">, </w:t>
      </w:r>
      <w:r w:rsidR="00266F37" w:rsidRPr="0031469B">
        <w:rPr>
          <w:rFonts w:cs="Times New Roman"/>
        </w:rPr>
        <w:t>varieties and planting methods</w:t>
      </w:r>
      <w:r w:rsidR="00266F37">
        <w:rPr>
          <w:rFonts w:cs="Times New Roman"/>
        </w:rPr>
        <w:t xml:space="preserve"> </w:t>
      </w:r>
      <w:r w:rsidR="00266F37" w:rsidRPr="0031469B">
        <w:rPr>
          <w:rFonts w:cs="Times New Roman"/>
        </w:rPr>
        <w:t>interact</w:t>
      </w:r>
      <w:r w:rsidR="00266F37">
        <w:rPr>
          <w:rFonts w:cs="Times New Roman"/>
        </w:rPr>
        <w:t xml:space="preserve">ed </w:t>
      </w:r>
      <w:r w:rsidR="00266F37" w:rsidRPr="0031469B">
        <w:rPr>
          <w:rFonts w:cs="Times New Roman"/>
        </w:rPr>
        <w:t>significant</w:t>
      </w:r>
      <w:r w:rsidR="00266F37">
        <w:rPr>
          <w:rFonts w:cs="Times New Roman"/>
        </w:rPr>
        <w:t>ly</w:t>
      </w:r>
      <w:r w:rsidR="009E3DC8" w:rsidRPr="0031469B">
        <w:rPr>
          <w:rFonts w:cs="Times New Roman"/>
        </w:rPr>
        <w:t xml:space="preserve">. </w:t>
      </w:r>
      <w:r w:rsidR="0045078E" w:rsidRPr="0031469B">
        <w:rPr>
          <w:rFonts w:cs="Times New Roman"/>
        </w:rPr>
        <w:t xml:space="preserve">BRRI dhan49 consistently performed better than other varieties, especially when grown in raised beds. It had the best harvest index (45.94%), biological yield (11.79 t/ha), and grain yield (5.42 t/ha). In comparison to traditional planting, raised bed planting increased effective tiller number (+8.3%), panicle length (+4.8%), grains per panicle (+2.7%), and decreased sterile </w:t>
      </w:r>
      <w:proofErr w:type="spellStart"/>
      <w:r w:rsidR="0045078E" w:rsidRPr="0031469B">
        <w:rPr>
          <w:rFonts w:cs="Times New Roman"/>
        </w:rPr>
        <w:t>spikelets</w:t>
      </w:r>
      <w:proofErr w:type="spellEnd"/>
      <w:r w:rsidR="0045078E" w:rsidRPr="0031469B">
        <w:rPr>
          <w:rFonts w:cs="Times New Roman"/>
        </w:rPr>
        <w:t xml:space="preserve"> (−19%). </w:t>
      </w:r>
      <w:r w:rsidR="00D507EE" w:rsidRPr="00D507EE">
        <w:rPr>
          <w:rFonts w:cs="Times New Roman"/>
          <w:color w:val="000000" w:themeColor="text1"/>
          <w:highlight w:val="yellow"/>
        </w:rPr>
        <w:t xml:space="preserve">Among the varieties, </w:t>
      </w:r>
      <w:r w:rsidR="00547C85" w:rsidRPr="00D507EE">
        <w:rPr>
          <w:rFonts w:cs="Times New Roman"/>
          <w:color w:val="000000" w:themeColor="text1"/>
          <w:highlight w:val="yellow"/>
        </w:rPr>
        <w:t xml:space="preserve">Binadhan-7 exhibited the weakest performance </w:t>
      </w:r>
      <w:r w:rsidR="00D507EE" w:rsidRPr="00D507EE">
        <w:rPr>
          <w:rFonts w:cs="Times New Roman"/>
          <w:color w:val="000000" w:themeColor="text1"/>
          <w:highlight w:val="yellow"/>
        </w:rPr>
        <w:t>in conventional method</w:t>
      </w:r>
      <w:r w:rsidR="00547C85" w:rsidRPr="00547C85">
        <w:rPr>
          <w:rFonts w:cs="Times New Roman"/>
          <w:highlight w:val="yellow"/>
        </w:rPr>
        <w:t>.</w:t>
      </w:r>
      <w:r w:rsidR="00547C85">
        <w:rPr>
          <w:rFonts w:cs="Times New Roman"/>
        </w:rPr>
        <w:t xml:space="preserve"> </w:t>
      </w:r>
      <w:r w:rsidR="0045078E" w:rsidRPr="0031469B">
        <w:rPr>
          <w:rFonts w:cs="Times New Roman"/>
        </w:rPr>
        <w:t>Features including effective tillers, grains per panicle, and 1000-grain weight were shown to have strong positive associations with grain yield, underscoring their significance as selection criteria.</w:t>
      </w:r>
      <w:r w:rsidR="009576E1" w:rsidRPr="0031469B">
        <w:rPr>
          <w:rFonts w:cs="Times New Roman"/>
        </w:rPr>
        <w:t xml:space="preserve"> </w:t>
      </w:r>
      <w:r w:rsidR="00094A44" w:rsidRPr="0031469B">
        <w:rPr>
          <w:rFonts w:cs="Times New Roman"/>
        </w:rPr>
        <w:t xml:space="preserve">The findings of this study indicate that </w:t>
      </w:r>
      <w:r w:rsidR="009E0A45" w:rsidRPr="0031469B">
        <w:rPr>
          <w:rFonts w:cs="Times New Roman"/>
        </w:rPr>
        <w:t>growing</w:t>
      </w:r>
      <w:r w:rsidR="00094A44" w:rsidRPr="0031469B">
        <w:rPr>
          <w:rFonts w:cs="Times New Roman"/>
        </w:rPr>
        <w:t xml:space="preserve"> BRRI dhan49 using the raised bed method significantly </w:t>
      </w:r>
      <w:r w:rsidR="009E0A45" w:rsidRPr="0031469B">
        <w:rPr>
          <w:rFonts w:cs="Times New Roman"/>
        </w:rPr>
        <w:t>increases</w:t>
      </w:r>
      <w:r w:rsidR="00094A44" w:rsidRPr="0031469B">
        <w:rPr>
          <w:rFonts w:cs="Times New Roman"/>
        </w:rPr>
        <w:t xml:space="preserve"> the yield of </w:t>
      </w:r>
      <w:r w:rsidR="00856DA0">
        <w:rPr>
          <w:rFonts w:cs="Times New Roman"/>
        </w:rPr>
        <w:t>T.</w:t>
      </w:r>
      <w:r w:rsidR="00094A44" w:rsidRPr="0031469B">
        <w:rPr>
          <w:rFonts w:cs="Times New Roman"/>
        </w:rPr>
        <w:t xml:space="preserve"> Aman rice, </w:t>
      </w:r>
      <w:r w:rsidR="009E0A45" w:rsidRPr="0031469B">
        <w:rPr>
          <w:rFonts w:cs="Times New Roman"/>
        </w:rPr>
        <w:t>suggesting that this technique may be a better agronomic approach than traditional techniques for raising rice production. For</w:t>
      </w:r>
      <w:r w:rsidR="00094A44" w:rsidRPr="0031469B">
        <w:rPr>
          <w:rFonts w:cs="Times New Roman"/>
        </w:rPr>
        <w:t xml:space="preserve"> increas</w:t>
      </w:r>
      <w:r w:rsidR="009E0A45" w:rsidRPr="0031469B">
        <w:rPr>
          <w:rFonts w:cs="Times New Roman"/>
        </w:rPr>
        <w:t>ing</w:t>
      </w:r>
      <w:r w:rsidR="00094A44" w:rsidRPr="0031469B">
        <w:rPr>
          <w:rFonts w:cs="Times New Roman"/>
        </w:rPr>
        <w:t xml:space="preserve"> food security and land productivity in rice-growing countries, these findings can help farmers, agricultural planners, and governments </w:t>
      </w:r>
      <w:r w:rsidR="009E0A45" w:rsidRPr="0031469B">
        <w:rPr>
          <w:rFonts w:cs="Times New Roman"/>
        </w:rPr>
        <w:t xml:space="preserve">to </w:t>
      </w:r>
      <w:r w:rsidR="00094A44" w:rsidRPr="0031469B">
        <w:rPr>
          <w:rFonts w:cs="Times New Roman"/>
        </w:rPr>
        <w:t>adopt more effective production practices.</w:t>
      </w:r>
    </w:p>
    <w:p w14:paraId="3D412325" w14:textId="74C32A3A" w:rsidR="00A91339" w:rsidRDefault="00A0213A" w:rsidP="0054352F">
      <w:pPr>
        <w:jc w:val="both"/>
        <w:rPr>
          <w:rFonts w:cs="Times New Roman"/>
          <w:szCs w:val="24"/>
        </w:rPr>
      </w:pPr>
      <w:r w:rsidRPr="0031469B">
        <w:rPr>
          <w:rFonts w:cs="Times New Roman"/>
          <w:b/>
          <w:bCs/>
          <w:szCs w:val="24"/>
        </w:rPr>
        <w:t xml:space="preserve">KEYWORDS: </w:t>
      </w:r>
      <w:r w:rsidRPr="0031469B">
        <w:rPr>
          <w:rFonts w:cs="Times New Roman"/>
          <w:szCs w:val="24"/>
        </w:rPr>
        <w:t>Transplanted</w:t>
      </w:r>
      <w:r w:rsidRPr="0031469B">
        <w:rPr>
          <w:rFonts w:cs="Times New Roman"/>
          <w:b/>
          <w:bCs/>
          <w:szCs w:val="24"/>
        </w:rPr>
        <w:t xml:space="preserve"> </w:t>
      </w:r>
      <w:r w:rsidRPr="0031469B">
        <w:rPr>
          <w:rFonts w:cs="Times New Roman"/>
          <w:szCs w:val="24"/>
        </w:rPr>
        <w:t>Aman rice, Raised Bed, Yield, BRRI dhan49</w:t>
      </w:r>
    </w:p>
    <w:p w14:paraId="4916BAEF" w14:textId="77777777" w:rsidR="00D8018A" w:rsidRPr="00A91339" w:rsidRDefault="00D8018A" w:rsidP="0054352F">
      <w:pPr>
        <w:jc w:val="both"/>
        <w:rPr>
          <w:rFonts w:cs="Times New Roman"/>
          <w:b/>
          <w:bCs/>
          <w:szCs w:val="24"/>
        </w:rPr>
      </w:pPr>
    </w:p>
    <w:p w14:paraId="425AAA8D" w14:textId="23B49E26" w:rsidR="00AD67E2" w:rsidRPr="0031469B" w:rsidRDefault="00AD67E2" w:rsidP="00AD67E2">
      <w:pPr>
        <w:rPr>
          <w:rFonts w:cs="Times New Roman"/>
          <w:b/>
          <w:bCs/>
        </w:rPr>
      </w:pPr>
      <w:r w:rsidRPr="0031469B">
        <w:rPr>
          <w:rFonts w:cs="Times New Roman"/>
          <w:b/>
          <w:bCs/>
        </w:rPr>
        <w:t>INTRODUCTION</w:t>
      </w:r>
    </w:p>
    <w:p w14:paraId="37BFA3A2" w14:textId="7A50DBB2" w:rsidR="00743783" w:rsidRPr="00BF7004" w:rsidRDefault="00341038" w:rsidP="00743783">
      <w:pPr>
        <w:jc w:val="both"/>
        <w:rPr>
          <w:rFonts w:cs="Times New Roman"/>
        </w:rPr>
      </w:pPr>
      <w:r w:rsidRPr="00BF7004">
        <w:rPr>
          <w:rFonts w:cs="Times New Roman"/>
        </w:rPr>
        <w:t xml:space="preserve">More than half of the world's population depends on rice </w:t>
      </w:r>
      <w:r w:rsidRPr="008D6BD1">
        <w:rPr>
          <w:rFonts w:cs="Times New Roman"/>
          <w:highlight w:val="yellow"/>
        </w:rPr>
        <w:t>(</w:t>
      </w:r>
      <w:r w:rsidRPr="008D6BD1">
        <w:rPr>
          <w:rFonts w:cs="Times New Roman"/>
          <w:i/>
          <w:iCs/>
          <w:highlight w:val="yellow"/>
        </w:rPr>
        <w:t>Oryza sativa</w:t>
      </w:r>
      <w:r w:rsidRPr="008D6BD1">
        <w:rPr>
          <w:rFonts w:cs="Times New Roman"/>
          <w:highlight w:val="yellow"/>
        </w:rPr>
        <w:t xml:space="preserve"> L.)</w:t>
      </w:r>
      <w:r w:rsidRPr="00BF7004">
        <w:rPr>
          <w:rFonts w:cs="Times New Roman"/>
        </w:rPr>
        <w:t xml:space="preserve"> as a staple food, making it the most widely cultivated cereal crop worldwide </w:t>
      </w:r>
      <w:r w:rsidRPr="00DF46B4">
        <w:rPr>
          <w:rFonts w:cs="Times New Roman"/>
          <w:highlight w:val="yellow"/>
        </w:rPr>
        <w:t>(</w:t>
      </w:r>
      <w:r w:rsidR="00DF46B4" w:rsidRPr="00DF46B4">
        <w:rPr>
          <w:rFonts w:cs="Times New Roman"/>
          <w:szCs w:val="24"/>
          <w:highlight w:val="yellow"/>
        </w:rPr>
        <w:t>Fiza et al., 2024</w:t>
      </w:r>
      <w:r w:rsidR="00DF46B4">
        <w:rPr>
          <w:rFonts w:cs="Times New Roman"/>
          <w:szCs w:val="24"/>
        </w:rPr>
        <w:t xml:space="preserve">; </w:t>
      </w:r>
      <w:r w:rsidRPr="00BF7004">
        <w:rPr>
          <w:rFonts w:cs="Times New Roman"/>
        </w:rPr>
        <w:t xml:space="preserve">Chauhan </w:t>
      </w:r>
      <w:r w:rsidR="004C0F9B">
        <w:rPr>
          <w:rFonts w:cs="Times New Roman"/>
        </w:rPr>
        <w:t>and</w:t>
      </w:r>
      <w:r w:rsidRPr="00BF7004">
        <w:rPr>
          <w:rFonts w:cs="Times New Roman"/>
        </w:rPr>
        <w:t xml:space="preserve"> Johnson, 2011). Rice is the main food staple and accounts for around 80% of Bangladesh's total farmed area</w:t>
      </w:r>
      <w:r w:rsidR="003B450B">
        <w:rPr>
          <w:rFonts w:cs="Times New Roman"/>
        </w:rPr>
        <w:t xml:space="preserve"> </w:t>
      </w:r>
      <w:r w:rsidR="003B450B" w:rsidRPr="003B450B">
        <w:rPr>
          <w:rFonts w:cs="Times New Roman"/>
          <w:highlight w:val="yellow"/>
        </w:rPr>
        <w:t>(</w:t>
      </w:r>
      <w:r w:rsidR="003B450B" w:rsidRPr="003B450B">
        <w:rPr>
          <w:rFonts w:cs="Times New Roman"/>
          <w:color w:val="000000" w:themeColor="text1"/>
          <w:szCs w:val="24"/>
          <w:highlight w:val="yellow"/>
        </w:rPr>
        <w:t>Azad et al., 2022)</w:t>
      </w:r>
      <w:r w:rsidRPr="003B450B">
        <w:rPr>
          <w:rFonts w:cs="Times New Roman"/>
          <w:highlight w:val="yellow"/>
        </w:rPr>
        <w:t>.</w:t>
      </w:r>
      <w:r w:rsidRPr="00BF7004">
        <w:rPr>
          <w:rFonts w:cs="Times New Roman"/>
        </w:rPr>
        <w:t xml:space="preserve"> Bangladesh produced around </w:t>
      </w:r>
      <w:r w:rsidR="00911D59">
        <w:rPr>
          <w:rFonts w:cs="Times New Roman"/>
        </w:rPr>
        <w:t>27.85</w:t>
      </w:r>
      <w:r w:rsidRPr="00BF7004">
        <w:rPr>
          <w:rFonts w:cs="Times New Roman"/>
        </w:rPr>
        <w:t xml:space="preserve"> million </w:t>
      </w:r>
      <w:r w:rsidR="00866E83" w:rsidRPr="00BF7004">
        <w:rPr>
          <w:rFonts w:cs="Times New Roman"/>
        </w:rPr>
        <w:t>tons</w:t>
      </w:r>
      <w:r w:rsidRPr="00BF7004">
        <w:rPr>
          <w:rFonts w:cs="Times New Roman"/>
        </w:rPr>
        <w:t xml:space="preserve"> of rice from about 11.</w:t>
      </w:r>
      <w:r w:rsidR="00911D59">
        <w:rPr>
          <w:rFonts w:cs="Times New Roman"/>
        </w:rPr>
        <w:t>66</w:t>
      </w:r>
      <w:r w:rsidRPr="00BF7004">
        <w:rPr>
          <w:rFonts w:cs="Times New Roman"/>
        </w:rPr>
        <w:t xml:space="preserve"> million hectares in the fiscal year 2023–2024, averaging about 4.72 t ha⁻¹ </w:t>
      </w:r>
      <w:r w:rsidR="00AD67E2" w:rsidRPr="00BF7004">
        <w:rPr>
          <w:rFonts w:cs="Times New Roman"/>
        </w:rPr>
        <w:t>(BBS, 202</w:t>
      </w:r>
      <w:r w:rsidR="00911D59">
        <w:rPr>
          <w:rFonts w:cs="Times New Roman"/>
        </w:rPr>
        <w:t>4</w:t>
      </w:r>
      <w:r w:rsidR="00AD67E2" w:rsidRPr="00BF7004">
        <w:rPr>
          <w:rFonts w:cs="Times New Roman"/>
        </w:rPr>
        <w:t xml:space="preserve">). </w:t>
      </w:r>
      <w:r w:rsidR="00743783" w:rsidRPr="00BF7004">
        <w:rPr>
          <w:rFonts w:cs="Times New Roman"/>
        </w:rPr>
        <w:t>With an annual per capita availability of roughly 213.5 kg of rice, Bangladesh ranks fourth among nations in the world in terms of rice consumption (FPMU Database</w:t>
      </w:r>
      <w:r w:rsidR="00D44280" w:rsidRPr="00BF7004">
        <w:rPr>
          <w:rFonts w:cs="Times New Roman"/>
        </w:rPr>
        <w:t>,</w:t>
      </w:r>
      <w:r w:rsidR="00743783" w:rsidRPr="00BF7004">
        <w:rPr>
          <w:rFonts w:cs="Times New Roman"/>
        </w:rPr>
        <w:t xml:space="preserve"> 2020).</w:t>
      </w:r>
      <w:r w:rsidR="00743783" w:rsidRPr="00BF7004">
        <w:rPr>
          <w:rFonts w:eastAsia="Times New Roman" w:cs="Times New Roman"/>
          <w:kern w:val="0"/>
          <w:szCs w:val="24"/>
          <w14:ligatures w14:val="none"/>
        </w:rPr>
        <w:t xml:space="preserve"> </w:t>
      </w:r>
      <w:r w:rsidR="00743783" w:rsidRPr="00BF7004">
        <w:rPr>
          <w:rFonts w:cs="Times New Roman"/>
        </w:rPr>
        <w:t xml:space="preserve">The production of rice provides a direct or indirect source of income for about 48% of rural laborers. Over 13 million farms, covering over </w:t>
      </w:r>
      <w:r w:rsidR="00743783" w:rsidRPr="00BF7004">
        <w:rPr>
          <w:rFonts w:cs="Times New Roman"/>
        </w:rPr>
        <w:lastRenderedPageBreak/>
        <w:t>11.77 million hectares, grow rice during the winter (dry) and monsoon (wet) seasons (DAE</w:t>
      </w:r>
      <w:r w:rsidR="009843CF" w:rsidRPr="00BF7004">
        <w:rPr>
          <w:rFonts w:cs="Times New Roman"/>
        </w:rPr>
        <w:t>,</w:t>
      </w:r>
      <w:r w:rsidR="00743783" w:rsidRPr="00BF7004">
        <w:rPr>
          <w:rFonts w:cs="Times New Roman"/>
        </w:rPr>
        <w:t xml:space="preserve"> 2020). About 70% of the agriculture sub-sector's value comes from rice (</w:t>
      </w:r>
      <w:proofErr w:type="spellStart"/>
      <w:r w:rsidR="00743783" w:rsidRPr="00BF7004">
        <w:rPr>
          <w:rFonts w:cs="Times New Roman"/>
        </w:rPr>
        <w:t>Mottaleb</w:t>
      </w:r>
      <w:proofErr w:type="spellEnd"/>
      <w:r w:rsidR="00743783" w:rsidRPr="00BF7004">
        <w:rPr>
          <w:rFonts w:cs="Times New Roman"/>
        </w:rPr>
        <w:t xml:space="preserve"> </w:t>
      </w:r>
      <w:r w:rsidR="00D44280" w:rsidRPr="00BF7004">
        <w:rPr>
          <w:rFonts w:cs="Times New Roman"/>
        </w:rPr>
        <w:t>&amp;</w:t>
      </w:r>
      <w:r w:rsidR="00743783" w:rsidRPr="00BF7004">
        <w:rPr>
          <w:rFonts w:cs="Times New Roman"/>
        </w:rPr>
        <w:t xml:space="preserve"> Mishra</w:t>
      </w:r>
      <w:r w:rsidR="009843CF" w:rsidRPr="00BF7004">
        <w:rPr>
          <w:rFonts w:cs="Times New Roman"/>
        </w:rPr>
        <w:t>,</w:t>
      </w:r>
      <w:r w:rsidR="00743783" w:rsidRPr="00BF7004">
        <w:rPr>
          <w:rFonts w:cs="Times New Roman"/>
        </w:rPr>
        <w:t xml:space="preserve"> 2016).</w:t>
      </w:r>
    </w:p>
    <w:p w14:paraId="359E37A7" w14:textId="3AAB2F65" w:rsidR="00E444D4" w:rsidRPr="00BF7004" w:rsidRDefault="00E444D4" w:rsidP="00E444D4">
      <w:pPr>
        <w:jc w:val="both"/>
        <w:rPr>
          <w:rFonts w:cs="Times New Roman"/>
        </w:rPr>
      </w:pPr>
      <w:r w:rsidRPr="00BF7004">
        <w:rPr>
          <w:rFonts w:cs="Times New Roman"/>
        </w:rPr>
        <w:t>Despite its dominance</w:t>
      </w:r>
      <w:r w:rsidR="009631DA">
        <w:rPr>
          <w:rFonts w:cs="Times New Roman"/>
        </w:rPr>
        <w:t>,</w:t>
      </w:r>
      <w:r w:rsidR="000C4A41" w:rsidRPr="00BF7004">
        <w:rPr>
          <w:rFonts w:cs="Times New Roman"/>
        </w:rPr>
        <w:t xml:space="preserve"> </w:t>
      </w:r>
      <w:r w:rsidRPr="00BF7004">
        <w:rPr>
          <w:rFonts w:cs="Times New Roman"/>
        </w:rPr>
        <w:t>rice yield growth has stalled in recent decades.</w:t>
      </w:r>
      <w:r w:rsidRPr="00BF7004">
        <w:rPr>
          <w:rFonts w:eastAsia="Times New Roman" w:cs="Times New Roman"/>
          <w:kern w:val="0"/>
          <w:szCs w:val="24"/>
          <w14:ligatures w14:val="none"/>
        </w:rPr>
        <w:t xml:space="preserve"> </w:t>
      </w:r>
      <w:r w:rsidRPr="00BF7004">
        <w:rPr>
          <w:rFonts w:cs="Times New Roman"/>
        </w:rPr>
        <w:t>The main cause of this stalemate is the insufficient use of better agronomic techniques. Instead of combining high-yielding seed varieties with mechanized field preparation, precision planting, water-saving irrigation, and optimal nutrient timing, farmers continue to use traditional crops and management techniques</w:t>
      </w:r>
      <w:r w:rsidR="0008448F">
        <w:rPr>
          <w:rFonts w:cs="Times New Roman"/>
        </w:rPr>
        <w:t xml:space="preserve"> </w:t>
      </w:r>
      <w:r w:rsidR="0008448F" w:rsidRPr="0008448F">
        <w:rPr>
          <w:rFonts w:cs="Times New Roman"/>
          <w:highlight w:val="yellow"/>
        </w:rPr>
        <w:t>(</w:t>
      </w:r>
      <w:proofErr w:type="spellStart"/>
      <w:r w:rsidR="0008448F" w:rsidRPr="0008448F">
        <w:rPr>
          <w:rFonts w:cs="Times New Roman"/>
          <w:color w:val="000000" w:themeColor="text1"/>
          <w:szCs w:val="24"/>
          <w:highlight w:val="yellow"/>
        </w:rPr>
        <w:t>Foysal</w:t>
      </w:r>
      <w:proofErr w:type="spellEnd"/>
      <w:r w:rsidR="0008448F" w:rsidRPr="0008448F">
        <w:rPr>
          <w:rFonts w:cs="Times New Roman"/>
          <w:color w:val="000000" w:themeColor="text1"/>
          <w:szCs w:val="24"/>
          <w:highlight w:val="yellow"/>
        </w:rPr>
        <w:t xml:space="preserve"> et al., 2023)</w:t>
      </w:r>
      <w:r w:rsidRPr="0008448F">
        <w:rPr>
          <w:rFonts w:cs="Times New Roman"/>
          <w:highlight w:val="yellow"/>
        </w:rPr>
        <w:t>.</w:t>
      </w:r>
      <w:r w:rsidRPr="00BF7004">
        <w:rPr>
          <w:rFonts w:cs="Times New Roman"/>
        </w:rPr>
        <w:t xml:space="preserve"> Because of this, the average yield frequently stays well below the potential grain production levels that HYVs offer, resulting in a continuous yield gap</w:t>
      </w:r>
      <w:r w:rsidR="00CA27B1" w:rsidRPr="00BF7004">
        <w:rPr>
          <w:rFonts w:cs="Times New Roman"/>
        </w:rPr>
        <w:t xml:space="preserve"> (Quais </w:t>
      </w:r>
      <w:r w:rsidR="00D44280" w:rsidRPr="00BF7004">
        <w:rPr>
          <w:rFonts w:cs="Times New Roman"/>
        </w:rPr>
        <w:t>&amp;</w:t>
      </w:r>
      <w:r w:rsidR="00CA27B1" w:rsidRPr="00BF7004">
        <w:rPr>
          <w:rFonts w:cs="Times New Roman"/>
        </w:rPr>
        <w:t xml:space="preserve"> Khairul, 2015)</w:t>
      </w:r>
      <w:r w:rsidRPr="00BF7004">
        <w:rPr>
          <w:rFonts w:cs="Times New Roman"/>
        </w:rPr>
        <w:t xml:space="preserve">. </w:t>
      </w:r>
    </w:p>
    <w:p w14:paraId="4DB1E980" w14:textId="76B8091C" w:rsidR="000834BE" w:rsidRPr="003B102E" w:rsidRDefault="00F25C68" w:rsidP="000834BE">
      <w:pPr>
        <w:jc w:val="both"/>
        <w:rPr>
          <w:rFonts w:eastAsia="Times New Roman" w:cs="Times New Roman"/>
          <w:kern w:val="0"/>
          <w:szCs w:val="24"/>
          <w14:ligatures w14:val="none"/>
        </w:rPr>
      </w:pPr>
      <w:r w:rsidRPr="00BF7004">
        <w:rPr>
          <w:rFonts w:cs="Times New Roman"/>
        </w:rPr>
        <w:t>T</w:t>
      </w:r>
      <w:r w:rsidR="00856DA0">
        <w:rPr>
          <w:rFonts w:cs="Times New Roman"/>
        </w:rPr>
        <w:t>.</w:t>
      </w:r>
      <w:r w:rsidRPr="00BF7004">
        <w:rPr>
          <w:rFonts w:cs="Times New Roman"/>
        </w:rPr>
        <w:t xml:space="preserve"> Aman rice (</w:t>
      </w:r>
      <w:r w:rsidRPr="008D6BD1">
        <w:rPr>
          <w:rFonts w:cs="Times New Roman"/>
          <w:i/>
          <w:iCs/>
          <w:highlight w:val="yellow"/>
        </w:rPr>
        <w:t>Oryza sativa</w:t>
      </w:r>
      <w:r w:rsidRPr="00BF7004">
        <w:rPr>
          <w:rFonts w:cs="Times New Roman"/>
        </w:rPr>
        <w:t xml:space="preserve"> L.), grown during the monsoon season (typically July–November) in Bangladesh, makes a substantial contribution to the country's rice supply</w:t>
      </w:r>
      <w:r w:rsidR="00BD250B" w:rsidRPr="00BF7004">
        <w:rPr>
          <w:rFonts w:cs="Times New Roman"/>
        </w:rPr>
        <w:t xml:space="preserve"> (Rana et al., 2014)</w:t>
      </w:r>
      <w:r w:rsidRPr="00BF7004">
        <w:rPr>
          <w:rFonts w:cs="Times New Roman"/>
        </w:rPr>
        <w:t>.</w:t>
      </w:r>
      <w:r w:rsidR="006E4FD1">
        <w:rPr>
          <w:rFonts w:eastAsia="Times New Roman" w:cs="Times New Roman"/>
          <w:kern w:val="0"/>
          <w:szCs w:val="24"/>
          <w14:ligatures w14:val="none"/>
        </w:rPr>
        <w:t xml:space="preserve"> In 2023-24</w:t>
      </w:r>
      <w:r w:rsidR="003B102E">
        <w:rPr>
          <w:rFonts w:eastAsia="Times New Roman" w:cs="Times New Roman"/>
          <w:kern w:val="0"/>
          <w:szCs w:val="24"/>
          <w14:ligatures w14:val="none"/>
        </w:rPr>
        <w:t xml:space="preserve">, Bangladesh produced </w:t>
      </w:r>
      <w:r w:rsidR="00381F55">
        <w:rPr>
          <w:rFonts w:eastAsia="Times New Roman" w:cs="Times New Roman"/>
          <w:kern w:val="0"/>
          <w:szCs w:val="24"/>
          <w14:ligatures w14:val="none"/>
        </w:rPr>
        <w:t>1001.6</w:t>
      </w:r>
      <w:r w:rsidR="006E4FD1" w:rsidRPr="006E4FD1">
        <w:rPr>
          <w:rFonts w:eastAsia="Times New Roman" w:cs="Times New Roman"/>
          <w:kern w:val="0"/>
          <w:szCs w:val="24"/>
          <w14:ligatures w14:val="none"/>
        </w:rPr>
        <w:t xml:space="preserve"> thousand</w:t>
      </w:r>
      <w:r w:rsidR="00606752">
        <w:rPr>
          <w:rFonts w:eastAsia="Times New Roman" w:cs="Times New Roman"/>
          <w:kern w:val="0"/>
          <w:szCs w:val="24"/>
          <w14:ligatures w14:val="none"/>
        </w:rPr>
        <w:t xml:space="preserve"> tons of</w:t>
      </w:r>
      <w:r w:rsidR="006E4FD1" w:rsidRPr="006E4FD1">
        <w:rPr>
          <w:rFonts w:eastAsia="Times New Roman" w:cs="Times New Roman"/>
          <w:kern w:val="0"/>
          <w:szCs w:val="24"/>
          <w14:ligatures w14:val="none"/>
        </w:rPr>
        <w:t xml:space="preserve"> </w:t>
      </w:r>
      <w:r w:rsidR="003B102E" w:rsidRPr="006E4FD1">
        <w:rPr>
          <w:rFonts w:eastAsia="Times New Roman" w:cs="Times New Roman"/>
          <w:kern w:val="0"/>
          <w:szCs w:val="24"/>
          <w14:ligatures w14:val="none"/>
        </w:rPr>
        <w:t xml:space="preserve">T. </w:t>
      </w:r>
      <w:proofErr w:type="spellStart"/>
      <w:r w:rsidR="003B102E" w:rsidRPr="006E4FD1">
        <w:rPr>
          <w:rFonts w:eastAsia="Times New Roman" w:cs="Times New Roman"/>
          <w:kern w:val="0"/>
          <w:szCs w:val="24"/>
          <w14:ligatures w14:val="none"/>
        </w:rPr>
        <w:t>aman</w:t>
      </w:r>
      <w:proofErr w:type="spellEnd"/>
      <w:r w:rsidR="003B102E" w:rsidRPr="006E4FD1">
        <w:rPr>
          <w:rFonts w:eastAsia="Times New Roman" w:cs="Times New Roman"/>
          <w:kern w:val="0"/>
          <w:szCs w:val="24"/>
          <w14:ligatures w14:val="none"/>
        </w:rPr>
        <w:t xml:space="preserve"> rice </w:t>
      </w:r>
      <w:r w:rsidR="006E4FD1" w:rsidRPr="006E4FD1">
        <w:rPr>
          <w:rFonts w:eastAsia="Times New Roman" w:cs="Times New Roman"/>
          <w:kern w:val="0"/>
          <w:szCs w:val="24"/>
          <w14:ligatures w14:val="none"/>
        </w:rPr>
        <w:t xml:space="preserve">on </w:t>
      </w:r>
      <w:r w:rsidR="00606752">
        <w:rPr>
          <w:rFonts w:eastAsia="Times New Roman" w:cs="Times New Roman"/>
          <w:kern w:val="0"/>
          <w:szCs w:val="24"/>
          <w14:ligatures w14:val="none"/>
        </w:rPr>
        <w:t>585.4</w:t>
      </w:r>
      <w:r w:rsidR="006E4FD1" w:rsidRPr="006E4FD1">
        <w:rPr>
          <w:rFonts w:eastAsia="Times New Roman" w:cs="Times New Roman"/>
          <w:kern w:val="0"/>
          <w:szCs w:val="24"/>
          <w14:ligatures w14:val="none"/>
        </w:rPr>
        <w:t xml:space="preserve"> thousand hectares of land </w:t>
      </w:r>
      <w:r w:rsidR="00606752">
        <w:rPr>
          <w:rFonts w:eastAsia="Times New Roman" w:cs="Times New Roman"/>
          <w:kern w:val="0"/>
          <w:szCs w:val="24"/>
          <w14:ligatures w14:val="none"/>
        </w:rPr>
        <w:t>(BBS, 2024)</w:t>
      </w:r>
      <w:r w:rsidR="006E4FD1" w:rsidRPr="006E4FD1">
        <w:rPr>
          <w:rFonts w:eastAsia="Times New Roman" w:cs="Times New Roman"/>
          <w:kern w:val="0"/>
          <w:szCs w:val="24"/>
          <w14:ligatures w14:val="none"/>
        </w:rPr>
        <w:t xml:space="preserve">. </w:t>
      </w:r>
      <w:r w:rsidR="00512D34" w:rsidRPr="00BF7004">
        <w:rPr>
          <w:rFonts w:cs="Times New Roman"/>
        </w:rPr>
        <w:t xml:space="preserve">In Bangladesh and other </w:t>
      </w:r>
      <w:proofErr w:type="spellStart"/>
      <w:r w:rsidR="00512D34" w:rsidRPr="00BF7004">
        <w:rPr>
          <w:rFonts w:cs="Times New Roman"/>
        </w:rPr>
        <w:t>agro</w:t>
      </w:r>
      <w:proofErr w:type="spellEnd"/>
      <w:r w:rsidR="00512D34" w:rsidRPr="00BF7004">
        <w:rPr>
          <w:rFonts w:cs="Times New Roman"/>
        </w:rPr>
        <w:t xml:space="preserve">-ecological zones, </w:t>
      </w:r>
      <w:r w:rsidR="00856DA0">
        <w:rPr>
          <w:rFonts w:cs="Times New Roman"/>
        </w:rPr>
        <w:t xml:space="preserve">it </w:t>
      </w:r>
      <w:r w:rsidR="00512D34" w:rsidRPr="00BF7004">
        <w:rPr>
          <w:rFonts w:cs="Times New Roman"/>
        </w:rPr>
        <w:t xml:space="preserve">is typically grown using two primary methods, with numerous variations. </w:t>
      </w:r>
      <w:r w:rsidR="00AF052C" w:rsidRPr="00BF7004">
        <w:rPr>
          <w:rFonts w:cs="Times New Roman"/>
        </w:rPr>
        <w:t xml:space="preserve">In traditional </w:t>
      </w:r>
      <w:r w:rsidR="008146FD" w:rsidRPr="00BF7004">
        <w:rPr>
          <w:rFonts w:cs="Times New Roman"/>
        </w:rPr>
        <w:t>planting systems</w:t>
      </w:r>
      <w:r w:rsidR="00AF052C" w:rsidRPr="00BF7004">
        <w:rPr>
          <w:rFonts w:cs="Times New Roman"/>
        </w:rPr>
        <w:t>, the soil is puddled, seedlings are moved into flooded fields, and standing water is kept constant during crop growth. Although this technique makes it easier to control weeds and establish transplants, it tends to deteriorate soil structure, require a lot of work and irrigation, and eventually decrease resource efficiency</w:t>
      </w:r>
      <w:r w:rsidR="00BD250B" w:rsidRPr="00BF7004">
        <w:rPr>
          <w:rFonts w:cs="Times New Roman"/>
        </w:rPr>
        <w:t xml:space="preserve"> (Sharma </w:t>
      </w:r>
      <w:r w:rsidR="004C0F9B">
        <w:rPr>
          <w:rFonts w:cs="Times New Roman"/>
        </w:rPr>
        <w:t>and</w:t>
      </w:r>
      <w:r w:rsidR="00BD250B" w:rsidRPr="00BF7004">
        <w:rPr>
          <w:rFonts w:cs="Times New Roman"/>
        </w:rPr>
        <w:t xml:space="preserve"> Datta, 1986)</w:t>
      </w:r>
      <w:r w:rsidR="00AF052C" w:rsidRPr="00BF7004">
        <w:rPr>
          <w:rFonts w:cs="Times New Roman"/>
        </w:rPr>
        <w:t>.</w:t>
      </w:r>
      <w:r w:rsidR="00BD250B" w:rsidRPr="00BF7004">
        <w:rPr>
          <w:rFonts w:eastAsia="Times New Roman" w:cs="Times New Roman"/>
          <w:kern w:val="0"/>
          <w:szCs w:val="24"/>
          <w14:ligatures w14:val="none"/>
        </w:rPr>
        <w:t xml:space="preserve"> </w:t>
      </w:r>
      <w:r w:rsidR="00A3448F" w:rsidRPr="00BF7004">
        <w:rPr>
          <w:rFonts w:eastAsia="Times New Roman" w:cs="Times New Roman"/>
          <w:kern w:val="0"/>
          <w:szCs w:val="24"/>
          <w14:ligatures w14:val="none"/>
        </w:rPr>
        <w:t xml:space="preserve">Thus, </w:t>
      </w:r>
      <w:r w:rsidR="00856DA0" w:rsidRPr="00BF7004">
        <w:rPr>
          <w:rFonts w:cs="Times New Roman"/>
        </w:rPr>
        <w:t xml:space="preserve">T. Aman </w:t>
      </w:r>
      <w:r w:rsidR="00A3448F" w:rsidRPr="00BF7004">
        <w:rPr>
          <w:rFonts w:eastAsia="Times New Roman" w:cs="Times New Roman"/>
          <w:kern w:val="0"/>
          <w:szCs w:val="24"/>
          <w14:ligatures w14:val="none"/>
        </w:rPr>
        <w:t>yields in conventional puddled flat systems are still below world standards, even though they account for more than one-third of Bangladesh's rice-growing land</w:t>
      </w:r>
      <w:r w:rsidR="00866E83">
        <w:rPr>
          <w:rFonts w:eastAsia="Times New Roman" w:cs="Times New Roman"/>
          <w:kern w:val="0"/>
          <w:szCs w:val="24"/>
          <w14:ligatures w14:val="none"/>
        </w:rPr>
        <w:t xml:space="preserve"> (Bhuyan et al., 2012).</w:t>
      </w:r>
    </w:p>
    <w:p w14:paraId="122AE9AC" w14:textId="0559B235" w:rsidR="00206F89" w:rsidRPr="0023470A" w:rsidRDefault="0023470A" w:rsidP="00206F89">
      <w:pPr>
        <w:jc w:val="both"/>
        <w:rPr>
          <w:rFonts w:cs="Times New Roman"/>
        </w:rPr>
      </w:pPr>
      <w:r>
        <w:rPr>
          <w:rFonts w:cs="Times New Roman"/>
        </w:rPr>
        <w:t>I</w:t>
      </w:r>
      <w:r w:rsidRPr="0023470A">
        <w:rPr>
          <w:rFonts w:cs="Times New Roman"/>
        </w:rPr>
        <w:t xml:space="preserve">n this scenario, scientists, researchers, and farmers have </w:t>
      </w:r>
      <w:r>
        <w:rPr>
          <w:rFonts w:cs="Times New Roman"/>
        </w:rPr>
        <w:t>examined</w:t>
      </w:r>
      <w:r w:rsidRPr="0023470A">
        <w:rPr>
          <w:rFonts w:cs="Times New Roman"/>
        </w:rPr>
        <w:t xml:space="preserve"> new technology or approaches</w:t>
      </w:r>
      <w:r>
        <w:rPr>
          <w:rFonts w:cs="Times New Roman"/>
        </w:rPr>
        <w:t xml:space="preserve"> t</w:t>
      </w:r>
      <w:r w:rsidRPr="0023470A">
        <w:rPr>
          <w:rFonts w:cs="Times New Roman"/>
        </w:rPr>
        <w:t xml:space="preserve">o increase rice output. </w:t>
      </w:r>
      <w:r w:rsidR="00CD32D1" w:rsidRPr="00BF7004">
        <w:rPr>
          <w:rFonts w:cs="Times New Roman"/>
        </w:rPr>
        <w:t xml:space="preserve">One promising strategy is </w:t>
      </w:r>
      <w:r w:rsidR="00244DE3" w:rsidRPr="00BF7004">
        <w:rPr>
          <w:rFonts w:cs="Times New Roman"/>
        </w:rPr>
        <w:t>raised bed</w:t>
      </w:r>
      <w:r w:rsidR="00CD32D1" w:rsidRPr="00BF7004">
        <w:rPr>
          <w:rFonts w:cs="Times New Roman"/>
        </w:rPr>
        <w:t xml:space="preserve"> planting</w:t>
      </w:r>
      <w:r w:rsidR="00BD250B" w:rsidRPr="00BF7004">
        <w:rPr>
          <w:rFonts w:cs="Times New Roman"/>
        </w:rPr>
        <w:t xml:space="preserve"> that places rice seedlings on raised soil ridges (beds) with furrows in between. Furrows are used to supply water, which improves drainage, aeration, and flooding reduction. This strategy has drawn interest because it may increase grain output, control weeds, and improve the efficiency of fertilizer and water use</w:t>
      </w:r>
      <w:r w:rsidR="000834BE" w:rsidRPr="00BF7004">
        <w:rPr>
          <w:rFonts w:cs="Times New Roman"/>
        </w:rPr>
        <w:t xml:space="preserve"> (Singh et al., 2009; Das et al., 2021)</w:t>
      </w:r>
      <w:r w:rsidR="00A754CE" w:rsidRPr="00BF7004">
        <w:rPr>
          <w:rFonts w:cs="Times New Roman"/>
        </w:rPr>
        <w:t>.</w:t>
      </w:r>
      <w:r w:rsidR="00470C31" w:rsidRPr="00BF7004">
        <w:rPr>
          <w:rFonts w:cs="Times New Roman"/>
        </w:rPr>
        <w:t xml:space="preserve"> </w:t>
      </w:r>
      <w:r w:rsidR="0020383C" w:rsidRPr="00BF7004">
        <w:rPr>
          <w:rFonts w:cs="Times New Roman"/>
        </w:rPr>
        <w:t>Bhuyan et al.</w:t>
      </w:r>
      <w:r w:rsidR="004C0F9B">
        <w:rPr>
          <w:rFonts w:cs="Times New Roman"/>
        </w:rPr>
        <w:t>,</w:t>
      </w:r>
      <w:r w:rsidR="0020383C" w:rsidRPr="00BF7004">
        <w:rPr>
          <w:rFonts w:cs="Times New Roman"/>
        </w:rPr>
        <w:t xml:space="preserve"> (2012) conducted a crucial field study at </w:t>
      </w:r>
      <w:proofErr w:type="spellStart"/>
      <w:r w:rsidR="0020383C" w:rsidRPr="00BF7004">
        <w:rPr>
          <w:rFonts w:cs="Times New Roman"/>
        </w:rPr>
        <w:t>Rajshahi</w:t>
      </w:r>
      <w:proofErr w:type="spellEnd"/>
      <w:r w:rsidR="0020383C" w:rsidRPr="00BF7004">
        <w:rPr>
          <w:rFonts w:cs="Times New Roman"/>
        </w:rPr>
        <w:t xml:space="preserve"> University that compared </w:t>
      </w:r>
      <w:r w:rsidR="00856DA0" w:rsidRPr="00BF7004">
        <w:rPr>
          <w:rFonts w:cs="Times New Roman"/>
        </w:rPr>
        <w:t xml:space="preserve">T. Aman </w:t>
      </w:r>
      <w:r w:rsidR="0020383C" w:rsidRPr="00BF7004">
        <w:rPr>
          <w:rFonts w:cs="Times New Roman"/>
        </w:rPr>
        <w:t>rice</w:t>
      </w:r>
      <w:r w:rsidR="006B1BAA" w:rsidRPr="00BF7004">
        <w:rPr>
          <w:rFonts w:cs="Times New Roman"/>
        </w:rPr>
        <w:t xml:space="preserve"> (</w:t>
      </w:r>
      <w:r w:rsidR="00A754CE" w:rsidRPr="00BF7004">
        <w:rPr>
          <w:rFonts w:cs="Times New Roman"/>
        </w:rPr>
        <w:t xml:space="preserve">variety </w:t>
      </w:r>
      <w:r w:rsidR="006B1BAA" w:rsidRPr="00BF7004">
        <w:rPr>
          <w:rFonts w:cs="Times New Roman"/>
        </w:rPr>
        <w:t>SORNO)</w:t>
      </w:r>
      <w:r w:rsidR="0020383C" w:rsidRPr="00BF7004">
        <w:rPr>
          <w:rFonts w:cs="Times New Roman"/>
        </w:rPr>
        <w:t xml:space="preserve"> under raised-bed planting versus conventional cultivation. The findings indicated that the raised-bed method significantly improved yield components, such as panicle density, grains per panicle, and 1000-grain weight, and increased grain yield by up to 16 percent, while lowering sterility and weed infestation. Additionally, labor time and irrigation water were reduced by approximately 42 percent, and water-use efficiency significantly increased</w:t>
      </w:r>
      <w:r w:rsidR="00A754CE" w:rsidRPr="00BF7004">
        <w:rPr>
          <w:rFonts w:cs="Times New Roman"/>
        </w:rPr>
        <w:t xml:space="preserve"> (Bhuyan et al.,</w:t>
      </w:r>
      <w:r w:rsidR="00D44280" w:rsidRPr="00BF7004">
        <w:rPr>
          <w:rFonts w:cs="Times New Roman"/>
        </w:rPr>
        <w:t xml:space="preserve"> </w:t>
      </w:r>
      <w:r w:rsidR="00A754CE" w:rsidRPr="00BF7004">
        <w:rPr>
          <w:rFonts w:cs="Times New Roman"/>
        </w:rPr>
        <w:t>2012)</w:t>
      </w:r>
      <w:r w:rsidR="0020383C" w:rsidRPr="00BF7004">
        <w:rPr>
          <w:rFonts w:cs="Times New Roman"/>
        </w:rPr>
        <w:t>.</w:t>
      </w:r>
      <w:r w:rsidR="00A754CE" w:rsidRPr="00BF7004">
        <w:rPr>
          <w:rFonts w:eastAsia="Times New Roman" w:cs="Times New Roman"/>
          <w:kern w:val="0"/>
          <w:szCs w:val="24"/>
          <w14:ligatures w14:val="none"/>
        </w:rPr>
        <w:t xml:space="preserve"> </w:t>
      </w:r>
      <w:r w:rsidR="00A754CE" w:rsidRPr="00BF7004">
        <w:rPr>
          <w:rFonts w:cs="Times New Roman"/>
        </w:rPr>
        <w:t>These results have typically been supported by subsequent studies and regional experiments. Depending on site circumstances and management, raised-bed rice planting can produce improvements of 6–17% above traditional puddled transplanting in South Asian irrigated rice systems</w:t>
      </w:r>
      <w:r w:rsidR="00470C31" w:rsidRPr="00BF7004">
        <w:rPr>
          <w:rFonts w:cs="Times New Roman"/>
        </w:rPr>
        <w:t xml:space="preserve"> (Bhuyan et al., 2014)</w:t>
      </w:r>
      <w:r w:rsidR="00A754CE" w:rsidRPr="00BF7004">
        <w:rPr>
          <w:rFonts w:cs="Times New Roman"/>
        </w:rPr>
        <w:t>.</w:t>
      </w:r>
      <w:r w:rsidR="00470C31" w:rsidRPr="00BF7004">
        <w:rPr>
          <w:rFonts w:eastAsia="Times New Roman" w:cs="Times New Roman"/>
          <w:kern w:val="0"/>
          <w:szCs w:val="24"/>
          <w14:ligatures w14:val="none"/>
        </w:rPr>
        <w:t xml:space="preserve"> </w:t>
      </w:r>
      <w:r w:rsidR="00206F89" w:rsidRPr="00BF7004">
        <w:rPr>
          <w:rFonts w:eastAsia="Times New Roman" w:cs="Times New Roman"/>
          <w:kern w:val="0"/>
          <w:szCs w:val="24"/>
          <w14:ligatures w14:val="none"/>
        </w:rPr>
        <w:t>Dhillon et al.</w:t>
      </w:r>
      <w:r w:rsidR="004C0F9B">
        <w:rPr>
          <w:rFonts w:eastAsia="Times New Roman" w:cs="Times New Roman"/>
          <w:kern w:val="0"/>
          <w:szCs w:val="24"/>
          <w14:ligatures w14:val="none"/>
        </w:rPr>
        <w:t>,</w:t>
      </w:r>
      <w:r w:rsidR="00206F89" w:rsidRPr="00BF7004">
        <w:rPr>
          <w:rFonts w:eastAsia="Times New Roman" w:cs="Times New Roman"/>
          <w:kern w:val="0"/>
          <w:szCs w:val="24"/>
          <w14:ligatures w14:val="none"/>
        </w:rPr>
        <w:t xml:space="preserve"> (2005) also showed that the highest number of effective tillers, ear length, number of grains, and test weight were recorded under bed planted wheat </w:t>
      </w:r>
      <w:r w:rsidR="000D53CF" w:rsidRPr="00BF7004">
        <w:rPr>
          <w:rFonts w:eastAsia="Times New Roman" w:cs="Times New Roman"/>
          <w:kern w:val="0"/>
          <w:szCs w:val="24"/>
          <w14:ligatures w14:val="none"/>
        </w:rPr>
        <w:t>i</w:t>
      </w:r>
      <w:r w:rsidR="00206F89" w:rsidRPr="00BF7004">
        <w:rPr>
          <w:rFonts w:eastAsia="Times New Roman" w:cs="Times New Roman"/>
          <w:kern w:val="0"/>
          <w:szCs w:val="24"/>
          <w14:ligatures w14:val="none"/>
        </w:rPr>
        <w:t>n comparison to traditional flatbed method of sowing.</w:t>
      </w:r>
    </w:p>
    <w:p w14:paraId="4B0B0D43" w14:textId="3AD8D886" w:rsidR="000C4A41" w:rsidRDefault="00470C31" w:rsidP="009576E1">
      <w:pPr>
        <w:jc w:val="both"/>
        <w:rPr>
          <w:rFonts w:cs="Times New Roman"/>
        </w:rPr>
      </w:pPr>
      <w:r w:rsidRPr="00BF7004">
        <w:rPr>
          <w:rFonts w:cs="Times New Roman"/>
        </w:rPr>
        <w:t xml:space="preserve">The present study aimed to develop on this foundation by comparing the performance of </w:t>
      </w:r>
      <w:r w:rsidR="00856DA0" w:rsidRPr="00BF7004">
        <w:rPr>
          <w:rFonts w:cs="Times New Roman"/>
        </w:rPr>
        <w:t xml:space="preserve">T. Aman </w:t>
      </w:r>
      <w:r w:rsidRPr="00BF7004">
        <w:rPr>
          <w:rFonts w:cs="Times New Roman"/>
        </w:rPr>
        <w:t>rice varieties</w:t>
      </w:r>
      <w:r w:rsidR="00A74D31" w:rsidRPr="00BF7004">
        <w:rPr>
          <w:rFonts w:cs="Times New Roman"/>
        </w:rPr>
        <w:t xml:space="preserve"> </w:t>
      </w:r>
      <w:r w:rsidRPr="00BF7004">
        <w:rPr>
          <w:rFonts w:cs="Times New Roman"/>
        </w:rPr>
        <w:t xml:space="preserve">under raised-bed vs traditional </w:t>
      </w:r>
      <w:r w:rsidR="008146FD" w:rsidRPr="00BF7004">
        <w:rPr>
          <w:rFonts w:cs="Times New Roman"/>
        </w:rPr>
        <w:t>methods</w:t>
      </w:r>
      <w:r w:rsidR="00A74D31" w:rsidRPr="00BF7004">
        <w:rPr>
          <w:rFonts w:cs="Times New Roman"/>
        </w:rPr>
        <w:t>.</w:t>
      </w:r>
      <w:r w:rsidR="00BA77B4" w:rsidRPr="00BF7004">
        <w:rPr>
          <w:rFonts w:cs="Times New Roman"/>
        </w:rPr>
        <w:t xml:space="preserve"> </w:t>
      </w:r>
      <w:r w:rsidR="00244DE3" w:rsidRPr="00BF7004">
        <w:rPr>
          <w:rFonts w:cs="Times New Roman"/>
        </w:rPr>
        <w:t xml:space="preserve">We evaluated several genetically diverse rice varieties—BRRI dhan49, BRRI dhan52, BR11, and BINA dhan-7—under similar cultivation </w:t>
      </w:r>
      <w:r w:rsidR="00244DE3" w:rsidRPr="00BF7004">
        <w:rPr>
          <w:rFonts w:cs="Times New Roman"/>
        </w:rPr>
        <w:lastRenderedPageBreak/>
        <w:t>methods</w:t>
      </w:r>
      <w:r w:rsidR="00244DE3" w:rsidRPr="00BF7004">
        <w:rPr>
          <w:rFonts w:eastAsia="Times New Roman" w:cs="Times New Roman"/>
          <w:kern w:val="0"/>
          <w:szCs w:val="24"/>
          <w14:ligatures w14:val="none"/>
        </w:rPr>
        <w:t xml:space="preserve"> </w:t>
      </w:r>
      <w:r w:rsidR="00244DE3" w:rsidRPr="00BF7004">
        <w:rPr>
          <w:rFonts w:cs="Times New Roman"/>
        </w:rPr>
        <w:t>at Bangladesh Agricultural University, a separate agroecological zone with different soil and climatic characteristics</w:t>
      </w:r>
      <w:r w:rsidR="004E7A44" w:rsidRPr="00BF7004">
        <w:rPr>
          <w:rFonts w:cs="Times New Roman"/>
        </w:rPr>
        <w:t>.</w:t>
      </w:r>
      <w:r w:rsidR="007F3F0F" w:rsidRPr="00BF7004">
        <w:rPr>
          <w:rFonts w:cs="Times New Roman"/>
        </w:rPr>
        <w:t xml:space="preserve"> </w:t>
      </w:r>
      <w:r w:rsidR="00244DE3" w:rsidRPr="00BF7004">
        <w:rPr>
          <w:rFonts w:cs="Times New Roman"/>
        </w:rPr>
        <w:t xml:space="preserve">This multi-varietal approach offers a more thorough evaluation of how various rice genotypes react to raised bed vs </w:t>
      </w:r>
      <w:r w:rsidR="008146FD" w:rsidRPr="00BF7004">
        <w:rPr>
          <w:rFonts w:cs="Times New Roman"/>
        </w:rPr>
        <w:t>conventional</w:t>
      </w:r>
      <w:r w:rsidR="00244DE3" w:rsidRPr="00BF7004">
        <w:rPr>
          <w:rFonts w:cs="Times New Roman"/>
        </w:rPr>
        <w:t xml:space="preserve"> methods, providing a wider understanding of genotype × planting method (G × E) interactions. Furthermore, adding correlation analysis between important yield-contributing characteristics gives trait-based selection for breeding.</w:t>
      </w:r>
      <w:r w:rsidR="00733C25" w:rsidRPr="00BF7004">
        <w:rPr>
          <w:rFonts w:eastAsia="Times New Roman" w:cs="Times New Roman"/>
          <w:kern w:val="0"/>
          <w:szCs w:val="24"/>
          <w14:ligatures w14:val="none"/>
        </w:rPr>
        <w:t xml:space="preserve"> </w:t>
      </w:r>
      <w:r w:rsidR="009576E1" w:rsidRPr="00BF7004">
        <w:rPr>
          <w:rFonts w:eastAsia="Times New Roman" w:cs="Times New Roman"/>
          <w:kern w:val="0"/>
          <w:szCs w:val="24"/>
          <w14:ligatures w14:val="none"/>
        </w:rPr>
        <w:t>Th</w:t>
      </w:r>
      <w:r w:rsidR="000D53CF" w:rsidRPr="00BF7004">
        <w:rPr>
          <w:rFonts w:eastAsia="Times New Roman" w:cs="Times New Roman"/>
          <w:kern w:val="0"/>
          <w:szCs w:val="24"/>
          <w14:ligatures w14:val="none"/>
        </w:rPr>
        <w:t>erefore</w:t>
      </w:r>
      <w:r w:rsidR="009576E1" w:rsidRPr="00BF7004">
        <w:rPr>
          <w:rFonts w:eastAsia="Times New Roman" w:cs="Times New Roman"/>
          <w:kern w:val="0"/>
          <w:szCs w:val="24"/>
          <w14:ligatures w14:val="none"/>
        </w:rPr>
        <w:t xml:space="preserve">, </w:t>
      </w:r>
      <w:r w:rsidR="009576E1" w:rsidRPr="00BF7004">
        <w:rPr>
          <w:rFonts w:cs="Times New Roman"/>
        </w:rPr>
        <w:t>the current research is particularly helpful to recommend adaptive agronomic techniques as well as variety considering resource restrictions and climate change.</w:t>
      </w:r>
    </w:p>
    <w:p w14:paraId="4C80F55C" w14:textId="77777777" w:rsidR="00856DA0" w:rsidRDefault="00856DA0" w:rsidP="009576E1">
      <w:pPr>
        <w:jc w:val="both"/>
        <w:rPr>
          <w:rFonts w:cs="Times New Roman"/>
          <w:b/>
          <w:bCs/>
        </w:rPr>
      </w:pPr>
    </w:p>
    <w:p w14:paraId="063B5EB0" w14:textId="2BF76240" w:rsidR="00F52059" w:rsidRPr="00BF7004" w:rsidRDefault="00F52059" w:rsidP="009576E1">
      <w:pPr>
        <w:jc w:val="both"/>
        <w:rPr>
          <w:rFonts w:cs="Times New Roman"/>
          <w:b/>
          <w:bCs/>
        </w:rPr>
      </w:pPr>
      <w:r w:rsidRPr="00BF7004">
        <w:rPr>
          <w:rFonts w:cs="Times New Roman"/>
          <w:b/>
          <w:bCs/>
        </w:rPr>
        <w:t xml:space="preserve">MATERIALS AND METHODS </w:t>
      </w:r>
    </w:p>
    <w:p w14:paraId="4DF11655" w14:textId="7543915E" w:rsidR="00EA26D9" w:rsidRPr="00BF7004" w:rsidRDefault="0023470A" w:rsidP="00320D53">
      <w:pPr>
        <w:jc w:val="both"/>
        <w:rPr>
          <w:rFonts w:cs="Times New Roman"/>
        </w:rPr>
      </w:pPr>
      <w:r>
        <w:rPr>
          <w:rFonts w:cs="Times New Roman"/>
        </w:rPr>
        <w:t>T</w:t>
      </w:r>
      <w:r w:rsidRPr="0023470A">
        <w:rPr>
          <w:rFonts w:cs="Times New Roman"/>
        </w:rPr>
        <w:t>he study was conducted</w:t>
      </w:r>
      <w:r>
        <w:rPr>
          <w:rFonts w:cs="Times New Roman"/>
        </w:rPr>
        <w:t xml:space="preserve"> </w:t>
      </w:r>
      <w:r w:rsidR="00F52059" w:rsidRPr="00BF7004">
        <w:rPr>
          <w:rFonts w:cs="Times New Roman"/>
        </w:rPr>
        <w:t xml:space="preserve">at the Agronomy Field </w:t>
      </w:r>
      <w:r w:rsidR="001072DC" w:rsidRPr="00BF7004">
        <w:rPr>
          <w:rFonts w:cs="Times New Roman"/>
        </w:rPr>
        <w:t>Laboratory</w:t>
      </w:r>
      <w:r w:rsidR="00F52059" w:rsidRPr="00BF7004">
        <w:rPr>
          <w:rFonts w:cs="Times New Roman"/>
        </w:rPr>
        <w:t>, Bangladesh Agricultural University, Mymensingh from Ju</w:t>
      </w:r>
      <w:r w:rsidR="000D53CF" w:rsidRPr="00BF7004">
        <w:rPr>
          <w:rFonts w:cs="Times New Roman"/>
        </w:rPr>
        <w:t>ne</w:t>
      </w:r>
      <w:r w:rsidR="00F52059" w:rsidRPr="00BF7004">
        <w:rPr>
          <w:rFonts w:cs="Times New Roman"/>
        </w:rPr>
        <w:t xml:space="preserve"> to December 20</w:t>
      </w:r>
      <w:r w:rsidR="00733C25" w:rsidRPr="00BF7004">
        <w:rPr>
          <w:rFonts w:cs="Times New Roman"/>
        </w:rPr>
        <w:t>2</w:t>
      </w:r>
      <w:r w:rsidR="003236EF">
        <w:rPr>
          <w:rFonts w:cs="Times New Roman"/>
        </w:rPr>
        <w:t>4</w:t>
      </w:r>
      <w:r w:rsidR="000C4A41" w:rsidRPr="00BF7004">
        <w:rPr>
          <w:rFonts w:cs="Times New Roman"/>
        </w:rPr>
        <w:t>.</w:t>
      </w:r>
    </w:p>
    <w:p w14:paraId="31252EC5" w14:textId="165C3A43" w:rsidR="00F52059" w:rsidRPr="00BF7004" w:rsidRDefault="00F52059" w:rsidP="00320D53">
      <w:pPr>
        <w:jc w:val="both"/>
        <w:rPr>
          <w:rFonts w:cs="Times New Roman"/>
        </w:rPr>
      </w:pPr>
      <w:r w:rsidRPr="00BF7004">
        <w:rPr>
          <w:rFonts w:cs="Times New Roman"/>
          <w:b/>
          <w:bCs/>
        </w:rPr>
        <w:t xml:space="preserve">Experimental Site </w:t>
      </w:r>
      <w:r w:rsidR="00325030" w:rsidRPr="00BF7004">
        <w:rPr>
          <w:rFonts w:cs="Times New Roman"/>
          <w:b/>
          <w:bCs/>
        </w:rPr>
        <w:t>and So</w:t>
      </w:r>
      <w:r w:rsidR="00EA26D9" w:rsidRPr="00BF7004">
        <w:rPr>
          <w:rFonts w:cs="Times New Roman"/>
          <w:b/>
          <w:bCs/>
        </w:rPr>
        <w:t>il</w:t>
      </w:r>
    </w:p>
    <w:p w14:paraId="20324069" w14:textId="02ADAA2E" w:rsidR="00EA26D9" w:rsidRPr="00D15D35" w:rsidRDefault="00D15D35" w:rsidP="00320D53">
      <w:pPr>
        <w:jc w:val="both"/>
        <w:rPr>
          <w:rFonts w:cs="Times New Roman"/>
        </w:rPr>
      </w:pPr>
      <w:r w:rsidRPr="00D15D35">
        <w:rPr>
          <w:rFonts w:cs="Times New Roman"/>
        </w:rPr>
        <w:t>The experimental location is 18 meters above mean sea level and is situated at 24</w:t>
      </w:r>
      <w:r w:rsidRPr="003236EF">
        <w:rPr>
          <w:rFonts w:cs="Times New Roman"/>
          <w:vertAlign w:val="superscript"/>
        </w:rPr>
        <w:t>o</w:t>
      </w:r>
      <w:r w:rsidRPr="00D15D35">
        <w:rPr>
          <w:rFonts w:cs="Times New Roman"/>
        </w:rPr>
        <w:t>75' N latitude and 90</w:t>
      </w:r>
      <w:r w:rsidRPr="003236EF">
        <w:rPr>
          <w:rFonts w:cs="Times New Roman"/>
          <w:vertAlign w:val="superscript"/>
        </w:rPr>
        <w:t>o</w:t>
      </w:r>
      <w:r w:rsidRPr="00D15D35">
        <w:rPr>
          <w:rFonts w:cs="Times New Roman"/>
        </w:rPr>
        <w:t xml:space="preserve">50' E longitude. The </w:t>
      </w:r>
      <w:proofErr w:type="spellStart"/>
      <w:r w:rsidRPr="00D15D35">
        <w:rPr>
          <w:rFonts w:cs="Times New Roman"/>
        </w:rPr>
        <w:t>Sonatola</w:t>
      </w:r>
      <w:proofErr w:type="spellEnd"/>
      <w:r w:rsidRPr="00D15D35">
        <w:rPr>
          <w:rFonts w:cs="Times New Roman"/>
        </w:rPr>
        <w:t xml:space="preserve"> Soil Series, which is part of the Old Brahmaputra Floodplain (</w:t>
      </w:r>
      <w:proofErr w:type="spellStart"/>
      <w:r w:rsidRPr="00D15D35">
        <w:rPr>
          <w:rFonts w:cs="Times New Roman"/>
        </w:rPr>
        <w:t>Agro</w:t>
      </w:r>
      <w:proofErr w:type="spellEnd"/>
      <w:r w:rsidRPr="00D15D35">
        <w:rPr>
          <w:rFonts w:cs="Times New Roman"/>
        </w:rPr>
        <w:t xml:space="preserve">-Ecological Zone 9), contains non-calcareous dark grey floodplain soil, which is what defines the experimental area (UNDP </w:t>
      </w:r>
      <w:r w:rsidR="004C0F9B">
        <w:rPr>
          <w:rFonts w:cs="Times New Roman"/>
        </w:rPr>
        <w:t>and</w:t>
      </w:r>
      <w:r w:rsidRPr="00D15D35">
        <w:rPr>
          <w:rFonts w:cs="Times New Roman"/>
        </w:rPr>
        <w:t xml:space="preserve"> FAO, 1988). The experimental field's soil had a pH of 6.5, was neutral in reaction, and had little organic matter or fertility. The terrain was silty loam with </w:t>
      </w:r>
      <w:r w:rsidR="00067775" w:rsidRPr="00D15D35">
        <w:rPr>
          <w:rFonts w:cs="Times New Roman"/>
        </w:rPr>
        <w:t>modest</w:t>
      </w:r>
      <w:r w:rsidRPr="00D15D35">
        <w:rPr>
          <w:rFonts w:cs="Times New Roman"/>
        </w:rPr>
        <w:t xml:space="preserve"> elevation. Supplementary Table 1 presents the physical and chemical properties of the soil in the experimental field.</w:t>
      </w:r>
    </w:p>
    <w:p w14:paraId="664A24BE" w14:textId="114F09A9" w:rsidR="00F52059" w:rsidRPr="00BF7004" w:rsidRDefault="00F52059" w:rsidP="00320D53">
      <w:pPr>
        <w:jc w:val="both"/>
        <w:rPr>
          <w:rFonts w:cs="Times New Roman"/>
          <w:bCs/>
        </w:rPr>
      </w:pPr>
      <w:r w:rsidRPr="00BF7004">
        <w:rPr>
          <w:rFonts w:cs="Times New Roman"/>
          <w:b/>
          <w:bCs/>
        </w:rPr>
        <w:t xml:space="preserve">Climate </w:t>
      </w:r>
    </w:p>
    <w:p w14:paraId="57970CC0" w14:textId="69A93AEB" w:rsidR="00A50716" w:rsidRPr="00BF7004" w:rsidRDefault="00067775" w:rsidP="00320D53">
      <w:pPr>
        <w:jc w:val="both"/>
        <w:rPr>
          <w:rFonts w:cs="Times New Roman"/>
        </w:rPr>
      </w:pPr>
      <w:r w:rsidRPr="00067775">
        <w:rPr>
          <w:rFonts w:cs="Times New Roman"/>
        </w:rPr>
        <w:t xml:space="preserve">The tropical environment of the experimental site is </w:t>
      </w:r>
      <w:r>
        <w:rPr>
          <w:rFonts w:cs="Times New Roman"/>
        </w:rPr>
        <w:t>characterized</w:t>
      </w:r>
      <w:r w:rsidRPr="00067775">
        <w:rPr>
          <w:rFonts w:cs="Times New Roman"/>
        </w:rPr>
        <w:t xml:space="preserve"> by high temperatures and </w:t>
      </w:r>
      <w:r>
        <w:rPr>
          <w:rFonts w:cs="Times New Roman"/>
        </w:rPr>
        <w:t>excess</w:t>
      </w:r>
      <w:r w:rsidRPr="00067775">
        <w:rPr>
          <w:rFonts w:cs="Times New Roman"/>
        </w:rPr>
        <w:t xml:space="preserve"> amounts of rainfall during the </w:t>
      </w:r>
      <w:r w:rsidRPr="008D6BD1">
        <w:rPr>
          <w:rFonts w:cs="Times New Roman"/>
          <w:i/>
          <w:iCs/>
          <w:highlight w:val="yellow"/>
        </w:rPr>
        <w:t>Kharif season</w:t>
      </w:r>
      <w:r w:rsidRPr="00067775">
        <w:rPr>
          <w:rFonts w:cs="Times New Roman"/>
        </w:rPr>
        <w:t xml:space="preserve"> (April to September) and somewhat low temperatures and little rainfall during the </w:t>
      </w:r>
      <w:r w:rsidRPr="008D6BD1">
        <w:rPr>
          <w:rFonts w:cs="Times New Roman"/>
          <w:i/>
          <w:iCs/>
          <w:highlight w:val="yellow"/>
        </w:rPr>
        <w:t>Rabi season</w:t>
      </w:r>
      <w:r w:rsidRPr="00067775">
        <w:rPr>
          <w:rFonts w:cs="Times New Roman"/>
        </w:rPr>
        <w:t xml:space="preserve"> (October to March). </w:t>
      </w:r>
      <w:r w:rsidR="00F52059" w:rsidRPr="00BF7004">
        <w:rPr>
          <w:rFonts w:cs="Times New Roman"/>
        </w:rPr>
        <w:t xml:space="preserve">The climatic </w:t>
      </w:r>
      <w:r w:rsidR="00976C8B" w:rsidRPr="00BF7004">
        <w:rPr>
          <w:rFonts w:cs="Times New Roman"/>
        </w:rPr>
        <w:t>pattern has</w:t>
      </w:r>
      <w:r w:rsidR="00F52059" w:rsidRPr="00BF7004">
        <w:rPr>
          <w:rFonts w:cs="Times New Roman"/>
        </w:rPr>
        <w:t xml:space="preserve"> been presented in </w:t>
      </w:r>
      <w:r w:rsidR="00A50716" w:rsidRPr="00BF7004">
        <w:rPr>
          <w:rFonts w:cs="Times New Roman"/>
        </w:rPr>
        <w:t xml:space="preserve">Supplementary </w:t>
      </w:r>
      <w:r w:rsidR="00B82550">
        <w:rPr>
          <w:rFonts w:cs="Times New Roman"/>
        </w:rPr>
        <w:t>T</w:t>
      </w:r>
      <w:r w:rsidR="00BF4A0A" w:rsidRPr="00BF7004">
        <w:rPr>
          <w:rFonts w:cs="Times New Roman"/>
        </w:rPr>
        <w:t>able</w:t>
      </w:r>
      <w:r w:rsidR="00A50716" w:rsidRPr="00BF7004">
        <w:rPr>
          <w:rFonts w:cs="Times New Roman"/>
        </w:rPr>
        <w:t xml:space="preserve"> </w:t>
      </w:r>
      <w:r w:rsidR="00B82550">
        <w:rPr>
          <w:rFonts w:cs="Times New Roman"/>
        </w:rPr>
        <w:t>2</w:t>
      </w:r>
      <w:r w:rsidR="00A50716" w:rsidRPr="00BF7004">
        <w:rPr>
          <w:rFonts w:cs="Times New Roman"/>
        </w:rPr>
        <w:t>.</w:t>
      </w:r>
    </w:p>
    <w:p w14:paraId="38DBD2E5" w14:textId="3E68DA9A" w:rsidR="00F52059" w:rsidRPr="00BF7004" w:rsidRDefault="00F52059" w:rsidP="00320D53">
      <w:pPr>
        <w:jc w:val="both"/>
        <w:rPr>
          <w:rFonts w:cs="Times New Roman"/>
          <w:b/>
          <w:bCs/>
        </w:rPr>
      </w:pPr>
      <w:r w:rsidRPr="00BF7004">
        <w:rPr>
          <w:rFonts w:cs="Times New Roman"/>
          <w:b/>
          <w:bCs/>
        </w:rPr>
        <w:t xml:space="preserve">Experimental Treatments </w:t>
      </w:r>
      <w:r w:rsidR="00A6746D" w:rsidRPr="00BF7004">
        <w:rPr>
          <w:rFonts w:cs="Times New Roman"/>
          <w:b/>
          <w:bCs/>
        </w:rPr>
        <w:t>and Design</w:t>
      </w:r>
    </w:p>
    <w:p w14:paraId="58AAF225" w14:textId="79BB48A3" w:rsidR="00067775" w:rsidRPr="00067775" w:rsidRDefault="00D02596" w:rsidP="00067775">
      <w:pPr>
        <w:jc w:val="both"/>
        <w:rPr>
          <w:rFonts w:cs="Times New Roman"/>
        </w:rPr>
      </w:pPr>
      <w:r w:rsidRPr="00BF7004">
        <w:rPr>
          <w:rFonts w:cs="Times New Roman"/>
        </w:rPr>
        <w:t xml:space="preserve">Varieties (Factor A) and Planting Methods (Factor B) were used as </w:t>
      </w:r>
      <w:r w:rsidR="00F52059" w:rsidRPr="00BF7004">
        <w:rPr>
          <w:rFonts w:cs="Times New Roman"/>
        </w:rPr>
        <w:t>experimental treatments</w:t>
      </w:r>
      <w:r w:rsidRPr="00BF7004">
        <w:rPr>
          <w:rFonts w:cs="Times New Roman"/>
        </w:rPr>
        <w:t xml:space="preserve">. Four </w:t>
      </w:r>
      <w:r w:rsidR="00856DA0" w:rsidRPr="00BF7004">
        <w:rPr>
          <w:rFonts w:cs="Times New Roman"/>
        </w:rPr>
        <w:t xml:space="preserve">T. Aman </w:t>
      </w:r>
      <w:r w:rsidRPr="00BF7004">
        <w:rPr>
          <w:rFonts w:cs="Times New Roman"/>
        </w:rPr>
        <w:t xml:space="preserve">rice varieties i.e., </w:t>
      </w:r>
      <w:r w:rsidR="000E2CB8" w:rsidRPr="00BF7004">
        <w:rPr>
          <w:rFonts w:cs="Times New Roman"/>
        </w:rPr>
        <w:t>BRRI dhan49, BRRI dhan49, BINA dhan7 and BR11 were used as varieties, and the raised bed and flatbed</w:t>
      </w:r>
      <w:r w:rsidR="003F2DE8" w:rsidRPr="00BF7004">
        <w:rPr>
          <w:rFonts w:cs="Times New Roman"/>
        </w:rPr>
        <w:t xml:space="preserve"> (conventional line planting)</w:t>
      </w:r>
      <w:r w:rsidR="000E2CB8" w:rsidRPr="00BF7004">
        <w:rPr>
          <w:rFonts w:cs="Times New Roman"/>
        </w:rPr>
        <w:t xml:space="preserve"> methods were used as planting methods. </w:t>
      </w:r>
      <w:r w:rsidR="00067775">
        <w:rPr>
          <w:rFonts w:cs="Times New Roman"/>
        </w:rPr>
        <w:t>A</w:t>
      </w:r>
      <w:r w:rsidR="00067775" w:rsidRPr="00067775">
        <w:rPr>
          <w:rFonts w:cs="Times New Roman"/>
        </w:rPr>
        <w:t xml:space="preserve"> randomized complete block design (RCBD)</w:t>
      </w:r>
      <w:r w:rsidR="00067775">
        <w:rPr>
          <w:rFonts w:cs="Times New Roman"/>
        </w:rPr>
        <w:t xml:space="preserve"> along with three replications</w:t>
      </w:r>
      <w:r w:rsidR="00067775" w:rsidRPr="00067775">
        <w:rPr>
          <w:rFonts w:cs="Times New Roman"/>
        </w:rPr>
        <w:t xml:space="preserve"> were used to set up the experiment. Three blocks, each representing a replication, were separated from the experimental land. Once more, each block was separated into eight plots (four kinds × two planting methods). Thus, there were 24-unit plots in all, with each plot measuring 4.0 m by 2.5 m. The unit plots were kept 0.5 meters apart, while the replications were kept 1.0 meters apart.</w:t>
      </w:r>
    </w:p>
    <w:p w14:paraId="546CDBAD" w14:textId="31184C22" w:rsidR="00F52059" w:rsidRPr="00BF7004" w:rsidRDefault="00110823" w:rsidP="00320D53">
      <w:pPr>
        <w:jc w:val="both"/>
        <w:rPr>
          <w:rFonts w:cs="Times New Roman"/>
          <w:b/>
        </w:rPr>
      </w:pPr>
      <w:r w:rsidRPr="00BF7004">
        <w:rPr>
          <w:rFonts w:cs="Times New Roman"/>
          <w:b/>
          <w:bCs/>
        </w:rPr>
        <w:t>S</w:t>
      </w:r>
      <w:r w:rsidR="00F52059" w:rsidRPr="00BF7004">
        <w:rPr>
          <w:rFonts w:cs="Times New Roman"/>
          <w:b/>
          <w:bCs/>
        </w:rPr>
        <w:t>eed</w:t>
      </w:r>
      <w:r w:rsidR="00BB374F" w:rsidRPr="00BF7004">
        <w:rPr>
          <w:rFonts w:cs="Times New Roman"/>
          <w:b/>
          <w:bCs/>
        </w:rPr>
        <w:t xml:space="preserve"> bed</w:t>
      </w:r>
      <w:r w:rsidRPr="00BF7004">
        <w:rPr>
          <w:rFonts w:cs="Times New Roman"/>
          <w:b/>
          <w:bCs/>
        </w:rPr>
        <w:t xml:space="preserve"> Preparation</w:t>
      </w:r>
      <w:r w:rsidR="00BB374F" w:rsidRPr="00BF7004">
        <w:rPr>
          <w:rFonts w:cs="Times New Roman"/>
          <w:b/>
          <w:bCs/>
        </w:rPr>
        <w:t xml:space="preserve"> to</w:t>
      </w:r>
      <w:r w:rsidR="00F52059" w:rsidRPr="00BF7004">
        <w:rPr>
          <w:rFonts w:cs="Times New Roman"/>
          <w:b/>
          <w:bCs/>
        </w:rPr>
        <w:t xml:space="preserve"> </w:t>
      </w:r>
      <w:r w:rsidRPr="00BF7004">
        <w:rPr>
          <w:rFonts w:cs="Times New Roman"/>
          <w:b/>
          <w:bCs/>
        </w:rPr>
        <w:t>Transplanting</w:t>
      </w:r>
    </w:p>
    <w:p w14:paraId="6DE66F69" w14:textId="301B890C" w:rsidR="00F21406" w:rsidRPr="00F21406" w:rsidRDefault="00067775" w:rsidP="00F21406">
      <w:pPr>
        <w:jc w:val="both"/>
        <w:rPr>
          <w:rFonts w:cs="Times New Roman"/>
        </w:rPr>
      </w:pPr>
      <w:r w:rsidRPr="00067775">
        <w:rPr>
          <w:rFonts w:cs="Times New Roman"/>
        </w:rPr>
        <w:t xml:space="preserve">To raise seedlings, a plot of </w:t>
      </w:r>
      <w:r w:rsidR="00B82550">
        <w:rPr>
          <w:rFonts w:cs="Times New Roman"/>
        </w:rPr>
        <w:t>land</w:t>
      </w:r>
      <w:r w:rsidRPr="00067775">
        <w:rPr>
          <w:rFonts w:cs="Times New Roman"/>
        </w:rPr>
        <w:t xml:space="preserve"> was chosen. A country plow was used to puddle the soil thoroughly, and then a ladder was used to level it. On June 30, 202</w:t>
      </w:r>
      <w:r w:rsidR="003B3B01">
        <w:rPr>
          <w:rFonts w:cs="Times New Roman"/>
        </w:rPr>
        <w:t>4</w:t>
      </w:r>
      <w:r w:rsidRPr="00067775">
        <w:rPr>
          <w:rFonts w:cs="Times New Roman"/>
        </w:rPr>
        <w:t xml:space="preserve">, the sprouting seeds were </w:t>
      </w:r>
      <w:r w:rsidRPr="00067775">
        <w:rPr>
          <w:rFonts w:cs="Times New Roman"/>
        </w:rPr>
        <w:lastRenderedPageBreak/>
        <w:t xml:space="preserve">planted in the nursery bed. The nursery bed's healthy seedlings were raised with the right attention. A power tiller was used to open the experimental field, and then a country plough was used four times before laddering was done. Following the latter stages of site preparation, the field's layout was created. Each plot was cleaned and weeded of stubble and weeds. </w:t>
      </w:r>
      <w:r w:rsidR="00F21406" w:rsidRPr="00F21406">
        <w:rPr>
          <w:rFonts w:cs="Times New Roman"/>
        </w:rPr>
        <w:t>The day before the plants were uprooted, water was applied to the nursery bed to make it moist. On July 29, 202</w:t>
      </w:r>
      <w:r w:rsidR="003B3B01">
        <w:rPr>
          <w:rFonts w:cs="Times New Roman"/>
        </w:rPr>
        <w:t>4</w:t>
      </w:r>
      <w:r w:rsidR="00F21406" w:rsidRPr="00F21406">
        <w:rPr>
          <w:rFonts w:cs="Times New Roman"/>
        </w:rPr>
        <w:t xml:space="preserve">, the seedlings were </w:t>
      </w:r>
      <w:r w:rsidR="00F21406">
        <w:rPr>
          <w:rFonts w:cs="Times New Roman"/>
        </w:rPr>
        <w:t>detached</w:t>
      </w:r>
      <w:r w:rsidR="00F21406" w:rsidRPr="00F21406">
        <w:rPr>
          <w:rFonts w:cs="Times New Roman"/>
        </w:rPr>
        <w:t xml:space="preserve"> without significant mechanical damage to their roots, and they were moved right away to the main field. After uprooting the seedlings were graded. For transplantation, seedlings that were healthy and comparable in size were chosen. On July 30, 202</w:t>
      </w:r>
      <w:r w:rsidR="003B3B01">
        <w:rPr>
          <w:rFonts w:cs="Times New Roman"/>
        </w:rPr>
        <w:t>4</w:t>
      </w:r>
      <w:r w:rsidR="00F21406" w:rsidRPr="00F21406">
        <w:rPr>
          <w:rFonts w:cs="Times New Roman"/>
        </w:rPr>
        <w:t>, seedlings were moved into the main field in accordance with experimental treatments, with a spacing of 25 cm by 15 cm and a pace of three seedlings per hill.</w:t>
      </w:r>
    </w:p>
    <w:p w14:paraId="7A86E14B" w14:textId="3C4D0801" w:rsidR="00F52059" w:rsidRPr="00BF7004" w:rsidRDefault="00F52059" w:rsidP="00320D53">
      <w:pPr>
        <w:jc w:val="both"/>
        <w:rPr>
          <w:rFonts w:cs="Times New Roman"/>
        </w:rPr>
      </w:pPr>
      <w:r w:rsidRPr="00BF7004">
        <w:rPr>
          <w:rFonts w:cs="Times New Roman"/>
          <w:b/>
          <w:bCs/>
        </w:rPr>
        <w:t xml:space="preserve">Fertilizer application </w:t>
      </w:r>
      <w:r w:rsidR="002930A1" w:rsidRPr="00BF7004">
        <w:rPr>
          <w:rFonts w:cs="Times New Roman"/>
          <w:b/>
          <w:bCs/>
        </w:rPr>
        <w:t>and Intercultural Operations</w:t>
      </w:r>
    </w:p>
    <w:p w14:paraId="39F3A014" w14:textId="27F3D154" w:rsidR="00F21406" w:rsidRPr="00F21406" w:rsidRDefault="00F21406" w:rsidP="00F21406">
      <w:pPr>
        <w:jc w:val="both"/>
        <w:rPr>
          <w:rFonts w:cs="Times New Roman"/>
        </w:rPr>
      </w:pPr>
      <w:r>
        <w:rPr>
          <w:rFonts w:cs="Times New Roman"/>
        </w:rPr>
        <w:t>U</w:t>
      </w:r>
      <w:r w:rsidRPr="00F21406">
        <w:rPr>
          <w:rFonts w:cs="Times New Roman"/>
        </w:rPr>
        <w:t xml:space="preserve">rea, triple superphosphate, muriate of potash, gypsum, and zinc sulphate </w:t>
      </w:r>
      <w:r>
        <w:rPr>
          <w:rFonts w:cs="Times New Roman"/>
        </w:rPr>
        <w:t xml:space="preserve">at the rate of </w:t>
      </w:r>
      <w:r w:rsidRPr="00F21406">
        <w:rPr>
          <w:rFonts w:cs="Times New Roman"/>
        </w:rPr>
        <w:t>200-100-125-60-10 kg ha</w:t>
      </w:r>
      <w:r w:rsidRPr="007E24F6">
        <w:rPr>
          <w:rFonts w:cs="Times New Roman"/>
          <w:vertAlign w:val="superscript"/>
        </w:rPr>
        <w:t>-1</w:t>
      </w:r>
      <w:r>
        <w:rPr>
          <w:rFonts w:cs="Times New Roman"/>
        </w:rPr>
        <w:t xml:space="preserve"> respectively </w:t>
      </w:r>
      <w:r w:rsidRPr="00F21406">
        <w:rPr>
          <w:rFonts w:cs="Times New Roman"/>
        </w:rPr>
        <w:t>were used to fertilize the experimental area. At the time of final land preparation, the full amounts of zinc sulphate, gypsum, muriate of potash, and triple superphosphate were spread out and mixed with the soil. Three doses of nitrogen in the form of urea were administered at 15,</w:t>
      </w:r>
      <w:r>
        <w:rPr>
          <w:rFonts w:cs="Times New Roman"/>
        </w:rPr>
        <w:t xml:space="preserve"> </w:t>
      </w:r>
      <w:r w:rsidRPr="00F21406">
        <w:rPr>
          <w:rFonts w:cs="Times New Roman"/>
        </w:rPr>
        <w:t>30, and 45 days following transplantation (DAT). On the designated plots, weeding was carried out at 15 and 30 DAT. When necessary, additional operations were carried out.</w:t>
      </w:r>
    </w:p>
    <w:p w14:paraId="48F73D30" w14:textId="6349B782" w:rsidR="00F52059" w:rsidRPr="00BF7004" w:rsidRDefault="00F52059" w:rsidP="00320D53">
      <w:pPr>
        <w:jc w:val="both"/>
        <w:rPr>
          <w:rFonts w:cs="Times New Roman"/>
          <w:b/>
        </w:rPr>
      </w:pPr>
      <w:r w:rsidRPr="00BF7004">
        <w:rPr>
          <w:rFonts w:cs="Times New Roman"/>
          <w:b/>
          <w:bCs/>
        </w:rPr>
        <w:t xml:space="preserve">Sampling, Harvesting and Processing </w:t>
      </w:r>
    </w:p>
    <w:p w14:paraId="10F989BF" w14:textId="0C09C374" w:rsidR="00F21406" w:rsidRPr="00F21406" w:rsidRDefault="00F21406" w:rsidP="00F21406">
      <w:pPr>
        <w:jc w:val="both"/>
        <w:rPr>
          <w:rFonts w:cs="Times New Roman"/>
        </w:rPr>
      </w:pPr>
      <w:r w:rsidRPr="00F21406">
        <w:rPr>
          <w:rFonts w:cs="Times New Roman"/>
        </w:rPr>
        <w:t>When the crops reached full maturity, they were harvested.</w:t>
      </w:r>
      <w:r>
        <w:rPr>
          <w:rFonts w:cs="Times New Roman"/>
        </w:rPr>
        <w:t xml:space="preserve"> T</w:t>
      </w:r>
      <w:r w:rsidRPr="00F21406">
        <w:rPr>
          <w:rFonts w:cs="Times New Roman"/>
        </w:rPr>
        <w:t xml:space="preserve">he crops were considered mature </w:t>
      </w:r>
      <w:r>
        <w:rPr>
          <w:rFonts w:cs="Times New Roman"/>
        </w:rPr>
        <w:t>w</w:t>
      </w:r>
      <w:r w:rsidRPr="00F21406">
        <w:rPr>
          <w:rFonts w:cs="Times New Roman"/>
        </w:rPr>
        <w:t xml:space="preserve">hen 90% of the grains turned a golden yellow. </w:t>
      </w:r>
      <w:r>
        <w:rPr>
          <w:rFonts w:cs="Times New Roman"/>
        </w:rPr>
        <w:t xml:space="preserve">We harvested </w:t>
      </w:r>
      <w:r w:rsidR="003B6735">
        <w:rPr>
          <w:rFonts w:cs="Times New Roman"/>
        </w:rPr>
        <w:t>crops</w:t>
      </w:r>
      <w:r>
        <w:rPr>
          <w:rFonts w:cs="Times New Roman"/>
        </w:rPr>
        <w:t xml:space="preserve"> in </w:t>
      </w:r>
      <w:r w:rsidRPr="00F21406">
        <w:rPr>
          <w:rFonts w:cs="Times New Roman"/>
        </w:rPr>
        <w:t>December 202</w:t>
      </w:r>
      <w:r w:rsidR="003B3B01">
        <w:rPr>
          <w:rFonts w:cs="Times New Roman"/>
        </w:rPr>
        <w:t>4</w:t>
      </w:r>
      <w:r w:rsidRPr="00F21406">
        <w:rPr>
          <w:rFonts w:cs="Times New Roman"/>
        </w:rPr>
        <w:t>. Following the threshing of the tagged crops, plot-by-plot fresh weights of grain and straw were noted. After cleaning the grains, the weight was ultimately adjusted to achieve a 14% moisture content. The yields of grain and straw plot</w:t>
      </w:r>
      <w:r w:rsidRPr="00F21406">
        <w:rPr>
          <w:rFonts w:cs="Times New Roman"/>
          <w:vertAlign w:val="superscript"/>
        </w:rPr>
        <w:t>-1</w:t>
      </w:r>
      <w:r w:rsidRPr="00F21406">
        <w:rPr>
          <w:rFonts w:cs="Times New Roman"/>
        </w:rPr>
        <w:t xml:space="preserve"> were measured and converted to t ha</w:t>
      </w:r>
      <w:r w:rsidRPr="00F21406">
        <w:rPr>
          <w:rFonts w:cs="Times New Roman"/>
          <w:vertAlign w:val="superscript"/>
        </w:rPr>
        <w:t>-1</w:t>
      </w:r>
      <w:r w:rsidRPr="00F21406">
        <w:rPr>
          <w:rFonts w:cs="Times New Roman"/>
        </w:rPr>
        <w:t xml:space="preserve"> after the straw was sun-dried. </w:t>
      </w:r>
    </w:p>
    <w:p w14:paraId="4EBF783B" w14:textId="1BAB4CC0" w:rsidR="00F52059" w:rsidRPr="00BF7004" w:rsidRDefault="00F52059" w:rsidP="00320D53">
      <w:pPr>
        <w:jc w:val="both"/>
        <w:rPr>
          <w:rFonts w:cs="Times New Roman"/>
          <w:b/>
        </w:rPr>
      </w:pPr>
      <w:r w:rsidRPr="00BF7004">
        <w:rPr>
          <w:rFonts w:cs="Times New Roman"/>
          <w:b/>
          <w:bCs/>
        </w:rPr>
        <w:t xml:space="preserve">Data </w:t>
      </w:r>
      <w:r w:rsidR="00EA26D9" w:rsidRPr="00BF7004">
        <w:rPr>
          <w:rFonts w:cs="Times New Roman"/>
          <w:b/>
          <w:bCs/>
        </w:rPr>
        <w:t>Collection</w:t>
      </w:r>
    </w:p>
    <w:p w14:paraId="71906C8B" w14:textId="2AD0BB1C" w:rsidR="000E2CB8" w:rsidRPr="00BF7004" w:rsidRDefault="007E24F6" w:rsidP="000E2CB8">
      <w:pPr>
        <w:jc w:val="both"/>
        <w:rPr>
          <w:rFonts w:cs="Times New Roman"/>
        </w:rPr>
      </w:pPr>
      <w:r w:rsidRPr="007E24F6">
        <w:rPr>
          <w:rFonts w:cs="Times New Roman"/>
        </w:rPr>
        <w:t xml:space="preserve">Five hills were randomly chosen from each unit plot, thoroughly uprooted, and labeled prior to harvesting to capture data. </w:t>
      </w:r>
      <w:r w:rsidR="00F52059" w:rsidRPr="00BF7004">
        <w:rPr>
          <w:rFonts w:cs="Times New Roman"/>
        </w:rPr>
        <w:t xml:space="preserve">Data </w:t>
      </w:r>
      <w:r w:rsidR="006826D3" w:rsidRPr="00BF7004">
        <w:rPr>
          <w:rFonts w:cs="Times New Roman"/>
        </w:rPr>
        <w:t>was</w:t>
      </w:r>
      <w:r w:rsidR="00F52059" w:rsidRPr="00BF7004">
        <w:rPr>
          <w:rFonts w:cs="Times New Roman"/>
        </w:rPr>
        <w:t xml:space="preserve"> collected on </w:t>
      </w:r>
      <w:r w:rsidR="000E2CB8" w:rsidRPr="00BF7004">
        <w:rPr>
          <w:rFonts w:cs="Times New Roman"/>
        </w:rPr>
        <w:t xml:space="preserve">plant height, </w:t>
      </w:r>
      <w:r w:rsidR="00C42A89" w:rsidRPr="00BF7004">
        <w:rPr>
          <w:rFonts w:cs="Times New Roman"/>
        </w:rPr>
        <w:t>n</w:t>
      </w:r>
      <w:r w:rsidR="000E2CB8" w:rsidRPr="00BF7004">
        <w:rPr>
          <w:rFonts w:cs="Times New Roman"/>
        </w:rPr>
        <w:t>umber of total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C42A89" w:rsidRPr="00BF7004">
        <w:rPr>
          <w:rFonts w:cs="Times New Roman"/>
        </w:rPr>
        <w:t>n</w:t>
      </w:r>
      <w:r w:rsidR="000E2CB8" w:rsidRPr="00BF7004">
        <w:rPr>
          <w:rFonts w:cs="Times New Roman"/>
        </w:rPr>
        <w:t>umber of non-effective tillers hill</w:t>
      </w:r>
      <w:r w:rsidR="000E2CB8" w:rsidRPr="00BF7004">
        <w:rPr>
          <w:rFonts w:cs="Times New Roman"/>
          <w:vertAlign w:val="superscript"/>
        </w:rPr>
        <w:t>-1</w:t>
      </w:r>
      <w:r w:rsidR="00C42A89" w:rsidRPr="00BF7004">
        <w:rPr>
          <w:rFonts w:cs="Times New Roman"/>
        </w:rPr>
        <w:t>,</w:t>
      </w:r>
      <w:r w:rsidR="000E2CB8" w:rsidRPr="00BF7004">
        <w:rPr>
          <w:rFonts w:cs="Times New Roman"/>
        </w:rPr>
        <w:t xml:space="preserve"> </w:t>
      </w:r>
      <w:r w:rsidR="00C42A89" w:rsidRPr="00BF7004">
        <w:rPr>
          <w:rFonts w:cs="Times New Roman"/>
        </w:rPr>
        <w:t>p</w:t>
      </w:r>
      <w:r w:rsidR="000E2CB8" w:rsidRPr="00BF7004">
        <w:rPr>
          <w:rFonts w:cs="Times New Roman"/>
        </w:rPr>
        <w:t xml:space="preserve">anicle length, </w:t>
      </w:r>
      <w:r w:rsidR="00C42A89" w:rsidRPr="00BF7004">
        <w:rPr>
          <w:rFonts w:cs="Times New Roman"/>
        </w:rPr>
        <w:t>n</w:t>
      </w:r>
      <w:r w:rsidR="000E2CB8" w:rsidRPr="00BF7004">
        <w:rPr>
          <w:rFonts w:cs="Times New Roman"/>
        </w:rPr>
        <w:t>umber of grains panicle</w:t>
      </w:r>
      <w:r w:rsidR="000E2CB8" w:rsidRPr="00BF7004">
        <w:rPr>
          <w:rFonts w:cs="Times New Roman"/>
          <w:vertAlign w:val="superscript"/>
        </w:rPr>
        <w:t>-</w:t>
      </w:r>
      <w:r w:rsidR="000E2CB8" w:rsidRPr="00BF7004">
        <w:rPr>
          <w:rFonts w:cs="Times New Roman"/>
        </w:rPr>
        <w:t>1</w:t>
      </w:r>
      <w:r w:rsidR="00C42A89" w:rsidRPr="00BF7004">
        <w:rPr>
          <w:rFonts w:cs="Times New Roman"/>
        </w:rPr>
        <w:t>, n</w:t>
      </w:r>
      <w:r w:rsidR="000E2CB8" w:rsidRPr="00BF7004">
        <w:rPr>
          <w:rFonts w:cs="Times New Roman"/>
        </w:rPr>
        <w:t xml:space="preserve">umber of sterile </w:t>
      </w:r>
      <w:proofErr w:type="spellStart"/>
      <w:r w:rsidR="000E2CB8" w:rsidRPr="00BF7004">
        <w:rPr>
          <w:rFonts w:cs="Times New Roman"/>
        </w:rPr>
        <w:t>spikelet</w:t>
      </w:r>
      <w:r w:rsidR="00547350" w:rsidRPr="00BF7004">
        <w:rPr>
          <w:rFonts w:cs="Times New Roman"/>
        </w:rPr>
        <w:t>s</w:t>
      </w:r>
      <w:proofErr w:type="spellEnd"/>
      <w:r w:rsidR="000E2CB8" w:rsidRPr="00BF7004">
        <w:rPr>
          <w:rFonts w:cs="Times New Roman"/>
        </w:rPr>
        <w:t xml:space="preserve"> panicle</w:t>
      </w:r>
      <w:r w:rsidR="000E2CB8" w:rsidRPr="00BF7004">
        <w:rPr>
          <w:rFonts w:cs="Times New Roman"/>
          <w:vertAlign w:val="superscript"/>
        </w:rPr>
        <w:t>-1</w:t>
      </w:r>
      <w:r w:rsidR="00C42A89" w:rsidRPr="00BF7004">
        <w:rPr>
          <w:rFonts w:cs="Times New Roman"/>
        </w:rPr>
        <w:t>,</w:t>
      </w:r>
      <w:r w:rsidR="000E2CB8" w:rsidRPr="00BF7004">
        <w:rPr>
          <w:rFonts w:cs="Times New Roman"/>
          <w:vertAlign w:val="superscript"/>
        </w:rPr>
        <w:t xml:space="preserve"> </w:t>
      </w:r>
      <w:r w:rsidR="000E2CB8" w:rsidRPr="00BF7004">
        <w:rPr>
          <w:rFonts w:cs="Times New Roman"/>
        </w:rPr>
        <w:t xml:space="preserve">1000-grain weight, </w:t>
      </w:r>
      <w:r w:rsidR="00C42A89" w:rsidRPr="00BF7004">
        <w:rPr>
          <w:rFonts w:cs="Times New Roman"/>
        </w:rPr>
        <w:t>g</w:t>
      </w:r>
      <w:r w:rsidR="000E2CB8" w:rsidRPr="00BF7004">
        <w:rPr>
          <w:rFonts w:cs="Times New Roman"/>
        </w:rPr>
        <w:t>rain yield</w:t>
      </w:r>
      <w:r w:rsidR="00C42A89" w:rsidRPr="00BF7004">
        <w:rPr>
          <w:rFonts w:cs="Times New Roman"/>
        </w:rPr>
        <w:t xml:space="preserve"> and s</w:t>
      </w:r>
      <w:r w:rsidR="000E2CB8" w:rsidRPr="00BF7004">
        <w:rPr>
          <w:rFonts w:cs="Times New Roman"/>
        </w:rPr>
        <w:t>traw yield</w:t>
      </w:r>
      <w:r w:rsidR="00C42A89" w:rsidRPr="00BF7004">
        <w:rPr>
          <w:rFonts w:cs="Times New Roman"/>
        </w:rPr>
        <w:t>. Biological yield and harvest index were calculated using the following formulas respectively.</w:t>
      </w:r>
    </w:p>
    <w:p w14:paraId="2268E3E2" w14:textId="77777777" w:rsidR="00C42A89" w:rsidRPr="00BF7004" w:rsidRDefault="00F52059" w:rsidP="00320D53">
      <w:pPr>
        <w:jc w:val="both"/>
        <w:rPr>
          <w:rFonts w:cs="Times New Roman"/>
        </w:rPr>
      </w:pPr>
      <w:r w:rsidRPr="00BF7004">
        <w:rPr>
          <w:rFonts w:cs="Times New Roman"/>
        </w:rPr>
        <w:t>Biological yield = Grain yield + Straw yield</w:t>
      </w:r>
    </w:p>
    <w:p w14:paraId="08B0F517" w14:textId="26804878" w:rsidR="00EA26D9" w:rsidRPr="00BF7004" w:rsidRDefault="00EA26D9" w:rsidP="00320D53">
      <w:pPr>
        <w:jc w:val="both"/>
        <w:rPr>
          <w:rFonts w:cs="Times New Roman"/>
        </w:rPr>
      </w:pPr>
      <w:r w:rsidRPr="00BF7004">
        <w:rPr>
          <w:rFonts w:cs="Times New Roman"/>
          <w:noProof/>
        </w:rPr>
        <mc:AlternateContent>
          <mc:Choice Requires="wps">
            <w:drawing>
              <wp:anchor distT="0" distB="0" distL="114300" distR="114300" simplePos="0" relativeHeight="251659264" behindDoc="0" locked="0" layoutInCell="1" allowOverlap="1" wp14:anchorId="4BF92F0A" wp14:editId="269C9A53">
                <wp:simplePos x="0" y="0"/>
                <wp:positionH relativeFrom="column">
                  <wp:posOffset>1263650</wp:posOffset>
                </wp:positionH>
                <wp:positionV relativeFrom="paragraph">
                  <wp:posOffset>107950</wp:posOffset>
                </wp:positionV>
                <wp:extent cx="2044700" cy="723900"/>
                <wp:effectExtent l="0" t="0" r="0" b="0"/>
                <wp:wrapNone/>
                <wp:docPr id="1200919104" name="Text Box 1"/>
                <wp:cNvGraphicFramePr/>
                <a:graphic xmlns:a="http://schemas.openxmlformats.org/drawingml/2006/main">
                  <a:graphicData uri="http://schemas.microsoft.com/office/word/2010/wordprocessingShape">
                    <wps:wsp>
                      <wps:cNvSpPr txBox="1"/>
                      <wps:spPr>
                        <a:xfrm>
                          <a:off x="0" y="0"/>
                          <a:ext cx="2044700" cy="723900"/>
                        </a:xfrm>
                        <a:prstGeom prst="rect">
                          <a:avLst/>
                        </a:prstGeom>
                        <a:solidFill>
                          <a:schemeClr val="lt1"/>
                        </a:solidFill>
                        <a:ln w="6350">
                          <a:noFill/>
                        </a:ln>
                      </wps:spPr>
                      <wps:txbx>
                        <w:txbxContent>
                          <w:p w14:paraId="3A63FBD8" w14:textId="05F25BEB" w:rsidR="00EA26D9" w:rsidRDefault="00EA26D9">
                            <w:r w:rsidRPr="00F52059">
                              <w:object w:dxaOrig="3086" w:dyaOrig="731" w14:anchorId="2B4D2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3pt;height:36.55pt">
                                  <v:imagedata r:id="rId8" o:title=""/>
                                </v:shape>
                                <o:OLEObject Type="Embed" ProgID="Equation.3" ShapeID="_x0000_i1026" DrawAspect="Content" ObjectID="_1815368742"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F92F0A" id="_x0000_t202" coordsize="21600,21600" o:spt="202" path="m,l,21600r21600,l21600,xe">
                <v:stroke joinstyle="miter"/>
                <v:path gradientshapeok="t" o:connecttype="rect"/>
              </v:shapetype>
              <v:shape id="Text Box 1" o:spid="_x0000_s1026" type="#_x0000_t202" style="position:absolute;left:0;text-align:left;margin-left:99.5pt;margin-top:8.5pt;width:161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KxKwIAAFQEAAAOAAAAZHJzL2Uyb0RvYy54bWysVEtv2zAMvg/YfxB0X+y4abMacYosRYYB&#10;QVsgHXpWZCk2IIuapMTOfv0o2Xms22nYRSZF6uPro2cPXaPIQVhXgy7oeJRSIjSHsta7gn5/XX36&#10;TInzTJdMgRYFPQpHH+YfP8xak4sMKlClsARBtMtbU9DKe5MnieOVaJgbgREajRJswzyqdpeUlrWI&#10;3qgkS9O7pAVbGgtcOIe3j72RziO+lIL7Zymd8EQVFHPz8bTx3IYzmc9YvrPMVDUf0mD/kEXDao1B&#10;z1CPzDOyt/UfUE3NLTiQfsShSUDKmotYA1YzTt9Vs6mYEbEWbI4z5za5/wfLnw4b82KJ775AhwMM&#10;DWmNyx1ehno6aZvwxUwJ2rGFx3PbROcJx8ssnUymKZo42qbZzT3KCJNcXhvr/FcBDQlCQS2OJXaL&#10;HdbO964nlxDMgarLVa1UVAIVxFJZcmA4ROVjjgj+m5fSpC3o3c1tGoE1hOc9stKYy6WmIPlu2w2F&#10;bqE8Yv0Wemo4w1c1Jrlmzr8wi1zAupDf/hkPqQCDwCBRUoH9+bf74I8jQislLXKroO7HnllBifqm&#10;cXj348kkkDEqk9tphoq9tmyvLXrfLAErH+MmGR7F4O/VSZQWmjdcg0WIiiamOcYuqD+JS98zHteI&#10;i8UiOiH9DPNrvTE8QIdOhxG8dm/MmmFOHif8BCcWsvzduHrf8FLDYu9B1nGWocF9V4e+I3UjG4Y1&#10;C7txrUevy89g/gsAAP//AwBQSwMEFAAGAAgAAAAhAMFxmETfAAAACgEAAA8AAABkcnMvZG93bnJl&#10;di54bWxMT8tOwzAQvCPxD9YicUHUaaNSmsapEOIh9UbTUvXmxtskIl5HsZuEv2c5wWlndkezM+l6&#10;tI3osfO1IwXTSQQCqXCmplLBLn+9fwThgyajG0eo4Bs9rLPrq1Qnxg30gf02lIJNyCdaQRVCm0jp&#10;iwqt9hPXIvHt7DqrA9OulKbTA5vbRs6i6EFaXRN/qHSLzxUWX9uLVXC8Kw8bP77th3gety/vfb74&#10;NLlStzfj0wpEwDH8ieE3PkeHjDOd3IWMFw3z5ZK7BAYLniyYz6YMTryIGcgslf8rZD8AAAD//wMA&#10;UEsBAi0AFAAGAAgAAAAhALaDOJL+AAAA4QEAABMAAAAAAAAAAAAAAAAAAAAAAFtDb250ZW50X1R5&#10;cGVzXS54bWxQSwECLQAUAAYACAAAACEAOP0h/9YAAACUAQAACwAAAAAAAAAAAAAAAAAvAQAAX3Jl&#10;bHMvLnJlbHNQSwECLQAUAAYACAAAACEAhWBysSsCAABUBAAADgAAAAAAAAAAAAAAAAAuAgAAZHJz&#10;L2Uyb0RvYy54bWxQSwECLQAUAAYACAAAACEAwXGYRN8AAAAKAQAADwAAAAAAAAAAAAAAAACFBAAA&#10;ZHJzL2Rvd25yZXYueG1sUEsFBgAAAAAEAAQA8wAAAJEFAAAAAA==&#10;" fillcolor="white [3201]" stroked="f" strokeweight=".5pt">
                <v:textbox>
                  <w:txbxContent>
                    <w:p w14:paraId="3A63FBD8" w14:textId="05F25BEB" w:rsidR="00EA26D9" w:rsidRDefault="00EA26D9">
                      <w:r w:rsidRPr="00F52059">
                        <w:object w:dxaOrig="3084" w:dyaOrig="732" w14:anchorId="2B4D2011">
                          <v:shape id="_x0000_i1026" type="#_x0000_t75" style="width:154pt;height:36.65pt">
                            <v:imagedata r:id="rId10" o:title=""/>
                          </v:shape>
                          <o:OLEObject Type="Embed" ProgID="Equation.3" ShapeID="_x0000_i1026" DrawAspect="Content" ObjectID="_1815341560" r:id="rId11"/>
                        </w:object>
                      </w:r>
                    </w:p>
                  </w:txbxContent>
                </v:textbox>
              </v:shape>
            </w:pict>
          </mc:Fallback>
        </mc:AlternateContent>
      </w:r>
    </w:p>
    <w:p w14:paraId="7CB295BB" w14:textId="3255B3F8" w:rsidR="00F52059" w:rsidRPr="00BF7004" w:rsidRDefault="00F52059" w:rsidP="00320D53">
      <w:pPr>
        <w:jc w:val="both"/>
        <w:rPr>
          <w:rFonts w:cs="Times New Roman"/>
        </w:rPr>
      </w:pPr>
      <w:r w:rsidRPr="00BF7004">
        <w:rPr>
          <w:rFonts w:cs="Times New Roman"/>
        </w:rPr>
        <w:t>Harvest index (%) =</w:t>
      </w:r>
    </w:p>
    <w:p w14:paraId="0F5685B5" w14:textId="77777777" w:rsidR="00EA26D9" w:rsidRPr="00BF7004" w:rsidRDefault="00EA26D9" w:rsidP="00320D53">
      <w:pPr>
        <w:jc w:val="both"/>
        <w:rPr>
          <w:rFonts w:cs="Times New Roman"/>
        </w:rPr>
      </w:pPr>
    </w:p>
    <w:p w14:paraId="6A2713BA" w14:textId="7C938D3C" w:rsidR="00F52059" w:rsidRPr="00BF7004" w:rsidRDefault="00F52059" w:rsidP="00320D53">
      <w:pPr>
        <w:jc w:val="both"/>
        <w:rPr>
          <w:rFonts w:cs="Times New Roman"/>
          <w:b/>
        </w:rPr>
      </w:pPr>
      <w:r w:rsidRPr="00BF7004">
        <w:rPr>
          <w:rFonts w:cs="Times New Roman"/>
          <w:b/>
          <w:bCs/>
        </w:rPr>
        <w:t xml:space="preserve">Statistical Analysis </w:t>
      </w:r>
    </w:p>
    <w:p w14:paraId="0372EF6A" w14:textId="796AF46B" w:rsidR="00EA26D9" w:rsidRPr="00A91339" w:rsidRDefault="007E24F6" w:rsidP="00A91339">
      <w:pPr>
        <w:jc w:val="both"/>
        <w:rPr>
          <w:rFonts w:cs="Times New Roman"/>
        </w:rPr>
      </w:pPr>
      <w:r>
        <w:rPr>
          <w:rFonts w:cs="Times New Roman"/>
        </w:rPr>
        <w:lastRenderedPageBreak/>
        <w:t>F</w:t>
      </w:r>
      <w:r w:rsidRPr="007E24F6">
        <w:rPr>
          <w:rFonts w:cs="Times New Roman"/>
        </w:rPr>
        <w:t>or statistical analysis, the collected data was c</w:t>
      </w:r>
      <w:r>
        <w:rPr>
          <w:rFonts w:cs="Times New Roman"/>
        </w:rPr>
        <w:t>ompiled</w:t>
      </w:r>
      <w:r w:rsidRPr="007E24F6">
        <w:rPr>
          <w:rFonts w:cs="Times New Roman"/>
        </w:rPr>
        <w:t xml:space="preserve"> and tabulated. R-Studio is a statistical software used to examine data.</w:t>
      </w:r>
      <w:r>
        <w:rPr>
          <w:rFonts w:cs="Times New Roman"/>
        </w:rPr>
        <w:t xml:space="preserve"> We </w:t>
      </w:r>
      <w:r w:rsidRPr="007E24F6">
        <w:rPr>
          <w:rFonts w:cs="Times New Roman"/>
        </w:rPr>
        <w:t>used Duncan's Multiple Range Test to compare means</w:t>
      </w:r>
      <w:r>
        <w:rPr>
          <w:rFonts w:cs="Times New Roman"/>
        </w:rPr>
        <w:t xml:space="preserve"> </w:t>
      </w:r>
      <w:r w:rsidR="00F52059" w:rsidRPr="00BF7004">
        <w:rPr>
          <w:rFonts w:cs="Times New Roman"/>
        </w:rPr>
        <w:t xml:space="preserve">(Gomez </w:t>
      </w:r>
      <w:r w:rsidR="004C0F9B">
        <w:rPr>
          <w:rFonts w:cs="Times New Roman"/>
        </w:rPr>
        <w:t>and</w:t>
      </w:r>
      <w:r w:rsidR="00F52059" w:rsidRPr="00BF7004">
        <w:rPr>
          <w:rFonts w:cs="Times New Roman"/>
        </w:rPr>
        <w:t xml:space="preserve"> Gomez, 1984).</w:t>
      </w:r>
    </w:p>
    <w:p w14:paraId="01514814" w14:textId="508459F9" w:rsidR="008C2FF2" w:rsidRPr="00BF7004" w:rsidRDefault="008C2FF2" w:rsidP="008C2FF2">
      <w:pPr>
        <w:spacing w:before="240"/>
        <w:rPr>
          <w:rFonts w:cs="Times New Roman"/>
          <w:b/>
          <w:bCs/>
        </w:rPr>
      </w:pPr>
      <w:r w:rsidRPr="00BF7004">
        <w:rPr>
          <w:rFonts w:cs="Times New Roman"/>
          <w:b/>
          <w:bCs/>
        </w:rPr>
        <w:t>RESULTS</w:t>
      </w:r>
    </w:p>
    <w:p w14:paraId="2646C52A" w14:textId="77777777" w:rsidR="008C2FF2" w:rsidRPr="00BF7004" w:rsidRDefault="008C2FF2" w:rsidP="008C2FF2">
      <w:pPr>
        <w:spacing w:before="240"/>
        <w:rPr>
          <w:rFonts w:cs="Times New Roman"/>
          <w:b/>
          <w:bCs/>
          <w:szCs w:val="24"/>
        </w:rPr>
      </w:pPr>
      <w:bookmarkStart w:id="0" w:name="_Hlk203789957"/>
      <w:r w:rsidRPr="00BF7004">
        <w:rPr>
          <w:rFonts w:cs="Times New Roman"/>
          <w:b/>
          <w:szCs w:val="24"/>
        </w:rPr>
        <w:t xml:space="preserve">Effect of variety on different </w:t>
      </w:r>
      <w:r w:rsidRPr="00BF7004">
        <w:rPr>
          <w:rFonts w:cs="Times New Roman"/>
          <w:b/>
          <w:bCs/>
          <w:szCs w:val="24"/>
        </w:rPr>
        <w:t>yield parameters</w:t>
      </w:r>
    </w:p>
    <w:p w14:paraId="0D7F7D0C" w14:textId="036DF47C"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szCs w:val="24"/>
        </w:rPr>
        <w:t xml:space="preserve">The study revealed significant varietal differences for all ten measured traits of </w:t>
      </w:r>
      <w:r w:rsidR="00856DA0" w:rsidRPr="00BF7004">
        <w:rPr>
          <w:rFonts w:cs="Times New Roman"/>
        </w:rPr>
        <w:t xml:space="preserve">T. Aman </w:t>
      </w:r>
      <w:r w:rsidRPr="00BF7004">
        <w:rPr>
          <w:rFonts w:cs="Times New Roman"/>
          <w:szCs w:val="24"/>
        </w:rPr>
        <w:t xml:space="preserve">rice (Table 1). The tallest plants were observed in BRRI dhan52 (112.02 cm), whereas the shortest plants were recorded in Binadhan-7 (91.48 cm). </w:t>
      </w:r>
      <w:r w:rsidRPr="00BF7004">
        <w:rPr>
          <w:rFonts w:cs="Times New Roman"/>
        </w:rPr>
        <w:t>The highest No. of total tillers hill</w:t>
      </w:r>
      <w:r w:rsidRPr="00BF7004">
        <w:rPr>
          <w:rFonts w:cs="Times New Roman"/>
          <w:vertAlign w:val="superscript"/>
        </w:rPr>
        <w:t>-1</w:t>
      </w:r>
      <w:r w:rsidRPr="00BF7004">
        <w:rPr>
          <w:rFonts w:cs="Times New Roman"/>
        </w:rPr>
        <w:t xml:space="preserve"> was found in BRRI dhan49 (14.43), while the lowest was observed in Binadhan-7 (11.48). Similarly, BRRI dhan49 had the maximum number of effective tillers hill</w:t>
      </w:r>
      <w:r w:rsidRPr="00BF7004">
        <w:rPr>
          <w:rFonts w:cs="Times New Roman"/>
          <w:vertAlign w:val="superscript"/>
        </w:rPr>
        <w:t>-1</w:t>
      </w:r>
      <w:r w:rsidRPr="00BF7004">
        <w:rPr>
          <w:rFonts w:cs="Times New Roman"/>
        </w:rPr>
        <w:t xml:space="preserve"> (13.05), and the lowest was in Binadhan-7 (10.03), </w:t>
      </w:r>
      <w:r w:rsidRPr="00BF7004">
        <w:rPr>
          <w:rFonts w:cs="Times New Roman"/>
          <w:szCs w:val="24"/>
        </w:rPr>
        <w:t>which was statistically similar to BRRI dhan52 (10.07)</w:t>
      </w:r>
      <w:r w:rsidRPr="00BF7004">
        <w:rPr>
          <w:rFonts w:cs="Times New Roman"/>
        </w:rPr>
        <w:t>. The number of non-effective tillers hill</w:t>
      </w:r>
      <w:r w:rsidRPr="00BF7004">
        <w:rPr>
          <w:rFonts w:cs="Times New Roman"/>
          <w:vertAlign w:val="superscript"/>
        </w:rPr>
        <w:t>-1</w:t>
      </w:r>
      <w:r w:rsidRPr="00BF7004">
        <w:rPr>
          <w:rFonts w:cs="Times New Roman"/>
        </w:rPr>
        <w:t xml:space="preserve"> was highest in BR11 (1.48) and lowest in BRRI dhan49 (1.38). </w:t>
      </w:r>
      <w:r w:rsidRPr="00BF7004">
        <w:rPr>
          <w:rFonts w:cs="Times New Roman"/>
          <w:szCs w:val="24"/>
        </w:rPr>
        <w:t>For panicle length, the longest was produced by BRRI dhan49 (23.00 cm), which were statistically similar to BR11 (22.70 cm) and the shortest was by BRRI dhan52 (21.82 cm). The number of grains panicle</w:t>
      </w:r>
      <w:r w:rsidRPr="00BF7004">
        <w:rPr>
          <w:rFonts w:cs="Times New Roman"/>
          <w:vertAlign w:val="superscript"/>
        </w:rPr>
        <w:t>-1</w:t>
      </w:r>
      <w:r w:rsidRPr="00BF7004">
        <w:rPr>
          <w:rFonts w:cs="Times New Roman"/>
        </w:rPr>
        <w:t xml:space="preserve"> </w:t>
      </w:r>
      <w:r w:rsidRPr="00BF7004">
        <w:rPr>
          <w:rFonts w:cs="Times New Roman"/>
          <w:szCs w:val="24"/>
        </w:rPr>
        <w:t xml:space="preserve">was highest in BRRI dhan49 (141.33) and lowest in Binadhan-7 (123.53). The maximum number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vertAlign w:val="superscript"/>
        </w:rPr>
        <w:t>-1</w:t>
      </w:r>
      <w:r w:rsidRPr="00BF7004">
        <w:rPr>
          <w:rFonts w:cs="Times New Roman"/>
        </w:rPr>
        <w:t xml:space="preserve"> </w:t>
      </w:r>
      <w:r w:rsidRPr="00BF7004">
        <w:rPr>
          <w:rFonts w:cs="Times New Roman"/>
          <w:szCs w:val="24"/>
        </w:rPr>
        <w:t>was observed in BR11 (13.05), while the minimum was in BRRI dhan49 (12.65).</w:t>
      </w:r>
      <w:r w:rsidR="00856DA0">
        <w:rPr>
          <w:rFonts w:cs="Times New Roman"/>
          <w:szCs w:val="24"/>
        </w:rPr>
        <w:t xml:space="preserve"> </w:t>
      </w:r>
      <w:r w:rsidRPr="00BF7004">
        <w:rPr>
          <w:rFonts w:cs="Times New Roman"/>
          <w:szCs w:val="24"/>
        </w:rPr>
        <w:t>In terms of yield components, BRRI dhan49 recorded the highest 1000-grain weight (21.43 g), grain yield (5.19 t/ha), biological yield (11.29 t/ha), and harvest index (45.94%). In contrast, the lowest 1000-grain weight (19.47 g), grain yield (4.49 t/ha), and biological yield (9.88 t/ha) were observed in Binadhan-7 (Figure 1, Table 1).</w:t>
      </w:r>
    </w:p>
    <w:bookmarkEnd w:id="0"/>
    <w:p w14:paraId="6EECF30F" w14:textId="77777777" w:rsidR="008C2FF2" w:rsidRPr="00BF7004" w:rsidRDefault="008C2FF2" w:rsidP="008C2FF2">
      <w:pPr>
        <w:autoSpaceDE w:val="0"/>
        <w:autoSpaceDN w:val="0"/>
        <w:adjustRightInd w:val="0"/>
        <w:spacing w:after="0" w:line="276" w:lineRule="auto"/>
        <w:jc w:val="both"/>
        <w:rPr>
          <w:rFonts w:cs="Times New Roman"/>
          <w:szCs w:val="24"/>
        </w:rPr>
      </w:pPr>
    </w:p>
    <w:p w14:paraId="133589C4" w14:textId="77777777" w:rsidR="008C2FF2" w:rsidRPr="00BF7004" w:rsidRDefault="008C2FF2" w:rsidP="008C2FF2">
      <w:pPr>
        <w:spacing w:line="276" w:lineRule="auto"/>
        <w:jc w:val="both"/>
        <w:rPr>
          <w:rFonts w:cs="Times New Roman"/>
          <w:szCs w:val="24"/>
        </w:rPr>
      </w:pPr>
      <w:r w:rsidRPr="00BF7004">
        <w:rPr>
          <w:rFonts w:cs="Times New Roman"/>
          <w:b/>
          <w:szCs w:val="24"/>
        </w:rPr>
        <w:br/>
      </w:r>
    </w:p>
    <w:p w14:paraId="07F2D117" w14:textId="77777777" w:rsidR="008C2FF2" w:rsidRPr="00BF7004" w:rsidRDefault="008C2FF2" w:rsidP="008C2FF2">
      <w:pPr>
        <w:spacing w:line="276" w:lineRule="auto"/>
        <w:jc w:val="both"/>
        <w:rPr>
          <w:rFonts w:cs="Times New Roman"/>
          <w:szCs w:val="24"/>
        </w:rPr>
        <w:sectPr w:rsidR="008C2FF2" w:rsidRPr="00BF7004" w:rsidSect="008C2F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094C0B44" w14:textId="77777777" w:rsidR="008C2FF2" w:rsidRPr="00BF7004" w:rsidRDefault="008C2FF2" w:rsidP="008C2FF2">
      <w:pPr>
        <w:rPr>
          <w:rFonts w:cs="Times New Roman"/>
          <w:szCs w:val="24"/>
        </w:rPr>
      </w:pPr>
    </w:p>
    <w:p w14:paraId="4558F41D" w14:textId="04928343" w:rsidR="008C2FF2" w:rsidRPr="00BF7004" w:rsidRDefault="008C2FF2" w:rsidP="008C2FF2">
      <w:pPr>
        <w:jc w:val="center"/>
        <w:rPr>
          <w:rFonts w:cs="Times New Roman"/>
          <w:b/>
          <w:szCs w:val="24"/>
        </w:rPr>
      </w:pPr>
      <w:r w:rsidRPr="00BF7004">
        <w:rPr>
          <w:rFonts w:cs="Times New Roman"/>
          <w:b/>
          <w:szCs w:val="24"/>
        </w:rPr>
        <w:t xml:space="preserve">Table 1. Effect of variety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rice</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095"/>
        <w:gridCol w:w="993"/>
        <w:gridCol w:w="1199"/>
        <w:gridCol w:w="1249"/>
        <w:gridCol w:w="1108"/>
        <w:gridCol w:w="1149"/>
        <w:gridCol w:w="1303"/>
        <w:gridCol w:w="1038"/>
        <w:gridCol w:w="1276"/>
        <w:gridCol w:w="1076"/>
      </w:tblGrid>
      <w:tr w:rsidR="00BF7004" w:rsidRPr="00BF7004" w14:paraId="18457230" w14:textId="77777777" w:rsidTr="00450745">
        <w:trPr>
          <w:cantSplit/>
          <w:trHeight w:val="173"/>
          <w:jc w:val="center"/>
        </w:trPr>
        <w:tc>
          <w:tcPr>
            <w:tcW w:w="0" w:type="auto"/>
            <w:tcBorders>
              <w:bottom w:val="single" w:sz="4" w:space="0" w:color="auto"/>
            </w:tcBorders>
          </w:tcPr>
          <w:p w14:paraId="0099D02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Variety</w:t>
            </w:r>
          </w:p>
        </w:tc>
        <w:tc>
          <w:tcPr>
            <w:tcW w:w="0" w:type="auto"/>
            <w:tcBorders>
              <w:bottom w:val="single" w:sz="4" w:space="0" w:color="auto"/>
            </w:tcBorders>
          </w:tcPr>
          <w:p w14:paraId="27D35D4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Plant height (cm)</w:t>
            </w:r>
          </w:p>
        </w:tc>
        <w:tc>
          <w:tcPr>
            <w:tcW w:w="0" w:type="auto"/>
            <w:tcBorders>
              <w:bottom w:val="single" w:sz="4" w:space="0" w:color="auto"/>
            </w:tcBorders>
          </w:tcPr>
          <w:p w14:paraId="72AE695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total tillers</w:t>
            </w:r>
          </w:p>
          <w:p w14:paraId="280B762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AC05BB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effective tillers</w:t>
            </w:r>
          </w:p>
          <w:p w14:paraId="208B08A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10D860C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non-effective tillers</w:t>
            </w:r>
          </w:p>
          <w:p w14:paraId="5804EE1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hill</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2F76C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Panicle length (cm)</w:t>
            </w:r>
          </w:p>
        </w:tc>
        <w:tc>
          <w:tcPr>
            <w:tcW w:w="0" w:type="auto"/>
            <w:tcBorders>
              <w:bottom w:val="single" w:sz="4" w:space="0" w:color="auto"/>
            </w:tcBorders>
          </w:tcPr>
          <w:p w14:paraId="47EC522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No. of grains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5018CCA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 xml:space="preserve">No. of sterile </w:t>
            </w:r>
            <w:proofErr w:type="spellStart"/>
            <w:r w:rsidRPr="00BF7004">
              <w:rPr>
                <w:rFonts w:ascii="Times New Roman" w:hAnsi="Times New Roman" w:cs="Times New Roman"/>
                <w:sz w:val="24"/>
                <w:szCs w:val="24"/>
              </w:rPr>
              <w:t>spikelets</w:t>
            </w:r>
            <w:proofErr w:type="spellEnd"/>
            <w:r w:rsidRPr="00BF7004">
              <w:rPr>
                <w:rFonts w:ascii="Times New Roman" w:hAnsi="Times New Roman" w:cs="Times New Roman"/>
                <w:sz w:val="24"/>
                <w:szCs w:val="24"/>
              </w:rPr>
              <w:t xml:space="preserve"> panicle</w:t>
            </w:r>
            <w:r w:rsidRPr="00BF7004">
              <w:rPr>
                <w:rFonts w:ascii="Times New Roman" w:hAnsi="Times New Roman" w:cs="Times New Roman"/>
                <w:sz w:val="24"/>
                <w:szCs w:val="24"/>
                <w:vertAlign w:val="superscript"/>
              </w:rPr>
              <w:t>-1</w:t>
            </w:r>
          </w:p>
        </w:tc>
        <w:tc>
          <w:tcPr>
            <w:tcW w:w="0" w:type="auto"/>
            <w:tcBorders>
              <w:bottom w:val="single" w:sz="4" w:space="0" w:color="auto"/>
            </w:tcBorders>
          </w:tcPr>
          <w:p w14:paraId="626F1F3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1000-grain weight (g)</w:t>
            </w:r>
          </w:p>
        </w:tc>
        <w:tc>
          <w:tcPr>
            <w:tcW w:w="0" w:type="auto"/>
            <w:tcBorders>
              <w:bottom w:val="single" w:sz="4" w:space="0" w:color="auto"/>
            </w:tcBorders>
          </w:tcPr>
          <w:p w14:paraId="5C0E76C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Biological yield</w:t>
            </w:r>
          </w:p>
          <w:p w14:paraId="31F051D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(t ha</w:t>
            </w:r>
            <w:r w:rsidRPr="00BF7004">
              <w:rPr>
                <w:rFonts w:ascii="Times New Roman" w:hAnsi="Times New Roman" w:cs="Times New Roman"/>
                <w:sz w:val="24"/>
                <w:szCs w:val="24"/>
                <w:vertAlign w:val="superscript"/>
              </w:rPr>
              <w:t>-1</w:t>
            </w:r>
            <w:r w:rsidRPr="00BF7004">
              <w:rPr>
                <w:rFonts w:ascii="Times New Roman" w:hAnsi="Times New Roman" w:cs="Times New Roman"/>
                <w:sz w:val="24"/>
                <w:szCs w:val="24"/>
              </w:rPr>
              <w:t>)</w:t>
            </w:r>
          </w:p>
        </w:tc>
        <w:tc>
          <w:tcPr>
            <w:tcW w:w="0" w:type="auto"/>
            <w:tcBorders>
              <w:bottom w:val="single" w:sz="4" w:space="0" w:color="auto"/>
            </w:tcBorders>
          </w:tcPr>
          <w:p w14:paraId="6B7F935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Harvest index (%)</w:t>
            </w:r>
          </w:p>
        </w:tc>
      </w:tr>
      <w:tr w:rsidR="00BF7004" w:rsidRPr="00BF7004" w14:paraId="4A802332" w14:textId="77777777" w:rsidTr="00450745">
        <w:trPr>
          <w:cantSplit/>
          <w:trHeight w:val="173"/>
          <w:jc w:val="center"/>
        </w:trPr>
        <w:tc>
          <w:tcPr>
            <w:tcW w:w="0" w:type="auto"/>
            <w:tcBorders>
              <w:top w:val="single" w:sz="4" w:space="0" w:color="auto"/>
            </w:tcBorders>
            <w:vAlign w:val="center"/>
          </w:tcPr>
          <w:p w14:paraId="3B3A6AC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V1</w:t>
            </w:r>
          </w:p>
        </w:tc>
        <w:tc>
          <w:tcPr>
            <w:tcW w:w="0" w:type="auto"/>
            <w:tcBorders>
              <w:top w:val="single" w:sz="4" w:space="0" w:color="auto"/>
            </w:tcBorders>
            <w:vAlign w:val="center"/>
          </w:tcPr>
          <w:p w14:paraId="4B1F889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102.63c</w:t>
            </w:r>
          </w:p>
        </w:tc>
        <w:tc>
          <w:tcPr>
            <w:tcW w:w="0" w:type="auto"/>
            <w:tcBorders>
              <w:top w:val="single" w:sz="4" w:space="0" w:color="auto"/>
            </w:tcBorders>
            <w:vAlign w:val="center"/>
          </w:tcPr>
          <w:p w14:paraId="13C723E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14.43a</w:t>
            </w:r>
          </w:p>
        </w:tc>
        <w:tc>
          <w:tcPr>
            <w:tcW w:w="0" w:type="auto"/>
            <w:tcBorders>
              <w:top w:val="single" w:sz="4" w:space="0" w:color="auto"/>
            </w:tcBorders>
            <w:vAlign w:val="center"/>
          </w:tcPr>
          <w:p w14:paraId="59BA219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single" w:sz="4" w:space="0" w:color="auto"/>
            </w:tcBorders>
            <w:vAlign w:val="center"/>
          </w:tcPr>
          <w:p w14:paraId="54A7D70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1.38b</w:t>
            </w:r>
          </w:p>
        </w:tc>
        <w:tc>
          <w:tcPr>
            <w:tcW w:w="0" w:type="auto"/>
            <w:tcBorders>
              <w:top w:val="single" w:sz="4" w:space="0" w:color="auto"/>
            </w:tcBorders>
            <w:vAlign w:val="center"/>
          </w:tcPr>
          <w:p w14:paraId="45F014D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23.00a</w:t>
            </w:r>
          </w:p>
        </w:tc>
        <w:tc>
          <w:tcPr>
            <w:tcW w:w="0" w:type="auto"/>
            <w:tcBorders>
              <w:top w:val="single" w:sz="4" w:space="0" w:color="auto"/>
            </w:tcBorders>
            <w:vAlign w:val="center"/>
          </w:tcPr>
          <w:p w14:paraId="265C168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141.33a</w:t>
            </w:r>
          </w:p>
        </w:tc>
        <w:tc>
          <w:tcPr>
            <w:tcW w:w="0" w:type="auto"/>
            <w:tcBorders>
              <w:top w:val="single" w:sz="4" w:space="0" w:color="auto"/>
            </w:tcBorders>
            <w:vAlign w:val="center"/>
          </w:tcPr>
          <w:p w14:paraId="35DA23F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12.65b</w:t>
            </w:r>
          </w:p>
        </w:tc>
        <w:tc>
          <w:tcPr>
            <w:tcW w:w="0" w:type="auto"/>
            <w:tcBorders>
              <w:top w:val="single" w:sz="4" w:space="0" w:color="auto"/>
            </w:tcBorders>
            <w:vAlign w:val="center"/>
          </w:tcPr>
          <w:p w14:paraId="0CA3C26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21.43a</w:t>
            </w:r>
          </w:p>
        </w:tc>
        <w:tc>
          <w:tcPr>
            <w:tcW w:w="0" w:type="auto"/>
            <w:tcBorders>
              <w:top w:val="single" w:sz="4" w:space="0" w:color="auto"/>
            </w:tcBorders>
            <w:vAlign w:val="center"/>
          </w:tcPr>
          <w:p w14:paraId="0164EDC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11.29a</w:t>
            </w:r>
          </w:p>
        </w:tc>
        <w:tc>
          <w:tcPr>
            <w:tcW w:w="0" w:type="auto"/>
            <w:tcBorders>
              <w:top w:val="single" w:sz="4" w:space="0" w:color="auto"/>
            </w:tcBorders>
            <w:vAlign w:val="center"/>
          </w:tcPr>
          <w:p w14:paraId="18031D1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45.94a</w:t>
            </w:r>
          </w:p>
        </w:tc>
      </w:tr>
      <w:tr w:rsidR="00BF7004" w:rsidRPr="00BF7004" w14:paraId="37B781B5" w14:textId="77777777" w:rsidTr="00450745">
        <w:trPr>
          <w:cantSplit/>
          <w:trHeight w:val="173"/>
          <w:jc w:val="center"/>
        </w:trPr>
        <w:tc>
          <w:tcPr>
            <w:tcW w:w="0" w:type="auto"/>
            <w:tcBorders>
              <w:top w:val="nil"/>
            </w:tcBorders>
            <w:vAlign w:val="center"/>
          </w:tcPr>
          <w:p w14:paraId="30D315B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V2</w:t>
            </w:r>
          </w:p>
        </w:tc>
        <w:tc>
          <w:tcPr>
            <w:tcW w:w="0" w:type="auto"/>
            <w:tcBorders>
              <w:top w:val="nil"/>
            </w:tcBorders>
            <w:vAlign w:val="center"/>
          </w:tcPr>
          <w:p w14:paraId="2CF4AF8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112.02a</w:t>
            </w:r>
          </w:p>
        </w:tc>
        <w:tc>
          <w:tcPr>
            <w:tcW w:w="0" w:type="auto"/>
            <w:tcBorders>
              <w:top w:val="nil"/>
            </w:tcBorders>
            <w:vAlign w:val="center"/>
          </w:tcPr>
          <w:p w14:paraId="41FD86C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11.50c</w:t>
            </w:r>
          </w:p>
        </w:tc>
        <w:tc>
          <w:tcPr>
            <w:tcW w:w="0" w:type="auto"/>
            <w:tcBorders>
              <w:top w:val="nil"/>
            </w:tcBorders>
            <w:vAlign w:val="center"/>
          </w:tcPr>
          <w:p w14:paraId="36298DB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10.07c</w:t>
            </w:r>
          </w:p>
        </w:tc>
        <w:tc>
          <w:tcPr>
            <w:tcW w:w="0" w:type="auto"/>
            <w:tcBorders>
              <w:top w:val="nil"/>
            </w:tcBorders>
            <w:vAlign w:val="center"/>
          </w:tcPr>
          <w:p w14:paraId="732E692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1.43ab</w:t>
            </w:r>
          </w:p>
        </w:tc>
        <w:tc>
          <w:tcPr>
            <w:tcW w:w="0" w:type="auto"/>
            <w:tcBorders>
              <w:top w:val="nil"/>
            </w:tcBorders>
            <w:vAlign w:val="center"/>
          </w:tcPr>
          <w:p w14:paraId="568464BE"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21.82c</w:t>
            </w:r>
          </w:p>
        </w:tc>
        <w:tc>
          <w:tcPr>
            <w:tcW w:w="0" w:type="auto"/>
            <w:tcBorders>
              <w:top w:val="nil"/>
            </w:tcBorders>
            <w:vAlign w:val="center"/>
          </w:tcPr>
          <w:p w14:paraId="30199EC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123.67c</w:t>
            </w:r>
          </w:p>
        </w:tc>
        <w:tc>
          <w:tcPr>
            <w:tcW w:w="0" w:type="auto"/>
            <w:tcBorders>
              <w:top w:val="nil"/>
            </w:tcBorders>
            <w:vAlign w:val="center"/>
          </w:tcPr>
          <w:p w14:paraId="61ECCBE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54580D3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19.76b</w:t>
            </w:r>
          </w:p>
        </w:tc>
        <w:tc>
          <w:tcPr>
            <w:tcW w:w="0" w:type="auto"/>
            <w:tcBorders>
              <w:top w:val="nil"/>
            </w:tcBorders>
            <w:vAlign w:val="center"/>
          </w:tcPr>
          <w:p w14:paraId="50FF500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10.13c</w:t>
            </w:r>
          </w:p>
        </w:tc>
        <w:tc>
          <w:tcPr>
            <w:tcW w:w="0" w:type="auto"/>
            <w:tcBorders>
              <w:top w:val="nil"/>
            </w:tcBorders>
            <w:vAlign w:val="center"/>
          </w:tcPr>
          <w:p w14:paraId="6DAD984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44.77c</w:t>
            </w:r>
          </w:p>
        </w:tc>
      </w:tr>
      <w:tr w:rsidR="00BF7004" w:rsidRPr="00BF7004" w14:paraId="564DEBA4" w14:textId="77777777" w:rsidTr="00450745">
        <w:trPr>
          <w:cantSplit/>
          <w:trHeight w:val="173"/>
          <w:jc w:val="center"/>
        </w:trPr>
        <w:tc>
          <w:tcPr>
            <w:tcW w:w="0" w:type="auto"/>
            <w:tcBorders>
              <w:top w:val="nil"/>
            </w:tcBorders>
            <w:vAlign w:val="center"/>
          </w:tcPr>
          <w:p w14:paraId="15F7D34D"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V3</w:t>
            </w:r>
          </w:p>
        </w:tc>
        <w:tc>
          <w:tcPr>
            <w:tcW w:w="0" w:type="auto"/>
            <w:tcBorders>
              <w:top w:val="nil"/>
            </w:tcBorders>
            <w:vAlign w:val="center"/>
          </w:tcPr>
          <w:p w14:paraId="5F71DC9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91.48d</w:t>
            </w:r>
          </w:p>
        </w:tc>
        <w:tc>
          <w:tcPr>
            <w:tcW w:w="0" w:type="auto"/>
            <w:tcBorders>
              <w:top w:val="nil"/>
            </w:tcBorders>
            <w:vAlign w:val="center"/>
          </w:tcPr>
          <w:p w14:paraId="2E280F0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11.48c</w:t>
            </w:r>
          </w:p>
        </w:tc>
        <w:tc>
          <w:tcPr>
            <w:tcW w:w="0" w:type="auto"/>
            <w:tcBorders>
              <w:top w:val="nil"/>
            </w:tcBorders>
            <w:vAlign w:val="center"/>
          </w:tcPr>
          <w:p w14:paraId="51D563A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10.03c</w:t>
            </w:r>
          </w:p>
        </w:tc>
        <w:tc>
          <w:tcPr>
            <w:tcW w:w="0" w:type="auto"/>
            <w:tcBorders>
              <w:top w:val="nil"/>
            </w:tcBorders>
            <w:vAlign w:val="center"/>
          </w:tcPr>
          <w:p w14:paraId="025CA48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1.45ab</w:t>
            </w:r>
          </w:p>
        </w:tc>
        <w:tc>
          <w:tcPr>
            <w:tcW w:w="0" w:type="auto"/>
            <w:tcBorders>
              <w:top w:val="nil"/>
            </w:tcBorders>
            <w:vAlign w:val="center"/>
          </w:tcPr>
          <w:p w14:paraId="3721BFD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22.45b</w:t>
            </w:r>
          </w:p>
        </w:tc>
        <w:tc>
          <w:tcPr>
            <w:tcW w:w="0" w:type="auto"/>
            <w:tcBorders>
              <w:top w:val="nil"/>
            </w:tcBorders>
            <w:vAlign w:val="center"/>
          </w:tcPr>
          <w:p w14:paraId="24C9764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123.53c</w:t>
            </w:r>
          </w:p>
        </w:tc>
        <w:tc>
          <w:tcPr>
            <w:tcW w:w="0" w:type="auto"/>
            <w:tcBorders>
              <w:top w:val="nil"/>
            </w:tcBorders>
            <w:vAlign w:val="center"/>
          </w:tcPr>
          <w:p w14:paraId="5FCC0E4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12.88ab</w:t>
            </w:r>
          </w:p>
        </w:tc>
        <w:tc>
          <w:tcPr>
            <w:tcW w:w="0" w:type="auto"/>
            <w:tcBorders>
              <w:top w:val="nil"/>
            </w:tcBorders>
            <w:vAlign w:val="center"/>
          </w:tcPr>
          <w:p w14:paraId="324BF33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19.47c</w:t>
            </w:r>
          </w:p>
        </w:tc>
        <w:tc>
          <w:tcPr>
            <w:tcW w:w="0" w:type="auto"/>
            <w:tcBorders>
              <w:top w:val="nil"/>
            </w:tcBorders>
            <w:vAlign w:val="center"/>
          </w:tcPr>
          <w:p w14:paraId="26BE346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9.88d</w:t>
            </w:r>
          </w:p>
        </w:tc>
        <w:tc>
          <w:tcPr>
            <w:tcW w:w="0" w:type="auto"/>
            <w:tcBorders>
              <w:top w:val="nil"/>
            </w:tcBorders>
            <w:vAlign w:val="center"/>
          </w:tcPr>
          <w:p w14:paraId="69ED792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45.32b</w:t>
            </w:r>
          </w:p>
        </w:tc>
      </w:tr>
      <w:tr w:rsidR="00BF7004" w:rsidRPr="00BF7004" w14:paraId="3EF9026B" w14:textId="77777777" w:rsidTr="00450745">
        <w:trPr>
          <w:cantSplit/>
          <w:trHeight w:val="173"/>
          <w:jc w:val="center"/>
        </w:trPr>
        <w:tc>
          <w:tcPr>
            <w:tcW w:w="0" w:type="auto"/>
            <w:tcBorders>
              <w:top w:val="nil"/>
              <w:bottom w:val="single" w:sz="4" w:space="0" w:color="auto"/>
            </w:tcBorders>
            <w:vAlign w:val="center"/>
          </w:tcPr>
          <w:p w14:paraId="0655D2F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V4</w:t>
            </w:r>
          </w:p>
        </w:tc>
        <w:tc>
          <w:tcPr>
            <w:tcW w:w="0" w:type="auto"/>
            <w:tcBorders>
              <w:top w:val="nil"/>
              <w:bottom w:val="single" w:sz="4" w:space="0" w:color="auto"/>
            </w:tcBorders>
            <w:vAlign w:val="center"/>
          </w:tcPr>
          <w:p w14:paraId="258A0B4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110.92b</w:t>
            </w:r>
          </w:p>
        </w:tc>
        <w:tc>
          <w:tcPr>
            <w:tcW w:w="0" w:type="auto"/>
            <w:tcBorders>
              <w:top w:val="nil"/>
              <w:bottom w:val="single" w:sz="4" w:space="0" w:color="auto"/>
            </w:tcBorders>
            <w:vAlign w:val="center"/>
          </w:tcPr>
          <w:p w14:paraId="3BE0086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13.33b</w:t>
            </w:r>
          </w:p>
        </w:tc>
        <w:tc>
          <w:tcPr>
            <w:tcW w:w="0" w:type="auto"/>
            <w:tcBorders>
              <w:top w:val="nil"/>
              <w:bottom w:val="single" w:sz="4" w:space="0" w:color="auto"/>
            </w:tcBorders>
            <w:vAlign w:val="center"/>
          </w:tcPr>
          <w:p w14:paraId="1CAE135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11.83b</w:t>
            </w:r>
          </w:p>
        </w:tc>
        <w:tc>
          <w:tcPr>
            <w:tcW w:w="0" w:type="auto"/>
            <w:tcBorders>
              <w:top w:val="nil"/>
              <w:bottom w:val="single" w:sz="4" w:space="0" w:color="auto"/>
            </w:tcBorders>
            <w:vAlign w:val="center"/>
          </w:tcPr>
          <w:p w14:paraId="5D28702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1.48a</w:t>
            </w:r>
          </w:p>
        </w:tc>
        <w:tc>
          <w:tcPr>
            <w:tcW w:w="0" w:type="auto"/>
            <w:tcBorders>
              <w:top w:val="nil"/>
              <w:bottom w:val="single" w:sz="4" w:space="0" w:color="auto"/>
            </w:tcBorders>
            <w:vAlign w:val="center"/>
          </w:tcPr>
          <w:p w14:paraId="736384E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22.70ab</w:t>
            </w:r>
          </w:p>
        </w:tc>
        <w:tc>
          <w:tcPr>
            <w:tcW w:w="0" w:type="auto"/>
            <w:tcBorders>
              <w:top w:val="nil"/>
              <w:bottom w:val="single" w:sz="4" w:space="0" w:color="auto"/>
            </w:tcBorders>
            <w:vAlign w:val="center"/>
          </w:tcPr>
          <w:p w14:paraId="4BEF3C2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140.12b</w:t>
            </w:r>
          </w:p>
        </w:tc>
        <w:tc>
          <w:tcPr>
            <w:tcW w:w="0" w:type="auto"/>
            <w:tcBorders>
              <w:top w:val="nil"/>
              <w:bottom w:val="single" w:sz="4" w:space="0" w:color="auto"/>
            </w:tcBorders>
            <w:vAlign w:val="center"/>
          </w:tcPr>
          <w:p w14:paraId="33E2BB7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13.05a</w:t>
            </w:r>
          </w:p>
        </w:tc>
        <w:tc>
          <w:tcPr>
            <w:tcW w:w="0" w:type="auto"/>
            <w:tcBorders>
              <w:top w:val="nil"/>
              <w:bottom w:val="single" w:sz="4" w:space="0" w:color="auto"/>
            </w:tcBorders>
            <w:vAlign w:val="center"/>
          </w:tcPr>
          <w:p w14:paraId="1C3FB422"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20.47b</w:t>
            </w:r>
          </w:p>
        </w:tc>
        <w:tc>
          <w:tcPr>
            <w:tcW w:w="0" w:type="auto"/>
            <w:tcBorders>
              <w:top w:val="nil"/>
              <w:bottom w:val="single" w:sz="4" w:space="0" w:color="auto"/>
            </w:tcBorders>
            <w:vAlign w:val="center"/>
          </w:tcPr>
          <w:p w14:paraId="52EE2A4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10.93b</w:t>
            </w:r>
          </w:p>
        </w:tc>
        <w:tc>
          <w:tcPr>
            <w:tcW w:w="0" w:type="auto"/>
            <w:tcBorders>
              <w:top w:val="nil"/>
              <w:bottom w:val="single" w:sz="4" w:space="0" w:color="auto"/>
            </w:tcBorders>
            <w:vAlign w:val="center"/>
          </w:tcPr>
          <w:p w14:paraId="15D8F34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45.47b</w:t>
            </w:r>
          </w:p>
        </w:tc>
      </w:tr>
      <w:tr w:rsidR="00BF7004" w:rsidRPr="00BF7004" w14:paraId="3CC303B1" w14:textId="77777777" w:rsidTr="00450745">
        <w:trPr>
          <w:cantSplit/>
          <w:trHeight w:val="173"/>
          <w:jc w:val="center"/>
        </w:trPr>
        <w:tc>
          <w:tcPr>
            <w:tcW w:w="0" w:type="auto"/>
            <w:tcBorders>
              <w:top w:val="single" w:sz="4" w:space="0" w:color="auto"/>
              <w:bottom w:val="nil"/>
            </w:tcBorders>
            <w:vAlign w:val="center"/>
          </w:tcPr>
          <w:p w14:paraId="71DE9BBC" w14:textId="77777777" w:rsidR="008C2FF2" w:rsidRPr="00BF7004" w:rsidRDefault="008C2FF2" w:rsidP="00450745">
            <w:pPr>
              <w:spacing w:line="259" w:lineRule="auto"/>
              <w:jc w:val="cente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rPr>
              <w:t>x</w:t>
            </w:r>
            <w:proofErr w:type="spellEnd"/>
            <w:r w:rsidRPr="00BF7004">
              <w:rPr>
                <w:rFonts w:ascii="Times New Roman" w:hAnsi="Times New Roman" w:cs="Times New Roman"/>
                <w:bCs/>
                <w:sz w:val="24"/>
                <w:szCs w:val="24"/>
              </w:rPr>
              <w:t>̄</w:t>
            </w:r>
          </w:p>
        </w:tc>
        <w:tc>
          <w:tcPr>
            <w:tcW w:w="0" w:type="auto"/>
            <w:tcBorders>
              <w:top w:val="single" w:sz="4" w:space="0" w:color="auto"/>
              <w:bottom w:val="nil"/>
            </w:tcBorders>
            <w:vAlign w:val="center"/>
          </w:tcPr>
          <w:p w14:paraId="04096579"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4.75</w:t>
            </w:r>
          </w:p>
        </w:tc>
        <w:tc>
          <w:tcPr>
            <w:tcW w:w="0" w:type="auto"/>
            <w:tcBorders>
              <w:top w:val="single" w:sz="4" w:space="0" w:color="auto"/>
              <w:bottom w:val="nil"/>
            </w:tcBorders>
            <w:vAlign w:val="center"/>
          </w:tcPr>
          <w:p w14:paraId="7786954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0119486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0.73</w:t>
            </w:r>
          </w:p>
        </w:tc>
        <w:tc>
          <w:tcPr>
            <w:tcW w:w="0" w:type="auto"/>
            <w:tcBorders>
              <w:top w:val="single" w:sz="4" w:space="0" w:color="auto"/>
              <w:bottom w:val="nil"/>
            </w:tcBorders>
            <w:vAlign w:val="center"/>
          </w:tcPr>
          <w:p w14:paraId="41FAF36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0.02</w:t>
            </w:r>
          </w:p>
        </w:tc>
        <w:tc>
          <w:tcPr>
            <w:tcW w:w="0" w:type="auto"/>
            <w:tcBorders>
              <w:top w:val="single" w:sz="4" w:space="0" w:color="auto"/>
              <w:bottom w:val="nil"/>
            </w:tcBorders>
            <w:vAlign w:val="center"/>
          </w:tcPr>
          <w:p w14:paraId="53579BE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0.25</w:t>
            </w:r>
          </w:p>
        </w:tc>
        <w:tc>
          <w:tcPr>
            <w:tcW w:w="0" w:type="auto"/>
            <w:tcBorders>
              <w:top w:val="single" w:sz="4" w:space="0" w:color="auto"/>
              <w:bottom w:val="nil"/>
            </w:tcBorders>
            <w:vAlign w:val="center"/>
          </w:tcPr>
          <w:p w14:paraId="630556D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4.95</w:t>
            </w:r>
          </w:p>
        </w:tc>
        <w:tc>
          <w:tcPr>
            <w:tcW w:w="0" w:type="auto"/>
            <w:tcBorders>
              <w:top w:val="single" w:sz="4" w:space="0" w:color="auto"/>
              <w:bottom w:val="nil"/>
            </w:tcBorders>
            <w:vAlign w:val="center"/>
          </w:tcPr>
          <w:p w14:paraId="5EE1797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0.08</w:t>
            </w:r>
          </w:p>
        </w:tc>
        <w:tc>
          <w:tcPr>
            <w:tcW w:w="0" w:type="auto"/>
            <w:tcBorders>
              <w:top w:val="single" w:sz="4" w:space="0" w:color="auto"/>
              <w:bottom w:val="nil"/>
            </w:tcBorders>
            <w:vAlign w:val="center"/>
          </w:tcPr>
          <w:p w14:paraId="0AFD40F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0.44</w:t>
            </w:r>
          </w:p>
        </w:tc>
        <w:tc>
          <w:tcPr>
            <w:tcW w:w="0" w:type="auto"/>
            <w:tcBorders>
              <w:top w:val="single" w:sz="4" w:space="0" w:color="auto"/>
              <w:bottom w:val="nil"/>
            </w:tcBorders>
            <w:vAlign w:val="center"/>
          </w:tcPr>
          <w:p w14:paraId="30B1234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0.33</w:t>
            </w:r>
          </w:p>
        </w:tc>
        <w:tc>
          <w:tcPr>
            <w:tcW w:w="0" w:type="auto"/>
            <w:tcBorders>
              <w:top w:val="single" w:sz="4" w:space="0" w:color="auto"/>
              <w:bottom w:val="nil"/>
            </w:tcBorders>
            <w:vAlign w:val="center"/>
          </w:tcPr>
          <w:p w14:paraId="16A46BA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0.24</w:t>
            </w:r>
          </w:p>
        </w:tc>
      </w:tr>
      <w:tr w:rsidR="00BF7004" w:rsidRPr="00BF7004" w14:paraId="200C6C4D" w14:textId="77777777" w:rsidTr="00450745">
        <w:trPr>
          <w:cantSplit/>
          <w:trHeight w:val="173"/>
          <w:jc w:val="center"/>
        </w:trPr>
        <w:tc>
          <w:tcPr>
            <w:tcW w:w="0" w:type="auto"/>
            <w:tcBorders>
              <w:top w:val="nil"/>
              <w:bottom w:val="nil"/>
            </w:tcBorders>
            <w:vAlign w:val="center"/>
          </w:tcPr>
          <w:p w14:paraId="20717A37"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vAlign w:val="center"/>
          </w:tcPr>
          <w:p w14:paraId="3C6A4C7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503A1A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075D879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A288D3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0BE687F"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53BBB118"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6285C15B"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40579F84"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7C8F748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vAlign w:val="center"/>
          </w:tcPr>
          <w:p w14:paraId="2676364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4E1E8F90" w14:textId="77777777" w:rsidTr="00450745">
        <w:trPr>
          <w:cantSplit/>
          <w:trHeight w:val="173"/>
          <w:jc w:val="center"/>
        </w:trPr>
        <w:tc>
          <w:tcPr>
            <w:tcW w:w="0" w:type="auto"/>
            <w:tcBorders>
              <w:top w:val="nil"/>
              <w:bottom w:val="single" w:sz="4" w:space="0" w:color="auto"/>
            </w:tcBorders>
            <w:vAlign w:val="center"/>
          </w:tcPr>
          <w:p w14:paraId="17A3962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vAlign w:val="center"/>
          </w:tcPr>
          <w:p w14:paraId="79C3F0E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vAlign w:val="center"/>
          </w:tcPr>
          <w:p w14:paraId="6CFE3B4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vAlign w:val="center"/>
          </w:tcPr>
          <w:p w14:paraId="70357081"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vAlign w:val="center"/>
          </w:tcPr>
          <w:p w14:paraId="4D29F0F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vAlign w:val="center"/>
          </w:tcPr>
          <w:p w14:paraId="5D0ED195"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vAlign w:val="center"/>
          </w:tcPr>
          <w:p w14:paraId="1C8B1966"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vAlign w:val="center"/>
          </w:tcPr>
          <w:p w14:paraId="1F5A107C"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2.04</w:t>
            </w:r>
          </w:p>
        </w:tc>
        <w:tc>
          <w:tcPr>
            <w:tcW w:w="0" w:type="auto"/>
            <w:tcBorders>
              <w:top w:val="nil"/>
              <w:bottom w:val="single" w:sz="4" w:space="0" w:color="auto"/>
            </w:tcBorders>
            <w:vAlign w:val="center"/>
          </w:tcPr>
          <w:p w14:paraId="5D3721E3"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1.28</w:t>
            </w:r>
          </w:p>
        </w:tc>
        <w:tc>
          <w:tcPr>
            <w:tcW w:w="0" w:type="auto"/>
            <w:tcBorders>
              <w:top w:val="nil"/>
              <w:bottom w:val="single" w:sz="4" w:space="0" w:color="auto"/>
            </w:tcBorders>
            <w:vAlign w:val="center"/>
          </w:tcPr>
          <w:p w14:paraId="271BEE30"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vAlign w:val="center"/>
          </w:tcPr>
          <w:p w14:paraId="758D706A" w14:textId="77777777" w:rsidR="008C2FF2" w:rsidRPr="00BF7004" w:rsidRDefault="008C2FF2" w:rsidP="00450745">
            <w:pPr>
              <w:spacing w:line="259" w:lineRule="auto"/>
              <w:jc w:val="center"/>
              <w:rPr>
                <w:rFonts w:ascii="Times New Roman" w:hAnsi="Times New Roman" w:cs="Times New Roman"/>
                <w:sz w:val="24"/>
                <w:szCs w:val="24"/>
              </w:rPr>
            </w:pPr>
            <w:r w:rsidRPr="00BF7004">
              <w:rPr>
                <w:rFonts w:ascii="Times New Roman" w:hAnsi="Times New Roman" w:cs="Times New Roman"/>
                <w:sz w:val="24"/>
                <w:szCs w:val="24"/>
              </w:rPr>
              <w:t>0.74</w:t>
            </w:r>
          </w:p>
        </w:tc>
      </w:tr>
      <w:tr w:rsidR="008C2FF2" w:rsidRPr="00BF7004" w14:paraId="2A659C3D" w14:textId="77777777" w:rsidTr="00450745">
        <w:trPr>
          <w:cantSplit/>
          <w:trHeight w:val="173"/>
          <w:jc w:val="center"/>
        </w:trPr>
        <w:tc>
          <w:tcPr>
            <w:tcW w:w="0" w:type="auto"/>
            <w:gridSpan w:val="11"/>
            <w:tcBorders>
              <w:top w:val="single" w:sz="4" w:space="0" w:color="auto"/>
              <w:bottom w:val="nil"/>
            </w:tcBorders>
            <w:vAlign w:val="center"/>
          </w:tcPr>
          <w:p w14:paraId="0576674D" w14:textId="77777777" w:rsidR="008C2FF2" w:rsidRPr="00BF7004" w:rsidRDefault="008C2FF2" w:rsidP="00450745">
            <w:pPr>
              <w:rPr>
                <w:rFonts w:ascii="Times New Roman" w:hAnsi="Times New Roman" w:cs="Times New Roman"/>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eans with the same letters within the same column do not differ significantly; ** = Significant at 1% level of probability, * = Significant at 5% level of probability; V1 = BRRI dhan49; V2 = BRRI dhan52; V3 = Binadhan-7; V4 = BR11</w:t>
            </w:r>
          </w:p>
        </w:tc>
      </w:tr>
    </w:tbl>
    <w:p w14:paraId="17278A88" w14:textId="77777777" w:rsidR="008C2FF2" w:rsidRPr="00BF7004" w:rsidRDefault="008C2FF2" w:rsidP="008C2FF2">
      <w:pPr>
        <w:rPr>
          <w:rFonts w:cs="Times New Roman"/>
          <w:szCs w:val="24"/>
        </w:rPr>
      </w:pPr>
    </w:p>
    <w:p w14:paraId="62FA49FD" w14:textId="77777777" w:rsidR="008C2FF2" w:rsidRPr="00BF7004" w:rsidRDefault="008C2FF2" w:rsidP="008C2FF2">
      <w:pPr>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36F54CCC" w14:textId="04A9A1E7" w:rsidR="008C2FF2" w:rsidRPr="00BF7004" w:rsidRDefault="008C2FF2" w:rsidP="008C2FF2">
      <w:pPr>
        <w:spacing w:before="240" w:after="0" w:line="276" w:lineRule="auto"/>
        <w:jc w:val="center"/>
        <w:rPr>
          <w:rFonts w:cs="Times New Roman"/>
          <w:b/>
          <w:szCs w:val="24"/>
        </w:rPr>
      </w:pPr>
      <w:r w:rsidRPr="00BF7004">
        <w:rPr>
          <w:rFonts w:cs="Times New Roman"/>
          <w:noProof/>
          <w:szCs w:val="24"/>
        </w:rPr>
        <w:lastRenderedPageBreak/>
        <w:drawing>
          <wp:anchor distT="0" distB="0" distL="114300" distR="114300" simplePos="0" relativeHeight="251661312" behindDoc="1" locked="0" layoutInCell="1" allowOverlap="1" wp14:anchorId="6C1D6F57" wp14:editId="60FBFF83">
            <wp:simplePos x="0" y="0"/>
            <wp:positionH relativeFrom="margin">
              <wp:align>center</wp:align>
            </wp:positionH>
            <wp:positionV relativeFrom="paragraph">
              <wp:posOffset>520</wp:posOffset>
            </wp:positionV>
            <wp:extent cx="4572000" cy="274320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BF7004">
        <w:rPr>
          <w:rFonts w:cs="Times New Roman"/>
          <w:b/>
          <w:szCs w:val="24"/>
        </w:rPr>
        <w:t xml:space="preserve">Figure 1. </w:t>
      </w:r>
      <w:r w:rsidR="007124DA">
        <w:rPr>
          <w:rFonts w:cs="Times New Roman"/>
          <w:b/>
          <w:szCs w:val="24"/>
        </w:rPr>
        <w:t>Effect of variety on y</w:t>
      </w:r>
      <w:r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Pr="00BF7004">
        <w:rPr>
          <w:rFonts w:cs="Times New Roman"/>
          <w:b/>
          <w:szCs w:val="24"/>
        </w:rPr>
        <w:t xml:space="preserve">rice </w:t>
      </w:r>
      <w:r w:rsidR="007124DA">
        <w:rPr>
          <w:rFonts w:cs="Times New Roman"/>
          <w:b/>
          <w:szCs w:val="24"/>
        </w:rPr>
        <w:t xml:space="preserve">(Vertical bar represents the </w:t>
      </w:r>
      <w:r w:rsidR="00856DA0">
        <w:rPr>
          <w:rFonts w:cs="Times New Roman"/>
          <w:b/>
          <w:szCs w:val="24"/>
        </w:rPr>
        <w:t>Least Significant Difference (</w:t>
      </w:r>
      <w:r w:rsidR="007124DA">
        <w:rPr>
          <w:rFonts w:cs="Times New Roman"/>
          <w:b/>
          <w:szCs w:val="24"/>
        </w:rPr>
        <w:t>LSD</w:t>
      </w:r>
      <w:r w:rsidR="00856DA0">
        <w:rPr>
          <w:rFonts w:cs="Times New Roman"/>
          <w:b/>
          <w:szCs w:val="24"/>
        </w:rPr>
        <w:t>)</w:t>
      </w:r>
      <w:r w:rsidR="007124DA">
        <w:rPr>
          <w:rFonts w:cs="Times New Roman"/>
          <w:b/>
          <w:szCs w:val="24"/>
        </w:rPr>
        <w:t xml:space="preserve"> value at 1%)</w:t>
      </w:r>
    </w:p>
    <w:p w14:paraId="7B8FF86F" w14:textId="77777777" w:rsidR="008C2FF2" w:rsidRPr="00BF7004" w:rsidRDefault="008C2FF2" w:rsidP="008C2FF2">
      <w:pPr>
        <w:spacing w:after="0" w:line="276" w:lineRule="auto"/>
        <w:jc w:val="center"/>
        <w:rPr>
          <w:rFonts w:cs="Times New Roman"/>
          <w:b/>
          <w:szCs w:val="24"/>
        </w:rPr>
      </w:pPr>
      <w:r w:rsidRPr="00BF7004">
        <w:rPr>
          <w:rFonts w:cs="Times New Roman"/>
          <w:bCs/>
          <w:szCs w:val="24"/>
        </w:rPr>
        <w:t>Here, V1 = BRRI</w:t>
      </w:r>
      <w:r w:rsidRPr="00BF7004">
        <w:rPr>
          <w:rFonts w:cs="Times New Roman"/>
          <w:szCs w:val="24"/>
        </w:rPr>
        <w:t xml:space="preserve"> dhan49; V2 = BRRI dhan52; V3 = Binadhan-7; V4 = BR11</w:t>
      </w:r>
    </w:p>
    <w:p w14:paraId="5D3AC1B8" w14:textId="77777777" w:rsidR="008C2FF2" w:rsidRPr="00BF7004" w:rsidRDefault="008C2FF2" w:rsidP="008C2FF2">
      <w:pPr>
        <w:spacing w:after="0" w:line="276" w:lineRule="auto"/>
        <w:jc w:val="both"/>
        <w:rPr>
          <w:rFonts w:cs="Times New Roman"/>
          <w:szCs w:val="24"/>
        </w:rPr>
      </w:pPr>
    </w:p>
    <w:p w14:paraId="32269260" w14:textId="74DE9292" w:rsidR="008C2FF2" w:rsidRPr="00BF7004" w:rsidRDefault="008C2FF2" w:rsidP="008C2FF2">
      <w:pPr>
        <w:autoSpaceDE w:val="0"/>
        <w:autoSpaceDN w:val="0"/>
        <w:adjustRightInd w:val="0"/>
        <w:spacing w:line="276" w:lineRule="auto"/>
        <w:jc w:val="both"/>
        <w:rPr>
          <w:rFonts w:cs="Times New Roman"/>
          <w:b/>
          <w:bCs/>
          <w:szCs w:val="24"/>
        </w:rPr>
      </w:pPr>
      <w:bookmarkStart w:id="1" w:name="_Hlk203789978"/>
      <w:r w:rsidRPr="00BF7004">
        <w:rPr>
          <w:rFonts w:cs="Times New Roman"/>
          <w:b/>
          <w:szCs w:val="24"/>
        </w:rPr>
        <w:t>Effect of planting method</w:t>
      </w:r>
      <w:r w:rsidR="000031BC" w:rsidRPr="00BF7004">
        <w:rPr>
          <w:rFonts w:cs="Times New Roman"/>
          <w:b/>
          <w:szCs w:val="24"/>
        </w:rPr>
        <w:t>s</w:t>
      </w:r>
      <w:r w:rsidRPr="00BF7004">
        <w:rPr>
          <w:rFonts w:cs="Times New Roman"/>
          <w:b/>
          <w:szCs w:val="24"/>
        </w:rPr>
        <w:t xml:space="preserve"> on different </w:t>
      </w:r>
      <w:r w:rsidRPr="00BF7004">
        <w:rPr>
          <w:rFonts w:cs="Times New Roman"/>
          <w:b/>
          <w:bCs/>
          <w:szCs w:val="24"/>
        </w:rPr>
        <w:t>yield parameters</w:t>
      </w:r>
    </w:p>
    <w:p w14:paraId="0971B660" w14:textId="14E4EABC" w:rsidR="008C2FF2" w:rsidRPr="00BF7004" w:rsidRDefault="008C2FF2" w:rsidP="00764A50">
      <w:pPr>
        <w:autoSpaceDE w:val="0"/>
        <w:autoSpaceDN w:val="0"/>
        <w:adjustRightInd w:val="0"/>
        <w:spacing w:after="0" w:line="276" w:lineRule="auto"/>
        <w:jc w:val="both"/>
        <w:rPr>
          <w:rFonts w:cs="Times New Roman"/>
          <w:szCs w:val="24"/>
        </w:rPr>
      </w:pPr>
      <w:r w:rsidRPr="00BF7004">
        <w:rPr>
          <w:rFonts w:cs="Times New Roman"/>
          <w:szCs w:val="24"/>
        </w:rPr>
        <w:t xml:space="preserve">The raised bed planting method (P1) consistently outperformed the conventional line transplanting method (P2) for most growth, yield, and yield-contributing traits of </w:t>
      </w:r>
      <w:r w:rsidR="00856DA0" w:rsidRPr="00BF7004">
        <w:rPr>
          <w:rFonts w:cs="Times New Roman"/>
        </w:rPr>
        <w:t xml:space="preserve">T. Aman </w:t>
      </w:r>
      <w:r w:rsidRPr="00BF7004">
        <w:rPr>
          <w:rFonts w:cs="Times New Roman"/>
          <w:szCs w:val="24"/>
        </w:rPr>
        <w:t>rice (Table 2).</w:t>
      </w:r>
      <w:r w:rsidR="00764A50">
        <w:rPr>
          <w:rFonts w:cs="Times New Roman"/>
          <w:szCs w:val="24"/>
        </w:rPr>
        <w:t xml:space="preserve"> </w:t>
      </w:r>
      <w:r w:rsidRPr="00BF7004">
        <w:rPr>
          <w:rFonts w:cs="Times New Roman"/>
          <w:szCs w:val="24"/>
        </w:rPr>
        <w:t>Plant height was slightly higher in the raised bed method (104.52 cm) than in the conventional method (104.01 cm) (Table 2). No. of total tillers hill</w:t>
      </w:r>
      <w:r w:rsidRPr="00BF7004">
        <w:rPr>
          <w:rFonts w:cs="Times New Roman"/>
          <w:szCs w:val="24"/>
          <w:vertAlign w:val="superscript"/>
        </w:rPr>
        <w:t>-1</w:t>
      </w:r>
      <w:r w:rsidRPr="00BF7004">
        <w:rPr>
          <w:rFonts w:cs="Times New Roman"/>
          <w:szCs w:val="24"/>
        </w:rPr>
        <w:t xml:space="preserve"> increased from 12.36 to 13.01, and No. of effective tillers hill</w:t>
      </w:r>
      <w:r w:rsidRPr="00BF7004">
        <w:rPr>
          <w:rFonts w:cs="Times New Roman"/>
          <w:szCs w:val="24"/>
          <w:vertAlign w:val="superscript"/>
        </w:rPr>
        <w:t>-1</w:t>
      </w:r>
      <w:r w:rsidRPr="00BF7004">
        <w:rPr>
          <w:rFonts w:cs="Times New Roman"/>
          <w:szCs w:val="24"/>
        </w:rPr>
        <w:t xml:space="preserve"> from 10.79 to 11.69. The number of non-effective tillers was lower in raised beds (1.32) compared to the conventional system (1.56).</w:t>
      </w:r>
      <w:r w:rsidR="00856DA0">
        <w:rPr>
          <w:rFonts w:cs="Times New Roman"/>
          <w:szCs w:val="24"/>
        </w:rPr>
        <w:t xml:space="preserve"> </w:t>
      </w:r>
      <w:r w:rsidRPr="00BF7004">
        <w:rPr>
          <w:rFonts w:cs="Times New Roman"/>
          <w:szCs w:val="24"/>
        </w:rPr>
        <w:t>Panicle length was higher in the raised bed system (23.02 cm) than in conventional planting (21.97 cm). Consequently, No. of grains panicle</w:t>
      </w:r>
      <w:r w:rsidRPr="00BF7004">
        <w:rPr>
          <w:rFonts w:cs="Times New Roman"/>
          <w:szCs w:val="24"/>
          <w:vertAlign w:val="superscript"/>
        </w:rPr>
        <w:t>-1</w:t>
      </w:r>
      <w:r w:rsidRPr="00BF7004">
        <w:rPr>
          <w:rFonts w:cs="Times New Roman"/>
          <w:szCs w:val="24"/>
        </w:rPr>
        <w:t xml:space="preserve"> also increased from 130.39 to 133.93 while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reduced in raised beds (11.52) compared to the conventional method (14.22). The 1000-grain weight was slightly higher in raised beds (20.44 g) than in conventional planting (20.12 g).</w:t>
      </w:r>
      <w:r w:rsidR="00856DA0">
        <w:rPr>
          <w:rFonts w:cs="Times New Roman"/>
          <w:szCs w:val="24"/>
        </w:rPr>
        <w:t xml:space="preserve"> </w:t>
      </w:r>
      <w:r w:rsidRPr="00BF7004">
        <w:rPr>
          <w:rFonts w:cs="Times New Roman"/>
          <w:szCs w:val="24"/>
        </w:rPr>
        <w:t>Grain yield increased significantly from 4.58 to 5.01 t/ha under the raised bed method. Straw yield rose from 5.57 to 5.95 t/ha, and biological yield from 10.15 to 10.96 t/ha. The harvest index also improved slightly, from 45.10% in conventional method to 45.64% in raised beds (Figure 2; Table 2).</w:t>
      </w:r>
      <w:bookmarkEnd w:id="1"/>
    </w:p>
    <w:p w14:paraId="6A6E4129" w14:textId="77777777" w:rsidR="008C2FF2" w:rsidRPr="00BF7004" w:rsidRDefault="008C2FF2" w:rsidP="008C2FF2">
      <w:pPr>
        <w:autoSpaceDE w:val="0"/>
        <w:autoSpaceDN w:val="0"/>
        <w:adjustRightInd w:val="0"/>
        <w:spacing w:after="0" w:line="276" w:lineRule="auto"/>
        <w:jc w:val="both"/>
        <w:rPr>
          <w:rFonts w:cs="Times New Roman"/>
          <w:b/>
          <w:bCs/>
          <w:szCs w:val="24"/>
        </w:rPr>
      </w:pPr>
    </w:p>
    <w:p w14:paraId="22C6BC41" w14:textId="77777777" w:rsidR="008C2FF2" w:rsidRPr="00BF7004" w:rsidRDefault="008C2FF2" w:rsidP="008C2FF2">
      <w:pPr>
        <w:spacing w:after="0" w:line="276" w:lineRule="auto"/>
        <w:jc w:val="both"/>
        <w:rPr>
          <w:rFonts w:cs="Times New Roman"/>
          <w:b/>
          <w:bCs/>
          <w:szCs w:val="24"/>
        </w:rPr>
        <w:sectPr w:rsidR="008C2FF2" w:rsidRPr="00BF7004" w:rsidSect="008C2FF2">
          <w:pgSz w:w="12240" w:h="15840"/>
          <w:pgMar w:top="1440" w:right="1440" w:bottom="1440" w:left="1440" w:header="720" w:footer="720" w:gutter="0"/>
          <w:cols w:space="720"/>
          <w:docGrid w:linePitch="360"/>
        </w:sectPr>
      </w:pPr>
    </w:p>
    <w:p w14:paraId="3D30D4D7" w14:textId="22AE9825" w:rsidR="008C2FF2" w:rsidRPr="00BF7004" w:rsidRDefault="008C2FF2" w:rsidP="008C2FF2">
      <w:pPr>
        <w:spacing w:after="0" w:line="276" w:lineRule="auto"/>
        <w:jc w:val="both"/>
        <w:rPr>
          <w:rFonts w:cs="Times New Roman"/>
          <w:b/>
          <w:bCs/>
          <w:szCs w:val="24"/>
        </w:rPr>
      </w:pPr>
      <w:r w:rsidRPr="00BF7004">
        <w:rPr>
          <w:rFonts w:cs="Times New Roman"/>
          <w:b/>
          <w:bCs/>
          <w:szCs w:val="24"/>
        </w:rPr>
        <w:lastRenderedPageBreak/>
        <w:t xml:space="preserve">Table 2. Effect of cultivation methods on yield attributes and yield of </w:t>
      </w:r>
      <w:r w:rsidR="00856DA0" w:rsidRPr="00856DA0">
        <w:rPr>
          <w:rFonts w:cs="Times New Roman"/>
          <w:b/>
          <w:bCs/>
        </w:rPr>
        <w:t>T. Aman</w:t>
      </w:r>
      <w:r w:rsidR="00856DA0" w:rsidRPr="00BF7004">
        <w:rPr>
          <w:rFonts w:cs="Times New Roman"/>
        </w:rPr>
        <w:t xml:space="preserve"> </w:t>
      </w:r>
      <w:r w:rsidRPr="00BF7004">
        <w:rPr>
          <w:rFonts w:cs="Times New Roman"/>
          <w:b/>
          <w:bCs/>
          <w:szCs w:val="24"/>
        </w:rPr>
        <w:t>rice</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100"/>
        <w:gridCol w:w="998"/>
        <w:gridCol w:w="1206"/>
        <w:gridCol w:w="1257"/>
        <w:gridCol w:w="1060"/>
        <w:gridCol w:w="1156"/>
        <w:gridCol w:w="1301"/>
        <w:gridCol w:w="1045"/>
        <w:gridCol w:w="1279"/>
        <w:gridCol w:w="1081"/>
      </w:tblGrid>
      <w:tr w:rsidR="00BF7004" w:rsidRPr="00BF7004" w14:paraId="459DDE4B" w14:textId="77777777" w:rsidTr="00450745">
        <w:trPr>
          <w:cantSplit/>
          <w:trHeight w:val="144"/>
        </w:trPr>
        <w:tc>
          <w:tcPr>
            <w:tcW w:w="0" w:type="auto"/>
            <w:tcBorders>
              <w:top w:val="single" w:sz="4" w:space="0" w:color="auto"/>
              <w:bottom w:val="single" w:sz="4" w:space="0" w:color="auto"/>
            </w:tcBorders>
          </w:tcPr>
          <w:p w14:paraId="1562240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Cultivation methods</w:t>
            </w:r>
          </w:p>
        </w:tc>
        <w:tc>
          <w:tcPr>
            <w:tcW w:w="0" w:type="auto"/>
            <w:tcBorders>
              <w:top w:val="single" w:sz="4" w:space="0" w:color="auto"/>
              <w:bottom w:val="single" w:sz="4" w:space="0" w:color="auto"/>
            </w:tcBorders>
          </w:tcPr>
          <w:p w14:paraId="710D1E4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Plant height (cm)</w:t>
            </w:r>
          </w:p>
        </w:tc>
        <w:tc>
          <w:tcPr>
            <w:tcW w:w="0" w:type="auto"/>
            <w:tcBorders>
              <w:top w:val="single" w:sz="4" w:space="0" w:color="auto"/>
              <w:bottom w:val="single" w:sz="4" w:space="0" w:color="auto"/>
            </w:tcBorders>
          </w:tcPr>
          <w:p w14:paraId="1F4F3554"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total tillers</w:t>
            </w:r>
          </w:p>
          <w:p w14:paraId="3CBD9F8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19DA08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effective tillers</w:t>
            </w:r>
          </w:p>
          <w:p w14:paraId="27238A5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197F3A1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non-effective tillers</w:t>
            </w:r>
          </w:p>
          <w:p w14:paraId="40E57D2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hill</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3EFFC68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Panicle length (cm)</w:t>
            </w:r>
          </w:p>
        </w:tc>
        <w:tc>
          <w:tcPr>
            <w:tcW w:w="0" w:type="auto"/>
            <w:tcBorders>
              <w:top w:val="single" w:sz="4" w:space="0" w:color="auto"/>
              <w:bottom w:val="single" w:sz="4" w:space="0" w:color="auto"/>
            </w:tcBorders>
          </w:tcPr>
          <w:p w14:paraId="756FA55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No. of grains panicle</w:t>
            </w:r>
            <w:r w:rsidRPr="00BF7004">
              <w:rPr>
                <w:rFonts w:ascii="Times New Roman" w:hAnsi="Times New Roman" w:cs="Times New Roman"/>
                <w:bCs/>
                <w:sz w:val="24"/>
                <w:szCs w:val="24"/>
                <w:vertAlign w:val="superscript"/>
              </w:rPr>
              <w:t>-1</w:t>
            </w:r>
          </w:p>
        </w:tc>
        <w:tc>
          <w:tcPr>
            <w:tcW w:w="0" w:type="auto"/>
            <w:tcBorders>
              <w:top w:val="single" w:sz="4" w:space="0" w:color="auto"/>
              <w:bottom w:val="single" w:sz="4" w:space="0" w:color="auto"/>
            </w:tcBorders>
          </w:tcPr>
          <w:p w14:paraId="57280B2C" w14:textId="77777777" w:rsidR="008C2FF2" w:rsidRPr="00BF7004" w:rsidRDefault="008C2FF2" w:rsidP="00450745">
            <w:pPr>
              <w:spacing w:line="276" w:lineRule="auto"/>
              <w:jc w:val="center"/>
              <w:rPr>
                <w:rFonts w:ascii="Times New Roman" w:hAnsi="Times New Roman" w:cs="Times New Roman"/>
                <w:bCs/>
                <w:sz w:val="24"/>
                <w:szCs w:val="24"/>
              </w:rPr>
            </w:pPr>
            <w:bookmarkStart w:id="2" w:name="_Hlk203780086"/>
            <w:r w:rsidRPr="00BF7004">
              <w:rPr>
                <w:rFonts w:ascii="Times New Roman" w:hAnsi="Times New Roman" w:cs="Times New Roman"/>
                <w:bCs/>
                <w:sz w:val="24"/>
                <w:szCs w:val="24"/>
              </w:rPr>
              <w:t xml:space="preserve">No. of sterile </w:t>
            </w:r>
            <w:proofErr w:type="spellStart"/>
            <w:r w:rsidRPr="00BF7004">
              <w:rPr>
                <w:rFonts w:ascii="Times New Roman" w:hAnsi="Times New Roman" w:cs="Times New Roman"/>
                <w:bCs/>
                <w:sz w:val="24"/>
                <w:szCs w:val="24"/>
              </w:rPr>
              <w:t>spikelets</w:t>
            </w:r>
            <w:proofErr w:type="spellEnd"/>
            <w:r w:rsidRPr="00BF7004">
              <w:rPr>
                <w:rFonts w:ascii="Times New Roman" w:hAnsi="Times New Roman" w:cs="Times New Roman"/>
                <w:bCs/>
                <w:sz w:val="24"/>
                <w:szCs w:val="24"/>
              </w:rPr>
              <w:t xml:space="preserve"> panicl</w:t>
            </w:r>
            <w:r w:rsidRPr="00BF7004">
              <w:rPr>
                <w:rFonts w:ascii="Times New Roman" w:hAnsi="Times New Roman" w:cs="Times New Roman"/>
                <w:bCs/>
                <w:sz w:val="24"/>
                <w:szCs w:val="24"/>
                <w:vertAlign w:val="superscript"/>
              </w:rPr>
              <w:t>-1</w:t>
            </w:r>
            <w:bookmarkEnd w:id="2"/>
          </w:p>
        </w:tc>
        <w:tc>
          <w:tcPr>
            <w:tcW w:w="0" w:type="auto"/>
            <w:tcBorders>
              <w:top w:val="single" w:sz="4" w:space="0" w:color="auto"/>
              <w:bottom w:val="single" w:sz="4" w:space="0" w:color="auto"/>
            </w:tcBorders>
          </w:tcPr>
          <w:p w14:paraId="364172E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1000-grain weight (g)</w:t>
            </w:r>
          </w:p>
        </w:tc>
        <w:tc>
          <w:tcPr>
            <w:tcW w:w="0" w:type="auto"/>
            <w:tcBorders>
              <w:top w:val="single" w:sz="4" w:space="0" w:color="auto"/>
              <w:bottom w:val="single" w:sz="4" w:space="0" w:color="auto"/>
            </w:tcBorders>
          </w:tcPr>
          <w:p w14:paraId="07E29CB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Biological yield</w:t>
            </w:r>
          </w:p>
          <w:p w14:paraId="1BA27E7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(t ha</w:t>
            </w:r>
            <w:r w:rsidRPr="00BF7004">
              <w:rPr>
                <w:rFonts w:ascii="Times New Roman" w:hAnsi="Times New Roman" w:cs="Times New Roman"/>
                <w:bCs/>
                <w:sz w:val="24"/>
                <w:szCs w:val="24"/>
                <w:vertAlign w:val="superscript"/>
              </w:rPr>
              <w:t>-1</w:t>
            </w:r>
            <w:r w:rsidRPr="00BF7004">
              <w:rPr>
                <w:rFonts w:ascii="Times New Roman" w:hAnsi="Times New Roman" w:cs="Times New Roman"/>
                <w:bCs/>
                <w:sz w:val="24"/>
                <w:szCs w:val="24"/>
              </w:rPr>
              <w:t>)</w:t>
            </w:r>
          </w:p>
        </w:tc>
        <w:tc>
          <w:tcPr>
            <w:tcW w:w="0" w:type="auto"/>
            <w:tcBorders>
              <w:top w:val="single" w:sz="4" w:space="0" w:color="auto"/>
              <w:bottom w:val="single" w:sz="4" w:space="0" w:color="auto"/>
            </w:tcBorders>
          </w:tcPr>
          <w:p w14:paraId="43DB0D6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Harvest index (%)</w:t>
            </w:r>
          </w:p>
        </w:tc>
      </w:tr>
      <w:tr w:rsidR="00BF7004" w:rsidRPr="00BF7004" w14:paraId="43450B7E" w14:textId="77777777" w:rsidTr="00450745">
        <w:trPr>
          <w:cantSplit/>
          <w:trHeight w:val="144"/>
        </w:trPr>
        <w:tc>
          <w:tcPr>
            <w:tcW w:w="0" w:type="auto"/>
            <w:tcBorders>
              <w:top w:val="single" w:sz="4" w:space="0" w:color="auto"/>
            </w:tcBorders>
            <w:vAlign w:val="center"/>
          </w:tcPr>
          <w:p w14:paraId="5465ADB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P1</w:t>
            </w:r>
          </w:p>
        </w:tc>
        <w:tc>
          <w:tcPr>
            <w:tcW w:w="0" w:type="auto"/>
            <w:tcBorders>
              <w:top w:val="single" w:sz="4" w:space="0" w:color="auto"/>
            </w:tcBorders>
            <w:vAlign w:val="center"/>
          </w:tcPr>
          <w:p w14:paraId="5BC6812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104.01b</w:t>
            </w:r>
          </w:p>
        </w:tc>
        <w:tc>
          <w:tcPr>
            <w:tcW w:w="0" w:type="auto"/>
            <w:tcBorders>
              <w:top w:val="single" w:sz="4" w:space="0" w:color="auto"/>
            </w:tcBorders>
            <w:vAlign w:val="center"/>
          </w:tcPr>
          <w:p w14:paraId="6956758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13.01a</w:t>
            </w:r>
          </w:p>
        </w:tc>
        <w:tc>
          <w:tcPr>
            <w:tcW w:w="0" w:type="auto"/>
            <w:tcBorders>
              <w:top w:val="single" w:sz="4" w:space="0" w:color="auto"/>
            </w:tcBorders>
            <w:vAlign w:val="center"/>
          </w:tcPr>
          <w:p w14:paraId="34E8E377"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11.69a</w:t>
            </w:r>
          </w:p>
        </w:tc>
        <w:tc>
          <w:tcPr>
            <w:tcW w:w="0" w:type="auto"/>
            <w:tcBorders>
              <w:top w:val="single" w:sz="4" w:space="0" w:color="auto"/>
            </w:tcBorders>
            <w:vAlign w:val="center"/>
          </w:tcPr>
          <w:p w14:paraId="656B110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1.32b</w:t>
            </w:r>
          </w:p>
        </w:tc>
        <w:tc>
          <w:tcPr>
            <w:tcW w:w="0" w:type="auto"/>
            <w:tcBorders>
              <w:top w:val="single" w:sz="4" w:space="0" w:color="auto"/>
            </w:tcBorders>
            <w:vAlign w:val="center"/>
          </w:tcPr>
          <w:p w14:paraId="5778968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23.02a</w:t>
            </w:r>
          </w:p>
        </w:tc>
        <w:tc>
          <w:tcPr>
            <w:tcW w:w="0" w:type="auto"/>
            <w:tcBorders>
              <w:top w:val="single" w:sz="4" w:space="0" w:color="auto"/>
            </w:tcBorders>
            <w:vAlign w:val="center"/>
          </w:tcPr>
          <w:p w14:paraId="48347FB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133.93a</w:t>
            </w:r>
          </w:p>
        </w:tc>
        <w:tc>
          <w:tcPr>
            <w:tcW w:w="0" w:type="auto"/>
            <w:tcBorders>
              <w:top w:val="single" w:sz="4" w:space="0" w:color="auto"/>
            </w:tcBorders>
            <w:vAlign w:val="center"/>
          </w:tcPr>
          <w:p w14:paraId="211500F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11.52b</w:t>
            </w:r>
          </w:p>
        </w:tc>
        <w:tc>
          <w:tcPr>
            <w:tcW w:w="0" w:type="auto"/>
            <w:tcBorders>
              <w:top w:val="single" w:sz="4" w:space="0" w:color="auto"/>
            </w:tcBorders>
            <w:vAlign w:val="center"/>
          </w:tcPr>
          <w:p w14:paraId="3DD33AB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20.44a</w:t>
            </w:r>
          </w:p>
        </w:tc>
        <w:tc>
          <w:tcPr>
            <w:tcW w:w="0" w:type="auto"/>
            <w:tcBorders>
              <w:top w:val="single" w:sz="4" w:space="0" w:color="auto"/>
            </w:tcBorders>
            <w:vAlign w:val="center"/>
          </w:tcPr>
          <w:p w14:paraId="6B7FFAF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10.96a</w:t>
            </w:r>
          </w:p>
        </w:tc>
        <w:tc>
          <w:tcPr>
            <w:tcW w:w="0" w:type="auto"/>
            <w:tcBorders>
              <w:top w:val="single" w:sz="4" w:space="0" w:color="auto"/>
            </w:tcBorders>
            <w:vAlign w:val="center"/>
          </w:tcPr>
          <w:p w14:paraId="27CB749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45.64a</w:t>
            </w:r>
          </w:p>
        </w:tc>
      </w:tr>
      <w:tr w:rsidR="00BF7004" w:rsidRPr="00BF7004" w14:paraId="3747D595" w14:textId="77777777" w:rsidTr="00450745">
        <w:trPr>
          <w:cantSplit/>
          <w:trHeight w:val="144"/>
        </w:trPr>
        <w:tc>
          <w:tcPr>
            <w:tcW w:w="0" w:type="auto"/>
            <w:tcBorders>
              <w:top w:val="nil"/>
              <w:bottom w:val="single" w:sz="4" w:space="0" w:color="auto"/>
            </w:tcBorders>
            <w:vAlign w:val="center"/>
          </w:tcPr>
          <w:p w14:paraId="4AD6A88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P2</w:t>
            </w:r>
          </w:p>
        </w:tc>
        <w:tc>
          <w:tcPr>
            <w:tcW w:w="0" w:type="auto"/>
            <w:tcBorders>
              <w:top w:val="nil"/>
              <w:bottom w:val="single" w:sz="4" w:space="0" w:color="auto"/>
            </w:tcBorders>
            <w:vAlign w:val="center"/>
          </w:tcPr>
          <w:p w14:paraId="280D29E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104.52a</w:t>
            </w:r>
          </w:p>
        </w:tc>
        <w:tc>
          <w:tcPr>
            <w:tcW w:w="0" w:type="auto"/>
            <w:tcBorders>
              <w:top w:val="nil"/>
              <w:bottom w:val="single" w:sz="4" w:space="0" w:color="auto"/>
            </w:tcBorders>
            <w:vAlign w:val="center"/>
          </w:tcPr>
          <w:p w14:paraId="1C0C4B7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12.36b</w:t>
            </w:r>
          </w:p>
        </w:tc>
        <w:tc>
          <w:tcPr>
            <w:tcW w:w="0" w:type="auto"/>
            <w:tcBorders>
              <w:top w:val="nil"/>
              <w:bottom w:val="single" w:sz="4" w:space="0" w:color="auto"/>
            </w:tcBorders>
            <w:vAlign w:val="center"/>
          </w:tcPr>
          <w:p w14:paraId="1EB907C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10.79b</w:t>
            </w:r>
          </w:p>
        </w:tc>
        <w:tc>
          <w:tcPr>
            <w:tcW w:w="0" w:type="auto"/>
            <w:tcBorders>
              <w:top w:val="nil"/>
              <w:bottom w:val="single" w:sz="4" w:space="0" w:color="auto"/>
            </w:tcBorders>
            <w:vAlign w:val="center"/>
          </w:tcPr>
          <w:p w14:paraId="3B6D13F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1.56a</w:t>
            </w:r>
          </w:p>
        </w:tc>
        <w:tc>
          <w:tcPr>
            <w:tcW w:w="0" w:type="auto"/>
            <w:tcBorders>
              <w:top w:val="nil"/>
              <w:bottom w:val="single" w:sz="4" w:space="0" w:color="auto"/>
            </w:tcBorders>
            <w:vAlign w:val="center"/>
          </w:tcPr>
          <w:p w14:paraId="62A307E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21.97b</w:t>
            </w:r>
          </w:p>
        </w:tc>
        <w:tc>
          <w:tcPr>
            <w:tcW w:w="0" w:type="auto"/>
            <w:tcBorders>
              <w:top w:val="nil"/>
              <w:bottom w:val="single" w:sz="4" w:space="0" w:color="auto"/>
            </w:tcBorders>
            <w:vAlign w:val="center"/>
          </w:tcPr>
          <w:p w14:paraId="2372EC5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130.39b</w:t>
            </w:r>
          </w:p>
        </w:tc>
        <w:tc>
          <w:tcPr>
            <w:tcW w:w="0" w:type="auto"/>
            <w:tcBorders>
              <w:top w:val="nil"/>
              <w:bottom w:val="single" w:sz="4" w:space="0" w:color="auto"/>
            </w:tcBorders>
            <w:vAlign w:val="center"/>
          </w:tcPr>
          <w:p w14:paraId="0AE224D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14.22a</w:t>
            </w:r>
          </w:p>
        </w:tc>
        <w:tc>
          <w:tcPr>
            <w:tcW w:w="0" w:type="auto"/>
            <w:tcBorders>
              <w:top w:val="nil"/>
              <w:bottom w:val="single" w:sz="4" w:space="0" w:color="auto"/>
            </w:tcBorders>
            <w:vAlign w:val="center"/>
          </w:tcPr>
          <w:p w14:paraId="20AB43E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20.12b</w:t>
            </w:r>
          </w:p>
        </w:tc>
        <w:tc>
          <w:tcPr>
            <w:tcW w:w="0" w:type="auto"/>
            <w:tcBorders>
              <w:top w:val="nil"/>
              <w:bottom w:val="single" w:sz="4" w:space="0" w:color="auto"/>
            </w:tcBorders>
            <w:vAlign w:val="center"/>
          </w:tcPr>
          <w:p w14:paraId="65582CC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10.15b</w:t>
            </w:r>
          </w:p>
        </w:tc>
        <w:tc>
          <w:tcPr>
            <w:tcW w:w="0" w:type="auto"/>
            <w:tcBorders>
              <w:top w:val="nil"/>
              <w:bottom w:val="single" w:sz="4" w:space="0" w:color="auto"/>
            </w:tcBorders>
            <w:vAlign w:val="center"/>
          </w:tcPr>
          <w:p w14:paraId="02BA11C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45.10b</w:t>
            </w:r>
          </w:p>
        </w:tc>
      </w:tr>
      <w:tr w:rsidR="00BF7004" w:rsidRPr="00BF7004" w14:paraId="7F433980" w14:textId="77777777" w:rsidTr="00450745">
        <w:trPr>
          <w:cantSplit/>
          <w:trHeight w:val="144"/>
        </w:trPr>
        <w:tc>
          <w:tcPr>
            <w:tcW w:w="0" w:type="auto"/>
            <w:tcBorders>
              <w:top w:val="single" w:sz="4" w:space="0" w:color="auto"/>
            </w:tcBorders>
            <w:vAlign w:val="center"/>
          </w:tcPr>
          <w:p w14:paraId="59D97F02" w14:textId="77777777" w:rsidR="008C2FF2" w:rsidRPr="00BF7004" w:rsidRDefault="008C2FF2" w:rsidP="00450745">
            <w:pPr>
              <w:spacing w:line="276" w:lineRule="auto"/>
              <w:jc w:val="center"/>
              <w:rPr>
                <w:rFonts w:ascii="Times New Roman" w:hAnsi="Times New Roman" w:cs="Times New Roman"/>
                <w:bCs/>
                <w:sz w:val="24"/>
                <w:szCs w:val="24"/>
              </w:rPr>
            </w:pPr>
            <w:proofErr w:type="spellStart"/>
            <w:r w:rsidRPr="00BF7004">
              <w:rPr>
                <w:rFonts w:ascii="Times New Roman" w:hAnsi="Times New Roman" w:cs="Times New Roman"/>
                <w:bCs/>
                <w:sz w:val="24"/>
                <w:szCs w:val="24"/>
              </w:rPr>
              <w:t>Sx</w:t>
            </w:r>
            <w:proofErr w:type="spellEnd"/>
            <w:r w:rsidRPr="00BF7004">
              <w:rPr>
                <w:rFonts w:ascii="Times New Roman" w:hAnsi="Times New Roman" w:cs="Times New Roman"/>
                <w:bCs/>
                <w:sz w:val="24"/>
                <w:szCs w:val="24"/>
              </w:rPr>
              <w:t>̄</w:t>
            </w:r>
          </w:p>
        </w:tc>
        <w:tc>
          <w:tcPr>
            <w:tcW w:w="0" w:type="auto"/>
            <w:tcBorders>
              <w:top w:val="single" w:sz="4" w:space="0" w:color="auto"/>
            </w:tcBorders>
            <w:vAlign w:val="center"/>
          </w:tcPr>
          <w:p w14:paraId="07EA645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0.25</w:t>
            </w:r>
          </w:p>
        </w:tc>
        <w:tc>
          <w:tcPr>
            <w:tcW w:w="0" w:type="auto"/>
            <w:tcBorders>
              <w:top w:val="single" w:sz="4" w:space="0" w:color="auto"/>
            </w:tcBorders>
            <w:vAlign w:val="center"/>
          </w:tcPr>
          <w:p w14:paraId="4617432E"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0.32</w:t>
            </w:r>
          </w:p>
        </w:tc>
        <w:tc>
          <w:tcPr>
            <w:tcW w:w="0" w:type="auto"/>
            <w:tcBorders>
              <w:top w:val="single" w:sz="4" w:space="0" w:color="auto"/>
            </w:tcBorders>
            <w:vAlign w:val="center"/>
          </w:tcPr>
          <w:p w14:paraId="057907B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0.45</w:t>
            </w:r>
          </w:p>
        </w:tc>
        <w:tc>
          <w:tcPr>
            <w:tcW w:w="0" w:type="auto"/>
            <w:tcBorders>
              <w:top w:val="single" w:sz="4" w:space="0" w:color="auto"/>
            </w:tcBorders>
            <w:vAlign w:val="center"/>
          </w:tcPr>
          <w:p w14:paraId="0F28CBD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0.12</w:t>
            </w:r>
          </w:p>
        </w:tc>
        <w:tc>
          <w:tcPr>
            <w:tcW w:w="0" w:type="auto"/>
            <w:tcBorders>
              <w:top w:val="single" w:sz="4" w:space="0" w:color="auto"/>
            </w:tcBorders>
            <w:vAlign w:val="center"/>
          </w:tcPr>
          <w:p w14:paraId="2B200BC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0.53</w:t>
            </w:r>
          </w:p>
        </w:tc>
        <w:tc>
          <w:tcPr>
            <w:tcW w:w="0" w:type="auto"/>
            <w:tcBorders>
              <w:top w:val="single" w:sz="4" w:space="0" w:color="auto"/>
            </w:tcBorders>
            <w:vAlign w:val="center"/>
          </w:tcPr>
          <w:p w14:paraId="0771D9D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1.77</w:t>
            </w:r>
          </w:p>
        </w:tc>
        <w:tc>
          <w:tcPr>
            <w:tcW w:w="0" w:type="auto"/>
            <w:tcBorders>
              <w:top w:val="single" w:sz="4" w:space="0" w:color="auto"/>
            </w:tcBorders>
            <w:vAlign w:val="center"/>
          </w:tcPr>
          <w:p w14:paraId="35BEFE8C"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1.35</w:t>
            </w:r>
          </w:p>
        </w:tc>
        <w:tc>
          <w:tcPr>
            <w:tcW w:w="0" w:type="auto"/>
            <w:tcBorders>
              <w:top w:val="single" w:sz="4" w:space="0" w:color="auto"/>
            </w:tcBorders>
            <w:vAlign w:val="center"/>
          </w:tcPr>
          <w:p w14:paraId="7B381AD8"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0.16</w:t>
            </w:r>
          </w:p>
        </w:tc>
        <w:tc>
          <w:tcPr>
            <w:tcW w:w="0" w:type="auto"/>
            <w:tcBorders>
              <w:top w:val="single" w:sz="4" w:space="0" w:color="auto"/>
            </w:tcBorders>
            <w:vAlign w:val="center"/>
          </w:tcPr>
          <w:p w14:paraId="326AD67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0.41</w:t>
            </w:r>
          </w:p>
        </w:tc>
        <w:tc>
          <w:tcPr>
            <w:tcW w:w="0" w:type="auto"/>
            <w:tcBorders>
              <w:top w:val="single" w:sz="4" w:space="0" w:color="auto"/>
            </w:tcBorders>
            <w:vAlign w:val="center"/>
          </w:tcPr>
          <w:p w14:paraId="47B17E3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0.27</w:t>
            </w:r>
          </w:p>
        </w:tc>
      </w:tr>
      <w:tr w:rsidR="00BF7004" w:rsidRPr="00BF7004" w14:paraId="6FBC382D" w14:textId="77777777" w:rsidTr="00450745">
        <w:trPr>
          <w:cantSplit/>
          <w:trHeight w:val="144"/>
        </w:trPr>
        <w:tc>
          <w:tcPr>
            <w:tcW w:w="0" w:type="auto"/>
            <w:tcBorders>
              <w:bottom w:val="nil"/>
            </w:tcBorders>
            <w:vAlign w:val="center"/>
          </w:tcPr>
          <w:p w14:paraId="5101CE92"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Level of significance</w:t>
            </w:r>
          </w:p>
        </w:tc>
        <w:tc>
          <w:tcPr>
            <w:tcW w:w="0" w:type="auto"/>
            <w:tcBorders>
              <w:bottom w:val="nil"/>
            </w:tcBorders>
            <w:vAlign w:val="center"/>
          </w:tcPr>
          <w:p w14:paraId="4D5EA69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32A73E8"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4EAD5ED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6C1BB2C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7DA7166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131C4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E2F8AF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50F2AC53"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08C9C56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c>
          <w:tcPr>
            <w:tcW w:w="0" w:type="auto"/>
            <w:tcBorders>
              <w:bottom w:val="nil"/>
            </w:tcBorders>
            <w:vAlign w:val="center"/>
          </w:tcPr>
          <w:p w14:paraId="3FA673F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w:t>
            </w:r>
          </w:p>
        </w:tc>
      </w:tr>
      <w:tr w:rsidR="00BF7004" w:rsidRPr="00BF7004" w14:paraId="3C69B8C9" w14:textId="77777777" w:rsidTr="00450745">
        <w:trPr>
          <w:cantSplit/>
          <w:trHeight w:val="144"/>
        </w:trPr>
        <w:tc>
          <w:tcPr>
            <w:tcW w:w="0" w:type="auto"/>
            <w:tcBorders>
              <w:top w:val="nil"/>
              <w:bottom w:val="single" w:sz="4" w:space="0" w:color="auto"/>
            </w:tcBorders>
            <w:vAlign w:val="center"/>
          </w:tcPr>
          <w:p w14:paraId="22C407F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CV (%)</w:t>
            </w:r>
          </w:p>
        </w:tc>
        <w:tc>
          <w:tcPr>
            <w:tcW w:w="0" w:type="auto"/>
            <w:tcBorders>
              <w:top w:val="nil"/>
              <w:bottom w:val="single" w:sz="4" w:space="0" w:color="auto"/>
            </w:tcBorders>
            <w:vAlign w:val="center"/>
          </w:tcPr>
          <w:p w14:paraId="55716A1D"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0.18</w:t>
            </w:r>
          </w:p>
        </w:tc>
        <w:tc>
          <w:tcPr>
            <w:tcW w:w="0" w:type="auto"/>
            <w:tcBorders>
              <w:top w:val="nil"/>
              <w:bottom w:val="single" w:sz="4" w:space="0" w:color="auto"/>
            </w:tcBorders>
            <w:vAlign w:val="center"/>
          </w:tcPr>
          <w:p w14:paraId="7B00B1E6"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1.61</w:t>
            </w:r>
          </w:p>
        </w:tc>
        <w:tc>
          <w:tcPr>
            <w:tcW w:w="0" w:type="auto"/>
            <w:tcBorders>
              <w:top w:val="nil"/>
              <w:bottom w:val="single" w:sz="4" w:space="0" w:color="auto"/>
            </w:tcBorders>
            <w:vAlign w:val="center"/>
          </w:tcPr>
          <w:p w14:paraId="64B5BCD0"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1.70</w:t>
            </w:r>
          </w:p>
        </w:tc>
        <w:tc>
          <w:tcPr>
            <w:tcW w:w="0" w:type="auto"/>
            <w:tcBorders>
              <w:top w:val="nil"/>
              <w:bottom w:val="single" w:sz="4" w:space="0" w:color="auto"/>
            </w:tcBorders>
            <w:vAlign w:val="center"/>
          </w:tcPr>
          <w:p w14:paraId="2B1965EF"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4.89</w:t>
            </w:r>
          </w:p>
        </w:tc>
        <w:tc>
          <w:tcPr>
            <w:tcW w:w="0" w:type="auto"/>
            <w:tcBorders>
              <w:top w:val="nil"/>
              <w:bottom w:val="single" w:sz="4" w:space="0" w:color="auto"/>
            </w:tcBorders>
            <w:vAlign w:val="center"/>
          </w:tcPr>
          <w:p w14:paraId="08684AA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1.92</w:t>
            </w:r>
          </w:p>
        </w:tc>
        <w:tc>
          <w:tcPr>
            <w:tcW w:w="0" w:type="auto"/>
            <w:tcBorders>
              <w:top w:val="nil"/>
              <w:bottom w:val="single" w:sz="4" w:space="0" w:color="auto"/>
            </w:tcBorders>
            <w:vAlign w:val="center"/>
          </w:tcPr>
          <w:p w14:paraId="2404D7CA"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0.63</w:t>
            </w:r>
          </w:p>
        </w:tc>
        <w:tc>
          <w:tcPr>
            <w:tcW w:w="0" w:type="auto"/>
            <w:tcBorders>
              <w:top w:val="nil"/>
              <w:bottom w:val="single" w:sz="4" w:space="0" w:color="auto"/>
            </w:tcBorders>
            <w:vAlign w:val="center"/>
          </w:tcPr>
          <w:p w14:paraId="68D7222B"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2.04</w:t>
            </w:r>
          </w:p>
        </w:tc>
        <w:tc>
          <w:tcPr>
            <w:tcW w:w="0" w:type="auto"/>
            <w:tcBorders>
              <w:top w:val="nil"/>
              <w:bottom w:val="single" w:sz="4" w:space="0" w:color="auto"/>
            </w:tcBorders>
            <w:vAlign w:val="center"/>
          </w:tcPr>
          <w:p w14:paraId="2046B7E5"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1.28</w:t>
            </w:r>
          </w:p>
        </w:tc>
        <w:tc>
          <w:tcPr>
            <w:tcW w:w="0" w:type="auto"/>
            <w:tcBorders>
              <w:top w:val="nil"/>
              <w:bottom w:val="single" w:sz="4" w:space="0" w:color="auto"/>
            </w:tcBorders>
            <w:vAlign w:val="center"/>
          </w:tcPr>
          <w:p w14:paraId="540991B9"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1.64</w:t>
            </w:r>
          </w:p>
        </w:tc>
        <w:tc>
          <w:tcPr>
            <w:tcW w:w="0" w:type="auto"/>
            <w:tcBorders>
              <w:top w:val="nil"/>
              <w:bottom w:val="single" w:sz="4" w:space="0" w:color="auto"/>
            </w:tcBorders>
            <w:vAlign w:val="center"/>
          </w:tcPr>
          <w:p w14:paraId="0E2855A1" w14:textId="77777777" w:rsidR="008C2FF2" w:rsidRPr="00BF7004" w:rsidRDefault="008C2FF2" w:rsidP="00450745">
            <w:pPr>
              <w:spacing w:line="276" w:lineRule="auto"/>
              <w:jc w:val="center"/>
              <w:rPr>
                <w:rFonts w:ascii="Times New Roman" w:hAnsi="Times New Roman" w:cs="Times New Roman"/>
                <w:bCs/>
                <w:sz w:val="24"/>
                <w:szCs w:val="24"/>
              </w:rPr>
            </w:pPr>
            <w:r w:rsidRPr="00BF7004">
              <w:rPr>
                <w:rFonts w:ascii="Times New Roman" w:hAnsi="Times New Roman" w:cs="Times New Roman"/>
                <w:bCs/>
                <w:sz w:val="24"/>
                <w:szCs w:val="24"/>
              </w:rPr>
              <w:t>0.74</w:t>
            </w:r>
          </w:p>
        </w:tc>
      </w:tr>
      <w:tr w:rsidR="008C2FF2" w:rsidRPr="00BF7004" w14:paraId="1EBE163C" w14:textId="77777777" w:rsidTr="00450745">
        <w:trPr>
          <w:cantSplit/>
          <w:trHeight w:val="144"/>
        </w:trPr>
        <w:tc>
          <w:tcPr>
            <w:tcW w:w="0" w:type="auto"/>
            <w:gridSpan w:val="11"/>
            <w:tcBorders>
              <w:top w:val="single" w:sz="4" w:space="0" w:color="auto"/>
              <w:bottom w:val="nil"/>
            </w:tcBorders>
            <w:vAlign w:val="center"/>
          </w:tcPr>
          <w:p w14:paraId="3EE2D2CF" w14:textId="77777777" w:rsidR="008C2FF2" w:rsidRPr="00BF7004" w:rsidRDefault="008C2FF2" w:rsidP="00450745">
            <w:pPr>
              <w:spacing w:line="276" w:lineRule="auto"/>
              <w:jc w:val="both"/>
              <w:rPr>
                <w:rFonts w:ascii="Times New Roman" w:hAnsi="Times New Roman" w:cs="Times New Roman"/>
                <w:bCs/>
                <w:szCs w:val="24"/>
              </w:rPr>
            </w:pPr>
            <w:r w:rsidRPr="00BF7004">
              <w:rPr>
                <w:rFonts w:ascii="Times New Roman" w:hAnsi="Times New Roman" w:cs="Times New Roman"/>
                <w:sz w:val="24"/>
                <w:szCs w:val="28"/>
              </w:rPr>
              <w:t>Here, m</w:t>
            </w:r>
            <w:r w:rsidRPr="00BF7004">
              <w:rPr>
                <w:rFonts w:ascii="Times New Roman" w:hAnsi="Times New Roman" w:cs="Times New Roman"/>
                <w:sz w:val="24"/>
                <w:szCs w:val="24"/>
              </w:rPr>
              <w:t xml:space="preserve">eans with the same letters within the same column do not differ significantly; ** = Significant at 1% level of probability, * = Significant at 5% level of probability; </w:t>
            </w:r>
            <w:r w:rsidRPr="00BF7004">
              <w:rPr>
                <w:rFonts w:ascii="Times New Roman" w:hAnsi="Times New Roman" w:cs="Times New Roman"/>
                <w:bCs/>
                <w:sz w:val="24"/>
                <w:szCs w:val="24"/>
              </w:rPr>
              <w:t>P1 = Raised bed</w:t>
            </w:r>
            <w:r w:rsidRPr="00BF7004">
              <w:rPr>
                <w:rFonts w:ascii="Times New Roman" w:hAnsi="Times New Roman" w:cs="Times New Roman"/>
                <w:sz w:val="24"/>
                <w:szCs w:val="24"/>
              </w:rPr>
              <w:t xml:space="preserve">; </w:t>
            </w:r>
            <w:r w:rsidRPr="00BF7004">
              <w:rPr>
                <w:rFonts w:ascii="Times New Roman" w:hAnsi="Times New Roman" w:cs="Times New Roman"/>
                <w:bCs/>
                <w:sz w:val="24"/>
                <w:szCs w:val="24"/>
              </w:rPr>
              <w:t>P2 = Conventional line transplanting</w:t>
            </w:r>
          </w:p>
        </w:tc>
      </w:tr>
    </w:tbl>
    <w:p w14:paraId="7D67B6C3" w14:textId="77777777" w:rsidR="008C2FF2" w:rsidRPr="00BF7004" w:rsidRDefault="008C2FF2" w:rsidP="008C2FF2">
      <w:pPr>
        <w:spacing w:after="0" w:line="276" w:lineRule="auto"/>
        <w:jc w:val="both"/>
        <w:rPr>
          <w:rFonts w:cs="Times New Roman"/>
          <w:bCs/>
          <w:szCs w:val="24"/>
        </w:rPr>
      </w:pPr>
    </w:p>
    <w:p w14:paraId="0EDB552C" w14:textId="77777777" w:rsidR="008C2FF2" w:rsidRPr="00BF7004" w:rsidRDefault="008C2FF2" w:rsidP="008C2FF2">
      <w:pPr>
        <w:spacing w:after="0" w:line="276" w:lineRule="auto"/>
        <w:jc w:val="both"/>
        <w:rPr>
          <w:rFonts w:cs="Times New Roman"/>
          <w:b/>
          <w:bCs/>
          <w:szCs w:val="24"/>
        </w:rPr>
      </w:pPr>
    </w:p>
    <w:p w14:paraId="0F5F360E" w14:textId="77777777" w:rsidR="008C2FF2" w:rsidRPr="00BF7004" w:rsidRDefault="008C2FF2" w:rsidP="008C2FF2">
      <w:pPr>
        <w:spacing w:after="0" w:line="276" w:lineRule="auto"/>
        <w:jc w:val="both"/>
        <w:rPr>
          <w:rFonts w:cs="Times New Roman"/>
          <w:b/>
          <w:bCs/>
          <w:szCs w:val="24"/>
        </w:rPr>
        <w:sectPr w:rsidR="008C2FF2" w:rsidRPr="00BF7004" w:rsidSect="008C2FF2">
          <w:pgSz w:w="15840" w:h="12240" w:orient="landscape"/>
          <w:pgMar w:top="1440" w:right="1440" w:bottom="1440" w:left="1440" w:header="720" w:footer="720" w:gutter="0"/>
          <w:cols w:space="720"/>
          <w:docGrid w:linePitch="360"/>
        </w:sectPr>
      </w:pPr>
    </w:p>
    <w:p w14:paraId="52A96BFC" w14:textId="77777777" w:rsidR="008C2FF2" w:rsidRPr="00BF7004" w:rsidRDefault="008C2FF2" w:rsidP="008C2FF2">
      <w:pPr>
        <w:spacing w:after="0" w:line="276" w:lineRule="auto"/>
        <w:jc w:val="both"/>
        <w:rPr>
          <w:rFonts w:cs="Times New Roman"/>
          <w:b/>
          <w:bCs/>
          <w:szCs w:val="24"/>
        </w:rPr>
      </w:pPr>
      <w:r w:rsidRPr="00BF7004">
        <w:rPr>
          <w:rFonts w:cs="Times New Roman"/>
          <w:noProof/>
          <w:szCs w:val="24"/>
        </w:rPr>
        <w:lastRenderedPageBreak/>
        <w:drawing>
          <wp:anchor distT="0" distB="0" distL="114300" distR="114300" simplePos="0" relativeHeight="251662336" behindDoc="0" locked="0" layoutInCell="1" allowOverlap="1" wp14:anchorId="3AE49E20" wp14:editId="5108A595">
            <wp:simplePos x="0" y="0"/>
            <wp:positionH relativeFrom="margin">
              <wp:align>center</wp:align>
            </wp:positionH>
            <wp:positionV relativeFrom="paragraph">
              <wp:posOffset>0</wp:posOffset>
            </wp:positionV>
            <wp:extent cx="4301490" cy="2451735"/>
            <wp:effectExtent l="0" t="0" r="3810" b="571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8A08587" w14:textId="34BB68B5" w:rsidR="008C2FF2" w:rsidRPr="00BF7004" w:rsidRDefault="008C2FF2" w:rsidP="008C2FF2">
      <w:pPr>
        <w:spacing w:after="0" w:line="276" w:lineRule="auto"/>
        <w:jc w:val="center"/>
        <w:rPr>
          <w:rFonts w:cs="Times New Roman"/>
          <w:b/>
          <w:szCs w:val="24"/>
        </w:rPr>
      </w:pPr>
      <w:r w:rsidRPr="00BF7004">
        <w:rPr>
          <w:rFonts w:cs="Times New Roman"/>
          <w:b/>
          <w:szCs w:val="24"/>
        </w:rPr>
        <w:t xml:space="preserve">Figure 2. </w:t>
      </w:r>
      <w:r w:rsidR="003B3B01">
        <w:rPr>
          <w:rFonts w:cs="Times New Roman"/>
          <w:b/>
          <w:szCs w:val="24"/>
        </w:rPr>
        <w:t>Effect of variety on y</w:t>
      </w:r>
      <w:r w:rsidR="003B3B01" w:rsidRPr="00BF7004">
        <w:rPr>
          <w:rFonts w:cs="Times New Roman"/>
          <w:b/>
          <w:szCs w:val="24"/>
        </w:rPr>
        <w:t xml:space="preserve">ield of </w:t>
      </w:r>
      <w:r w:rsidR="00856DA0" w:rsidRPr="00856DA0">
        <w:rPr>
          <w:rFonts w:cs="Times New Roman"/>
          <w:b/>
          <w:bCs/>
        </w:rPr>
        <w:t>T. Aman</w:t>
      </w:r>
      <w:r w:rsidR="00856DA0" w:rsidRPr="00BF7004">
        <w:rPr>
          <w:rFonts w:cs="Times New Roman"/>
        </w:rPr>
        <w:t xml:space="preserve"> </w:t>
      </w:r>
      <w:r w:rsidR="003B3B01" w:rsidRPr="00BF7004">
        <w:rPr>
          <w:rFonts w:cs="Times New Roman"/>
          <w:b/>
          <w:szCs w:val="24"/>
        </w:rPr>
        <w:t xml:space="preserve">rice </w:t>
      </w:r>
      <w:r w:rsidR="003B3B01">
        <w:rPr>
          <w:rFonts w:cs="Times New Roman"/>
          <w:b/>
          <w:szCs w:val="24"/>
        </w:rPr>
        <w:t>(Vertical bar represents the LSD value at 1%)</w:t>
      </w:r>
    </w:p>
    <w:p w14:paraId="512F63DC" w14:textId="5C72285C" w:rsidR="008C2FF2" w:rsidRPr="00BF7004" w:rsidRDefault="00631E4C" w:rsidP="008C2FF2">
      <w:pPr>
        <w:spacing w:after="0" w:line="276" w:lineRule="auto"/>
        <w:jc w:val="center"/>
        <w:rPr>
          <w:rFonts w:cs="Times New Roman"/>
          <w:bCs/>
          <w:szCs w:val="24"/>
        </w:rPr>
      </w:pPr>
      <w:r>
        <w:rPr>
          <w:rFonts w:cs="Times New Roman"/>
          <w:bCs/>
          <w:szCs w:val="24"/>
        </w:rPr>
        <w:t xml:space="preserve">Here, </w:t>
      </w:r>
      <w:r w:rsidR="008C2FF2" w:rsidRPr="00BF7004">
        <w:rPr>
          <w:rFonts w:cs="Times New Roman"/>
          <w:bCs/>
          <w:szCs w:val="24"/>
        </w:rPr>
        <w:t>P1 = Raised bed; P2 = Conventional line transplanting</w:t>
      </w:r>
    </w:p>
    <w:p w14:paraId="2216C444" w14:textId="028EB464" w:rsidR="008C2FF2" w:rsidRPr="00BF7004" w:rsidRDefault="008C2FF2" w:rsidP="008C2FF2">
      <w:pPr>
        <w:spacing w:before="240" w:line="276" w:lineRule="auto"/>
        <w:jc w:val="both"/>
        <w:rPr>
          <w:rFonts w:cs="Times New Roman"/>
          <w:b/>
          <w:szCs w:val="24"/>
        </w:rPr>
      </w:pPr>
      <w:bookmarkStart w:id="3" w:name="_Hlk203789996"/>
      <w:r w:rsidRPr="00BF7004">
        <w:rPr>
          <w:rFonts w:cs="Times New Roman"/>
          <w:b/>
          <w:szCs w:val="24"/>
        </w:rPr>
        <w:t>Interaction between variety and planting method</w:t>
      </w:r>
      <w:r w:rsidR="00932C59" w:rsidRPr="00BF7004">
        <w:rPr>
          <w:rFonts w:cs="Times New Roman"/>
          <w:b/>
          <w:szCs w:val="24"/>
        </w:rPr>
        <w:t>s</w:t>
      </w:r>
    </w:p>
    <w:p w14:paraId="5E743A45" w14:textId="0A82716A" w:rsidR="008C2FF2" w:rsidRPr="00BF7004" w:rsidRDefault="008C2FF2" w:rsidP="008C2FF2">
      <w:pPr>
        <w:spacing w:after="0" w:line="276" w:lineRule="auto"/>
        <w:jc w:val="both"/>
        <w:rPr>
          <w:rFonts w:cs="Times New Roman"/>
          <w:szCs w:val="24"/>
        </w:rPr>
      </w:pPr>
      <w:r w:rsidRPr="00BF7004">
        <w:rPr>
          <w:rFonts w:cs="Times New Roman"/>
          <w:szCs w:val="24"/>
        </w:rPr>
        <w:t>The interaction between variety and planting method</w:t>
      </w:r>
      <w:r w:rsidR="00856DA0">
        <w:rPr>
          <w:rFonts w:cs="Times New Roman"/>
          <w:szCs w:val="24"/>
        </w:rPr>
        <w:t>s</w:t>
      </w:r>
      <w:r w:rsidRPr="00BF7004">
        <w:rPr>
          <w:rFonts w:cs="Times New Roman"/>
          <w:szCs w:val="24"/>
        </w:rPr>
        <w:t xml:space="preserve"> significantly influenced agronomic and yield traits of </w:t>
      </w:r>
      <w:r w:rsidR="00856DA0" w:rsidRPr="00BF7004">
        <w:rPr>
          <w:rFonts w:cs="Times New Roman"/>
        </w:rPr>
        <w:t xml:space="preserve">T. Aman </w:t>
      </w:r>
      <w:r w:rsidRPr="00BF7004">
        <w:rPr>
          <w:rFonts w:cs="Times New Roman"/>
          <w:szCs w:val="24"/>
        </w:rPr>
        <w:t>rice (Table 3). The tallest plants were recorded in BRRI dhan52 under raised beds (112.17 cm, V2P1), which was statistically similar to its conventional counterpart (V2P2), while Binadhan-7 with raised beds exhibited the shortest plant stature (90.93 cm, V3P1) (Table 3). BRRI dhan49 under raised beds (V1P1) produced the highest No. of total tillers hill</w:t>
      </w:r>
      <w:r w:rsidRPr="00BF7004">
        <w:rPr>
          <w:rFonts w:cs="Times New Roman"/>
          <w:szCs w:val="24"/>
          <w:vertAlign w:val="superscript"/>
        </w:rPr>
        <w:t>-1</w:t>
      </w:r>
      <w:r w:rsidRPr="00BF7004">
        <w:rPr>
          <w:rFonts w:cs="Times New Roman"/>
          <w:szCs w:val="24"/>
        </w:rPr>
        <w:t xml:space="preserve"> (14.90) and effective tillers hill</w:t>
      </w:r>
      <w:r w:rsidRPr="00BF7004">
        <w:rPr>
          <w:rFonts w:cs="Times New Roman"/>
          <w:szCs w:val="24"/>
          <w:vertAlign w:val="superscript"/>
        </w:rPr>
        <w:t>-1</w:t>
      </w:r>
      <w:r w:rsidRPr="00BF7004">
        <w:rPr>
          <w:rFonts w:cs="Times New Roman"/>
          <w:szCs w:val="24"/>
        </w:rPr>
        <w:t xml:space="preserve"> (13.67); conversely, Binadhan-7 under conventional planting (V3P2) recorded the lowest values (11.22 and 9.65). For No. of non-effective tillers hill</w:t>
      </w:r>
      <w:r w:rsidRPr="00BF7004">
        <w:rPr>
          <w:rFonts w:cs="Times New Roman"/>
          <w:szCs w:val="24"/>
          <w:vertAlign w:val="superscript"/>
        </w:rPr>
        <w:t>-1</w:t>
      </w:r>
      <w:r w:rsidRPr="00BF7004">
        <w:rPr>
          <w:rFonts w:cs="Times New Roman"/>
          <w:szCs w:val="24"/>
        </w:rPr>
        <w:t>, the values were reduced in BRRI dhan49 on raised beds (1.23) and increased in BR11 on conventional plots (1.60).</w:t>
      </w:r>
    </w:p>
    <w:p w14:paraId="2BEC538B" w14:textId="77777777" w:rsidR="008C2FF2" w:rsidRPr="00BF7004" w:rsidRDefault="008C2FF2" w:rsidP="008C2FF2">
      <w:pPr>
        <w:spacing w:after="0" w:line="276" w:lineRule="auto"/>
        <w:jc w:val="both"/>
        <w:rPr>
          <w:rFonts w:cs="Times New Roman"/>
          <w:szCs w:val="24"/>
        </w:rPr>
      </w:pPr>
      <w:r w:rsidRPr="00BF7004">
        <w:rPr>
          <w:rFonts w:cs="Times New Roman"/>
          <w:szCs w:val="24"/>
        </w:rPr>
        <w:t xml:space="preserve">Panicle length was longest in BRRI dhan49 on raised beds (23.17 cm, V1P1), followed by BR11 on raised beds (V4P1), and shortest in BRRI dhan52 on conventional plots (21.30 cm). </w:t>
      </w:r>
      <w:r w:rsidRPr="00BF7004">
        <w:rPr>
          <w:rFonts w:cs="Times New Roman"/>
        </w:rPr>
        <w:t>No. of grains panicle</w:t>
      </w:r>
      <w:r w:rsidRPr="00BF7004">
        <w:rPr>
          <w:rFonts w:cs="Times New Roman"/>
          <w:vertAlign w:val="superscript"/>
        </w:rPr>
        <w:t xml:space="preserve">-1 </w:t>
      </w:r>
      <w:r w:rsidRPr="00BF7004">
        <w:rPr>
          <w:rFonts w:cs="Times New Roman"/>
          <w:szCs w:val="24"/>
        </w:rPr>
        <w:t xml:space="preserve">peaked at 143.57 in BRRI dhan49 raised beds and was statistically similar to BR11 raised beds (142.17), while BRRI dhan52 conventional planting (V2P2) produced the fewest grains (122.07). No. of sterile </w:t>
      </w:r>
      <w:proofErr w:type="spellStart"/>
      <w:r w:rsidRPr="00BF7004">
        <w:rPr>
          <w:rFonts w:cs="Times New Roman"/>
          <w:szCs w:val="24"/>
        </w:rPr>
        <w:t>spikelets</w:t>
      </w:r>
      <w:proofErr w:type="spellEnd"/>
      <w:r w:rsidRPr="00BF7004">
        <w:rPr>
          <w:rFonts w:cs="Times New Roman"/>
          <w:szCs w:val="24"/>
        </w:rPr>
        <w:t xml:space="preserve"> panicle</w:t>
      </w:r>
      <w:r w:rsidRPr="00BF7004">
        <w:rPr>
          <w:rFonts w:cs="Times New Roman"/>
          <w:szCs w:val="24"/>
          <w:vertAlign w:val="superscript"/>
        </w:rPr>
        <w:t>-1</w:t>
      </w:r>
      <w:r w:rsidRPr="00BF7004">
        <w:rPr>
          <w:rFonts w:cs="Times New Roman"/>
          <w:szCs w:val="24"/>
        </w:rPr>
        <w:t xml:space="preserve"> were lowest in BRRI dhan49 raised beds (10.93) and highest in BR11 conventional plots (14.63). The highest 1000-grain weight was recorded in BRRI dhan49 raised beds (21.77 g), and the lowest in Binadhan-7 conventional plots (19.43 g).</w:t>
      </w:r>
    </w:p>
    <w:p w14:paraId="244DB33F" w14:textId="64539095" w:rsidR="008C2FF2" w:rsidRPr="00BF7004" w:rsidRDefault="008C2FF2" w:rsidP="008C2FF2">
      <w:pPr>
        <w:spacing w:after="0" w:line="276" w:lineRule="auto"/>
        <w:jc w:val="both"/>
        <w:rPr>
          <w:rFonts w:cs="Times New Roman"/>
          <w:szCs w:val="24"/>
        </w:rPr>
      </w:pPr>
      <w:r w:rsidRPr="00BF7004">
        <w:rPr>
          <w:rFonts w:cs="Times New Roman"/>
          <w:szCs w:val="24"/>
        </w:rPr>
        <w:t>Yield-related traits were markedly influenced by the interaction of variety and planting method</w:t>
      </w:r>
      <w:r w:rsidR="000031BC" w:rsidRPr="00BF7004">
        <w:rPr>
          <w:rFonts w:cs="Times New Roman"/>
          <w:szCs w:val="24"/>
        </w:rPr>
        <w:t>s</w:t>
      </w:r>
      <w:r w:rsidRPr="00BF7004">
        <w:rPr>
          <w:rFonts w:cs="Times New Roman"/>
          <w:szCs w:val="24"/>
        </w:rPr>
        <w:t xml:space="preserve">. The highest grain yield (5.42 t/ha), straw yield (6.20 t/ha), and biological yield (11.71 t/ha) were achieved by BRRI dhan49 under raised bed planting (V1P1), while the lowest grain (4.25 t/ha), straw (5.17 t/ha), and biological yields (9.42 t/ha) were recorded in Binadhan-7 under conventional line planting (V3P2). A similar trend was observed for harvest index, reflecting the superior resource-use efficiency of BRRI dhan49 in the raised bed system (Table 3). </w:t>
      </w:r>
    </w:p>
    <w:bookmarkEnd w:id="3"/>
    <w:p w14:paraId="53E230C2" w14:textId="77777777" w:rsidR="008C2FF2" w:rsidRPr="00BF7004" w:rsidRDefault="008C2FF2" w:rsidP="008C2FF2">
      <w:pPr>
        <w:spacing w:after="0" w:line="276" w:lineRule="auto"/>
        <w:jc w:val="both"/>
        <w:rPr>
          <w:rFonts w:cs="Times New Roman"/>
          <w:szCs w:val="24"/>
        </w:rPr>
        <w:sectPr w:rsidR="008C2FF2" w:rsidRPr="00BF7004" w:rsidSect="008C2FF2">
          <w:pgSz w:w="12240" w:h="15840"/>
          <w:pgMar w:top="1440" w:right="1440" w:bottom="1440" w:left="1440" w:header="720" w:footer="720" w:gutter="0"/>
          <w:cols w:space="720"/>
          <w:docGrid w:linePitch="360"/>
        </w:sectPr>
      </w:pPr>
    </w:p>
    <w:p w14:paraId="27755726" w14:textId="08957ADD" w:rsidR="008C2FF2" w:rsidRPr="00BF7004" w:rsidRDefault="008C2FF2" w:rsidP="008C2FF2">
      <w:pPr>
        <w:jc w:val="both"/>
        <w:rPr>
          <w:rFonts w:cs="Times New Roman"/>
          <w:szCs w:val="24"/>
        </w:rPr>
      </w:pPr>
      <w:r w:rsidRPr="00BF7004">
        <w:rPr>
          <w:rFonts w:cs="Times New Roman"/>
          <w:b/>
          <w:szCs w:val="24"/>
        </w:rPr>
        <w:lastRenderedPageBreak/>
        <w:t xml:space="preserve">Table 3. Interaction effect of variety and cultivation methods on yield attributes and yield of </w:t>
      </w:r>
      <w:r w:rsidR="00764A50" w:rsidRPr="00764A50">
        <w:rPr>
          <w:rFonts w:cs="Times New Roman"/>
          <w:b/>
          <w:bCs/>
        </w:rPr>
        <w:t>T. Aman</w:t>
      </w:r>
      <w:r w:rsidR="00764A50" w:rsidRPr="00BF7004">
        <w:rPr>
          <w:rFonts w:cs="Times New Roman"/>
        </w:rPr>
        <w:t xml:space="preserve"> </w:t>
      </w:r>
      <w:r w:rsidRPr="00BF7004">
        <w:rPr>
          <w:rFonts w:cs="Times New Roman"/>
          <w:b/>
          <w:szCs w:val="24"/>
        </w:rPr>
        <w:t>rice</w:t>
      </w:r>
    </w:p>
    <w:tbl>
      <w:tblPr>
        <w:tblStyle w:val="TableGrid"/>
        <w:tblW w:w="1368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043"/>
        <w:gridCol w:w="932"/>
        <w:gridCol w:w="1059"/>
        <w:gridCol w:w="1084"/>
        <w:gridCol w:w="1043"/>
        <w:gridCol w:w="1070"/>
        <w:gridCol w:w="1106"/>
        <w:gridCol w:w="983"/>
        <w:gridCol w:w="860"/>
        <w:gridCol w:w="886"/>
        <w:gridCol w:w="1164"/>
        <w:gridCol w:w="959"/>
      </w:tblGrid>
      <w:tr w:rsidR="00BF7004" w:rsidRPr="00BF7004" w14:paraId="6315B928" w14:textId="77777777" w:rsidTr="00F201CC">
        <w:trPr>
          <w:cantSplit/>
          <w:trHeight w:val="784"/>
          <w:jc w:val="center"/>
        </w:trPr>
        <w:tc>
          <w:tcPr>
            <w:tcW w:w="1494" w:type="dxa"/>
            <w:tcBorders>
              <w:top w:val="single" w:sz="4" w:space="0" w:color="auto"/>
              <w:left w:val="nil"/>
              <w:bottom w:val="single" w:sz="4" w:space="0" w:color="auto"/>
              <w:right w:val="nil"/>
            </w:tcBorders>
          </w:tcPr>
          <w:p w14:paraId="5B9D0A05"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Variety</w:t>
            </w:r>
          </w:p>
        </w:tc>
        <w:tc>
          <w:tcPr>
            <w:tcW w:w="0" w:type="auto"/>
            <w:tcBorders>
              <w:top w:val="single" w:sz="4" w:space="0" w:color="auto"/>
              <w:left w:val="nil"/>
              <w:bottom w:val="single" w:sz="4" w:space="0" w:color="auto"/>
              <w:right w:val="nil"/>
            </w:tcBorders>
          </w:tcPr>
          <w:p w14:paraId="32964B04"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Plant height (cm)</w:t>
            </w:r>
          </w:p>
        </w:tc>
        <w:tc>
          <w:tcPr>
            <w:tcW w:w="0" w:type="auto"/>
            <w:tcBorders>
              <w:top w:val="single" w:sz="4" w:space="0" w:color="auto"/>
              <w:left w:val="nil"/>
              <w:bottom w:val="single" w:sz="4" w:space="0" w:color="auto"/>
              <w:right w:val="nil"/>
            </w:tcBorders>
          </w:tcPr>
          <w:p w14:paraId="4AC8B33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total tillers</w:t>
            </w:r>
          </w:p>
          <w:p w14:paraId="108F375F"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614BDF72"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effective tillers</w:t>
            </w:r>
          </w:p>
          <w:p w14:paraId="36C8118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54235B"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non-effective tillers</w:t>
            </w:r>
          </w:p>
          <w:p w14:paraId="1ADD3B5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hill</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3439636D"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Panicle length (cm)</w:t>
            </w:r>
          </w:p>
        </w:tc>
        <w:tc>
          <w:tcPr>
            <w:tcW w:w="0" w:type="auto"/>
            <w:tcBorders>
              <w:top w:val="single" w:sz="4" w:space="0" w:color="auto"/>
              <w:left w:val="nil"/>
              <w:bottom w:val="single" w:sz="4" w:space="0" w:color="auto"/>
              <w:right w:val="nil"/>
            </w:tcBorders>
          </w:tcPr>
          <w:p w14:paraId="18A80DA3"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No. of grains panicle</w:t>
            </w:r>
            <w:r w:rsidRPr="00BF7004">
              <w:rPr>
                <w:rFonts w:ascii="Times New Roman" w:hAnsi="Times New Roman" w:cs="Times New Roman"/>
                <w:vertAlign w:val="superscript"/>
              </w:rPr>
              <w:t>-1</w:t>
            </w:r>
          </w:p>
        </w:tc>
        <w:tc>
          <w:tcPr>
            <w:tcW w:w="0" w:type="auto"/>
            <w:tcBorders>
              <w:top w:val="single" w:sz="4" w:space="0" w:color="auto"/>
              <w:left w:val="nil"/>
              <w:bottom w:val="single" w:sz="4" w:space="0" w:color="auto"/>
              <w:right w:val="nil"/>
            </w:tcBorders>
          </w:tcPr>
          <w:p w14:paraId="021FF32C"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 xml:space="preserve">No. of sterile </w:t>
            </w:r>
            <w:proofErr w:type="spellStart"/>
            <w:r w:rsidRPr="00BF7004">
              <w:rPr>
                <w:rFonts w:ascii="Times New Roman" w:hAnsi="Times New Roman" w:cs="Times New Roman"/>
              </w:rPr>
              <w:t>spikelets</w:t>
            </w:r>
            <w:proofErr w:type="spellEnd"/>
            <w:r w:rsidRPr="00BF7004">
              <w:rPr>
                <w:rFonts w:ascii="Times New Roman" w:hAnsi="Times New Roman" w:cs="Times New Roman"/>
              </w:rPr>
              <w:t xml:space="preserve"> panicl</w:t>
            </w:r>
            <w:r w:rsidRPr="00BF7004">
              <w:rPr>
                <w:rFonts w:ascii="Times New Roman" w:hAnsi="Times New Roman" w:cs="Times New Roman"/>
                <w:vertAlign w:val="superscript"/>
              </w:rPr>
              <w:t>-1</w:t>
            </w:r>
          </w:p>
        </w:tc>
        <w:tc>
          <w:tcPr>
            <w:tcW w:w="981" w:type="dxa"/>
            <w:tcBorders>
              <w:top w:val="single" w:sz="4" w:space="0" w:color="auto"/>
              <w:left w:val="nil"/>
              <w:bottom w:val="single" w:sz="4" w:space="0" w:color="auto"/>
              <w:right w:val="nil"/>
            </w:tcBorders>
          </w:tcPr>
          <w:p w14:paraId="1EC08101"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1000-grain weight (g)</w:t>
            </w:r>
          </w:p>
        </w:tc>
        <w:tc>
          <w:tcPr>
            <w:tcW w:w="860" w:type="dxa"/>
            <w:tcBorders>
              <w:top w:val="single" w:sz="4" w:space="0" w:color="auto"/>
              <w:left w:val="nil"/>
              <w:bottom w:val="single" w:sz="4" w:space="0" w:color="auto"/>
              <w:right w:val="nil"/>
            </w:tcBorders>
          </w:tcPr>
          <w:p w14:paraId="5A21C8AC"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Grain yield</w:t>
            </w:r>
          </w:p>
          <w:p w14:paraId="5D1C600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249BC0F6"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Straw yield</w:t>
            </w:r>
          </w:p>
          <w:p w14:paraId="0646527F"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52D77D4B"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Biological yield</w:t>
            </w:r>
          </w:p>
          <w:p w14:paraId="2FEE9810"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(t ha</w:t>
            </w:r>
            <w:r w:rsidRPr="00BF7004">
              <w:rPr>
                <w:rFonts w:ascii="Times New Roman" w:hAnsi="Times New Roman" w:cs="Times New Roman"/>
                <w:vertAlign w:val="superscript"/>
              </w:rPr>
              <w:t>-1</w:t>
            </w:r>
            <w:r w:rsidRPr="00BF7004">
              <w:rPr>
                <w:rFonts w:ascii="Times New Roman" w:hAnsi="Times New Roman" w:cs="Times New Roman"/>
              </w:rPr>
              <w:t>)</w:t>
            </w:r>
          </w:p>
        </w:tc>
        <w:tc>
          <w:tcPr>
            <w:tcW w:w="0" w:type="auto"/>
            <w:tcBorders>
              <w:top w:val="single" w:sz="4" w:space="0" w:color="auto"/>
              <w:left w:val="nil"/>
              <w:bottom w:val="single" w:sz="4" w:space="0" w:color="auto"/>
              <w:right w:val="nil"/>
            </w:tcBorders>
          </w:tcPr>
          <w:p w14:paraId="6F4C7447" w14:textId="77777777" w:rsidR="008C2FF2" w:rsidRPr="00BF7004" w:rsidRDefault="008C2FF2" w:rsidP="00450745">
            <w:pPr>
              <w:rPr>
                <w:rFonts w:ascii="Times New Roman" w:hAnsi="Times New Roman" w:cs="Times New Roman"/>
              </w:rPr>
            </w:pPr>
            <w:r w:rsidRPr="00BF7004">
              <w:rPr>
                <w:rFonts w:ascii="Times New Roman" w:hAnsi="Times New Roman" w:cs="Times New Roman"/>
              </w:rPr>
              <w:t>Harvest index (%)</w:t>
            </w:r>
          </w:p>
        </w:tc>
      </w:tr>
      <w:tr w:rsidR="00BF7004" w:rsidRPr="00BF7004" w14:paraId="511380A5" w14:textId="77777777" w:rsidTr="00F201CC">
        <w:trPr>
          <w:cantSplit/>
          <w:trHeight w:val="337"/>
          <w:jc w:val="center"/>
        </w:trPr>
        <w:tc>
          <w:tcPr>
            <w:tcW w:w="1494" w:type="dxa"/>
            <w:tcBorders>
              <w:top w:val="single" w:sz="4" w:space="0" w:color="auto"/>
              <w:left w:val="nil"/>
              <w:bottom w:val="nil"/>
              <w:right w:val="nil"/>
            </w:tcBorders>
            <w:vAlign w:val="bottom"/>
          </w:tcPr>
          <w:p w14:paraId="536D2CF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V1:P1</w:t>
            </w:r>
          </w:p>
        </w:tc>
        <w:tc>
          <w:tcPr>
            <w:tcW w:w="0" w:type="auto"/>
            <w:tcBorders>
              <w:top w:val="single" w:sz="4" w:space="0" w:color="auto"/>
              <w:left w:val="nil"/>
              <w:bottom w:val="nil"/>
              <w:right w:val="nil"/>
            </w:tcBorders>
            <w:vAlign w:val="bottom"/>
          </w:tcPr>
          <w:p w14:paraId="1E63D09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102.27e</w:t>
            </w:r>
          </w:p>
        </w:tc>
        <w:tc>
          <w:tcPr>
            <w:tcW w:w="0" w:type="auto"/>
            <w:tcBorders>
              <w:top w:val="single" w:sz="4" w:space="0" w:color="auto"/>
              <w:left w:val="nil"/>
              <w:bottom w:val="nil"/>
              <w:right w:val="nil"/>
            </w:tcBorders>
            <w:vAlign w:val="bottom"/>
          </w:tcPr>
          <w:p w14:paraId="7646BD5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14.90a</w:t>
            </w:r>
          </w:p>
        </w:tc>
        <w:tc>
          <w:tcPr>
            <w:tcW w:w="0" w:type="auto"/>
            <w:tcBorders>
              <w:top w:val="single" w:sz="4" w:space="0" w:color="auto"/>
              <w:left w:val="nil"/>
              <w:bottom w:val="nil"/>
              <w:right w:val="nil"/>
            </w:tcBorders>
            <w:vAlign w:val="bottom"/>
          </w:tcPr>
          <w:p w14:paraId="12D9EC0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13.67a</w:t>
            </w:r>
          </w:p>
        </w:tc>
        <w:tc>
          <w:tcPr>
            <w:tcW w:w="0" w:type="auto"/>
            <w:tcBorders>
              <w:top w:val="single" w:sz="4" w:space="0" w:color="auto"/>
              <w:left w:val="nil"/>
              <w:bottom w:val="nil"/>
              <w:right w:val="nil"/>
            </w:tcBorders>
            <w:vAlign w:val="bottom"/>
          </w:tcPr>
          <w:p w14:paraId="4D40781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1.23c</w:t>
            </w:r>
          </w:p>
        </w:tc>
        <w:tc>
          <w:tcPr>
            <w:tcW w:w="0" w:type="auto"/>
            <w:tcBorders>
              <w:top w:val="single" w:sz="4" w:space="0" w:color="auto"/>
              <w:left w:val="nil"/>
              <w:bottom w:val="nil"/>
              <w:right w:val="nil"/>
            </w:tcBorders>
            <w:vAlign w:val="bottom"/>
          </w:tcPr>
          <w:p w14:paraId="3D4D243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23.77a</w:t>
            </w:r>
          </w:p>
        </w:tc>
        <w:tc>
          <w:tcPr>
            <w:tcW w:w="0" w:type="auto"/>
            <w:tcBorders>
              <w:top w:val="single" w:sz="4" w:space="0" w:color="auto"/>
              <w:left w:val="nil"/>
              <w:bottom w:val="nil"/>
              <w:right w:val="nil"/>
            </w:tcBorders>
            <w:vAlign w:val="bottom"/>
          </w:tcPr>
          <w:p w14:paraId="53731B7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143.57a</w:t>
            </w:r>
          </w:p>
        </w:tc>
        <w:tc>
          <w:tcPr>
            <w:tcW w:w="0" w:type="auto"/>
            <w:tcBorders>
              <w:top w:val="single" w:sz="4" w:space="0" w:color="auto"/>
              <w:left w:val="nil"/>
              <w:bottom w:val="nil"/>
              <w:right w:val="nil"/>
            </w:tcBorders>
            <w:vAlign w:val="bottom"/>
          </w:tcPr>
          <w:p w14:paraId="01F245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10.93e</w:t>
            </w:r>
          </w:p>
        </w:tc>
        <w:tc>
          <w:tcPr>
            <w:tcW w:w="981" w:type="dxa"/>
            <w:tcBorders>
              <w:top w:val="single" w:sz="4" w:space="0" w:color="auto"/>
              <w:left w:val="nil"/>
              <w:bottom w:val="nil"/>
              <w:right w:val="nil"/>
            </w:tcBorders>
            <w:vAlign w:val="bottom"/>
          </w:tcPr>
          <w:p w14:paraId="4653D29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21.77a</w:t>
            </w:r>
          </w:p>
        </w:tc>
        <w:tc>
          <w:tcPr>
            <w:tcW w:w="860" w:type="dxa"/>
            <w:tcBorders>
              <w:top w:val="single" w:sz="4" w:space="0" w:color="auto"/>
              <w:left w:val="nil"/>
              <w:bottom w:val="nil"/>
              <w:right w:val="nil"/>
            </w:tcBorders>
            <w:vAlign w:val="bottom"/>
          </w:tcPr>
          <w:p w14:paraId="18C2DA8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5.42a</w:t>
            </w:r>
          </w:p>
        </w:tc>
        <w:tc>
          <w:tcPr>
            <w:tcW w:w="0" w:type="auto"/>
            <w:tcBorders>
              <w:top w:val="single" w:sz="4" w:space="0" w:color="auto"/>
              <w:left w:val="nil"/>
              <w:bottom w:val="nil"/>
              <w:right w:val="nil"/>
            </w:tcBorders>
            <w:vAlign w:val="bottom"/>
          </w:tcPr>
          <w:p w14:paraId="064543B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6.29a</w:t>
            </w:r>
          </w:p>
        </w:tc>
        <w:tc>
          <w:tcPr>
            <w:tcW w:w="0" w:type="auto"/>
            <w:tcBorders>
              <w:top w:val="single" w:sz="4" w:space="0" w:color="auto"/>
              <w:left w:val="nil"/>
              <w:bottom w:val="nil"/>
              <w:right w:val="nil"/>
            </w:tcBorders>
            <w:vAlign w:val="bottom"/>
          </w:tcPr>
          <w:p w14:paraId="2A433D1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11.71a</w:t>
            </w:r>
          </w:p>
        </w:tc>
        <w:tc>
          <w:tcPr>
            <w:tcW w:w="0" w:type="auto"/>
            <w:tcBorders>
              <w:top w:val="single" w:sz="4" w:space="0" w:color="auto"/>
              <w:left w:val="nil"/>
              <w:bottom w:val="nil"/>
              <w:right w:val="nil"/>
            </w:tcBorders>
            <w:vAlign w:val="bottom"/>
          </w:tcPr>
          <w:p w14:paraId="708C4A8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46.28a</w:t>
            </w:r>
          </w:p>
        </w:tc>
      </w:tr>
      <w:tr w:rsidR="00BF7004" w:rsidRPr="00BF7004" w14:paraId="45218B52" w14:textId="77777777" w:rsidTr="00F201CC">
        <w:trPr>
          <w:cantSplit/>
          <w:trHeight w:val="343"/>
          <w:jc w:val="center"/>
        </w:trPr>
        <w:tc>
          <w:tcPr>
            <w:tcW w:w="1494" w:type="dxa"/>
            <w:tcBorders>
              <w:top w:val="nil"/>
              <w:left w:val="nil"/>
              <w:bottom w:val="nil"/>
              <w:right w:val="nil"/>
            </w:tcBorders>
            <w:vAlign w:val="bottom"/>
          </w:tcPr>
          <w:p w14:paraId="743B19E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V1:P2</w:t>
            </w:r>
          </w:p>
        </w:tc>
        <w:tc>
          <w:tcPr>
            <w:tcW w:w="0" w:type="auto"/>
            <w:tcBorders>
              <w:top w:val="nil"/>
              <w:left w:val="nil"/>
              <w:bottom w:val="nil"/>
              <w:right w:val="nil"/>
            </w:tcBorders>
            <w:vAlign w:val="bottom"/>
          </w:tcPr>
          <w:p w14:paraId="1A5E66B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103.00d</w:t>
            </w:r>
          </w:p>
        </w:tc>
        <w:tc>
          <w:tcPr>
            <w:tcW w:w="0" w:type="auto"/>
            <w:tcBorders>
              <w:top w:val="nil"/>
              <w:left w:val="nil"/>
              <w:bottom w:val="nil"/>
              <w:right w:val="nil"/>
            </w:tcBorders>
            <w:vAlign w:val="bottom"/>
          </w:tcPr>
          <w:p w14:paraId="3297A7F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13.97b</w:t>
            </w:r>
          </w:p>
        </w:tc>
        <w:tc>
          <w:tcPr>
            <w:tcW w:w="0" w:type="auto"/>
            <w:tcBorders>
              <w:top w:val="nil"/>
              <w:left w:val="nil"/>
              <w:bottom w:val="nil"/>
              <w:right w:val="nil"/>
            </w:tcBorders>
            <w:vAlign w:val="bottom"/>
          </w:tcPr>
          <w:p w14:paraId="7F128F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12.43b</w:t>
            </w:r>
          </w:p>
        </w:tc>
        <w:tc>
          <w:tcPr>
            <w:tcW w:w="0" w:type="auto"/>
            <w:tcBorders>
              <w:top w:val="nil"/>
              <w:left w:val="nil"/>
              <w:bottom w:val="nil"/>
              <w:right w:val="nil"/>
            </w:tcBorders>
            <w:vAlign w:val="bottom"/>
          </w:tcPr>
          <w:p w14:paraId="0609E93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4545939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nil"/>
              <w:right w:val="nil"/>
            </w:tcBorders>
            <w:vAlign w:val="bottom"/>
          </w:tcPr>
          <w:p w14:paraId="193AE35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139.10b</w:t>
            </w:r>
          </w:p>
        </w:tc>
        <w:tc>
          <w:tcPr>
            <w:tcW w:w="0" w:type="auto"/>
            <w:tcBorders>
              <w:top w:val="nil"/>
              <w:left w:val="nil"/>
              <w:bottom w:val="nil"/>
              <w:right w:val="nil"/>
            </w:tcBorders>
            <w:vAlign w:val="bottom"/>
          </w:tcPr>
          <w:p w14:paraId="032F526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14.37a</w:t>
            </w:r>
          </w:p>
        </w:tc>
        <w:tc>
          <w:tcPr>
            <w:tcW w:w="981" w:type="dxa"/>
            <w:tcBorders>
              <w:top w:val="nil"/>
              <w:left w:val="nil"/>
              <w:bottom w:val="nil"/>
              <w:right w:val="nil"/>
            </w:tcBorders>
            <w:vAlign w:val="bottom"/>
          </w:tcPr>
          <w:p w14:paraId="4978E0D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21.09b</w:t>
            </w:r>
          </w:p>
        </w:tc>
        <w:tc>
          <w:tcPr>
            <w:tcW w:w="860" w:type="dxa"/>
            <w:tcBorders>
              <w:top w:val="nil"/>
              <w:left w:val="nil"/>
              <w:bottom w:val="nil"/>
              <w:right w:val="nil"/>
            </w:tcBorders>
            <w:vAlign w:val="bottom"/>
          </w:tcPr>
          <w:p w14:paraId="3D5613B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4.96c</w:t>
            </w:r>
          </w:p>
        </w:tc>
        <w:tc>
          <w:tcPr>
            <w:tcW w:w="0" w:type="auto"/>
            <w:tcBorders>
              <w:top w:val="nil"/>
              <w:left w:val="nil"/>
              <w:bottom w:val="nil"/>
              <w:right w:val="nil"/>
            </w:tcBorders>
            <w:vAlign w:val="bottom"/>
          </w:tcPr>
          <w:p w14:paraId="2A3E1C4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5.91b</w:t>
            </w:r>
          </w:p>
        </w:tc>
        <w:tc>
          <w:tcPr>
            <w:tcW w:w="0" w:type="auto"/>
            <w:tcBorders>
              <w:top w:val="nil"/>
              <w:left w:val="nil"/>
              <w:bottom w:val="nil"/>
              <w:right w:val="nil"/>
            </w:tcBorders>
            <w:vAlign w:val="bottom"/>
          </w:tcPr>
          <w:p w14:paraId="2BCFCBB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10.87b</w:t>
            </w:r>
          </w:p>
        </w:tc>
        <w:tc>
          <w:tcPr>
            <w:tcW w:w="0" w:type="auto"/>
            <w:tcBorders>
              <w:top w:val="nil"/>
              <w:left w:val="nil"/>
              <w:bottom w:val="nil"/>
              <w:right w:val="nil"/>
            </w:tcBorders>
            <w:vAlign w:val="bottom"/>
          </w:tcPr>
          <w:p w14:paraId="5DC762A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45.60b</w:t>
            </w:r>
          </w:p>
        </w:tc>
      </w:tr>
      <w:tr w:rsidR="00BF7004" w:rsidRPr="00BF7004" w14:paraId="710D2C54" w14:textId="77777777" w:rsidTr="00F201CC">
        <w:trPr>
          <w:cantSplit/>
          <w:trHeight w:val="343"/>
          <w:jc w:val="center"/>
        </w:trPr>
        <w:tc>
          <w:tcPr>
            <w:tcW w:w="1494" w:type="dxa"/>
            <w:tcBorders>
              <w:top w:val="nil"/>
              <w:left w:val="nil"/>
              <w:bottom w:val="nil"/>
              <w:right w:val="nil"/>
            </w:tcBorders>
            <w:vAlign w:val="bottom"/>
          </w:tcPr>
          <w:p w14:paraId="32EAA80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V2:P1</w:t>
            </w:r>
          </w:p>
        </w:tc>
        <w:tc>
          <w:tcPr>
            <w:tcW w:w="0" w:type="auto"/>
            <w:tcBorders>
              <w:top w:val="nil"/>
              <w:left w:val="nil"/>
              <w:bottom w:val="nil"/>
              <w:right w:val="nil"/>
            </w:tcBorders>
            <w:vAlign w:val="bottom"/>
          </w:tcPr>
          <w:p w14:paraId="6F3CC2D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112.17a</w:t>
            </w:r>
          </w:p>
        </w:tc>
        <w:tc>
          <w:tcPr>
            <w:tcW w:w="0" w:type="auto"/>
            <w:tcBorders>
              <w:top w:val="nil"/>
              <w:left w:val="nil"/>
              <w:bottom w:val="nil"/>
              <w:right w:val="nil"/>
            </w:tcBorders>
            <w:vAlign w:val="bottom"/>
          </w:tcPr>
          <w:p w14:paraId="090BE26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11.78d</w:t>
            </w:r>
          </w:p>
        </w:tc>
        <w:tc>
          <w:tcPr>
            <w:tcW w:w="0" w:type="auto"/>
            <w:tcBorders>
              <w:top w:val="nil"/>
              <w:left w:val="nil"/>
              <w:bottom w:val="nil"/>
              <w:right w:val="nil"/>
            </w:tcBorders>
            <w:vAlign w:val="bottom"/>
          </w:tcPr>
          <w:p w14:paraId="27F9BF6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10.45d</w:t>
            </w:r>
          </w:p>
        </w:tc>
        <w:tc>
          <w:tcPr>
            <w:tcW w:w="0" w:type="auto"/>
            <w:tcBorders>
              <w:top w:val="nil"/>
              <w:left w:val="nil"/>
              <w:bottom w:val="nil"/>
              <w:right w:val="nil"/>
            </w:tcBorders>
            <w:vAlign w:val="bottom"/>
          </w:tcPr>
          <w:p w14:paraId="33314D9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0579FB3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22.33c</w:t>
            </w:r>
          </w:p>
        </w:tc>
        <w:tc>
          <w:tcPr>
            <w:tcW w:w="0" w:type="auto"/>
            <w:tcBorders>
              <w:top w:val="nil"/>
              <w:left w:val="nil"/>
              <w:bottom w:val="nil"/>
              <w:right w:val="nil"/>
            </w:tcBorders>
            <w:vAlign w:val="bottom"/>
          </w:tcPr>
          <w:p w14:paraId="33A7154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125.27c</w:t>
            </w:r>
          </w:p>
        </w:tc>
        <w:tc>
          <w:tcPr>
            <w:tcW w:w="0" w:type="auto"/>
            <w:tcBorders>
              <w:top w:val="nil"/>
              <w:left w:val="nil"/>
              <w:bottom w:val="nil"/>
              <w:right w:val="nil"/>
            </w:tcBorders>
            <w:vAlign w:val="bottom"/>
          </w:tcPr>
          <w:p w14:paraId="2BE8AD7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11.33de</w:t>
            </w:r>
          </w:p>
        </w:tc>
        <w:tc>
          <w:tcPr>
            <w:tcW w:w="981" w:type="dxa"/>
            <w:tcBorders>
              <w:top w:val="nil"/>
              <w:left w:val="nil"/>
              <w:bottom w:val="nil"/>
              <w:right w:val="nil"/>
            </w:tcBorders>
            <w:vAlign w:val="bottom"/>
          </w:tcPr>
          <w:p w14:paraId="1852C80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19.85de</w:t>
            </w:r>
          </w:p>
        </w:tc>
        <w:tc>
          <w:tcPr>
            <w:tcW w:w="860" w:type="dxa"/>
            <w:tcBorders>
              <w:top w:val="nil"/>
              <w:left w:val="nil"/>
              <w:bottom w:val="nil"/>
              <w:right w:val="nil"/>
            </w:tcBorders>
            <w:vAlign w:val="bottom"/>
          </w:tcPr>
          <w:p w14:paraId="3AD097A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4.69d</w:t>
            </w:r>
          </w:p>
        </w:tc>
        <w:tc>
          <w:tcPr>
            <w:tcW w:w="0" w:type="auto"/>
            <w:tcBorders>
              <w:top w:val="nil"/>
              <w:left w:val="nil"/>
              <w:bottom w:val="nil"/>
              <w:right w:val="nil"/>
            </w:tcBorders>
            <w:vAlign w:val="bottom"/>
          </w:tcPr>
          <w:p w14:paraId="6F57873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5.70c</w:t>
            </w:r>
          </w:p>
        </w:tc>
        <w:tc>
          <w:tcPr>
            <w:tcW w:w="0" w:type="auto"/>
            <w:tcBorders>
              <w:top w:val="nil"/>
              <w:left w:val="nil"/>
              <w:bottom w:val="nil"/>
              <w:right w:val="nil"/>
            </w:tcBorders>
            <w:vAlign w:val="bottom"/>
          </w:tcPr>
          <w:p w14:paraId="0BEBFC4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10.39c</w:t>
            </w:r>
          </w:p>
        </w:tc>
        <w:tc>
          <w:tcPr>
            <w:tcW w:w="0" w:type="auto"/>
            <w:tcBorders>
              <w:top w:val="nil"/>
              <w:left w:val="nil"/>
              <w:bottom w:val="nil"/>
              <w:right w:val="nil"/>
            </w:tcBorders>
            <w:vAlign w:val="bottom"/>
          </w:tcPr>
          <w:p w14:paraId="77396CB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45.14b</w:t>
            </w:r>
          </w:p>
        </w:tc>
      </w:tr>
      <w:tr w:rsidR="00BF7004" w:rsidRPr="00BF7004" w14:paraId="47FDE5CD" w14:textId="77777777" w:rsidTr="00F201CC">
        <w:trPr>
          <w:cantSplit/>
          <w:trHeight w:val="337"/>
          <w:jc w:val="center"/>
        </w:trPr>
        <w:tc>
          <w:tcPr>
            <w:tcW w:w="1494" w:type="dxa"/>
            <w:tcBorders>
              <w:top w:val="nil"/>
              <w:left w:val="nil"/>
              <w:bottom w:val="nil"/>
              <w:right w:val="nil"/>
            </w:tcBorders>
            <w:vAlign w:val="bottom"/>
          </w:tcPr>
          <w:p w14:paraId="216A900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V2:P2</w:t>
            </w:r>
          </w:p>
        </w:tc>
        <w:tc>
          <w:tcPr>
            <w:tcW w:w="0" w:type="auto"/>
            <w:tcBorders>
              <w:top w:val="nil"/>
              <w:left w:val="nil"/>
              <w:bottom w:val="nil"/>
              <w:right w:val="nil"/>
            </w:tcBorders>
            <w:vAlign w:val="bottom"/>
          </w:tcPr>
          <w:p w14:paraId="1023F34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111.87a</w:t>
            </w:r>
          </w:p>
        </w:tc>
        <w:tc>
          <w:tcPr>
            <w:tcW w:w="0" w:type="auto"/>
            <w:tcBorders>
              <w:top w:val="nil"/>
              <w:left w:val="nil"/>
              <w:bottom w:val="nil"/>
              <w:right w:val="nil"/>
            </w:tcBorders>
            <w:vAlign w:val="bottom"/>
          </w:tcPr>
          <w:p w14:paraId="4E37932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4514FBC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9.68e</w:t>
            </w:r>
          </w:p>
        </w:tc>
        <w:tc>
          <w:tcPr>
            <w:tcW w:w="0" w:type="auto"/>
            <w:tcBorders>
              <w:top w:val="nil"/>
              <w:left w:val="nil"/>
              <w:bottom w:val="nil"/>
              <w:right w:val="nil"/>
            </w:tcBorders>
            <w:vAlign w:val="bottom"/>
          </w:tcPr>
          <w:p w14:paraId="510C25D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1.53a</w:t>
            </w:r>
          </w:p>
        </w:tc>
        <w:tc>
          <w:tcPr>
            <w:tcW w:w="0" w:type="auto"/>
            <w:tcBorders>
              <w:top w:val="nil"/>
              <w:left w:val="nil"/>
              <w:bottom w:val="nil"/>
              <w:right w:val="nil"/>
            </w:tcBorders>
            <w:vAlign w:val="bottom"/>
          </w:tcPr>
          <w:p w14:paraId="5A14581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21.30d</w:t>
            </w:r>
          </w:p>
        </w:tc>
        <w:tc>
          <w:tcPr>
            <w:tcW w:w="0" w:type="auto"/>
            <w:tcBorders>
              <w:top w:val="nil"/>
              <w:left w:val="nil"/>
              <w:bottom w:val="nil"/>
              <w:right w:val="nil"/>
            </w:tcBorders>
            <w:vAlign w:val="bottom"/>
          </w:tcPr>
          <w:p w14:paraId="5984198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122.07d</w:t>
            </w:r>
          </w:p>
        </w:tc>
        <w:tc>
          <w:tcPr>
            <w:tcW w:w="0" w:type="auto"/>
            <w:tcBorders>
              <w:top w:val="nil"/>
              <w:left w:val="nil"/>
              <w:bottom w:val="nil"/>
              <w:right w:val="nil"/>
            </w:tcBorders>
            <w:vAlign w:val="bottom"/>
          </w:tcPr>
          <w:p w14:paraId="3BD56D6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14.43a</w:t>
            </w:r>
          </w:p>
        </w:tc>
        <w:tc>
          <w:tcPr>
            <w:tcW w:w="981" w:type="dxa"/>
            <w:tcBorders>
              <w:top w:val="nil"/>
              <w:left w:val="nil"/>
              <w:bottom w:val="nil"/>
              <w:right w:val="nil"/>
            </w:tcBorders>
            <w:vAlign w:val="bottom"/>
          </w:tcPr>
          <w:p w14:paraId="05D3A65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19.67e</w:t>
            </w:r>
          </w:p>
        </w:tc>
        <w:tc>
          <w:tcPr>
            <w:tcW w:w="860" w:type="dxa"/>
            <w:tcBorders>
              <w:top w:val="nil"/>
              <w:left w:val="nil"/>
              <w:bottom w:val="nil"/>
              <w:right w:val="nil"/>
            </w:tcBorders>
            <w:vAlign w:val="bottom"/>
          </w:tcPr>
          <w:p w14:paraId="23A15D3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4.38e</w:t>
            </w:r>
          </w:p>
        </w:tc>
        <w:tc>
          <w:tcPr>
            <w:tcW w:w="0" w:type="auto"/>
            <w:tcBorders>
              <w:top w:val="nil"/>
              <w:left w:val="nil"/>
              <w:bottom w:val="nil"/>
              <w:right w:val="nil"/>
            </w:tcBorders>
            <w:vAlign w:val="bottom"/>
          </w:tcPr>
          <w:p w14:paraId="0081689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5.48d</w:t>
            </w:r>
          </w:p>
        </w:tc>
        <w:tc>
          <w:tcPr>
            <w:tcW w:w="0" w:type="auto"/>
            <w:tcBorders>
              <w:top w:val="nil"/>
              <w:left w:val="nil"/>
              <w:bottom w:val="nil"/>
              <w:right w:val="nil"/>
            </w:tcBorders>
            <w:vAlign w:val="bottom"/>
          </w:tcPr>
          <w:p w14:paraId="7F95198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9.86d</w:t>
            </w:r>
          </w:p>
        </w:tc>
        <w:tc>
          <w:tcPr>
            <w:tcW w:w="0" w:type="auto"/>
            <w:tcBorders>
              <w:top w:val="nil"/>
              <w:left w:val="nil"/>
              <w:bottom w:val="nil"/>
              <w:right w:val="nil"/>
            </w:tcBorders>
            <w:vAlign w:val="bottom"/>
          </w:tcPr>
          <w:p w14:paraId="1601393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44.40c</w:t>
            </w:r>
          </w:p>
        </w:tc>
      </w:tr>
      <w:tr w:rsidR="00BF7004" w:rsidRPr="00BF7004" w14:paraId="5B8EF553" w14:textId="77777777" w:rsidTr="00F201CC">
        <w:trPr>
          <w:cantSplit/>
          <w:trHeight w:val="343"/>
          <w:jc w:val="center"/>
        </w:trPr>
        <w:tc>
          <w:tcPr>
            <w:tcW w:w="1494" w:type="dxa"/>
            <w:tcBorders>
              <w:top w:val="nil"/>
              <w:left w:val="nil"/>
              <w:bottom w:val="nil"/>
              <w:right w:val="nil"/>
            </w:tcBorders>
            <w:vAlign w:val="bottom"/>
          </w:tcPr>
          <w:p w14:paraId="7265C0F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V3:P1</w:t>
            </w:r>
          </w:p>
        </w:tc>
        <w:tc>
          <w:tcPr>
            <w:tcW w:w="0" w:type="auto"/>
            <w:tcBorders>
              <w:top w:val="nil"/>
              <w:left w:val="nil"/>
              <w:bottom w:val="nil"/>
              <w:right w:val="nil"/>
            </w:tcBorders>
            <w:vAlign w:val="bottom"/>
          </w:tcPr>
          <w:p w14:paraId="44A989B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90.93g</w:t>
            </w:r>
          </w:p>
        </w:tc>
        <w:tc>
          <w:tcPr>
            <w:tcW w:w="0" w:type="auto"/>
            <w:tcBorders>
              <w:top w:val="nil"/>
              <w:left w:val="nil"/>
              <w:bottom w:val="nil"/>
              <w:right w:val="nil"/>
            </w:tcBorders>
            <w:vAlign w:val="bottom"/>
          </w:tcPr>
          <w:p w14:paraId="3716242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11.73d</w:t>
            </w:r>
          </w:p>
        </w:tc>
        <w:tc>
          <w:tcPr>
            <w:tcW w:w="0" w:type="auto"/>
            <w:tcBorders>
              <w:top w:val="nil"/>
              <w:left w:val="nil"/>
              <w:bottom w:val="nil"/>
              <w:right w:val="nil"/>
            </w:tcBorders>
            <w:vAlign w:val="bottom"/>
          </w:tcPr>
          <w:p w14:paraId="6775B5B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10.40d</w:t>
            </w:r>
          </w:p>
        </w:tc>
        <w:tc>
          <w:tcPr>
            <w:tcW w:w="0" w:type="auto"/>
            <w:tcBorders>
              <w:top w:val="nil"/>
              <w:left w:val="nil"/>
              <w:bottom w:val="nil"/>
              <w:right w:val="nil"/>
            </w:tcBorders>
            <w:vAlign w:val="bottom"/>
          </w:tcPr>
          <w:p w14:paraId="29CA487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1.33bc</w:t>
            </w:r>
          </w:p>
        </w:tc>
        <w:tc>
          <w:tcPr>
            <w:tcW w:w="0" w:type="auto"/>
            <w:tcBorders>
              <w:top w:val="nil"/>
              <w:left w:val="nil"/>
              <w:bottom w:val="nil"/>
              <w:right w:val="nil"/>
            </w:tcBorders>
            <w:vAlign w:val="bottom"/>
          </w:tcPr>
          <w:p w14:paraId="504ABC2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22.80bc</w:t>
            </w:r>
          </w:p>
        </w:tc>
        <w:tc>
          <w:tcPr>
            <w:tcW w:w="0" w:type="auto"/>
            <w:tcBorders>
              <w:top w:val="nil"/>
              <w:left w:val="nil"/>
              <w:bottom w:val="nil"/>
              <w:right w:val="nil"/>
            </w:tcBorders>
            <w:vAlign w:val="bottom"/>
          </w:tcPr>
          <w:p w14:paraId="5E21ADA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124.73c</w:t>
            </w:r>
          </w:p>
        </w:tc>
        <w:tc>
          <w:tcPr>
            <w:tcW w:w="0" w:type="auto"/>
            <w:tcBorders>
              <w:top w:val="nil"/>
              <w:left w:val="nil"/>
              <w:bottom w:val="nil"/>
              <w:right w:val="nil"/>
            </w:tcBorders>
            <w:vAlign w:val="bottom"/>
          </w:tcPr>
          <w:p w14:paraId="4D0F354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12.33c</w:t>
            </w:r>
          </w:p>
        </w:tc>
        <w:tc>
          <w:tcPr>
            <w:tcW w:w="981" w:type="dxa"/>
            <w:tcBorders>
              <w:top w:val="nil"/>
              <w:left w:val="nil"/>
              <w:bottom w:val="nil"/>
              <w:right w:val="nil"/>
            </w:tcBorders>
            <w:vAlign w:val="bottom"/>
          </w:tcPr>
          <w:p w14:paraId="5B7B06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19.51e</w:t>
            </w:r>
          </w:p>
        </w:tc>
        <w:tc>
          <w:tcPr>
            <w:tcW w:w="860" w:type="dxa"/>
            <w:tcBorders>
              <w:top w:val="nil"/>
              <w:left w:val="nil"/>
              <w:bottom w:val="nil"/>
              <w:right w:val="nil"/>
            </w:tcBorders>
            <w:vAlign w:val="bottom"/>
          </w:tcPr>
          <w:p w14:paraId="19A81CE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4.72d</w:t>
            </w:r>
          </w:p>
        </w:tc>
        <w:tc>
          <w:tcPr>
            <w:tcW w:w="0" w:type="auto"/>
            <w:tcBorders>
              <w:top w:val="nil"/>
              <w:left w:val="nil"/>
              <w:bottom w:val="nil"/>
              <w:right w:val="nil"/>
            </w:tcBorders>
            <w:vAlign w:val="bottom"/>
          </w:tcPr>
          <w:p w14:paraId="616A754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5.62cd</w:t>
            </w:r>
          </w:p>
        </w:tc>
        <w:tc>
          <w:tcPr>
            <w:tcW w:w="0" w:type="auto"/>
            <w:tcBorders>
              <w:top w:val="nil"/>
              <w:left w:val="nil"/>
              <w:bottom w:val="nil"/>
              <w:right w:val="nil"/>
            </w:tcBorders>
            <w:vAlign w:val="bottom"/>
          </w:tcPr>
          <w:p w14:paraId="4C21318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10.34c</w:t>
            </w:r>
          </w:p>
        </w:tc>
        <w:tc>
          <w:tcPr>
            <w:tcW w:w="0" w:type="auto"/>
            <w:tcBorders>
              <w:top w:val="nil"/>
              <w:left w:val="nil"/>
              <w:bottom w:val="nil"/>
              <w:right w:val="nil"/>
            </w:tcBorders>
            <w:vAlign w:val="bottom"/>
          </w:tcPr>
          <w:p w14:paraId="3076E07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45.50b</w:t>
            </w:r>
          </w:p>
        </w:tc>
      </w:tr>
      <w:tr w:rsidR="00BF7004" w:rsidRPr="00BF7004" w14:paraId="68E4C414" w14:textId="77777777" w:rsidTr="00F201CC">
        <w:trPr>
          <w:cantSplit/>
          <w:trHeight w:val="343"/>
          <w:jc w:val="center"/>
        </w:trPr>
        <w:tc>
          <w:tcPr>
            <w:tcW w:w="1494" w:type="dxa"/>
            <w:tcBorders>
              <w:top w:val="nil"/>
              <w:left w:val="nil"/>
              <w:bottom w:val="nil"/>
              <w:right w:val="nil"/>
            </w:tcBorders>
            <w:vAlign w:val="bottom"/>
          </w:tcPr>
          <w:p w14:paraId="166649C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V3:P2</w:t>
            </w:r>
          </w:p>
        </w:tc>
        <w:tc>
          <w:tcPr>
            <w:tcW w:w="0" w:type="auto"/>
            <w:tcBorders>
              <w:top w:val="nil"/>
              <w:left w:val="nil"/>
              <w:bottom w:val="nil"/>
              <w:right w:val="nil"/>
            </w:tcBorders>
            <w:vAlign w:val="bottom"/>
          </w:tcPr>
          <w:p w14:paraId="6D29C60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92.03f</w:t>
            </w:r>
          </w:p>
        </w:tc>
        <w:tc>
          <w:tcPr>
            <w:tcW w:w="0" w:type="auto"/>
            <w:tcBorders>
              <w:top w:val="nil"/>
              <w:left w:val="nil"/>
              <w:bottom w:val="nil"/>
              <w:right w:val="nil"/>
            </w:tcBorders>
            <w:vAlign w:val="bottom"/>
          </w:tcPr>
          <w:p w14:paraId="769E560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11.22e</w:t>
            </w:r>
          </w:p>
        </w:tc>
        <w:tc>
          <w:tcPr>
            <w:tcW w:w="0" w:type="auto"/>
            <w:tcBorders>
              <w:top w:val="nil"/>
              <w:left w:val="nil"/>
              <w:bottom w:val="nil"/>
              <w:right w:val="nil"/>
            </w:tcBorders>
            <w:vAlign w:val="bottom"/>
          </w:tcPr>
          <w:p w14:paraId="33581F6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9.65e</w:t>
            </w:r>
          </w:p>
        </w:tc>
        <w:tc>
          <w:tcPr>
            <w:tcW w:w="0" w:type="auto"/>
            <w:tcBorders>
              <w:top w:val="nil"/>
              <w:left w:val="nil"/>
              <w:bottom w:val="nil"/>
              <w:right w:val="nil"/>
            </w:tcBorders>
            <w:vAlign w:val="bottom"/>
          </w:tcPr>
          <w:p w14:paraId="56B9241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1.57a</w:t>
            </w:r>
          </w:p>
        </w:tc>
        <w:tc>
          <w:tcPr>
            <w:tcW w:w="0" w:type="auto"/>
            <w:tcBorders>
              <w:top w:val="nil"/>
              <w:left w:val="nil"/>
              <w:bottom w:val="nil"/>
              <w:right w:val="nil"/>
            </w:tcBorders>
            <w:vAlign w:val="bottom"/>
          </w:tcPr>
          <w:p w14:paraId="17AB056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22.10c</w:t>
            </w:r>
          </w:p>
        </w:tc>
        <w:tc>
          <w:tcPr>
            <w:tcW w:w="0" w:type="auto"/>
            <w:tcBorders>
              <w:top w:val="nil"/>
              <w:left w:val="nil"/>
              <w:bottom w:val="nil"/>
              <w:right w:val="nil"/>
            </w:tcBorders>
            <w:vAlign w:val="bottom"/>
          </w:tcPr>
          <w:p w14:paraId="16FB72A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122.33d</w:t>
            </w:r>
          </w:p>
        </w:tc>
        <w:tc>
          <w:tcPr>
            <w:tcW w:w="0" w:type="auto"/>
            <w:tcBorders>
              <w:top w:val="nil"/>
              <w:left w:val="nil"/>
              <w:bottom w:val="nil"/>
              <w:right w:val="nil"/>
            </w:tcBorders>
            <w:vAlign w:val="bottom"/>
          </w:tcPr>
          <w:p w14:paraId="476B0F0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13.43b</w:t>
            </w:r>
          </w:p>
        </w:tc>
        <w:tc>
          <w:tcPr>
            <w:tcW w:w="981" w:type="dxa"/>
            <w:tcBorders>
              <w:top w:val="nil"/>
              <w:left w:val="nil"/>
              <w:bottom w:val="nil"/>
              <w:right w:val="nil"/>
            </w:tcBorders>
            <w:vAlign w:val="bottom"/>
          </w:tcPr>
          <w:p w14:paraId="712CFBA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19.43e</w:t>
            </w:r>
          </w:p>
        </w:tc>
        <w:tc>
          <w:tcPr>
            <w:tcW w:w="860" w:type="dxa"/>
            <w:tcBorders>
              <w:top w:val="nil"/>
              <w:left w:val="nil"/>
              <w:bottom w:val="nil"/>
              <w:right w:val="nil"/>
            </w:tcBorders>
            <w:vAlign w:val="bottom"/>
          </w:tcPr>
          <w:p w14:paraId="65BFFE2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4.25e</w:t>
            </w:r>
          </w:p>
        </w:tc>
        <w:tc>
          <w:tcPr>
            <w:tcW w:w="0" w:type="auto"/>
            <w:tcBorders>
              <w:top w:val="nil"/>
              <w:left w:val="nil"/>
              <w:bottom w:val="nil"/>
              <w:right w:val="nil"/>
            </w:tcBorders>
            <w:vAlign w:val="bottom"/>
          </w:tcPr>
          <w:p w14:paraId="1186040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5.17e</w:t>
            </w:r>
          </w:p>
        </w:tc>
        <w:tc>
          <w:tcPr>
            <w:tcW w:w="0" w:type="auto"/>
            <w:tcBorders>
              <w:top w:val="nil"/>
              <w:left w:val="nil"/>
              <w:bottom w:val="nil"/>
              <w:right w:val="nil"/>
            </w:tcBorders>
            <w:vAlign w:val="bottom"/>
          </w:tcPr>
          <w:p w14:paraId="5D5421B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9.42e</w:t>
            </w:r>
          </w:p>
        </w:tc>
        <w:tc>
          <w:tcPr>
            <w:tcW w:w="0" w:type="auto"/>
            <w:tcBorders>
              <w:top w:val="nil"/>
              <w:left w:val="nil"/>
              <w:bottom w:val="nil"/>
              <w:right w:val="nil"/>
            </w:tcBorders>
            <w:vAlign w:val="bottom"/>
          </w:tcPr>
          <w:p w14:paraId="7F9DEEF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45.13b</w:t>
            </w:r>
          </w:p>
        </w:tc>
      </w:tr>
      <w:tr w:rsidR="00BF7004" w:rsidRPr="00BF7004" w14:paraId="2282A311" w14:textId="77777777" w:rsidTr="00F201CC">
        <w:trPr>
          <w:cantSplit/>
          <w:trHeight w:val="337"/>
          <w:jc w:val="center"/>
        </w:trPr>
        <w:tc>
          <w:tcPr>
            <w:tcW w:w="1494" w:type="dxa"/>
            <w:tcBorders>
              <w:top w:val="nil"/>
              <w:left w:val="nil"/>
              <w:bottom w:val="nil"/>
              <w:right w:val="nil"/>
            </w:tcBorders>
            <w:vAlign w:val="bottom"/>
          </w:tcPr>
          <w:p w14:paraId="2B43315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V4:P1</w:t>
            </w:r>
          </w:p>
        </w:tc>
        <w:tc>
          <w:tcPr>
            <w:tcW w:w="0" w:type="auto"/>
            <w:tcBorders>
              <w:top w:val="nil"/>
              <w:left w:val="nil"/>
              <w:bottom w:val="nil"/>
              <w:right w:val="nil"/>
            </w:tcBorders>
            <w:vAlign w:val="bottom"/>
          </w:tcPr>
          <w:p w14:paraId="4BC9D7E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110.67c</w:t>
            </w:r>
          </w:p>
        </w:tc>
        <w:tc>
          <w:tcPr>
            <w:tcW w:w="0" w:type="auto"/>
            <w:tcBorders>
              <w:top w:val="nil"/>
              <w:left w:val="nil"/>
              <w:bottom w:val="nil"/>
              <w:right w:val="nil"/>
            </w:tcBorders>
            <w:vAlign w:val="bottom"/>
          </w:tcPr>
          <w:p w14:paraId="196BF92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13.62b</w:t>
            </w:r>
          </w:p>
        </w:tc>
        <w:tc>
          <w:tcPr>
            <w:tcW w:w="0" w:type="auto"/>
            <w:tcBorders>
              <w:top w:val="nil"/>
              <w:left w:val="nil"/>
              <w:bottom w:val="nil"/>
              <w:right w:val="nil"/>
            </w:tcBorders>
            <w:vAlign w:val="bottom"/>
          </w:tcPr>
          <w:p w14:paraId="5E42374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12.25b</w:t>
            </w:r>
          </w:p>
        </w:tc>
        <w:tc>
          <w:tcPr>
            <w:tcW w:w="0" w:type="auto"/>
            <w:tcBorders>
              <w:top w:val="nil"/>
              <w:left w:val="nil"/>
              <w:bottom w:val="nil"/>
              <w:right w:val="nil"/>
            </w:tcBorders>
            <w:vAlign w:val="bottom"/>
          </w:tcPr>
          <w:p w14:paraId="2D4F0D5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1.37b</w:t>
            </w:r>
          </w:p>
        </w:tc>
        <w:tc>
          <w:tcPr>
            <w:tcW w:w="0" w:type="auto"/>
            <w:tcBorders>
              <w:top w:val="nil"/>
              <w:left w:val="nil"/>
              <w:bottom w:val="nil"/>
              <w:right w:val="nil"/>
            </w:tcBorders>
            <w:vAlign w:val="bottom"/>
          </w:tcPr>
          <w:p w14:paraId="4CBF69B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23.17ab</w:t>
            </w:r>
          </w:p>
        </w:tc>
        <w:tc>
          <w:tcPr>
            <w:tcW w:w="0" w:type="auto"/>
            <w:tcBorders>
              <w:top w:val="nil"/>
              <w:left w:val="nil"/>
              <w:bottom w:val="nil"/>
              <w:right w:val="nil"/>
            </w:tcBorders>
            <w:vAlign w:val="bottom"/>
          </w:tcPr>
          <w:p w14:paraId="66478AA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142.17a</w:t>
            </w:r>
          </w:p>
        </w:tc>
        <w:tc>
          <w:tcPr>
            <w:tcW w:w="0" w:type="auto"/>
            <w:tcBorders>
              <w:top w:val="nil"/>
              <w:left w:val="nil"/>
              <w:bottom w:val="nil"/>
              <w:right w:val="nil"/>
            </w:tcBorders>
            <w:vAlign w:val="bottom"/>
          </w:tcPr>
          <w:p w14:paraId="619E846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11.47d</w:t>
            </w:r>
          </w:p>
        </w:tc>
        <w:tc>
          <w:tcPr>
            <w:tcW w:w="981" w:type="dxa"/>
            <w:tcBorders>
              <w:top w:val="nil"/>
              <w:left w:val="nil"/>
              <w:bottom w:val="nil"/>
              <w:right w:val="nil"/>
            </w:tcBorders>
            <w:vAlign w:val="bottom"/>
          </w:tcPr>
          <w:p w14:paraId="194A408E"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20.65bc</w:t>
            </w:r>
          </w:p>
        </w:tc>
        <w:tc>
          <w:tcPr>
            <w:tcW w:w="860" w:type="dxa"/>
            <w:tcBorders>
              <w:top w:val="nil"/>
              <w:left w:val="nil"/>
              <w:bottom w:val="nil"/>
              <w:right w:val="nil"/>
            </w:tcBorders>
            <w:vAlign w:val="bottom"/>
          </w:tcPr>
          <w:p w14:paraId="509B58F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5.21b</w:t>
            </w:r>
          </w:p>
        </w:tc>
        <w:tc>
          <w:tcPr>
            <w:tcW w:w="0" w:type="auto"/>
            <w:tcBorders>
              <w:top w:val="nil"/>
              <w:left w:val="nil"/>
              <w:bottom w:val="nil"/>
              <w:right w:val="nil"/>
            </w:tcBorders>
            <w:vAlign w:val="bottom"/>
          </w:tcPr>
          <w:p w14:paraId="72B092E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6.20a</w:t>
            </w:r>
          </w:p>
        </w:tc>
        <w:tc>
          <w:tcPr>
            <w:tcW w:w="0" w:type="auto"/>
            <w:tcBorders>
              <w:top w:val="nil"/>
              <w:left w:val="nil"/>
              <w:bottom w:val="nil"/>
              <w:right w:val="nil"/>
            </w:tcBorders>
            <w:vAlign w:val="bottom"/>
          </w:tcPr>
          <w:p w14:paraId="7AFFC6C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11.41a</w:t>
            </w:r>
          </w:p>
        </w:tc>
        <w:tc>
          <w:tcPr>
            <w:tcW w:w="0" w:type="auto"/>
            <w:tcBorders>
              <w:top w:val="nil"/>
              <w:left w:val="nil"/>
              <w:bottom w:val="nil"/>
              <w:right w:val="nil"/>
            </w:tcBorders>
            <w:vAlign w:val="bottom"/>
          </w:tcPr>
          <w:p w14:paraId="417AE3D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45.66b</w:t>
            </w:r>
          </w:p>
        </w:tc>
      </w:tr>
      <w:tr w:rsidR="00BF7004" w:rsidRPr="00BF7004" w14:paraId="1B80C026" w14:textId="77777777" w:rsidTr="00F201CC">
        <w:trPr>
          <w:cantSplit/>
          <w:trHeight w:val="343"/>
          <w:jc w:val="center"/>
        </w:trPr>
        <w:tc>
          <w:tcPr>
            <w:tcW w:w="1494" w:type="dxa"/>
            <w:tcBorders>
              <w:top w:val="nil"/>
              <w:left w:val="nil"/>
              <w:bottom w:val="single" w:sz="4" w:space="0" w:color="auto"/>
              <w:right w:val="nil"/>
            </w:tcBorders>
            <w:vAlign w:val="bottom"/>
          </w:tcPr>
          <w:p w14:paraId="08B68A5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V4:P2</w:t>
            </w:r>
          </w:p>
        </w:tc>
        <w:tc>
          <w:tcPr>
            <w:tcW w:w="0" w:type="auto"/>
            <w:tcBorders>
              <w:top w:val="nil"/>
              <w:left w:val="nil"/>
              <w:bottom w:val="single" w:sz="4" w:space="0" w:color="auto"/>
              <w:right w:val="nil"/>
            </w:tcBorders>
            <w:vAlign w:val="bottom"/>
          </w:tcPr>
          <w:p w14:paraId="5DE6B45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111.17b</w:t>
            </w:r>
          </w:p>
        </w:tc>
        <w:tc>
          <w:tcPr>
            <w:tcW w:w="0" w:type="auto"/>
            <w:tcBorders>
              <w:top w:val="nil"/>
              <w:left w:val="nil"/>
              <w:bottom w:val="single" w:sz="4" w:space="0" w:color="auto"/>
              <w:right w:val="nil"/>
            </w:tcBorders>
            <w:vAlign w:val="bottom"/>
          </w:tcPr>
          <w:p w14:paraId="76A0CA3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13.03c</w:t>
            </w:r>
          </w:p>
        </w:tc>
        <w:tc>
          <w:tcPr>
            <w:tcW w:w="0" w:type="auto"/>
            <w:tcBorders>
              <w:top w:val="nil"/>
              <w:left w:val="nil"/>
              <w:bottom w:val="single" w:sz="4" w:space="0" w:color="auto"/>
              <w:right w:val="nil"/>
            </w:tcBorders>
            <w:vAlign w:val="bottom"/>
          </w:tcPr>
          <w:p w14:paraId="117B6A3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11.40c</w:t>
            </w:r>
          </w:p>
        </w:tc>
        <w:tc>
          <w:tcPr>
            <w:tcW w:w="0" w:type="auto"/>
            <w:tcBorders>
              <w:top w:val="nil"/>
              <w:left w:val="nil"/>
              <w:bottom w:val="single" w:sz="4" w:space="0" w:color="auto"/>
              <w:right w:val="nil"/>
            </w:tcBorders>
            <w:vAlign w:val="bottom"/>
          </w:tcPr>
          <w:p w14:paraId="46A5A02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1.60a</w:t>
            </w:r>
          </w:p>
        </w:tc>
        <w:tc>
          <w:tcPr>
            <w:tcW w:w="0" w:type="auto"/>
            <w:tcBorders>
              <w:top w:val="nil"/>
              <w:left w:val="nil"/>
              <w:bottom w:val="single" w:sz="4" w:space="0" w:color="auto"/>
              <w:right w:val="nil"/>
            </w:tcBorders>
            <w:vAlign w:val="bottom"/>
          </w:tcPr>
          <w:p w14:paraId="5AFE0DE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22.23c</w:t>
            </w:r>
          </w:p>
        </w:tc>
        <w:tc>
          <w:tcPr>
            <w:tcW w:w="0" w:type="auto"/>
            <w:tcBorders>
              <w:top w:val="nil"/>
              <w:left w:val="nil"/>
              <w:bottom w:val="single" w:sz="4" w:space="0" w:color="auto"/>
              <w:right w:val="nil"/>
            </w:tcBorders>
            <w:vAlign w:val="bottom"/>
          </w:tcPr>
          <w:p w14:paraId="5F67211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138.07b</w:t>
            </w:r>
          </w:p>
        </w:tc>
        <w:tc>
          <w:tcPr>
            <w:tcW w:w="0" w:type="auto"/>
            <w:tcBorders>
              <w:top w:val="nil"/>
              <w:left w:val="nil"/>
              <w:bottom w:val="single" w:sz="4" w:space="0" w:color="auto"/>
              <w:right w:val="nil"/>
            </w:tcBorders>
            <w:vAlign w:val="bottom"/>
          </w:tcPr>
          <w:p w14:paraId="126C691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14.63a</w:t>
            </w:r>
          </w:p>
        </w:tc>
        <w:tc>
          <w:tcPr>
            <w:tcW w:w="981" w:type="dxa"/>
            <w:tcBorders>
              <w:top w:val="nil"/>
              <w:left w:val="nil"/>
              <w:bottom w:val="single" w:sz="4" w:space="0" w:color="auto"/>
              <w:right w:val="nil"/>
            </w:tcBorders>
            <w:vAlign w:val="bottom"/>
          </w:tcPr>
          <w:p w14:paraId="640837A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20.29cd</w:t>
            </w:r>
          </w:p>
        </w:tc>
        <w:tc>
          <w:tcPr>
            <w:tcW w:w="860" w:type="dxa"/>
            <w:tcBorders>
              <w:top w:val="nil"/>
              <w:left w:val="nil"/>
              <w:bottom w:val="single" w:sz="4" w:space="0" w:color="auto"/>
              <w:right w:val="nil"/>
            </w:tcBorders>
            <w:vAlign w:val="bottom"/>
          </w:tcPr>
          <w:p w14:paraId="2A4BC02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4.73d</w:t>
            </w:r>
          </w:p>
        </w:tc>
        <w:tc>
          <w:tcPr>
            <w:tcW w:w="0" w:type="auto"/>
            <w:tcBorders>
              <w:top w:val="nil"/>
              <w:left w:val="nil"/>
              <w:bottom w:val="single" w:sz="4" w:space="0" w:color="auto"/>
              <w:right w:val="nil"/>
            </w:tcBorders>
            <w:vAlign w:val="bottom"/>
          </w:tcPr>
          <w:p w14:paraId="3717AB1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5.72c</w:t>
            </w:r>
          </w:p>
        </w:tc>
        <w:tc>
          <w:tcPr>
            <w:tcW w:w="0" w:type="auto"/>
            <w:tcBorders>
              <w:top w:val="nil"/>
              <w:left w:val="nil"/>
              <w:bottom w:val="single" w:sz="4" w:space="0" w:color="auto"/>
              <w:right w:val="nil"/>
            </w:tcBorders>
            <w:vAlign w:val="bottom"/>
          </w:tcPr>
          <w:p w14:paraId="220BE5D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10.45c</w:t>
            </w:r>
          </w:p>
        </w:tc>
        <w:tc>
          <w:tcPr>
            <w:tcW w:w="0" w:type="auto"/>
            <w:tcBorders>
              <w:top w:val="nil"/>
              <w:left w:val="nil"/>
              <w:bottom w:val="single" w:sz="4" w:space="0" w:color="auto"/>
              <w:right w:val="nil"/>
            </w:tcBorders>
            <w:vAlign w:val="bottom"/>
          </w:tcPr>
          <w:p w14:paraId="3D7DBB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45.28b</w:t>
            </w:r>
          </w:p>
        </w:tc>
      </w:tr>
      <w:tr w:rsidR="00BF7004" w:rsidRPr="00BF7004" w14:paraId="661B6A70" w14:textId="77777777" w:rsidTr="00F201CC">
        <w:trPr>
          <w:cantSplit/>
          <w:trHeight w:val="171"/>
          <w:jc w:val="center"/>
        </w:trPr>
        <w:tc>
          <w:tcPr>
            <w:tcW w:w="1494" w:type="dxa"/>
            <w:tcBorders>
              <w:top w:val="single" w:sz="4" w:space="0" w:color="auto"/>
            </w:tcBorders>
          </w:tcPr>
          <w:p w14:paraId="35583F82" w14:textId="77777777" w:rsidR="008C2FF2" w:rsidRPr="00BF7004" w:rsidRDefault="008C2FF2" w:rsidP="00450745">
            <w:pPr>
              <w:rPr>
                <w:rFonts w:ascii="Times New Roman" w:hAnsi="Times New Roman" w:cs="Times New Roman"/>
                <w:sz w:val="24"/>
                <w:szCs w:val="24"/>
              </w:rPr>
            </w:pPr>
            <w:proofErr w:type="spellStart"/>
            <w:r w:rsidRPr="00BF7004">
              <w:rPr>
                <w:rFonts w:ascii="Times New Roman" w:hAnsi="Times New Roman" w:cs="Times New Roman"/>
                <w:sz w:val="24"/>
                <w:szCs w:val="24"/>
              </w:rPr>
              <w:t>S</w:t>
            </w:r>
            <w:r w:rsidRPr="00BF7004">
              <w:rPr>
                <w:rFonts w:ascii="Times New Roman" w:hAnsi="Times New Roman" w:cs="Times New Roman"/>
                <w:bCs/>
                <w:sz w:val="24"/>
                <w:szCs w:val="24"/>
                <w:shd w:val="clear" w:color="auto" w:fill="FFFFFF"/>
              </w:rPr>
              <w:t>x</w:t>
            </w:r>
            <w:proofErr w:type="spellEnd"/>
            <w:r w:rsidRPr="00BF7004">
              <w:rPr>
                <w:rFonts w:ascii="Times New Roman" w:hAnsi="Times New Roman" w:cs="Times New Roman"/>
                <w:bCs/>
                <w:sz w:val="24"/>
                <w:szCs w:val="24"/>
                <w:shd w:val="clear" w:color="auto" w:fill="FFFFFF"/>
              </w:rPr>
              <w:t>̄</w:t>
            </w:r>
          </w:p>
        </w:tc>
        <w:tc>
          <w:tcPr>
            <w:tcW w:w="0" w:type="auto"/>
            <w:tcBorders>
              <w:top w:val="single" w:sz="4" w:space="0" w:color="auto"/>
            </w:tcBorders>
            <w:vAlign w:val="bottom"/>
          </w:tcPr>
          <w:p w14:paraId="15891F9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3.11</w:t>
            </w:r>
          </w:p>
        </w:tc>
        <w:tc>
          <w:tcPr>
            <w:tcW w:w="0" w:type="auto"/>
            <w:tcBorders>
              <w:top w:val="single" w:sz="4" w:space="0" w:color="auto"/>
            </w:tcBorders>
            <w:vAlign w:val="bottom"/>
          </w:tcPr>
          <w:p w14:paraId="488CC02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0.49</w:t>
            </w:r>
          </w:p>
        </w:tc>
        <w:tc>
          <w:tcPr>
            <w:tcW w:w="0" w:type="auto"/>
            <w:tcBorders>
              <w:top w:val="single" w:sz="4" w:space="0" w:color="auto"/>
            </w:tcBorders>
            <w:vAlign w:val="bottom"/>
          </w:tcPr>
          <w:p w14:paraId="5AB3DCF9"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0.51</w:t>
            </w:r>
          </w:p>
        </w:tc>
        <w:tc>
          <w:tcPr>
            <w:tcW w:w="0" w:type="auto"/>
            <w:tcBorders>
              <w:top w:val="single" w:sz="4" w:space="0" w:color="auto"/>
            </w:tcBorders>
            <w:vAlign w:val="bottom"/>
          </w:tcPr>
          <w:p w14:paraId="413129A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0.05</w:t>
            </w:r>
          </w:p>
        </w:tc>
        <w:tc>
          <w:tcPr>
            <w:tcW w:w="0" w:type="auto"/>
            <w:tcBorders>
              <w:top w:val="single" w:sz="4" w:space="0" w:color="auto"/>
            </w:tcBorders>
            <w:vAlign w:val="bottom"/>
          </w:tcPr>
          <w:p w14:paraId="1616D1E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0.26</w:t>
            </w:r>
          </w:p>
        </w:tc>
        <w:tc>
          <w:tcPr>
            <w:tcW w:w="0" w:type="auto"/>
            <w:tcBorders>
              <w:top w:val="single" w:sz="4" w:space="0" w:color="auto"/>
            </w:tcBorders>
            <w:vAlign w:val="bottom"/>
          </w:tcPr>
          <w:p w14:paraId="047FE25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3.31</w:t>
            </w:r>
          </w:p>
        </w:tc>
        <w:tc>
          <w:tcPr>
            <w:tcW w:w="0" w:type="auto"/>
            <w:tcBorders>
              <w:top w:val="single" w:sz="4" w:space="0" w:color="auto"/>
            </w:tcBorders>
            <w:vAlign w:val="bottom"/>
          </w:tcPr>
          <w:p w14:paraId="391ADF6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0.54</w:t>
            </w:r>
          </w:p>
        </w:tc>
        <w:tc>
          <w:tcPr>
            <w:tcW w:w="981" w:type="dxa"/>
            <w:tcBorders>
              <w:top w:val="single" w:sz="4" w:space="0" w:color="auto"/>
            </w:tcBorders>
            <w:vAlign w:val="bottom"/>
          </w:tcPr>
          <w:p w14:paraId="56F923F2"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0.3</w:t>
            </w:r>
          </w:p>
        </w:tc>
        <w:tc>
          <w:tcPr>
            <w:tcW w:w="860" w:type="dxa"/>
            <w:tcBorders>
              <w:top w:val="single" w:sz="4" w:space="0" w:color="auto"/>
            </w:tcBorders>
            <w:vAlign w:val="bottom"/>
          </w:tcPr>
          <w:p w14:paraId="2EE4D73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0.14</w:t>
            </w:r>
          </w:p>
        </w:tc>
        <w:tc>
          <w:tcPr>
            <w:tcW w:w="0" w:type="auto"/>
            <w:tcBorders>
              <w:top w:val="single" w:sz="4" w:space="0" w:color="auto"/>
            </w:tcBorders>
            <w:vAlign w:val="bottom"/>
          </w:tcPr>
          <w:p w14:paraId="1C219D8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0.13</w:t>
            </w:r>
          </w:p>
        </w:tc>
        <w:tc>
          <w:tcPr>
            <w:tcW w:w="0" w:type="auto"/>
            <w:tcBorders>
              <w:top w:val="single" w:sz="4" w:space="0" w:color="auto"/>
            </w:tcBorders>
            <w:vAlign w:val="bottom"/>
          </w:tcPr>
          <w:p w14:paraId="50A4BBC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0.27</w:t>
            </w:r>
          </w:p>
        </w:tc>
        <w:tc>
          <w:tcPr>
            <w:tcW w:w="0" w:type="auto"/>
            <w:tcBorders>
              <w:top w:val="single" w:sz="4" w:space="0" w:color="auto"/>
            </w:tcBorders>
            <w:vAlign w:val="bottom"/>
          </w:tcPr>
          <w:p w14:paraId="5AC5820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0.19</w:t>
            </w:r>
          </w:p>
        </w:tc>
      </w:tr>
      <w:tr w:rsidR="00BF7004" w:rsidRPr="00BF7004" w14:paraId="4BD11588" w14:textId="77777777" w:rsidTr="00F201CC">
        <w:trPr>
          <w:cantSplit/>
          <w:trHeight w:val="509"/>
          <w:jc w:val="center"/>
        </w:trPr>
        <w:tc>
          <w:tcPr>
            <w:tcW w:w="1494" w:type="dxa"/>
            <w:tcBorders>
              <w:top w:val="nil"/>
              <w:bottom w:val="nil"/>
            </w:tcBorders>
          </w:tcPr>
          <w:p w14:paraId="44CF479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Level of significance</w:t>
            </w:r>
          </w:p>
        </w:tc>
        <w:tc>
          <w:tcPr>
            <w:tcW w:w="0" w:type="auto"/>
            <w:tcBorders>
              <w:top w:val="nil"/>
              <w:bottom w:val="nil"/>
            </w:tcBorders>
          </w:tcPr>
          <w:p w14:paraId="5EFA643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6E27AB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A092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3F8D2A9A"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25A83A4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1D07196"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4A25F6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981" w:type="dxa"/>
            <w:tcBorders>
              <w:top w:val="nil"/>
              <w:bottom w:val="nil"/>
            </w:tcBorders>
          </w:tcPr>
          <w:p w14:paraId="14320EE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860" w:type="dxa"/>
            <w:tcBorders>
              <w:top w:val="nil"/>
              <w:bottom w:val="nil"/>
            </w:tcBorders>
          </w:tcPr>
          <w:p w14:paraId="5F72F87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58B264FD"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4ED9187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c>
          <w:tcPr>
            <w:tcW w:w="0" w:type="auto"/>
            <w:tcBorders>
              <w:top w:val="nil"/>
              <w:bottom w:val="nil"/>
            </w:tcBorders>
          </w:tcPr>
          <w:p w14:paraId="798DB12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w:t>
            </w:r>
          </w:p>
        </w:tc>
      </w:tr>
      <w:tr w:rsidR="00BF7004" w:rsidRPr="00BF7004" w14:paraId="392D79CE" w14:textId="77777777" w:rsidTr="00F201CC">
        <w:trPr>
          <w:cantSplit/>
          <w:trHeight w:val="171"/>
          <w:jc w:val="center"/>
        </w:trPr>
        <w:tc>
          <w:tcPr>
            <w:tcW w:w="1494" w:type="dxa"/>
            <w:tcBorders>
              <w:top w:val="nil"/>
              <w:bottom w:val="single" w:sz="4" w:space="0" w:color="auto"/>
            </w:tcBorders>
          </w:tcPr>
          <w:p w14:paraId="2F33D474"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CV (%)</w:t>
            </w:r>
          </w:p>
        </w:tc>
        <w:tc>
          <w:tcPr>
            <w:tcW w:w="0" w:type="auto"/>
            <w:tcBorders>
              <w:top w:val="nil"/>
              <w:bottom w:val="single" w:sz="4" w:space="0" w:color="auto"/>
            </w:tcBorders>
          </w:tcPr>
          <w:p w14:paraId="726A3C0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0.18</w:t>
            </w:r>
          </w:p>
        </w:tc>
        <w:tc>
          <w:tcPr>
            <w:tcW w:w="0" w:type="auto"/>
            <w:tcBorders>
              <w:top w:val="nil"/>
              <w:bottom w:val="single" w:sz="4" w:space="0" w:color="auto"/>
            </w:tcBorders>
          </w:tcPr>
          <w:p w14:paraId="708CF8B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1.61</w:t>
            </w:r>
          </w:p>
        </w:tc>
        <w:tc>
          <w:tcPr>
            <w:tcW w:w="0" w:type="auto"/>
            <w:tcBorders>
              <w:top w:val="nil"/>
              <w:bottom w:val="single" w:sz="4" w:space="0" w:color="auto"/>
            </w:tcBorders>
          </w:tcPr>
          <w:p w14:paraId="6B2E2BD1"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1.70</w:t>
            </w:r>
          </w:p>
        </w:tc>
        <w:tc>
          <w:tcPr>
            <w:tcW w:w="0" w:type="auto"/>
            <w:tcBorders>
              <w:top w:val="nil"/>
              <w:bottom w:val="single" w:sz="4" w:space="0" w:color="auto"/>
            </w:tcBorders>
          </w:tcPr>
          <w:p w14:paraId="6553D8B3"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4.89</w:t>
            </w:r>
          </w:p>
        </w:tc>
        <w:tc>
          <w:tcPr>
            <w:tcW w:w="0" w:type="auto"/>
            <w:tcBorders>
              <w:top w:val="nil"/>
              <w:bottom w:val="single" w:sz="4" w:space="0" w:color="auto"/>
            </w:tcBorders>
          </w:tcPr>
          <w:p w14:paraId="5CAD3AE5"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7CB9444C"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0.63</w:t>
            </w:r>
          </w:p>
        </w:tc>
        <w:tc>
          <w:tcPr>
            <w:tcW w:w="0" w:type="auto"/>
            <w:tcBorders>
              <w:top w:val="nil"/>
              <w:bottom w:val="single" w:sz="4" w:space="0" w:color="auto"/>
            </w:tcBorders>
          </w:tcPr>
          <w:p w14:paraId="6A7E0108"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2.04</w:t>
            </w:r>
          </w:p>
        </w:tc>
        <w:tc>
          <w:tcPr>
            <w:tcW w:w="981" w:type="dxa"/>
            <w:tcBorders>
              <w:top w:val="nil"/>
              <w:bottom w:val="single" w:sz="4" w:space="0" w:color="auto"/>
            </w:tcBorders>
          </w:tcPr>
          <w:p w14:paraId="7EFA7F9F"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1.28</w:t>
            </w:r>
          </w:p>
        </w:tc>
        <w:tc>
          <w:tcPr>
            <w:tcW w:w="860" w:type="dxa"/>
            <w:tcBorders>
              <w:top w:val="nil"/>
              <w:bottom w:val="single" w:sz="4" w:space="0" w:color="auto"/>
            </w:tcBorders>
          </w:tcPr>
          <w:p w14:paraId="6AFEF04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1.55</w:t>
            </w:r>
          </w:p>
        </w:tc>
        <w:tc>
          <w:tcPr>
            <w:tcW w:w="0" w:type="auto"/>
            <w:tcBorders>
              <w:top w:val="nil"/>
              <w:bottom w:val="single" w:sz="4" w:space="0" w:color="auto"/>
            </w:tcBorders>
          </w:tcPr>
          <w:p w14:paraId="51555F10"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1.92</w:t>
            </w:r>
          </w:p>
        </w:tc>
        <w:tc>
          <w:tcPr>
            <w:tcW w:w="0" w:type="auto"/>
            <w:tcBorders>
              <w:top w:val="nil"/>
              <w:bottom w:val="single" w:sz="4" w:space="0" w:color="auto"/>
            </w:tcBorders>
          </w:tcPr>
          <w:p w14:paraId="532CBF5B"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1.64</w:t>
            </w:r>
          </w:p>
        </w:tc>
        <w:tc>
          <w:tcPr>
            <w:tcW w:w="0" w:type="auto"/>
            <w:tcBorders>
              <w:top w:val="nil"/>
              <w:bottom w:val="single" w:sz="4" w:space="0" w:color="auto"/>
            </w:tcBorders>
          </w:tcPr>
          <w:p w14:paraId="76B5D807" w14:textId="77777777" w:rsidR="008C2FF2" w:rsidRPr="00BF7004" w:rsidRDefault="008C2FF2" w:rsidP="00450745">
            <w:pPr>
              <w:rPr>
                <w:rFonts w:ascii="Times New Roman" w:hAnsi="Times New Roman" w:cs="Times New Roman"/>
                <w:sz w:val="24"/>
                <w:szCs w:val="24"/>
              </w:rPr>
            </w:pPr>
            <w:r w:rsidRPr="00BF7004">
              <w:rPr>
                <w:rFonts w:ascii="Times New Roman" w:hAnsi="Times New Roman" w:cs="Times New Roman"/>
                <w:sz w:val="24"/>
                <w:szCs w:val="24"/>
              </w:rPr>
              <w:t>0.74</w:t>
            </w:r>
          </w:p>
        </w:tc>
      </w:tr>
      <w:tr w:rsidR="0031469B" w:rsidRPr="00BF7004" w14:paraId="4FCE3753" w14:textId="77777777" w:rsidTr="0031469B">
        <w:trPr>
          <w:cantSplit/>
          <w:trHeight w:val="171"/>
          <w:jc w:val="center"/>
        </w:trPr>
        <w:tc>
          <w:tcPr>
            <w:tcW w:w="13682" w:type="dxa"/>
            <w:gridSpan w:val="13"/>
            <w:tcBorders>
              <w:top w:val="single" w:sz="4" w:space="0" w:color="auto"/>
              <w:bottom w:val="nil"/>
            </w:tcBorders>
          </w:tcPr>
          <w:p w14:paraId="35E89EC6" w14:textId="7ED5ED7F" w:rsidR="0031469B" w:rsidRPr="00BF7004" w:rsidRDefault="0031469B" w:rsidP="0031469B">
            <w:pPr>
              <w:jc w:val="both"/>
              <w:rPr>
                <w:rFonts w:ascii="Times New Roman" w:hAnsi="Times New Roman" w:cs="Times New Roman"/>
                <w:sz w:val="24"/>
                <w:szCs w:val="24"/>
              </w:rPr>
            </w:pPr>
            <w:r w:rsidRPr="00BF7004">
              <w:rPr>
                <w:rFonts w:ascii="Times New Roman" w:hAnsi="Times New Roman" w:cs="Times New Roman"/>
                <w:sz w:val="24"/>
                <w:szCs w:val="24"/>
              </w:rPr>
              <w:t>Here, means with the same letters within the same column do not differ significantly; ** = Significant at 1% level of probability, * = Significant at 5% level of probability; V1 = BRRI dhan49; V2 = BRRI dhan52; V3 = Binadhan-7; V4 = BR11; P1 = Raised bed; P2 = Conventional line planting</w:t>
            </w:r>
          </w:p>
          <w:p w14:paraId="523B80EF" w14:textId="381FE5DA" w:rsidR="0031469B" w:rsidRPr="00BF7004" w:rsidRDefault="0031469B" w:rsidP="00450745">
            <w:pPr>
              <w:rPr>
                <w:rFonts w:cs="Times New Roman"/>
                <w:szCs w:val="24"/>
              </w:rPr>
            </w:pPr>
          </w:p>
        </w:tc>
      </w:tr>
    </w:tbl>
    <w:p w14:paraId="6E6D10BB" w14:textId="77777777" w:rsidR="008C2FF2" w:rsidRPr="00BF7004" w:rsidRDefault="008C2FF2" w:rsidP="008C2FF2">
      <w:pPr>
        <w:spacing w:after="0" w:line="276" w:lineRule="auto"/>
        <w:jc w:val="both"/>
        <w:rPr>
          <w:rFonts w:cs="Times New Roman"/>
          <w:szCs w:val="24"/>
        </w:rPr>
        <w:sectPr w:rsidR="008C2FF2" w:rsidRPr="00BF7004" w:rsidSect="008C2FF2">
          <w:pgSz w:w="15840" w:h="12240" w:orient="landscape"/>
          <w:pgMar w:top="1440" w:right="1440" w:bottom="1440" w:left="1440" w:header="720" w:footer="720" w:gutter="0"/>
          <w:cols w:space="720"/>
          <w:docGrid w:linePitch="360"/>
        </w:sectPr>
      </w:pPr>
    </w:p>
    <w:p w14:paraId="5A626175" w14:textId="77777777" w:rsidR="00631E4C" w:rsidRDefault="00631E4C" w:rsidP="00631E4C">
      <w:pPr>
        <w:spacing w:after="0" w:line="276" w:lineRule="auto"/>
        <w:ind w:left="990" w:hanging="990"/>
        <w:jc w:val="both"/>
        <w:rPr>
          <w:b/>
          <w:bCs/>
          <w:color w:val="000000" w:themeColor="text1"/>
        </w:rPr>
      </w:pPr>
      <w:r>
        <w:rPr>
          <w:noProof/>
        </w:rPr>
        <w:lastRenderedPageBreak/>
        <mc:AlternateContent>
          <mc:Choice Requires="wps">
            <w:drawing>
              <wp:anchor distT="0" distB="0" distL="114300" distR="114300" simplePos="0" relativeHeight="251666432" behindDoc="0" locked="0" layoutInCell="1" allowOverlap="1" wp14:anchorId="07F4CFFF" wp14:editId="5DF31490">
                <wp:simplePos x="0" y="0"/>
                <wp:positionH relativeFrom="column">
                  <wp:posOffset>571500</wp:posOffset>
                </wp:positionH>
                <wp:positionV relativeFrom="paragraph">
                  <wp:posOffset>971550</wp:posOffset>
                </wp:positionV>
                <wp:extent cx="393700" cy="1066800"/>
                <wp:effectExtent l="0" t="0" r="6350" b="0"/>
                <wp:wrapNone/>
                <wp:docPr id="883996129" name="Text Box 2"/>
                <wp:cNvGraphicFramePr/>
                <a:graphic xmlns:a="http://schemas.openxmlformats.org/drawingml/2006/main">
                  <a:graphicData uri="http://schemas.microsoft.com/office/word/2010/wordprocessingShape">
                    <wps:wsp>
                      <wps:cNvSpPr txBox="1"/>
                      <wps:spPr>
                        <a:xfrm>
                          <a:off x="0" y="0"/>
                          <a:ext cx="393700" cy="1066800"/>
                        </a:xfrm>
                        <a:prstGeom prst="rect">
                          <a:avLst/>
                        </a:prstGeom>
                        <a:solidFill>
                          <a:schemeClr val="lt1"/>
                        </a:solidFill>
                        <a:ln w="6350">
                          <a:noFill/>
                        </a:ln>
                      </wps:spPr>
                      <wps:txbx>
                        <w:txbxContent>
                          <w:p w14:paraId="53B52B40" w14:textId="41916200" w:rsidR="00631E4C" w:rsidRDefault="00631E4C">
                            <w:r w:rsidRPr="00631E4C">
                              <w:t xml:space="preserve">Yield (t ha </w:t>
                            </w:r>
                            <w:r w:rsidRPr="00631E4C">
                              <w:rPr>
                                <w:vertAlign w:val="superscript"/>
                              </w:rPr>
                              <w:t>-1</w:t>
                            </w:r>
                            <w:r w:rsidRPr="00631E4C">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CFFF" id="Text Box 2" o:spid="_x0000_s1027" type="#_x0000_t202" style="position:absolute;left:0;text-align:left;margin-left:45pt;margin-top:76.5pt;width:31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RDMAIAAF4EAAAOAAAAZHJzL2Uyb0RvYy54bWysVEtv2zAMvg/YfxB0X+w8mrZGnCJLkWFA&#10;0BZIh54VWUoEyKImKbGzXz9KzqvdTsMuNClSn8iPpCcPba3JXjivwJS038spEYZDpcympD9eF1/u&#10;KPGBmYppMKKkB+Hpw/Tzp0ljCzGALehKOIIgxheNLek2BFtkmedbUTPfAysMOiW4mgU03SarHGsQ&#10;vdbZIM/HWQOusg648B5PHzsnnSZ8KQUPz1J6EYguKeYWknRJrqPMphNWbByzW8WPabB/yKJmyuCj&#10;Z6hHFhjZOfUHVK24Aw8y9DjUGUipuEg1YDX9/EM1qy2zItWC5Hh7psn/P1j+tF/ZF0dC+xVabGAk&#10;pLG+8HgY62mlq+MXMyXoRwoPZ9pEGwjHw+H98DZHD0dXPx+P79BAmOxy2zofvgmoSVRK6rAtiS22&#10;X/rQhZ5C4mMetKoWSutkxFEQc+3InmETdUg5Ivi7KG1IU9Lx8CZPwAbi9Q5ZG8zlUlPUQrtuiaqu&#10;6l1DdUAaHHQT4i1fKMx1yXx4YQ5HAuvDMQ/PKKQGfAuOGiVbcL/+dh7jSxrl4BavNzhlJfU/d8wJ&#10;SvR3g228749G6ArJGN3cDtBw1571tcfs6jkgB33cKcuTGuODPqnSQf2GCzGLD6OLGY7JlTSc1Hno&#10;Zh8XiovZLAXhIFoWlmZleYSOnMdmvLZvzNljxwL2+glO88iKD43rYuNNA7NdAKlSVyPVHbHHDuAQ&#10;p7k4Llzckms7RV1+C9PfAAAA//8DAFBLAwQUAAYACAAAACEA1b4nz98AAAAKAQAADwAAAGRycy9k&#10;b3ducmV2LnhtbEyPQUvDQBCF74L/YRnBi7S7TRvRmE1RQagXwVjodZudJsHsbMhumvjvnZ709mbm&#10;8eZ7+XZ2nTjjEFpPGlZLBQKp8ralWsP+623xACJEQ9Z0nlDDDwbYFtdXucmsn+gTz2WsBYdQyIyG&#10;JsY+kzJUDToTlr5H4tvJD85EHoda2sFMHO46mSh1L51piT80psfXBqvvcnQadnHfvR9S9THK6WUz&#10;lycf7nYbrW9v5ucnEBHn+GeGCz6jQ8FMRz+SDaLT8Ki4SuR9umZxMaQJi6OGdbJSIItc/q9Q/AIA&#10;AP//AwBQSwECLQAUAAYACAAAACEAtoM4kv4AAADhAQAAEwAAAAAAAAAAAAAAAAAAAAAAW0NvbnRl&#10;bnRfVHlwZXNdLnhtbFBLAQItABQABgAIAAAAIQA4/SH/1gAAAJQBAAALAAAAAAAAAAAAAAAAAC8B&#10;AABfcmVscy8ucmVsc1BLAQItABQABgAIAAAAIQBvjSRDMAIAAF4EAAAOAAAAAAAAAAAAAAAAAC4C&#10;AABkcnMvZTJvRG9jLnhtbFBLAQItABQABgAIAAAAIQDVvifP3wAAAAoBAAAPAAAAAAAAAAAAAAAA&#10;AIoEAABkcnMvZG93bnJldi54bWxQSwUGAAAAAAQABADzAAAAlgUAAAAA&#10;" fillcolor="white [3201]" stroked="f" strokeweight=".5pt">
                <v:textbox style="layout-flow:vertical;mso-layout-flow-alt:bottom-to-top">
                  <w:txbxContent>
                    <w:p w14:paraId="53B52B40" w14:textId="41916200" w:rsidR="00631E4C" w:rsidRDefault="00631E4C">
                      <w:r w:rsidRPr="00631E4C">
                        <w:t xml:space="preserve">Yield (t ha </w:t>
                      </w:r>
                      <w:r w:rsidRPr="00631E4C">
                        <w:rPr>
                          <w:vertAlign w:val="superscript"/>
                        </w:rPr>
                        <w:t>-1</w:t>
                      </w:r>
                      <w:r w:rsidRPr="00631E4C">
                        <w:t>)</w:t>
                      </w:r>
                    </w:p>
                  </w:txbxContent>
                </v:textbox>
              </v:shape>
            </w:pict>
          </mc:Fallback>
        </mc:AlternateContent>
      </w:r>
      <w:r>
        <w:rPr>
          <w:noProof/>
        </w:rPr>
        <w:drawing>
          <wp:anchor distT="0" distB="0" distL="114300" distR="114300" simplePos="0" relativeHeight="251665408" behindDoc="0" locked="0" layoutInCell="1" allowOverlap="1" wp14:anchorId="1A411C02" wp14:editId="1E054509">
            <wp:simplePos x="0" y="0"/>
            <wp:positionH relativeFrom="column">
              <wp:posOffset>927100</wp:posOffset>
            </wp:positionH>
            <wp:positionV relativeFrom="paragraph">
              <wp:posOffset>0</wp:posOffset>
            </wp:positionV>
            <wp:extent cx="4892040" cy="2903220"/>
            <wp:effectExtent l="0" t="0" r="3810" b="0"/>
            <wp:wrapTopAndBottom/>
            <wp:docPr id="1671628104" name="Chart 1">
              <a:extLst xmlns:a="http://schemas.openxmlformats.org/drawingml/2006/main">
                <a:ext uri="{FF2B5EF4-FFF2-40B4-BE49-F238E27FC236}">
                  <a16:creationId xmlns:a16="http://schemas.microsoft.com/office/drawing/2014/main" id="{D621EF04-2349-DF24-7842-5D9ACE607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EE3E2A">
        <w:rPr>
          <w:rFonts w:cs="Times New Roman"/>
          <w:b/>
          <w:color w:val="000000" w:themeColor="text1"/>
          <w:szCs w:val="24"/>
        </w:rPr>
        <w:t xml:space="preserve">Figure </w:t>
      </w:r>
      <w:r>
        <w:rPr>
          <w:rFonts w:cs="Times New Roman"/>
          <w:b/>
          <w:color w:val="000000" w:themeColor="text1"/>
          <w:szCs w:val="24"/>
        </w:rPr>
        <w:t>3</w:t>
      </w:r>
      <w:r w:rsidRPr="00EE3E2A">
        <w:rPr>
          <w:rFonts w:cs="Times New Roman"/>
          <w:b/>
          <w:color w:val="000000" w:themeColor="text1"/>
          <w:szCs w:val="24"/>
        </w:rPr>
        <w:t xml:space="preserve">. </w:t>
      </w:r>
      <w:r>
        <w:rPr>
          <w:rFonts w:cs="Times New Roman"/>
          <w:b/>
          <w:color w:val="000000" w:themeColor="text1"/>
          <w:szCs w:val="24"/>
        </w:rPr>
        <w:t>Interaction e</w:t>
      </w:r>
      <w:r w:rsidRPr="00631E4C">
        <w:rPr>
          <w:rFonts w:cs="Times New Roman"/>
          <w:b/>
          <w:color w:val="000000" w:themeColor="text1"/>
          <w:szCs w:val="24"/>
        </w:rPr>
        <w:t>ffect of variety</w:t>
      </w:r>
      <w:r>
        <w:rPr>
          <w:rFonts w:cs="Times New Roman"/>
          <w:b/>
          <w:szCs w:val="24"/>
        </w:rPr>
        <w:t xml:space="preserve"> </w:t>
      </w:r>
      <w:r w:rsidRPr="00BF7004">
        <w:rPr>
          <w:rFonts w:cs="Times New Roman"/>
          <w:b/>
          <w:szCs w:val="24"/>
        </w:rPr>
        <w:t xml:space="preserve">and cultivation methods on yield </w:t>
      </w:r>
      <w:r w:rsidRPr="00631E4C">
        <w:rPr>
          <w:rFonts w:cs="Times New Roman"/>
          <w:b/>
          <w:color w:val="000000" w:themeColor="text1"/>
          <w:szCs w:val="24"/>
        </w:rPr>
        <w:t xml:space="preserve">of T. </w:t>
      </w:r>
      <w:r>
        <w:rPr>
          <w:rFonts w:cs="Times New Roman"/>
          <w:b/>
          <w:color w:val="000000" w:themeColor="text1"/>
          <w:szCs w:val="24"/>
        </w:rPr>
        <w:t>A</w:t>
      </w:r>
      <w:r w:rsidRPr="00631E4C">
        <w:rPr>
          <w:rFonts w:cs="Times New Roman"/>
          <w:b/>
          <w:color w:val="000000" w:themeColor="text1"/>
          <w:szCs w:val="24"/>
        </w:rPr>
        <w:t>man rice (Vertical bar represents the LSD value at 1% level)</w:t>
      </w:r>
      <w:r>
        <w:rPr>
          <w:b/>
          <w:bCs/>
          <w:color w:val="000000" w:themeColor="text1"/>
        </w:rPr>
        <w:t xml:space="preserve"> </w:t>
      </w:r>
    </w:p>
    <w:p w14:paraId="6927C26D" w14:textId="65AA894E" w:rsidR="008C2FF2" w:rsidRDefault="00631E4C" w:rsidP="008C2FF2">
      <w:pPr>
        <w:spacing w:after="0" w:line="276" w:lineRule="auto"/>
        <w:jc w:val="both"/>
        <w:rPr>
          <w:noProof/>
        </w:rPr>
      </w:pPr>
      <w:r w:rsidRPr="00891B42">
        <w:rPr>
          <w:color w:val="000000" w:themeColor="text1"/>
        </w:rPr>
        <w:t xml:space="preserve">Here, </w:t>
      </w:r>
      <w:r w:rsidRPr="00891B42">
        <w:rPr>
          <w:rFonts w:cs="Times New Roman"/>
          <w:color w:val="000000" w:themeColor="text1"/>
          <w:szCs w:val="24"/>
        </w:rPr>
        <w:t>V1 = BRRI dhan49; V2 = BRRI dhan52; V3 = Binadhan-7; V4 = BR11</w:t>
      </w:r>
      <w:r w:rsidRPr="00891B42">
        <w:rPr>
          <w:color w:val="000000" w:themeColor="text1"/>
        </w:rPr>
        <w:t xml:space="preserve"> </w:t>
      </w:r>
      <w:r w:rsidRPr="00891B42">
        <w:rPr>
          <w:rFonts w:cs="Times New Roman"/>
          <w:color w:val="000000" w:themeColor="text1"/>
          <w:szCs w:val="24"/>
        </w:rPr>
        <w:t>P1 =</w:t>
      </w:r>
      <w:r w:rsidRPr="00EE3E2A">
        <w:rPr>
          <w:rFonts w:cs="Times New Roman"/>
          <w:bCs/>
          <w:color w:val="000000" w:themeColor="text1"/>
          <w:szCs w:val="24"/>
        </w:rPr>
        <w:t xml:space="preserve"> Raised bed; P2 = Conventional line transplantin</w:t>
      </w:r>
      <w:r>
        <w:rPr>
          <w:rFonts w:cs="Times New Roman"/>
          <w:bCs/>
          <w:color w:val="000000" w:themeColor="text1"/>
          <w:szCs w:val="24"/>
        </w:rPr>
        <w:t>g</w:t>
      </w:r>
    </w:p>
    <w:p w14:paraId="18621BCB" w14:textId="77777777" w:rsidR="00631E4C" w:rsidRPr="00BF7004" w:rsidRDefault="00631E4C" w:rsidP="008C2FF2">
      <w:pPr>
        <w:spacing w:after="0" w:line="276" w:lineRule="auto"/>
        <w:jc w:val="both"/>
        <w:rPr>
          <w:rFonts w:cs="Times New Roman"/>
          <w:szCs w:val="24"/>
        </w:rPr>
      </w:pPr>
    </w:p>
    <w:p w14:paraId="355AD066" w14:textId="0C63E6CB" w:rsidR="008C2FF2" w:rsidRPr="00BF7004" w:rsidRDefault="008C2FF2" w:rsidP="008C2FF2">
      <w:pPr>
        <w:autoSpaceDE w:val="0"/>
        <w:autoSpaceDN w:val="0"/>
        <w:adjustRightInd w:val="0"/>
        <w:spacing w:line="276" w:lineRule="auto"/>
        <w:jc w:val="both"/>
        <w:rPr>
          <w:rFonts w:cs="Times New Roman"/>
          <w:b/>
          <w:szCs w:val="24"/>
        </w:rPr>
      </w:pPr>
      <w:r w:rsidRPr="00BF7004">
        <w:rPr>
          <w:rFonts w:cs="Times New Roman"/>
          <w:b/>
          <w:bCs/>
          <w:szCs w:val="24"/>
        </w:rPr>
        <w:t xml:space="preserve">Correlation </w:t>
      </w:r>
      <w:r w:rsidR="00932C59"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5A052236" w14:textId="38F066BC" w:rsidR="00932C59"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 xml:space="preserve">The correlation matrix (Figure </w:t>
      </w:r>
      <w:r w:rsidR="001D4D02">
        <w:rPr>
          <w:rFonts w:cs="Times New Roman"/>
          <w:szCs w:val="24"/>
        </w:rPr>
        <w:t>4</w:t>
      </w:r>
      <w:r w:rsidRPr="00BF7004">
        <w:rPr>
          <w:rFonts w:cs="Times New Roman"/>
          <w:szCs w:val="24"/>
        </w:rPr>
        <w:t>) illustrates the relationships among grain yield and its yield-contributing traits, highlighting significant positive associations among key parameters.</w:t>
      </w:r>
    </w:p>
    <w:p w14:paraId="42B25CF5" w14:textId="1081AE37" w:rsidR="008C2FF2" w:rsidRPr="00BF7004" w:rsidRDefault="008C2FF2" w:rsidP="00932C59">
      <w:pPr>
        <w:autoSpaceDE w:val="0"/>
        <w:autoSpaceDN w:val="0"/>
        <w:adjustRightInd w:val="0"/>
        <w:spacing w:after="0" w:line="276" w:lineRule="auto"/>
        <w:jc w:val="both"/>
        <w:rPr>
          <w:rFonts w:cs="Times New Roman"/>
          <w:szCs w:val="24"/>
        </w:rPr>
      </w:pPr>
      <w:r w:rsidRPr="00BF7004">
        <w:rPr>
          <w:rFonts w:cs="Times New Roman"/>
          <w:szCs w:val="24"/>
        </w:rPr>
        <w:t>Grain yield showed highly significant positive correlations with the number of tillers per hill, effective tillers per hill, and number of grains per panicle (</w:t>
      </w:r>
      <w:r w:rsidRPr="00BF7004">
        <w:rPr>
          <w:rFonts w:cs="Times New Roman"/>
          <w:i/>
          <w:iCs/>
          <w:szCs w:val="24"/>
        </w:rPr>
        <w:t>p &lt; 0.01</w:t>
      </w:r>
      <w:r w:rsidRPr="00BF7004">
        <w:rPr>
          <w:rFonts w:cs="Times New Roman"/>
          <w:szCs w:val="24"/>
        </w:rPr>
        <w:t>). It also exhibited a significant positive correlation with 1000-grain weight (</w:t>
      </w:r>
      <w:r w:rsidRPr="00BF7004">
        <w:rPr>
          <w:rFonts w:cs="Times New Roman"/>
          <w:i/>
          <w:iCs/>
          <w:szCs w:val="24"/>
        </w:rPr>
        <w:t>p &lt; 0.05</w:t>
      </w:r>
      <w:r w:rsidRPr="00BF7004">
        <w:rPr>
          <w:rFonts w:cs="Times New Roman"/>
          <w:szCs w:val="24"/>
        </w:rPr>
        <w:t xml:space="preserve">). </w:t>
      </w:r>
    </w:p>
    <w:p w14:paraId="4FA4F44D" w14:textId="399213FB" w:rsidR="008C2FF2" w:rsidRPr="00BF7004" w:rsidRDefault="008C2FF2" w:rsidP="008C2FF2">
      <w:pPr>
        <w:autoSpaceDE w:val="0"/>
        <w:autoSpaceDN w:val="0"/>
        <w:adjustRightInd w:val="0"/>
        <w:spacing w:after="0" w:line="276" w:lineRule="auto"/>
        <w:jc w:val="both"/>
        <w:rPr>
          <w:rFonts w:cs="Times New Roman"/>
          <w:szCs w:val="24"/>
        </w:rPr>
      </w:pPr>
      <w:r w:rsidRPr="00BF7004">
        <w:rPr>
          <w:rFonts w:cs="Times New Roman"/>
          <w:noProof/>
          <w:szCs w:val="24"/>
        </w:rPr>
        <w:lastRenderedPageBreak/>
        <w:drawing>
          <wp:anchor distT="0" distB="0" distL="114300" distR="114300" simplePos="0" relativeHeight="251663360" behindDoc="0" locked="0" layoutInCell="1" allowOverlap="1" wp14:anchorId="73F86AC2" wp14:editId="1C24858C">
            <wp:simplePos x="0" y="0"/>
            <wp:positionH relativeFrom="column">
              <wp:posOffset>130175</wp:posOffset>
            </wp:positionH>
            <wp:positionV relativeFrom="paragraph">
              <wp:posOffset>1200785</wp:posOffset>
            </wp:positionV>
            <wp:extent cx="5106035" cy="3340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6035" cy="334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004">
        <w:rPr>
          <w:rFonts w:cs="Times New Roman"/>
          <w:szCs w:val="24"/>
        </w:rPr>
        <w:t>The number of tillers per hill was strongly and positively correlated with effective tillers per hill and number of grains per panicle (</w:t>
      </w:r>
      <w:r w:rsidRPr="00BF7004">
        <w:rPr>
          <w:rFonts w:cs="Times New Roman"/>
          <w:i/>
          <w:iCs/>
          <w:szCs w:val="24"/>
        </w:rPr>
        <w:t>p &lt; 0.001</w:t>
      </w:r>
      <w:r w:rsidR="003B6735" w:rsidRPr="00BF7004">
        <w:rPr>
          <w:rFonts w:cs="Times New Roman"/>
          <w:szCs w:val="24"/>
        </w:rPr>
        <w:t>) and</w:t>
      </w:r>
      <w:r w:rsidRPr="00BF7004">
        <w:rPr>
          <w:rFonts w:cs="Times New Roman"/>
          <w:szCs w:val="24"/>
        </w:rPr>
        <w:t xml:space="preserve"> showed a significant positive correlation with 1000-grain weight (</w:t>
      </w:r>
      <w:r w:rsidRPr="00BF7004">
        <w:rPr>
          <w:rFonts w:cs="Times New Roman"/>
          <w:i/>
          <w:iCs/>
          <w:szCs w:val="24"/>
        </w:rPr>
        <w:t>p &lt; 0.05</w:t>
      </w:r>
      <w:r w:rsidRPr="00BF7004">
        <w:rPr>
          <w:rFonts w:cs="Times New Roman"/>
          <w:szCs w:val="24"/>
        </w:rPr>
        <w:t>). Effective tillers per hill demonstrated significant positive associations with both number of grains per panicle (p &lt; 0.001) and 1000-grain weight (p &lt; 0.05). In addition, number of grains per panicle showed a significant positive correlation with 1000-grain weight (</w:t>
      </w:r>
      <w:r w:rsidRPr="00BF7004">
        <w:rPr>
          <w:rFonts w:cs="Times New Roman"/>
          <w:i/>
          <w:iCs/>
          <w:szCs w:val="24"/>
        </w:rPr>
        <w:t>p &lt; 0.05</w:t>
      </w:r>
      <w:r w:rsidRPr="00BF7004">
        <w:rPr>
          <w:rFonts w:cs="Times New Roman"/>
          <w:szCs w:val="24"/>
        </w:rPr>
        <w:t>).</w:t>
      </w:r>
    </w:p>
    <w:p w14:paraId="063D0AE3" w14:textId="5B3BA541" w:rsidR="008C2FF2" w:rsidRPr="00764A50" w:rsidRDefault="008C2FF2" w:rsidP="008C2FF2">
      <w:pPr>
        <w:autoSpaceDE w:val="0"/>
        <w:autoSpaceDN w:val="0"/>
        <w:adjustRightInd w:val="0"/>
        <w:spacing w:before="240" w:line="276" w:lineRule="auto"/>
        <w:jc w:val="center"/>
        <w:rPr>
          <w:rFonts w:cs="Times New Roman"/>
          <w:b/>
          <w:bCs/>
          <w:szCs w:val="24"/>
        </w:rPr>
      </w:pPr>
      <w:r w:rsidRPr="00BF7004">
        <w:rPr>
          <w:rFonts w:cs="Times New Roman"/>
          <w:b/>
          <w:szCs w:val="24"/>
        </w:rPr>
        <w:t xml:space="preserve">Figure </w:t>
      </w:r>
      <w:r w:rsidR="001D4D02">
        <w:rPr>
          <w:rFonts w:cs="Times New Roman"/>
          <w:b/>
          <w:szCs w:val="24"/>
        </w:rPr>
        <w:t>4</w:t>
      </w:r>
      <w:r w:rsidR="004C0F9B">
        <w:rPr>
          <w:rFonts w:cs="Times New Roman"/>
          <w:b/>
          <w:szCs w:val="24"/>
        </w:rPr>
        <w:t>.</w:t>
      </w:r>
      <w:r w:rsidRPr="00BF7004">
        <w:rPr>
          <w:rFonts w:cs="Times New Roman"/>
          <w:szCs w:val="24"/>
        </w:rPr>
        <w:t xml:space="preserve"> </w:t>
      </w:r>
      <w:r w:rsidRPr="00764A50">
        <w:rPr>
          <w:rFonts w:cs="Times New Roman"/>
          <w:b/>
          <w:bCs/>
          <w:szCs w:val="24"/>
        </w:rPr>
        <w:t xml:space="preserve">Correlation matrix of Grain Yield and Yield-Contributing Traits of </w:t>
      </w:r>
      <w:r w:rsidR="00764A50" w:rsidRPr="00764A50">
        <w:rPr>
          <w:rFonts w:cs="Times New Roman"/>
          <w:b/>
          <w:bCs/>
        </w:rPr>
        <w:t xml:space="preserve">T. Aman </w:t>
      </w:r>
      <w:r w:rsidRPr="00764A50">
        <w:rPr>
          <w:rFonts w:cs="Times New Roman"/>
          <w:b/>
          <w:bCs/>
          <w:szCs w:val="24"/>
        </w:rPr>
        <w:t>rice.</w:t>
      </w:r>
    </w:p>
    <w:p w14:paraId="3D0FCCEF" w14:textId="77777777" w:rsidR="008C2FF2" w:rsidRPr="00BF7004" w:rsidRDefault="008C2FF2" w:rsidP="008C2FF2">
      <w:pPr>
        <w:rPr>
          <w:rFonts w:cs="Times New Roman"/>
          <w:b/>
          <w:bCs/>
        </w:rPr>
      </w:pPr>
    </w:p>
    <w:p w14:paraId="09E67B84" w14:textId="51B4E619" w:rsidR="008C2FF2" w:rsidRPr="00BF7004" w:rsidRDefault="008C2FF2" w:rsidP="008C2FF2">
      <w:pPr>
        <w:rPr>
          <w:rFonts w:cs="Times New Roman"/>
          <w:b/>
          <w:bCs/>
        </w:rPr>
      </w:pPr>
      <w:r w:rsidRPr="00BF7004">
        <w:rPr>
          <w:rFonts w:cs="Times New Roman"/>
          <w:b/>
          <w:bCs/>
        </w:rPr>
        <w:t>DISCUSSION</w:t>
      </w:r>
    </w:p>
    <w:p w14:paraId="6A1D324B" w14:textId="6ECADB7E" w:rsidR="008C2FF2" w:rsidRPr="00BF7004" w:rsidRDefault="00646680" w:rsidP="008C2FF2">
      <w:pPr>
        <w:jc w:val="both"/>
        <w:rPr>
          <w:rFonts w:cs="Times New Roman"/>
        </w:rPr>
      </w:pPr>
      <w:r w:rsidRPr="00BF7004">
        <w:rPr>
          <w:rFonts w:cs="Times New Roman"/>
        </w:rPr>
        <w:t>Traditional line transplanting remains the most common rice planting method in Bangladesh, yet it presents several limitations, including poor water-use efficiency, increased weed infestation, restricted aeration, and high labor requirements (Bhuyan et al., 2012). Raised bed planting has emerged as a viable alternative due to its capacity to improve drainage, root aeration, and resource-use efficiency while supporting mechanized operations (Bhuyan et al., 2012; Borrell et al., 1998; Singh et al., 2009). The present study demonstrated significant effects of variety, planting method</w:t>
      </w:r>
      <w:r w:rsidR="003B6735">
        <w:rPr>
          <w:rFonts w:cs="Times New Roman"/>
        </w:rPr>
        <w:t>s</w:t>
      </w:r>
      <w:r w:rsidRPr="00BF7004">
        <w:rPr>
          <w:rFonts w:cs="Times New Roman"/>
        </w:rPr>
        <w:t xml:space="preserve">, and their interaction on the growth and yield traits of </w:t>
      </w:r>
      <w:r w:rsidR="00764A50" w:rsidRPr="00BF7004">
        <w:rPr>
          <w:rFonts w:cs="Times New Roman"/>
        </w:rPr>
        <w:t xml:space="preserve">T. Aman </w:t>
      </w:r>
      <w:r w:rsidRPr="00BF7004">
        <w:rPr>
          <w:rFonts w:cs="Times New Roman"/>
        </w:rPr>
        <w:t>rice under both systems.</w:t>
      </w:r>
    </w:p>
    <w:p w14:paraId="7D1F620D" w14:textId="77777777" w:rsidR="008C2FF2" w:rsidRPr="00BF7004" w:rsidRDefault="008C2FF2" w:rsidP="008C2FF2">
      <w:pPr>
        <w:spacing w:before="240"/>
        <w:rPr>
          <w:rFonts w:cs="Times New Roman"/>
          <w:b/>
          <w:bCs/>
          <w:szCs w:val="24"/>
        </w:rPr>
      </w:pPr>
      <w:r w:rsidRPr="00BF7004">
        <w:rPr>
          <w:rFonts w:cs="Times New Roman"/>
          <w:b/>
          <w:szCs w:val="24"/>
        </w:rPr>
        <w:t xml:space="preserve">Effect of variety on different </w:t>
      </w:r>
      <w:r w:rsidRPr="00BF7004">
        <w:rPr>
          <w:rFonts w:cs="Times New Roman"/>
          <w:b/>
          <w:bCs/>
          <w:szCs w:val="24"/>
        </w:rPr>
        <w:t>yield parameters</w:t>
      </w:r>
    </w:p>
    <w:p w14:paraId="5DF47B00" w14:textId="21006811" w:rsidR="00646680" w:rsidRPr="00BF7004" w:rsidRDefault="00646680" w:rsidP="00A97334">
      <w:pPr>
        <w:spacing w:before="240"/>
        <w:jc w:val="both"/>
        <w:rPr>
          <w:rFonts w:cs="Times New Roman"/>
        </w:rPr>
      </w:pPr>
      <w:r w:rsidRPr="00BF7004">
        <w:rPr>
          <w:rFonts w:cs="Times New Roman"/>
        </w:rPr>
        <w:t xml:space="preserve">Significant genotypic differences across all measured traits revealed substantial inherent genetic variability among the tested rice varieties (Table 1). This diversity provides breeders with the opportunity to select and combine favorable traits through targeted breeding and hybridization (Alam et al., 2025; Chowdhury et al., 2023). In this study, BRRI dhan49 consistently outperformed </w:t>
      </w:r>
      <w:r w:rsidRPr="00BF7004">
        <w:rPr>
          <w:rFonts w:cs="Times New Roman"/>
        </w:rPr>
        <w:lastRenderedPageBreak/>
        <w:t>other varieties in key growth and yield traits including, total and effective tillers hill⁻¹, panicle length, grain number panicle⁻¹, and 1000-grain weight, resulting in the highest grain yield (5.19 t/ha), biological yield (11.29 t/ha), and harvest index (45.94%). These findings align with previous reports confirming its high yield potential and adaptability (Islam et al., 2014; Tahsin et al., 2017).</w:t>
      </w:r>
      <w:r w:rsidR="008D2798" w:rsidRPr="00BF7004">
        <w:rPr>
          <w:rFonts w:cs="Times New Roman"/>
        </w:rPr>
        <w:t xml:space="preserve"> </w:t>
      </w:r>
      <w:r w:rsidRPr="00BF7004">
        <w:rPr>
          <w:rFonts w:cs="Times New Roman"/>
        </w:rPr>
        <w:t xml:space="preserve">In contrast, Binadhan-7 showed the lowest performance across most traits, including shorter plant stature, fewer grains panicle⁻¹, and reduced harvest index, reflecting inefficient biomass partitioning. BR11 and BRRI dhan52 exhibited intermediate performance; however, BR11’s higher number of non-effective tillers and sterile </w:t>
      </w:r>
      <w:proofErr w:type="spellStart"/>
      <w:r w:rsidRPr="00BF7004">
        <w:rPr>
          <w:rFonts w:cs="Times New Roman"/>
        </w:rPr>
        <w:t>spikelets</w:t>
      </w:r>
      <w:proofErr w:type="spellEnd"/>
      <w:r w:rsidRPr="00BF7004">
        <w:rPr>
          <w:rFonts w:cs="Times New Roman"/>
        </w:rPr>
        <w:t xml:space="preserve"> panicle⁻¹ likely constrained its sink capacity despite having longer panicles.</w:t>
      </w:r>
    </w:p>
    <w:p w14:paraId="0AF449FE" w14:textId="77537445" w:rsidR="008C2FF2" w:rsidRPr="00BF7004" w:rsidRDefault="008C2FF2" w:rsidP="008C2FF2">
      <w:pPr>
        <w:jc w:val="both"/>
        <w:rPr>
          <w:rFonts w:cs="Times New Roman"/>
        </w:rPr>
      </w:pPr>
      <w:r w:rsidRPr="00BF7004">
        <w:rPr>
          <w:rFonts w:cs="Times New Roman"/>
          <w:b/>
          <w:bCs/>
        </w:rPr>
        <w:t>Effect of Planting Method</w:t>
      </w:r>
      <w:r w:rsidR="00764A50">
        <w:rPr>
          <w:rFonts w:cs="Times New Roman"/>
          <w:b/>
          <w:bCs/>
        </w:rPr>
        <w:t>s</w:t>
      </w:r>
      <w:r w:rsidRPr="00BF7004">
        <w:rPr>
          <w:rFonts w:cs="Times New Roman"/>
          <w:b/>
          <w:bCs/>
        </w:rPr>
        <w:t xml:space="preserve"> on Yield Parameters</w:t>
      </w:r>
    </w:p>
    <w:p w14:paraId="16BD2FF1" w14:textId="4163E64C" w:rsidR="0031469B" w:rsidRPr="00BF7004" w:rsidRDefault="0089449A" w:rsidP="008C2FF2">
      <w:pPr>
        <w:jc w:val="both"/>
        <w:rPr>
          <w:rFonts w:cs="Times New Roman"/>
        </w:rPr>
      </w:pPr>
      <w:r w:rsidRPr="00BF7004">
        <w:rPr>
          <w:rFonts w:cs="Times New Roman"/>
        </w:rPr>
        <w:t xml:space="preserve">The planting method significantly influenced growth and yield-related traits of </w:t>
      </w:r>
      <w:r w:rsidR="00764A50" w:rsidRPr="00BF7004">
        <w:rPr>
          <w:rFonts w:cs="Times New Roman"/>
        </w:rPr>
        <w:t xml:space="preserve">T. Aman </w:t>
      </w:r>
      <w:r w:rsidRPr="00BF7004">
        <w:rPr>
          <w:rFonts w:cs="Times New Roman"/>
        </w:rPr>
        <w:t>rice. Overall, the raised bed system (P1) outperformed conventional line transplanting (P2) across most parameters (Table 2), aligning with earlier findings on the physiological and structural benefits of bed planting (Bhuyan et al., 2012; Borrell et al., 1998).</w:t>
      </w:r>
      <w:r w:rsidR="00E75786" w:rsidRPr="00BF7004">
        <w:rPr>
          <w:rFonts w:cs="Times New Roman"/>
        </w:rPr>
        <w:t xml:space="preserve"> </w:t>
      </w:r>
    </w:p>
    <w:p w14:paraId="75174D31" w14:textId="6FF525AC" w:rsidR="008D2798" w:rsidRPr="00BF7004" w:rsidRDefault="00E75786" w:rsidP="008D2798">
      <w:pPr>
        <w:jc w:val="both"/>
        <w:rPr>
          <w:rFonts w:cs="Times New Roman"/>
          <w:b/>
          <w:szCs w:val="24"/>
        </w:rPr>
      </w:pPr>
      <w:r w:rsidRPr="00BF7004">
        <w:rPr>
          <w:rFonts w:cs="Times New Roman"/>
        </w:rPr>
        <w:t>N</w:t>
      </w:r>
      <w:r w:rsidR="008C2FF2" w:rsidRPr="00BF7004">
        <w:rPr>
          <w:rFonts w:cs="Times New Roman"/>
        </w:rPr>
        <w:t>otably, the number of total tillers and effective tillers hill</w:t>
      </w:r>
      <w:r w:rsidR="008C2FF2" w:rsidRPr="00BF7004">
        <w:rPr>
          <w:rFonts w:cs="Times New Roman"/>
          <w:vertAlign w:val="superscript"/>
        </w:rPr>
        <w:t>-1</w:t>
      </w:r>
      <w:r w:rsidR="008C2FF2" w:rsidRPr="00BF7004">
        <w:rPr>
          <w:rFonts w:cs="Times New Roman"/>
        </w:rPr>
        <w:t xml:space="preserve"> increased by approximately 5.3% and 8.3%, respectively, under raised beds</w:t>
      </w:r>
      <w:r w:rsidRPr="00BF7004">
        <w:rPr>
          <w:rFonts w:cs="Times New Roman"/>
        </w:rPr>
        <w:t xml:space="preserve"> suggesting improved conditions for productive tillering due to enhanced soil structure and root activity (Bhuyan et al., 2012). Similarly, Singh et al.</w:t>
      </w:r>
      <w:r w:rsidR="004C0F9B">
        <w:rPr>
          <w:rFonts w:cs="Times New Roman"/>
        </w:rPr>
        <w:t>,</w:t>
      </w:r>
      <w:r w:rsidRPr="00BF7004">
        <w:rPr>
          <w:rFonts w:cs="Times New Roman"/>
        </w:rPr>
        <w:t xml:space="preserve"> (2009) observed nearly double the tiller number in bed planting, attributing it to rapid drying, greater surface area, and superior root spread.</w:t>
      </w:r>
      <w:r w:rsidR="008C2FF2" w:rsidRPr="00BF7004">
        <w:rPr>
          <w:rFonts w:cs="Times New Roman"/>
        </w:rPr>
        <w:t xml:space="preserve"> </w:t>
      </w:r>
      <w:r w:rsidRPr="00BF7004">
        <w:rPr>
          <w:rFonts w:cs="Times New Roman"/>
        </w:rPr>
        <w:t>Reproductive traits also benefited: panicle length increased by 4.8%, and grains panicle⁻¹ by 2.7%, consistent with Bhuyan et al.</w:t>
      </w:r>
      <w:r w:rsidR="004C0F9B">
        <w:rPr>
          <w:rFonts w:cs="Times New Roman"/>
        </w:rPr>
        <w:t>,</w:t>
      </w:r>
      <w:r w:rsidRPr="00BF7004">
        <w:rPr>
          <w:rFonts w:cs="Times New Roman"/>
        </w:rPr>
        <w:t xml:space="preserve"> (2012) and Borrell et al.</w:t>
      </w:r>
      <w:r w:rsidR="004C0F9B">
        <w:rPr>
          <w:rFonts w:cs="Times New Roman"/>
        </w:rPr>
        <w:t>,</w:t>
      </w:r>
      <w:r w:rsidRPr="00BF7004">
        <w:rPr>
          <w:rFonts w:cs="Times New Roman"/>
        </w:rPr>
        <w:t xml:space="preserve"> (1998),</w:t>
      </w:r>
      <w:r w:rsidR="008C2FF2" w:rsidRPr="00BF7004">
        <w:rPr>
          <w:rFonts w:cs="Times New Roman"/>
        </w:rPr>
        <w:t xml:space="preserve"> who observed higher panicle density and grain numbers in bed-planted rice due to better resource acquisition and utilization. </w:t>
      </w:r>
      <w:r w:rsidRPr="00BF7004">
        <w:rPr>
          <w:rFonts w:cs="Times New Roman"/>
        </w:rPr>
        <w:t xml:space="preserve">Sterile </w:t>
      </w:r>
      <w:proofErr w:type="spellStart"/>
      <w:r w:rsidRPr="00BF7004">
        <w:rPr>
          <w:rFonts w:cs="Times New Roman"/>
        </w:rPr>
        <w:t>spikelets</w:t>
      </w:r>
      <w:proofErr w:type="spellEnd"/>
      <w:r w:rsidRPr="00BF7004">
        <w:rPr>
          <w:rFonts w:cs="Times New Roman"/>
        </w:rPr>
        <w:t xml:space="preserve"> panicle⁻¹ declined by 19%, indicating improved fertility and grain filling under raised beds. Although the 1000-grain weight rose modestly (1.6%), it still contributed to yield gains. Grain yield increased by 9.4% under raised beds, consistent with Tang et al. (2008), who reported a 6.7% rise. Straw and biological yields also increased by 6.8% and 8.0%, respectively, and the harvest index improved by 1.2%, reflecting more efficient biomass allocation to grain. These findings are supported by Hobbs and Gupta</w:t>
      </w:r>
      <w:r w:rsidR="004C0F9B">
        <w:rPr>
          <w:rFonts w:cs="Times New Roman"/>
        </w:rPr>
        <w:t>, (</w:t>
      </w:r>
      <w:r w:rsidRPr="00BF7004">
        <w:rPr>
          <w:rFonts w:cs="Times New Roman"/>
        </w:rPr>
        <w:t>2003</w:t>
      </w:r>
      <w:r w:rsidR="004C0F9B">
        <w:rPr>
          <w:rFonts w:cs="Times New Roman"/>
        </w:rPr>
        <w:t>)</w:t>
      </w:r>
      <w:r w:rsidRPr="00BF7004">
        <w:rPr>
          <w:rFonts w:cs="Times New Roman"/>
        </w:rPr>
        <w:t>,</w:t>
      </w:r>
      <w:r w:rsidR="001D4D02">
        <w:rPr>
          <w:rFonts w:cs="Times New Roman"/>
        </w:rPr>
        <w:t xml:space="preserve"> </w:t>
      </w:r>
      <w:proofErr w:type="spellStart"/>
      <w:r w:rsidRPr="00BF7004">
        <w:rPr>
          <w:rFonts w:cs="Times New Roman"/>
        </w:rPr>
        <w:t>Vethaiya</w:t>
      </w:r>
      <w:proofErr w:type="spellEnd"/>
      <w:r w:rsidRPr="00BF7004">
        <w:rPr>
          <w:rFonts w:cs="Times New Roman"/>
        </w:rPr>
        <w:t xml:space="preserve"> et al.</w:t>
      </w:r>
      <w:r w:rsidR="004C0F9B">
        <w:rPr>
          <w:rFonts w:cs="Times New Roman"/>
        </w:rPr>
        <w:t>,</w:t>
      </w:r>
      <w:r w:rsidRPr="00BF7004">
        <w:rPr>
          <w:rFonts w:cs="Times New Roman"/>
        </w:rPr>
        <w:t xml:space="preserve"> </w:t>
      </w:r>
      <w:r w:rsidR="004C0F9B">
        <w:rPr>
          <w:rFonts w:cs="Times New Roman"/>
        </w:rPr>
        <w:t>(</w:t>
      </w:r>
      <w:r w:rsidRPr="00BF7004">
        <w:rPr>
          <w:rFonts w:cs="Times New Roman"/>
        </w:rPr>
        <w:t>2007), Meisner et al.</w:t>
      </w:r>
      <w:r w:rsidR="004C0F9B">
        <w:rPr>
          <w:rFonts w:cs="Times New Roman"/>
        </w:rPr>
        <w:t>,</w:t>
      </w:r>
      <w:r w:rsidRPr="00BF7004">
        <w:rPr>
          <w:rFonts w:cs="Times New Roman"/>
        </w:rPr>
        <w:t xml:space="preserve"> (2005), and Jat </w:t>
      </w:r>
      <w:r w:rsidR="004C0F9B">
        <w:rPr>
          <w:rFonts w:cs="Times New Roman"/>
        </w:rPr>
        <w:t>and</w:t>
      </w:r>
      <w:r w:rsidRPr="00BF7004">
        <w:rPr>
          <w:rFonts w:cs="Times New Roman"/>
        </w:rPr>
        <w:t xml:space="preserve"> Sharma</w:t>
      </w:r>
      <w:r w:rsidR="004C0F9B">
        <w:rPr>
          <w:rFonts w:cs="Times New Roman"/>
        </w:rPr>
        <w:t>,</w:t>
      </w:r>
      <w:r w:rsidRPr="00BF7004">
        <w:rPr>
          <w:rFonts w:cs="Times New Roman"/>
        </w:rPr>
        <w:t xml:space="preserve"> (2006), who all documented yield benefits from raised bed planting. </w:t>
      </w:r>
    </w:p>
    <w:p w14:paraId="67540A43" w14:textId="18A46083" w:rsidR="008C2FF2" w:rsidRPr="00BF7004" w:rsidRDefault="008C2FF2" w:rsidP="00A97334">
      <w:pPr>
        <w:jc w:val="both"/>
        <w:rPr>
          <w:rFonts w:cs="Times New Roman"/>
          <w:b/>
          <w:szCs w:val="24"/>
        </w:rPr>
      </w:pPr>
      <w:r w:rsidRPr="00BF7004">
        <w:rPr>
          <w:rFonts w:cs="Times New Roman"/>
          <w:b/>
          <w:szCs w:val="24"/>
        </w:rPr>
        <w:t>Interaction between variety and planting method</w:t>
      </w:r>
      <w:r w:rsidR="005428A1" w:rsidRPr="00BF7004">
        <w:rPr>
          <w:rFonts w:cs="Times New Roman"/>
          <w:b/>
          <w:szCs w:val="24"/>
        </w:rPr>
        <w:t>s</w:t>
      </w:r>
    </w:p>
    <w:p w14:paraId="5CA12365" w14:textId="321390E9" w:rsidR="00AC7CC6" w:rsidRPr="00BF7004" w:rsidRDefault="00AC7CC6" w:rsidP="00AC7CC6">
      <w:pPr>
        <w:jc w:val="both"/>
        <w:rPr>
          <w:rFonts w:cs="Times New Roman"/>
        </w:rPr>
      </w:pPr>
      <w:r w:rsidRPr="00BF7004">
        <w:rPr>
          <w:rFonts w:cs="Times New Roman"/>
        </w:rPr>
        <w:t xml:space="preserve">The significant interaction between rice variety and planting method highlights the importance of aligning genotype-specific agronomic practices to optimize yield potential. Among the variety–method combinations, BRRI dhan49 under raised bed planting (V1P1) consistently outperformed all others in terms of tiller production, reproductive development, and final yield, indicating a strong genotype × environment (G×E) interaction </w:t>
      </w:r>
      <w:r w:rsidR="008C2FF2" w:rsidRPr="00BF7004">
        <w:rPr>
          <w:rFonts w:cs="Times New Roman"/>
        </w:rPr>
        <w:t>(Table 3). While BRRI dhan52 exhibited the tallest plants (V2P1), it did not outperform BRRI dhan49 in other yield-contributing traits, confirming that plant height alone is not a reliable predictor of grain yield, in agreement with earlier findings (Peng et al.</w:t>
      </w:r>
      <w:r w:rsidRPr="00BF7004">
        <w:rPr>
          <w:rFonts w:cs="Times New Roman"/>
        </w:rPr>
        <w:t>,</w:t>
      </w:r>
      <w:r w:rsidR="008C2FF2" w:rsidRPr="00BF7004">
        <w:rPr>
          <w:rFonts w:cs="Times New Roman"/>
        </w:rPr>
        <w:t xml:space="preserve"> 2008).</w:t>
      </w:r>
      <w:r w:rsidRPr="00BF7004">
        <w:rPr>
          <w:rFonts w:cs="Times New Roman"/>
        </w:rPr>
        <w:t xml:space="preserve"> Raised beds improved total and effective tillers hill⁻¹ in BRRI dhan49, likely due to better root aeration, moisture regulation, and nutrient availability (Timsina et al., 2010). Fewer non-effective tillers in this combination also indicate better assimilate </w:t>
      </w:r>
      <w:r w:rsidRPr="00BF7004">
        <w:rPr>
          <w:rFonts w:cs="Times New Roman"/>
        </w:rPr>
        <w:lastRenderedPageBreak/>
        <w:t>partitioning and sink strength (Lafitte et al.</w:t>
      </w:r>
      <w:r w:rsidR="00FB1093" w:rsidRPr="00BF7004">
        <w:rPr>
          <w:rFonts w:cs="Times New Roman"/>
        </w:rPr>
        <w:t>,</w:t>
      </w:r>
      <w:r w:rsidRPr="00BF7004">
        <w:rPr>
          <w:rFonts w:cs="Times New Roman"/>
        </w:rPr>
        <w:t xml:space="preserve"> 2004). Reproductive traits: panicle length, grains panicle⁻¹, and 1000-grain weight, were also enhanced under raised beds, particularly in BRRI dhan49, likely due to improved source–sink dynamics and root zone conditions (Yuan et al., 2024).</w:t>
      </w:r>
    </w:p>
    <w:p w14:paraId="6338B172" w14:textId="16E9778D" w:rsidR="008C2FF2" w:rsidRPr="00BF7004" w:rsidRDefault="00AC7CC6" w:rsidP="008C2FF2">
      <w:pPr>
        <w:jc w:val="both"/>
        <w:rPr>
          <w:rFonts w:cs="Times New Roman"/>
        </w:rPr>
      </w:pPr>
      <w:r w:rsidRPr="00BF7004">
        <w:rPr>
          <w:rFonts w:cs="Times New Roman"/>
        </w:rPr>
        <w:t xml:space="preserve">Grain yield peaked in BRRI dhan49 under raised beds (5.42 t/ha), with corresponding increases in straw yield, biological yield, and harvest index. These results align with previous studies reporting improved drainage, root growth, and nutrient uptake under raised bed systems (Bhuyan et al., 2012; Borrell et al., 1998). In contrast, Binadhan-7 under conventional planting yielded the lowest (4.25 t/ha), confirming its limited suitability for such conditions. </w:t>
      </w:r>
      <w:r w:rsidR="008C2FF2" w:rsidRPr="00BF7004">
        <w:rPr>
          <w:rFonts w:cs="Times New Roman"/>
        </w:rPr>
        <w:t xml:space="preserve">Overall, the interaction effects reveal that BRRI dhan49 is the most suitable genotype for raised bed planting (V1P1), combining higher tiller productivity, panicle fertility, and grain filling efficiency. </w:t>
      </w:r>
    </w:p>
    <w:p w14:paraId="10FC5941" w14:textId="48524DFF" w:rsidR="008C2FF2" w:rsidRPr="00BF7004" w:rsidRDefault="008C2FF2" w:rsidP="008C2FF2">
      <w:pPr>
        <w:jc w:val="both"/>
        <w:rPr>
          <w:rFonts w:cs="Times New Roman"/>
        </w:rPr>
      </w:pPr>
      <w:r w:rsidRPr="00BF7004">
        <w:rPr>
          <w:rFonts w:cs="Times New Roman"/>
          <w:b/>
          <w:bCs/>
          <w:szCs w:val="24"/>
        </w:rPr>
        <w:t xml:space="preserve">Correlation </w:t>
      </w:r>
      <w:r w:rsidR="00D20BFA" w:rsidRPr="00BF7004">
        <w:rPr>
          <w:rFonts w:cs="Times New Roman"/>
          <w:b/>
          <w:bCs/>
          <w:szCs w:val="24"/>
        </w:rPr>
        <w:t>between</w:t>
      </w:r>
      <w:r w:rsidRPr="00BF7004">
        <w:rPr>
          <w:rFonts w:cs="Times New Roman"/>
          <w:b/>
          <w:bCs/>
          <w:szCs w:val="24"/>
        </w:rPr>
        <w:t xml:space="preserve"> Grain Yield and Yield-Contributing Traits</w:t>
      </w:r>
      <w:r w:rsidRPr="00BF7004">
        <w:rPr>
          <w:rFonts w:cs="Times New Roman"/>
          <w:b/>
          <w:szCs w:val="24"/>
        </w:rPr>
        <w:t xml:space="preserve"> </w:t>
      </w:r>
    </w:p>
    <w:p w14:paraId="09C2F94A" w14:textId="6CDC886F" w:rsidR="00E907C3" w:rsidRPr="00BF7004" w:rsidRDefault="00AC7CC6" w:rsidP="005428A1">
      <w:pPr>
        <w:jc w:val="both"/>
        <w:rPr>
          <w:rFonts w:cs="Times New Roman"/>
        </w:rPr>
      </w:pPr>
      <w:r w:rsidRPr="00BF7004">
        <w:rPr>
          <w:rFonts w:cs="Times New Roman"/>
        </w:rPr>
        <w:t xml:space="preserve">Since yield is a complex trait governed by multiple genetic factors, direct selection based solely on yield is often inefficient. Correlation analysis, therefore, serves as a valuable tool to uncover genetic associations among agronomic traits, aiding in the identification of secondary traits that indirectly contribute to yield improvement (Jayasudha </w:t>
      </w:r>
      <w:r w:rsidR="009F02A5">
        <w:rPr>
          <w:rFonts w:cs="Times New Roman"/>
        </w:rPr>
        <w:t>and</w:t>
      </w:r>
      <w:r w:rsidRPr="00BF7004">
        <w:rPr>
          <w:rFonts w:cs="Times New Roman"/>
        </w:rPr>
        <w:t xml:space="preserve"> Sharma, 2010; Ratna et al., 2015).</w:t>
      </w:r>
      <w:r w:rsidR="0031469B" w:rsidRPr="00BF7004">
        <w:rPr>
          <w:rFonts w:cs="Times New Roman"/>
        </w:rPr>
        <w:t xml:space="preserve"> </w:t>
      </w:r>
      <w:r w:rsidR="008C2FF2" w:rsidRPr="00BF7004">
        <w:rPr>
          <w:rFonts w:cs="Times New Roman"/>
        </w:rPr>
        <w:t>In the present study, grain yield exhibited highly significant positive correlations with the number of tillers hill</w:t>
      </w:r>
      <w:r w:rsidR="008C2FF2" w:rsidRPr="00BF7004">
        <w:rPr>
          <w:rFonts w:cs="Times New Roman"/>
          <w:vertAlign w:val="superscript"/>
        </w:rPr>
        <w:t>-1</w:t>
      </w:r>
      <w:r w:rsidR="008C2FF2" w:rsidRPr="00BF7004">
        <w:rPr>
          <w:rFonts w:cs="Times New Roman"/>
        </w:rPr>
        <w:t>, effective tillers hill</w:t>
      </w:r>
      <w:r w:rsidR="008C2FF2" w:rsidRPr="00BF7004">
        <w:rPr>
          <w:rFonts w:cs="Times New Roman"/>
          <w:vertAlign w:val="superscript"/>
        </w:rPr>
        <w:t>-1</w:t>
      </w:r>
      <w:r w:rsidR="008C2FF2" w:rsidRPr="00BF7004">
        <w:rPr>
          <w:rFonts w:cs="Times New Roman"/>
        </w:rPr>
        <w:t>, number of grains panicle</w:t>
      </w:r>
      <w:r w:rsidR="008C2FF2" w:rsidRPr="00BF7004">
        <w:rPr>
          <w:rFonts w:cs="Times New Roman"/>
          <w:vertAlign w:val="superscript"/>
        </w:rPr>
        <w:t>-1</w:t>
      </w:r>
      <w:r w:rsidR="008C2FF2" w:rsidRPr="00BF7004">
        <w:rPr>
          <w:rFonts w:cs="Times New Roman"/>
        </w:rPr>
        <w:t xml:space="preserve">, and 1000-grain weight. </w:t>
      </w:r>
      <w:r w:rsidR="005017AF" w:rsidRPr="00BF7004">
        <w:rPr>
          <w:rFonts w:cs="Times New Roman"/>
        </w:rPr>
        <w:t>These associations suggest that genotypes with more productive tillers, higher grain numbers, and heavier seeds tend to produce higher yields. Similar trends have been reported by Alam et al.</w:t>
      </w:r>
      <w:r w:rsidR="009F02A5">
        <w:rPr>
          <w:rFonts w:cs="Times New Roman"/>
        </w:rPr>
        <w:t xml:space="preserve">, </w:t>
      </w:r>
      <w:r w:rsidR="005017AF" w:rsidRPr="00BF7004">
        <w:rPr>
          <w:rFonts w:cs="Times New Roman"/>
        </w:rPr>
        <w:t>(2025), Chowdhury et al.</w:t>
      </w:r>
      <w:r w:rsidR="009F02A5">
        <w:rPr>
          <w:rFonts w:cs="Times New Roman"/>
        </w:rPr>
        <w:t>,</w:t>
      </w:r>
      <w:r w:rsidR="005017AF" w:rsidRPr="00BF7004">
        <w:rPr>
          <w:rFonts w:cs="Times New Roman"/>
        </w:rPr>
        <w:t xml:space="preserve"> (2023), and Hannan et al.</w:t>
      </w:r>
      <w:r w:rsidR="009F02A5">
        <w:rPr>
          <w:rFonts w:cs="Times New Roman"/>
        </w:rPr>
        <w:t>,</w:t>
      </w:r>
      <w:r w:rsidR="005017AF" w:rsidRPr="00BF7004">
        <w:rPr>
          <w:rFonts w:cs="Times New Roman"/>
        </w:rPr>
        <w:t xml:space="preserve"> (2020)</w:t>
      </w:r>
      <w:r w:rsidR="0031469B" w:rsidRPr="00BF7004">
        <w:rPr>
          <w:rFonts w:cs="Times New Roman"/>
        </w:rPr>
        <w:t>.</w:t>
      </w:r>
      <w:r w:rsidR="008C2FF2" w:rsidRPr="00BF7004">
        <w:rPr>
          <w:rFonts w:cs="Times New Roman"/>
        </w:rPr>
        <w:t xml:space="preserve"> The strong association between total and effective tillers confirms the importance of productive tillering in enhancing yield. Additionally, effective tillers showed significant correlations with both grain number and grain weight, reflecting their role in determining sink strength and grain filling efficiency. These findings align with previous reports emphasizing the contribution of tillering capacity, panicle fertility, and grain weight to yield potential in rice (Alam et al.</w:t>
      </w:r>
      <w:r w:rsidR="00D44280" w:rsidRPr="00BF7004">
        <w:rPr>
          <w:rFonts w:cs="Times New Roman"/>
        </w:rPr>
        <w:t>,</w:t>
      </w:r>
      <w:r w:rsidR="008C2FF2" w:rsidRPr="00BF7004">
        <w:rPr>
          <w:rFonts w:cs="Times New Roman"/>
        </w:rPr>
        <w:t xml:space="preserve"> 2025; Chowdhury et al.</w:t>
      </w:r>
      <w:r w:rsidR="00D44280" w:rsidRPr="00BF7004">
        <w:rPr>
          <w:rFonts w:cs="Times New Roman"/>
        </w:rPr>
        <w:t>,</w:t>
      </w:r>
      <w:r w:rsidR="008C2FF2" w:rsidRPr="00BF7004">
        <w:rPr>
          <w:rFonts w:cs="Times New Roman"/>
        </w:rPr>
        <w:t xml:space="preserve"> 2023; Hannan et al.</w:t>
      </w:r>
      <w:r w:rsidR="00D44280" w:rsidRPr="00BF7004">
        <w:rPr>
          <w:rFonts w:cs="Times New Roman"/>
        </w:rPr>
        <w:t>,</w:t>
      </w:r>
      <w:r w:rsidR="008C2FF2" w:rsidRPr="00BF7004">
        <w:rPr>
          <w:rFonts w:cs="Times New Roman"/>
        </w:rPr>
        <w:t xml:space="preserve"> 2020). Collectively, the findings confirm that traits such as effective tillers, grains per panicle, and 1000-seed weight are valuable selection indices in rice improvement programs. </w:t>
      </w:r>
    </w:p>
    <w:p w14:paraId="045F6FEC" w14:textId="39A593DC" w:rsidR="00CE2F99" w:rsidRPr="00BF7004" w:rsidRDefault="00CE2F99" w:rsidP="00E907C3">
      <w:pPr>
        <w:spacing w:line="276" w:lineRule="auto"/>
        <w:rPr>
          <w:rFonts w:cs="Times New Roman"/>
          <w:b/>
          <w:bCs/>
          <w:szCs w:val="24"/>
        </w:rPr>
      </w:pPr>
      <w:r w:rsidRPr="00BF7004">
        <w:rPr>
          <w:rFonts w:cs="Times New Roman"/>
          <w:b/>
          <w:bCs/>
          <w:szCs w:val="24"/>
        </w:rPr>
        <w:t>CONCLUSION</w:t>
      </w:r>
    </w:p>
    <w:p w14:paraId="5E7FE8C2" w14:textId="1882EC57" w:rsidR="005650FD" w:rsidRDefault="005650FD" w:rsidP="005038A3">
      <w:pPr>
        <w:spacing w:line="276" w:lineRule="auto"/>
        <w:jc w:val="both"/>
        <w:rPr>
          <w:rFonts w:cs="Times New Roman"/>
          <w:szCs w:val="24"/>
        </w:rPr>
      </w:pPr>
      <w:r w:rsidRPr="00BF7004">
        <w:rPr>
          <w:rFonts w:cs="Times New Roman"/>
          <w:szCs w:val="24"/>
        </w:rPr>
        <w:t xml:space="preserve">The present study clearly demonstrates that compared to traditional line transplanting, raised bed planting was shown to be a more resource-efficient and yield-enhancing farming technique. The method proved its potential for sustainable rice production by enhancing biomass partitioning, decreasing sterile </w:t>
      </w:r>
      <w:proofErr w:type="spellStart"/>
      <w:r w:rsidRPr="00BF7004">
        <w:rPr>
          <w:rFonts w:cs="Times New Roman"/>
          <w:szCs w:val="24"/>
        </w:rPr>
        <w:t>spikelets</w:t>
      </w:r>
      <w:proofErr w:type="spellEnd"/>
      <w:r w:rsidRPr="00BF7004">
        <w:rPr>
          <w:rFonts w:cs="Times New Roman"/>
          <w:szCs w:val="24"/>
        </w:rPr>
        <w:t>, and improving soil aeration.</w:t>
      </w:r>
      <w:r w:rsidRPr="00BF7004">
        <w:rPr>
          <w:rFonts w:eastAsia="Times New Roman" w:cs="Times New Roman"/>
          <w:kern w:val="0"/>
          <w:szCs w:val="24"/>
          <w14:ligatures w14:val="none"/>
        </w:rPr>
        <w:t xml:space="preserve"> </w:t>
      </w:r>
      <w:r w:rsidRPr="00BF7004">
        <w:rPr>
          <w:rFonts w:cs="Times New Roman"/>
          <w:szCs w:val="24"/>
        </w:rPr>
        <w:t xml:space="preserve">Out of the genotypes that were evaluated, BRRI dhan49 in raised beds consistently demonstrated superior agronomic performance. We also noticed strong genotype × planting method interaction which </w:t>
      </w:r>
      <w:r w:rsidR="002F3BDD" w:rsidRPr="00BF7004">
        <w:rPr>
          <w:rFonts w:cs="Times New Roman"/>
          <w:szCs w:val="24"/>
        </w:rPr>
        <w:t>strengthen</w:t>
      </w:r>
      <w:r w:rsidR="002817A2" w:rsidRPr="00BF7004">
        <w:rPr>
          <w:rFonts w:cs="Times New Roman"/>
          <w:szCs w:val="24"/>
        </w:rPr>
        <w:t>s</w:t>
      </w:r>
      <w:r w:rsidRPr="00BF7004">
        <w:rPr>
          <w:rFonts w:cs="Times New Roman"/>
          <w:szCs w:val="24"/>
        </w:rPr>
        <w:t xml:space="preserve"> the need of combining varietal selection with suitable agronomic </w:t>
      </w:r>
      <w:r w:rsidR="002F3BDD" w:rsidRPr="00BF7004">
        <w:rPr>
          <w:rFonts w:cs="Times New Roman"/>
          <w:szCs w:val="24"/>
        </w:rPr>
        <w:t>methods to maximize performance under field conditions.</w:t>
      </w:r>
      <w:r w:rsidR="002817A2" w:rsidRPr="00BF7004">
        <w:rPr>
          <w:rFonts w:eastAsia="Times New Roman" w:cs="Times New Roman"/>
          <w:kern w:val="0"/>
          <w:szCs w:val="24"/>
          <w14:ligatures w14:val="none"/>
        </w:rPr>
        <w:t xml:space="preserve"> Thus, we conclude that </w:t>
      </w:r>
      <w:r w:rsidR="002817A2" w:rsidRPr="00BF7004">
        <w:rPr>
          <w:rFonts w:cs="Times New Roman"/>
          <w:szCs w:val="24"/>
        </w:rPr>
        <w:t xml:space="preserve">the most promising combination for increasing </w:t>
      </w:r>
      <w:r w:rsidR="00764A50" w:rsidRPr="00BF7004">
        <w:rPr>
          <w:rFonts w:cs="Times New Roman"/>
        </w:rPr>
        <w:t>T. Aman</w:t>
      </w:r>
      <w:r w:rsidR="002817A2" w:rsidRPr="00BF7004">
        <w:rPr>
          <w:rFonts w:cs="Times New Roman"/>
          <w:szCs w:val="24"/>
        </w:rPr>
        <w:t xml:space="preserve"> rice yield in Bangladesh is BRRI dhan49 grown in raised beds. In rice-based cropping systems, we recommend the use of genotype-specific planting techniques and a multi-trait selection strategy to optimize yield potential and resource use efficiency.</w:t>
      </w:r>
    </w:p>
    <w:p w14:paraId="71B18EA8" w14:textId="43BAC70E" w:rsidR="00E07C65" w:rsidRDefault="00E07C65" w:rsidP="005038A3">
      <w:pPr>
        <w:spacing w:line="276" w:lineRule="auto"/>
        <w:jc w:val="both"/>
        <w:rPr>
          <w:rFonts w:cs="Times New Roman"/>
          <w:szCs w:val="24"/>
        </w:rPr>
      </w:pPr>
    </w:p>
    <w:p w14:paraId="6F734005" w14:textId="336BFB26" w:rsidR="00E07C65" w:rsidRDefault="00E07C65" w:rsidP="005038A3">
      <w:pPr>
        <w:spacing w:line="276" w:lineRule="auto"/>
        <w:jc w:val="both"/>
        <w:rPr>
          <w:rFonts w:cs="Times New Roman"/>
          <w:szCs w:val="24"/>
        </w:rPr>
      </w:pPr>
    </w:p>
    <w:p w14:paraId="0E841EA7" w14:textId="77777777" w:rsidR="00E07C65" w:rsidRPr="009C5487" w:rsidRDefault="00E07C65" w:rsidP="00E119EA">
      <w:pPr>
        <w:jc w:val="both"/>
        <w:rPr>
          <w:rFonts w:ascii="Calibri" w:eastAsia="Calibri" w:hAnsi="Calibri" w:cs="Times New Roman"/>
          <w:highlight w:val="yellow"/>
        </w:rPr>
      </w:pPr>
      <w:bookmarkStart w:id="4" w:name="_Hlk197682619"/>
      <w:bookmarkStart w:id="5" w:name="_Hlk180402183"/>
      <w:bookmarkStart w:id="6" w:name="_Hlk183680988"/>
      <w:r w:rsidRPr="009C5487">
        <w:rPr>
          <w:rFonts w:ascii="Calibri" w:eastAsia="Calibri" w:hAnsi="Calibri" w:cs="Times New Roman"/>
          <w:highlight w:val="yellow"/>
        </w:rPr>
        <w:t>Disclaimer (Artificial intelligence)</w:t>
      </w:r>
    </w:p>
    <w:p w14:paraId="62644733" w14:textId="77777777" w:rsidR="00E07C65" w:rsidRPr="009C5487" w:rsidRDefault="00E07C65" w:rsidP="00E119EA">
      <w:pPr>
        <w:jc w:val="both"/>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bookmarkEnd w:id="4"/>
    <w:bookmarkEnd w:id="5"/>
    <w:bookmarkEnd w:id="6"/>
    <w:p w14:paraId="09354254" w14:textId="7E02EAFA" w:rsidR="00E907C3" w:rsidRPr="00FD0B30" w:rsidRDefault="005038A3" w:rsidP="00E119EA">
      <w:pPr>
        <w:pStyle w:val="Default"/>
        <w:spacing w:before="240" w:after="240"/>
        <w:ind w:left="1440" w:hanging="1440"/>
        <w:jc w:val="both"/>
        <w:rPr>
          <w:b/>
          <w:bCs/>
          <w:color w:val="000000" w:themeColor="text1"/>
        </w:rPr>
      </w:pPr>
      <w:r w:rsidRPr="00FD0B30">
        <w:rPr>
          <w:b/>
          <w:bCs/>
          <w:color w:val="000000" w:themeColor="text1"/>
        </w:rPr>
        <w:t>REFERENCES</w:t>
      </w:r>
    </w:p>
    <w:p w14:paraId="08A493B3" w14:textId="77777777" w:rsidR="00E119EA" w:rsidRDefault="00E119EA" w:rsidP="00FB1093">
      <w:pPr>
        <w:autoSpaceDE w:val="0"/>
        <w:autoSpaceDN w:val="0"/>
        <w:adjustRightInd w:val="0"/>
        <w:spacing w:after="0" w:line="240" w:lineRule="auto"/>
        <w:ind w:left="720" w:hanging="720"/>
        <w:jc w:val="both"/>
        <w:rPr>
          <w:rFonts w:cs="Times New Roman"/>
          <w:color w:val="000000" w:themeColor="text1"/>
          <w:szCs w:val="24"/>
        </w:rPr>
      </w:pPr>
      <w:bookmarkStart w:id="7" w:name="_Hlk204160974"/>
      <w:r w:rsidRPr="0031469B">
        <w:rPr>
          <w:rFonts w:cs="Times New Roman"/>
          <w:color w:val="000000" w:themeColor="text1"/>
          <w:szCs w:val="24"/>
        </w:rPr>
        <w:t xml:space="preserve">Alam, I., Das, B., Tanim, K. M. Y., Zannat, R., Hridoy, A. D., Hossain, H. M. F., et al. (2025). </w:t>
      </w:r>
      <w:proofErr w:type="spellStart"/>
      <w:r w:rsidRPr="0031469B">
        <w:rPr>
          <w:rFonts w:cs="Times New Roman"/>
          <w:color w:val="000000" w:themeColor="text1"/>
          <w:szCs w:val="24"/>
        </w:rPr>
        <w:t>Agro</w:t>
      </w:r>
      <w:proofErr w:type="spellEnd"/>
      <w:r w:rsidRPr="0031469B">
        <w:rPr>
          <w:rFonts w:cs="Times New Roman"/>
          <w:color w:val="000000" w:themeColor="text1"/>
          <w:szCs w:val="24"/>
        </w:rPr>
        <w:t xml:space="preserve">-morphological characterization and diversity studies of local and modern rice genotypes in the coastal region of Bangladesh. </w:t>
      </w:r>
      <w:r w:rsidRPr="00E16D62">
        <w:rPr>
          <w:rFonts w:cs="Times New Roman"/>
          <w:i/>
          <w:iCs/>
          <w:color w:val="000000" w:themeColor="text1"/>
          <w:szCs w:val="24"/>
        </w:rPr>
        <w:t>Sarhad Journal of Agriculture</w:t>
      </w:r>
      <w:r w:rsidRPr="0031469B">
        <w:rPr>
          <w:rFonts w:cs="Times New Roman"/>
          <w:color w:val="000000" w:themeColor="text1"/>
          <w:szCs w:val="24"/>
        </w:rPr>
        <w:t>, 41(1), 1-11.</w:t>
      </w:r>
    </w:p>
    <w:p w14:paraId="2CC2E2F1" w14:textId="77777777" w:rsidR="00E119EA" w:rsidRPr="0031469B" w:rsidRDefault="00E119EA" w:rsidP="0008448F">
      <w:pPr>
        <w:autoSpaceDE w:val="0"/>
        <w:autoSpaceDN w:val="0"/>
        <w:adjustRightInd w:val="0"/>
        <w:spacing w:after="0" w:line="240" w:lineRule="auto"/>
        <w:ind w:left="720" w:hanging="720"/>
        <w:jc w:val="both"/>
        <w:rPr>
          <w:rFonts w:cs="Times New Roman"/>
          <w:color w:val="000000" w:themeColor="text1"/>
          <w:szCs w:val="24"/>
        </w:rPr>
      </w:pPr>
      <w:r w:rsidRPr="003B450B">
        <w:rPr>
          <w:rFonts w:cs="Times New Roman"/>
          <w:color w:val="000000" w:themeColor="text1"/>
          <w:szCs w:val="24"/>
          <w:highlight w:val="yellow"/>
        </w:rPr>
        <w:t xml:space="preserve">Azad, S. F. D., Ali, M. Y., Quddus, K. G., Sarker, B. C., &amp; Ray, J. (2022). Effect of Seedling Age on Growth and Yield of Local Aman Rice Varieties in the Low Land Area of Southwestern Coastal Bangladesh. </w:t>
      </w:r>
      <w:r w:rsidRPr="00DF46B4">
        <w:rPr>
          <w:rFonts w:cs="Times New Roman"/>
          <w:i/>
          <w:iCs/>
          <w:color w:val="000000" w:themeColor="text1"/>
          <w:szCs w:val="24"/>
          <w:highlight w:val="yellow"/>
        </w:rPr>
        <w:t>International Journal of Plant &amp; Soil Science</w:t>
      </w:r>
      <w:r w:rsidRPr="003B450B">
        <w:rPr>
          <w:rFonts w:cs="Times New Roman"/>
          <w:color w:val="000000" w:themeColor="text1"/>
          <w:szCs w:val="24"/>
          <w:highlight w:val="yellow"/>
        </w:rPr>
        <w:t>, 34(22), 1614–1623. https://doi.org/10.9734/ijpss/2022/v34i2231541</w:t>
      </w:r>
    </w:p>
    <w:p w14:paraId="4B88F1C5"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606752">
        <w:rPr>
          <w:rFonts w:cs="Times New Roman"/>
          <w:color w:val="000000" w:themeColor="text1"/>
          <w:szCs w:val="24"/>
        </w:rPr>
        <w:t>BBS. Statistical Yearbook of Bangladesh Bureau of Statistics. Statistics and Information Division, Ministry of Planning, Government of People's Republic of Bangladesh, Dhaka, Bangladesh. 202</w:t>
      </w:r>
      <w:r>
        <w:rPr>
          <w:rFonts w:cs="Times New Roman"/>
          <w:color w:val="000000" w:themeColor="text1"/>
          <w:szCs w:val="24"/>
        </w:rPr>
        <w:t>4</w:t>
      </w:r>
      <w:r w:rsidRPr="00606752">
        <w:rPr>
          <w:rFonts w:cs="Times New Roman"/>
          <w:color w:val="000000" w:themeColor="text1"/>
          <w:szCs w:val="24"/>
        </w:rPr>
        <w:t>;5</w:t>
      </w:r>
      <w:r>
        <w:rPr>
          <w:rFonts w:cs="Times New Roman"/>
          <w:color w:val="000000" w:themeColor="text1"/>
          <w:szCs w:val="24"/>
        </w:rPr>
        <w:t>1-67</w:t>
      </w:r>
      <w:r w:rsidRPr="00606752">
        <w:rPr>
          <w:rFonts w:cs="Times New Roman"/>
          <w:color w:val="000000" w:themeColor="text1"/>
          <w:szCs w:val="24"/>
        </w:rPr>
        <w:t>.</w:t>
      </w:r>
    </w:p>
    <w:p w14:paraId="5FAFF193"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(2012). Yield and growth response to transplanted </w:t>
      </w:r>
      <w:proofErr w:type="spellStart"/>
      <w:r w:rsidRPr="0031469B">
        <w:rPr>
          <w:rFonts w:cs="Times New Roman"/>
          <w:color w:val="000000" w:themeColor="text1"/>
          <w:szCs w:val="24"/>
        </w:rPr>
        <w:t>aman</w:t>
      </w:r>
      <w:proofErr w:type="spellEnd"/>
      <w:r w:rsidRPr="0031469B">
        <w:rPr>
          <w:rFonts w:cs="Times New Roman"/>
          <w:color w:val="000000" w:themeColor="text1"/>
          <w:szCs w:val="24"/>
        </w:rPr>
        <w:t xml:space="preserve"> rice under raised bed over conventional cultivation method. </w:t>
      </w:r>
      <w:r w:rsidRPr="00E16D62">
        <w:rPr>
          <w:rFonts w:cs="Times New Roman"/>
          <w:i/>
          <w:iCs/>
          <w:color w:val="000000" w:themeColor="text1"/>
          <w:szCs w:val="24"/>
        </w:rPr>
        <w:t>International Scholarly Research Notices</w:t>
      </w:r>
      <w:r w:rsidRPr="0031469B">
        <w:rPr>
          <w:rFonts w:cs="Times New Roman"/>
          <w:color w:val="000000" w:themeColor="text1"/>
          <w:szCs w:val="24"/>
        </w:rPr>
        <w:t>, 2012(1), 646859.</w:t>
      </w:r>
    </w:p>
    <w:p w14:paraId="7BD37A87"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Bhuyan, M. H. M., Ferdousi, M. R., &amp; Iqbal, M. T. (2014). Increasing yield and agronomic efficiency of </w:t>
      </w:r>
      <w:proofErr w:type="spellStart"/>
      <w:r w:rsidRPr="0031469B">
        <w:rPr>
          <w:rFonts w:cs="Times New Roman"/>
          <w:color w:val="000000" w:themeColor="text1"/>
          <w:szCs w:val="24"/>
        </w:rPr>
        <w:t>boro</w:t>
      </w:r>
      <w:proofErr w:type="spellEnd"/>
      <w:r w:rsidRPr="0031469B">
        <w:rPr>
          <w:rFonts w:cs="Times New Roman"/>
          <w:color w:val="000000" w:themeColor="text1"/>
          <w:szCs w:val="24"/>
        </w:rPr>
        <w:t xml:space="preserve"> rice (Oryza sativa) by fertigation with bed planting compared with conventional planting. </w:t>
      </w:r>
      <w:r w:rsidRPr="00E16D62">
        <w:rPr>
          <w:rFonts w:cs="Times New Roman"/>
          <w:i/>
          <w:iCs/>
          <w:color w:val="000000" w:themeColor="text1"/>
          <w:szCs w:val="24"/>
        </w:rPr>
        <w:t>International Journal of Agricultural and Biological Engineering</w:t>
      </w:r>
      <w:r w:rsidRPr="0031469B">
        <w:rPr>
          <w:rFonts w:cs="Times New Roman"/>
          <w:color w:val="000000" w:themeColor="text1"/>
          <w:szCs w:val="24"/>
        </w:rPr>
        <w:t>, 7(5), 34-47.</w:t>
      </w:r>
    </w:p>
    <w:p w14:paraId="7B107CFC"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Borrell, A. K., Kelly, R. M., &amp; Van </w:t>
      </w:r>
      <w:proofErr w:type="spellStart"/>
      <w:r w:rsidRPr="0031469B">
        <w:rPr>
          <w:rFonts w:cs="Times New Roman"/>
          <w:color w:val="000000" w:themeColor="text1"/>
          <w:szCs w:val="24"/>
        </w:rPr>
        <w:t>Cooten</w:t>
      </w:r>
      <w:proofErr w:type="spellEnd"/>
      <w:r w:rsidRPr="0031469B">
        <w:rPr>
          <w:rFonts w:cs="Times New Roman"/>
          <w:color w:val="000000" w:themeColor="text1"/>
          <w:szCs w:val="24"/>
        </w:rPr>
        <w:t xml:space="preserve">, D. E. (1998). Improving management of rice in semi-arid eastern Indonesia: Responses to irrigation, plant type and nitrogen. </w:t>
      </w:r>
      <w:r w:rsidRPr="00E16D62">
        <w:rPr>
          <w:rFonts w:cs="Times New Roman"/>
          <w:i/>
          <w:iCs/>
          <w:color w:val="000000" w:themeColor="text1"/>
          <w:szCs w:val="24"/>
        </w:rPr>
        <w:t>Australian Journal of Experimental Agriculture</w:t>
      </w:r>
      <w:r w:rsidRPr="0031469B">
        <w:rPr>
          <w:rFonts w:cs="Times New Roman"/>
          <w:color w:val="000000" w:themeColor="text1"/>
          <w:szCs w:val="24"/>
        </w:rPr>
        <w:t>, 38(3), 261-271.</w:t>
      </w:r>
    </w:p>
    <w:p w14:paraId="4297B7C6"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Chauhan, B. S., &amp; Johnson, D. E. (2011). Growth response of direct-seeded rice to oxadiazon and </w:t>
      </w:r>
      <w:proofErr w:type="spellStart"/>
      <w:r w:rsidRPr="0031469B">
        <w:rPr>
          <w:rFonts w:cs="Times New Roman"/>
          <w:color w:val="000000" w:themeColor="text1"/>
          <w:szCs w:val="24"/>
        </w:rPr>
        <w:t>bispyribac</w:t>
      </w:r>
      <w:proofErr w:type="spellEnd"/>
      <w:r w:rsidRPr="0031469B">
        <w:rPr>
          <w:rFonts w:cs="Times New Roman"/>
          <w:color w:val="000000" w:themeColor="text1"/>
          <w:szCs w:val="24"/>
        </w:rPr>
        <w:t xml:space="preserve">-sodium in aerobic and saturated soils. </w:t>
      </w:r>
      <w:r w:rsidRPr="00E16D62">
        <w:rPr>
          <w:rFonts w:cs="Times New Roman"/>
          <w:i/>
          <w:iCs/>
          <w:color w:val="000000" w:themeColor="text1"/>
          <w:szCs w:val="24"/>
        </w:rPr>
        <w:t>Weed Science</w:t>
      </w:r>
      <w:r w:rsidRPr="0031469B">
        <w:rPr>
          <w:rFonts w:cs="Times New Roman"/>
          <w:color w:val="000000" w:themeColor="text1"/>
          <w:szCs w:val="24"/>
        </w:rPr>
        <w:t>, 59(1), 119-122.</w:t>
      </w:r>
    </w:p>
    <w:p w14:paraId="5171F3E1" w14:textId="77777777" w:rsidR="00E119EA"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Chowdhury, N., Islam, S., Mim, M. H., Akter, S., Naim, J., Nowicka, B., et al. (2023). Characterization and genetic analysis of the selected rice mutant populations. </w:t>
      </w:r>
      <w:proofErr w:type="spellStart"/>
      <w:r w:rsidRPr="00E16D62">
        <w:rPr>
          <w:rFonts w:cs="Times New Roman"/>
          <w:i/>
          <w:iCs/>
          <w:color w:val="000000" w:themeColor="text1"/>
          <w:szCs w:val="24"/>
        </w:rPr>
        <w:t>Sabrao</w:t>
      </w:r>
      <w:proofErr w:type="spellEnd"/>
      <w:r w:rsidRPr="00E16D62">
        <w:rPr>
          <w:rFonts w:cs="Times New Roman"/>
          <w:i/>
          <w:iCs/>
          <w:color w:val="000000" w:themeColor="text1"/>
          <w:szCs w:val="24"/>
        </w:rPr>
        <w:t xml:space="preserve"> Journal of Breeding and Genetics</w:t>
      </w:r>
      <w:r w:rsidRPr="0031469B">
        <w:rPr>
          <w:rFonts w:cs="Times New Roman"/>
          <w:color w:val="000000" w:themeColor="text1"/>
          <w:szCs w:val="24"/>
        </w:rPr>
        <w:t xml:space="preserve">, 55(1), 25-37. </w:t>
      </w:r>
    </w:p>
    <w:p w14:paraId="1BA5ED7C"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DAE. (2020). Weekly crop production report. Department of Agricultural Extension, Ministry of Agriculture, Government People’s Republic of Bangladesh, Dhaka, Bangladesh.</w:t>
      </w:r>
    </w:p>
    <w:p w14:paraId="4794735B"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Das, S., Singh, M. K., Kumari, S., &amp; Mahato, M. (2021). Recent advances in crop establishment methods in rice-wheat cropping system: A review. </w:t>
      </w:r>
      <w:proofErr w:type="spellStart"/>
      <w:r w:rsidRPr="00E16D62">
        <w:rPr>
          <w:rFonts w:cs="Times New Roman"/>
          <w:i/>
          <w:iCs/>
          <w:color w:val="000000" w:themeColor="text1"/>
          <w:szCs w:val="24"/>
        </w:rPr>
        <w:t>IntechOpen</w:t>
      </w:r>
      <w:proofErr w:type="spellEnd"/>
      <w:r w:rsidRPr="0031469B">
        <w:rPr>
          <w:rFonts w:cs="Times New Roman"/>
          <w:color w:val="000000" w:themeColor="text1"/>
          <w:szCs w:val="24"/>
        </w:rPr>
        <w:t>.</w:t>
      </w:r>
    </w:p>
    <w:p w14:paraId="251A4493"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Dhillon, S. S., Prashar, A., &amp; Thaman, S. (2005). Studies on bed planted wheat (Triticum aestivum L.) under different nitrogen levels and tillage methods. </w:t>
      </w:r>
      <w:r w:rsidRPr="00E16D62">
        <w:rPr>
          <w:rFonts w:cs="Times New Roman"/>
          <w:i/>
          <w:iCs/>
          <w:color w:val="000000" w:themeColor="text1"/>
          <w:szCs w:val="24"/>
        </w:rPr>
        <w:t>Environment &amp; Agriculture</w:t>
      </w:r>
      <w:r w:rsidRPr="0031469B">
        <w:rPr>
          <w:rFonts w:cs="Times New Roman"/>
          <w:color w:val="000000" w:themeColor="text1"/>
          <w:szCs w:val="24"/>
        </w:rPr>
        <w:t>, 92.</w:t>
      </w:r>
    </w:p>
    <w:p w14:paraId="7BC57F0F"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FAO and UNDP. (1988). Land resources appraisal of Bangladesh for agricultural development report No. 2. </w:t>
      </w:r>
      <w:proofErr w:type="spellStart"/>
      <w:r w:rsidRPr="00DB5A8B">
        <w:rPr>
          <w:rFonts w:cs="Times New Roman"/>
          <w:i/>
          <w:iCs/>
          <w:color w:val="000000" w:themeColor="text1"/>
          <w:szCs w:val="24"/>
        </w:rPr>
        <w:t>Agro</w:t>
      </w:r>
      <w:proofErr w:type="spellEnd"/>
      <w:r w:rsidRPr="00DB5A8B">
        <w:rPr>
          <w:rFonts w:cs="Times New Roman"/>
          <w:i/>
          <w:iCs/>
          <w:color w:val="000000" w:themeColor="text1"/>
          <w:szCs w:val="24"/>
        </w:rPr>
        <w:t>-ecological regions of Bangladesh</w:t>
      </w:r>
      <w:r w:rsidRPr="0031469B">
        <w:rPr>
          <w:rFonts w:cs="Times New Roman"/>
          <w:color w:val="000000" w:themeColor="text1"/>
          <w:szCs w:val="24"/>
        </w:rPr>
        <w:t xml:space="preserve">. United Nations Development </w:t>
      </w:r>
      <w:proofErr w:type="spellStart"/>
      <w:r w:rsidRPr="0031469B">
        <w:rPr>
          <w:rFonts w:cs="Times New Roman"/>
          <w:color w:val="000000" w:themeColor="text1"/>
          <w:szCs w:val="24"/>
        </w:rPr>
        <w:t>Programme</w:t>
      </w:r>
      <w:proofErr w:type="spellEnd"/>
      <w:r w:rsidRPr="0031469B">
        <w:rPr>
          <w:rFonts w:cs="Times New Roman"/>
          <w:color w:val="000000" w:themeColor="text1"/>
          <w:szCs w:val="24"/>
        </w:rPr>
        <w:t xml:space="preserve"> and Food and Agricultural Organization, Rome, Italy, 212-221.</w:t>
      </w:r>
    </w:p>
    <w:p w14:paraId="62A86379" w14:textId="77777777" w:rsidR="00E119EA" w:rsidRDefault="00E119EA" w:rsidP="0008448F">
      <w:pPr>
        <w:autoSpaceDE w:val="0"/>
        <w:autoSpaceDN w:val="0"/>
        <w:adjustRightInd w:val="0"/>
        <w:spacing w:after="0" w:line="240" w:lineRule="auto"/>
        <w:ind w:left="720" w:hanging="720"/>
        <w:jc w:val="both"/>
        <w:rPr>
          <w:rFonts w:cs="Times New Roman"/>
          <w:color w:val="000000" w:themeColor="text1"/>
          <w:szCs w:val="24"/>
        </w:rPr>
      </w:pPr>
      <w:r w:rsidRPr="00DF46B4">
        <w:rPr>
          <w:rFonts w:cs="Times New Roman"/>
          <w:color w:val="000000" w:themeColor="text1"/>
          <w:szCs w:val="24"/>
          <w:highlight w:val="yellow"/>
        </w:rPr>
        <w:lastRenderedPageBreak/>
        <w:t xml:space="preserve">Fiza, F., Begum, M., Mia, M. L., Das, B., Ahmed, S., Shimo, F. J., et al.  (2024). Weed management and yield performance of T. Aman rice as influenced by Artocarpus heterophyllus leaf residues. </w:t>
      </w:r>
      <w:r w:rsidRPr="00DF46B4">
        <w:rPr>
          <w:rFonts w:cs="Times New Roman"/>
          <w:i/>
          <w:iCs/>
          <w:color w:val="000000" w:themeColor="text1"/>
          <w:szCs w:val="24"/>
          <w:highlight w:val="yellow"/>
        </w:rPr>
        <w:t>Asian Journal of Crop, Soil Science and Plant Nutrition</w:t>
      </w:r>
      <w:r w:rsidRPr="00DF46B4">
        <w:rPr>
          <w:rFonts w:cs="Times New Roman"/>
          <w:color w:val="000000" w:themeColor="text1"/>
          <w:szCs w:val="24"/>
          <w:highlight w:val="yellow"/>
        </w:rPr>
        <w:t>, 10(01), 387-394.</w:t>
      </w:r>
    </w:p>
    <w:p w14:paraId="70FD1110" w14:textId="77777777" w:rsidR="00E119EA" w:rsidRPr="00DF46B4" w:rsidRDefault="00E119EA" w:rsidP="0008448F">
      <w:pPr>
        <w:autoSpaceDE w:val="0"/>
        <w:autoSpaceDN w:val="0"/>
        <w:adjustRightInd w:val="0"/>
        <w:spacing w:after="0" w:line="240" w:lineRule="auto"/>
        <w:ind w:left="720" w:hanging="720"/>
        <w:jc w:val="both"/>
        <w:rPr>
          <w:rFonts w:cs="Times New Roman"/>
          <w:color w:val="000000" w:themeColor="text1"/>
          <w:szCs w:val="24"/>
          <w:highlight w:val="yellow"/>
        </w:rPr>
      </w:pPr>
      <w:proofErr w:type="spellStart"/>
      <w:r w:rsidRPr="006F2BE7">
        <w:rPr>
          <w:rFonts w:cs="Times New Roman"/>
          <w:color w:val="000000" w:themeColor="text1"/>
          <w:szCs w:val="24"/>
          <w:highlight w:val="yellow"/>
        </w:rPr>
        <w:t>Foysal</w:t>
      </w:r>
      <w:proofErr w:type="spellEnd"/>
      <w:r w:rsidRPr="006F2BE7">
        <w:rPr>
          <w:rFonts w:cs="Times New Roman"/>
          <w:color w:val="000000" w:themeColor="text1"/>
          <w:szCs w:val="24"/>
          <w:highlight w:val="yellow"/>
        </w:rPr>
        <w:t xml:space="preserve">, M. R. A., </w:t>
      </w:r>
      <w:proofErr w:type="gramStart"/>
      <w:r w:rsidRPr="006F2BE7">
        <w:rPr>
          <w:rFonts w:cs="Times New Roman"/>
          <w:color w:val="000000" w:themeColor="text1"/>
          <w:szCs w:val="24"/>
          <w:highlight w:val="yellow"/>
        </w:rPr>
        <w:t>Tarek ,</w:t>
      </w:r>
      <w:proofErr w:type="gramEnd"/>
      <w:r w:rsidRPr="006F2BE7">
        <w:rPr>
          <w:rFonts w:cs="Times New Roman"/>
          <w:color w:val="000000" w:themeColor="text1"/>
          <w:szCs w:val="24"/>
          <w:highlight w:val="yellow"/>
        </w:rPr>
        <w:t xml:space="preserve"> M. K. H., </w:t>
      </w:r>
      <w:proofErr w:type="gramStart"/>
      <w:r w:rsidRPr="006F2BE7">
        <w:rPr>
          <w:rFonts w:cs="Times New Roman"/>
          <w:color w:val="000000" w:themeColor="text1"/>
          <w:szCs w:val="24"/>
          <w:highlight w:val="yellow"/>
        </w:rPr>
        <w:t>Biswas ,</w:t>
      </w:r>
      <w:proofErr w:type="gramEnd"/>
      <w:r w:rsidRPr="006F2BE7">
        <w:rPr>
          <w:rFonts w:cs="Times New Roman"/>
          <w:color w:val="000000" w:themeColor="text1"/>
          <w:szCs w:val="24"/>
          <w:highlight w:val="yellow"/>
        </w:rPr>
        <w:t xml:space="preserve"> M., </w:t>
      </w:r>
      <w:proofErr w:type="gramStart"/>
      <w:r w:rsidRPr="006F2BE7">
        <w:rPr>
          <w:rFonts w:cs="Times New Roman"/>
          <w:color w:val="000000" w:themeColor="text1"/>
          <w:szCs w:val="24"/>
          <w:highlight w:val="yellow"/>
        </w:rPr>
        <w:t>Miah ,</w:t>
      </w:r>
      <w:proofErr w:type="gramEnd"/>
      <w:r w:rsidRPr="006F2BE7">
        <w:rPr>
          <w:rFonts w:cs="Times New Roman"/>
          <w:color w:val="000000" w:themeColor="text1"/>
          <w:szCs w:val="24"/>
          <w:highlight w:val="yellow"/>
        </w:rPr>
        <w:t xml:space="preserve"> M. N. H., &amp; Hoque, M. (2023). Effect of </w:t>
      </w:r>
      <w:r w:rsidRPr="00DF46B4">
        <w:rPr>
          <w:rFonts w:cs="Times New Roman"/>
          <w:color w:val="000000" w:themeColor="text1"/>
          <w:szCs w:val="24"/>
          <w:highlight w:val="yellow"/>
        </w:rPr>
        <w:t xml:space="preserve">Plant Spacing on the Growth and Yield of Local Aman Rice Cultivar. </w:t>
      </w:r>
      <w:r w:rsidRPr="00DF46B4">
        <w:rPr>
          <w:rFonts w:cs="Times New Roman"/>
          <w:i/>
          <w:iCs/>
          <w:color w:val="000000" w:themeColor="text1"/>
          <w:szCs w:val="24"/>
          <w:highlight w:val="yellow"/>
        </w:rPr>
        <w:t>Asian Journal of Research in Crop Science</w:t>
      </w:r>
      <w:r w:rsidRPr="00DF46B4">
        <w:rPr>
          <w:rFonts w:cs="Times New Roman"/>
          <w:color w:val="000000" w:themeColor="text1"/>
          <w:szCs w:val="24"/>
          <w:highlight w:val="yellow"/>
        </w:rPr>
        <w:t xml:space="preserve">, 8(2), 17–25. </w:t>
      </w:r>
      <w:hyperlink r:id="rId22" w:history="1">
        <w:r w:rsidRPr="00DF46B4">
          <w:rPr>
            <w:rStyle w:val="Hyperlink"/>
            <w:rFonts w:cs="Times New Roman"/>
            <w:szCs w:val="24"/>
            <w:highlight w:val="yellow"/>
          </w:rPr>
          <w:t>https://doi.org/10.9734/ajrcs/2023/v8i2161</w:t>
        </w:r>
      </w:hyperlink>
    </w:p>
    <w:p w14:paraId="37849989"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FPMU. (2020). Bangladesh food situation report, April-June 2020. Food Planning and Monitoring Unit, Ministry of Food, Government People’s Republic of Bangladesh, Dhaka, Bangladesh, 121.</w:t>
      </w:r>
    </w:p>
    <w:p w14:paraId="7502E705"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Gomez, K. A., &amp; Gomez, A. A. (1984). Statistical procedures for agricultural research. </w:t>
      </w:r>
      <w:r w:rsidRPr="00E16D62">
        <w:rPr>
          <w:rFonts w:cs="Times New Roman"/>
          <w:i/>
          <w:iCs/>
          <w:color w:val="000000" w:themeColor="text1"/>
          <w:szCs w:val="24"/>
        </w:rPr>
        <w:t>John Wiley &amp; Sons.</w:t>
      </w:r>
    </w:p>
    <w:p w14:paraId="0B65AB3F"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Hannan, A., Islam, M., Rahman, M. S., Hoque, N., &amp; Sagor, G. H. M. (2020). Morpho-genetic evaluation of rice genotypes (</w:t>
      </w:r>
      <w:r w:rsidRPr="00E16D62">
        <w:rPr>
          <w:rFonts w:cs="Times New Roman"/>
          <w:i/>
          <w:iCs/>
          <w:color w:val="000000" w:themeColor="text1"/>
          <w:szCs w:val="24"/>
        </w:rPr>
        <w:t>Oryza sativa</w:t>
      </w:r>
      <w:r w:rsidRPr="0031469B">
        <w:rPr>
          <w:rFonts w:cs="Times New Roman"/>
          <w:color w:val="000000" w:themeColor="text1"/>
          <w:szCs w:val="24"/>
        </w:rPr>
        <w:t xml:space="preserve"> L.) including some varieties and advanced lines based on yield and its attributes. </w:t>
      </w:r>
      <w:r w:rsidRPr="00E16D62">
        <w:rPr>
          <w:rFonts w:cs="Times New Roman"/>
          <w:i/>
          <w:iCs/>
          <w:color w:val="000000" w:themeColor="text1"/>
          <w:szCs w:val="24"/>
        </w:rPr>
        <w:t>Journal of Bangladesh Agricultural University</w:t>
      </w:r>
      <w:r w:rsidRPr="0031469B">
        <w:rPr>
          <w:rFonts w:cs="Times New Roman"/>
          <w:color w:val="000000" w:themeColor="text1"/>
          <w:szCs w:val="24"/>
        </w:rPr>
        <w:t xml:space="preserve">, 18(4), 923-933. </w:t>
      </w:r>
      <w:hyperlink r:id="rId23" w:history="1">
        <w:r w:rsidRPr="00292CCE">
          <w:rPr>
            <w:rStyle w:val="Hyperlink"/>
            <w:rFonts w:cs="Times New Roman"/>
            <w:szCs w:val="24"/>
          </w:rPr>
          <w:t>https://doi.org/10.5455/JBAU.9328</w:t>
        </w:r>
      </w:hyperlink>
    </w:p>
    <w:p w14:paraId="56675040"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Hobbs, P. R., &amp; Gupta, R. K. (2003). Resource-conserving technologies for wheat in the rice-wheat system. In Improving Productivity and Sustainability of Rice-Wheat Systems: Issues and Impact. </w:t>
      </w:r>
      <w:r w:rsidRPr="00E16D62">
        <w:rPr>
          <w:rFonts w:cs="Times New Roman"/>
          <w:i/>
          <w:iCs/>
          <w:color w:val="000000" w:themeColor="text1"/>
          <w:szCs w:val="24"/>
        </w:rPr>
        <w:t>American Society of Agronomy Special Publication</w:t>
      </w:r>
      <w:r w:rsidRPr="0031469B">
        <w:rPr>
          <w:rFonts w:cs="Times New Roman"/>
          <w:color w:val="000000" w:themeColor="text1"/>
          <w:szCs w:val="24"/>
        </w:rPr>
        <w:t>, 65, 149-217.</w:t>
      </w:r>
    </w:p>
    <w:p w14:paraId="547E8236"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Islam, M. R., Rashid, M. B., Siddique, A. B., &amp; Afroz, H. (2014). Integrated effects of manures and fertilizers on the yield and nutrient uptake by BRRI dhan49. </w:t>
      </w:r>
      <w:r w:rsidRPr="00E16D62">
        <w:rPr>
          <w:rFonts w:cs="Times New Roman"/>
          <w:i/>
          <w:iCs/>
          <w:color w:val="000000" w:themeColor="text1"/>
          <w:szCs w:val="24"/>
        </w:rPr>
        <w:t>Journal of the Bangladesh Agricultural University</w:t>
      </w:r>
      <w:r w:rsidRPr="0031469B">
        <w:rPr>
          <w:rFonts w:cs="Times New Roman"/>
          <w:color w:val="000000" w:themeColor="text1"/>
          <w:szCs w:val="24"/>
        </w:rPr>
        <w:t>, 12(1), 67-72.</w:t>
      </w:r>
    </w:p>
    <w:p w14:paraId="14563F17"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Jat, M. L., &amp; Sharma, S. K. (2005, February). On-farm studies on FIRB system for improving crop and water productivity and profitability in rice-wheat cropping system. In </w:t>
      </w:r>
      <w:r w:rsidRPr="00DB5A8B">
        <w:rPr>
          <w:rFonts w:cs="Times New Roman"/>
          <w:i/>
          <w:iCs/>
          <w:color w:val="000000" w:themeColor="text1"/>
          <w:szCs w:val="24"/>
        </w:rPr>
        <w:t>Proceedings of the “Agenda Notes”, 3rd Regional Technical Coordination Committee Meeting of RWC for the IGP</w:t>
      </w:r>
      <w:r w:rsidRPr="0031469B">
        <w:rPr>
          <w:rFonts w:cs="Times New Roman"/>
          <w:color w:val="000000" w:themeColor="text1"/>
          <w:szCs w:val="24"/>
        </w:rPr>
        <w:t>.</w:t>
      </w:r>
    </w:p>
    <w:p w14:paraId="4BBF174B"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Jayasudha, S., &amp; Sharma, D. (2010). Genetic parameters of variability, correlation and path-coefficient for grain yield and physiological traits in rice (Oryza sativa L.) under shallow lowland situation</w:t>
      </w:r>
      <w:r w:rsidRPr="00E16D62">
        <w:rPr>
          <w:rFonts w:cs="Times New Roman"/>
          <w:i/>
          <w:iCs/>
          <w:color w:val="000000" w:themeColor="text1"/>
          <w:szCs w:val="24"/>
        </w:rPr>
        <w:t>. Electronic Journal of Plant Breeding</w:t>
      </w:r>
      <w:r w:rsidRPr="0031469B">
        <w:rPr>
          <w:rFonts w:cs="Times New Roman"/>
          <w:color w:val="000000" w:themeColor="text1"/>
          <w:szCs w:val="24"/>
        </w:rPr>
        <w:t>, 1(5), 1332-1338.</w:t>
      </w:r>
    </w:p>
    <w:p w14:paraId="7CED6C16"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Lafitte, H. R., </w:t>
      </w:r>
      <w:proofErr w:type="spellStart"/>
      <w:r w:rsidRPr="0031469B">
        <w:rPr>
          <w:rFonts w:cs="Times New Roman"/>
          <w:color w:val="000000" w:themeColor="text1"/>
          <w:szCs w:val="24"/>
        </w:rPr>
        <w:t>Yongsheng</w:t>
      </w:r>
      <w:proofErr w:type="spellEnd"/>
      <w:r w:rsidRPr="0031469B">
        <w:rPr>
          <w:rFonts w:cs="Times New Roman"/>
          <w:color w:val="000000" w:themeColor="text1"/>
          <w:szCs w:val="24"/>
        </w:rPr>
        <w:t xml:space="preserve">, G., Yan, S., &amp; Li, Z. K. (2007). Whole plant responses, key processes, and adaptation to drought stress: The case of rice. </w:t>
      </w:r>
      <w:r w:rsidRPr="00E16D62">
        <w:rPr>
          <w:rFonts w:cs="Times New Roman"/>
          <w:i/>
          <w:iCs/>
          <w:color w:val="000000" w:themeColor="text1"/>
          <w:szCs w:val="24"/>
        </w:rPr>
        <w:t>Journal of Experimental Botany</w:t>
      </w:r>
      <w:r w:rsidRPr="0031469B">
        <w:rPr>
          <w:rFonts w:cs="Times New Roman"/>
          <w:color w:val="000000" w:themeColor="text1"/>
          <w:szCs w:val="24"/>
        </w:rPr>
        <w:t>, 58(2), 169-175.</w:t>
      </w:r>
    </w:p>
    <w:p w14:paraId="3B589203"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Meisner, C. A., Talukder, A. S. M. H. M., Hossain, I., Hossain, I., Gill, M., Rehman, H. M., et al. (2006). Permanent bed systems in the rice–wheat cropping pattern in Bangladesh and Pakistan. </w:t>
      </w:r>
      <w:r w:rsidRPr="00DB5A8B">
        <w:rPr>
          <w:rFonts w:cs="Times New Roman"/>
          <w:i/>
          <w:iCs/>
          <w:color w:val="000000" w:themeColor="text1"/>
          <w:szCs w:val="24"/>
        </w:rPr>
        <w:t>Evaluation and Performance of Permanent Raised Bed Cropping Systems in Asia, Australia and Mexico</w:t>
      </w:r>
      <w:r w:rsidRPr="0031469B">
        <w:rPr>
          <w:rFonts w:cs="Times New Roman"/>
          <w:color w:val="000000" w:themeColor="text1"/>
          <w:szCs w:val="24"/>
        </w:rPr>
        <w:t>.</w:t>
      </w:r>
    </w:p>
    <w:p w14:paraId="4FE6470B"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Mottaleb</w:t>
      </w:r>
      <w:proofErr w:type="spellEnd"/>
      <w:r w:rsidRPr="0031469B">
        <w:rPr>
          <w:rFonts w:cs="Times New Roman"/>
          <w:color w:val="000000" w:themeColor="text1"/>
          <w:szCs w:val="24"/>
        </w:rPr>
        <w:t xml:space="preserve">, K. A., &amp; Mishra, A. K. (2016). Rice consumption and grain-type preference by household: A Bangladesh case. </w:t>
      </w:r>
      <w:r w:rsidRPr="00E16D62">
        <w:rPr>
          <w:rFonts w:cs="Times New Roman"/>
          <w:i/>
          <w:iCs/>
          <w:color w:val="000000" w:themeColor="text1"/>
          <w:szCs w:val="24"/>
        </w:rPr>
        <w:t>Journal of Agricultural and Applied Economics</w:t>
      </w:r>
      <w:r w:rsidRPr="0031469B">
        <w:rPr>
          <w:rFonts w:cs="Times New Roman"/>
          <w:color w:val="000000" w:themeColor="text1"/>
          <w:szCs w:val="24"/>
        </w:rPr>
        <w:t>, 48(3), 298-319.</w:t>
      </w:r>
    </w:p>
    <w:p w14:paraId="5040558D"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Peng, S., Huang, J., Sheehy, J. E., Laza, R. C., Visperas, R. M., Zhong, X., et al. (2008). Rice yields decline with higher night temperature from global warming. </w:t>
      </w:r>
      <w:r w:rsidRPr="00DB5A8B">
        <w:rPr>
          <w:rFonts w:cs="Times New Roman"/>
          <w:i/>
          <w:iCs/>
          <w:color w:val="000000" w:themeColor="text1"/>
          <w:szCs w:val="24"/>
        </w:rPr>
        <w:t>Proceedings of the National Academy of Sciences</w:t>
      </w:r>
      <w:r w:rsidRPr="0031469B">
        <w:rPr>
          <w:rFonts w:cs="Times New Roman"/>
          <w:color w:val="000000" w:themeColor="text1"/>
          <w:szCs w:val="24"/>
        </w:rPr>
        <w:t xml:space="preserve">, 101(27), 9971-9975. </w:t>
      </w:r>
      <w:hyperlink r:id="rId24" w:tgtFrame="_new" w:history="1">
        <w:r w:rsidRPr="0031469B">
          <w:rPr>
            <w:rStyle w:val="Hyperlink"/>
            <w:rFonts w:cs="Times New Roman"/>
            <w:szCs w:val="24"/>
          </w:rPr>
          <w:t>https://doi.org/10.1073/pnas.0403720101</w:t>
        </w:r>
      </w:hyperlink>
    </w:p>
    <w:p w14:paraId="4F1ED2EB"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Quais, Md Khairul. (2015). Rice yield gap minimization in central Bangladesh: Using and adapting existing technologies. </w:t>
      </w:r>
      <w:r w:rsidRPr="00E16D62">
        <w:rPr>
          <w:rFonts w:cs="Times New Roman"/>
          <w:i/>
          <w:iCs/>
          <w:color w:val="000000" w:themeColor="text1"/>
          <w:szCs w:val="24"/>
        </w:rPr>
        <w:t>Open Access Library Journal</w:t>
      </w:r>
      <w:r w:rsidRPr="0031469B">
        <w:rPr>
          <w:rFonts w:cs="Times New Roman"/>
          <w:color w:val="000000" w:themeColor="text1"/>
          <w:szCs w:val="24"/>
        </w:rPr>
        <w:t>, 2(7), 1.</w:t>
      </w:r>
    </w:p>
    <w:p w14:paraId="6C8E7342"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Rana, M. M., Al Mamun, M. A., Zahan, A., Ahmed, M. N., &amp; </w:t>
      </w:r>
      <w:proofErr w:type="spellStart"/>
      <w:r w:rsidRPr="0031469B">
        <w:rPr>
          <w:rFonts w:cs="Times New Roman"/>
          <w:color w:val="000000" w:themeColor="text1"/>
          <w:szCs w:val="24"/>
        </w:rPr>
        <w:t>Mridha</w:t>
      </w:r>
      <w:proofErr w:type="spellEnd"/>
      <w:r w:rsidRPr="0031469B">
        <w:rPr>
          <w:rFonts w:cs="Times New Roman"/>
          <w:color w:val="000000" w:themeColor="text1"/>
          <w:szCs w:val="24"/>
        </w:rPr>
        <w:t xml:space="preserve">, M. A. J. (2014). Effect of planting methods on the yield and yield attributes of short duration Aman rice. </w:t>
      </w:r>
      <w:r w:rsidRPr="00E16D62">
        <w:rPr>
          <w:rFonts w:cs="Times New Roman"/>
          <w:i/>
          <w:iCs/>
          <w:color w:val="000000" w:themeColor="text1"/>
          <w:szCs w:val="24"/>
        </w:rPr>
        <w:t>American Journal of Plant Sciences</w:t>
      </w:r>
      <w:r w:rsidRPr="0031469B">
        <w:rPr>
          <w:rFonts w:cs="Times New Roman"/>
          <w:color w:val="000000" w:themeColor="text1"/>
          <w:szCs w:val="24"/>
        </w:rPr>
        <w:t>, 2014.</w:t>
      </w:r>
    </w:p>
    <w:p w14:paraId="2FE8AEC7"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lastRenderedPageBreak/>
        <w:t xml:space="preserve">Ratna, M., Begum, S., Husna, A., Dey, S. R., &amp; Hossain, M. S. (2015). Correlation and path coefficients analyses in basmati rice. </w:t>
      </w:r>
      <w:r w:rsidRPr="00E16D62">
        <w:rPr>
          <w:rFonts w:cs="Times New Roman"/>
          <w:i/>
          <w:iCs/>
          <w:color w:val="000000" w:themeColor="text1"/>
          <w:szCs w:val="24"/>
        </w:rPr>
        <w:t>Bangladesh Journal of Agricultural Research</w:t>
      </w:r>
      <w:r w:rsidRPr="0031469B">
        <w:rPr>
          <w:rFonts w:cs="Times New Roman"/>
          <w:color w:val="000000" w:themeColor="text1"/>
          <w:szCs w:val="24"/>
        </w:rPr>
        <w:t xml:space="preserve">, 40(1), 153-161. </w:t>
      </w:r>
      <w:hyperlink r:id="rId25" w:tgtFrame="_new" w:history="1">
        <w:r w:rsidRPr="0031469B">
          <w:rPr>
            <w:rStyle w:val="Hyperlink"/>
            <w:rFonts w:cs="Times New Roman"/>
            <w:szCs w:val="24"/>
          </w:rPr>
          <w:t>https://doi.org/10.3329/bjar.v40i1.23768</w:t>
        </w:r>
      </w:hyperlink>
    </w:p>
    <w:p w14:paraId="0C85CF41"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Sharma, P. K., &amp; De Datta, S. K. (1986). Physical properties and processes of puddled rice soils. In Advances in Soil Science: Volume 5 (pp. 139-178). New York, NY: Springer New York.</w:t>
      </w:r>
    </w:p>
    <w:p w14:paraId="046CA49E"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E16D62">
        <w:rPr>
          <w:rFonts w:cs="Times New Roman"/>
          <w:i/>
          <w:iCs/>
          <w:color w:val="000000" w:themeColor="text1"/>
          <w:szCs w:val="24"/>
        </w:rPr>
        <w:t>Field Crops Research</w:t>
      </w:r>
      <w:r w:rsidRPr="0031469B">
        <w:rPr>
          <w:rFonts w:cs="Times New Roman"/>
          <w:color w:val="000000" w:themeColor="text1"/>
          <w:szCs w:val="24"/>
        </w:rPr>
        <w:t>, 110(1), 1-20.</w:t>
      </w:r>
    </w:p>
    <w:p w14:paraId="56F3F71F"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Singh, Y., Humphreys, E., Kukal, S. S., Singh, B., Kaur, A., Thaman, S., et al. (2009). Crop performance in permanent raised bed rice-wheat cropping system in Punjab, India. </w:t>
      </w:r>
      <w:r w:rsidRPr="00DB5A8B">
        <w:rPr>
          <w:rFonts w:cs="Times New Roman"/>
          <w:i/>
          <w:iCs/>
          <w:color w:val="000000" w:themeColor="text1"/>
          <w:szCs w:val="24"/>
        </w:rPr>
        <w:t>Field Crops Research</w:t>
      </w:r>
      <w:r w:rsidRPr="0031469B">
        <w:rPr>
          <w:rFonts w:cs="Times New Roman"/>
          <w:color w:val="000000" w:themeColor="text1"/>
          <w:szCs w:val="24"/>
        </w:rPr>
        <w:t>, 110(1), 1-20.</w:t>
      </w:r>
    </w:p>
    <w:p w14:paraId="685C432A"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Tahsin, D., Samanta, S. C., </w:t>
      </w:r>
      <w:proofErr w:type="spellStart"/>
      <w:r w:rsidRPr="0031469B">
        <w:rPr>
          <w:rFonts w:cs="Times New Roman"/>
          <w:color w:val="000000" w:themeColor="text1"/>
          <w:szCs w:val="24"/>
        </w:rPr>
        <w:t>Hoshain</w:t>
      </w:r>
      <w:proofErr w:type="spellEnd"/>
      <w:r w:rsidRPr="0031469B">
        <w:rPr>
          <w:rFonts w:cs="Times New Roman"/>
          <w:color w:val="000000" w:themeColor="text1"/>
          <w:szCs w:val="24"/>
        </w:rPr>
        <w:t xml:space="preserve">, S., Biswas, P., &amp; Hossen, K. (2017). Yield performance of T. Aman rice varieties under different transplanting dates. </w:t>
      </w:r>
      <w:r w:rsidRPr="00E16D62">
        <w:rPr>
          <w:rFonts w:cs="Times New Roman"/>
          <w:i/>
          <w:iCs/>
          <w:color w:val="000000" w:themeColor="text1"/>
          <w:szCs w:val="24"/>
        </w:rPr>
        <w:t>International Journal of Experimental Agriculture</w:t>
      </w:r>
      <w:r w:rsidRPr="0031469B">
        <w:rPr>
          <w:rFonts w:cs="Times New Roman"/>
          <w:color w:val="000000" w:themeColor="text1"/>
          <w:szCs w:val="24"/>
        </w:rPr>
        <w:t>, 7(3), 1-8.</w:t>
      </w:r>
    </w:p>
    <w:p w14:paraId="36899978"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Tang, Y. L., Zheng, J. G., &amp; Huang, G. (2005). Studies on permanent bed-planting with double zero tillage for rice and wheat in Sichuan basin. </w:t>
      </w:r>
      <w:r w:rsidRPr="00E16D62">
        <w:rPr>
          <w:rFonts w:cs="Times New Roman"/>
          <w:i/>
          <w:iCs/>
          <w:color w:val="000000" w:themeColor="text1"/>
          <w:szCs w:val="24"/>
        </w:rPr>
        <w:t>Southwest China Journal of Agricultural Sciences</w:t>
      </w:r>
      <w:r w:rsidRPr="0031469B">
        <w:rPr>
          <w:rFonts w:cs="Times New Roman"/>
          <w:color w:val="000000" w:themeColor="text1"/>
          <w:szCs w:val="24"/>
        </w:rPr>
        <w:t>, 18(1), 25-28.</w:t>
      </w:r>
    </w:p>
    <w:p w14:paraId="57D16A0F"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Timsina, J., Jat, M. L., &amp; Majumdar, K. (2010). Rice-maize systems of South Asia: Current status, future prospects and research priorities for nutrient management. </w:t>
      </w:r>
      <w:r w:rsidRPr="00E16D62">
        <w:rPr>
          <w:rFonts w:cs="Times New Roman"/>
          <w:i/>
          <w:iCs/>
          <w:color w:val="000000" w:themeColor="text1"/>
          <w:szCs w:val="24"/>
        </w:rPr>
        <w:t>Plant and Soil</w:t>
      </w:r>
      <w:r w:rsidRPr="0031469B">
        <w:rPr>
          <w:rFonts w:cs="Times New Roman"/>
          <w:color w:val="000000" w:themeColor="text1"/>
          <w:szCs w:val="24"/>
        </w:rPr>
        <w:t>, 335(1), 65-82.</w:t>
      </w:r>
    </w:p>
    <w:bookmarkEnd w:id="7"/>
    <w:p w14:paraId="17DE96A5" w14:textId="77777777" w:rsidR="00E119EA" w:rsidRPr="0031469B" w:rsidRDefault="00E119EA" w:rsidP="00FB1093">
      <w:pPr>
        <w:autoSpaceDE w:val="0"/>
        <w:autoSpaceDN w:val="0"/>
        <w:adjustRightInd w:val="0"/>
        <w:spacing w:after="0" w:line="240" w:lineRule="auto"/>
        <w:ind w:left="720" w:hanging="720"/>
        <w:jc w:val="both"/>
        <w:rPr>
          <w:rFonts w:cs="Times New Roman"/>
          <w:color w:val="000000" w:themeColor="text1"/>
          <w:szCs w:val="24"/>
        </w:rPr>
      </w:pPr>
      <w:proofErr w:type="spellStart"/>
      <w:r w:rsidRPr="0031469B">
        <w:rPr>
          <w:rFonts w:cs="Times New Roman"/>
          <w:color w:val="000000" w:themeColor="text1"/>
          <w:szCs w:val="24"/>
        </w:rPr>
        <w:t>Vethaiya</w:t>
      </w:r>
      <w:proofErr w:type="spellEnd"/>
      <w:r w:rsidRPr="0031469B">
        <w:rPr>
          <w:rFonts w:cs="Times New Roman"/>
          <w:color w:val="000000" w:themeColor="text1"/>
          <w:szCs w:val="24"/>
        </w:rPr>
        <w:t xml:space="preserve">, B., Ladha, J. K., Gupta, R. K., Naresh, R. K., &amp; </w:t>
      </w:r>
      <w:proofErr w:type="spellStart"/>
      <w:r w:rsidRPr="0031469B">
        <w:rPr>
          <w:rFonts w:cs="Times New Roman"/>
          <w:color w:val="000000" w:themeColor="text1"/>
          <w:szCs w:val="24"/>
        </w:rPr>
        <w:t>Mehla</w:t>
      </w:r>
      <w:proofErr w:type="spellEnd"/>
      <w:r w:rsidRPr="0031469B">
        <w:rPr>
          <w:rFonts w:cs="Times New Roman"/>
          <w:color w:val="000000" w:themeColor="text1"/>
          <w:szCs w:val="24"/>
        </w:rPr>
        <w:t xml:space="preserve">, R. S. (2003). Technology options for rice in the rice–wheat system in South Asia. </w:t>
      </w:r>
      <w:r w:rsidRPr="00DB5A8B">
        <w:rPr>
          <w:rFonts w:cs="Times New Roman"/>
          <w:i/>
          <w:iCs/>
          <w:color w:val="000000" w:themeColor="text1"/>
          <w:szCs w:val="24"/>
        </w:rPr>
        <w:t>Improving the Productivity and Sustainability of Rice‐Wheat Systems: Issues and Impacts</w:t>
      </w:r>
      <w:r w:rsidRPr="0031469B">
        <w:rPr>
          <w:rFonts w:cs="Times New Roman"/>
          <w:color w:val="000000" w:themeColor="text1"/>
          <w:szCs w:val="24"/>
        </w:rPr>
        <w:t>, 65, 115-147.</w:t>
      </w:r>
    </w:p>
    <w:p w14:paraId="5145FF92" w14:textId="77777777" w:rsidR="00E119EA" w:rsidRDefault="00E119EA" w:rsidP="00FB1093">
      <w:pPr>
        <w:autoSpaceDE w:val="0"/>
        <w:autoSpaceDN w:val="0"/>
        <w:adjustRightInd w:val="0"/>
        <w:spacing w:after="0" w:line="240" w:lineRule="auto"/>
        <w:ind w:left="720" w:hanging="720"/>
        <w:jc w:val="both"/>
        <w:rPr>
          <w:rFonts w:cs="Times New Roman"/>
          <w:color w:val="000000" w:themeColor="text1"/>
          <w:szCs w:val="24"/>
        </w:rPr>
      </w:pPr>
      <w:r w:rsidRPr="0031469B">
        <w:rPr>
          <w:rFonts w:cs="Times New Roman"/>
          <w:color w:val="000000" w:themeColor="text1"/>
          <w:szCs w:val="24"/>
        </w:rPr>
        <w:t xml:space="preserve">Yuan, R., Mao, Y., Zhang, D., Wang, S., Zhang, H., Wu, M., et al. (2024). The formation of rice tillers and factors influencing it. </w:t>
      </w:r>
      <w:r w:rsidRPr="00E16D62">
        <w:rPr>
          <w:rFonts w:cs="Times New Roman"/>
          <w:i/>
          <w:iCs/>
          <w:color w:val="000000" w:themeColor="text1"/>
          <w:szCs w:val="24"/>
        </w:rPr>
        <w:t>Agronomy</w:t>
      </w:r>
      <w:r w:rsidRPr="0031469B">
        <w:rPr>
          <w:rFonts w:cs="Times New Roman"/>
          <w:color w:val="000000" w:themeColor="text1"/>
          <w:szCs w:val="24"/>
        </w:rPr>
        <w:t>, 14(12), 2904.</w:t>
      </w:r>
    </w:p>
    <w:p w14:paraId="255A7DFC" w14:textId="77777777" w:rsidR="00DF46B4" w:rsidRDefault="00DF46B4" w:rsidP="0008448F">
      <w:pPr>
        <w:autoSpaceDE w:val="0"/>
        <w:autoSpaceDN w:val="0"/>
        <w:adjustRightInd w:val="0"/>
        <w:spacing w:after="0" w:line="240" w:lineRule="auto"/>
        <w:ind w:left="720" w:hanging="720"/>
        <w:jc w:val="both"/>
        <w:rPr>
          <w:rFonts w:cs="Times New Roman"/>
          <w:color w:val="000000" w:themeColor="text1"/>
          <w:szCs w:val="24"/>
        </w:rPr>
      </w:pPr>
    </w:p>
    <w:p w14:paraId="25BA9BBE" w14:textId="77777777" w:rsidR="00DF46B4" w:rsidRPr="0031469B" w:rsidRDefault="00DF46B4" w:rsidP="0008448F">
      <w:pPr>
        <w:autoSpaceDE w:val="0"/>
        <w:autoSpaceDN w:val="0"/>
        <w:adjustRightInd w:val="0"/>
        <w:spacing w:after="0" w:line="240" w:lineRule="auto"/>
        <w:ind w:left="720" w:hanging="720"/>
        <w:jc w:val="both"/>
        <w:rPr>
          <w:rFonts w:cs="Times New Roman"/>
          <w:color w:val="000000" w:themeColor="text1"/>
          <w:szCs w:val="24"/>
        </w:rPr>
      </w:pPr>
    </w:p>
    <w:p w14:paraId="061F9337"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7FF7B9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5CD17F1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DF6910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5684A90"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4A926A"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F53BDD6"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40C24E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FA5723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2024DD65"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D4803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1B74B393"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6212E7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309DAAF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85113E"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CC4C2A2"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0A49AC9"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743CEB4"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4EF42D08" w14:textId="77777777" w:rsidR="00A95817" w:rsidRDefault="00A95817" w:rsidP="00A95817">
      <w:pPr>
        <w:autoSpaceDE w:val="0"/>
        <w:autoSpaceDN w:val="0"/>
        <w:adjustRightInd w:val="0"/>
        <w:spacing w:after="0" w:line="240" w:lineRule="auto"/>
        <w:ind w:left="1647" w:hanging="1647"/>
        <w:rPr>
          <w:rFonts w:cs="Times New Roman"/>
          <w:b/>
          <w:bCs/>
          <w:color w:val="000000" w:themeColor="text1"/>
          <w:szCs w:val="24"/>
        </w:rPr>
      </w:pPr>
    </w:p>
    <w:p w14:paraId="0CF17377" w14:textId="4F5D723B" w:rsidR="00A95817" w:rsidRPr="00A95817" w:rsidRDefault="00A95817" w:rsidP="00A95817">
      <w:pPr>
        <w:autoSpaceDE w:val="0"/>
        <w:autoSpaceDN w:val="0"/>
        <w:adjustRightInd w:val="0"/>
        <w:spacing w:after="0" w:line="240" w:lineRule="auto"/>
        <w:ind w:left="1647" w:hanging="1647"/>
        <w:rPr>
          <w:rFonts w:cs="Times New Roman"/>
          <w:b/>
          <w:bCs/>
          <w:color w:val="000000" w:themeColor="text1"/>
          <w:szCs w:val="24"/>
        </w:rPr>
      </w:pPr>
      <w:r w:rsidRPr="00A95817">
        <w:rPr>
          <w:rFonts w:cs="Times New Roman"/>
          <w:b/>
          <w:bCs/>
          <w:color w:val="000000" w:themeColor="text1"/>
          <w:szCs w:val="24"/>
        </w:rPr>
        <w:lastRenderedPageBreak/>
        <w:t>Supplementary Table 1: Morphological, physical and chemical properties of the experimental land</w:t>
      </w:r>
    </w:p>
    <w:p w14:paraId="25E75062" w14:textId="77777777" w:rsidR="00A95817" w:rsidRPr="00A95817" w:rsidRDefault="00A95817" w:rsidP="00A95817">
      <w:pPr>
        <w:autoSpaceDE w:val="0"/>
        <w:autoSpaceDN w:val="0"/>
        <w:adjustRightInd w:val="0"/>
        <w:spacing w:after="0" w:line="240" w:lineRule="auto"/>
        <w:rPr>
          <w:rFonts w:cs="Times New Roman"/>
          <w:b/>
          <w:bCs/>
          <w:color w:val="000000" w:themeColor="text1"/>
          <w:szCs w:val="24"/>
        </w:rPr>
      </w:pPr>
      <w:r w:rsidRPr="00A95817">
        <w:rPr>
          <w:rFonts w:cs="Times New Roman"/>
          <w:b/>
          <w:bCs/>
          <w:color w:val="000000" w:themeColor="text1"/>
          <w:szCs w:val="24"/>
        </w:rPr>
        <w:t>1A. Morphological characteristics of the experimental site</w:t>
      </w:r>
    </w:p>
    <w:p w14:paraId="36038343" w14:textId="77777777" w:rsidR="00A95817" w:rsidRPr="00A95817" w:rsidRDefault="00A95817" w:rsidP="00A95817">
      <w:pPr>
        <w:autoSpaceDE w:val="0"/>
        <w:autoSpaceDN w:val="0"/>
        <w:adjustRightInd w:val="0"/>
        <w:spacing w:after="0" w:line="240" w:lineRule="auto"/>
        <w:rPr>
          <w:rFonts w:cs="Times New Roman"/>
          <w:bCs/>
          <w:color w:val="000000" w:themeColor="text1"/>
          <w:szCs w:val="24"/>
        </w:rPr>
      </w:pPr>
    </w:p>
    <w:tbl>
      <w:tblPr>
        <w:tblStyle w:val="TableGrid"/>
        <w:tblW w:w="860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36"/>
        <w:gridCol w:w="6480"/>
      </w:tblGrid>
      <w:tr w:rsidR="00A95817" w:rsidRPr="00A95817" w14:paraId="15D503F7" w14:textId="77777777" w:rsidTr="00806DDA">
        <w:trPr>
          <w:trHeight w:val="415"/>
        </w:trPr>
        <w:tc>
          <w:tcPr>
            <w:tcW w:w="8606" w:type="dxa"/>
            <w:gridSpan w:val="3"/>
            <w:tcBorders>
              <w:top w:val="single" w:sz="4" w:space="0" w:color="auto"/>
              <w:bottom w:val="single" w:sz="4" w:space="0" w:color="auto"/>
            </w:tcBorders>
          </w:tcPr>
          <w:p w14:paraId="3FCF7C01" w14:textId="77777777" w:rsidR="00A95817" w:rsidRPr="00A95817" w:rsidRDefault="00A95817" w:rsidP="00A95817">
            <w:pPr>
              <w:spacing w:after="160" w:line="259" w:lineRule="auto"/>
              <w:jc w:val="center"/>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Morphological characteristics of the experimental site</w:t>
            </w:r>
          </w:p>
        </w:tc>
      </w:tr>
      <w:tr w:rsidR="00A95817" w:rsidRPr="00A95817" w14:paraId="528FA690" w14:textId="77777777" w:rsidTr="00806DDA">
        <w:trPr>
          <w:trHeight w:val="415"/>
        </w:trPr>
        <w:tc>
          <w:tcPr>
            <w:tcW w:w="1890" w:type="dxa"/>
            <w:tcBorders>
              <w:top w:val="single" w:sz="4" w:space="0" w:color="auto"/>
              <w:bottom w:val="single" w:sz="4" w:space="0" w:color="auto"/>
            </w:tcBorders>
          </w:tcPr>
          <w:p w14:paraId="2805C6CA"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Parameters</w:t>
            </w:r>
          </w:p>
        </w:tc>
        <w:tc>
          <w:tcPr>
            <w:tcW w:w="236" w:type="dxa"/>
            <w:tcBorders>
              <w:top w:val="single" w:sz="4" w:space="0" w:color="auto"/>
              <w:bottom w:val="single" w:sz="4" w:space="0" w:color="auto"/>
            </w:tcBorders>
          </w:tcPr>
          <w:p w14:paraId="00A805BC"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48F0A250" w14:textId="77777777" w:rsidR="00A95817" w:rsidRPr="00A95817" w:rsidRDefault="00A95817" w:rsidP="00A95817">
            <w:pPr>
              <w:spacing w:after="160" w:line="259" w:lineRule="auto"/>
              <w:rPr>
                <w:rFonts w:ascii="Times New Roman" w:hAnsi="Times New Roman" w:cs="Times New Roman"/>
                <w:b/>
                <w:bCs/>
                <w:color w:val="000000" w:themeColor="text1"/>
                <w:kern w:val="2"/>
                <w:sz w:val="24"/>
                <w:szCs w:val="24"/>
                <w14:ligatures w14:val="standardContextual"/>
              </w:rPr>
            </w:pPr>
            <w:r w:rsidRPr="00A95817">
              <w:rPr>
                <w:rFonts w:ascii="Times New Roman" w:hAnsi="Times New Roman" w:cs="Times New Roman"/>
                <w:b/>
                <w:bCs/>
                <w:color w:val="000000" w:themeColor="text1"/>
                <w:kern w:val="2"/>
                <w:sz w:val="24"/>
                <w:szCs w:val="24"/>
                <w14:ligatures w14:val="standardContextual"/>
              </w:rPr>
              <w:t>Characteristics</w:t>
            </w:r>
          </w:p>
        </w:tc>
      </w:tr>
      <w:tr w:rsidR="00A95817" w:rsidRPr="00A95817" w14:paraId="4ED921E0" w14:textId="77777777" w:rsidTr="00806DDA">
        <w:trPr>
          <w:trHeight w:val="703"/>
        </w:trPr>
        <w:tc>
          <w:tcPr>
            <w:tcW w:w="1890" w:type="dxa"/>
            <w:tcBorders>
              <w:top w:val="single" w:sz="4" w:space="0" w:color="auto"/>
              <w:bottom w:val="single" w:sz="4" w:space="0" w:color="auto"/>
            </w:tcBorders>
          </w:tcPr>
          <w:p w14:paraId="6BF5BCE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Location</w:t>
            </w:r>
          </w:p>
          <w:p w14:paraId="4D5CB48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Land type</w:t>
            </w:r>
          </w:p>
          <w:p w14:paraId="7887356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General soil type</w:t>
            </w:r>
          </w:p>
          <w:p w14:paraId="7618826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series</w:t>
            </w:r>
          </w:p>
          <w:p w14:paraId="254F056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Parent materials</w:t>
            </w:r>
          </w:p>
          <w:p w14:paraId="638E25F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AEZ</w:t>
            </w:r>
          </w:p>
          <w:p w14:paraId="5F544D4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Flood level</w:t>
            </w:r>
          </w:p>
          <w:p w14:paraId="4024712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Topography</w:t>
            </w:r>
          </w:p>
          <w:p w14:paraId="5114F9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color</w:t>
            </w:r>
          </w:p>
          <w:p w14:paraId="2CC2B5A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Cropping pattern</w:t>
            </w:r>
          </w:p>
        </w:tc>
        <w:tc>
          <w:tcPr>
            <w:tcW w:w="236" w:type="dxa"/>
            <w:tcBorders>
              <w:top w:val="single" w:sz="4" w:space="0" w:color="auto"/>
              <w:bottom w:val="single" w:sz="4" w:space="0" w:color="auto"/>
            </w:tcBorders>
          </w:tcPr>
          <w:p w14:paraId="44BFB91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A2D412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529A18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925A30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3EB791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1B9045E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8D5DE9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FC951D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3955C98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B1FFA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6480" w:type="dxa"/>
            <w:tcBorders>
              <w:top w:val="single" w:sz="4" w:space="0" w:color="auto"/>
              <w:bottom w:val="single" w:sz="4" w:space="0" w:color="auto"/>
            </w:tcBorders>
          </w:tcPr>
          <w:p w14:paraId="04E9741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Agronomy Field Laboratory, BAU, Mymensingh high land</w:t>
            </w:r>
          </w:p>
          <w:p w14:paraId="0B17801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Medium high land</w:t>
            </w:r>
          </w:p>
          <w:p w14:paraId="1F99646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Non-calcareous Dark grey Floodplain Soils</w:t>
            </w:r>
          </w:p>
          <w:p w14:paraId="5AAE3EF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roofErr w:type="spellStart"/>
            <w:r w:rsidRPr="00A95817">
              <w:rPr>
                <w:rFonts w:ascii="Times New Roman" w:hAnsi="Times New Roman" w:cs="Times New Roman"/>
                <w:color w:val="000000" w:themeColor="text1"/>
                <w:kern w:val="2"/>
                <w:sz w:val="24"/>
                <w:szCs w:val="24"/>
                <w14:ligatures w14:val="standardContextual"/>
              </w:rPr>
              <w:t>Sonatola</w:t>
            </w:r>
            <w:proofErr w:type="spellEnd"/>
          </w:p>
          <w:p w14:paraId="69B1E79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river borne deposits</w:t>
            </w:r>
          </w:p>
          <w:p w14:paraId="690D5FB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Old Brahmaputra Floodplain (AEZ 9)</w:t>
            </w:r>
          </w:p>
          <w:p w14:paraId="411EF37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Above flood level</w:t>
            </w:r>
          </w:p>
          <w:p w14:paraId="5B6EBDD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Fairly leveled</w:t>
            </w:r>
          </w:p>
          <w:p w14:paraId="42770335"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Dark grey</w:t>
            </w:r>
          </w:p>
          <w:p w14:paraId="6AC2D102"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 xml:space="preserve">Rice </w:t>
            </w:r>
            <w:proofErr w:type="gramStart"/>
            <w:r w:rsidRPr="00A95817">
              <w:rPr>
                <w:rFonts w:ascii="Times New Roman" w:hAnsi="Times New Roman" w:cs="Times New Roman"/>
                <w:color w:val="000000" w:themeColor="text1"/>
                <w:kern w:val="2"/>
                <w:sz w:val="24"/>
                <w:szCs w:val="24"/>
                <w14:ligatures w14:val="standardContextual"/>
              </w:rPr>
              <w:t>crop</w:t>
            </w:r>
            <w:proofErr w:type="gramEnd"/>
            <w:r w:rsidRPr="00A95817">
              <w:rPr>
                <w:rFonts w:ascii="Times New Roman" w:hAnsi="Times New Roman" w:cs="Times New Roman"/>
                <w:color w:val="000000" w:themeColor="text1"/>
                <w:kern w:val="2"/>
                <w:sz w:val="24"/>
                <w:szCs w:val="24"/>
                <w14:ligatures w14:val="standardContextual"/>
              </w:rPr>
              <w:t xml:space="preserve"> grown </w:t>
            </w:r>
            <w:proofErr w:type="gramStart"/>
            <w:r w:rsidRPr="00A95817">
              <w:rPr>
                <w:rFonts w:ascii="Times New Roman" w:hAnsi="Times New Roman" w:cs="Times New Roman"/>
                <w:color w:val="000000" w:themeColor="text1"/>
                <w:kern w:val="2"/>
                <w:sz w:val="24"/>
                <w:szCs w:val="24"/>
                <w14:ligatures w14:val="standardContextual"/>
              </w:rPr>
              <w:t>year round</w:t>
            </w:r>
            <w:proofErr w:type="gramEnd"/>
            <w:r w:rsidRPr="00A95817">
              <w:rPr>
                <w:rFonts w:ascii="Times New Roman" w:hAnsi="Times New Roman" w:cs="Times New Roman"/>
                <w:color w:val="000000" w:themeColor="text1"/>
                <w:kern w:val="2"/>
                <w:sz w:val="24"/>
                <w:szCs w:val="24"/>
                <w14:ligatures w14:val="standardContextual"/>
              </w:rPr>
              <w:t xml:space="preserve"> (rice-rice)</w:t>
            </w:r>
          </w:p>
        </w:tc>
      </w:tr>
    </w:tbl>
    <w:p w14:paraId="7AF57AA5" w14:textId="77777777" w:rsidR="00A95817" w:rsidRPr="00A95817" w:rsidRDefault="00A95817" w:rsidP="00A95817">
      <w:pPr>
        <w:spacing w:line="240" w:lineRule="auto"/>
        <w:rPr>
          <w:rFonts w:cs="Times New Roman"/>
          <w:bCs/>
          <w:color w:val="000000" w:themeColor="text1"/>
          <w:szCs w:val="24"/>
        </w:rPr>
      </w:pPr>
    </w:p>
    <w:p w14:paraId="366EF7D7" w14:textId="77777777" w:rsidR="00A95817" w:rsidRPr="00A95817" w:rsidRDefault="00A95817" w:rsidP="00A95817">
      <w:pPr>
        <w:rPr>
          <w:rFonts w:cs="Times New Roman"/>
          <w:b/>
          <w:bCs/>
          <w:color w:val="000000" w:themeColor="text1"/>
          <w:szCs w:val="24"/>
        </w:rPr>
      </w:pPr>
      <w:r w:rsidRPr="00A95817">
        <w:rPr>
          <w:rFonts w:cs="Times New Roman"/>
          <w:b/>
          <w:bCs/>
          <w:color w:val="000000" w:themeColor="text1"/>
          <w:szCs w:val="24"/>
        </w:rPr>
        <w:t>1B. Physical characteristics of the soil (Particle size distribution)</w:t>
      </w:r>
    </w:p>
    <w:tbl>
      <w:tblPr>
        <w:tblStyle w:val="TableGrid"/>
        <w:tblW w:w="8496"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222"/>
        <w:gridCol w:w="3929"/>
      </w:tblGrid>
      <w:tr w:rsidR="00A95817" w:rsidRPr="00A95817" w14:paraId="49BC1EE8" w14:textId="77777777" w:rsidTr="00806DDA">
        <w:trPr>
          <w:trHeight w:val="370"/>
        </w:trPr>
        <w:tc>
          <w:tcPr>
            <w:tcW w:w="3345" w:type="dxa"/>
            <w:tcBorders>
              <w:top w:val="single" w:sz="4" w:space="0" w:color="auto"/>
              <w:bottom w:val="single" w:sz="4" w:space="0" w:color="auto"/>
            </w:tcBorders>
          </w:tcPr>
          <w:p w14:paraId="5A26BC29"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Parameters</w:t>
            </w:r>
          </w:p>
        </w:tc>
        <w:tc>
          <w:tcPr>
            <w:tcW w:w="1222" w:type="dxa"/>
            <w:tcBorders>
              <w:top w:val="single" w:sz="4" w:space="0" w:color="auto"/>
              <w:bottom w:val="single" w:sz="4" w:space="0" w:color="auto"/>
            </w:tcBorders>
          </w:tcPr>
          <w:p w14:paraId="1B0D4E8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688B795F"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Value</w:t>
            </w:r>
          </w:p>
        </w:tc>
      </w:tr>
      <w:tr w:rsidR="00A95817" w:rsidRPr="00A95817" w14:paraId="1DA1D72E" w14:textId="77777777" w:rsidTr="00806DDA">
        <w:trPr>
          <w:trHeight w:val="2114"/>
        </w:trPr>
        <w:tc>
          <w:tcPr>
            <w:tcW w:w="3345" w:type="dxa"/>
            <w:tcBorders>
              <w:top w:val="single" w:sz="4" w:space="0" w:color="auto"/>
              <w:bottom w:val="single" w:sz="4" w:space="0" w:color="auto"/>
            </w:tcBorders>
          </w:tcPr>
          <w:p w14:paraId="50FA8B9D"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Sand (%) (0.2-0.02 min)</w:t>
            </w:r>
          </w:p>
          <w:p w14:paraId="36CADE00"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Silt (%) (0.02-0.002 min)</w:t>
            </w:r>
          </w:p>
          <w:p w14:paraId="1FB3894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Sand (%) (0.2-0.02 min)</w:t>
            </w:r>
          </w:p>
          <w:p w14:paraId="45A65C7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Soil textural class</w:t>
            </w:r>
          </w:p>
          <w:p w14:paraId="1A36C5E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Particle density (g/cc)</w:t>
            </w:r>
          </w:p>
          <w:p w14:paraId="42532C5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Bulk density (g/cc)</w:t>
            </w:r>
          </w:p>
          <w:p w14:paraId="0BD92EB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Porosity (%)</w:t>
            </w:r>
          </w:p>
        </w:tc>
        <w:tc>
          <w:tcPr>
            <w:tcW w:w="1222" w:type="dxa"/>
            <w:tcBorders>
              <w:top w:val="single" w:sz="4" w:space="0" w:color="auto"/>
              <w:bottom w:val="single" w:sz="4" w:space="0" w:color="auto"/>
            </w:tcBorders>
          </w:tcPr>
          <w:p w14:paraId="25E2214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6F22C7B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4541F5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4A43AD51"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215CCC4D"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0016719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p w14:paraId="780FF8C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p>
        </w:tc>
        <w:tc>
          <w:tcPr>
            <w:tcW w:w="3929" w:type="dxa"/>
            <w:tcBorders>
              <w:top w:val="single" w:sz="4" w:space="0" w:color="auto"/>
              <w:bottom w:val="single" w:sz="4" w:space="0" w:color="auto"/>
            </w:tcBorders>
          </w:tcPr>
          <w:p w14:paraId="17C8DFF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5.53</w:t>
            </w:r>
          </w:p>
          <w:p w14:paraId="1044C1DA"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70.91</w:t>
            </w:r>
          </w:p>
          <w:p w14:paraId="38CD87B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23.56</w:t>
            </w:r>
          </w:p>
          <w:p w14:paraId="3FDD1256"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Silt loam</w:t>
            </w:r>
          </w:p>
          <w:p w14:paraId="1F153B52"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2.60</w:t>
            </w:r>
          </w:p>
          <w:p w14:paraId="0C91769C"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1.35</w:t>
            </w:r>
          </w:p>
          <w:p w14:paraId="437FEC87" w14:textId="77777777" w:rsidR="00A95817" w:rsidRPr="00A95817" w:rsidRDefault="00A95817" w:rsidP="00A95817">
            <w:pPr>
              <w:spacing w:after="160" w:line="259" w:lineRule="auto"/>
              <w:rPr>
                <w:rFonts w:ascii="Times New Roman" w:hAnsi="Times New Roman" w:cs="Times New Roman"/>
                <w:bCs/>
                <w:color w:val="000000" w:themeColor="text1"/>
                <w:kern w:val="2"/>
                <w:sz w:val="24"/>
                <w:szCs w:val="24"/>
                <w14:ligatures w14:val="standardContextual"/>
              </w:rPr>
            </w:pPr>
            <w:r w:rsidRPr="00A95817">
              <w:rPr>
                <w:rFonts w:ascii="Times New Roman" w:hAnsi="Times New Roman" w:cs="Times New Roman"/>
                <w:bCs/>
                <w:color w:val="000000" w:themeColor="text1"/>
                <w:kern w:val="2"/>
                <w:sz w:val="24"/>
                <w:szCs w:val="24"/>
                <w14:ligatures w14:val="standardContextual"/>
              </w:rPr>
              <w:t>46.67</w:t>
            </w:r>
          </w:p>
        </w:tc>
      </w:tr>
    </w:tbl>
    <w:p w14:paraId="64C8B4E8" w14:textId="77777777" w:rsidR="00A95817" w:rsidRPr="00A95817" w:rsidRDefault="00A95817" w:rsidP="00A95817">
      <w:pPr>
        <w:spacing w:line="240" w:lineRule="auto"/>
        <w:rPr>
          <w:rFonts w:cs="Times New Roman"/>
          <w:bCs/>
          <w:color w:val="000000" w:themeColor="text1"/>
          <w:szCs w:val="24"/>
        </w:rPr>
      </w:pPr>
    </w:p>
    <w:p w14:paraId="02D12724" w14:textId="77777777" w:rsidR="00A95817" w:rsidRPr="00A95817" w:rsidRDefault="00A95817" w:rsidP="00A95817">
      <w:pPr>
        <w:rPr>
          <w:rFonts w:cs="Times New Roman"/>
          <w:b/>
          <w:color w:val="000000" w:themeColor="text1"/>
          <w:szCs w:val="24"/>
        </w:rPr>
      </w:pPr>
      <w:r w:rsidRPr="00A95817">
        <w:rPr>
          <w:rFonts w:cs="Times New Roman"/>
          <w:b/>
          <w:bCs/>
          <w:color w:val="000000" w:themeColor="text1"/>
          <w:szCs w:val="24"/>
        </w:rPr>
        <w:t>1C. Chemical characteristics of the soil</w:t>
      </w:r>
    </w:p>
    <w:tbl>
      <w:tblPr>
        <w:tblStyle w:val="TableGrid"/>
        <w:tblW w:w="8514"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3947"/>
      </w:tblGrid>
      <w:tr w:rsidR="00A95817" w:rsidRPr="00A95817" w14:paraId="3EBA5960" w14:textId="77777777" w:rsidTr="00806DDA">
        <w:trPr>
          <w:trHeight w:val="325"/>
        </w:trPr>
        <w:tc>
          <w:tcPr>
            <w:tcW w:w="4567" w:type="dxa"/>
            <w:tcBorders>
              <w:top w:val="single" w:sz="4" w:space="0" w:color="auto"/>
              <w:bottom w:val="single" w:sz="4" w:space="0" w:color="auto"/>
            </w:tcBorders>
          </w:tcPr>
          <w:p w14:paraId="2CD7310C"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Parameters</w:t>
            </w:r>
          </w:p>
        </w:tc>
        <w:tc>
          <w:tcPr>
            <w:tcW w:w="3947" w:type="dxa"/>
            <w:tcBorders>
              <w:top w:val="single" w:sz="4" w:space="0" w:color="auto"/>
              <w:bottom w:val="single" w:sz="4" w:space="0" w:color="auto"/>
            </w:tcBorders>
          </w:tcPr>
          <w:p w14:paraId="5681703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Value</w:t>
            </w:r>
          </w:p>
        </w:tc>
      </w:tr>
      <w:tr w:rsidR="00A95817" w:rsidRPr="00A95817" w14:paraId="175CDEF1" w14:textId="77777777" w:rsidTr="00806DDA">
        <w:trPr>
          <w:trHeight w:val="53"/>
        </w:trPr>
        <w:tc>
          <w:tcPr>
            <w:tcW w:w="4567" w:type="dxa"/>
            <w:tcBorders>
              <w:top w:val="single" w:sz="4" w:space="0" w:color="auto"/>
              <w:bottom w:val="single" w:sz="4" w:space="0" w:color="auto"/>
            </w:tcBorders>
          </w:tcPr>
          <w:p w14:paraId="0E039397"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lastRenderedPageBreak/>
              <w:t>Soil pH</w:t>
            </w:r>
          </w:p>
          <w:p w14:paraId="3A41C7EB"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Organic matter (%)</w:t>
            </w:r>
          </w:p>
          <w:p w14:paraId="089F67D4"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Total nitrogen (%)</w:t>
            </w:r>
          </w:p>
          <w:p w14:paraId="665EE13E"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Available phosphorus (ppm)</w:t>
            </w:r>
          </w:p>
          <w:p w14:paraId="60F3EE53"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Exchangeable potassium (me/100g soil)</w:t>
            </w:r>
          </w:p>
        </w:tc>
        <w:tc>
          <w:tcPr>
            <w:tcW w:w="3947" w:type="dxa"/>
            <w:tcBorders>
              <w:top w:val="single" w:sz="4" w:space="0" w:color="auto"/>
              <w:bottom w:val="single" w:sz="4" w:space="0" w:color="auto"/>
            </w:tcBorders>
          </w:tcPr>
          <w:p w14:paraId="090AC816"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6.5</w:t>
            </w:r>
          </w:p>
          <w:p w14:paraId="7DAAB6FA"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2.02</w:t>
            </w:r>
          </w:p>
          <w:p w14:paraId="193A7D7F"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0.117</w:t>
            </w:r>
          </w:p>
          <w:p w14:paraId="73ED4188"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3.19</w:t>
            </w:r>
          </w:p>
          <w:p w14:paraId="6FF7FAC9" w14:textId="77777777" w:rsidR="00A95817" w:rsidRPr="00A95817" w:rsidRDefault="00A95817" w:rsidP="00A95817">
            <w:pPr>
              <w:spacing w:after="160" w:line="259" w:lineRule="auto"/>
              <w:rPr>
                <w:rFonts w:ascii="Times New Roman" w:hAnsi="Times New Roman" w:cs="Times New Roman"/>
                <w:color w:val="000000" w:themeColor="text1"/>
                <w:kern w:val="2"/>
                <w:sz w:val="24"/>
                <w:szCs w:val="24"/>
                <w14:ligatures w14:val="standardContextual"/>
              </w:rPr>
            </w:pPr>
            <w:r w:rsidRPr="00A95817">
              <w:rPr>
                <w:rFonts w:ascii="Times New Roman" w:hAnsi="Times New Roman" w:cs="Times New Roman"/>
                <w:color w:val="000000" w:themeColor="text1"/>
                <w:kern w:val="2"/>
                <w:sz w:val="24"/>
                <w:szCs w:val="24"/>
                <w14:ligatures w14:val="standardContextual"/>
              </w:rPr>
              <w:t>0.092</w:t>
            </w:r>
          </w:p>
        </w:tc>
      </w:tr>
    </w:tbl>
    <w:p w14:paraId="60E18902" w14:textId="77777777" w:rsidR="00A95817" w:rsidRPr="00A95817" w:rsidRDefault="00A95817" w:rsidP="00A95817">
      <w:pPr>
        <w:rPr>
          <w:rFonts w:cs="Times New Roman"/>
          <w:color w:val="000000" w:themeColor="text1"/>
          <w:szCs w:val="24"/>
        </w:rPr>
      </w:pPr>
      <w:r w:rsidRPr="00A95817">
        <w:rPr>
          <w:rFonts w:cs="Times New Roman"/>
          <w:b/>
          <w:color w:val="000000" w:themeColor="text1"/>
          <w:szCs w:val="24"/>
        </w:rPr>
        <w:t>Source:</w:t>
      </w:r>
      <w:r w:rsidRPr="00A95817">
        <w:rPr>
          <w:rFonts w:cs="Times New Roman"/>
          <w:color w:val="000000" w:themeColor="text1"/>
          <w:szCs w:val="24"/>
        </w:rPr>
        <w:t xml:space="preserve"> Humboldt Soil Testing Laboratory, Department of soil science, Bangladesh Agricultural University, Mymensingh.</w:t>
      </w:r>
    </w:p>
    <w:p w14:paraId="4751FA2D" w14:textId="77777777" w:rsidR="00A95817" w:rsidRPr="00A95817" w:rsidRDefault="00A95817" w:rsidP="00A95817">
      <w:pPr>
        <w:rPr>
          <w:rFonts w:cs="Times New Roman"/>
          <w:color w:val="000000" w:themeColor="text1"/>
          <w:szCs w:val="24"/>
        </w:rPr>
      </w:pPr>
    </w:p>
    <w:p w14:paraId="2EF77221" w14:textId="77777777" w:rsidR="00A95817" w:rsidRPr="00A95817" w:rsidRDefault="00A95817" w:rsidP="00A95817">
      <w:pPr>
        <w:rPr>
          <w:rFonts w:cs="Times New Roman"/>
          <w:color w:val="000000" w:themeColor="text1"/>
          <w:szCs w:val="24"/>
        </w:rPr>
      </w:pPr>
    </w:p>
    <w:p w14:paraId="65E23766" w14:textId="77777777" w:rsidR="00A95817" w:rsidRPr="00A95817" w:rsidRDefault="00A95817" w:rsidP="00A95817">
      <w:pPr>
        <w:ind w:left="1692" w:hanging="1692"/>
        <w:rPr>
          <w:rFonts w:cs="Times New Roman"/>
          <w:b/>
          <w:color w:val="000000" w:themeColor="text1"/>
          <w:szCs w:val="24"/>
        </w:rPr>
      </w:pPr>
      <w:r w:rsidRPr="00A95817">
        <w:rPr>
          <w:rFonts w:cs="Times New Roman"/>
          <w:b/>
          <w:bCs/>
          <w:color w:val="000000" w:themeColor="text1"/>
          <w:szCs w:val="24"/>
        </w:rPr>
        <w:t>Supplementary Table 2: Distribution of monthly average air temperature relative humidity, rainfall and sunshine hours of the experiment site during the period from June to December 2019</w:t>
      </w:r>
    </w:p>
    <w:tbl>
      <w:tblPr>
        <w:tblStyle w:val="LightShading-Accent1"/>
        <w:tblW w:w="4877" w:type="pct"/>
        <w:tblBorders>
          <w:top w:val="single" w:sz="4" w:space="0" w:color="auto"/>
          <w:bottom w:val="none" w:sz="0" w:space="0" w:color="auto"/>
        </w:tblBorders>
        <w:tblLook w:val="0660" w:firstRow="1" w:lastRow="1" w:firstColumn="0" w:lastColumn="0" w:noHBand="1" w:noVBand="1"/>
      </w:tblPr>
      <w:tblGrid>
        <w:gridCol w:w="1758"/>
        <w:gridCol w:w="2204"/>
        <w:gridCol w:w="1839"/>
        <w:gridCol w:w="1585"/>
        <w:gridCol w:w="1744"/>
      </w:tblGrid>
      <w:tr w:rsidR="00A95817" w:rsidRPr="00A95817" w14:paraId="1899E7EC" w14:textId="77777777" w:rsidTr="00806DDA">
        <w:trPr>
          <w:cnfStyle w:val="100000000000" w:firstRow="1" w:lastRow="0" w:firstColumn="0" w:lastColumn="0" w:oddVBand="0" w:evenVBand="0" w:oddHBand="0" w:evenHBand="0" w:firstRowFirstColumn="0" w:firstRowLastColumn="0" w:lastRowFirstColumn="0" w:lastRowLastColumn="0"/>
        </w:trPr>
        <w:tc>
          <w:tcPr>
            <w:tcW w:w="963" w:type="pct"/>
            <w:tcBorders>
              <w:top w:val="single" w:sz="4" w:space="0" w:color="auto"/>
              <w:bottom w:val="single" w:sz="4" w:space="0" w:color="auto"/>
            </w:tcBorders>
            <w:noWrap/>
          </w:tcPr>
          <w:p w14:paraId="327434F9"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Month</w:t>
            </w:r>
          </w:p>
        </w:tc>
        <w:tc>
          <w:tcPr>
            <w:tcW w:w="1207" w:type="pct"/>
            <w:tcBorders>
              <w:top w:val="single" w:sz="4" w:space="0" w:color="auto"/>
              <w:bottom w:val="single" w:sz="4" w:space="0" w:color="auto"/>
            </w:tcBorders>
          </w:tcPr>
          <w:p w14:paraId="2F210408"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**Air temperature   </w:t>
            </w:r>
          </w:p>
          <w:p w14:paraId="20A47D00"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w:t>
            </w:r>
            <w:r w:rsidRPr="00A95817">
              <w:rPr>
                <w:rFonts w:ascii="Times New Roman" w:eastAsiaTheme="minorHAnsi" w:hAnsi="Times New Roman" w:cs="Times New Roman"/>
                <w:b w:val="0"/>
                <w:bCs w:val="0"/>
                <w:color w:val="000000" w:themeColor="text1"/>
                <w:kern w:val="2"/>
                <w:sz w:val="24"/>
                <w:szCs w:val="24"/>
                <w:vertAlign w:val="superscript"/>
                <w14:ligatures w14:val="standardContextual"/>
              </w:rPr>
              <w:t>0</w:t>
            </w:r>
            <w:r w:rsidRPr="00A95817">
              <w:rPr>
                <w:rFonts w:ascii="Times New Roman" w:eastAsiaTheme="minorHAnsi" w:hAnsi="Times New Roman" w:cs="Times New Roman"/>
                <w:b w:val="0"/>
                <w:bCs w:val="0"/>
                <w:color w:val="000000" w:themeColor="text1"/>
                <w:kern w:val="2"/>
                <w:sz w:val="24"/>
                <w:szCs w:val="24"/>
                <w14:ligatures w14:val="standardContextual"/>
              </w:rPr>
              <w:t>C)</w:t>
            </w:r>
          </w:p>
        </w:tc>
        <w:tc>
          <w:tcPr>
            <w:tcW w:w="1007" w:type="pct"/>
            <w:tcBorders>
              <w:top w:val="single" w:sz="4" w:space="0" w:color="auto"/>
              <w:bottom w:val="single" w:sz="4" w:space="0" w:color="auto"/>
            </w:tcBorders>
          </w:tcPr>
          <w:p w14:paraId="615C3786"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 Relative  </w:t>
            </w:r>
          </w:p>
          <w:p w14:paraId="29CAF74F"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humidity (%)</w:t>
            </w:r>
          </w:p>
        </w:tc>
        <w:tc>
          <w:tcPr>
            <w:tcW w:w="867" w:type="pct"/>
            <w:tcBorders>
              <w:top w:val="single" w:sz="4" w:space="0" w:color="auto"/>
              <w:bottom w:val="single" w:sz="4" w:space="0" w:color="auto"/>
            </w:tcBorders>
          </w:tcPr>
          <w:p w14:paraId="6A7E4D31"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*Rainfall</w:t>
            </w:r>
          </w:p>
          <w:p w14:paraId="0A64332F" w14:textId="77777777" w:rsidR="00A95817" w:rsidRPr="00A95817" w:rsidRDefault="00A95817" w:rsidP="00A95817">
            <w:pPr>
              <w:spacing w:after="160" w:line="259" w:lineRule="auto"/>
              <w:rPr>
                <w:rFonts w:ascii="Times New Roman" w:eastAsiaTheme="minorHAnsi" w:hAnsi="Times New Roman" w:cs="Times New Roman"/>
                <w:bCs w:val="0"/>
                <w:color w:val="000000" w:themeColor="text1"/>
                <w:kern w:val="2"/>
                <w:sz w:val="24"/>
                <w:szCs w:val="24"/>
                <w14:ligatures w14:val="standardContextual"/>
              </w:rPr>
            </w:pPr>
            <w:r w:rsidRPr="00A95817">
              <w:rPr>
                <w:rFonts w:ascii="Times New Roman" w:eastAsiaTheme="minorHAnsi" w:hAnsi="Times New Roman" w:cs="Times New Roman"/>
                <w:b w:val="0"/>
                <w:bCs w:val="0"/>
                <w:color w:val="000000" w:themeColor="text1"/>
                <w:kern w:val="2"/>
                <w:sz w:val="24"/>
                <w:szCs w:val="24"/>
                <w14:ligatures w14:val="standardContextual"/>
              </w:rPr>
              <w:t xml:space="preserve">      (cm)</w:t>
            </w:r>
          </w:p>
        </w:tc>
        <w:tc>
          <w:tcPr>
            <w:tcW w:w="956" w:type="pct"/>
            <w:tcBorders>
              <w:top w:val="single" w:sz="4" w:space="0" w:color="auto"/>
              <w:bottom w:val="single" w:sz="4" w:space="0" w:color="auto"/>
            </w:tcBorders>
          </w:tcPr>
          <w:p w14:paraId="410C5882" w14:textId="77777777" w:rsidR="00A95817" w:rsidRPr="00A95817" w:rsidRDefault="00A95817" w:rsidP="00A95817">
            <w:pPr>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**Sunshine</w:t>
            </w:r>
          </w:p>
          <w:p w14:paraId="11AC432E" w14:textId="77777777" w:rsidR="00A95817" w:rsidRPr="00A95817" w:rsidRDefault="00A95817" w:rsidP="00A95817">
            <w:pPr>
              <w:autoSpaceDE w:val="0"/>
              <w:autoSpaceDN w:val="0"/>
              <w:adjustRightInd w:val="0"/>
              <w:rPr>
                <w:rFonts w:ascii="Times New Roman" w:eastAsiaTheme="minorHAnsi" w:hAnsi="Times New Roman" w:cs="Times New Roman"/>
                <w:bCs w:val="0"/>
                <w:color w:val="000000" w:themeColor="text1"/>
                <w:sz w:val="24"/>
                <w:szCs w:val="24"/>
              </w:rPr>
            </w:pPr>
            <w:r w:rsidRPr="00A95817">
              <w:rPr>
                <w:rFonts w:ascii="Times New Roman" w:eastAsiaTheme="minorHAnsi" w:hAnsi="Times New Roman" w:cs="Times New Roman"/>
                <w:b w:val="0"/>
                <w:bCs w:val="0"/>
                <w:color w:val="000000" w:themeColor="text1"/>
                <w:sz w:val="24"/>
                <w:szCs w:val="24"/>
              </w:rPr>
              <w:t xml:space="preserve">         (</w:t>
            </w:r>
            <w:proofErr w:type="spellStart"/>
            <w:r w:rsidRPr="00A95817">
              <w:rPr>
                <w:rFonts w:ascii="Times New Roman" w:eastAsiaTheme="minorHAnsi" w:hAnsi="Times New Roman" w:cs="Times New Roman"/>
                <w:b w:val="0"/>
                <w:bCs w:val="0"/>
                <w:color w:val="000000" w:themeColor="text1"/>
                <w:sz w:val="24"/>
                <w:szCs w:val="24"/>
              </w:rPr>
              <w:t>hrs</w:t>
            </w:r>
            <w:proofErr w:type="spellEnd"/>
            <w:r w:rsidRPr="00A95817">
              <w:rPr>
                <w:rFonts w:ascii="Times New Roman" w:eastAsiaTheme="minorHAnsi" w:hAnsi="Times New Roman" w:cs="Times New Roman"/>
                <w:b w:val="0"/>
                <w:bCs w:val="0"/>
                <w:color w:val="000000" w:themeColor="text1"/>
                <w:sz w:val="24"/>
                <w:szCs w:val="24"/>
              </w:rPr>
              <w:t>)</w:t>
            </w:r>
          </w:p>
        </w:tc>
      </w:tr>
      <w:tr w:rsidR="00A95817" w:rsidRPr="00A95817" w14:paraId="064594F4" w14:textId="77777777" w:rsidTr="00806DDA">
        <w:tc>
          <w:tcPr>
            <w:tcW w:w="963" w:type="pct"/>
            <w:tcBorders>
              <w:top w:val="single" w:sz="4" w:space="0" w:color="auto"/>
            </w:tcBorders>
            <w:noWrap/>
          </w:tcPr>
          <w:p w14:paraId="636302A7"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June</w:t>
            </w:r>
          </w:p>
        </w:tc>
        <w:tc>
          <w:tcPr>
            <w:tcW w:w="1207" w:type="pct"/>
            <w:tcBorders>
              <w:top w:val="single" w:sz="4" w:space="0" w:color="auto"/>
            </w:tcBorders>
          </w:tcPr>
          <w:p w14:paraId="6869AA2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29.2</w:t>
            </w:r>
          </w:p>
        </w:tc>
        <w:tc>
          <w:tcPr>
            <w:tcW w:w="1007" w:type="pct"/>
            <w:tcBorders>
              <w:top w:val="single" w:sz="4" w:space="0" w:color="auto"/>
            </w:tcBorders>
          </w:tcPr>
          <w:p w14:paraId="38B203D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84.4</w:t>
            </w:r>
          </w:p>
        </w:tc>
        <w:tc>
          <w:tcPr>
            <w:tcW w:w="867" w:type="pct"/>
            <w:tcBorders>
              <w:top w:val="single" w:sz="4" w:space="0" w:color="auto"/>
            </w:tcBorders>
          </w:tcPr>
          <w:p w14:paraId="204B4A1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421.3</w:t>
            </w:r>
          </w:p>
        </w:tc>
        <w:tc>
          <w:tcPr>
            <w:tcW w:w="956" w:type="pct"/>
            <w:tcBorders>
              <w:top w:val="single" w:sz="4" w:space="0" w:color="auto"/>
            </w:tcBorders>
          </w:tcPr>
          <w:p w14:paraId="03664A8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3.7</w:t>
            </w:r>
          </w:p>
        </w:tc>
      </w:tr>
      <w:tr w:rsidR="00A95817" w:rsidRPr="00A95817" w14:paraId="19B8BA71" w14:textId="77777777" w:rsidTr="00806DDA">
        <w:tc>
          <w:tcPr>
            <w:tcW w:w="963" w:type="pct"/>
            <w:noWrap/>
          </w:tcPr>
          <w:p w14:paraId="367016CE"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July</w:t>
            </w:r>
          </w:p>
        </w:tc>
        <w:tc>
          <w:tcPr>
            <w:tcW w:w="1207" w:type="pct"/>
          </w:tcPr>
          <w:p w14:paraId="05279F3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29.6</w:t>
            </w:r>
          </w:p>
        </w:tc>
        <w:tc>
          <w:tcPr>
            <w:tcW w:w="1007" w:type="pct"/>
          </w:tcPr>
          <w:p w14:paraId="5C1424F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84.5</w:t>
            </w:r>
          </w:p>
        </w:tc>
        <w:tc>
          <w:tcPr>
            <w:tcW w:w="867" w:type="pct"/>
          </w:tcPr>
          <w:p w14:paraId="0BDC3BE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582.9</w:t>
            </w:r>
          </w:p>
        </w:tc>
        <w:tc>
          <w:tcPr>
            <w:tcW w:w="956" w:type="pct"/>
          </w:tcPr>
          <w:p w14:paraId="1AF3E584"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3.9</w:t>
            </w:r>
          </w:p>
        </w:tc>
      </w:tr>
      <w:tr w:rsidR="00A95817" w:rsidRPr="00A95817" w14:paraId="60439BDF" w14:textId="77777777" w:rsidTr="00806DDA">
        <w:tc>
          <w:tcPr>
            <w:tcW w:w="963" w:type="pct"/>
            <w:noWrap/>
          </w:tcPr>
          <w:p w14:paraId="5ED5517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August</w:t>
            </w:r>
          </w:p>
        </w:tc>
        <w:tc>
          <w:tcPr>
            <w:tcW w:w="1207" w:type="pct"/>
          </w:tcPr>
          <w:p w14:paraId="38A27ECC"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30.2</w:t>
            </w:r>
          </w:p>
        </w:tc>
        <w:tc>
          <w:tcPr>
            <w:tcW w:w="1007" w:type="pct"/>
          </w:tcPr>
          <w:p w14:paraId="4CE71FA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81.6</w:t>
            </w:r>
          </w:p>
        </w:tc>
        <w:tc>
          <w:tcPr>
            <w:tcW w:w="867" w:type="pct"/>
          </w:tcPr>
          <w:p w14:paraId="59B6A881"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316.5</w:t>
            </w:r>
          </w:p>
        </w:tc>
        <w:tc>
          <w:tcPr>
            <w:tcW w:w="956" w:type="pct"/>
          </w:tcPr>
          <w:p w14:paraId="4F6B3E58"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4.4</w:t>
            </w:r>
          </w:p>
        </w:tc>
      </w:tr>
      <w:tr w:rsidR="00A95817" w:rsidRPr="00A95817" w14:paraId="78228637" w14:textId="77777777" w:rsidTr="00806DDA">
        <w:trPr>
          <w:trHeight w:val="63"/>
        </w:trPr>
        <w:tc>
          <w:tcPr>
            <w:tcW w:w="963" w:type="pct"/>
            <w:noWrap/>
          </w:tcPr>
          <w:p w14:paraId="1CBF950D"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September</w:t>
            </w:r>
          </w:p>
        </w:tc>
        <w:tc>
          <w:tcPr>
            <w:tcW w:w="1207" w:type="pct"/>
          </w:tcPr>
          <w:p w14:paraId="7CC5E1CB"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29.3</w:t>
            </w:r>
          </w:p>
        </w:tc>
        <w:tc>
          <w:tcPr>
            <w:tcW w:w="1007" w:type="pct"/>
          </w:tcPr>
          <w:p w14:paraId="4E74334A"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eastAsia="zh-CN" w:bidi="bn-IN"/>
              </w:rPr>
              <w:t>84.6</w:t>
            </w:r>
          </w:p>
        </w:tc>
        <w:tc>
          <w:tcPr>
            <w:tcW w:w="867" w:type="pct"/>
          </w:tcPr>
          <w:p w14:paraId="5AE0722D"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203.0</w:t>
            </w:r>
          </w:p>
        </w:tc>
        <w:tc>
          <w:tcPr>
            <w:tcW w:w="956" w:type="pct"/>
          </w:tcPr>
          <w:p w14:paraId="6F890F72"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lang w:bidi="bn-IN"/>
              </w:rPr>
              <w:t>4.9</w:t>
            </w:r>
          </w:p>
        </w:tc>
      </w:tr>
      <w:tr w:rsidR="00A95817" w:rsidRPr="00A95817" w14:paraId="44B7D502" w14:textId="77777777" w:rsidTr="00806DDA">
        <w:tc>
          <w:tcPr>
            <w:tcW w:w="963" w:type="pct"/>
            <w:noWrap/>
          </w:tcPr>
          <w:p w14:paraId="5F83EB48"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October</w:t>
            </w:r>
          </w:p>
        </w:tc>
        <w:tc>
          <w:tcPr>
            <w:tcW w:w="1207" w:type="pct"/>
          </w:tcPr>
          <w:p w14:paraId="62E61A5F"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27.95</w:t>
            </w:r>
          </w:p>
        </w:tc>
        <w:tc>
          <w:tcPr>
            <w:tcW w:w="1007" w:type="pct"/>
          </w:tcPr>
          <w:p w14:paraId="308E99F6"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82.90</w:t>
            </w:r>
          </w:p>
        </w:tc>
        <w:tc>
          <w:tcPr>
            <w:tcW w:w="867" w:type="pct"/>
          </w:tcPr>
          <w:p w14:paraId="69B537F9" w14:textId="77777777" w:rsidR="00A95817" w:rsidRPr="00A95817" w:rsidRDefault="00A95817" w:rsidP="00A95817">
            <w:pPr>
              <w:tabs>
                <w:tab w:val="decimal" w:pos="360"/>
              </w:tabs>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82.9</w:t>
            </w:r>
          </w:p>
        </w:tc>
        <w:tc>
          <w:tcPr>
            <w:tcW w:w="956" w:type="pct"/>
          </w:tcPr>
          <w:p w14:paraId="683141D7"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6.76</w:t>
            </w:r>
          </w:p>
        </w:tc>
      </w:tr>
      <w:tr w:rsidR="00A95817" w:rsidRPr="00A95817" w14:paraId="18CF0C58" w14:textId="77777777" w:rsidTr="00806DDA">
        <w:tc>
          <w:tcPr>
            <w:tcW w:w="963" w:type="pct"/>
            <w:tcBorders>
              <w:bottom w:val="nil"/>
            </w:tcBorders>
            <w:noWrap/>
          </w:tcPr>
          <w:p w14:paraId="5B7389E3" w14:textId="77777777" w:rsidR="00A95817" w:rsidRPr="00A95817" w:rsidRDefault="00A95817" w:rsidP="00A95817">
            <w:pPr>
              <w:spacing w:after="160" w:line="259" w:lineRule="auto"/>
              <w:rPr>
                <w:rFonts w:ascii="Times New Roman" w:eastAsiaTheme="minorHAnsi" w:hAnsi="Times New Roman" w:cs="Times New Roman"/>
                <w:color w:val="000000" w:themeColor="text1"/>
                <w:kern w:val="2"/>
                <w:sz w:val="24"/>
                <w:szCs w:val="24"/>
                <w14:ligatures w14:val="standardContextual"/>
              </w:rPr>
            </w:pPr>
            <w:r w:rsidRPr="00A95817">
              <w:rPr>
                <w:rFonts w:ascii="Times New Roman" w:eastAsiaTheme="minorHAnsi" w:hAnsi="Times New Roman" w:cs="Times New Roman"/>
                <w:color w:val="000000" w:themeColor="text1"/>
                <w:kern w:val="2"/>
                <w:sz w:val="24"/>
                <w:szCs w:val="24"/>
                <w14:ligatures w14:val="standardContextual"/>
              </w:rPr>
              <w:t>November</w:t>
            </w:r>
          </w:p>
        </w:tc>
        <w:tc>
          <w:tcPr>
            <w:tcW w:w="1207" w:type="pct"/>
            <w:tcBorders>
              <w:bottom w:val="nil"/>
            </w:tcBorders>
          </w:tcPr>
          <w:p w14:paraId="7A7DB356"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23.85</w:t>
            </w:r>
          </w:p>
        </w:tc>
        <w:tc>
          <w:tcPr>
            <w:tcW w:w="1007" w:type="pct"/>
            <w:tcBorders>
              <w:bottom w:val="nil"/>
            </w:tcBorders>
          </w:tcPr>
          <w:p w14:paraId="4355DD55" w14:textId="77777777" w:rsidR="00A95817" w:rsidRPr="00A95817" w:rsidRDefault="00A95817" w:rsidP="00A95817">
            <w:pPr>
              <w:tabs>
                <w:tab w:val="decimal" w:pos="360"/>
              </w:tabs>
              <w:jc w:val="center"/>
              <w:rPr>
                <w:rFonts w:ascii="Times New Roman" w:hAnsi="Times New Roman" w:cs="Times New Roman"/>
                <w:color w:val="000000" w:themeColor="text1"/>
                <w:sz w:val="24"/>
                <w:szCs w:val="24"/>
              </w:rPr>
            </w:pPr>
            <w:r w:rsidRPr="00A95817">
              <w:rPr>
                <w:rFonts w:ascii="Times New Roman" w:hAnsi="Times New Roman" w:cs="Times New Roman"/>
                <w:color w:val="000000" w:themeColor="text1"/>
                <w:sz w:val="24"/>
                <w:szCs w:val="24"/>
              </w:rPr>
              <w:t xml:space="preserve">    82.20</w:t>
            </w:r>
          </w:p>
        </w:tc>
        <w:tc>
          <w:tcPr>
            <w:tcW w:w="867" w:type="pct"/>
            <w:tcBorders>
              <w:bottom w:val="nil"/>
            </w:tcBorders>
          </w:tcPr>
          <w:p w14:paraId="5018DFB8"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25.45</w:t>
            </w:r>
          </w:p>
        </w:tc>
        <w:tc>
          <w:tcPr>
            <w:tcW w:w="956" w:type="pct"/>
            <w:tcBorders>
              <w:bottom w:val="nil"/>
            </w:tcBorders>
          </w:tcPr>
          <w:p w14:paraId="654B6783"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7.00</w:t>
            </w:r>
          </w:p>
        </w:tc>
      </w:tr>
      <w:tr w:rsidR="00A95817" w:rsidRPr="00A95817" w14:paraId="596AB724" w14:textId="77777777" w:rsidTr="00806DDA">
        <w:tblPrEx>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363"/>
        </w:trPr>
        <w:tc>
          <w:tcPr>
            <w:cnfStyle w:val="000010000000" w:firstRow="0" w:lastRow="0" w:firstColumn="0" w:lastColumn="0" w:oddVBand="1" w:evenVBand="0" w:oddHBand="0" w:evenHBand="0" w:firstRowFirstColumn="0" w:firstRowLastColumn="0" w:lastRowFirstColumn="0" w:lastRowLastColumn="0"/>
            <w:tcW w:w="963" w:type="pct"/>
            <w:tcBorders>
              <w:bottom w:val="single" w:sz="4" w:space="0" w:color="auto"/>
            </w:tcBorders>
            <w:shd w:val="clear" w:color="auto" w:fill="auto"/>
          </w:tcPr>
          <w:p w14:paraId="5A195A31" w14:textId="77777777" w:rsidR="00A95817" w:rsidRPr="00A95817" w:rsidRDefault="00A95817" w:rsidP="00A95817">
            <w:pPr>
              <w:tabs>
                <w:tab w:val="left" w:pos="3005"/>
              </w:tabs>
              <w:autoSpaceDE w:val="0"/>
              <w:autoSpaceDN w:val="0"/>
              <w:adjustRightInd w:val="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December</w:t>
            </w:r>
          </w:p>
        </w:tc>
        <w:tc>
          <w:tcPr>
            <w:tcW w:w="1207" w:type="pct"/>
            <w:tcBorders>
              <w:top w:val="nil"/>
              <w:bottom w:val="single" w:sz="4" w:space="0" w:color="auto"/>
            </w:tcBorders>
            <w:shd w:val="clear" w:color="auto" w:fill="auto"/>
          </w:tcPr>
          <w:p w14:paraId="19A5FBEB"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19.00</w:t>
            </w:r>
          </w:p>
        </w:tc>
        <w:tc>
          <w:tcPr>
            <w:cnfStyle w:val="000010000000" w:firstRow="0" w:lastRow="0" w:firstColumn="0" w:lastColumn="0" w:oddVBand="1" w:evenVBand="0" w:oddHBand="0" w:evenHBand="0" w:firstRowFirstColumn="0" w:firstRowLastColumn="0" w:lastRowFirstColumn="0" w:lastRowLastColumn="0"/>
            <w:tcW w:w="1007" w:type="pct"/>
            <w:tcBorders>
              <w:bottom w:val="single" w:sz="4" w:space="0" w:color="auto"/>
            </w:tcBorders>
            <w:shd w:val="clear" w:color="auto" w:fill="auto"/>
          </w:tcPr>
          <w:p w14:paraId="0FBE325A" w14:textId="77777777" w:rsidR="00A95817" w:rsidRPr="00A95817" w:rsidRDefault="00A95817" w:rsidP="00A95817">
            <w:pPr>
              <w:tabs>
                <w:tab w:val="left" w:pos="3005"/>
              </w:tabs>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83.40</w:t>
            </w:r>
          </w:p>
        </w:tc>
        <w:tc>
          <w:tcPr>
            <w:tcW w:w="868" w:type="pct"/>
            <w:tcBorders>
              <w:top w:val="nil"/>
              <w:bottom w:val="single" w:sz="4" w:space="0" w:color="auto"/>
            </w:tcBorders>
            <w:shd w:val="clear" w:color="auto" w:fill="auto"/>
          </w:tcPr>
          <w:p w14:paraId="0E9E6138" w14:textId="77777777" w:rsidR="00A95817" w:rsidRPr="00A95817" w:rsidRDefault="00A95817" w:rsidP="00A958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20.45</w:t>
            </w:r>
          </w:p>
        </w:tc>
        <w:tc>
          <w:tcPr>
            <w:cnfStyle w:val="000010000000" w:firstRow="0" w:lastRow="0" w:firstColumn="0" w:lastColumn="0" w:oddVBand="1" w:evenVBand="0" w:oddHBand="0" w:evenHBand="0" w:firstRowFirstColumn="0" w:firstRowLastColumn="0" w:lastRowFirstColumn="0" w:lastRowLastColumn="0"/>
            <w:tcW w:w="955" w:type="pct"/>
            <w:tcBorders>
              <w:bottom w:val="single" w:sz="4" w:space="0" w:color="auto"/>
            </w:tcBorders>
            <w:shd w:val="clear" w:color="auto" w:fill="auto"/>
          </w:tcPr>
          <w:p w14:paraId="6D044F7F" w14:textId="77777777" w:rsidR="00A95817" w:rsidRPr="00A95817" w:rsidRDefault="00A95817" w:rsidP="00A95817">
            <w:pPr>
              <w:autoSpaceDE w:val="0"/>
              <w:autoSpaceDN w:val="0"/>
              <w:adjustRightInd w:val="0"/>
              <w:jc w:val="center"/>
              <w:rPr>
                <w:rFonts w:ascii="Times New Roman" w:eastAsiaTheme="minorHAnsi" w:hAnsi="Times New Roman" w:cs="Times New Roman"/>
                <w:color w:val="000000" w:themeColor="text1"/>
                <w:sz w:val="24"/>
                <w:szCs w:val="24"/>
              </w:rPr>
            </w:pPr>
            <w:r w:rsidRPr="00A95817">
              <w:rPr>
                <w:rFonts w:ascii="Times New Roman" w:eastAsiaTheme="minorHAnsi" w:hAnsi="Times New Roman" w:cs="Times New Roman"/>
                <w:color w:val="000000" w:themeColor="text1"/>
                <w:sz w:val="24"/>
                <w:szCs w:val="24"/>
              </w:rPr>
              <w:t xml:space="preserve">      4.50</w:t>
            </w:r>
          </w:p>
        </w:tc>
      </w:tr>
    </w:tbl>
    <w:p w14:paraId="6E00D198"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p>
    <w:p w14:paraId="3075952D" w14:textId="77777777" w:rsidR="00A95817" w:rsidRPr="00A95817" w:rsidRDefault="00A95817" w:rsidP="00A95817">
      <w:pPr>
        <w:tabs>
          <w:tab w:val="left" w:pos="3005"/>
        </w:tabs>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total</w:t>
      </w:r>
      <w:r w:rsidRPr="00A95817">
        <w:rPr>
          <w:rFonts w:cs="Times New Roman"/>
          <w:color w:val="000000" w:themeColor="text1"/>
          <w:kern w:val="0"/>
          <w:szCs w:val="24"/>
          <w14:ligatures w14:val="none"/>
        </w:rPr>
        <w:tab/>
      </w:r>
    </w:p>
    <w:p w14:paraId="29E8BAFD" w14:textId="77777777" w:rsidR="00A95817" w:rsidRPr="00A95817" w:rsidRDefault="00A95817" w:rsidP="00A95817">
      <w:pPr>
        <w:autoSpaceDE w:val="0"/>
        <w:autoSpaceDN w:val="0"/>
        <w:adjustRightInd w:val="0"/>
        <w:spacing w:after="0" w:line="240" w:lineRule="auto"/>
        <w:rPr>
          <w:rFonts w:cs="Times New Roman"/>
          <w:color w:val="000000" w:themeColor="text1"/>
          <w:kern w:val="0"/>
          <w:szCs w:val="24"/>
          <w14:ligatures w14:val="none"/>
        </w:rPr>
      </w:pPr>
      <w:r w:rsidRPr="00A95817">
        <w:rPr>
          <w:rFonts w:cs="Times New Roman"/>
          <w:color w:val="000000" w:themeColor="text1"/>
          <w:kern w:val="0"/>
          <w:szCs w:val="24"/>
          <w14:ligatures w14:val="none"/>
        </w:rPr>
        <w:t>** Monthly average</w:t>
      </w:r>
    </w:p>
    <w:p w14:paraId="605A3501" w14:textId="77777777" w:rsidR="00A95817" w:rsidRPr="00A95817" w:rsidRDefault="00A95817" w:rsidP="00A95817">
      <w:pPr>
        <w:spacing w:after="0" w:line="240" w:lineRule="auto"/>
        <w:rPr>
          <w:rFonts w:eastAsiaTheme="minorEastAsia" w:cs="Times New Roman"/>
          <w:color w:val="000000" w:themeColor="text1"/>
          <w:kern w:val="0"/>
          <w:szCs w:val="24"/>
          <w14:ligatures w14:val="none"/>
        </w:rPr>
      </w:pPr>
    </w:p>
    <w:p w14:paraId="7FB050EF" w14:textId="77777777" w:rsidR="00A95817" w:rsidRPr="00A95817" w:rsidRDefault="00A95817" w:rsidP="00A95817">
      <w:pPr>
        <w:spacing w:after="0" w:line="240" w:lineRule="auto"/>
        <w:rPr>
          <w:rFonts w:eastAsiaTheme="minorEastAsia" w:cs="Times New Roman"/>
          <w:kern w:val="0"/>
          <w:sz w:val="20"/>
          <w:szCs w:val="20"/>
          <w14:ligatures w14:val="none"/>
        </w:rPr>
      </w:pPr>
      <w:r w:rsidRPr="00A95817">
        <w:rPr>
          <w:rFonts w:eastAsiaTheme="minorEastAsia" w:cs="Times New Roman"/>
          <w:b/>
          <w:color w:val="000000" w:themeColor="text1"/>
          <w:kern w:val="0"/>
          <w:szCs w:val="24"/>
          <w14:ligatures w14:val="none"/>
        </w:rPr>
        <w:t>Source:</w:t>
      </w:r>
      <w:r w:rsidRPr="00A95817">
        <w:rPr>
          <w:rFonts w:eastAsiaTheme="minorEastAsia" w:cs="Times New Roman"/>
          <w:color w:val="000000" w:themeColor="text1"/>
          <w:kern w:val="0"/>
          <w:szCs w:val="24"/>
          <w14:ligatures w14:val="none"/>
        </w:rPr>
        <w:t xml:space="preserve"> Weather Yard, Department of Irrigation and Water Management, Bangladesh Agricultural University, Mymensingh.</w:t>
      </w:r>
    </w:p>
    <w:p w14:paraId="105D4128" w14:textId="77777777" w:rsidR="00F52059" w:rsidRPr="0031469B" w:rsidRDefault="00F52059" w:rsidP="0023636A">
      <w:pPr>
        <w:rPr>
          <w:rFonts w:cs="Times New Roman"/>
          <w:szCs w:val="24"/>
        </w:rPr>
      </w:pPr>
    </w:p>
    <w:sectPr w:rsidR="00F52059" w:rsidRPr="0031469B">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339DE" w14:textId="77777777" w:rsidR="00D63E47" w:rsidRDefault="00D63E47">
      <w:pPr>
        <w:spacing w:after="0" w:line="240" w:lineRule="auto"/>
      </w:pPr>
      <w:r>
        <w:separator/>
      </w:r>
    </w:p>
  </w:endnote>
  <w:endnote w:type="continuationSeparator" w:id="0">
    <w:p w14:paraId="6675AA32" w14:textId="77777777" w:rsidR="00D63E47" w:rsidRDefault="00D6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ptos Display">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32BD" w14:textId="77777777" w:rsidR="00E57874" w:rsidRDefault="00E57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319229"/>
      <w:docPartObj>
        <w:docPartGallery w:val="Page Numbers (Bottom of Page)"/>
        <w:docPartUnique/>
      </w:docPartObj>
    </w:sdtPr>
    <w:sdtEndPr>
      <w:rPr>
        <w:noProof/>
      </w:rPr>
    </w:sdtEndPr>
    <w:sdtContent>
      <w:p w14:paraId="6270B238" w14:textId="128C24B7" w:rsidR="009F4B2F" w:rsidRDefault="009F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38AF4" w14:textId="77777777" w:rsidR="009F4B2F" w:rsidRDefault="009F4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A06BB" w14:textId="77777777" w:rsidR="00E57874" w:rsidRDefault="00E57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718765"/>
      <w:docPartObj>
        <w:docPartGallery w:val="Page Numbers (Bottom of Page)"/>
        <w:docPartUnique/>
      </w:docPartObj>
    </w:sdtPr>
    <w:sdtEndPr>
      <w:rPr>
        <w:noProof/>
      </w:rPr>
    </w:sdtEndPr>
    <w:sdtContent>
      <w:p w14:paraId="6EC82762" w14:textId="3B611D88" w:rsidR="009F4B2F" w:rsidRDefault="009F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5FC23" w14:textId="4FE6C06B" w:rsidR="00D051AA" w:rsidRPr="00062331" w:rsidRDefault="00D051AA" w:rsidP="00817B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C484" w14:textId="77777777" w:rsidR="00D63E47" w:rsidRDefault="00D63E47">
      <w:pPr>
        <w:spacing w:after="0" w:line="240" w:lineRule="auto"/>
      </w:pPr>
      <w:r>
        <w:separator/>
      </w:r>
    </w:p>
  </w:footnote>
  <w:footnote w:type="continuationSeparator" w:id="0">
    <w:p w14:paraId="048D14AB" w14:textId="77777777" w:rsidR="00D63E47" w:rsidRDefault="00D6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487E" w14:textId="606FC8A5" w:rsidR="00E57874" w:rsidRDefault="00000000">
    <w:pPr>
      <w:pStyle w:val="Header"/>
    </w:pPr>
    <w:r>
      <w:rPr>
        <w:noProof/>
      </w:rPr>
      <w:pict w14:anchorId="6D293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49A" w14:textId="12DC1F48" w:rsidR="00E57874" w:rsidRDefault="00000000">
    <w:pPr>
      <w:pStyle w:val="Header"/>
    </w:pPr>
    <w:r>
      <w:rPr>
        <w:noProof/>
      </w:rPr>
      <w:pict w14:anchorId="0784F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149E" w14:textId="41AC5606" w:rsidR="00E57874" w:rsidRDefault="00000000">
    <w:pPr>
      <w:pStyle w:val="Header"/>
    </w:pPr>
    <w:r>
      <w:rPr>
        <w:noProof/>
      </w:rPr>
      <w:pict w14:anchorId="1AC2E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C4CB" w14:textId="704C79EC" w:rsidR="00E57874" w:rsidRDefault="00000000">
    <w:pPr>
      <w:pStyle w:val="Header"/>
    </w:pPr>
    <w:r>
      <w:rPr>
        <w:noProof/>
      </w:rPr>
      <w:pict w14:anchorId="1641A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9"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B959" w14:textId="4842AFD1" w:rsidR="00E57874" w:rsidRDefault="00000000">
    <w:pPr>
      <w:pStyle w:val="Header"/>
    </w:pPr>
    <w:r>
      <w:rPr>
        <w:noProof/>
      </w:rPr>
      <w:pict w14:anchorId="2BB48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20"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101A" w14:textId="1AE89E16" w:rsidR="00E57874" w:rsidRDefault="00000000">
    <w:pPr>
      <w:pStyle w:val="Header"/>
    </w:pPr>
    <w:r>
      <w:rPr>
        <w:noProof/>
      </w:rPr>
      <w:pict w14:anchorId="325C5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179518"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D6449"/>
    <w:multiLevelType w:val="hybridMultilevel"/>
    <w:tmpl w:val="1452CB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7F04E2"/>
    <w:multiLevelType w:val="hybridMultilevel"/>
    <w:tmpl w:val="EC540CDA"/>
    <w:lvl w:ilvl="0" w:tplc="F28ED76A">
      <w:start w:val="1"/>
      <w:numFmt w:val="lowerRoman"/>
      <w:lvlText w:val="%1."/>
      <w:lvlJc w:val="center"/>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164774A"/>
    <w:multiLevelType w:val="hybridMultilevel"/>
    <w:tmpl w:val="235A8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327A8"/>
    <w:multiLevelType w:val="hybridMultilevel"/>
    <w:tmpl w:val="1FAA2EC2"/>
    <w:lvl w:ilvl="0" w:tplc="0409000F">
      <w:start w:val="1"/>
      <w:numFmt w:val="decimal"/>
      <w:lvlText w:val="%1."/>
      <w:lvlJc w:val="left"/>
      <w:pPr>
        <w:ind w:left="720" w:hanging="360"/>
      </w:pPr>
    </w:lvl>
    <w:lvl w:ilvl="1" w:tplc="17D6B3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F7720"/>
    <w:multiLevelType w:val="hybridMultilevel"/>
    <w:tmpl w:val="6EB695FE"/>
    <w:lvl w:ilvl="0" w:tplc="98D0CCEA">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C67F39"/>
    <w:multiLevelType w:val="hybridMultilevel"/>
    <w:tmpl w:val="0BBA30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609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145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310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19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563566">
    <w:abstractNumId w:val="0"/>
  </w:num>
  <w:num w:numId="6" w16cid:durableId="1246375403">
    <w:abstractNumId w:val="3"/>
  </w:num>
  <w:num w:numId="7" w16cid:durableId="96608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7"/>
    <w:rsid w:val="000031BC"/>
    <w:rsid w:val="0001449A"/>
    <w:rsid w:val="00015341"/>
    <w:rsid w:val="00056474"/>
    <w:rsid w:val="0006171F"/>
    <w:rsid w:val="00067775"/>
    <w:rsid w:val="00071FE5"/>
    <w:rsid w:val="00074F06"/>
    <w:rsid w:val="000834BE"/>
    <w:rsid w:val="0008448F"/>
    <w:rsid w:val="00084EFC"/>
    <w:rsid w:val="00094A44"/>
    <w:rsid w:val="00097595"/>
    <w:rsid w:val="000A792A"/>
    <w:rsid w:val="000B39DB"/>
    <w:rsid w:val="000B7528"/>
    <w:rsid w:val="000C39BC"/>
    <w:rsid w:val="000C4A41"/>
    <w:rsid w:val="000C6B41"/>
    <w:rsid w:val="000D29B0"/>
    <w:rsid w:val="000D36A3"/>
    <w:rsid w:val="000D53CF"/>
    <w:rsid w:val="000D6E15"/>
    <w:rsid w:val="000E0DA1"/>
    <w:rsid w:val="000E2CB8"/>
    <w:rsid w:val="000F03F7"/>
    <w:rsid w:val="000F3338"/>
    <w:rsid w:val="001072DC"/>
    <w:rsid w:val="00110823"/>
    <w:rsid w:val="00114C75"/>
    <w:rsid w:val="00145096"/>
    <w:rsid w:val="00160AD9"/>
    <w:rsid w:val="00162BF2"/>
    <w:rsid w:val="00175BA3"/>
    <w:rsid w:val="001D4D02"/>
    <w:rsid w:val="0020383C"/>
    <w:rsid w:val="00205013"/>
    <w:rsid w:val="00206F89"/>
    <w:rsid w:val="00207846"/>
    <w:rsid w:val="00227444"/>
    <w:rsid w:val="00230B1B"/>
    <w:rsid w:val="0023470A"/>
    <w:rsid w:val="0023636A"/>
    <w:rsid w:val="00244DE3"/>
    <w:rsid w:val="002516F2"/>
    <w:rsid w:val="00257F77"/>
    <w:rsid w:val="00266F37"/>
    <w:rsid w:val="0026780C"/>
    <w:rsid w:val="002817A2"/>
    <w:rsid w:val="00282EF6"/>
    <w:rsid w:val="002930A1"/>
    <w:rsid w:val="002945FD"/>
    <w:rsid w:val="00296E33"/>
    <w:rsid w:val="002A7AE5"/>
    <w:rsid w:val="002C0DC9"/>
    <w:rsid w:val="002D7149"/>
    <w:rsid w:val="002E194C"/>
    <w:rsid w:val="002F3BDD"/>
    <w:rsid w:val="002F524F"/>
    <w:rsid w:val="003050C3"/>
    <w:rsid w:val="003061DD"/>
    <w:rsid w:val="0031469B"/>
    <w:rsid w:val="00320D53"/>
    <w:rsid w:val="003236EF"/>
    <w:rsid w:val="00325030"/>
    <w:rsid w:val="003266D5"/>
    <w:rsid w:val="0033076E"/>
    <w:rsid w:val="00330EC8"/>
    <w:rsid w:val="0033527B"/>
    <w:rsid w:val="00336CDC"/>
    <w:rsid w:val="003401D3"/>
    <w:rsid w:val="00341038"/>
    <w:rsid w:val="00364BA8"/>
    <w:rsid w:val="00381F55"/>
    <w:rsid w:val="003B102E"/>
    <w:rsid w:val="003B3B01"/>
    <w:rsid w:val="003B450B"/>
    <w:rsid w:val="003B6735"/>
    <w:rsid w:val="003C1633"/>
    <w:rsid w:val="003C6DC7"/>
    <w:rsid w:val="003F2DE8"/>
    <w:rsid w:val="003F5A0B"/>
    <w:rsid w:val="00401BDA"/>
    <w:rsid w:val="004132BF"/>
    <w:rsid w:val="00413C88"/>
    <w:rsid w:val="00416ACD"/>
    <w:rsid w:val="00426BDD"/>
    <w:rsid w:val="00432FDB"/>
    <w:rsid w:val="0044530F"/>
    <w:rsid w:val="004455CB"/>
    <w:rsid w:val="0045078E"/>
    <w:rsid w:val="00460F8D"/>
    <w:rsid w:val="00463203"/>
    <w:rsid w:val="00470C31"/>
    <w:rsid w:val="00483F38"/>
    <w:rsid w:val="004847EF"/>
    <w:rsid w:val="004967ED"/>
    <w:rsid w:val="004B4892"/>
    <w:rsid w:val="004C0F9B"/>
    <w:rsid w:val="004E64A0"/>
    <w:rsid w:val="004E7A44"/>
    <w:rsid w:val="004F0F79"/>
    <w:rsid w:val="005017AF"/>
    <w:rsid w:val="00502160"/>
    <w:rsid w:val="005038A3"/>
    <w:rsid w:val="00512D34"/>
    <w:rsid w:val="00517E33"/>
    <w:rsid w:val="005242A5"/>
    <w:rsid w:val="005428A1"/>
    <w:rsid w:val="0054352F"/>
    <w:rsid w:val="00547350"/>
    <w:rsid w:val="00547C85"/>
    <w:rsid w:val="00562843"/>
    <w:rsid w:val="00563EA7"/>
    <w:rsid w:val="005650FD"/>
    <w:rsid w:val="00583BD1"/>
    <w:rsid w:val="0058658F"/>
    <w:rsid w:val="00597AF0"/>
    <w:rsid w:val="005A05CA"/>
    <w:rsid w:val="005A5100"/>
    <w:rsid w:val="00606752"/>
    <w:rsid w:val="00620142"/>
    <w:rsid w:val="00631E4C"/>
    <w:rsid w:val="00646680"/>
    <w:rsid w:val="00675A4E"/>
    <w:rsid w:val="006826D3"/>
    <w:rsid w:val="006854F8"/>
    <w:rsid w:val="00686AB7"/>
    <w:rsid w:val="006A0A4D"/>
    <w:rsid w:val="006A7C34"/>
    <w:rsid w:val="006B1BAA"/>
    <w:rsid w:val="006E4FD1"/>
    <w:rsid w:val="006F2BE7"/>
    <w:rsid w:val="006F56CD"/>
    <w:rsid w:val="00703E50"/>
    <w:rsid w:val="007114CA"/>
    <w:rsid w:val="007124DA"/>
    <w:rsid w:val="00733C25"/>
    <w:rsid w:val="00733FA7"/>
    <w:rsid w:val="00743783"/>
    <w:rsid w:val="007466BF"/>
    <w:rsid w:val="00757EEF"/>
    <w:rsid w:val="00764A50"/>
    <w:rsid w:val="0077768E"/>
    <w:rsid w:val="007969C2"/>
    <w:rsid w:val="007A6420"/>
    <w:rsid w:val="007A6C18"/>
    <w:rsid w:val="007E24F6"/>
    <w:rsid w:val="007F3F0F"/>
    <w:rsid w:val="008046A3"/>
    <w:rsid w:val="00813370"/>
    <w:rsid w:val="008146FD"/>
    <w:rsid w:val="00817BEB"/>
    <w:rsid w:val="0083282F"/>
    <w:rsid w:val="00847CB2"/>
    <w:rsid w:val="00856DA0"/>
    <w:rsid w:val="00866E83"/>
    <w:rsid w:val="0089449A"/>
    <w:rsid w:val="008A0B53"/>
    <w:rsid w:val="008A22EB"/>
    <w:rsid w:val="008B3AAE"/>
    <w:rsid w:val="008C2FF2"/>
    <w:rsid w:val="008C3DB4"/>
    <w:rsid w:val="008D2798"/>
    <w:rsid w:val="008D5D78"/>
    <w:rsid w:val="008D6BD1"/>
    <w:rsid w:val="00911D59"/>
    <w:rsid w:val="0091455A"/>
    <w:rsid w:val="0092027A"/>
    <w:rsid w:val="00931689"/>
    <w:rsid w:val="00931E70"/>
    <w:rsid w:val="00932C59"/>
    <w:rsid w:val="009576E1"/>
    <w:rsid w:val="009631DA"/>
    <w:rsid w:val="009654F0"/>
    <w:rsid w:val="009710AE"/>
    <w:rsid w:val="00974A46"/>
    <w:rsid w:val="00976C8B"/>
    <w:rsid w:val="009843CF"/>
    <w:rsid w:val="00985F0D"/>
    <w:rsid w:val="009E0A45"/>
    <w:rsid w:val="009E3DC8"/>
    <w:rsid w:val="009F02A5"/>
    <w:rsid w:val="009F4B2F"/>
    <w:rsid w:val="00A0213A"/>
    <w:rsid w:val="00A11A8E"/>
    <w:rsid w:val="00A3448F"/>
    <w:rsid w:val="00A50160"/>
    <w:rsid w:val="00A50716"/>
    <w:rsid w:val="00A6746D"/>
    <w:rsid w:val="00A74D31"/>
    <w:rsid w:val="00A754CE"/>
    <w:rsid w:val="00A85574"/>
    <w:rsid w:val="00A91339"/>
    <w:rsid w:val="00A92937"/>
    <w:rsid w:val="00A95817"/>
    <w:rsid w:val="00A97334"/>
    <w:rsid w:val="00AA59E8"/>
    <w:rsid w:val="00AC7CC6"/>
    <w:rsid w:val="00AD08B7"/>
    <w:rsid w:val="00AD607C"/>
    <w:rsid w:val="00AD67E2"/>
    <w:rsid w:val="00AE36DB"/>
    <w:rsid w:val="00AF052C"/>
    <w:rsid w:val="00AF6590"/>
    <w:rsid w:val="00AF6960"/>
    <w:rsid w:val="00B331F8"/>
    <w:rsid w:val="00B529C3"/>
    <w:rsid w:val="00B578EA"/>
    <w:rsid w:val="00B57AC8"/>
    <w:rsid w:val="00B7624E"/>
    <w:rsid w:val="00B82550"/>
    <w:rsid w:val="00B862FA"/>
    <w:rsid w:val="00BA77B4"/>
    <w:rsid w:val="00BB374F"/>
    <w:rsid w:val="00BD1006"/>
    <w:rsid w:val="00BD250B"/>
    <w:rsid w:val="00BD6082"/>
    <w:rsid w:val="00BF4A0A"/>
    <w:rsid w:val="00BF7004"/>
    <w:rsid w:val="00C016CE"/>
    <w:rsid w:val="00C032F7"/>
    <w:rsid w:val="00C174F8"/>
    <w:rsid w:val="00C37FD5"/>
    <w:rsid w:val="00C42A89"/>
    <w:rsid w:val="00C55059"/>
    <w:rsid w:val="00C80606"/>
    <w:rsid w:val="00C80791"/>
    <w:rsid w:val="00C811A5"/>
    <w:rsid w:val="00CA27B1"/>
    <w:rsid w:val="00CB2277"/>
    <w:rsid w:val="00CC46C0"/>
    <w:rsid w:val="00CD2B50"/>
    <w:rsid w:val="00CD32D1"/>
    <w:rsid w:val="00CE2F99"/>
    <w:rsid w:val="00CF00D5"/>
    <w:rsid w:val="00D02596"/>
    <w:rsid w:val="00D051AA"/>
    <w:rsid w:val="00D15D35"/>
    <w:rsid w:val="00D20BFA"/>
    <w:rsid w:val="00D24010"/>
    <w:rsid w:val="00D44280"/>
    <w:rsid w:val="00D507EE"/>
    <w:rsid w:val="00D56E6B"/>
    <w:rsid w:val="00D63CC4"/>
    <w:rsid w:val="00D63E47"/>
    <w:rsid w:val="00D71C3F"/>
    <w:rsid w:val="00D72452"/>
    <w:rsid w:val="00D8018A"/>
    <w:rsid w:val="00D96A75"/>
    <w:rsid w:val="00DA07FC"/>
    <w:rsid w:val="00DB5A8B"/>
    <w:rsid w:val="00DB7460"/>
    <w:rsid w:val="00DC21D1"/>
    <w:rsid w:val="00DD165D"/>
    <w:rsid w:val="00DD21BC"/>
    <w:rsid w:val="00DD38ED"/>
    <w:rsid w:val="00DF1DFE"/>
    <w:rsid w:val="00DF46B4"/>
    <w:rsid w:val="00E07C65"/>
    <w:rsid w:val="00E119EA"/>
    <w:rsid w:val="00E16D62"/>
    <w:rsid w:val="00E33601"/>
    <w:rsid w:val="00E444D4"/>
    <w:rsid w:val="00E46CA9"/>
    <w:rsid w:val="00E5211A"/>
    <w:rsid w:val="00E57874"/>
    <w:rsid w:val="00E75786"/>
    <w:rsid w:val="00E907C3"/>
    <w:rsid w:val="00EA0EB6"/>
    <w:rsid w:val="00EA26D9"/>
    <w:rsid w:val="00EA731B"/>
    <w:rsid w:val="00EC02C7"/>
    <w:rsid w:val="00F1279E"/>
    <w:rsid w:val="00F150FD"/>
    <w:rsid w:val="00F201CC"/>
    <w:rsid w:val="00F21406"/>
    <w:rsid w:val="00F25C68"/>
    <w:rsid w:val="00F510FE"/>
    <w:rsid w:val="00F52059"/>
    <w:rsid w:val="00F55A05"/>
    <w:rsid w:val="00F65EC5"/>
    <w:rsid w:val="00F76AC7"/>
    <w:rsid w:val="00FB1093"/>
    <w:rsid w:val="00FB46CC"/>
    <w:rsid w:val="00FD0B30"/>
    <w:rsid w:val="00FD5575"/>
    <w:rsid w:val="00FE0372"/>
    <w:rsid w:val="00FE4B0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4B3E3"/>
  <w15:chartTrackingRefBased/>
  <w15:docId w15:val="{04F84956-C986-4401-964A-C86B3F9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Nirmala U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29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9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9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9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9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9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9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9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9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937"/>
    <w:pPr>
      <w:spacing w:before="160"/>
      <w:jc w:val="center"/>
    </w:pPr>
    <w:rPr>
      <w:i/>
      <w:iCs/>
      <w:color w:val="404040" w:themeColor="text1" w:themeTint="BF"/>
    </w:rPr>
  </w:style>
  <w:style w:type="character" w:customStyle="1" w:styleId="QuoteChar">
    <w:name w:val="Quote Char"/>
    <w:basedOn w:val="DefaultParagraphFont"/>
    <w:link w:val="Quote"/>
    <w:uiPriority w:val="29"/>
    <w:rsid w:val="00A92937"/>
    <w:rPr>
      <w:i/>
      <w:iCs/>
      <w:color w:val="404040" w:themeColor="text1" w:themeTint="BF"/>
    </w:rPr>
  </w:style>
  <w:style w:type="paragraph" w:styleId="ListParagraph">
    <w:name w:val="List Paragraph"/>
    <w:basedOn w:val="Normal"/>
    <w:uiPriority w:val="34"/>
    <w:qFormat/>
    <w:rsid w:val="00A92937"/>
    <w:pPr>
      <w:ind w:left="720"/>
      <w:contextualSpacing/>
    </w:pPr>
  </w:style>
  <w:style w:type="character" w:styleId="IntenseEmphasis">
    <w:name w:val="Intense Emphasis"/>
    <w:basedOn w:val="DefaultParagraphFont"/>
    <w:uiPriority w:val="21"/>
    <w:qFormat/>
    <w:rsid w:val="00A92937"/>
    <w:rPr>
      <w:i/>
      <w:iCs/>
      <w:color w:val="0F4761" w:themeColor="accent1" w:themeShade="BF"/>
    </w:rPr>
  </w:style>
  <w:style w:type="paragraph" w:styleId="IntenseQuote">
    <w:name w:val="Intense Quote"/>
    <w:basedOn w:val="Normal"/>
    <w:next w:val="Normal"/>
    <w:link w:val="IntenseQuoteChar"/>
    <w:uiPriority w:val="30"/>
    <w:qFormat/>
    <w:rsid w:val="00A9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37"/>
    <w:rPr>
      <w:i/>
      <w:iCs/>
      <w:color w:val="0F4761" w:themeColor="accent1" w:themeShade="BF"/>
    </w:rPr>
  </w:style>
  <w:style w:type="character" w:styleId="IntenseReference">
    <w:name w:val="Intense Reference"/>
    <w:basedOn w:val="DefaultParagraphFont"/>
    <w:uiPriority w:val="32"/>
    <w:qFormat/>
    <w:rsid w:val="00A92937"/>
    <w:rPr>
      <w:b/>
      <w:bCs/>
      <w:smallCaps/>
      <w:color w:val="0F4761" w:themeColor="accent1" w:themeShade="BF"/>
      <w:spacing w:val="5"/>
    </w:rPr>
  </w:style>
  <w:style w:type="paragraph" w:customStyle="1" w:styleId="Default">
    <w:name w:val="Default"/>
    <w:rsid w:val="00E907C3"/>
    <w:pPr>
      <w:autoSpaceDE w:val="0"/>
      <w:autoSpaceDN w:val="0"/>
      <w:adjustRightInd w:val="0"/>
      <w:spacing w:after="0" w:line="240" w:lineRule="auto"/>
    </w:pPr>
    <w:rPr>
      <w:rFonts w:cs="Times New Roman"/>
      <w:color w:val="000000"/>
      <w:kern w:val="0"/>
      <w:szCs w:val="24"/>
      <w14:ligatures w14:val="none"/>
    </w:rPr>
  </w:style>
  <w:style w:type="table" w:styleId="TableGrid">
    <w:name w:val="Table Grid"/>
    <w:basedOn w:val="TableNormal"/>
    <w:uiPriority w:val="59"/>
    <w:rsid w:val="00E907C3"/>
    <w:pPr>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51AA"/>
    <w:pPr>
      <w:tabs>
        <w:tab w:val="center" w:pos="4680"/>
        <w:tab w:val="right" w:pos="9360"/>
      </w:tabs>
      <w:spacing w:after="0" w:line="240" w:lineRule="auto"/>
    </w:pPr>
    <w:rPr>
      <w:rFonts w:ascii="Calibri" w:hAnsi="Calibri" w:cstheme="minorBidi"/>
      <w:kern w:val="0"/>
      <w:sz w:val="22"/>
      <w:szCs w:val="28"/>
      <w:lang w:bidi="bn-IN"/>
      <w14:ligatures w14:val="none"/>
    </w:rPr>
  </w:style>
  <w:style w:type="character" w:customStyle="1" w:styleId="FooterChar">
    <w:name w:val="Footer Char"/>
    <w:basedOn w:val="DefaultParagraphFont"/>
    <w:link w:val="Footer"/>
    <w:uiPriority w:val="99"/>
    <w:rsid w:val="00D051AA"/>
    <w:rPr>
      <w:rFonts w:ascii="Calibri" w:hAnsi="Calibri" w:cstheme="minorBidi"/>
      <w:kern w:val="0"/>
      <w:sz w:val="22"/>
      <w:szCs w:val="28"/>
      <w:lang w:bidi="bn-IN"/>
      <w14:ligatures w14:val="none"/>
    </w:rPr>
  </w:style>
  <w:style w:type="paragraph" w:customStyle="1" w:styleId="DecimalAligned">
    <w:name w:val="Decimal Aligned"/>
    <w:basedOn w:val="Normal"/>
    <w:uiPriority w:val="40"/>
    <w:qFormat/>
    <w:rsid w:val="00D051AA"/>
    <w:pPr>
      <w:tabs>
        <w:tab w:val="decimal" w:pos="360"/>
      </w:tabs>
      <w:spacing w:after="200" w:line="276" w:lineRule="auto"/>
    </w:pPr>
    <w:rPr>
      <w:rFonts w:asciiTheme="minorHAnsi" w:eastAsiaTheme="minorEastAsia" w:hAnsiTheme="minorHAnsi" w:cs="Times New Roman"/>
      <w:kern w:val="0"/>
      <w:sz w:val="22"/>
      <w14:ligatures w14:val="none"/>
    </w:rPr>
  </w:style>
  <w:style w:type="paragraph" w:styleId="FootnoteText">
    <w:name w:val="footnote text"/>
    <w:basedOn w:val="Normal"/>
    <w:link w:val="FootnoteTextChar"/>
    <w:uiPriority w:val="99"/>
    <w:unhideWhenUsed/>
    <w:rsid w:val="00D051AA"/>
    <w:pPr>
      <w:spacing w:after="0" w:line="240" w:lineRule="auto"/>
    </w:pPr>
    <w:rPr>
      <w:rFonts w:asciiTheme="minorHAnsi" w:eastAsiaTheme="minorEastAsia" w:hAnsiTheme="minorHAnsi" w:cs="Times New Roman"/>
      <w:kern w:val="0"/>
      <w:sz w:val="20"/>
      <w:szCs w:val="20"/>
      <w14:ligatures w14:val="none"/>
    </w:rPr>
  </w:style>
  <w:style w:type="character" w:customStyle="1" w:styleId="FootnoteTextChar">
    <w:name w:val="Footnote Text Char"/>
    <w:basedOn w:val="DefaultParagraphFont"/>
    <w:link w:val="FootnoteText"/>
    <w:uiPriority w:val="99"/>
    <w:rsid w:val="00D051AA"/>
    <w:rPr>
      <w:rFonts w:asciiTheme="minorHAnsi" w:eastAsiaTheme="minorEastAsia" w:hAnsiTheme="minorHAnsi" w:cs="Times New Roman"/>
      <w:kern w:val="0"/>
      <w:sz w:val="20"/>
      <w:szCs w:val="20"/>
      <w14:ligatures w14:val="none"/>
    </w:rPr>
  </w:style>
  <w:style w:type="table" w:styleId="LightShading-Accent1">
    <w:name w:val="Light Shading Accent 1"/>
    <w:basedOn w:val="TableNormal"/>
    <w:uiPriority w:val="60"/>
    <w:rsid w:val="00D051AA"/>
    <w:pPr>
      <w:spacing w:after="0" w:line="240" w:lineRule="auto"/>
    </w:pPr>
    <w:rPr>
      <w:rFonts w:asciiTheme="minorHAnsi" w:eastAsiaTheme="minorEastAsia" w:hAnsiTheme="minorHAnsi" w:cstheme="minorBidi"/>
      <w:color w:val="0F4761" w:themeColor="accent1" w:themeShade="BF"/>
      <w:kern w:val="0"/>
      <w:sz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Revision">
    <w:name w:val="Revision"/>
    <w:hidden/>
    <w:uiPriority w:val="99"/>
    <w:semiHidden/>
    <w:rsid w:val="002D7149"/>
    <w:pPr>
      <w:spacing w:after="0" w:line="240" w:lineRule="auto"/>
    </w:pPr>
  </w:style>
  <w:style w:type="character" w:styleId="Hyperlink">
    <w:name w:val="Hyperlink"/>
    <w:basedOn w:val="DefaultParagraphFont"/>
    <w:uiPriority w:val="99"/>
    <w:unhideWhenUsed/>
    <w:rsid w:val="000B39DB"/>
    <w:rPr>
      <w:color w:val="467886" w:themeColor="hyperlink"/>
      <w:u w:val="single"/>
    </w:rPr>
  </w:style>
  <w:style w:type="character" w:styleId="UnresolvedMention">
    <w:name w:val="Unresolved Mention"/>
    <w:basedOn w:val="DefaultParagraphFont"/>
    <w:uiPriority w:val="99"/>
    <w:semiHidden/>
    <w:unhideWhenUsed/>
    <w:rsid w:val="000B39DB"/>
    <w:rPr>
      <w:color w:val="605E5C"/>
      <w:shd w:val="clear" w:color="auto" w:fill="E1DFDD"/>
    </w:rPr>
  </w:style>
  <w:style w:type="paragraph" w:styleId="Header">
    <w:name w:val="header"/>
    <w:basedOn w:val="Normal"/>
    <w:link w:val="HeaderChar"/>
    <w:uiPriority w:val="99"/>
    <w:unhideWhenUsed/>
    <w:rsid w:val="009F4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292">
      <w:bodyDiv w:val="1"/>
      <w:marLeft w:val="0"/>
      <w:marRight w:val="0"/>
      <w:marTop w:val="0"/>
      <w:marBottom w:val="0"/>
      <w:divBdr>
        <w:top w:val="none" w:sz="0" w:space="0" w:color="auto"/>
        <w:left w:val="none" w:sz="0" w:space="0" w:color="auto"/>
        <w:bottom w:val="none" w:sz="0" w:space="0" w:color="auto"/>
        <w:right w:val="none" w:sz="0" w:space="0" w:color="auto"/>
      </w:divBdr>
    </w:div>
    <w:div w:id="35742552">
      <w:bodyDiv w:val="1"/>
      <w:marLeft w:val="0"/>
      <w:marRight w:val="0"/>
      <w:marTop w:val="0"/>
      <w:marBottom w:val="0"/>
      <w:divBdr>
        <w:top w:val="none" w:sz="0" w:space="0" w:color="auto"/>
        <w:left w:val="none" w:sz="0" w:space="0" w:color="auto"/>
        <w:bottom w:val="none" w:sz="0" w:space="0" w:color="auto"/>
        <w:right w:val="none" w:sz="0" w:space="0" w:color="auto"/>
      </w:divBdr>
    </w:div>
    <w:div w:id="39518340">
      <w:bodyDiv w:val="1"/>
      <w:marLeft w:val="0"/>
      <w:marRight w:val="0"/>
      <w:marTop w:val="0"/>
      <w:marBottom w:val="0"/>
      <w:divBdr>
        <w:top w:val="none" w:sz="0" w:space="0" w:color="auto"/>
        <w:left w:val="none" w:sz="0" w:space="0" w:color="auto"/>
        <w:bottom w:val="none" w:sz="0" w:space="0" w:color="auto"/>
        <w:right w:val="none" w:sz="0" w:space="0" w:color="auto"/>
      </w:divBdr>
    </w:div>
    <w:div w:id="40902916">
      <w:bodyDiv w:val="1"/>
      <w:marLeft w:val="0"/>
      <w:marRight w:val="0"/>
      <w:marTop w:val="0"/>
      <w:marBottom w:val="0"/>
      <w:divBdr>
        <w:top w:val="none" w:sz="0" w:space="0" w:color="auto"/>
        <w:left w:val="none" w:sz="0" w:space="0" w:color="auto"/>
        <w:bottom w:val="none" w:sz="0" w:space="0" w:color="auto"/>
        <w:right w:val="none" w:sz="0" w:space="0" w:color="auto"/>
      </w:divBdr>
    </w:div>
    <w:div w:id="42025120">
      <w:bodyDiv w:val="1"/>
      <w:marLeft w:val="0"/>
      <w:marRight w:val="0"/>
      <w:marTop w:val="0"/>
      <w:marBottom w:val="0"/>
      <w:divBdr>
        <w:top w:val="none" w:sz="0" w:space="0" w:color="auto"/>
        <w:left w:val="none" w:sz="0" w:space="0" w:color="auto"/>
        <w:bottom w:val="none" w:sz="0" w:space="0" w:color="auto"/>
        <w:right w:val="none" w:sz="0" w:space="0" w:color="auto"/>
      </w:divBdr>
    </w:div>
    <w:div w:id="43263163">
      <w:bodyDiv w:val="1"/>
      <w:marLeft w:val="0"/>
      <w:marRight w:val="0"/>
      <w:marTop w:val="0"/>
      <w:marBottom w:val="0"/>
      <w:divBdr>
        <w:top w:val="none" w:sz="0" w:space="0" w:color="auto"/>
        <w:left w:val="none" w:sz="0" w:space="0" w:color="auto"/>
        <w:bottom w:val="none" w:sz="0" w:space="0" w:color="auto"/>
        <w:right w:val="none" w:sz="0" w:space="0" w:color="auto"/>
      </w:divBdr>
    </w:div>
    <w:div w:id="59132791">
      <w:bodyDiv w:val="1"/>
      <w:marLeft w:val="0"/>
      <w:marRight w:val="0"/>
      <w:marTop w:val="0"/>
      <w:marBottom w:val="0"/>
      <w:divBdr>
        <w:top w:val="none" w:sz="0" w:space="0" w:color="auto"/>
        <w:left w:val="none" w:sz="0" w:space="0" w:color="auto"/>
        <w:bottom w:val="none" w:sz="0" w:space="0" w:color="auto"/>
        <w:right w:val="none" w:sz="0" w:space="0" w:color="auto"/>
      </w:divBdr>
    </w:div>
    <w:div w:id="69010290">
      <w:bodyDiv w:val="1"/>
      <w:marLeft w:val="0"/>
      <w:marRight w:val="0"/>
      <w:marTop w:val="0"/>
      <w:marBottom w:val="0"/>
      <w:divBdr>
        <w:top w:val="none" w:sz="0" w:space="0" w:color="auto"/>
        <w:left w:val="none" w:sz="0" w:space="0" w:color="auto"/>
        <w:bottom w:val="none" w:sz="0" w:space="0" w:color="auto"/>
        <w:right w:val="none" w:sz="0" w:space="0" w:color="auto"/>
      </w:divBdr>
    </w:div>
    <w:div w:id="73161534">
      <w:bodyDiv w:val="1"/>
      <w:marLeft w:val="0"/>
      <w:marRight w:val="0"/>
      <w:marTop w:val="0"/>
      <w:marBottom w:val="0"/>
      <w:divBdr>
        <w:top w:val="none" w:sz="0" w:space="0" w:color="auto"/>
        <w:left w:val="none" w:sz="0" w:space="0" w:color="auto"/>
        <w:bottom w:val="none" w:sz="0" w:space="0" w:color="auto"/>
        <w:right w:val="none" w:sz="0" w:space="0" w:color="auto"/>
      </w:divBdr>
    </w:div>
    <w:div w:id="92362484">
      <w:bodyDiv w:val="1"/>
      <w:marLeft w:val="0"/>
      <w:marRight w:val="0"/>
      <w:marTop w:val="0"/>
      <w:marBottom w:val="0"/>
      <w:divBdr>
        <w:top w:val="none" w:sz="0" w:space="0" w:color="auto"/>
        <w:left w:val="none" w:sz="0" w:space="0" w:color="auto"/>
        <w:bottom w:val="none" w:sz="0" w:space="0" w:color="auto"/>
        <w:right w:val="none" w:sz="0" w:space="0" w:color="auto"/>
      </w:divBdr>
    </w:div>
    <w:div w:id="113256363">
      <w:bodyDiv w:val="1"/>
      <w:marLeft w:val="0"/>
      <w:marRight w:val="0"/>
      <w:marTop w:val="0"/>
      <w:marBottom w:val="0"/>
      <w:divBdr>
        <w:top w:val="none" w:sz="0" w:space="0" w:color="auto"/>
        <w:left w:val="none" w:sz="0" w:space="0" w:color="auto"/>
        <w:bottom w:val="none" w:sz="0" w:space="0" w:color="auto"/>
        <w:right w:val="none" w:sz="0" w:space="0" w:color="auto"/>
      </w:divBdr>
    </w:div>
    <w:div w:id="131946593">
      <w:bodyDiv w:val="1"/>
      <w:marLeft w:val="0"/>
      <w:marRight w:val="0"/>
      <w:marTop w:val="0"/>
      <w:marBottom w:val="0"/>
      <w:divBdr>
        <w:top w:val="none" w:sz="0" w:space="0" w:color="auto"/>
        <w:left w:val="none" w:sz="0" w:space="0" w:color="auto"/>
        <w:bottom w:val="none" w:sz="0" w:space="0" w:color="auto"/>
        <w:right w:val="none" w:sz="0" w:space="0" w:color="auto"/>
      </w:divBdr>
    </w:div>
    <w:div w:id="134764428">
      <w:bodyDiv w:val="1"/>
      <w:marLeft w:val="0"/>
      <w:marRight w:val="0"/>
      <w:marTop w:val="0"/>
      <w:marBottom w:val="0"/>
      <w:divBdr>
        <w:top w:val="none" w:sz="0" w:space="0" w:color="auto"/>
        <w:left w:val="none" w:sz="0" w:space="0" w:color="auto"/>
        <w:bottom w:val="none" w:sz="0" w:space="0" w:color="auto"/>
        <w:right w:val="none" w:sz="0" w:space="0" w:color="auto"/>
      </w:divBdr>
    </w:div>
    <w:div w:id="138108555">
      <w:bodyDiv w:val="1"/>
      <w:marLeft w:val="0"/>
      <w:marRight w:val="0"/>
      <w:marTop w:val="0"/>
      <w:marBottom w:val="0"/>
      <w:divBdr>
        <w:top w:val="none" w:sz="0" w:space="0" w:color="auto"/>
        <w:left w:val="none" w:sz="0" w:space="0" w:color="auto"/>
        <w:bottom w:val="none" w:sz="0" w:space="0" w:color="auto"/>
        <w:right w:val="none" w:sz="0" w:space="0" w:color="auto"/>
      </w:divBdr>
    </w:div>
    <w:div w:id="147090755">
      <w:bodyDiv w:val="1"/>
      <w:marLeft w:val="0"/>
      <w:marRight w:val="0"/>
      <w:marTop w:val="0"/>
      <w:marBottom w:val="0"/>
      <w:divBdr>
        <w:top w:val="none" w:sz="0" w:space="0" w:color="auto"/>
        <w:left w:val="none" w:sz="0" w:space="0" w:color="auto"/>
        <w:bottom w:val="none" w:sz="0" w:space="0" w:color="auto"/>
        <w:right w:val="none" w:sz="0" w:space="0" w:color="auto"/>
      </w:divBdr>
    </w:div>
    <w:div w:id="148980817">
      <w:bodyDiv w:val="1"/>
      <w:marLeft w:val="0"/>
      <w:marRight w:val="0"/>
      <w:marTop w:val="0"/>
      <w:marBottom w:val="0"/>
      <w:divBdr>
        <w:top w:val="none" w:sz="0" w:space="0" w:color="auto"/>
        <w:left w:val="none" w:sz="0" w:space="0" w:color="auto"/>
        <w:bottom w:val="none" w:sz="0" w:space="0" w:color="auto"/>
        <w:right w:val="none" w:sz="0" w:space="0" w:color="auto"/>
      </w:divBdr>
    </w:div>
    <w:div w:id="169872716">
      <w:bodyDiv w:val="1"/>
      <w:marLeft w:val="0"/>
      <w:marRight w:val="0"/>
      <w:marTop w:val="0"/>
      <w:marBottom w:val="0"/>
      <w:divBdr>
        <w:top w:val="none" w:sz="0" w:space="0" w:color="auto"/>
        <w:left w:val="none" w:sz="0" w:space="0" w:color="auto"/>
        <w:bottom w:val="none" w:sz="0" w:space="0" w:color="auto"/>
        <w:right w:val="none" w:sz="0" w:space="0" w:color="auto"/>
      </w:divBdr>
    </w:div>
    <w:div w:id="181092783">
      <w:bodyDiv w:val="1"/>
      <w:marLeft w:val="0"/>
      <w:marRight w:val="0"/>
      <w:marTop w:val="0"/>
      <w:marBottom w:val="0"/>
      <w:divBdr>
        <w:top w:val="none" w:sz="0" w:space="0" w:color="auto"/>
        <w:left w:val="none" w:sz="0" w:space="0" w:color="auto"/>
        <w:bottom w:val="none" w:sz="0" w:space="0" w:color="auto"/>
        <w:right w:val="none" w:sz="0" w:space="0" w:color="auto"/>
      </w:divBdr>
    </w:div>
    <w:div w:id="193809503">
      <w:bodyDiv w:val="1"/>
      <w:marLeft w:val="0"/>
      <w:marRight w:val="0"/>
      <w:marTop w:val="0"/>
      <w:marBottom w:val="0"/>
      <w:divBdr>
        <w:top w:val="none" w:sz="0" w:space="0" w:color="auto"/>
        <w:left w:val="none" w:sz="0" w:space="0" w:color="auto"/>
        <w:bottom w:val="none" w:sz="0" w:space="0" w:color="auto"/>
        <w:right w:val="none" w:sz="0" w:space="0" w:color="auto"/>
      </w:divBdr>
    </w:div>
    <w:div w:id="200367386">
      <w:bodyDiv w:val="1"/>
      <w:marLeft w:val="0"/>
      <w:marRight w:val="0"/>
      <w:marTop w:val="0"/>
      <w:marBottom w:val="0"/>
      <w:divBdr>
        <w:top w:val="none" w:sz="0" w:space="0" w:color="auto"/>
        <w:left w:val="none" w:sz="0" w:space="0" w:color="auto"/>
        <w:bottom w:val="none" w:sz="0" w:space="0" w:color="auto"/>
        <w:right w:val="none" w:sz="0" w:space="0" w:color="auto"/>
      </w:divBdr>
    </w:div>
    <w:div w:id="210894887">
      <w:bodyDiv w:val="1"/>
      <w:marLeft w:val="0"/>
      <w:marRight w:val="0"/>
      <w:marTop w:val="0"/>
      <w:marBottom w:val="0"/>
      <w:divBdr>
        <w:top w:val="none" w:sz="0" w:space="0" w:color="auto"/>
        <w:left w:val="none" w:sz="0" w:space="0" w:color="auto"/>
        <w:bottom w:val="none" w:sz="0" w:space="0" w:color="auto"/>
        <w:right w:val="none" w:sz="0" w:space="0" w:color="auto"/>
      </w:divBdr>
    </w:div>
    <w:div w:id="237205633">
      <w:bodyDiv w:val="1"/>
      <w:marLeft w:val="0"/>
      <w:marRight w:val="0"/>
      <w:marTop w:val="0"/>
      <w:marBottom w:val="0"/>
      <w:divBdr>
        <w:top w:val="none" w:sz="0" w:space="0" w:color="auto"/>
        <w:left w:val="none" w:sz="0" w:space="0" w:color="auto"/>
        <w:bottom w:val="none" w:sz="0" w:space="0" w:color="auto"/>
        <w:right w:val="none" w:sz="0" w:space="0" w:color="auto"/>
      </w:divBdr>
    </w:div>
    <w:div w:id="240723811">
      <w:bodyDiv w:val="1"/>
      <w:marLeft w:val="0"/>
      <w:marRight w:val="0"/>
      <w:marTop w:val="0"/>
      <w:marBottom w:val="0"/>
      <w:divBdr>
        <w:top w:val="none" w:sz="0" w:space="0" w:color="auto"/>
        <w:left w:val="none" w:sz="0" w:space="0" w:color="auto"/>
        <w:bottom w:val="none" w:sz="0" w:space="0" w:color="auto"/>
        <w:right w:val="none" w:sz="0" w:space="0" w:color="auto"/>
      </w:divBdr>
    </w:div>
    <w:div w:id="241374357">
      <w:bodyDiv w:val="1"/>
      <w:marLeft w:val="0"/>
      <w:marRight w:val="0"/>
      <w:marTop w:val="0"/>
      <w:marBottom w:val="0"/>
      <w:divBdr>
        <w:top w:val="none" w:sz="0" w:space="0" w:color="auto"/>
        <w:left w:val="none" w:sz="0" w:space="0" w:color="auto"/>
        <w:bottom w:val="none" w:sz="0" w:space="0" w:color="auto"/>
        <w:right w:val="none" w:sz="0" w:space="0" w:color="auto"/>
      </w:divBdr>
    </w:div>
    <w:div w:id="251286174">
      <w:bodyDiv w:val="1"/>
      <w:marLeft w:val="0"/>
      <w:marRight w:val="0"/>
      <w:marTop w:val="0"/>
      <w:marBottom w:val="0"/>
      <w:divBdr>
        <w:top w:val="none" w:sz="0" w:space="0" w:color="auto"/>
        <w:left w:val="none" w:sz="0" w:space="0" w:color="auto"/>
        <w:bottom w:val="none" w:sz="0" w:space="0" w:color="auto"/>
        <w:right w:val="none" w:sz="0" w:space="0" w:color="auto"/>
      </w:divBdr>
    </w:div>
    <w:div w:id="252663397">
      <w:bodyDiv w:val="1"/>
      <w:marLeft w:val="0"/>
      <w:marRight w:val="0"/>
      <w:marTop w:val="0"/>
      <w:marBottom w:val="0"/>
      <w:divBdr>
        <w:top w:val="none" w:sz="0" w:space="0" w:color="auto"/>
        <w:left w:val="none" w:sz="0" w:space="0" w:color="auto"/>
        <w:bottom w:val="none" w:sz="0" w:space="0" w:color="auto"/>
        <w:right w:val="none" w:sz="0" w:space="0" w:color="auto"/>
      </w:divBdr>
    </w:div>
    <w:div w:id="262037210">
      <w:bodyDiv w:val="1"/>
      <w:marLeft w:val="0"/>
      <w:marRight w:val="0"/>
      <w:marTop w:val="0"/>
      <w:marBottom w:val="0"/>
      <w:divBdr>
        <w:top w:val="none" w:sz="0" w:space="0" w:color="auto"/>
        <w:left w:val="none" w:sz="0" w:space="0" w:color="auto"/>
        <w:bottom w:val="none" w:sz="0" w:space="0" w:color="auto"/>
        <w:right w:val="none" w:sz="0" w:space="0" w:color="auto"/>
      </w:divBdr>
    </w:div>
    <w:div w:id="262810819">
      <w:bodyDiv w:val="1"/>
      <w:marLeft w:val="0"/>
      <w:marRight w:val="0"/>
      <w:marTop w:val="0"/>
      <w:marBottom w:val="0"/>
      <w:divBdr>
        <w:top w:val="none" w:sz="0" w:space="0" w:color="auto"/>
        <w:left w:val="none" w:sz="0" w:space="0" w:color="auto"/>
        <w:bottom w:val="none" w:sz="0" w:space="0" w:color="auto"/>
        <w:right w:val="none" w:sz="0" w:space="0" w:color="auto"/>
      </w:divBdr>
    </w:div>
    <w:div w:id="281882943">
      <w:bodyDiv w:val="1"/>
      <w:marLeft w:val="0"/>
      <w:marRight w:val="0"/>
      <w:marTop w:val="0"/>
      <w:marBottom w:val="0"/>
      <w:divBdr>
        <w:top w:val="none" w:sz="0" w:space="0" w:color="auto"/>
        <w:left w:val="none" w:sz="0" w:space="0" w:color="auto"/>
        <w:bottom w:val="none" w:sz="0" w:space="0" w:color="auto"/>
        <w:right w:val="none" w:sz="0" w:space="0" w:color="auto"/>
      </w:divBdr>
    </w:div>
    <w:div w:id="298189121">
      <w:bodyDiv w:val="1"/>
      <w:marLeft w:val="0"/>
      <w:marRight w:val="0"/>
      <w:marTop w:val="0"/>
      <w:marBottom w:val="0"/>
      <w:divBdr>
        <w:top w:val="none" w:sz="0" w:space="0" w:color="auto"/>
        <w:left w:val="none" w:sz="0" w:space="0" w:color="auto"/>
        <w:bottom w:val="none" w:sz="0" w:space="0" w:color="auto"/>
        <w:right w:val="none" w:sz="0" w:space="0" w:color="auto"/>
      </w:divBdr>
    </w:div>
    <w:div w:id="346057543">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377246063">
      <w:bodyDiv w:val="1"/>
      <w:marLeft w:val="0"/>
      <w:marRight w:val="0"/>
      <w:marTop w:val="0"/>
      <w:marBottom w:val="0"/>
      <w:divBdr>
        <w:top w:val="none" w:sz="0" w:space="0" w:color="auto"/>
        <w:left w:val="none" w:sz="0" w:space="0" w:color="auto"/>
        <w:bottom w:val="none" w:sz="0" w:space="0" w:color="auto"/>
        <w:right w:val="none" w:sz="0" w:space="0" w:color="auto"/>
      </w:divBdr>
    </w:div>
    <w:div w:id="379013662">
      <w:bodyDiv w:val="1"/>
      <w:marLeft w:val="0"/>
      <w:marRight w:val="0"/>
      <w:marTop w:val="0"/>
      <w:marBottom w:val="0"/>
      <w:divBdr>
        <w:top w:val="none" w:sz="0" w:space="0" w:color="auto"/>
        <w:left w:val="none" w:sz="0" w:space="0" w:color="auto"/>
        <w:bottom w:val="none" w:sz="0" w:space="0" w:color="auto"/>
        <w:right w:val="none" w:sz="0" w:space="0" w:color="auto"/>
      </w:divBdr>
    </w:div>
    <w:div w:id="386146166">
      <w:bodyDiv w:val="1"/>
      <w:marLeft w:val="0"/>
      <w:marRight w:val="0"/>
      <w:marTop w:val="0"/>
      <w:marBottom w:val="0"/>
      <w:divBdr>
        <w:top w:val="none" w:sz="0" w:space="0" w:color="auto"/>
        <w:left w:val="none" w:sz="0" w:space="0" w:color="auto"/>
        <w:bottom w:val="none" w:sz="0" w:space="0" w:color="auto"/>
        <w:right w:val="none" w:sz="0" w:space="0" w:color="auto"/>
      </w:divBdr>
    </w:div>
    <w:div w:id="397823417">
      <w:bodyDiv w:val="1"/>
      <w:marLeft w:val="0"/>
      <w:marRight w:val="0"/>
      <w:marTop w:val="0"/>
      <w:marBottom w:val="0"/>
      <w:divBdr>
        <w:top w:val="none" w:sz="0" w:space="0" w:color="auto"/>
        <w:left w:val="none" w:sz="0" w:space="0" w:color="auto"/>
        <w:bottom w:val="none" w:sz="0" w:space="0" w:color="auto"/>
        <w:right w:val="none" w:sz="0" w:space="0" w:color="auto"/>
      </w:divBdr>
    </w:div>
    <w:div w:id="406271982">
      <w:bodyDiv w:val="1"/>
      <w:marLeft w:val="0"/>
      <w:marRight w:val="0"/>
      <w:marTop w:val="0"/>
      <w:marBottom w:val="0"/>
      <w:divBdr>
        <w:top w:val="none" w:sz="0" w:space="0" w:color="auto"/>
        <w:left w:val="none" w:sz="0" w:space="0" w:color="auto"/>
        <w:bottom w:val="none" w:sz="0" w:space="0" w:color="auto"/>
        <w:right w:val="none" w:sz="0" w:space="0" w:color="auto"/>
      </w:divBdr>
    </w:div>
    <w:div w:id="460000621">
      <w:bodyDiv w:val="1"/>
      <w:marLeft w:val="0"/>
      <w:marRight w:val="0"/>
      <w:marTop w:val="0"/>
      <w:marBottom w:val="0"/>
      <w:divBdr>
        <w:top w:val="none" w:sz="0" w:space="0" w:color="auto"/>
        <w:left w:val="none" w:sz="0" w:space="0" w:color="auto"/>
        <w:bottom w:val="none" w:sz="0" w:space="0" w:color="auto"/>
        <w:right w:val="none" w:sz="0" w:space="0" w:color="auto"/>
      </w:divBdr>
    </w:div>
    <w:div w:id="463734595">
      <w:bodyDiv w:val="1"/>
      <w:marLeft w:val="0"/>
      <w:marRight w:val="0"/>
      <w:marTop w:val="0"/>
      <w:marBottom w:val="0"/>
      <w:divBdr>
        <w:top w:val="none" w:sz="0" w:space="0" w:color="auto"/>
        <w:left w:val="none" w:sz="0" w:space="0" w:color="auto"/>
        <w:bottom w:val="none" w:sz="0" w:space="0" w:color="auto"/>
        <w:right w:val="none" w:sz="0" w:space="0" w:color="auto"/>
      </w:divBdr>
    </w:div>
    <w:div w:id="486479717">
      <w:bodyDiv w:val="1"/>
      <w:marLeft w:val="0"/>
      <w:marRight w:val="0"/>
      <w:marTop w:val="0"/>
      <w:marBottom w:val="0"/>
      <w:divBdr>
        <w:top w:val="none" w:sz="0" w:space="0" w:color="auto"/>
        <w:left w:val="none" w:sz="0" w:space="0" w:color="auto"/>
        <w:bottom w:val="none" w:sz="0" w:space="0" w:color="auto"/>
        <w:right w:val="none" w:sz="0" w:space="0" w:color="auto"/>
      </w:divBdr>
    </w:div>
    <w:div w:id="488179816">
      <w:bodyDiv w:val="1"/>
      <w:marLeft w:val="0"/>
      <w:marRight w:val="0"/>
      <w:marTop w:val="0"/>
      <w:marBottom w:val="0"/>
      <w:divBdr>
        <w:top w:val="none" w:sz="0" w:space="0" w:color="auto"/>
        <w:left w:val="none" w:sz="0" w:space="0" w:color="auto"/>
        <w:bottom w:val="none" w:sz="0" w:space="0" w:color="auto"/>
        <w:right w:val="none" w:sz="0" w:space="0" w:color="auto"/>
      </w:divBdr>
    </w:div>
    <w:div w:id="498085819">
      <w:bodyDiv w:val="1"/>
      <w:marLeft w:val="0"/>
      <w:marRight w:val="0"/>
      <w:marTop w:val="0"/>
      <w:marBottom w:val="0"/>
      <w:divBdr>
        <w:top w:val="none" w:sz="0" w:space="0" w:color="auto"/>
        <w:left w:val="none" w:sz="0" w:space="0" w:color="auto"/>
        <w:bottom w:val="none" w:sz="0" w:space="0" w:color="auto"/>
        <w:right w:val="none" w:sz="0" w:space="0" w:color="auto"/>
      </w:divBdr>
    </w:div>
    <w:div w:id="499665293">
      <w:bodyDiv w:val="1"/>
      <w:marLeft w:val="0"/>
      <w:marRight w:val="0"/>
      <w:marTop w:val="0"/>
      <w:marBottom w:val="0"/>
      <w:divBdr>
        <w:top w:val="none" w:sz="0" w:space="0" w:color="auto"/>
        <w:left w:val="none" w:sz="0" w:space="0" w:color="auto"/>
        <w:bottom w:val="none" w:sz="0" w:space="0" w:color="auto"/>
        <w:right w:val="none" w:sz="0" w:space="0" w:color="auto"/>
      </w:divBdr>
    </w:div>
    <w:div w:id="502016031">
      <w:bodyDiv w:val="1"/>
      <w:marLeft w:val="0"/>
      <w:marRight w:val="0"/>
      <w:marTop w:val="0"/>
      <w:marBottom w:val="0"/>
      <w:divBdr>
        <w:top w:val="none" w:sz="0" w:space="0" w:color="auto"/>
        <w:left w:val="none" w:sz="0" w:space="0" w:color="auto"/>
        <w:bottom w:val="none" w:sz="0" w:space="0" w:color="auto"/>
        <w:right w:val="none" w:sz="0" w:space="0" w:color="auto"/>
      </w:divBdr>
    </w:div>
    <w:div w:id="506528398">
      <w:bodyDiv w:val="1"/>
      <w:marLeft w:val="0"/>
      <w:marRight w:val="0"/>
      <w:marTop w:val="0"/>
      <w:marBottom w:val="0"/>
      <w:divBdr>
        <w:top w:val="none" w:sz="0" w:space="0" w:color="auto"/>
        <w:left w:val="none" w:sz="0" w:space="0" w:color="auto"/>
        <w:bottom w:val="none" w:sz="0" w:space="0" w:color="auto"/>
        <w:right w:val="none" w:sz="0" w:space="0" w:color="auto"/>
      </w:divBdr>
    </w:div>
    <w:div w:id="522986433">
      <w:bodyDiv w:val="1"/>
      <w:marLeft w:val="0"/>
      <w:marRight w:val="0"/>
      <w:marTop w:val="0"/>
      <w:marBottom w:val="0"/>
      <w:divBdr>
        <w:top w:val="none" w:sz="0" w:space="0" w:color="auto"/>
        <w:left w:val="none" w:sz="0" w:space="0" w:color="auto"/>
        <w:bottom w:val="none" w:sz="0" w:space="0" w:color="auto"/>
        <w:right w:val="none" w:sz="0" w:space="0" w:color="auto"/>
      </w:divBdr>
    </w:div>
    <w:div w:id="532809894">
      <w:bodyDiv w:val="1"/>
      <w:marLeft w:val="0"/>
      <w:marRight w:val="0"/>
      <w:marTop w:val="0"/>
      <w:marBottom w:val="0"/>
      <w:divBdr>
        <w:top w:val="none" w:sz="0" w:space="0" w:color="auto"/>
        <w:left w:val="none" w:sz="0" w:space="0" w:color="auto"/>
        <w:bottom w:val="none" w:sz="0" w:space="0" w:color="auto"/>
        <w:right w:val="none" w:sz="0" w:space="0" w:color="auto"/>
      </w:divBdr>
    </w:div>
    <w:div w:id="534737827">
      <w:bodyDiv w:val="1"/>
      <w:marLeft w:val="0"/>
      <w:marRight w:val="0"/>
      <w:marTop w:val="0"/>
      <w:marBottom w:val="0"/>
      <w:divBdr>
        <w:top w:val="none" w:sz="0" w:space="0" w:color="auto"/>
        <w:left w:val="none" w:sz="0" w:space="0" w:color="auto"/>
        <w:bottom w:val="none" w:sz="0" w:space="0" w:color="auto"/>
        <w:right w:val="none" w:sz="0" w:space="0" w:color="auto"/>
      </w:divBdr>
    </w:div>
    <w:div w:id="557088640">
      <w:bodyDiv w:val="1"/>
      <w:marLeft w:val="0"/>
      <w:marRight w:val="0"/>
      <w:marTop w:val="0"/>
      <w:marBottom w:val="0"/>
      <w:divBdr>
        <w:top w:val="none" w:sz="0" w:space="0" w:color="auto"/>
        <w:left w:val="none" w:sz="0" w:space="0" w:color="auto"/>
        <w:bottom w:val="none" w:sz="0" w:space="0" w:color="auto"/>
        <w:right w:val="none" w:sz="0" w:space="0" w:color="auto"/>
      </w:divBdr>
    </w:div>
    <w:div w:id="583103209">
      <w:bodyDiv w:val="1"/>
      <w:marLeft w:val="0"/>
      <w:marRight w:val="0"/>
      <w:marTop w:val="0"/>
      <w:marBottom w:val="0"/>
      <w:divBdr>
        <w:top w:val="none" w:sz="0" w:space="0" w:color="auto"/>
        <w:left w:val="none" w:sz="0" w:space="0" w:color="auto"/>
        <w:bottom w:val="none" w:sz="0" w:space="0" w:color="auto"/>
        <w:right w:val="none" w:sz="0" w:space="0" w:color="auto"/>
      </w:divBdr>
    </w:div>
    <w:div w:id="631055294">
      <w:bodyDiv w:val="1"/>
      <w:marLeft w:val="0"/>
      <w:marRight w:val="0"/>
      <w:marTop w:val="0"/>
      <w:marBottom w:val="0"/>
      <w:divBdr>
        <w:top w:val="none" w:sz="0" w:space="0" w:color="auto"/>
        <w:left w:val="none" w:sz="0" w:space="0" w:color="auto"/>
        <w:bottom w:val="none" w:sz="0" w:space="0" w:color="auto"/>
        <w:right w:val="none" w:sz="0" w:space="0" w:color="auto"/>
      </w:divBdr>
    </w:div>
    <w:div w:id="662045501">
      <w:bodyDiv w:val="1"/>
      <w:marLeft w:val="0"/>
      <w:marRight w:val="0"/>
      <w:marTop w:val="0"/>
      <w:marBottom w:val="0"/>
      <w:divBdr>
        <w:top w:val="none" w:sz="0" w:space="0" w:color="auto"/>
        <w:left w:val="none" w:sz="0" w:space="0" w:color="auto"/>
        <w:bottom w:val="none" w:sz="0" w:space="0" w:color="auto"/>
        <w:right w:val="none" w:sz="0" w:space="0" w:color="auto"/>
      </w:divBdr>
    </w:div>
    <w:div w:id="669135769">
      <w:bodyDiv w:val="1"/>
      <w:marLeft w:val="0"/>
      <w:marRight w:val="0"/>
      <w:marTop w:val="0"/>
      <w:marBottom w:val="0"/>
      <w:divBdr>
        <w:top w:val="none" w:sz="0" w:space="0" w:color="auto"/>
        <w:left w:val="none" w:sz="0" w:space="0" w:color="auto"/>
        <w:bottom w:val="none" w:sz="0" w:space="0" w:color="auto"/>
        <w:right w:val="none" w:sz="0" w:space="0" w:color="auto"/>
      </w:divBdr>
    </w:div>
    <w:div w:id="675226675">
      <w:bodyDiv w:val="1"/>
      <w:marLeft w:val="0"/>
      <w:marRight w:val="0"/>
      <w:marTop w:val="0"/>
      <w:marBottom w:val="0"/>
      <w:divBdr>
        <w:top w:val="none" w:sz="0" w:space="0" w:color="auto"/>
        <w:left w:val="none" w:sz="0" w:space="0" w:color="auto"/>
        <w:bottom w:val="none" w:sz="0" w:space="0" w:color="auto"/>
        <w:right w:val="none" w:sz="0" w:space="0" w:color="auto"/>
      </w:divBdr>
    </w:div>
    <w:div w:id="693458169">
      <w:bodyDiv w:val="1"/>
      <w:marLeft w:val="0"/>
      <w:marRight w:val="0"/>
      <w:marTop w:val="0"/>
      <w:marBottom w:val="0"/>
      <w:divBdr>
        <w:top w:val="none" w:sz="0" w:space="0" w:color="auto"/>
        <w:left w:val="none" w:sz="0" w:space="0" w:color="auto"/>
        <w:bottom w:val="none" w:sz="0" w:space="0" w:color="auto"/>
        <w:right w:val="none" w:sz="0" w:space="0" w:color="auto"/>
      </w:divBdr>
    </w:div>
    <w:div w:id="711272330">
      <w:bodyDiv w:val="1"/>
      <w:marLeft w:val="0"/>
      <w:marRight w:val="0"/>
      <w:marTop w:val="0"/>
      <w:marBottom w:val="0"/>
      <w:divBdr>
        <w:top w:val="none" w:sz="0" w:space="0" w:color="auto"/>
        <w:left w:val="none" w:sz="0" w:space="0" w:color="auto"/>
        <w:bottom w:val="none" w:sz="0" w:space="0" w:color="auto"/>
        <w:right w:val="none" w:sz="0" w:space="0" w:color="auto"/>
      </w:divBdr>
    </w:div>
    <w:div w:id="711613831">
      <w:bodyDiv w:val="1"/>
      <w:marLeft w:val="0"/>
      <w:marRight w:val="0"/>
      <w:marTop w:val="0"/>
      <w:marBottom w:val="0"/>
      <w:divBdr>
        <w:top w:val="none" w:sz="0" w:space="0" w:color="auto"/>
        <w:left w:val="none" w:sz="0" w:space="0" w:color="auto"/>
        <w:bottom w:val="none" w:sz="0" w:space="0" w:color="auto"/>
        <w:right w:val="none" w:sz="0" w:space="0" w:color="auto"/>
      </w:divBdr>
    </w:div>
    <w:div w:id="767239585">
      <w:bodyDiv w:val="1"/>
      <w:marLeft w:val="0"/>
      <w:marRight w:val="0"/>
      <w:marTop w:val="0"/>
      <w:marBottom w:val="0"/>
      <w:divBdr>
        <w:top w:val="none" w:sz="0" w:space="0" w:color="auto"/>
        <w:left w:val="none" w:sz="0" w:space="0" w:color="auto"/>
        <w:bottom w:val="none" w:sz="0" w:space="0" w:color="auto"/>
        <w:right w:val="none" w:sz="0" w:space="0" w:color="auto"/>
      </w:divBdr>
    </w:div>
    <w:div w:id="776829702">
      <w:bodyDiv w:val="1"/>
      <w:marLeft w:val="0"/>
      <w:marRight w:val="0"/>
      <w:marTop w:val="0"/>
      <w:marBottom w:val="0"/>
      <w:divBdr>
        <w:top w:val="none" w:sz="0" w:space="0" w:color="auto"/>
        <w:left w:val="none" w:sz="0" w:space="0" w:color="auto"/>
        <w:bottom w:val="none" w:sz="0" w:space="0" w:color="auto"/>
        <w:right w:val="none" w:sz="0" w:space="0" w:color="auto"/>
      </w:divBdr>
    </w:div>
    <w:div w:id="797259898">
      <w:bodyDiv w:val="1"/>
      <w:marLeft w:val="0"/>
      <w:marRight w:val="0"/>
      <w:marTop w:val="0"/>
      <w:marBottom w:val="0"/>
      <w:divBdr>
        <w:top w:val="none" w:sz="0" w:space="0" w:color="auto"/>
        <w:left w:val="none" w:sz="0" w:space="0" w:color="auto"/>
        <w:bottom w:val="none" w:sz="0" w:space="0" w:color="auto"/>
        <w:right w:val="none" w:sz="0" w:space="0" w:color="auto"/>
      </w:divBdr>
    </w:div>
    <w:div w:id="829060952">
      <w:bodyDiv w:val="1"/>
      <w:marLeft w:val="0"/>
      <w:marRight w:val="0"/>
      <w:marTop w:val="0"/>
      <w:marBottom w:val="0"/>
      <w:divBdr>
        <w:top w:val="none" w:sz="0" w:space="0" w:color="auto"/>
        <w:left w:val="none" w:sz="0" w:space="0" w:color="auto"/>
        <w:bottom w:val="none" w:sz="0" w:space="0" w:color="auto"/>
        <w:right w:val="none" w:sz="0" w:space="0" w:color="auto"/>
      </w:divBdr>
    </w:div>
    <w:div w:id="832915871">
      <w:bodyDiv w:val="1"/>
      <w:marLeft w:val="0"/>
      <w:marRight w:val="0"/>
      <w:marTop w:val="0"/>
      <w:marBottom w:val="0"/>
      <w:divBdr>
        <w:top w:val="none" w:sz="0" w:space="0" w:color="auto"/>
        <w:left w:val="none" w:sz="0" w:space="0" w:color="auto"/>
        <w:bottom w:val="none" w:sz="0" w:space="0" w:color="auto"/>
        <w:right w:val="none" w:sz="0" w:space="0" w:color="auto"/>
      </w:divBdr>
    </w:div>
    <w:div w:id="857737086">
      <w:bodyDiv w:val="1"/>
      <w:marLeft w:val="0"/>
      <w:marRight w:val="0"/>
      <w:marTop w:val="0"/>
      <w:marBottom w:val="0"/>
      <w:divBdr>
        <w:top w:val="none" w:sz="0" w:space="0" w:color="auto"/>
        <w:left w:val="none" w:sz="0" w:space="0" w:color="auto"/>
        <w:bottom w:val="none" w:sz="0" w:space="0" w:color="auto"/>
        <w:right w:val="none" w:sz="0" w:space="0" w:color="auto"/>
      </w:divBdr>
    </w:div>
    <w:div w:id="861556660">
      <w:bodyDiv w:val="1"/>
      <w:marLeft w:val="0"/>
      <w:marRight w:val="0"/>
      <w:marTop w:val="0"/>
      <w:marBottom w:val="0"/>
      <w:divBdr>
        <w:top w:val="none" w:sz="0" w:space="0" w:color="auto"/>
        <w:left w:val="none" w:sz="0" w:space="0" w:color="auto"/>
        <w:bottom w:val="none" w:sz="0" w:space="0" w:color="auto"/>
        <w:right w:val="none" w:sz="0" w:space="0" w:color="auto"/>
      </w:divBdr>
    </w:div>
    <w:div w:id="865093801">
      <w:bodyDiv w:val="1"/>
      <w:marLeft w:val="0"/>
      <w:marRight w:val="0"/>
      <w:marTop w:val="0"/>
      <w:marBottom w:val="0"/>
      <w:divBdr>
        <w:top w:val="none" w:sz="0" w:space="0" w:color="auto"/>
        <w:left w:val="none" w:sz="0" w:space="0" w:color="auto"/>
        <w:bottom w:val="none" w:sz="0" w:space="0" w:color="auto"/>
        <w:right w:val="none" w:sz="0" w:space="0" w:color="auto"/>
      </w:divBdr>
    </w:div>
    <w:div w:id="905410282">
      <w:bodyDiv w:val="1"/>
      <w:marLeft w:val="0"/>
      <w:marRight w:val="0"/>
      <w:marTop w:val="0"/>
      <w:marBottom w:val="0"/>
      <w:divBdr>
        <w:top w:val="none" w:sz="0" w:space="0" w:color="auto"/>
        <w:left w:val="none" w:sz="0" w:space="0" w:color="auto"/>
        <w:bottom w:val="none" w:sz="0" w:space="0" w:color="auto"/>
        <w:right w:val="none" w:sz="0" w:space="0" w:color="auto"/>
      </w:divBdr>
    </w:div>
    <w:div w:id="927083236">
      <w:bodyDiv w:val="1"/>
      <w:marLeft w:val="0"/>
      <w:marRight w:val="0"/>
      <w:marTop w:val="0"/>
      <w:marBottom w:val="0"/>
      <w:divBdr>
        <w:top w:val="none" w:sz="0" w:space="0" w:color="auto"/>
        <w:left w:val="none" w:sz="0" w:space="0" w:color="auto"/>
        <w:bottom w:val="none" w:sz="0" w:space="0" w:color="auto"/>
        <w:right w:val="none" w:sz="0" w:space="0" w:color="auto"/>
      </w:divBdr>
    </w:div>
    <w:div w:id="964428537">
      <w:bodyDiv w:val="1"/>
      <w:marLeft w:val="0"/>
      <w:marRight w:val="0"/>
      <w:marTop w:val="0"/>
      <w:marBottom w:val="0"/>
      <w:divBdr>
        <w:top w:val="none" w:sz="0" w:space="0" w:color="auto"/>
        <w:left w:val="none" w:sz="0" w:space="0" w:color="auto"/>
        <w:bottom w:val="none" w:sz="0" w:space="0" w:color="auto"/>
        <w:right w:val="none" w:sz="0" w:space="0" w:color="auto"/>
      </w:divBdr>
    </w:div>
    <w:div w:id="977106284">
      <w:bodyDiv w:val="1"/>
      <w:marLeft w:val="0"/>
      <w:marRight w:val="0"/>
      <w:marTop w:val="0"/>
      <w:marBottom w:val="0"/>
      <w:divBdr>
        <w:top w:val="none" w:sz="0" w:space="0" w:color="auto"/>
        <w:left w:val="none" w:sz="0" w:space="0" w:color="auto"/>
        <w:bottom w:val="none" w:sz="0" w:space="0" w:color="auto"/>
        <w:right w:val="none" w:sz="0" w:space="0" w:color="auto"/>
      </w:divBdr>
    </w:div>
    <w:div w:id="977958673">
      <w:bodyDiv w:val="1"/>
      <w:marLeft w:val="0"/>
      <w:marRight w:val="0"/>
      <w:marTop w:val="0"/>
      <w:marBottom w:val="0"/>
      <w:divBdr>
        <w:top w:val="none" w:sz="0" w:space="0" w:color="auto"/>
        <w:left w:val="none" w:sz="0" w:space="0" w:color="auto"/>
        <w:bottom w:val="none" w:sz="0" w:space="0" w:color="auto"/>
        <w:right w:val="none" w:sz="0" w:space="0" w:color="auto"/>
      </w:divBdr>
    </w:div>
    <w:div w:id="982081379">
      <w:bodyDiv w:val="1"/>
      <w:marLeft w:val="0"/>
      <w:marRight w:val="0"/>
      <w:marTop w:val="0"/>
      <w:marBottom w:val="0"/>
      <w:divBdr>
        <w:top w:val="none" w:sz="0" w:space="0" w:color="auto"/>
        <w:left w:val="none" w:sz="0" w:space="0" w:color="auto"/>
        <w:bottom w:val="none" w:sz="0" w:space="0" w:color="auto"/>
        <w:right w:val="none" w:sz="0" w:space="0" w:color="auto"/>
      </w:divBdr>
    </w:div>
    <w:div w:id="989480456">
      <w:bodyDiv w:val="1"/>
      <w:marLeft w:val="0"/>
      <w:marRight w:val="0"/>
      <w:marTop w:val="0"/>
      <w:marBottom w:val="0"/>
      <w:divBdr>
        <w:top w:val="none" w:sz="0" w:space="0" w:color="auto"/>
        <w:left w:val="none" w:sz="0" w:space="0" w:color="auto"/>
        <w:bottom w:val="none" w:sz="0" w:space="0" w:color="auto"/>
        <w:right w:val="none" w:sz="0" w:space="0" w:color="auto"/>
      </w:divBdr>
    </w:div>
    <w:div w:id="992611537">
      <w:bodyDiv w:val="1"/>
      <w:marLeft w:val="0"/>
      <w:marRight w:val="0"/>
      <w:marTop w:val="0"/>
      <w:marBottom w:val="0"/>
      <w:divBdr>
        <w:top w:val="none" w:sz="0" w:space="0" w:color="auto"/>
        <w:left w:val="none" w:sz="0" w:space="0" w:color="auto"/>
        <w:bottom w:val="none" w:sz="0" w:space="0" w:color="auto"/>
        <w:right w:val="none" w:sz="0" w:space="0" w:color="auto"/>
      </w:divBdr>
    </w:div>
    <w:div w:id="1001004233">
      <w:bodyDiv w:val="1"/>
      <w:marLeft w:val="0"/>
      <w:marRight w:val="0"/>
      <w:marTop w:val="0"/>
      <w:marBottom w:val="0"/>
      <w:divBdr>
        <w:top w:val="none" w:sz="0" w:space="0" w:color="auto"/>
        <w:left w:val="none" w:sz="0" w:space="0" w:color="auto"/>
        <w:bottom w:val="none" w:sz="0" w:space="0" w:color="auto"/>
        <w:right w:val="none" w:sz="0" w:space="0" w:color="auto"/>
      </w:divBdr>
    </w:div>
    <w:div w:id="1016536337">
      <w:bodyDiv w:val="1"/>
      <w:marLeft w:val="0"/>
      <w:marRight w:val="0"/>
      <w:marTop w:val="0"/>
      <w:marBottom w:val="0"/>
      <w:divBdr>
        <w:top w:val="none" w:sz="0" w:space="0" w:color="auto"/>
        <w:left w:val="none" w:sz="0" w:space="0" w:color="auto"/>
        <w:bottom w:val="none" w:sz="0" w:space="0" w:color="auto"/>
        <w:right w:val="none" w:sz="0" w:space="0" w:color="auto"/>
      </w:divBdr>
    </w:div>
    <w:div w:id="1032534334">
      <w:bodyDiv w:val="1"/>
      <w:marLeft w:val="0"/>
      <w:marRight w:val="0"/>
      <w:marTop w:val="0"/>
      <w:marBottom w:val="0"/>
      <w:divBdr>
        <w:top w:val="none" w:sz="0" w:space="0" w:color="auto"/>
        <w:left w:val="none" w:sz="0" w:space="0" w:color="auto"/>
        <w:bottom w:val="none" w:sz="0" w:space="0" w:color="auto"/>
        <w:right w:val="none" w:sz="0" w:space="0" w:color="auto"/>
      </w:divBdr>
    </w:div>
    <w:div w:id="1035617760">
      <w:bodyDiv w:val="1"/>
      <w:marLeft w:val="0"/>
      <w:marRight w:val="0"/>
      <w:marTop w:val="0"/>
      <w:marBottom w:val="0"/>
      <w:divBdr>
        <w:top w:val="none" w:sz="0" w:space="0" w:color="auto"/>
        <w:left w:val="none" w:sz="0" w:space="0" w:color="auto"/>
        <w:bottom w:val="none" w:sz="0" w:space="0" w:color="auto"/>
        <w:right w:val="none" w:sz="0" w:space="0" w:color="auto"/>
      </w:divBdr>
    </w:div>
    <w:div w:id="1056005058">
      <w:bodyDiv w:val="1"/>
      <w:marLeft w:val="0"/>
      <w:marRight w:val="0"/>
      <w:marTop w:val="0"/>
      <w:marBottom w:val="0"/>
      <w:divBdr>
        <w:top w:val="none" w:sz="0" w:space="0" w:color="auto"/>
        <w:left w:val="none" w:sz="0" w:space="0" w:color="auto"/>
        <w:bottom w:val="none" w:sz="0" w:space="0" w:color="auto"/>
        <w:right w:val="none" w:sz="0" w:space="0" w:color="auto"/>
      </w:divBdr>
    </w:div>
    <w:div w:id="1070271910">
      <w:bodyDiv w:val="1"/>
      <w:marLeft w:val="0"/>
      <w:marRight w:val="0"/>
      <w:marTop w:val="0"/>
      <w:marBottom w:val="0"/>
      <w:divBdr>
        <w:top w:val="none" w:sz="0" w:space="0" w:color="auto"/>
        <w:left w:val="none" w:sz="0" w:space="0" w:color="auto"/>
        <w:bottom w:val="none" w:sz="0" w:space="0" w:color="auto"/>
        <w:right w:val="none" w:sz="0" w:space="0" w:color="auto"/>
      </w:divBdr>
    </w:div>
    <w:div w:id="1086344744">
      <w:bodyDiv w:val="1"/>
      <w:marLeft w:val="0"/>
      <w:marRight w:val="0"/>
      <w:marTop w:val="0"/>
      <w:marBottom w:val="0"/>
      <w:divBdr>
        <w:top w:val="none" w:sz="0" w:space="0" w:color="auto"/>
        <w:left w:val="none" w:sz="0" w:space="0" w:color="auto"/>
        <w:bottom w:val="none" w:sz="0" w:space="0" w:color="auto"/>
        <w:right w:val="none" w:sz="0" w:space="0" w:color="auto"/>
      </w:divBdr>
    </w:div>
    <w:div w:id="1136682492">
      <w:bodyDiv w:val="1"/>
      <w:marLeft w:val="0"/>
      <w:marRight w:val="0"/>
      <w:marTop w:val="0"/>
      <w:marBottom w:val="0"/>
      <w:divBdr>
        <w:top w:val="none" w:sz="0" w:space="0" w:color="auto"/>
        <w:left w:val="none" w:sz="0" w:space="0" w:color="auto"/>
        <w:bottom w:val="none" w:sz="0" w:space="0" w:color="auto"/>
        <w:right w:val="none" w:sz="0" w:space="0" w:color="auto"/>
      </w:divBdr>
    </w:div>
    <w:div w:id="1136872233">
      <w:bodyDiv w:val="1"/>
      <w:marLeft w:val="0"/>
      <w:marRight w:val="0"/>
      <w:marTop w:val="0"/>
      <w:marBottom w:val="0"/>
      <w:divBdr>
        <w:top w:val="none" w:sz="0" w:space="0" w:color="auto"/>
        <w:left w:val="none" w:sz="0" w:space="0" w:color="auto"/>
        <w:bottom w:val="none" w:sz="0" w:space="0" w:color="auto"/>
        <w:right w:val="none" w:sz="0" w:space="0" w:color="auto"/>
      </w:divBdr>
    </w:div>
    <w:div w:id="1164278225">
      <w:bodyDiv w:val="1"/>
      <w:marLeft w:val="0"/>
      <w:marRight w:val="0"/>
      <w:marTop w:val="0"/>
      <w:marBottom w:val="0"/>
      <w:divBdr>
        <w:top w:val="none" w:sz="0" w:space="0" w:color="auto"/>
        <w:left w:val="none" w:sz="0" w:space="0" w:color="auto"/>
        <w:bottom w:val="none" w:sz="0" w:space="0" w:color="auto"/>
        <w:right w:val="none" w:sz="0" w:space="0" w:color="auto"/>
      </w:divBdr>
    </w:div>
    <w:div w:id="1168208967">
      <w:bodyDiv w:val="1"/>
      <w:marLeft w:val="0"/>
      <w:marRight w:val="0"/>
      <w:marTop w:val="0"/>
      <w:marBottom w:val="0"/>
      <w:divBdr>
        <w:top w:val="none" w:sz="0" w:space="0" w:color="auto"/>
        <w:left w:val="none" w:sz="0" w:space="0" w:color="auto"/>
        <w:bottom w:val="none" w:sz="0" w:space="0" w:color="auto"/>
        <w:right w:val="none" w:sz="0" w:space="0" w:color="auto"/>
      </w:divBdr>
    </w:div>
    <w:div w:id="1172380556">
      <w:bodyDiv w:val="1"/>
      <w:marLeft w:val="0"/>
      <w:marRight w:val="0"/>
      <w:marTop w:val="0"/>
      <w:marBottom w:val="0"/>
      <w:divBdr>
        <w:top w:val="none" w:sz="0" w:space="0" w:color="auto"/>
        <w:left w:val="none" w:sz="0" w:space="0" w:color="auto"/>
        <w:bottom w:val="none" w:sz="0" w:space="0" w:color="auto"/>
        <w:right w:val="none" w:sz="0" w:space="0" w:color="auto"/>
      </w:divBdr>
    </w:div>
    <w:div w:id="1223323725">
      <w:bodyDiv w:val="1"/>
      <w:marLeft w:val="0"/>
      <w:marRight w:val="0"/>
      <w:marTop w:val="0"/>
      <w:marBottom w:val="0"/>
      <w:divBdr>
        <w:top w:val="none" w:sz="0" w:space="0" w:color="auto"/>
        <w:left w:val="none" w:sz="0" w:space="0" w:color="auto"/>
        <w:bottom w:val="none" w:sz="0" w:space="0" w:color="auto"/>
        <w:right w:val="none" w:sz="0" w:space="0" w:color="auto"/>
      </w:divBdr>
    </w:div>
    <w:div w:id="1252156464">
      <w:bodyDiv w:val="1"/>
      <w:marLeft w:val="0"/>
      <w:marRight w:val="0"/>
      <w:marTop w:val="0"/>
      <w:marBottom w:val="0"/>
      <w:divBdr>
        <w:top w:val="none" w:sz="0" w:space="0" w:color="auto"/>
        <w:left w:val="none" w:sz="0" w:space="0" w:color="auto"/>
        <w:bottom w:val="none" w:sz="0" w:space="0" w:color="auto"/>
        <w:right w:val="none" w:sz="0" w:space="0" w:color="auto"/>
      </w:divBdr>
    </w:div>
    <w:div w:id="1264410743">
      <w:bodyDiv w:val="1"/>
      <w:marLeft w:val="0"/>
      <w:marRight w:val="0"/>
      <w:marTop w:val="0"/>
      <w:marBottom w:val="0"/>
      <w:divBdr>
        <w:top w:val="none" w:sz="0" w:space="0" w:color="auto"/>
        <w:left w:val="none" w:sz="0" w:space="0" w:color="auto"/>
        <w:bottom w:val="none" w:sz="0" w:space="0" w:color="auto"/>
        <w:right w:val="none" w:sz="0" w:space="0" w:color="auto"/>
      </w:divBdr>
    </w:div>
    <w:div w:id="1277058645">
      <w:bodyDiv w:val="1"/>
      <w:marLeft w:val="0"/>
      <w:marRight w:val="0"/>
      <w:marTop w:val="0"/>
      <w:marBottom w:val="0"/>
      <w:divBdr>
        <w:top w:val="none" w:sz="0" w:space="0" w:color="auto"/>
        <w:left w:val="none" w:sz="0" w:space="0" w:color="auto"/>
        <w:bottom w:val="none" w:sz="0" w:space="0" w:color="auto"/>
        <w:right w:val="none" w:sz="0" w:space="0" w:color="auto"/>
      </w:divBdr>
    </w:div>
    <w:div w:id="1304306874">
      <w:bodyDiv w:val="1"/>
      <w:marLeft w:val="0"/>
      <w:marRight w:val="0"/>
      <w:marTop w:val="0"/>
      <w:marBottom w:val="0"/>
      <w:divBdr>
        <w:top w:val="none" w:sz="0" w:space="0" w:color="auto"/>
        <w:left w:val="none" w:sz="0" w:space="0" w:color="auto"/>
        <w:bottom w:val="none" w:sz="0" w:space="0" w:color="auto"/>
        <w:right w:val="none" w:sz="0" w:space="0" w:color="auto"/>
      </w:divBdr>
    </w:div>
    <w:div w:id="1312058280">
      <w:bodyDiv w:val="1"/>
      <w:marLeft w:val="0"/>
      <w:marRight w:val="0"/>
      <w:marTop w:val="0"/>
      <w:marBottom w:val="0"/>
      <w:divBdr>
        <w:top w:val="none" w:sz="0" w:space="0" w:color="auto"/>
        <w:left w:val="none" w:sz="0" w:space="0" w:color="auto"/>
        <w:bottom w:val="none" w:sz="0" w:space="0" w:color="auto"/>
        <w:right w:val="none" w:sz="0" w:space="0" w:color="auto"/>
      </w:divBdr>
    </w:div>
    <w:div w:id="1339385137">
      <w:bodyDiv w:val="1"/>
      <w:marLeft w:val="0"/>
      <w:marRight w:val="0"/>
      <w:marTop w:val="0"/>
      <w:marBottom w:val="0"/>
      <w:divBdr>
        <w:top w:val="none" w:sz="0" w:space="0" w:color="auto"/>
        <w:left w:val="none" w:sz="0" w:space="0" w:color="auto"/>
        <w:bottom w:val="none" w:sz="0" w:space="0" w:color="auto"/>
        <w:right w:val="none" w:sz="0" w:space="0" w:color="auto"/>
      </w:divBdr>
    </w:div>
    <w:div w:id="1343359819">
      <w:bodyDiv w:val="1"/>
      <w:marLeft w:val="0"/>
      <w:marRight w:val="0"/>
      <w:marTop w:val="0"/>
      <w:marBottom w:val="0"/>
      <w:divBdr>
        <w:top w:val="none" w:sz="0" w:space="0" w:color="auto"/>
        <w:left w:val="none" w:sz="0" w:space="0" w:color="auto"/>
        <w:bottom w:val="none" w:sz="0" w:space="0" w:color="auto"/>
        <w:right w:val="none" w:sz="0" w:space="0" w:color="auto"/>
      </w:divBdr>
    </w:div>
    <w:div w:id="1344211827">
      <w:bodyDiv w:val="1"/>
      <w:marLeft w:val="0"/>
      <w:marRight w:val="0"/>
      <w:marTop w:val="0"/>
      <w:marBottom w:val="0"/>
      <w:divBdr>
        <w:top w:val="none" w:sz="0" w:space="0" w:color="auto"/>
        <w:left w:val="none" w:sz="0" w:space="0" w:color="auto"/>
        <w:bottom w:val="none" w:sz="0" w:space="0" w:color="auto"/>
        <w:right w:val="none" w:sz="0" w:space="0" w:color="auto"/>
      </w:divBdr>
    </w:div>
    <w:div w:id="1355156189">
      <w:bodyDiv w:val="1"/>
      <w:marLeft w:val="0"/>
      <w:marRight w:val="0"/>
      <w:marTop w:val="0"/>
      <w:marBottom w:val="0"/>
      <w:divBdr>
        <w:top w:val="none" w:sz="0" w:space="0" w:color="auto"/>
        <w:left w:val="none" w:sz="0" w:space="0" w:color="auto"/>
        <w:bottom w:val="none" w:sz="0" w:space="0" w:color="auto"/>
        <w:right w:val="none" w:sz="0" w:space="0" w:color="auto"/>
      </w:divBdr>
    </w:div>
    <w:div w:id="1432162952">
      <w:bodyDiv w:val="1"/>
      <w:marLeft w:val="0"/>
      <w:marRight w:val="0"/>
      <w:marTop w:val="0"/>
      <w:marBottom w:val="0"/>
      <w:divBdr>
        <w:top w:val="none" w:sz="0" w:space="0" w:color="auto"/>
        <w:left w:val="none" w:sz="0" w:space="0" w:color="auto"/>
        <w:bottom w:val="none" w:sz="0" w:space="0" w:color="auto"/>
        <w:right w:val="none" w:sz="0" w:space="0" w:color="auto"/>
      </w:divBdr>
    </w:div>
    <w:div w:id="1453402102">
      <w:bodyDiv w:val="1"/>
      <w:marLeft w:val="0"/>
      <w:marRight w:val="0"/>
      <w:marTop w:val="0"/>
      <w:marBottom w:val="0"/>
      <w:divBdr>
        <w:top w:val="none" w:sz="0" w:space="0" w:color="auto"/>
        <w:left w:val="none" w:sz="0" w:space="0" w:color="auto"/>
        <w:bottom w:val="none" w:sz="0" w:space="0" w:color="auto"/>
        <w:right w:val="none" w:sz="0" w:space="0" w:color="auto"/>
      </w:divBdr>
    </w:div>
    <w:div w:id="1472404317">
      <w:bodyDiv w:val="1"/>
      <w:marLeft w:val="0"/>
      <w:marRight w:val="0"/>
      <w:marTop w:val="0"/>
      <w:marBottom w:val="0"/>
      <w:divBdr>
        <w:top w:val="none" w:sz="0" w:space="0" w:color="auto"/>
        <w:left w:val="none" w:sz="0" w:space="0" w:color="auto"/>
        <w:bottom w:val="none" w:sz="0" w:space="0" w:color="auto"/>
        <w:right w:val="none" w:sz="0" w:space="0" w:color="auto"/>
      </w:divBdr>
    </w:div>
    <w:div w:id="1523857656">
      <w:bodyDiv w:val="1"/>
      <w:marLeft w:val="0"/>
      <w:marRight w:val="0"/>
      <w:marTop w:val="0"/>
      <w:marBottom w:val="0"/>
      <w:divBdr>
        <w:top w:val="none" w:sz="0" w:space="0" w:color="auto"/>
        <w:left w:val="none" w:sz="0" w:space="0" w:color="auto"/>
        <w:bottom w:val="none" w:sz="0" w:space="0" w:color="auto"/>
        <w:right w:val="none" w:sz="0" w:space="0" w:color="auto"/>
      </w:divBdr>
    </w:div>
    <w:div w:id="1528640516">
      <w:bodyDiv w:val="1"/>
      <w:marLeft w:val="0"/>
      <w:marRight w:val="0"/>
      <w:marTop w:val="0"/>
      <w:marBottom w:val="0"/>
      <w:divBdr>
        <w:top w:val="none" w:sz="0" w:space="0" w:color="auto"/>
        <w:left w:val="none" w:sz="0" w:space="0" w:color="auto"/>
        <w:bottom w:val="none" w:sz="0" w:space="0" w:color="auto"/>
        <w:right w:val="none" w:sz="0" w:space="0" w:color="auto"/>
      </w:divBdr>
    </w:div>
    <w:div w:id="1555653198">
      <w:bodyDiv w:val="1"/>
      <w:marLeft w:val="0"/>
      <w:marRight w:val="0"/>
      <w:marTop w:val="0"/>
      <w:marBottom w:val="0"/>
      <w:divBdr>
        <w:top w:val="none" w:sz="0" w:space="0" w:color="auto"/>
        <w:left w:val="none" w:sz="0" w:space="0" w:color="auto"/>
        <w:bottom w:val="none" w:sz="0" w:space="0" w:color="auto"/>
        <w:right w:val="none" w:sz="0" w:space="0" w:color="auto"/>
      </w:divBdr>
    </w:div>
    <w:div w:id="1602687301">
      <w:bodyDiv w:val="1"/>
      <w:marLeft w:val="0"/>
      <w:marRight w:val="0"/>
      <w:marTop w:val="0"/>
      <w:marBottom w:val="0"/>
      <w:divBdr>
        <w:top w:val="none" w:sz="0" w:space="0" w:color="auto"/>
        <w:left w:val="none" w:sz="0" w:space="0" w:color="auto"/>
        <w:bottom w:val="none" w:sz="0" w:space="0" w:color="auto"/>
        <w:right w:val="none" w:sz="0" w:space="0" w:color="auto"/>
      </w:divBdr>
    </w:div>
    <w:div w:id="1613898232">
      <w:bodyDiv w:val="1"/>
      <w:marLeft w:val="0"/>
      <w:marRight w:val="0"/>
      <w:marTop w:val="0"/>
      <w:marBottom w:val="0"/>
      <w:divBdr>
        <w:top w:val="none" w:sz="0" w:space="0" w:color="auto"/>
        <w:left w:val="none" w:sz="0" w:space="0" w:color="auto"/>
        <w:bottom w:val="none" w:sz="0" w:space="0" w:color="auto"/>
        <w:right w:val="none" w:sz="0" w:space="0" w:color="auto"/>
      </w:divBdr>
    </w:div>
    <w:div w:id="1642809923">
      <w:bodyDiv w:val="1"/>
      <w:marLeft w:val="0"/>
      <w:marRight w:val="0"/>
      <w:marTop w:val="0"/>
      <w:marBottom w:val="0"/>
      <w:divBdr>
        <w:top w:val="none" w:sz="0" w:space="0" w:color="auto"/>
        <w:left w:val="none" w:sz="0" w:space="0" w:color="auto"/>
        <w:bottom w:val="none" w:sz="0" w:space="0" w:color="auto"/>
        <w:right w:val="none" w:sz="0" w:space="0" w:color="auto"/>
      </w:divBdr>
    </w:div>
    <w:div w:id="1699425868">
      <w:bodyDiv w:val="1"/>
      <w:marLeft w:val="0"/>
      <w:marRight w:val="0"/>
      <w:marTop w:val="0"/>
      <w:marBottom w:val="0"/>
      <w:divBdr>
        <w:top w:val="none" w:sz="0" w:space="0" w:color="auto"/>
        <w:left w:val="none" w:sz="0" w:space="0" w:color="auto"/>
        <w:bottom w:val="none" w:sz="0" w:space="0" w:color="auto"/>
        <w:right w:val="none" w:sz="0" w:space="0" w:color="auto"/>
      </w:divBdr>
    </w:div>
    <w:div w:id="1725907403">
      <w:bodyDiv w:val="1"/>
      <w:marLeft w:val="0"/>
      <w:marRight w:val="0"/>
      <w:marTop w:val="0"/>
      <w:marBottom w:val="0"/>
      <w:divBdr>
        <w:top w:val="none" w:sz="0" w:space="0" w:color="auto"/>
        <w:left w:val="none" w:sz="0" w:space="0" w:color="auto"/>
        <w:bottom w:val="none" w:sz="0" w:space="0" w:color="auto"/>
        <w:right w:val="none" w:sz="0" w:space="0" w:color="auto"/>
      </w:divBdr>
    </w:div>
    <w:div w:id="1731339402">
      <w:bodyDiv w:val="1"/>
      <w:marLeft w:val="0"/>
      <w:marRight w:val="0"/>
      <w:marTop w:val="0"/>
      <w:marBottom w:val="0"/>
      <w:divBdr>
        <w:top w:val="none" w:sz="0" w:space="0" w:color="auto"/>
        <w:left w:val="none" w:sz="0" w:space="0" w:color="auto"/>
        <w:bottom w:val="none" w:sz="0" w:space="0" w:color="auto"/>
        <w:right w:val="none" w:sz="0" w:space="0" w:color="auto"/>
      </w:divBdr>
    </w:div>
    <w:div w:id="1733889260">
      <w:bodyDiv w:val="1"/>
      <w:marLeft w:val="0"/>
      <w:marRight w:val="0"/>
      <w:marTop w:val="0"/>
      <w:marBottom w:val="0"/>
      <w:divBdr>
        <w:top w:val="none" w:sz="0" w:space="0" w:color="auto"/>
        <w:left w:val="none" w:sz="0" w:space="0" w:color="auto"/>
        <w:bottom w:val="none" w:sz="0" w:space="0" w:color="auto"/>
        <w:right w:val="none" w:sz="0" w:space="0" w:color="auto"/>
      </w:divBdr>
    </w:div>
    <w:div w:id="1762026335">
      <w:bodyDiv w:val="1"/>
      <w:marLeft w:val="0"/>
      <w:marRight w:val="0"/>
      <w:marTop w:val="0"/>
      <w:marBottom w:val="0"/>
      <w:divBdr>
        <w:top w:val="none" w:sz="0" w:space="0" w:color="auto"/>
        <w:left w:val="none" w:sz="0" w:space="0" w:color="auto"/>
        <w:bottom w:val="none" w:sz="0" w:space="0" w:color="auto"/>
        <w:right w:val="none" w:sz="0" w:space="0" w:color="auto"/>
      </w:divBdr>
    </w:div>
    <w:div w:id="1770928864">
      <w:bodyDiv w:val="1"/>
      <w:marLeft w:val="0"/>
      <w:marRight w:val="0"/>
      <w:marTop w:val="0"/>
      <w:marBottom w:val="0"/>
      <w:divBdr>
        <w:top w:val="none" w:sz="0" w:space="0" w:color="auto"/>
        <w:left w:val="none" w:sz="0" w:space="0" w:color="auto"/>
        <w:bottom w:val="none" w:sz="0" w:space="0" w:color="auto"/>
        <w:right w:val="none" w:sz="0" w:space="0" w:color="auto"/>
      </w:divBdr>
    </w:div>
    <w:div w:id="1787046696">
      <w:bodyDiv w:val="1"/>
      <w:marLeft w:val="0"/>
      <w:marRight w:val="0"/>
      <w:marTop w:val="0"/>
      <w:marBottom w:val="0"/>
      <w:divBdr>
        <w:top w:val="none" w:sz="0" w:space="0" w:color="auto"/>
        <w:left w:val="none" w:sz="0" w:space="0" w:color="auto"/>
        <w:bottom w:val="none" w:sz="0" w:space="0" w:color="auto"/>
        <w:right w:val="none" w:sz="0" w:space="0" w:color="auto"/>
      </w:divBdr>
    </w:div>
    <w:div w:id="1797485543">
      <w:bodyDiv w:val="1"/>
      <w:marLeft w:val="0"/>
      <w:marRight w:val="0"/>
      <w:marTop w:val="0"/>
      <w:marBottom w:val="0"/>
      <w:divBdr>
        <w:top w:val="none" w:sz="0" w:space="0" w:color="auto"/>
        <w:left w:val="none" w:sz="0" w:space="0" w:color="auto"/>
        <w:bottom w:val="none" w:sz="0" w:space="0" w:color="auto"/>
        <w:right w:val="none" w:sz="0" w:space="0" w:color="auto"/>
      </w:divBdr>
    </w:div>
    <w:div w:id="1798527907">
      <w:bodyDiv w:val="1"/>
      <w:marLeft w:val="0"/>
      <w:marRight w:val="0"/>
      <w:marTop w:val="0"/>
      <w:marBottom w:val="0"/>
      <w:divBdr>
        <w:top w:val="none" w:sz="0" w:space="0" w:color="auto"/>
        <w:left w:val="none" w:sz="0" w:space="0" w:color="auto"/>
        <w:bottom w:val="none" w:sz="0" w:space="0" w:color="auto"/>
        <w:right w:val="none" w:sz="0" w:space="0" w:color="auto"/>
      </w:divBdr>
    </w:div>
    <w:div w:id="1809593968">
      <w:bodyDiv w:val="1"/>
      <w:marLeft w:val="0"/>
      <w:marRight w:val="0"/>
      <w:marTop w:val="0"/>
      <w:marBottom w:val="0"/>
      <w:divBdr>
        <w:top w:val="none" w:sz="0" w:space="0" w:color="auto"/>
        <w:left w:val="none" w:sz="0" w:space="0" w:color="auto"/>
        <w:bottom w:val="none" w:sz="0" w:space="0" w:color="auto"/>
        <w:right w:val="none" w:sz="0" w:space="0" w:color="auto"/>
      </w:divBdr>
    </w:div>
    <w:div w:id="1838492435">
      <w:bodyDiv w:val="1"/>
      <w:marLeft w:val="0"/>
      <w:marRight w:val="0"/>
      <w:marTop w:val="0"/>
      <w:marBottom w:val="0"/>
      <w:divBdr>
        <w:top w:val="none" w:sz="0" w:space="0" w:color="auto"/>
        <w:left w:val="none" w:sz="0" w:space="0" w:color="auto"/>
        <w:bottom w:val="none" w:sz="0" w:space="0" w:color="auto"/>
        <w:right w:val="none" w:sz="0" w:space="0" w:color="auto"/>
      </w:divBdr>
    </w:div>
    <w:div w:id="1848933649">
      <w:bodyDiv w:val="1"/>
      <w:marLeft w:val="0"/>
      <w:marRight w:val="0"/>
      <w:marTop w:val="0"/>
      <w:marBottom w:val="0"/>
      <w:divBdr>
        <w:top w:val="none" w:sz="0" w:space="0" w:color="auto"/>
        <w:left w:val="none" w:sz="0" w:space="0" w:color="auto"/>
        <w:bottom w:val="none" w:sz="0" w:space="0" w:color="auto"/>
        <w:right w:val="none" w:sz="0" w:space="0" w:color="auto"/>
      </w:divBdr>
    </w:div>
    <w:div w:id="1869684505">
      <w:bodyDiv w:val="1"/>
      <w:marLeft w:val="0"/>
      <w:marRight w:val="0"/>
      <w:marTop w:val="0"/>
      <w:marBottom w:val="0"/>
      <w:divBdr>
        <w:top w:val="none" w:sz="0" w:space="0" w:color="auto"/>
        <w:left w:val="none" w:sz="0" w:space="0" w:color="auto"/>
        <w:bottom w:val="none" w:sz="0" w:space="0" w:color="auto"/>
        <w:right w:val="none" w:sz="0" w:space="0" w:color="auto"/>
      </w:divBdr>
    </w:div>
    <w:div w:id="1880704219">
      <w:bodyDiv w:val="1"/>
      <w:marLeft w:val="0"/>
      <w:marRight w:val="0"/>
      <w:marTop w:val="0"/>
      <w:marBottom w:val="0"/>
      <w:divBdr>
        <w:top w:val="none" w:sz="0" w:space="0" w:color="auto"/>
        <w:left w:val="none" w:sz="0" w:space="0" w:color="auto"/>
        <w:bottom w:val="none" w:sz="0" w:space="0" w:color="auto"/>
        <w:right w:val="none" w:sz="0" w:space="0" w:color="auto"/>
      </w:divBdr>
    </w:div>
    <w:div w:id="1889340375">
      <w:bodyDiv w:val="1"/>
      <w:marLeft w:val="0"/>
      <w:marRight w:val="0"/>
      <w:marTop w:val="0"/>
      <w:marBottom w:val="0"/>
      <w:divBdr>
        <w:top w:val="none" w:sz="0" w:space="0" w:color="auto"/>
        <w:left w:val="none" w:sz="0" w:space="0" w:color="auto"/>
        <w:bottom w:val="none" w:sz="0" w:space="0" w:color="auto"/>
        <w:right w:val="none" w:sz="0" w:space="0" w:color="auto"/>
      </w:divBdr>
    </w:div>
    <w:div w:id="1893729076">
      <w:bodyDiv w:val="1"/>
      <w:marLeft w:val="0"/>
      <w:marRight w:val="0"/>
      <w:marTop w:val="0"/>
      <w:marBottom w:val="0"/>
      <w:divBdr>
        <w:top w:val="none" w:sz="0" w:space="0" w:color="auto"/>
        <w:left w:val="none" w:sz="0" w:space="0" w:color="auto"/>
        <w:bottom w:val="none" w:sz="0" w:space="0" w:color="auto"/>
        <w:right w:val="none" w:sz="0" w:space="0" w:color="auto"/>
      </w:divBdr>
    </w:div>
    <w:div w:id="1907378979">
      <w:bodyDiv w:val="1"/>
      <w:marLeft w:val="0"/>
      <w:marRight w:val="0"/>
      <w:marTop w:val="0"/>
      <w:marBottom w:val="0"/>
      <w:divBdr>
        <w:top w:val="none" w:sz="0" w:space="0" w:color="auto"/>
        <w:left w:val="none" w:sz="0" w:space="0" w:color="auto"/>
        <w:bottom w:val="none" w:sz="0" w:space="0" w:color="auto"/>
        <w:right w:val="none" w:sz="0" w:space="0" w:color="auto"/>
      </w:divBdr>
    </w:div>
    <w:div w:id="1925145145">
      <w:bodyDiv w:val="1"/>
      <w:marLeft w:val="0"/>
      <w:marRight w:val="0"/>
      <w:marTop w:val="0"/>
      <w:marBottom w:val="0"/>
      <w:divBdr>
        <w:top w:val="none" w:sz="0" w:space="0" w:color="auto"/>
        <w:left w:val="none" w:sz="0" w:space="0" w:color="auto"/>
        <w:bottom w:val="none" w:sz="0" w:space="0" w:color="auto"/>
        <w:right w:val="none" w:sz="0" w:space="0" w:color="auto"/>
      </w:divBdr>
    </w:div>
    <w:div w:id="1932011363">
      <w:bodyDiv w:val="1"/>
      <w:marLeft w:val="0"/>
      <w:marRight w:val="0"/>
      <w:marTop w:val="0"/>
      <w:marBottom w:val="0"/>
      <w:divBdr>
        <w:top w:val="none" w:sz="0" w:space="0" w:color="auto"/>
        <w:left w:val="none" w:sz="0" w:space="0" w:color="auto"/>
        <w:bottom w:val="none" w:sz="0" w:space="0" w:color="auto"/>
        <w:right w:val="none" w:sz="0" w:space="0" w:color="auto"/>
      </w:divBdr>
    </w:div>
    <w:div w:id="1933587644">
      <w:bodyDiv w:val="1"/>
      <w:marLeft w:val="0"/>
      <w:marRight w:val="0"/>
      <w:marTop w:val="0"/>
      <w:marBottom w:val="0"/>
      <w:divBdr>
        <w:top w:val="none" w:sz="0" w:space="0" w:color="auto"/>
        <w:left w:val="none" w:sz="0" w:space="0" w:color="auto"/>
        <w:bottom w:val="none" w:sz="0" w:space="0" w:color="auto"/>
        <w:right w:val="none" w:sz="0" w:space="0" w:color="auto"/>
      </w:divBdr>
    </w:div>
    <w:div w:id="1938782794">
      <w:bodyDiv w:val="1"/>
      <w:marLeft w:val="0"/>
      <w:marRight w:val="0"/>
      <w:marTop w:val="0"/>
      <w:marBottom w:val="0"/>
      <w:divBdr>
        <w:top w:val="none" w:sz="0" w:space="0" w:color="auto"/>
        <w:left w:val="none" w:sz="0" w:space="0" w:color="auto"/>
        <w:bottom w:val="none" w:sz="0" w:space="0" w:color="auto"/>
        <w:right w:val="none" w:sz="0" w:space="0" w:color="auto"/>
      </w:divBdr>
    </w:div>
    <w:div w:id="1943301092">
      <w:bodyDiv w:val="1"/>
      <w:marLeft w:val="0"/>
      <w:marRight w:val="0"/>
      <w:marTop w:val="0"/>
      <w:marBottom w:val="0"/>
      <w:divBdr>
        <w:top w:val="none" w:sz="0" w:space="0" w:color="auto"/>
        <w:left w:val="none" w:sz="0" w:space="0" w:color="auto"/>
        <w:bottom w:val="none" w:sz="0" w:space="0" w:color="auto"/>
        <w:right w:val="none" w:sz="0" w:space="0" w:color="auto"/>
      </w:divBdr>
    </w:div>
    <w:div w:id="1993367915">
      <w:bodyDiv w:val="1"/>
      <w:marLeft w:val="0"/>
      <w:marRight w:val="0"/>
      <w:marTop w:val="0"/>
      <w:marBottom w:val="0"/>
      <w:divBdr>
        <w:top w:val="none" w:sz="0" w:space="0" w:color="auto"/>
        <w:left w:val="none" w:sz="0" w:space="0" w:color="auto"/>
        <w:bottom w:val="none" w:sz="0" w:space="0" w:color="auto"/>
        <w:right w:val="none" w:sz="0" w:space="0" w:color="auto"/>
      </w:divBdr>
    </w:div>
    <w:div w:id="2010331375">
      <w:bodyDiv w:val="1"/>
      <w:marLeft w:val="0"/>
      <w:marRight w:val="0"/>
      <w:marTop w:val="0"/>
      <w:marBottom w:val="0"/>
      <w:divBdr>
        <w:top w:val="none" w:sz="0" w:space="0" w:color="auto"/>
        <w:left w:val="none" w:sz="0" w:space="0" w:color="auto"/>
        <w:bottom w:val="none" w:sz="0" w:space="0" w:color="auto"/>
        <w:right w:val="none" w:sz="0" w:space="0" w:color="auto"/>
      </w:divBdr>
    </w:div>
    <w:div w:id="2028871965">
      <w:bodyDiv w:val="1"/>
      <w:marLeft w:val="0"/>
      <w:marRight w:val="0"/>
      <w:marTop w:val="0"/>
      <w:marBottom w:val="0"/>
      <w:divBdr>
        <w:top w:val="none" w:sz="0" w:space="0" w:color="auto"/>
        <w:left w:val="none" w:sz="0" w:space="0" w:color="auto"/>
        <w:bottom w:val="none" w:sz="0" w:space="0" w:color="auto"/>
        <w:right w:val="none" w:sz="0" w:space="0" w:color="auto"/>
      </w:divBdr>
    </w:div>
    <w:div w:id="2036730926">
      <w:bodyDiv w:val="1"/>
      <w:marLeft w:val="0"/>
      <w:marRight w:val="0"/>
      <w:marTop w:val="0"/>
      <w:marBottom w:val="0"/>
      <w:divBdr>
        <w:top w:val="none" w:sz="0" w:space="0" w:color="auto"/>
        <w:left w:val="none" w:sz="0" w:space="0" w:color="auto"/>
        <w:bottom w:val="none" w:sz="0" w:space="0" w:color="auto"/>
        <w:right w:val="none" w:sz="0" w:space="0" w:color="auto"/>
      </w:divBdr>
    </w:div>
    <w:div w:id="2039547238">
      <w:bodyDiv w:val="1"/>
      <w:marLeft w:val="0"/>
      <w:marRight w:val="0"/>
      <w:marTop w:val="0"/>
      <w:marBottom w:val="0"/>
      <w:divBdr>
        <w:top w:val="none" w:sz="0" w:space="0" w:color="auto"/>
        <w:left w:val="none" w:sz="0" w:space="0" w:color="auto"/>
        <w:bottom w:val="none" w:sz="0" w:space="0" w:color="auto"/>
        <w:right w:val="none" w:sz="0" w:space="0" w:color="auto"/>
      </w:divBdr>
    </w:div>
    <w:div w:id="2052076706">
      <w:bodyDiv w:val="1"/>
      <w:marLeft w:val="0"/>
      <w:marRight w:val="0"/>
      <w:marTop w:val="0"/>
      <w:marBottom w:val="0"/>
      <w:divBdr>
        <w:top w:val="none" w:sz="0" w:space="0" w:color="auto"/>
        <w:left w:val="none" w:sz="0" w:space="0" w:color="auto"/>
        <w:bottom w:val="none" w:sz="0" w:space="0" w:color="auto"/>
        <w:right w:val="none" w:sz="0" w:space="0" w:color="auto"/>
      </w:divBdr>
    </w:div>
    <w:div w:id="2079747499">
      <w:bodyDiv w:val="1"/>
      <w:marLeft w:val="0"/>
      <w:marRight w:val="0"/>
      <w:marTop w:val="0"/>
      <w:marBottom w:val="0"/>
      <w:divBdr>
        <w:top w:val="none" w:sz="0" w:space="0" w:color="auto"/>
        <w:left w:val="none" w:sz="0" w:space="0" w:color="auto"/>
        <w:bottom w:val="none" w:sz="0" w:space="0" w:color="auto"/>
        <w:right w:val="none" w:sz="0" w:space="0" w:color="auto"/>
      </w:divBdr>
    </w:div>
    <w:div w:id="2084594815">
      <w:bodyDiv w:val="1"/>
      <w:marLeft w:val="0"/>
      <w:marRight w:val="0"/>
      <w:marTop w:val="0"/>
      <w:marBottom w:val="0"/>
      <w:divBdr>
        <w:top w:val="none" w:sz="0" w:space="0" w:color="auto"/>
        <w:left w:val="none" w:sz="0" w:space="0" w:color="auto"/>
        <w:bottom w:val="none" w:sz="0" w:space="0" w:color="auto"/>
        <w:right w:val="none" w:sz="0" w:space="0" w:color="auto"/>
      </w:divBdr>
    </w:div>
    <w:div w:id="2091077425">
      <w:bodyDiv w:val="1"/>
      <w:marLeft w:val="0"/>
      <w:marRight w:val="0"/>
      <w:marTop w:val="0"/>
      <w:marBottom w:val="0"/>
      <w:divBdr>
        <w:top w:val="none" w:sz="0" w:space="0" w:color="auto"/>
        <w:left w:val="none" w:sz="0" w:space="0" w:color="auto"/>
        <w:bottom w:val="none" w:sz="0" w:space="0" w:color="auto"/>
        <w:right w:val="none" w:sz="0" w:space="0" w:color="auto"/>
      </w:divBdr>
    </w:div>
    <w:div w:id="2102212928">
      <w:bodyDiv w:val="1"/>
      <w:marLeft w:val="0"/>
      <w:marRight w:val="0"/>
      <w:marTop w:val="0"/>
      <w:marBottom w:val="0"/>
      <w:divBdr>
        <w:top w:val="none" w:sz="0" w:space="0" w:color="auto"/>
        <w:left w:val="none" w:sz="0" w:space="0" w:color="auto"/>
        <w:bottom w:val="none" w:sz="0" w:space="0" w:color="auto"/>
        <w:right w:val="none" w:sz="0" w:space="0" w:color="auto"/>
      </w:divBdr>
    </w:div>
    <w:div w:id="2114812499">
      <w:bodyDiv w:val="1"/>
      <w:marLeft w:val="0"/>
      <w:marRight w:val="0"/>
      <w:marTop w:val="0"/>
      <w:marBottom w:val="0"/>
      <w:divBdr>
        <w:top w:val="none" w:sz="0" w:space="0" w:color="auto"/>
        <w:left w:val="none" w:sz="0" w:space="0" w:color="auto"/>
        <w:bottom w:val="none" w:sz="0" w:space="0" w:color="auto"/>
        <w:right w:val="none" w:sz="0" w:space="0" w:color="auto"/>
      </w:divBdr>
    </w:div>
    <w:div w:id="2115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3329/bjar.v40i1.2376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doi.org/10.1073/pnas.040372010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5455/JBAU.9328" TargetMode="External"/><Relationship Id="rId28" Type="http://schemas.openxmlformats.org/officeDocument/2006/relationships/footer" Target="footer4.xml"/><Relationship Id="rId10" Type="http://schemas.openxmlformats.org/officeDocument/2006/relationships/image" Target="media/image10.wmf"/><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s://doi.org/10.9734/ajrcs/2023/v8i2161" TargetMode="External"/><Relationship Id="rId27" Type="http://schemas.openxmlformats.org/officeDocument/2006/relationships/header" Target="head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Shahin%20Data\Final.%20Correction%20Sahin%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Sheet3!$AE$6</c:f>
              <c:strCache>
                <c:ptCount val="1"/>
                <c:pt idx="0">
                  <c:v>Grain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Sheet3!$AE$7:$AE$10</c:f>
              <c:numCache>
                <c:formatCode>General</c:formatCode>
                <c:ptCount val="4"/>
                <c:pt idx="0">
                  <c:v>5.19</c:v>
                </c:pt>
                <c:pt idx="1">
                  <c:v>4.53</c:v>
                </c:pt>
                <c:pt idx="2">
                  <c:v>4.49</c:v>
                </c:pt>
                <c:pt idx="3">
                  <c:v>4.97</c:v>
                </c:pt>
              </c:numCache>
            </c:numRef>
          </c:val>
          <c:extLst>
            <c:ext xmlns:c16="http://schemas.microsoft.com/office/drawing/2014/chart" uri="{C3380CC4-5D6E-409C-BE32-E72D297353CC}">
              <c16:uniqueId val="{00000000-3AA3-4B79-9917-41CF62354E17}"/>
            </c:ext>
          </c:extLst>
        </c:ser>
        <c:ser>
          <c:idx val="1"/>
          <c:order val="1"/>
          <c:tx>
            <c:strRef>
              <c:f>Sheet3!$AF$6</c:f>
              <c:strCache>
                <c:ptCount val="1"/>
                <c:pt idx="0">
                  <c:v>Straw yield</c:v>
                </c:pt>
              </c:strCache>
            </c:strRef>
          </c:tx>
          <c:invertIfNegative val="0"/>
          <c:errBars>
            <c:errBarType val="both"/>
            <c:errValType val="stdErr"/>
            <c:noEndCap val="0"/>
          </c:errBars>
          <c:cat>
            <c:strRef>
              <c:f>Sheet3!$AD$7:$AD$10</c:f>
              <c:strCache>
                <c:ptCount val="4"/>
                <c:pt idx="0">
                  <c:v>V1</c:v>
                </c:pt>
                <c:pt idx="1">
                  <c:v>V2</c:v>
                </c:pt>
                <c:pt idx="2">
                  <c:v>V3</c:v>
                </c:pt>
                <c:pt idx="3">
                  <c:v>V4</c:v>
                </c:pt>
              </c:strCache>
            </c:strRef>
          </c:cat>
          <c:val>
            <c:numRef>
              <c:f>Sheet3!$AF$7:$AF$10</c:f>
              <c:numCache>
                <c:formatCode>General</c:formatCode>
                <c:ptCount val="4"/>
                <c:pt idx="0">
                  <c:v>6.1</c:v>
                </c:pt>
                <c:pt idx="1">
                  <c:v>5.59</c:v>
                </c:pt>
                <c:pt idx="2">
                  <c:v>5.39</c:v>
                </c:pt>
                <c:pt idx="3">
                  <c:v>5.96</c:v>
                </c:pt>
              </c:numCache>
            </c:numRef>
          </c:val>
          <c:extLst>
            <c:ext xmlns:c16="http://schemas.microsoft.com/office/drawing/2014/chart" uri="{C3380CC4-5D6E-409C-BE32-E72D297353CC}">
              <c16:uniqueId val="{00000001-3AA3-4B79-9917-41CF62354E17}"/>
            </c:ext>
          </c:extLst>
        </c:ser>
        <c:dLbls>
          <c:showLegendKey val="0"/>
          <c:showVal val="0"/>
          <c:showCatName val="0"/>
          <c:showSerName val="0"/>
          <c:showPercent val="0"/>
          <c:showBubbleSize val="0"/>
        </c:dLbls>
        <c:gapWidth val="150"/>
        <c:axId val="573859024"/>
        <c:axId val="573859568"/>
      </c:barChart>
      <c:catAx>
        <c:axId val="573859024"/>
        <c:scaling>
          <c:orientation val="minMax"/>
        </c:scaling>
        <c:delete val="0"/>
        <c:axPos val="b"/>
        <c:title>
          <c:tx>
            <c:rich>
              <a:bodyPr/>
              <a:lstStyle/>
              <a:p>
                <a:pPr>
                  <a:defRPr sz="1200" b="0">
                    <a:latin typeface="Book Antiqua" pitchFamily="18" charset="0"/>
                  </a:defRPr>
                </a:pPr>
                <a:r>
                  <a:rPr lang="en-US" sz="1200" b="0">
                    <a:latin typeface="Book Antiqua" pitchFamily="18" charset="0"/>
                  </a:rPr>
                  <a:t>Variety</a:t>
                </a:r>
              </a:p>
            </c:rich>
          </c:tx>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573859568"/>
        <c:crosses val="autoZero"/>
        <c:auto val="1"/>
        <c:lblAlgn val="ctr"/>
        <c:lblOffset val="100"/>
        <c:noMultiLvlLbl val="0"/>
      </c:catAx>
      <c:valAx>
        <c:axId val="573859568"/>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573859024"/>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1850986518625"/>
          <c:y val="0.16200732568596057"/>
          <c:w val="0.84733778295427864"/>
          <c:h val="0.58700039679137339"/>
        </c:manualLayout>
      </c:layout>
      <c:barChart>
        <c:barDir val="col"/>
        <c:grouping val="clustered"/>
        <c:varyColors val="0"/>
        <c:ser>
          <c:idx val="0"/>
          <c:order val="0"/>
          <c:tx>
            <c:strRef>
              <c:f>Sheet3!$AE$30</c:f>
              <c:strCache>
                <c:ptCount val="1"/>
                <c:pt idx="0">
                  <c:v>Grain yield</c:v>
                </c:pt>
              </c:strCache>
            </c:strRef>
          </c:tx>
          <c:spPr>
            <a:solidFill>
              <a:srgbClr val="00B0F0"/>
            </a:solidFill>
          </c:spPr>
          <c:invertIfNegative val="0"/>
          <c:errBars>
            <c:errBarType val="both"/>
            <c:errValType val="stdErr"/>
            <c:noEndCap val="0"/>
          </c:errBars>
          <c:cat>
            <c:strRef>
              <c:f>Sheet3!$AD$31:$AD$32</c:f>
              <c:strCache>
                <c:ptCount val="2"/>
                <c:pt idx="0">
                  <c:v>P1</c:v>
                </c:pt>
                <c:pt idx="1">
                  <c:v>P2</c:v>
                </c:pt>
              </c:strCache>
            </c:strRef>
          </c:cat>
          <c:val>
            <c:numRef>
              <c:f>Sheet3!$AE$31:$AE$32</c:f>
              <c:numCache>
                <c:formatCode>General</c:formatCode>
                <c:ptCount val="2"/>
                <c:pt idx="0">
                  <c:v>5.01</c:v>
                </c:pt>
                <c:pt idx="1">
                  <c:v>4.58</c:v>
                </c:pt>
              </c:numCache>
            </c:numRef>
          </c:val>
          <c:extLst>
            <c:ext xmlns:c16="http://schemas.microsoft.com/office/drawing/2014/chart" uri="{C3380CC4-5D6E-409C-BE32-E72D297353CC}">
              <c16:uniqueId val="{00000000-8C3D-404D-9630-92184C3A6FAB}"/>
            </c:ext>
          </c:extLst>
        </c:ser>
        <c:ser>
          <c:idx val="1"/>
          <c:order val="1"/>
          <c:tx>
            <c:strRef>
              <c:f>Sheet3!$AF$30</c:f>
              <c:strCache>
                <c:ptCount val="1"/>
                <c:pt idx="0">
                  <c:v>Straw yield</c:v>
                </c:pt>
              </c:strCache>
            </c:strRef>
          </c:tx>
          <c:spPr>
            <a:solidFill>
              <a:srgbClr val="FFC000"/>
            </a:solidFill>
          </c:spPr>
          <c:invertIfNegative val="0"/>
          <c:errBars>
            <c:errBarType val="both"/>
            <c:errValType val="stdErr"/>
            <c:noEndCap val="0"/>
          </c:errBars>
          <c:cat>
            <c:strRef>
              <c:f>Sheet3!$AD$31:$AD$32</c:f>
              <c:strCache>
                <c:ptCount val="2"/>
                <c:pt idx="0">
                  <c:v>P1</c:v>
                </c:pt>
                <c:pt idx="1">
                  <c:v>P2</c:v>
                </c:pt>
              </c:strCache>
            </c:strRef>
          </c:cat>
          <c:val>
            <c:numRef>
              <c:f>Sheet3!$AF$31:$AF$32</c:f>
              <c:numCache>
                <c:formatCode>General</c:formatCode>
                <c:ptCount val="2"/>
                <c:pt idx="0">
                  <c:v>5.95</c:v>
                </c:pt>
                <c:pt idx="1">
                  <c:v>5.57</c:v>
                </c:pt>
              </c:numCache>
            </c:numRef>
          </c:val>
          <c:extLst>
            <c:ext xmlns:c16="http://schemas.microsoft.com/office/drawing/2014/chart" uri="{C3380CC4-5D6E-409C-BE32-E72D297353CC}">
              <c16:uniqueId val="{00000001-8C3D-404D-9630-92184C3A6FAB}"/>
            </c:ext>
          </c:extLst>
        </c:ser>
        <c:dLbls>
          <c:showLegendKey val="0"/>
          <c:showVal val="0"/>
          <c:showCatName val="0"/>
          <c:showSerName val="0"/>
          <c:showPercent val="0"/>
          <c:showBubbleSize val="0"/>
        </c:dLbls>
        <c:gapWidth val="150"/>
        <c:axId val="573862288"/>
        <c:axId val="870807312"/>
      </c:barChart>
      <c:catAx>
        <c:axId val="573862288"/>
        <c:scaling>
          <c:orientation val="minMax"/>
        </c:scaling>
        <c:delete val="0"/>
        <c:axPos val="b"/>
        <c:title>
          <c:tx>
            <c:rich>
              <a:bodyPr/>
              <a:lstStyle/>
              <a:p>
                <a:pPr>
                  <a:defRPr sz="1200" b="0">
                    <a:latin typeface="Book Antiqua" pitchFamily="18" charset="0"/>
                  </a:defRPr>
                </a:pPr>
                <a:r>
                  <a:rPr lang="en-US" sz="1200" b="0">
                    <a:latin typeface="Book Antiqua" pitchFamily="18" charset="0"/>
                  </a:rPr>
                  <a:t>Cultivation methods</a:t>
                </a:r>
              </a:p>
            </c:rich>
          </c:tx>
          <c:layout>
            <c:manualLayout>
              <c:xMode val="edge"/>
              <c:yMode val="edge"/>
              <c:x val="0.3505043601170757"/>
              <c:y val="0.86090129465647636"/>
            </c:manualLayout>
          </c:layout>
          <c:overlay val="0"/>
        </c:title>
        <c:numFmt formatCode="General" sourceLinked="0"/>
        <c:majorTickMark val="out"/>
        <c:minorTickMark val="none"/>
        <c:tickLblPos val="nextTo"/>
        <c:spPr>
          <a:ln w="25400"/>
        </c:spPr>
        <c:txPr>
          <a:bodyPr/>
          <a:lstStyle/>
          <a:p>
            <a:pPr>
              <a:defRPr sz="1200">
                <a:latin typeface="Book Antiqua" pitchFamily="18" charset="0"/>
              </a:defRPr>
            </a:pPr>
            <a:endParaRPr lang="en-US"/>
          </a:p>
        </c:txPr>
        <c:crossAx val="870807312"/>
        <c:crosses val="autoZero"/>
        <c:auto val="1"/>
        <c:lblAlgn val="ctr"/>
        <c:lblOffset val="100"/>
        <c:noMultiLvlLbl val="0"/>
      </c:catAx>
      <c:valAx>
        <c:axId val="870807312"/>
        <c:scaling>
          <c:orientation val="minMax"/>
        </c:scaling>
        <c:delete val="0"/>
        <c:axPos val="l"/>
        <c:title>
          <c:tx>
            <c:rich>
              <a:bodyPr rot="-5400000" vert="horz"/>
              <a:lstStyle/>
              <a:p>
                <a:pPr>
                  <a:defRPr sz="1200" b="0">
                    <a:latin typeface="Book Antiqua" pitchFamily="18" charset="0"/>
                  </a:defRPr>
                </a:pPr>
                <a:r>
                  <a:rPr lang="en-US" sz="1200" b="0">
                    <a:latin typeface="Book Antiqua" pitchFamily="18" charset="0"/>
                  </a:rPr>
                  <a:t>Yield (t ha</a:t>
                </a:r>
                <a:r>
                  <a:rPr lang="en-US" sz="1200" b="0" baseline="30000">
                    <a:latin typeface="Book Antiqua" pitchFamily="18" charset="0"/>
                  </a:rPr>
                  <a:t>-1</a:t>
                </a:r>
                <a:r>
                  <a:rPr lang="en-US" sz="1200" b="0">
                    <a:latin typeface="Book Antiqua" pitchFamily="18" charset="0"/>
                  </a:rPr>
                  <a:t>)</a:t>
                </a:r>
              </a:p>
            </c:rich>
          </c:tx>
          <c:overlay val="0"/>
        </c:title>
        <c:numFmt formatCode="General" sourceLinked="1"/>
        <c:majorTickMark val="out"/>
        <c:minorTickMark val="none"/>
        <c:tickLblPos val="nextTo"/>
        <c:spPr>
          <a:ln w="25400"/>
        </c:spPr>
        <c:txPr>
          <a:bodyPr/>
          <a:lstStyle/>
          <a:p>
            <a:pPr>
              <a:defRPr sz="1200">
                <a:latin typeface="Book Antiqua" pitchFamily="18" charset="0"/>
              </a:defRPr>
            </a:pPr>
            <a:endParaRPr lang="en-US"/>
          </a:p>
        </c:txPr>
        <c:crossAx val="573862288"/>
        <c:crosses val="autoZero"/>
        <c:crossBetween val="between"/>
      </c:valAx>
    </c:plotArea>
    <c:legend>
      <c:legendPos val="t"/>
      <c:overlay val="0"/>
      <c:txPr>
        <a:bodyPr/>
        <a:lstStyle/>
        <a:p>
          <a:pPr>
            <a:defRPr sz="1200">
              <a:latin typeface="Book Antiqua"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mn-cs"/>
              </a:defRPr>
            </a:pPr>
            <a:r>
              <a:rPr lang="en-US" sz="1200" b="0">
                <a:solidFill>
                  <a:sysClr val="windowText" lastClr="000000"/>
                </a:solidFill>
                <a:latin typeface="Book Antiqua" panose="02040602050305030304" pitchFamily="18" charset="0"/>
              </a:rPr>
              <a:t> C</a:t>
            </a:r>
            <a:r>
              <a:rPr lang="en-US" sz="1200" b="0" i="0" u="none" strike="noStrike" baseline="0">
                <a:effectLst/>
                <a:latin typeface="Book Antiqua" panose="02040602050305030304" pitchFamily="18" charset="0"/>
              </a:rPr>
              <a:t>ultivation</a:t>
            </a:r>
            <a:r>
              <a:rPr lang="en-US" sz="1200" b="0">
                <a:solidFill>
                  <a:sysClr val="windowText" lastClr="000000"/>
                </a:solidFill>
                <a:latin typeface="Book Antiqua" panose="02040602050305030304" pitchFamily="18" charset="0"/>
              </a:rPr>
              <a:t> methods and variety</a:t>
            </a:r>
          </a:p>
        </c:rich>
      </c:tx>
      <c:layout>
        <c:manualLayout>
          <c:xMode val="edge"/>
          <c:yMode val="edge"/>
          <c:x val="0.19647222222222221"/>
          <c:y val="0.8796296296296296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0"/>
          <c:order val="0"/>
          <c:tx>
            <c:strRef>
              <c:f>Sheet2!$D$4:$D$5</c:f>
              <c:strCache>
                <c:ptCount val="2"/>
                <c:pt idx="0">
                  <c:v>Grain yield</c:v>
                </c:pt>
                <c:pt idx="1">
                  <c:v>(t ha-1)</c:v>
                </c:pt>
              </c:strCache>
            </c:strRef>
          </c:tx>
          <c:spPr>
            <a:solidFill>
              <a:schemeClr val="accent1"/>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Sheet2!$D$6:$D$13</c:f>
              <c:numCache>
                <c:formatCode>General</c:formatCode>
                <c:ptCount val="8"/>
                <c:pt idx="0">
                  <c:v>5.42</c:v>
                </c:pt>
                <c:pt idx="1">
                  <c:v>4.96</c:v>
                </c:pt>
                <c:pt idx="2">
                  <c:v>4.6900000000000004</c:v>
                </c:pt>
                <c:pt idx="3">
                  <c:v>4.38</c:v>
                </c:pt>
                <c:pt idx="4">
                  <c:v>4.72</c:v>
                </c:pt>
                <c:pt idx="5">
                  <c:v>4.25</c:v>
                </c:pt>
                <c:pt idx="6">
                  <c:v>5.21</c:v>
                </c:pt>
                <c:pt idx="7">
                  <c:v>4.7300000000000004</c:v>
                </c:pt>
              </c:numCache>
            </c:numRef>
          </c:val>
          <c:extLst>
            <c:ext xmlns:c16="http://schemas.microsoft.com/office/drawing/2014/chart" uri="{C3380CC4-5D6E-409C-BE32-E72D297353CC}">
              <c16:uniqueId val="{00000000-0745-45C5-BF17-EB4BFE48553D}"/>
            </c:ext>
          </c:extLst>
        </c:ser>
        <c:ser>
          <c:idx val="1"/>
          <c:order val="1"/>
          <c:tx>
            <c:strRef>
              <c:f>Sheet2!$E$4:$E$5</c:f>
              <c:strCache>
                <c:ptCount val="2"/>
                <c:pt idx="0">
                  <c:v>Straw yield</c:v>
                </c:pt>
                <c:pt idx="1">
                  <c:v>(t ha-1)</c:v>
                </c:pt>
              </c:strCache>
            </c:strRef>
          </c:tx>
          <c:spPr>
            <a:solidFill>
              <a:schemeClr val="accent2"/>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Sheet2!$C$6:$C$13</c:f>
              <c:strCache>
                <c:ptCount val="8"/>
                <c:pt idx="0">
                  <c:v>V1:P1</c:v>
                </c:pt>
                <c:pt idx="1">
                  <c:v>V1:P2</c:v>
                </c:pt>
                <c:pt idx="2">
                  <c:v>V2:P1</c:v>
                </c:pt>
                <c:pt idx="3">
                  <c:v>V2:P2</c:v>
                </c:pt>
                <c:pt idx="4">
                  <c:v>V3:P1</c:v>
                </c:pt>
                <c:pt idx="5">
                  <c:v>V3:P2</c:v>
                </c:pt>
                <c:pt idx="6">
                  <c:v>V4:P1</c:v>
                </c:pt>
                <c:pt idx="7">
                  <c:v>V4:P2</c:v>
                </c:pt>
              </c:strCache>
            </c:strRef>
          </c:cat>
          <c:val>
            <c:numRef>
              <c:f>Sheet2!$E$6:$E$13</c:f>
              <c:numCache>
                <c:formatCode>General</c:formatCode>
                <c:ptCount val="8"/>
                <c:pt idx="0">
                  <c:v>6.29</c:v>
                </c:pt>
                <c:pt idx="1">
                  <c:v>5.91</c:v>
                </c:pt>
                <c:pt idx="2">
                  <c:v>5.7</c:v>
                </c:pt>
                <c:pt idx="3">
                  <c:v>5.48</c:v>
                </c:pt>
                <c:pt idx="4">
                  <c:v>5.62</c:v>
                </c:pt>
                <c:pt idx="5">
                  <c:v>5.17</c:v>
                </c:pt>
                <c:pt idx="6">
                  <c:v>6.2</c:v>
                </c:pt>
                <c:pt idx="7">
                  <c:v>5.72</c:v>
                </c:pt>
              </c:numCache>
            </c:numRef>
          </c:val>
          <c:extLst>
            <c:ext xmlns:c16="http://schemas.microsoft.com/office/drawing/2014/chart" uri="{C3380CC4-5D6E-409C-BE32-E72D297353CC}">
              <c16:uniqueId val="{00000001-0745-45C5-BF17-EB4BFE48553D}"/>
            </c:ext>
          </c:extLst>
        </c:ser>
        <c:dLbls>
          <c:showLegendKey val="0"/>
          <c:showVal val="0"/>
          <c:showCatName val="0"/>
          <c:showSerName val="0"/>
          <c:showPercent val="0"/>
          <c:showBubbleSize val="0"/>
        </c:dLbls>
        <c:gapWidth val="219"/>
        <c:overlap val="-27"/>
        <c:axId val="852035231"/>
        <c:axId val="851806575"/>
      </c:barChart>
      <c:catAx>
        <c:axId val="852035231"/>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851806575"/>
        <c:crosses val="autoZero"/>
        <c:auto val="1"/>
        <c:lblAlgn val="ctr"/>
        <c:lblOffset val="100"/>
        <c:noMultiLvlLbl val="0"/>
      </c:catAx>
      <c:valAx>
        <c:axId val="851806575"/>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852035231"/>
        <c:crosses val="autoZero"/>
        <c:crossBetween val="between"/>
      </c:valAx>
      <c:spPr>
        <a:noFill/>
        <a:ln>
          <a:noFill/>
        </a:ln>
        <a:effectLst/>
      </c:spPr>
    </c:plotArea>
    <c:legend>
      <c:legendPos val="b"/>
      <c:layout>
        <c:manualLayout>
          <c:xMode val="edge"/>
          <c:yMode val="edge"/>
          <c:x val="0.19794257610322075"/>
          <c:y val="1.3409937930986975E-2"/>
          <c:w val="0.6215607394870033"/>
          <c:h val="0.109963764371973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A4D4-C0D1-4C42-8C36-8751579C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6201</TotalTime>
  <Pages>19</Pages>
  <Words>6164</Words>
  <Characters>35137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anisur rahman</dc:creator>
  <cp:keywords/>
  <dc:description/>
  <cp:lastModifiedBy>Naima Sultana</cp:lastModifiedBy>
  <cp:revision>108</cp:revision>
  <dcterms:created xsi:type="dcterms:W3CDTF">2024-12-17T18:43:00Z</dcterms:created>
  <dcterms:modified xsi:type="dcterms:W3CDTF">2025-07-30T02:19:00Z</dcterms:modified>
</cp:coreProperties>
</file>