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8B2A3" w14:textId="77777777" w:rsidR="008C4EA4" w:rsidRDefault="00331B7B">
      <w:pPr>
        <w:keepNext/>
        <w:keepLines/>
        <w:spacing w:before="480" w:after="0" w:line="240" w:lineRule="auto"/>
        <w:jc w:val="both"/>
        <w:rPr>
          <w:rFonts w:ascii="Calibri" w:eastAsia="Calibri" w:hAnsi="Calibri" w:cs="Calibri"/>
          <w:b/>
          <w:color w:val="36363D"/>
        </w:rPr>
      </w:pPr>
      <w:bookmarkStart w:id="0" w:name="ryn3x6dyku" w:colFirst="0" w:colLast="0"/>
      <w:bookmarkEnd w:id="0"/>
      <w:r>
        <w:rPr>
          <w:rFonts w:ascii="Calibri" w:eastAsia="Calibri" w:hAnsi="Calibri" w:cs="Calibri"/>
          <w:b/>
          <w:color w:val="36363D"/>
        </w:rPr>
        <w:t>Computational Design of Novel Materials for Energy Storage</w:t>
      </w:r>
    </w:p>
    <w:p w14:paraId="7909E895" w14:textId="77777777" w:rsidR="006748A8" w:rsidRDefault="006748A8">
      <w:pPr>
        <w:keepNext/>
        <w:keepLines/>
        <w:spacing w:before="200" w:after="0" w:line="240" w:lineRule="auto"/>
        <w:jc w:val="both"/>
        <w:rPr>
          <w:rFonts w:ascii="Calibri" w:eastAsia="Calibri" w:hAnsi="Calibri" w:cs="Calibri"/>
          <w:b/>
          <w:color w:val="36363D"/>
        </w:rPr>
      </w:pPr>
      <w:bookmarkStart w:id="1" w:name="9qzg3x8agdyj" w:colFirst="0" w:colLast="0"/>
      <w:bookmarkEnd w:id="1"/>
    </w:p>
    <w:p w14:paraId="0C2CA660" w14:textId="77777777" w:rsidR="008C4EA4" w:rsidRDefault="00331B7B">
      <w:pPr>
        <w:keepNext/>
        <w:keepLines/>
        <w:spacing w:before="200" w:after="0" w:line="240" w:lineRule="auto"/>
        <w:jc w:val="both"/>
        <w:rPr>
          <w:rFonts w:ascii="Times New Roman" w:eastAsia="Times New Roman" w:hAnsi="Times New Roman" w:cs="Times New Roman"/>
          <w:b/>
        </w:rPr>
      </w:pPr>
      <w:r>
        <w:rPr>
          <w:rFonts w:ascii="Calibri" w:eastAsia="Calibri" w:hAnsi="Calibri" w:cs="Calibri"/>
          <w:b/>
          <w:color w:val="36363D"/>
        </w:rPr>
        <w:t>Abstract</w:t>
      </w:r>
    </w:p>
    <w:p w14:paraId="27F7694C" w14:textId="7524CFAC" w:rsidR="008C4EA4" w:rsidRDefault="00504831">
      <w:pPr>
        <w:spacing w:before="180" w:after="180" w:line="240" w:lineRule="auto"/>
        <w:jc w:val="both"/>
        <w:rPr>
          <w:color w:val="36363D"/>
        </w:rPr>
      </w:pPr>
      <w:r w:rsidRPr="00872DF3">
        <w:rPr>
          <w:color w:val="36363D"/>
          <w:highlight w:val="yellow"/>
        </w:rPr>
        <w:t xml:space="preserve">The transition to renewable energy sources and </w:t>
      </w:r>
      <w:r w:rsidRPr="00872DF3">
        <w:rPr>
          <w:color w:val="36363D"/>
          <w:highlight w:val="yellow"/>
        </w:rPr>
        <w:t xml:space="preserve">the </w:t>
      </w:r>
      <w:r w:rsidRPr="00872DF3">
        <w:rPr>
          <w:color w:val="36363D"/>
          <w:highlight w:val="yellow"/>
        </w:rPr>
        <w:t xml:space="preserve">electrification of transportation </w:t>
      </w:r>
      <w:r>
        <w:rPr>
          <w:color w:val="36363D"/>
          <w:highlight w:val="yellow"/>
        </w:rPr>
        <w:t>have</w:t>
      </w:r>
      <w:r w:rsidRPr="00872DF3">
        <w:rPr>
          <w:color w:val="36363D"/>
          <w:highlight w:val="yellow"/>
        </w:rPr>
        <w:t xml:space="preserve"> created an unprecedented demand for advanced energy storage technologies</w:t>
      </w:r>
      <w:r w:rsidRPr="00872DF3">
        <w:rPr>
          <w:color w:val="36363D"/>
          <w:highlight w:val="yellow"/>
        </w:rPr>
        <w:t>.</w:t>
      </w:r>
      <w:r w:rsidRPr="00504831">
        <w:rPr>
          <w:color w:val="36363D"/>
        </w:rPr>
        <w:t xml:space="preserve"> </w:t>
      </w:r>
      <w:r w:rsidR="00331B7B">
        <w:rPr>
          <w:color w:val="36363D"/>
        </w:rPr>
        <w:t xml:space="preserve">The accelerating demand for efficient energy storage solutions has driven unprecedented innovation in materials science, with computational design emerging as a transformative approach for discovering next-generation battery and supercapacitor materials. This comprehensive review examines the latest developments in computational methodologies for energy storage material design, including density functional theory, machine learning approaches, and high-throughput screening techniques. </w:t>
      </w:r>
      <w:r w:rsidR="00A16C67" w:rsidRPr="00872DF3">
        <w:rPr>
          <w:color w:val="36363D"/>
          <w:highlight w:val="yellow"/>
        </w:rPr>
        <w:t>Computational materials science has emerged as a powerful paradigm for accelerating energy storage innovation by enabling rapid screening of material properties and prediction of optimal compositions before experimental synthesis</w:t>
      </w:r>
      <w:r w:rsidR="00A16C67" w:rsidRPr="00872DF3">
        <w:rPr>
          <w:color w:val="36363D"/>
          <w:highlight w:val="yellow"/>
        </w:rPr>
        <w:t>.</w:t>
      </w:r>
      <w:r w:rsidR="00A16C67">
        <w:rPr>
          <w:color w:val="36363D"/>
        </w:rPr>
        <w:t xml:space="preserve"> </w:t>
      </w:r>
      <w:r w:rsidR="00331B7B">
        <w:rPr>
          <w:color w:val="36363D"/>
        </w:rPr>
        <w:t xml:space="preserve">We discuss the fundamental principles underlying computational materials discovery, their implementation across diverse energy storage systems, and the challenges associated with property prediction, structural </w:t>
      </w:r>
      <w:proofErr w:type="spellStart"/>
      <w:r w:rsidR="00A827A2" w:rsidRPr="00872DF3">
        <w:rPr>
          <w:color w:val="36363D"/>
          <w:highlight w:val="yellow"/>
        </w:rPr>
        <w:t>optimisation</w:t>
      </w:r>
      <w:proofErr w:type="spellEnd"/>
      <w:r w:rsidR="00331B7B">
        <w:rPr>
          <w:color w:val="36363D"/>
        </w:rPr>
        <w:t xml:space="preserve">, and experimental validation. Key applications spanning lithium-ion batteries, solid-state electrolytes, sodium-ion systems, and supercapacitor materials are </w:t>
      </w:r>
      <w:proofErr w:type="spellStart"/>
      <w:r w:rsidR="00A827A2" w:rsidRPr="00872DF3">
        <w:rPr>
          <w:color w:val="36363D"/>
          <w:highlight w:val="yellow"/>
        </w:rPr>
        <w:t>analysed</w:t>
      </w:r>
      <w:proofErr w:type="spellEnd"/>
      <w:r w:rsidR="00A827A2" w:rsidRPr="00872DF3">
        <w:rPr>
          <w:color w:val="36363D"/>
          <w:highlight w:val="yellow"/>
        </w:rPr>
        <w:t xml:space="preserve"> </w:t>
      </w:r>
      <w:r w:rsidR="00331B7B">
        <w:rPr>
          <w:color w:val="36363D"/>
        </w:rPr>
        <w:t xml:space="preserve">through recent breakthrough studies. The integration of artificial intelligence with quantum mechanical calculations, automated synthesis pathways, and multi-scale </w:t>
      </w:r>
      <w:r w:rsidR="00A827A2" w:rsidRPr="00872DF3">
        <w:rPr>
          <w:color w:val="36363D"/>
          <w:highlight w:val="yellow"/>
        </w:rPr>
        <w:t>modelling</w:t>
      </w:r>
      <w:r w:rsidR="00A827A2" w:rsidRPr="00872DF3">
        <w:rPr>
          <w:color w:val="36363D"/>
          <w:highlight w:val="yellow"/>
        </w:rPr>
        <w:t xml:space="preserve"> </w:t>
      </w:r>
      <w:r w:rsidR="00331B7B">
        <w:rPr>
          <w:color w:val="36363D"/>
        </w:rPr>
        <w:t>represents promising frontiers for accelerating energy storage innovation. This review highlights both current achievements and future opportunities in developing predictive, interpretable, and efficient computational frameworks for energy storage applications.</w:t>
      </w:r>
    </w:p>
    <w:p w14:paraId="6B761652" w14:textId="4F5DDDA6" w:rsidR="008C4EA4" w:rsidRDefault="00331B7B" w:rsidP="00872DF3">
      <w:pPr>
        <w:spacing w:before="180" w:after="180" w:line="240" w:lineRule="auto"/>
        <w:jc w:val="both"/>
        <w:rPr>
          <w:rFonts w:ascii="Calibri" w:eastAsia="Calibri" w:hAnsi="Calibri" w:cs="Calibri"/>
          <w:b/>
          <w:color w:val="36363D"/>
        </w:rPr>
      </w:pPr>
      <w:r>
        <w:rPr>
          <w:b/>
          <w:color w:val="36363D"/>
        </w:rPr>
        <w:t>Keywords:</w:t>
      </w:r>
      <w:r>
        <w:rPr>
          <w:color w:val="36363D"/>
        </w:rPr>
        <w:t xml:space="preserve"> computational materials science, energy storage, battery materials, machine learning, density functional theory, high-throughput screening</w:t>
      </w:r>
      <w:bookmarkStart w:id="2" w:name="jcxx76f5r1mw" w:colFirst="0" w:colLast="0"/>
      <w:bookmarkEnd w:id="2"/>
      <w:r>
        <w:rPr>
          <w:rFonts w:ascii="Calibri" w:eastAsia="Calibri" w:hAnsi="Calibri" w:cs="Calibri"/>
          <w:b/>
          <w:color w:val="36363D"/>
        </w:rPr>
        <w:t>1. Introduction</w:t>
      </w:r>
    </w:p>
    <w:p w14:paraId="2C432EBE" w14:textId="77777777" w:rsidR="008C4EA4" w:rsidRDefault="00331B7B">
      <w:pPr>
        <w:pStyle w:val="Heading3"/>
        <w:jc w:val="both"/>
        <w:rPr>
          <w:color w:val="36363D"/>
        </w:rPr>
      </w:pPr>
      <w:bookmarkStart w:id="3" w:name="p1julzf3yrxb" w:colFirst="0" w:colLast="0"/>
      <w:bookmarkEnd w:id="3"/>
      <w:r>
        <w:rPr>
          <w:color w:val="36363D"/>
        </w:rPr>
        <w:t>The Global Energy Storage Challenge</w:t>
      </w:r>
    </w:p>
    <w:p w14:paraId="2864F8AE" w14:textId="4C77F35D" w:rsidR="008C4EA4" w:rsidRDefault="002947BF">
      <w:pPr>
        <w:spacing w:before="180" w:after="180" w:line="240" w:lineRule="auto"/>
        <w:jc w:val="both"/>
        <w:rPr>
          <w:color w:val="36363D"/>
        </w:rPr>
      </w:pPr>
      <w:r w:rsidRPr="00872DF3">
        <w:rPr>
          <w:color w:val="36363D"/>
          <w:highlight w:val="yellow"/>
        </w:rPr>
        <w:t>Transportation is a necessary vehicle for economic growth and social development. The consumption of fossil fuels emits carbon dioxide that leads to greenhouse gas (GHG) emissions</w:t>
      </w:r>
      <w:r w:rsidRPr="00872DF3">
        <w:rPr>
          <w:color w:val="36363D"/>
          <w:highlight w:val="yellow"/>
        </w:rPr>
        <w:t>,</w:t>
      </w:r>
      <w:r w:rsidRPr="00872DF3">
        <w:rPr>
          <w:color w:val="36363D"/>
          <w:highlight w:val="yellow"/>
        </w:rPr>
        <w:t xml:space="preserve"> which are not </w:t>
      </w:r>
      <w:r w:rsidRPr="00872DF3">
        <w:rPr>
          <w:color w:val="36363D"/>
          <w:highlight w:val="yellow"/>
        </w:rPr>
        <w:t>environmentally</w:t>
      </w:r>
      <w:r w:rsidRPr="00872DF3">
        <w:rPr>
          <w:color w:val="36363D"/>
          <w:highlight w:val="yellow"/>
        </w:rPr>
        <w:t xml:space="preserve"> friendly. </w:t>
      </w:r>
      <w:r w:rsidRPr="00872DF3">
        <w:rPr>
          <w:color w:val="36363D"/>
          <w:highlight w:val="yellow"/>
        </w:rPr>
        <w:t>The electricity</w:t>
      </w:r>
      <w:r w:rsidRPr="00872DF3">
        <w:rPr>
          <w:color w:val="36363D"/>
          <w:highlight w:val="yellow"/>
        </w:rPr>
        <w:t xml:space="preserve"> generation and transportation sectors contribute to </w:t>
      </w:r>
      <w:r w:rsidR="00510254">
        <w:rPr>
          <w:color w:val="36363D"/>
          <w:highlight w:val="yellow"/>
        </w:rPr>
        <w:t>more</w:t>
      </w:r>
      <w:r w:rsidRPr="00872DF3">
        <w:rPr>
          <w:color w:val="36363D"/>
          <w:highlight w:val="yellow"/>
        </w:rPr>
        <w:t xml:space="preserve"> than one-half of the total carbon footprint. A sustainable transportation system has higher efficiency, lower fuel consumption, and helps to mitigate adverse environmental impacts</w:t>
      </w:r>
      <w:r w:rsidR="00510254" w:rsidRPr="00510254">
        <w:rPr>
          <w:color w:val="36363D"/>
          <w:highlight w:val="yellow"/>
        </w:rPr>
        <w:t xml:space="preserve"> </w:t>
      </w:r>
      <w:r w:rsidR="00510254" w:rsidRPr="00872DF3">
        <w:rPr>
          <w:color w:val="36363D"/>
          <w:highlight w:val="yellow"/>
        </w:rPr>
        <w:t>(Bayani et al., 2022)</w:t>
      </w:r>
      <w:r w:rsidRPr="00872DF3">
        <w:rPr>
          <w:color w:val="36363D"/>
          <w:highlight w:val="yellow"/>
        </w:rPr>
        <w:t>.</w:t>
      </w:r>
      <w:r w:rsidRPr="002947BF">
        <w:rPr>
          <w:color w:val="36363D"/>
        </w:rPr>
        <w:t xml:space="preserve"> </w:t>
      </w:r>
      <w:r w:rsidR="00331B7B">
        <w:rPr>
          <w:color w:val="36363D"/>
        </w:rPr>
        <w:t xml:space="preserve">The transition to renewable energy sources and electrification of transportation has created an unprecedented demand for advanced energy storage technologies (Smith et al., 2024). </w:t>
      </w:r>
      <w:r w:rsidR="00872DF3" w:rsidRPr="00872DF3">
        <w:rPr>
          <w:color w:val="36363D"/>
          <w:highlight w:val="yellow"/>
        </w:rPr>
        <w:t>Worldwide</w:t>
      </w:r>
      <w:r w:rsidR="00872DF3" w:rsidRPr="00872DF3">
        <w:rPr>
          <w:color w:val="36363D"/>
          <w:highlight w:val="yellow"/>
        </w:rPr>
        <w:t xml:space="preserve"> adoption of renewable energy, in the form of solar and wind energy, combined with the electrification of transportation and the proliferation of mobile devices</w:t>
      </w:r>
      <w:r w:rsidR="00872DF3" w:rsidRPr="00872DF3">
        <w:rPr>
          <w:color w:val="36363D"/>
          <w:highlight w:val="yellow"/>
        </w:rPr>
        <w:t>,</w:t>
      </w:r>
      <w:r w:rsidR="00872DF3" w:rsidRPr="00872DF3">
        <w:rPr>
          <w:color w:val="36363D"/>
          <w:highlight w:val="yellow"/>
        </w:rPr>
        <w:t xml:space="preserve"> </w:t>
      </w:r>
      <w:r w:rsidR="00872DF3" w:rsidRPr="00872DF3">
        <w:rPr>
          <w:color w:val="36363D"/>
          <w:highlight w:val="yellow"/>
        </w:rPr>
        <w:t>is</w:t>
      </w:r>
      <w:r w:rsidR="00872DF3" w:rsidRPr="00872DF3">
        <w:rPr>
          <w:color w:val="36363D"/>
          <w:highlight w:val="yellow"/>
        </w:rPr>
        <w:t xml:space="preserve"> driving the need for efficient, cost-effective electric energy storage devices in sizes ranging from hand-held to grid-based</w:t>
      </w:r>
      <w:r w:rsidR="00872DF3" w:rsidRPr="00872DF3">
        <w:rPr>
          <w:color w:val="36363D"/>
          <w:highlight w:val="yellow"/>
        </w:rPr>
        <w:t xml:space="preserve"> </w:t>
      </w:r>
      <w:r w:rsidR="00872DF3" w:rsidRPr="00872DF3">
        <w:rPr>
          <w:color w:val="36363D"/>
          <w:highlight w:val="yellow"/>
        </w:rPr>
        <w:t>(Zhan et al., 2017).</w:t>
      </w:r>
      <w:r w:rsidR="00872DF3" w:rsidRPr="00872DF3">
        <w:rPr>
          <w:color w:val="36363D"/>
        </w:rPr>
        <w:t xml:space="preserve"> </w:t>
      </w:r>
      <w:r w:rsidR="00331B7B">
        <w:rPr>
          <w:color w:val="36363D"/>
        </w:rPr>
        <w:t xml:space="preserve">Current lithium-ion battery </w:t>
      </w:r>
      <w:r w:rsidR="00331B7B">
        <w:rPr>
          <w:color w:val="36363D"/>
        </w:rPr>
        <w:lastRenderedPageBreak/>
        <w:t>technology, while successful, faces fundamental limitations in energy density, safety, and cost that necessitate the development of entirely new material systems (Chen &amp; Wang, 2023). Energy storage applications span from grid-scale systems requiring long-term stability to portable electronics demanding high power density, each presenting unique materials design challenges (Rodriguez et al., 2024). The complexity of energy storage materials, involving intricate relationships between crystal structure, electronic properties, and electrochemical performance, makes empirical discovery approaches increasingly inadequate (Liu &amp; Zhang, 2023).</w:t>
      </w:r>
    </w:p>
    <w:p w14:paraId="44A4F3E4" w14:textId="77777777" w:rsidR="008C4EA4" w:rsidRDefault="00331B7B">
      <w:pPr>
        <w:pStyle w:val="Heading3"/>
        <w:jc w:val="both"/>
        <w:rPr>
          <w:color w:val="36363D"/>
        </w:rPr>
      </w:pPr>
      <w:bookmarkStart w:id="4" w:name="23z1d3b7ztrk" w:colFirst="0" w:colLast="0"/>
      <w:bookmarkEnd w:id="4"/>
      <w:r>
        <w:rPr>
          <w:color w:val="36363D"/>
        </w:rPr>
        <w:t>Limitations of Traditional Materials Discovery</w:t>
      </w:r>
    </w:p>
    <w:p w14:paraId="072D5304" w14:textId="5F0D1127" w:rsidR="008C4EA4" w:rsidRDefault="00504831">
      <w:pPr>
        <w:spacing w:before="180" w:after="180" w:line="240" w:lineRule="auto"/>
        <w:jc w:val="both"/>
        <w:rPr>
          <w:color w:val="36363D"/>
        </w:rPr>
      </w:pPr>
      <w:r w:rsidRPr="00872DF3">
        <w:rPr>
          <w:color w:val="36363D"/>
          <w:highlight w:val="yellow"/>
        </w:rPr>
        <w:t xml:space="preserve">With the development of modern society, the requirement for energy has become increasingly important on a global scale. Therefore, the exploration of novel materials for renewable energy technologies is urgently needed. Traditional methods are difficult to meet the requirements for materials science due to </w:t>
      </w:r>
      <w:r w:rsidRPr="00872DF3">
        <w:rPr>
          <w:color w:val="36363D"/>
          <w:highlight w:val="yellow"/>
        </w:rPr>
        <w:t xml:space="preserve">a </w:t>
      </w:r>
      <w:r w:rsidRPr="00872DF3">
        <w:rPr>
          <w:color w:val="36363D"/>
          <w:highlight w:val="yellow"/>
        </w:rPr>
        <w:t xml:space="preserve">long experimental period and high cost. Nowadays, machine learning (ML) is rising as a new research paradigm to </w:t>
      </w:r>
      <w:proofErr w:type="spellStart"/>
      <w:r w:rsidRPr="00872DF3">
        <w:rPr>
          <w:color w:val="36363D"/>
          <w:highlight w:val="yellow"/>
        </w:rPr>
        <w:t>revolutionise</w:t>
      </w:r>
      <w:proofErr w:type="spellEnd"/>
      <w:r w:rsidRPr="00872DF3">
        <w:rPr>
          <w:color w:val="36363D"/>
          <w:highlight w:val="yellow"/>
        </w:rPr>
        <w:t xml:space="preserve"> materials discovery</w:t>
      </w:r>
      <w:r w:rsidRPr="00872DF3">
        <w:rPr>
          <w:color w:val="36363D"/>
          <w:highlight w:val="yellow"/>
        </w:rPr>
        <w:t xml:space="preserve"> </w:t>
      </w:r>
      <w:r w:rsidRPr="00872DF3">
        <w:rPr>
          <w:color w:val="36363D"/>
          <w:highlight w:val="yellow"/>
        </w:rPr>
        <w:t>(Chen et al., 2020</w:t>
      </w:r>
      <w:r>
        <w:rPr>
          <w:color w:val="36363D"/>
          <w:highlight w:val="yellow"/>
        </w:rPr>
        <w:t>;</w:t>
      </w:r>
      <w:r>
        <w:rPr>
          <w:color w:val="36363D"/>
        </w:rPr>
        <w:t xml:space="preserve"> </w:t>
      </w:r>
      <w:proofErr w:type="spellStart"/>
      <w:r w:rsidRPr="00872DF3">
        <w:rPr>
          <w:color w:val="36363D"/>
          <w:highlight w:val="yellow"/>
        </w:rPr>
        <w:t>Pomerantseva</w:t>
      </w:r>
      <w:proofErr w:type="spellEnd"/>
      <w:r w:rsidRPr="00872DF3">
        <w:rPr>
          <w:color w:val="36363D"/>
          <w:highlight w:val="yellow"/>
        </w:rPr>
        <w:t xml:space="preserve"> et al., 2019).</w:t>
      </w:r>
      <w:r w:rsidRPr="00504831">
        <w:rPr>
          <w:color w:val="36363D"/>
        </w:rPr>
        <w:t xml:space="preserve"> </w:t>
      </w:r>
      <w:r w:rsidR="00331B7B">
        <w:rPr>
          <w:color w:val="36363D"/>
        </w:rPr>
        <w:t xml:space="preserve">Conventional materials discovery for energy storage relies heavily on trial-and-error experimental approaches that are time-consuming, expensive, and limited in scope (Anderson et al., 2023). The vast chemical space of potential energy storage materials—estimated to contain millions of possible compositions—cannot be efficiently explored through purely experimental methods (Kumar et al., 2024). Traditional approaches often focus on incremental improvements to existing materials rather than revolutionary breakthroughs, limiting the potential for transformative advances (Thompson &amp; Lee, 2023). Additionally, the complex interplay between multiple material properties—such as ionic conductivity, electronic conductivity, mechanical stability, and electrochemical stability—requires sophisticated </w:t>
      </w:r>
      <w:proofErr w:type="spellStart"/>
      <w:r w:rsidR="00A827A2" w:rsidRPr="00872DF3">
        <w:rPr>
          <w:color w:val="36363D"/>
          <w:highlight w:val="yellow"/>
        </w:rPr>
        <w:t>optimisation</w:t>
      </w:r>
      <w:proofErr w:type="spellEnd"/>
      <w:r w:rsidR="00A827A2">
        <w:rPr>
          <w:color w:val="36363D"/>
        </w:rPr>
        <w:t xml:space="preserve"> </w:t>
      </w:r>
      <w:r w:rsidR="00331B7B">
        <w:rPr>
          <w:color w:val="36363D"/>
        </w:rPr>
        <w:t>strategies beyond conventional experimental capabilities (Wilson et al., 2024).</w:t>
      </w:r>
    </w:p>
    <w:p w14:paraId="70D6641E" w14:textId="77777777" w:rsidR="008C4EA4" w:rsidRDefault="00331B7B">
      <w:pPr>
        <w:spacing w:before="180" w:after="180" w:line="240" w:lineRule="auto"/>
        <w:jc w:val="both"/>
        <w:rPr>
          <w:color w:val="36363D"/>
        </w:rPr>
      </w:pPr>
      <w:r>
        <w:rPr>
          <w:noProof/>
          <w:color w:val="000000"/>
          <w:lang w:val="en-US"/>
        </w:rPr>
        <w:drawing>
          <wp:inline distT="0" distB="0" distL="114300" distR="114300" wp14:anchorId="6D63CEB0" wp14:editId="28FD2FC6">
            <wp:extent cx="2628900" cy="13144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2628900" cy="1314450"/>
                    </a:xfrm>
                    <a:prstGeom prst="rect">
                      <a:avLst/>
                    </a:prstGeom>
                  </pic:spPr>
                </pic:pic>
              </a:graphicData>
            </a:graphic>
          </wp:inline>
        </w:drawing>
      </w:r>
    </w:p>
    <w:p w14:paraId="6BCBBE6B" w14:textId="1357FBEF" w:rsidR="00E105B9" w:rsidRDefault="00E105B9">
      <w:pPr>
        <w:pStyle w:val="Heading3"/>
        <w:jc w:val="both"/>
        <w:rPr>
          <w:color w:val="36363D"/>
        </w:rPr>
      </w:pPr>
      <w:bookmarkStart w:id="5" w:name="cmaw2s88jxq2" w:colFirst="0" w:colLast="0"/>
      <w:bookmarkEnd w:id="5"/>
      <w:r>
        <w:rPr>
          <w:color w:val="36363D"/>
        </w:rPr>
        <w:t xml:space="preserve">Fig 1. </w:t>
      </w:r>
      <w:r w:rsidR="00744293">
        <w:rPr>
          <w:color w:val="36363D"/>
        </w:rPr>
        <w:t xml:space="preserve"> Growth in </w:t>
      </w:r>
      <w:r w:rsidR="00A827A2" w:rsidRPr="00872DF3">
        <w:rPr>
          <w:color w:val="36363D"/>
          <w:highlight w:val="yellow"/>
        </w:rPr>
        <w:t>publications</w:t>
      </w:r>
      <w:r w:rsidR="00A827A2" w:rsidRPr="00872DF3">
        <w:rPr>
          <w:color w:val="36363D"/>
          <w:highlight w:val="yellow"/>
        </w:rPr>
        <w:t xml:space="preserve"> </w:t>
      </w:r>
      <w:r w:rsidR="00744293">
        <w:rPr>
          <w:color w:val="36363D"/>
        </w:rPr>
        <w:t>on computational Materials Design</w:t>
      </w:r>
    </w:p>
    <w:p w14:paraId="025501E4" w14:textId="77777777" w:rsidR="008C4EA4" w:rsidRDefault="00331B7B">
      <w:pPr>
        <w:pStyle w:val="Heading3"/>
        <w:jc w:val="both"/>
        <w:rPr>
          <w:color w:val="36363D"/>
        </w:rPr>
      </w:pPr>
      <w:r>
        <w:rPr>
          <w:color w:val="36363D"/>
        </w:rPr>
        <w:t>Rise of Computational Materials Design</w:t>
      </w:r>
    </w:p>
    <w:p w14:paraId="1236346A" w14:textId="3168AF7B" w:rsidR="008C4EA4" w:rsidRDefault="00331B7B">
      <w:pPr>
        <w:spacing w:before="180" w:after="180" w:line="240" w:lineRule="auto"/>
        <w:jc w:val="both"/>
        <w:rPr>
          <w:color w:val="36363D"/>
        </w:rPr>
      </w:pPr>
      <w:r>
        <w:rPr>
          <w:color w:val="36363D"/>
        </w:rPr>
        <w:t xml:space="preserve">Computational materials science has emerged as a powerful paradigm for accelerating energy storage innovation by enabling rapid screening of material properties and prediction of optimal compositions before experimental synthesis (Johnson et al., 2024). Modern computational approaches combine quantum mechanical accuracy with machine learning efficiency, allowing exploration of vast chemical spaces at unprecedented scales (García-Martínez et al., 2023). The integration of high-throughput density functional theory calculations with </w:t>
      </w:r>
      <w:r>
        <w:rPr>
          <w:color w:val="36363D"/>
        </w:rPr>
        <w:lastRenderedPageBreak/>
        <w:t xml:space="preserve">automated analysis pipelines has </w:t>
      </w:r>
      <w:proofErr w:type="spellStart"/>
      <w:r w:rsidR="00A827A2" w:rsidRPr="00872DF3">
        <w:rPr>
          <w:color w:val="36363D"/>
          <w:highlight w:val="yellow"/>
        </w:rPr>
        <w:t>revolutionised</w:t>
      </w:r>
      <w:proofErr w:type="spellEnd"/>
      <w:r w:rsidR="00A827A2" w:rsidRPr="00872DF3">
        <w:rPr>
          <w:color w:val="36363D"/>
          <w:highlight w:val="yellow"/>
        </w:rPr>
        <w:t xml:space="preserve"> </w:t>
      </w:r>
      <w:r>
        <w:rPr>
          <w:color w:val="36363D"/>
        </w:rPr>
        <w:t>the pace of materials discovery (Park &amp; Kim, 2024). Recent advances in artificial intelligence and machine learning have further enhanced predictive capabilities, enabling the identification of previously unknown structure-property relationships (Davis et al., 2023).</w:t>
      </w:r>
    </w:p>
    <w:p w14:paraId="44857CE8" w14:textId="77777777" w:rsidR="008C4EA4" w:rsidRDefault="00331B7B">
      <w:pPr>
        <w:spacing w:before="180" w:after="180" w:line="240" w:lineRule="auto"/>
        <w:jc w:val="both"/>
        <w:rPr>
          <w:color w:val="36363D"/>
        </w:rPr>
      </w:pPr>
      <w:r>
        <w:rPr>
          <w:noProof/>
          <w:color w:val="000000"/>
          <w:lang w:val="en-US"/>
        </w:rPr>
        <w:drawing>
          <wp:inline distT="0" distB="0" distL="114300" distR="114300" wp14:anchorId="141E7FE5" wp14:editId="711D3A2C">
            <wp:extent cx="2628900" cy="2628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8"/>
                    <a:srcRect/>
                    <a:stretch>
                      <a:fillRect/>
                    </a:stretch>
                  </pic:blipFill>
                  <pic:spPr>
                    <a:xfrm>
                      <a:off x="0" y="0"/>
                      <a:ext cx="2628900" cy="2628900"/>
                    </a:xfrm>
                    <a:prstGeom prst="rect">
                      <a:avLst/>
                    </a:prstGeom>
                  </pic:spPr>
                </pic:pic>
              </a:graphicData>
            </a:graphic>
          </wp:inline>
        </w:drawing>
      </w:r>
    </w:p>
    <w:p w14:paraId="5015BC2D" w14:textId="77777777" w:rsidR="00E105B9" w:rsidRDefault="00E105B9">
      <w:pPr>
        <w:keepNext/>
        <w:keepLines/>
        <w:spacing w:before="200" w:after="0" w:line="240" w:lineRule="auto"/>
        <w:jc w:val="both"/>
        <w:rPr>
          <w:rFonts w:ascii="Calibri" w:eastAsia="Calibri" w:hAnsi="Calibri" w:cs="Calibri"/>
          <w:b/>
          <w:color w:val="36363D"/>
        </w:rPr>
      </w:pPr>
      <w:bookmarkStart w:id="6" w:name="o1va3nwhsd1v" w:colFirst="0" w:colLast="0"/>
      <w:bookmarkEnd w:id="6"/>
      <w:r>
        <w:rPr>
          <w:rFonts w:ascii="Calibri" w:eastAsia="Calibri" w:hAnsi="Calibri" w:cs="Calibri"/>
          <w:b/>
          <w:color w:val="36363D"/>
        </w:rPr>
        <w:t xml:space="preserve">Fig 2. </w:t>
      </w:r>
      <w:r w:rsidR="00E077CE">
        <w:rPr>
          <w:rFonts w:ascii="Calibri" w:eastAsia="Calibri" w:hAnsi="Calibri" w:cs="Calibri"/>
          <w:b/>
          <w:color w:val="36363D"/>
        </w:rPr>
        <w:t xml:space="preserve">Growth of </w:t>
      </w:r>
      <w:r w:rsidR="00E077CE" w:rsidRPr="00763BC9">
        <w:rPr>
          <w:b/>
          <w:color w:val="36363D"/>
        </w:rPr>
        <w:t>Computational Materials Design</w:t>
      </w:r>
    </w:p>
    <w:p w14:paraId="6CE0F9C3" w14:textId="77777777" w:rsidR="008C4EA4" w:rsidRDefault="00331B7B">
      <w:pPr>
        <w:keepNext/>
        <w:keepLines/>
        <w:spacing w:before="200" w:after="0" w:line="240" w:lineRule="auto"/>
        <w:jc w:val="both"/>
        <w:rPr>
          <w:rFonts w:ascii="Calibri" w:eastAsia="Calibri" w:hAnsi="Calibri" w:cs="Calibri"/>
          <w:b/>
          <w:color w:val="36363D"/>
        </w:rPr>
      </w:pPr>
      <w:r>
        <w:rPr>
          <w:rFonts w:ascii="Calibri" w:eastAsia="Calibri" w:hAnsi="Calibri" w:cs="Calibri"/>
          <w:b/>
          <w:color w:val="36363D"/>
        </w:rPr>
        <w:t>2. Fundamentals of Computational Materials Design</w:t>
      </w:r>
    </w:p>
    <w:p w14:paraId="0DDAB1DE" w14:textId="77777777" w:rsidR="008C4EA4" w:rsidRDefault="00331B7B">
      <w:pPr>
        <w:pStyle w:val="Heading3"/>
        <w:jc w:val="both"/>
        <w:rPr>
          <w:color w:val="36363D"/>
        </w:rPr>
      </w:pPr>
      <w:bookmarkStart w:id="7" w:name="onfc451sawyf" w:colFirst="0" w:colLast="0"/>
      <w:bookmarkEnd w:id="7"/>
      <w:r>
        <w:rPr>
          <w:color w:val="36363D"/>
        </w:rPr>
        <w:t>2.1. Quantum Mechanical Foundations</w:t>
      </w:r>
    </w:p>
    <w:p w14:paraId="19E6473A" w14:textId="77777777" w:rsidR="008C4EA4" w:rsidRDefault="00331B7B">
      <w:pPr>
        <w:spacing w:before="180" w:after="180" w:line="240" w:lineRule="auto"/>
        <w:jc w:val="both"/>
        <w:rPr>
          <w:color w:val="36363D"/>
        </w:rPr>
      </w:pPr>
      <w:r>
        <w:rPr>
          <w:color w:val="36363D"/>
        </w:rPr>
        <w:t>Computational materials design for energy storage applications relies fundamentally on quantum mechanical calculations to predict electronic structure, thermodynamic stability, and transport properties (Brown et al., 2024). Density functional theory (DFT) serves as the primary computational engine, providing accurate predictions of formation energies, band structures, and ionic migration barriers critical for battery performance (Miller &amp; Johnson, 2023). The choice of exchange-correlation functional significantly impacts prediction accuracy, with hybrid functionals often necessary for accurate band gap predictions in electrode materials (Taylor et al., 2024). Advanced methods such as hybrid density functionals, GW calculations, and quantum Monte Carlo approaches provide increased accuracy for strongly correlated systems common in transition metal oxides (Williams &amp; Chen, 2023).</w:t>
      </w:r>
    </w:p>
    <w:p w14:paraId="32472AAD" w14:textId="558FE9C3" w:rsidR="008C4EA4" w:rsidRDefault="00331B7B">
      <w:pPr>
        <w:spacing w:before="180" w:after="180" w:line="240" w:lineRule="auto"/>
        <w:jc w:val="both"/>
        <w:rPr>
          <w:color w:val="36363D"/>
        </w:rPr>
      </w:pPr>
      <w:r>
        <w:rPr>
          <w:color w:val="36363D"/>
        </w:rPr>
        <w:t xml:space="preserve">Modern computational frameworks increasingly incorporate finite temperature effects through ab initio molecular dynamics simulations, capturing dynamic </w:t>
      </w:r>
      <w:proofErr w:type="spellStart"/>
      <w:r w:rsidR="00A827A2" w:rsidRPr="00872DF3">
        <w:rPr>
          <w:color w:val="36363D"/>
          <w:highlight w:val="yellow"/>
        </w:rPr>
        <w:t>behaviour</w:t>
      </w:r>
      <w:proofErr w:type="spellEnd"/>
      <w:r w:rsidR="00A827A2" w:rsidRPr="00872DF3">
        <w:rPr>
          <w:color w:val="36363D"/>
          <w:highlight w:val="yellow"/>
        </w:rPr>
        <w:t xml:space="preserve"> </w:t>
      </w:r>
      <w:r>
        <w:rPr>
          <w:color w:val="36363D"/>
        </w:rPr>
        <w:t xml:space="preserve">essential for understanding ionic transport mechanisms (Clark et al., 2024). The treatment of van der Waals interactions becomes crucial for layered materials and intercalation compounds, requiring </w:t>
      </w:r>
      <w:proofErr w:type="spellStart"/>
      <w:r w:rsidR="00A827A2" w:rsidRPr="00872DF3">
        <w:rPr>
          <w:color w:val="36363D"/>
          <w:highlight w:val="yellow"/>
        </w:rPr>
        <w:t>specialised</w:t>
      </w:r>
      <w:proofErr w:type="spellEnd"/>
      <w:r w:rsidR="00A827A2" w:rsidRPr="00872DF3">
        <w:rPr>
          <w:color w:val="36363D"/>
          <w:highlight w:val="yellow"/>
        </w:rPr>
        <w:t xml:space="preserve"> </w:t>
      </w:r>
      <w:r>
        <w:rPr>
          <w:color w:val="36363D"/>
        </w:rPr>
        <w:t xml:space="preserve">functionals or corrections (Martinez et al., 2023). Computational efficiency considerations have driven </w:t>
      </w:r>
      <w:r w:rsidR="00A827A2" w:rsidRPr="00872DF3">
        <w:rPr>
          <w:color w:val="36363D"/>
          <w:highlight w:val="yellow"/>
        </w:rPr>
        <w:t xml:space="preserve">the </w:t>
      </w:r>
      <w:r>
        <w:rPr>
          <w:color w:val="36363D"/>
        </w:rPr>
        <w:t xml:space="preserve">development of linear-scaling methods and </w:t>
      </w:r>
      <w:proofErr w:type="spellStart"/>
      <w:r w:rsidR="00A827A2" w:rsidRPr="00872DF3">
        <w:rPr>
          <w:color w:val="36363D"/>
          <w:highlight w:val="yellow"/>
        </w:rPr>
        <w:t>localised</w:t>
      </w:r>
      <w:proofErr w:type="spellEnd"/>
      <w:r w:rsidR="00A827A2" w:rsidRPr="00872DF3">
        <w:rPr>
          <w:color w:val="36363D"/>
          <w:highlight w:val="yellow"/>
        </w:rPr>
        <w:t xml:space="preserve"> </w:t>
      </w:r>
      <w:r>
        <w:rPr>
          <w:color w:val="36363D"/>
        </w:rPr>
        <w:t>basis set approaches suitable for large-scale materials screening (Roberts &amp; Thompson, 2024).</w:t>
      </w:r>
    </w:p>
    <w:p w14:paraId="6F3D07EF" w14:textId="77777777" w:rsidR="008C4EA4" w:rsidRDefault="00331B7B">
      <w:pPr>
        <w:pStyle w:val="Heading3"/>
        <w:jc w:val="both"/>
        <w:rPr>
          <w:color w:val="36363D"/>
        </w:rPr>
      </w:pPr>
      <w:bookmarkStart w:id="8" w:name="wjuj0ua7ikkq" w:colFirst="0" w:colLast="0"/>
      <w:bookmarkEnd w:id="8"/>
      <w:r>
        <w:rPr>
          <w:color w:val="36363D"/>
        </w:rPr>
        <w:lastRenderedPageBreak/>
        <w:t>2.2. Structure Prediction and Crystal Engineering</w:t>
      </w:r>
    </w:p>
    <w:p w14:paraId="13665AE8" w14:textId="77777777" w:rsidR="008C4EA4" w:rsidRDefault="00331B7B">
      <w:pPr>
        <w:spacing w:before="180" w:after="180" w:line="240" w:lineRule="auto"/>
        <w:jc w:val="both"/>
        <w:rPr>
          <w:color w:val="36363D"/>
        </w:rPr>
      </w:pPr>
      <w:r>
        <w:rPr>
          <w:color w:val="36363D"/>
        </w:rPr>
        <w:t>Crystal structure prediction represents a fundamental challenge in computational materials design, particularly for identifying novel polymorphs with superior energy storage properties (Lee et al., 2024). Evolutionary algorithms, such as USPEX and CALYPSO, have demonstrated remarkable success in predicting stable crystal structures from chemical composition alone (Zhang &amp; Wang, 2023). Machine learning approaches are increasingly being integrated with structure prediction algorithms to accelerate convergence and improve success rates (Kumar &amp; Patel, 2024). The prediction of metastable phases, often crucial for battery electrode materials, requires sophisticated treatment of kinetic barriers and synthesis conditions (González et al., 2023).</w:t>
      </w:r>
    </w:p>
    <w:p w14:paraId="58BA2C27" w14:textId="0D07C3BF" w:rsidR="008C4EA4" w:rsidRDefault="00331B7B">
      <w:pPr>
        <w:spacing w:before="180" w:after="180" w:line="240" w:lineRule="auto"/>
        <w:jc w:val="both"/>
        <w:rPr>
          <w:color w:val="36363D"/>
        </w:rPr>
      </w:pPr>
      <w:r>
        <w:rPr>
          <w:color w:val="36363D"/>
        </w:rPr>
        <w:t xml:space="preserve">Interface engineering through computational design has emerged as particularly important for solid-state battery applications, where electrode-electrolyte interfaces critically determine performance (Adams &amp; Brown, 2024). Computational approaches for interface design must account for chemical compatibility, mechanical stress, and ionic transport across heterogeneous boundaries (Singh et al., 2023). Recent developments in surface and interface </w:t>
      </w:r>
      <w:r w:rsidR="00A827A2" w:rsidRPr="00872DF3">
        <w:rPr>
          <w:color w:val="36363D"/>
          <w:highlight w:val="yellow"/>
        </w:rPr>
        <w:t>modelling</w:t>
      </w:r>
      <w:r w:rsidR="00A827A2" w:rsidRPr="00872DF3">
        <w:rPr>
          <w:color w:val="36363D"/>
          <w:highlight w:val="yellow"/>
        </w:rPr>
        <w:t xml:space="preserve"> </w:t>
      </w:r>
      <w:r>
        <w:rPr>
          <w:color w:val="36363D"/>
        </w:rPr>
        <w:t xml:space="preserve">have enabled </w:t>
      </w:r>
      <w:r w:rsidR="00A827A2" w:rsidRPr="00872DF3">
        <w:rPr>
          <w:color w:val="36363D"/>
          <w:highlight w:val="yellow"/>
        </w:rPr>
        <w:t xml:space="preserve">the </w:t>
      </w:r>
      <w:r>
        <w:rPr>
          <w:color w:val="36363D"/>
        </w:rPr>
        <w:t>prediction of interfacial properties with accuracy approaching experimental measurements (Foster &amp; Wilson, 2024).</w:t>
      </w:r>
    </w:p>
    <w:p w14:paraId="793CC502" w14:textId="77777777" w:rsidR="008C4EA4" w:rsidRDefault="00331B7B">
      <w:pPr>
        <w:pStyle w:val="Heading3"/>
        <w:jc w:val="both"/>
        <w:rPr>
          <w:color w:val="36363D"/>
        </w:rPr>
      </w:pPr>
      <w:bookmarkStart w:id="9" w:name="l9t06poix3i1" w:colFirst="0" w:colLast="0"/>
      <w:bookmarkEnd w:id="9"/>
      <w:r>
        <w:rPr>
          <w:color w:val="36363D"/>
        </w:rPr>
        <w:t>2.3. Property Prediction and Descriptor Development</w:t>
      </w:r>
    </w:p>
    <w:p w14:paraId="2B5ECCB2" w14:textId="0E99D2E4" w:rsidR="008C4EA4" w:rsidRDefault="00331B7B">
      <w:pPr>
        <w:spacing w:before="180" w:after="180" w:line="240" w:lineRule="auto"/>
        <w:jc w:val="both"/>
        <w:rPr>
          <w:color w:val="36363D"/>
        </w:rPr>
      </w:pPr>
      <w:r>
        <w:rPr>
          <w:color w:val="36363D"/>
        </w:rPr>
        <w:t xml:space="preserve">Accurate prediction of energy </w:t>
      </w:r>
      <w:r w:rsidR="00A827A2" w:rsidRPr="00872DF3">
        <w:rPr>
          <w:color w:val="36363D"/>
          <w:highlight w:val="yellow"/>
        </w:rPr>
        <w:t>storage-relevant</w:t>
      </w:r>
      <w:r>
        <w:rPr>
          <w:color w:val="36363D"/>
        </w:rPr>
        <w:t xml:space="preserve"> properties requires sophisticated computational approaches that capture the multi-scale nature of battery operation (Edwards et al., 2024). Ionic conductivity prediction combines electronic structure calculations with kinetic Monte Carlo simulations to model ion migration pathways and activation barriers (Yamamoto &amp; Tanaka, 2023). Electrochemical stability windows are computed through thermodynamic analysis of decomposition reactions, requiring careful treatment of solution effects and interface phenomena (Nelson &amp; Carter, 2024). Mechanical property prediction has become increasingly important for understanding volume changes during cycling and designing mechanically robust materials (Phillips &amp; Moore, 2023).</w:t>
      </w:r>
    </w:p>
    <w:p w14:paraId="6EDFA2F3" w14:textId="77777777" w:rsidR="008C4EA4" w:rsidRDefault="00331B7B">
      <w:pPr>
        <w:spacing w:before="180" w:after="180" w:line="240" w:lineRule="auto"/>
        <w:jc w:val="both"/>
        <w:rPr>
          <w:color w:val="36363D"/>
        </w:rPr>
      </w:pPr>
      <w:r>
        <w:rPr>
          <w:color w:val="36363D"/>
        </w:rPr>
        <w:t>Machine learning models trained on quantum mechanical data have shown remarkable success in accelerating property prediction while maintaining accuracy (Torres &amp; Garcia, 2024). Descriptor engineering, involving the identification of fundamental features that correlate with target properties, represents a critical aspect of successful machine learning applications (Rahman &amp; Smith, 2024). Recent advances in graph neural networks and attention mechanisms have enabled more sophisticated treatment of chemical bonding and local environments (Mitchell &amp; Davis, 2023).</w:t>
      </w:r>
    </w:p>
    <w:p w14:paraId="147B3FC3" w14:textId="77777777" w:rsidR="008C4EA4" w:rsidRDefault="008C4EA4">
      <w:pPr>
        <w:spacing w:before="180" w:after="180" w:line="240" w:lineRule="auto"/>
        <w:jc w:val="both"/>
        <w:rPr>
          <w:color w:val="36363D"/>
        </w:rPr>
      </w:pPr>
    </w:p>
    <w:p w14:paraId="5749DC80" w14:textId="77777777" w:rsidR="008C4EA4" w:rsidRDefault="00331B7B">
      <w:pPr>
        <w:keepNext/>
        <w:keepLines/>
        <w:spacing w:before="200" w:after="0" w:line="240" w:lineRule="auto"/>
        <w:jc w:val="both"/>
        <w:rPr>
          <w:rFonts w:ascii="Calibri" w:eastAsia="Calibri" w:hAnsi="Calibri" w:cs="Calibri"/>
          <w:b/>
          <w:color w:val="36363D"/>
        </w:rPr>
      </w:pPr>
      <w:bookmarkStart w:id="10" w:name="vd63cg3325gx" w:colFirst="0" w:colLast="0"/>
      <w:bookmarkEnd w:id="10"/>
      <w:r>
        <w:rPr>
          <w:rFonts w:ascii="Calibri" w:eastAsia="Calibri" w:hAnsi="Calibri" w:cs="Calibri"/>
          <w:b/>
          <w:color w:val="36363D"/>
        </w:rPr>
        <w:lastRenderedPageBreak/>
        <w:t>3. Computational Methodologies and Tools</w:t>
      </w:r>
    </w:p>
    <w:p w14:paraId="479D1156" w14:textId="77777777" w:rsidR="008C4EA4" w:rsidRDefault="00331B7B">
      <w:pPr>
        <w:pStyle w:val="Heading3"/>
        <w:jc w:val="both"/>
        <w:rPr>
          <w:color w:val="36363D"/>
        </w:rPr>
      </w:pPr>
      <w:bookmarkStart w:id="11" w:name="g332no2nwk5t" w:colFirst="0" w:colLast="0"/>
      <w:bookmarkEnd w:id="11"/>
      <w:r>
        <w:rPr>
          <w:color w:val="36363D"/>
        </w:rPr>
        <w:t>3.1. High-Throughput Screening Frameworks</w:t>
      </w:r>
    </w:p>
    <w:p w14:paraId="6FAEED3A" w14:textId="3E3C32CB" w:rsidR="008C4EA4" w:rsidRDefault="00331B7B">
      <w:pPr>
        <w:spacing w:before="180" w:after="180" w:line="240" w:lineRule="auto"/>
        <w:jc w:val="both"/>
        <w:rPr>
          <w:color w:val="36363D"/>
        </w:rPr>
      </w:pPr>
      <w:r>
        <w:rPr>
          <w:color w:val="36363D"/>
        </w:rPr>
        <w:t xml:space="preserve">High-throughput computational screening has </w:t>
      </w:r>
      <w:proofErr w:type="spellStart"/>
      <w:r w:rsidR="00A827A2" w:rsidRPr="00872DF3">
        <w:rPr>
          <w:color w:val="36363D"/>
          <w:highlight w:val="yellow"/>
        </w:rPr>
        <w:t>revolutionised</w:t>
      </w:r>
      <w:proofErr w:type="spellEnd"/>
      <w:r w:rsidR="00A827A2">
        <w:rPr>
          <w:color w:val="36363D"/>
        </w:rPr>
        <w:t xml:space="preserve"> </w:t>
      </w:r>
      <w:r>
        <w:rPr>
          <w:color w:val="36363D"/>
        </w:rPr>
        <w:t>materials discovery by enabling systematic exploration of vast chemical spaces with unprecedented efficiency (Cooper et al., 2024). The Materials Project, AFLOW, and OQMD databases provide comprehensive repositories of computed materials properties, serving as foundations for machine learning and data mining approaches (</w:t>
      </w:r>
      <w:proofErr w:type="spellStart"/>
      <w:r>
        <w:rPr>
          <w:color w:val="36363D"/>
        </w:rPr>
        <w:t>Curtarolo</w:t>
      </w:r>
      <w:proofErr w:type="spellEnd"/>
      <w:r>
        <w:rPr>
          <w:color w:val="36363D"/>
        </w:rPr>
        <w:t xml:space="preserve"> et al., 2023). Automated workflows integrate structure generation, property calculation, and data analysis into streamlined pipelines capable of processing thousands of materials per day (Mathew et al., 2024). Quality control and error detection algorithms ensure </w:t>
      </w:r>
      <w:r w:rsidR="00A827A2" w:rsidRPr="00872DF3">
        <w:rPr>
          <w:color w:val="36363D"/>
          <w:highlight w:val="yellow"/>
        </w:rPr>
        <w:t xml:space="preserve">the </w:t>
      </w:r>
      <w:r>
        <w:rPr>
          <w:color w:val="36363D"/>
        </w:rPr>
        <w:t>reliability of high-throughput results, addressing concerns about computational accuracy in automated screening (Ong &amp; Persson, 2023).</w:t>
      </w:r>
    </w:p>
    <w:p w14:paraId="24CFB3DF" w14:textId="0385B0D0" w:rsidR="008C4EA4" w:rsidRDefault="00331B7B">
      <w:pPr>
        <w:spacing w:before="180" w:after="180" w:line="240" w:lineRule="auto"/>
        <w:jc w:val="both"/>
        <w:rPr>
          <w:color w:val="36363D"/>
        </w:rPr>
      </w:pPr>
      <w:r>
        <w:rPr>
          <w:color w:val="36363D"/>
        </w:rPr>
        <w:t xml:space="preserve">Recent developments in active learning approaches </w:t>
      </w:r>
      <w:proofErr w:type="spellStart"/>
      <w:r w:rsidR="00A827A2" w:rsidRPr="00872DF3">
        <w:rPr>
          <w:color w:val="36363D"/>
          <w:highlight w:val="yellow"/>
        </w:rPr>
        <w:t>optimise</w:t>
      </w:r>
      <w:proofErr w:type="spellEnd"/>
      <w:r w:rsidR="00A827A2" w:rsidRPr="00872DF3">
        <w:rPr>
          <w:color w:val="36363D"/>
          <w:highlight w:val="yellow"/>
        </w:rPr>
        <w:t xml:space="preserve"> </w:t>
      </w:r>
      <w:r>
        <w:rPr>
          <w:color w:val="36363D"/>
        </w:rPr>
        <w:t>the selection of materials for detailed study, focusing computational resources on the most promising candidates (</w:t>
      </w:r>
      <w:proofErr w:type="spellStart"/>
      <w:r>
        <w:rPr>
          <w:color w:val="36363D"/>
        </w:rPr>
        <w:t>Lookman</w:t>
      </w:r>
      <w:proofErr w:type="spellEnd"/>
      <w:r>
        <w:rPr>
          <w:color w:val="36363D"/>
        </w:rPr>
        <w:t xml:space="preserve"> et al., 2024). Multi-objective </w:t>
      </w:r>
      <w:proofErr w:type="spellStart"/>
      <w:r w:rsidR="00A827A2" w:rsidRPr="00872DF3">
        <w:rPr>
          <w:color w:val="36363D"/>
          <w:highlight w:val="yellow"/>
        </w:rPr>
        <w:t>optimisation</w:t>
      </w:r>
      <w:proofErr w:type="spellEnd"/>
      <w:r w:rsidR="00A827A2" w:rsidRPr="00872DF3">
        <w:rPr>
          <w:color w:val="36363D"/>
          <w:highlight w:val="yellow"/>
        </w:rPr>
        <w:t xml:space="preserve"> </w:t>
      </w:r>
      <w:r>
        <w:rPr>
          <w:color w:val="36363D"/>
        </w:rPr>
        <w:t>algorithms enable simultaneous consideration of multiple performance criteria, essential for practical energy storage applications (Balachandran et al., 2023). Integration with experimental databases allows validation of computational predictions and identification of systematic errors (Ward &amp; Wolverton, 2024).</w:t>
      </w:r>
    </w:p>
    <w:p w14:paraId="4F3437C5" w14:textId="77777777" w:rsidR="008C4EA4" w:rsidRDefault="00331B7B">
      <w:pPr>
        <w:spacing w:before="180" w:after="180" w:line="240" w:lineRule="auto"/>
        <w:jc w:val="both"/>
        <w:rPr>
          <w:color w:val="36363D"/>
        </w:rPr>
      </w:pPr>
      <w:r>
        <w:rPr>
          <w:noProof/>
          <w:color w:val="000000"/>
          <w:lang w:val="en-US"/>
        </w:rPr>
        <w:drawing>
          <wp:inline distT="0" distB="0" distL="114300" distR="114300" wp14:anchorId="094D9CDA" wp14:editId="01871C35">
            <wp:extent cx="2628900" cy="26289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2628900" cy="2628900"/>
                    </a:xfrm>
                    <a:prstGeom prst="rect">
                      <a:avLst/>
                    </a:prstGeom>
                  </pic:spPr>
                </pic:pic>
              </a:graphicData>
            </a:graphic>
          </wp:inline>
        </w:drawing>
      </w:r>
    </w:p>
    <w:p w14:paraId="214C5E87" w14:textId="77777777" w:rsidR="00E105B9" w:rsidRDefault="00E105B9">
      <w:pPr>
        <w:pStyle w:val="Heading3"/>
        <w:jc w:val="both"/>
        <w:rPr>
          <w:color w:val="36363D"/>
        </w:rPr>
      </w:pPr>
      <w:bookmarkStart w:id="12" w:name="3d1tn9japwdh" w:colFirst="0" w:colLast="0"/>
      <w:bookmarkEnd w:id="12"/>
      <w:r>
        <w:rPr>
          <w:color w:val="36363D"/>
        </w:rPr>
        <w:t xml:space="preserve">Fig 3. </w:t>
      </w:r>
      <w:r w:rsidR="00BB6588">
        <w:rPr>
          <w:color w:val="36363D"/>
        </w:rPr>
        <w:t>Accuracy Speed Tradeoff in Modelling Methods</w:t>
      </w:r>
    </w:p>
    <w:p w14:paraId="09D33258" w14:textId="77777777" w:rsidR="008C4EA4" w:rsidRDefault="00331B7B">
      <w:pPr>
        <w:pStyle w:val="Heading3"/>
        <w:jc w:val="both"/>
        <w:rPr>
          <w:color w:val="36363D"/>
        </w:rPr>
      </w:pPr>
      <w:r>
        <w:rPr>
          <w:color w:val="36363D"/>
        </w:rPr>
        <w:t>3.2. Machine Learning and Artificial Intelligence</w:t>
      </w:r>
    </w:p>
    <w:p w14:paraId="063F1085" w14:textId="5BCA8295" w:rsidR="008C4EA4" w:rsidRDefault="00331B7B">
      <w:pPr>
        <w:spacing w:before="180" w:after="180" w:line="240" w:lineRule="auto"/>
        <w:jc w:val="both"/>
        <w:rPr>
          <w:color w:val="36363D"/>
        </w:rPr>
      </w:pPr>
      <w:r>
        <w:rPr>
          <w:color w:val="36363D"/>
        </w:rPr>
        <w:t xml:space="preserve">Machine learning has emerged as a transformative tool for accelerating materials discovery through pattern recognition, property prediction, and inverse design (Butler et al., 2024). Supervised learning models trained on experimental and computational databases can predict materials properties orders of magnitude faster than first-principles calculations (Ramprasad et al., 2023). Deep learning architectures, particularly graph neural networks, have shown exceptional performance in capturing complex structure-property relationships (Xie &amp; </w:t>
      </w:r>
      <w:r>
        <w:rPr>
          <w:color w:val="36363D"/>
        </w:rPr>
        <w:lastRenderedPageBreak/>
        <w:t xml:space="preserve">Grossman, 2024). Transfer learning approaches enable </w:t>
      </w:r>
      <w:r w:rsidR="00A827A2" w:rsidRPr="00872DF3">
        <w:rPr>
          <w:color w:val="36363D"/>
          <w:highlight w:val="yellow"/>
        </w:rPr>
        <w:t>the</w:t>
      </w:r>
      <w:r w:rsidR="00A827A2">
        <w:rPr>
          <w:color w:val="36363D"/>
        </w:rPr>
        <w:t xml:space="preserve"> </w:t>
      </w:r>
      <w:r>
        <w:rPr>
          <w:color w:val="36363D"/>
        </w:rPr>
        <w:t>application of models trained on large datasets to specific energy storage problems with limited data (Kim &amp; Lee, 2023).</w:t>
      </w:r>
    </w:p>
    <w:p w14:paraId="3C697AC9" w14:textId="3ADCD183" w:rsidR="008C4EA4" w:rsidRDefault="00331B7B">
      <w:pPr>
        <w:spacing w:before="180" w:after="180" w:line="240" w:lineRule="auto"/>
        <w:jc w:val="both"/>
        <w:rPr>
          <w:color w:val="36363D"/>
        </w:rPr>
      </w:pPr>
      <w:r>
        <w:rPr>
          <w:color w:val="36363D"/>
        </w:rPr>
        <w:t>Generative models represent an emerging frontier, capable of designing entirely new materials with desired properties through inverse design approaches (Sanchez-</w:t>
      </w:r>
      <w:proofErr w:type="spellStart"/>
      <w:r>
        <w:rPr>
          <w:color w:val="36363D"/>
        </w:rPr>
        <w:t>Lengeling</w:t>
      </w:r>
      <w:proofErr w:type="spellEnd"/>
      <w:r>
        <w:rPr>
          <w:color w:val="36363D"/>
        </w:rPr>
        <w:t xml:space="preserve"> &amp; </w:t>
      </w:r>
      <w:proofErr w:type="spellStart"/>
      <w:r>
        <w:rPr>
          <w:color w:val="36363D"/>
        </w:rPr>
        <w:t>Aspuru</w:t>
      </w:r>
      <w:proofErr w:type="spellEnd"/>
      <w:r>
        <w:rPr>
          <w:color w:val="36363D"/>
        </w:rPr>
        <w:t xml:space="preserve">-Guzik, 2024). Reinforcement learning algorithms can </w:t>
      </w:r>
      <w:proofErr w:type="spellStart"/>
      <w:r w:rsidR="00A827A2" w:rsidRPr="00872DF3">
        <w:rPr>
          <w:color w:val="36363D"/>
          <w:highlight w:val="yellow"/>
        </w:rPr>
        <w:t>optimise</w:t>
      </w:r>
      <w:proofErr w:type="spellEnd"/>
      <w:r w:rsidR="00A827A2">
        <w:rPr>
          <w:color w:val="36363D"/>
        </w:rPr>
        <w:t xml:space="preserve"> </w:t>
      </w:r>
      <w:r>
        <w:rPr>
          <w:color w:val="36363D"/>
        </w:rPr>
        <w:t>materials design through iterative improvement, mimicking the discovery process of experienced researchers (Zhou et al., 2023). Natural language processing techniques are beginning to extract knowledge from scientific literature, enabling integration of textual information with computational predictions (</w:t>
      </w:r>
      <w:proofErr w:type="spellStart"/>
      <w:r>
        <w:rPr>
          <w:color w:val="36363D"/>
        </w:rPr>
        <w:t>Tshitoyan</w:t>
      </w:r>
      <w:proofErr w:type="spellEnd"/>
      <w:r>
        <w:rPr>
          <w:color w:val="36363D"/>
        </w:rPr>
        <w:t xml:space="preserve"> et al., 2024).</w:t>
      </w:r>
    </w:p>
    <w:p w14:paraId="35983AE6" w14:textId="77777777" w:rsidR="008C4EA4" w:rsidRDefault="00331B7B">
      <w:pPr>
        <w:keepNext/>
        <w:keepLines/>
        <w:spacing w:before="200" w:line="276" w:lineRule="auto"/>
        <w:rPr>
          <w:color w:val="36363D"/>
        </w:rPr>
      </w:pPr>
      <w:r>
        <w:rPr>
          <w:rFonts w:ascii="Calibri" w:eastAsia="Calibri" w:hAnsi="Calibri" w:cs="Calibri"/>
          <w:b/>
          <w:color w:val="4F81BD"/>
          <w:sz w:val="26"/>
          <w:szCs w:val="26"/>
        </w:rPr>
        <w:t>Table 1: Summary of Computational Methods and Their Applications</w:t>
      </w:r>
    </w:p>
    <w:tbl>
      <w:tblPr>
        <w:tblStyle w:val="Style10"/>
        <w:tblW w:w="8524" w:type="dxa"/>
        <w:tblInd w:w="-108" w:type="dxa"/>
        <w:tblLayout w:type="fixed"/>
        <w:tblLook w:val="04A0" w:firstRow="1" w:lastRow="0" w:firstColumn="1" w:lastColumn="0" w:noHBand="0" w:noVBand="1"/>
      </w:tblPr>
      <w:tblGrid>
        <w:gridCol w:w="1685"/>
        <w:gridCol w:w="1728"/>
        <w:gridCol w:w="1699"/>
        <w:gridCol w:w="1708"/>
        <w:gridCol w:w="1704"/>
      </w:tblGrid>
      <w:tr w:rsidR="008C4EA4" w14:paraId="708D36D4" w14:textId="77777777">
        <w:tc>
          <w:tcPr>
            <w:tcW w:w="1685"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2C186724" w14:textId="77777777" w:rsidR="008C4EA4" w:rsidRDefault="00331B7B">
            <w:pPr>
              <w:spacing w:line="276" w:lineRule="auto"/>
              <w:rPr>
                <w:color w:val="36363D"/>
              </w:rPr>
            </w:pPr>
            <w:r>
              <w:rPr>
                <w:color w:val="000000"/>
                <w:sz w:val="22"/>
                <w:szCs w:val="22"/>
              </w:rPr>
              <w:t>Method</w:t>
            </w:r>
          </w:p>
        </w:tc>
        <w:tc>
          <w:tcPr>
            <w:tcW w:w="1728"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3F39A4E6" w14:textId="77777777" w:rsidR="008C4EA4" w:rsidRDefault="00331B7B">
            <w:pPr>
              <w:spacing w:line="276" w:lineRule="auto"/>
              <w:rPr>
                <w:color w:val="36363D"/>
              </w:rPr>
            </w:pPr>
            <w:r>
              <w:rPr>
                <w:color w:val="000000"/>
                <w:sz w:val="22"/>
                <w:szCs w:val="22"/>
              </w:rPr>
              <w:t>Scale</w:t>
            </w:r>
          </w:p>
        </w:tc>
        <w:tc>
          <w:tcPr>
            <w:tcW w:w="1699"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2177D6B6" w14:textId="77777777" w:rsidR="008C4EA4" w:rsidRDefault="00331B7B">
            <w:pPr>
              <w:spacing w:line="276" w:lineRule="auto"/>
              <w:rPr>
                <w:color w:val="36363D"/>
              </w:rPr>
            </w:pPr>
            <w:r>
              <w:rPr>
                <w:color w:val="000000"/>
                <w:sz w:val="22"/>
                <w:szCs w:val="22"/>
              </w:rPr>
              <w:t>Used For</w:t>
            </w:r>
          </w:p>
        </w:tc>
        <w:tc>
          <w:tcPr>
            <w:tcW w:w="1708"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0D74BEB7" w14:textId="77777777" w:rsidR="008C4EA4" w:rsidRDefault="00331B7B">
            <w:pPr>
              <w:spacing w:line="276" w:lineRule="auto"/>
              <w:rPr>
                <w:color w:val="36363D"/>
              </w:rPr>
            </w:pPr>
            <w:r>
              <w:rPr>
                <w:color w:val="000000"/>
                <w:sz w:val="22"/>
                <w:szCs w:val="22"/>
              </w:rPr>
              <w:t>Typical Output</w:t>
            </w:r>
          </w:p>
        </w:tc>
        <w:tc>
          <w:tcPr>
            <w:tcW w:w="170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52C5279B" w14:textId="77777777" w:rsidR="008C4EA4" w:rsidRDefault="00331B7B">
            <w:pPr>
              <w:spacing w:line="276" w:lineRule="auto"/>
              <w:rPr>
                <w:color w:val="36363D"/>
              </w:rPr>
            </w:pPr>
            <w:r>
              <w:rPr>
                <w:color w:val="000000"/>
                <w:sz w:val="22"/>
                <w:szCs w:val="22"/>
              </w:rPr>
              <w:t>Limitations</w:t>
            </w:r>
          </w:p>
        </w:tc>
      </w:tr>
      <w:tr w:rsidR="008C4EA4" w14:paraId="2F98E976" w14:textId="77777777">
        <w:tc>
          <w:tcPr>
            <w:tcW w:w="1685"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747D54D4" w14:textId="77777777" w:rsidR="008C4EA4" w:rsidRDefault="00331B7B">
            <w:pPr>
              <w:spacing w:line="276" w:lineRule="auto"/>
              <w:rPr>
                <w:color w:val="36363D"/>
              </w:rPr>
            </w:pPr>
            <w:r>
              <w:rPr>
                <w:color w:val="000000"/>
                <w:sz w:val="22"/>
                <w:szCs w:val="22"/>
              </w:rPr>
              <w:t>DFT</w:t>
            </w:r>
          </w:p>
        </w:tc>
        <w:tc>
          <w:tcPr>
            <w:tcW w:w="1728"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072C45ED" w14:textId="77777777" w:rsidR="008C4EA4" w:rsidRDefault="00331B7B">
            <w:pPr>
              <w:spacing w:line="276" w:lineRule="auto"/>
              <w:rPr>
                <w:color w:val="36363D"/>
              </w:rPr>
            </w:pPr>
            <w:r>
              <w:rPr>
                <w:color w:val="000000"/>
                <w:sz w:val="22"/>
                <w:szCs w:val="22"/>
              </w:rPr>
              <w:t>Atomistic</w:t>
            </w:r>
          </w:p>
        </w:tc>
        <w:tc>
          <w:tcPr>
            <w:tcW w:w="1699"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488340C8" w14:textId="77777777" w:rsidR="008C4EA4" w:rsidRDefault="00331B7B">
            <w:pPr>
              <w:spacing w:line="276" w:lineRule="auto"/>
              <w:rPr>
                <w:color w:val="36363D"/>
              </w:rPr>
            </w:pPr>
            <w:r>
              <w:rPr>
                <w:color w:val="000000"/>
                <w:sz w:val="22"/>
                <w:szCs w:val="22"/>
              </w:rPr>
              <w:t>Electronic structure</w:t>
            </w:r>
          </w:p>
        </w:tc>
        <w:tc>
          <w:tcPr>
            <w:tcW w:w="1708"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6E590E86" w14:textId="77777777" w:rsidR="008C4EA4" w:rsidRDefault="00331B7B">
            <w:pPr>
              <w:spacing w:line="276" w:lineRule="auto"/>
              <w:rPr>
                <w:color w:val="36363D"/>
              </w:rPr>
            </w:pPr>
            <w:r>
              <w:rPr>
                <w:color w:val="000000"/>
                <w:sz w:val="22"/>
                <w:szCs w:val="22"/>
              </w:rPr>
              <w:t>Band gaps, energies</w:t>
            </w:r>
          </w:p>
        </w:tc>
        <w:tc>
          <w:tcPr>
            <w:tcW w:w="170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698F0AA9" w14:textId="77777777" w:rsidR="008C4EA4" w:rsidRDefault="00331B7B">
            <w:pPr>
              <w:spacing w:line="276" w:lineRule="auto"/>
              <w:rPr>
                <w:color w:val="36363D"/>
              </w:rPr>
            </w:pPr>
            <w:r>
              <w:rPr>
                <w:color w:val="000000"/>
                <w:sz w:val="22"/>
                <w:szCs w:val="22"/>
              </w:rPr>
              <w:t>High cost</w:t>
            </w:r>
          </w:p>
        </w:tc>
      </w:tr>
      <w:tr w:rsidR="008C4EA4" w14:paraId="3AAABB2A" w14:textId="77777777">
        <w:tc>
          <w:tcPr>
            <w:tcW w:w="16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411535" w14:textId="77777777" w:rsidR="008C4EA4" w:rsidRDefault="00331B7B">
            <w:pPr>
              <w:spacing w:line="276" w:lineRule="auto"/>
              <w:rPr>
                <w:color w:val="36363D"/>
              </w:rPr>
            </w:pPr>
            <w:r>
              <w:rPr>
                <w:color w:val="000000"/>
                <w:sz w:val="22"/>
                <w:szCs w:val="22"/>
              </w:rPr>
              <w:t>MD</w:t>
            </w:r>
          </w:p>
        </w:tc>
        <w:tc>
          <w:tcPr>
            <w:tcW w:w="17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D754B8" w14:textId="77777777" w:rsidR="008C4EA4" w:rsidRDefault="00331B7B">
            <w:pPr>
              <w:spacing w:line="276" w:lineRule="auto"/>
              <w:rPr>
                <w:color w:val="36363D"/>
              </w:rPr>
            </w:pPr>
            <w:r>
              <w:rPr>
                <w:color w:val="000000"/>
                <w:sz w:val="22"/>
                <w:szCs w:val="22"/>
              </w:rPr>
              <w:t>Atomistic/meso</w:t>
            </w:r>
          </w:p>
        </w:tc>
        <w:tc>
          <w:tcPr>
            <w:tcW w:w="1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D9CEBD" w14:textId="77777777" w:rsidR="008C4EA4" w:rsidRDefault="00331B7B">
            <w:pPr>
              <w:spacing w:line="276" w:lineRule="auto"/>
              <w:rPr>
                <w:color w:val="36363D"/>
              </w:rPr>
            </w:pPr>
            <w:r>
              <w:rPr>
                <w:color w:val="000000"/>
                <w:sz w:val="22"/>
                <w:szCs w:val="22"/>
              </w:rPr>
              <w:t>Dynamic behavior</w:t>
            </w:r>
          </w:p>
        </w:tc>
        <w:tc>
          <w:tcPr>
            <w:tcW w:w="17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CDD15D5" w14:textId="77777777" w:rsidR="008C4EA4" w:rsidRDefault="00331B7B">
            <w:pPr>
              <w:spacing w:line="276" w:lineRule="auto"/>
              <w:rPr>
                <w:color w:val="36363D"/>
              </w:rPr>
            </w:pPr>
            <w:r>
              <w:rPr>
                <w:color w:val="000000"/>
                <w:sz w:val="22"/>
                <w:szCs w:val="22"/>
              </w:rPr>
              <w:t>Ionic transport</w:t>
            </w:r>
          </w:p>
        </w:tc>
        <w:tc>
          <w:tcPr>
            <w:tcW w:w="17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9B58CE" w14:textId="77777777" w:rsidR="008C4EA4" w:rsidRDefault="00331B7B">
            <w:pPr>
              <w:spacing w:line="276" w:lineRule="auto"/>
              <w:rPr>
                <w:color w:val="36363D"/>
              </w:rPr>
            </w:pPr>
            <w:r>
              <w:rPr>
                <w:color w:val="000000"/>
                <w:sz w:val="22"/>
                <w:szCs w:val="22"/>
              </w:rPr>
              <w:t>Short timescales</w:t>
            </w:r>
          </w:p>
        </w:tc>
      </w:tr>
      <w:tr w:rsidR="008C4EA4" w14:paraId="0B44EEEB" w14:textId="77777777">
        <w:tc>
          <w:tcPr>
            <w:tcW w:w="1685"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42DB1C6A" w14:textId="77777777" w:rsidR="008C4EA4" w:rsidRDefault="00331B7B">
            <w:pPr>
              <w:spacing w:line="276" w:lineRule="auto"/>
              <w:rPr>
                <w:color w:val="36363D"/>
              </w:rPr>
            </w:pPr>
            <w:r>
              <w:rPr>
                <w:color w:val="000000"/>
                <w:sz w:val="22"/>
                <w:szCs w:val="22"/>
              </w:rPr>
              <w:t>ML</w:t>
            </w:r>
          </w:p>
        </w:tc>
        <w:tc>
          <w:tcPr>
            <w:tcW w:w="1728"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6ADDE665" w14:textId="77777777" w:rsidR="008C4EA4" w:rsidRDefault="00331B7B">
            <w:pPr>
              <w:spacing w:line="276" w:lineRule="auto"/>
              <w:rPr>
                <w:color w:val="36363D"/>
              </w:rPr>
            </w:pPr>
            <w:r>
              <w:rPr>
                <w:color w:val="000000"/>
                <w:sz w:val="22"/>
                <w:szCs w:val="22"/>
              </w:rPr>
              <w:t>Flexible</w:t>
            </w:r>
          </w:p>
        </w:tc>
        <w:tc>
          <w:tcPr>
            <w:tcW w:w="1699"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5DDCB35D" w14:textId="77777777" w:rsidR="008C4EA4" w:rsidRDefault="00331B7B">
            <w:pPr>
              <w:spacing w:line="276" w:lineRule="auto"/>
              <w:rPr>
                <w:color w:val="36363D"/>
              </w:rPr>
            </w:pPr>
            <w:r>
              <w:rPr>
                <w:color w:val="000000"/>
                <w:sz w:val="22"/>
                <w:szCs w:val="22"/>
              </w:rPr>
              <w:t>Property prediction</w:t>
            </w:r>
          </w:p>
        </w:tc>
        <w:tc>
          <w:tcPr>
            <w:tcW w:w="1708"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76D9EE98" w14:textId="77777777" w:rsidR="008C4EA4" w:rsidRDefault="00331B7B">
            <w:pPr>
              <w:spacing w:line="276" w:lineRule="auto"/>
              <w:rPr>
                <w:color w:val="36363D"/>
              </w:rPr>
            </w:pPr>
            <w:r>
              <w:rPr>
                <w:color w:val="000000"/>
                <w:sz w:val="22"/>
                <w:szCs w:val="22"/>
              </w:rPr>
              <w:t>Descriptors, labels</w:t>
            </w:r>
          </w:p>
        </w:tc>
        <w:tc>
          <w:tcPr>
            <w:tcW w:w="170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21A32812" w14:textId="77777777" w:rsidR="008C4EA4" w:rsidRDefault="00331B7B">
            <w:pPr>
              <w:spacing w:line="276" w:lineRule="auto"/>
              <w:rPr>
                <w:color w:val="36363D"/>
              </w:rPr>
            </w:pPr>
            <w:r>
              <w:rPr>
                <w:color w:val="000000"/>
                <w:sz w:val="22"/>
                <w:szCs w:val="22"/>
              </w:rPr>
              <w:t>Needs data</w:t>
            </w:r>
          </w:p>
        </w:tc>
      </w:tr>
    </w:tbl>
    <w:p w14:paraId="6E8E5F92" w14:textId="77777777" w:rsidR="008C4EA4" w:rsidRDefault="008C4EA4">
      <w:pPr>
        <w:spacing w:before="180" w:after="180" w:line="240" w:lineRule="auto"/>
        <w:jc w:val="both"/>
        <w:rPr>
          <w:color w:val="36363D"/>
        </w:rPr>
      </w:pPr>
    </w:p>
    <w:p w14:paraId="66F558B3" w14:textId="77777777" w:rsidR="008C4EA4" w:rsidRDefault="008C4EA4">
      <w:pPr>
        <w:spacing w:before="180" w:after="180" w:line="240" w:lineRule="auto"/>
        <w:jc w:val="both"/>
        <w:rPr>
          <w:color w:val="36363D"/>
        </w:rPr>
      </w:pPr>
    </w:p>
    <w:p w14:paraId="6D58C42F" w14:textId="445E6009" w:rsidR="008C4EA4" w:rsidRDefault="00331B7B">
      <w:pPr>
        <w:pStyle w:val="Heading3"/>
        <w:jc w:val="both"/>
        <w:rPr>
          <w:color w:val="36363D"/>
        </w:rPr>
      </w:pPr>
      <w:bookmarkStart w:id="13" w:name="ykbllivwu9i" w:colFirst="0" w:colLast="0"/>
      <w:bookmarkEnd w:id="13"/>
      <w:r>
        <w:rPr>
          <w:color w:val="36363D"/>
        </w:rPr>
        <w:t xml:space="preserve">3.3. Multi-Scale </w:t>
      </w:r>
      <w:r w:rsidR="00A827A2" w:rsidRPr="00872DF3">
        <w:rPr>
          <w:color w:val="36363D"/>
          <w:highlight w:val="yellow"/>
        </w:rPr>
        <w:t>Modelling</w:t>
      </w:r>
      <w:r w:rsidR="00A827A2" w:rsidRPr="00872DF3">
        <w:rPr>
          <w:color w:val="36363D"/>
          <w:highlight w:val="yellow"/>
        </w:rPr>
        <w:t xml:space="preserve"> </w:t>
      </w:r>
      <w:r>
        <w:rPr>
          <w:color w:val="36363D"/>
        </w:rPr>
        <w:t>Approaches</w:t>
      </w:r>
    </w:p>
    <w:p w14:paraId="016B3444" w14:textId="36E21F1D" w:rsidR="008C4EA4" w:rsidRDefault="00331B7B">
      <w:pPr>
        <w:spacing w:before="180" w:after="180" w:line="240" w:lineRule="auto"/>
        <w:jc w:val="both"/>
        <w:rPr>
          <w:color w:val="36363D"/>
        </w:rPr>
      </w:pPr>
      <w:r>
        <w:rPr>
          <w:color w:val="36363D"/>
        </w:rPr>
        <w:t xml:space="preserve">Energy storage systems operate across multiple length and time scales, requiring integrated </w:t>
      </w:r>
      <w:r w:rsidR="00A827A2" w:rsidRPr="00872DF3">
        <w:rPr>
          <w:color w:val="36363D"/>
          <w:highlight w:val="yellow"/>
        </w:rPr>
        <w:t>modelling</w:t>
      </w:r>
      <w:r w:rsidR="00A827A2" w:rsidRPr="00872DF3">
        <w:rPr>
          <w:color w:val="36363D"/>
          <w:highlight w:val="yellow"/>
        </w:rPr>
        <w:t xml:space="preserve"> </w:t>
      </w:r>
      <w:r>
        <w:rPr>
          <w:color w:val="36363D"/>
        </w:rPr>
        <w:t xml:space="preserve">approaches that bridge quantum mechanical calculations with continuum-level phenomena (Franco et al., 2024). Density functional theory calculations provide atomic-level insights into electronic structure and ionic transport, while phase-field </w:t>
      </w:r>
      <w:r w:rsidR="00A827A2" w:rsidRPr="00872DF3">
        <w:rPr>
          <w:color w:val="36363D"/>
          <w:highlight w:val="yellow"/>
        </w:rPr>
        <w:t>modelling</w:t>
      </w:r>
      <w:r w:rsidR="00A827A2" w:rsidRPr="00872DF3">
        <w:rPr>
          <w:color w:val="36363D"/>
          <w:highlight w:val="yellow"/>
        </w:rPr>
        <w:t xml:space="preserve"> </w:t>
      </w:r>
      <w:r>
        <w:rPr>
          <w:color w:val="36363D"/>
        </w:rPr>
        <w:t xml:space="preserve">captures microstructural evolution during cycling (Bazant, 2023). Finite element methods enable </w:t>
      </w:r>
      <w:r w:rsidR="00A827A2" w:rsidRPr="00872DF3">
        <w:rPr>
          <w:color w:val="36363D"/>
          <w:highlight w:val="yellow"/>
        </w:rPr>
        <w:t xml:space="preserve">the </w:t>
      </w:r>
      <w:r>
        <w:rPr>
          <w:color w:val="36363D"/>
        </w:rPr>
        <w:t xml:space="preserve">prediction of mechanical stress and thermal management in realistic battery geometries (Zhao &amp; Chen, 2024). Recent advances in concurrent multi-scale methods allow seamless coupling between different </w:t>
      </w:r>
      <w:r w:rsidR="00A827A2" w:rsidRPr="00872DF3">
        <w:rPr>
          <w:color w:val="36363D"/>
          <w:highlight w:val="yellow"/>
        </w:rPr>
        <w:t>modelling</w:t>
      </w:r>
      <w:r w:rsidR="00A827A2" w:rsidRPr="00872DF3">
        <w:rPr>
          <w:color w:val="36363D"/>
          <w:highlight w:val="yellow"/>
        </w:rPr>
        <w:t xml:space="preserve"> </w:t>
      </w:r>
      <w:r>
        <w:rPr>
          <w:color w:val="36363D"/>
        </w:rPr>
        <w:t>approaches (Miller et al., 2023).</w:t>
      </w:r>
    </w:p>
    <w:p w14:paraId="08C0CB7B" w14:textId="1BD0790C" w:rsidR="008C4EA4" w:rsidRDefault="00331B7B">
      <w:pPr>
        <w:spacing w:before="180" w:after="180" w:line="240" w:lineRule="auto"/>
        <w:jc w:val="both"/>
        <w:rPr>
          <w:color w:val="36363D"/>
        </w:rPr>
      </w:pPr>
      <w:r>
        <w:rPr>
          <w:color w:val="36363D"/>
        </w:rPr>
        <w:t xml:space="preserve">Coarse-graining techniques enable extension of atomistic insights to larger length scales while preserving essential physics (Curtiss &amp; Car, 2024). Machine learning approaches are increasingly used to develop effective potentials and reduced-order models that capture key phenomena at reduced computational cost (Behler &amp; Csányi, 2023). Integration of experimental </w:t>
      </w:r>
      <w:proofErr w:type="spellStart"/>
      <w:r w:rsidR="00A827A2" w:rsidRPr="00872DF3">
        <w:rPr>
          <w:color w:val="36363D"/>
          <w:highlight w:val="yellow"/>
        </w:rPr>
        <w:t>characterisation</w:t>
      </w:r>
      <w:proofErr w:type="spellEnd"/>
      <w:r w:rsidR="00A827A2" w:rsidRPr="00872DF3">
        <w:rPr>
          <w:color w:val="36363D"/>
          <w:highlight w:val="yellow"/>
        </w:rPr>
        <w:t xml:space="preserve"> </w:t>
      </w:r>
      <w:r>
        <w:rPr>
          <w:color w:val="36363D"/>
        </w:rPr>
        <w:t>data with multi-scale models enables validation and refinement of computational predictions (Smith &amp; Johnson, 2024).</w:t>
      </w:r>
    </w:p>
    <w:p w14:paraId="674AD8B1" w14:textId="77777777" w:rsidR="008C4EA4" w:rsidRDefault="00331B7B">
      <w:pPr>
        <w:keepNext/>
        <w:keepLines/>
        <w:spacing w:before="200" w:after="0" w:line="240" w:lineRule="auto"/>
        <w:jc w:val="both"/>
        <w:rPr>
          <w:rFonts w:ascii="Calibri" w:eastAsia="Calibri" w:hAnsi="Calibri" w:cs="Calibri"/>
          <w:b/>
          <w:color w:val="36363D"/>
        </w:rPr>
      </w:pPr>
      <w:bookmarkStart w:id="14" w:name="607ubi18tmza" w:colFirst="0" w:colLast="0"/>
      <w:bookmarkEnd w:id="14"/>
      <w:r>
        <w:rPr>
          <w:rFonts w:ascii="Calibri" w:eastAsia="Calibri" w:hAnsi="Calibri" w:cs="Calibri"/>
          <w:b/>
          <w:color w:val="36363D"/>
        </w:rPr>
        <w:lastRenderedPageBreak/>
        <w:t>4. Applications to Energy Storage Systems</w:t>
      </w:r>
    </w:p>
    <w:p w14:paraId="3D67EDAF" w14:textId="77777777" w:rsidR="008C4EA4" w:rsidRDefault="00331B7B">
      <w:pPr>
        <w:pStyle w:val="Heading3"/>
        <w:jc w:val="both"/>
        <w:rPr>
          <w:color w:val="36363D"/>
        </w:rPr>
      </w:pPr>
      <w:bookmarkStart w:id="15" w:name="qatnx88q45lz" w:colFirst="0" w:colLast="0"/>
      <w:bookmarkEnd w:id="15"/>
      <w:r>
        <w:rPr>
          <w:color w:val="36363D"/>
        </w:rPr>
        <w:t>4.1. Lithium-Ion Battery Materials</w:t>
      </w:r>
    </w:p>
    <w:p w14:paraId="5716199B" w14:textId="2142D9E5" w:rsidR="008C4EA4" w:rsidRDefault="00331B7B">
      <w:pPr>
        <w:spacing w:before="180" w:after="180" w:line="240" w:lineRule="auto"/>
        <w:jc w:val="both"/>
        <w:rPr>
          <w:color w:val="36363D"/>
        </w:rPr>
      </w:pPr>
      <w:r>
        <w:rPr>
          <w:color w:val="36363D"/>
        </w:rPr>
        <w:t xml:space="preserve">Computational design has </w:t>
      </w:r>
      <w:proofErr w:type="spellStart"/>
      <w:r w:rsidR="00A827A2" w:rsidRPr="00872DF3">
        <w:rPr>
          <w:color w:val="36363D"/>
          <w:highlight w:val="yellow"/>
        </w:rPr>
        <w:t>revolutionised</w:t>
      </w:r>
      <w:proofErr w:type="spellEnd"/>
      <w:r w:rsidR="00A827A2" w:rsidRPr="00872DF3">
        <w:rPr>
          <w:color w:val="36363D"/>
          <w:highlight w:val="yellow"/>
        </w:rPr>
        <w:t xml:space="preserve"> </w:t>
      </w:r>
      <w:r>
        <w:rPr>
          <w:color w:val="36363D"/>
        </w:rPr>
        <w:t xml:space="preserve">lithium-ion battery development through systematic exploration of electrode materials, electrolytes, and interfaces (Goodenough &amp; Park, 2024). Cathode material design focuses on </w:t>
      </w:r>
      <w:proofErr w:type="spellStart"/>
      <w:r w:rsidR="00A827A2" w:rsidRPr="00872DF3">
        <w:rPr>
          <w:color w:val="36363D"/>
          <w:highlight w:val="yellow"/>
        </w:rPr>
        <w:t>optimising</w:t>
      </w:r>
      <w:proofErr w:type="spellEnd"/>
      <w:r w:rsidR="00A827A2" w:rsidRPr="00872DF3">
        <w:rPr>
          <w:color w:val="36363D"/>
          <w:highlight w:val="yellow"/>
        </w:rPr>
        <w:t xml:space="preserve"> </w:t>
      </w:r>
      <w:r>
        <w:rPr>
          <w:color w:val="36363D"/>
        </w:rPr>
        <w:t xml:space="preserve">capacity, voltage, and structural stability through computational screening of layered oxides, </w:t>
      </w:r>
      <w:proofErr w:type="spellStart"/>
      <w:r>
        <w:rPr>
          <w:color w:val="36363D"/>
        </w:rPr>
        <w:t>spinels</w:t>
      </w:r>
      <w:proofErr w:type="spellEnd"/>
      <w:r>
        <w:rPr>
          <w:color w:val="36363D"/>
        </w:rPr>
        <w:t>, and phosphates (Ceder et al., 2023). Recent computational studies have identified promising high-nickel cathodes with improved thermal stability and reduced cobalt content (Urban et al., 2024). Anode material design has expanded beyond graphite to include silicon, tin, and conversion-type materials, with computational predictions guiding experimental synthesis (McDowell &amp; Cui, 2023).</w:t>
      </w:r>
    </w:p>
    <w:p w14:paraId="05E130A5" w14:textId="5586FB27" w:rsidR="008C4EA4" w:rsidRDefault="00331B7B">
      <w:pPr>
        <w:spacing w:before="180" w:after="180" w:line="240" w:lineRule="auto"/>
        <w:jc w:val="both"/>
        <w:rPr>
          <w:color w:val="36363D"/>
        </w:rPr>
      </w:pPr>
      <w:r>
        <w:rPr>
          <w:color w:val="36363D"/>
        </w:rPr>
        <w:t xml:space="preserve">Solid electrolyte interphase (SEI) formation and evolution represent critical phenomena addressed through computational </w:t>
      </w:r>
      <w:r w:rsidR="00A827A2" w:rsidRPr="00872DF3">
        <w:rPr>
          <w:color w:val="36363D"/>
          <w:highlight w:val="yellow"/>
        </w:rPr>
        <w:t>modelling</w:t>
      </w:r>
      <w:r w:rsidR="00A827A2" w:rsidRPr="00872DF3">
        <w:rPr>
          <w:color w:val="36363D"/>
          <w:highlight w:val="yellow"/>
        </w:rPr>
        <w:t xml:space="preserve"> </w:t>
      </w:r>
      <w:r>
        <w:rPr>
          <w:color w:val="36363D"/>
        </w:rPr>
        <w:t xml:space="preserve">combining quantum chemistry with kinetic </w:t>
      </w:r>
      <w:r w:rsidR="00A827A2" w:rsidRPr="00872DF3">
        <w:rPr>
          <w:color w:val="36363D"/>
          <w:highlight w:val="yellow"/>
        </w:rPr>
        <w:t>modelling</w:t>
      </w:r>
      <w:r w:rsidR="00A827A2" w:rsidRPr="00872DF3">
        <w:rPr>
          <w:color w:val="36363D"/>
          <w:highlight w:val="yellow"/>
        </w:rPr>
        <w:t xml:space="preserve"> </w:t>
      </w:r>
      <w:r>
        <w:rPr>
          <w:color w:val="36363D"/>
        </w:rPr>
        <w:t>(</w:t>
      </w:r>
      <w:proofErr w:type="spellStart"/>
      <w:r>
        <w:rPr>
          <w:color w:val="36363D"/>
        </w:rPr>
        <w:t>Aurbach</w:t>
      </w:r>
      <w:proofErr w:type="spellEnd"/>
      <w:r>
        <w:rPr>
          <w:color w:val="36363D"/>
        </w:rPr>
        <w:t xml:space="preserve"> et al., 2024). Computational design of electrolyte additives has enabled significant improvements in battery performance and safety through targeted molecular design (Borodin &amp; Jow, 2023). Machine learning models trained on computational databases have accelerated </w:t>
      </w:r>
      <w:r w:rsidR="00A827A2" w:rsidRPr="00872DF3">
        <w:rPr>
          <w:color w:val="36363D"/>
          <w:highlight w:val="yellow"/>
        </w:rPr>
        <w:t xml:space="preserve">the </w:t>
      </w:r>
      <w:r>
        <w:rPr>
          <w:color w:val="36363D"/>
        </w:rPr>
        <w:t>identification of novel battery materials with superior properties (Sendek et al., 2024).</w:t>
      </w:r>
    </w:p>
    <w:p w14:paraId="2B13DB8C" w14:textId="77777777" w:rsidR="008C4EA4" w:rsidRDefault="00331B7B">
      <w:pPr>
        <w:pStyle w:val="Heading3"/>
        <w:jc w:val="both"/>
        <w:rPr>
          <w:color w:val="36363D"/>
        </w:rPr>
      </w:pPr>
      <w:bookmarkStart w:id="16" w:name="rlhwt623bmog" w:colFirst="0" w:colLast="0"/>
      <w:bookmarkEnd w:id="16"/>
      <w:r>
        <w:rPr>
          <w:color w:val="36363D"/>
        </w:rPr>
        <w:t>4.2. Beyond Lithium: Alternative Ion Systems</w:t>
      </w:r>
    </w:p>
    <w:p w14:paraId="33DA46C7" w14:textId="675591E4" w:rsidR="008C4EA4" w:rsidRDefault="00331B7B">
      <w:pPr>
        <w:spacing w:before="180" w:after="180" w:line="240" w:lineRule="auto"/>
        <w:jc w:val="both"/>
        <w:rPr>
          <w:color w:val="36363D"/>
        </w:rPr>
      </w:pPr>
      <w:r>
        <w:rPr>
          <w:color w:val="36363D"/>
        </w:rPr>
        <w:t xml:space="preserve">The limited availability and cost of lithium have driven computational exploration of alternative ion systems, including sodium, potassium, magnesium, and </w:t>
      </w:r>
      <w:proofErr w:type="spellStart"/>
      <w:r w:rsidR="00A827A2" w:rsidRPr="00872DF3">
        <w:rPr>
          <w:color w:val="36363D"/>
          <w:highlight w:val="yellow"/>
        </w:rPr>
        <w:t>aluminium</w:t>
      </w:r>
      <w:proofErr w:type="spellEnd"/>
      <w:r w:rsidR="00A827A2" w:rsidRPr="00872DF3">
        <w:rPr>
          <w:color w:val="36363D"/>
          <w:highlight w:val="yellow"/>
        </w:rPr>
        <w:t>-ion</w:t>
      </w:r>
      <w:r>
        <w:rPr>
          <w:color w:val="36363D"/>
        </w:rPr>
        <w:t xml:space="preserve"> batteries (Grey &amp; Tarascon, 2024). Sodium-ion batteries have emerged as particularly promising alternatives, with computational screening identifying numerous viable electrode materials based on abundant elements (</w:t>
      </w:r>
      <w:proofErr w:type="spellStart"/>
      <w:r>
        <w:rPr>
          <w:color w:val="36363D"/>
        </w:rPr>
        <w:t>Palacín</w:t>
      </w:r>
      <w:proofErr w:type="spellEnd"/>
      <w:r>
        <w:rPr>
          <w:color w:val="36363D"/>
        </w:rPr>
        <w:t xml:space="preserve"> &amp; </w:t>
      </w:r>
      <w:proofErr w:type="spellStart"/>
      <w:r>
        <w:rPr>
          <w:color w:val="36363D"/>
        </w:rPr>
        <w:t>Vizcaíno</w:t>
      </w:r>
      <w:proofErr w:type="spellEnd"/>
      <w:r>
        <w:rPr>
          <w:color w:val="36363D"/>
        </w:rPr>
        <w:t xml:space="preserve">, 2023). The larger ionic radius of sodium requires different host structures compared to lithium systems, leading to computational discovery of new material classes (Kubota &amp; Komaba, 2024). Magnesium and </w:t>
      </w:r>
      <w:proofErr w:type="spellStart"/>
      <w:r w:rsidR="00A827A2" w:rsidRPr="00872DF3">
        <w:rPr>
          <w:color w:val="36363D"/>
          <w:highlight w:val="yellow"/>
        </w:rPr>
        <w:t>aluminium</w:t>
      </w:r>
      <w:proofErr w:type="spellEnd"/>
      <w:r w:rsidR="00A827A2" w:rsidRPr="00872DF3">
        <w:rPr>
          <w:color w:val="36363D"/>
          <w:highlight w:val="yellow"/>
        </w:rPr>
        <w:t xml:space="preserve"> </w:t>
      </w:r>
      <w:r>
        <w:rPr>
          <w:color w:val="36363D"/>
        </w:rPr>
        <w:t xml:space="preserve">systems present unique challenges related to charge carrier mobility and electrolyte stability, addressed through sophisticated computational </w:t>
      </w:r>
      <w:r w:rsidR="00A827A2" w:rsidRPr="00872DF3">
        <w:rPr>
          <w:color w:val="36363D"/>
          <w:highlight w:val="yellow"/>
        </w:rPr>
        <w:t>modelling</w:t>
      </w:r>
      <w:r w:rsidR="00A827A2" w:rsidRPr="00872DF3">
        <w:rPr>
          <w:color w:val="36363D"/>
          <w:highlight w:val="yellow"/>
        </w:rPr>
        <w:t xml:space="preserve"> </w:t>
      </w:r>
      <w:r>
        <w:rPr>
          <w:color w:val="36363D"/>
        </w:rPr>
        <w:t>(Muldoon et al., 2023).</w:t>
      </w:r>
    </w:p>
    <w:p w14:paraId="57DA0D9E" w14:textId="58CAC7D8" w:rsidR="008C4EA4" w:rsidRDefault="00331B7B">
      <w:pPr>
        <w:spacing w:before="180" w:after="180" w:line="240" w:lineRule="auto"/>
        <w:jc w:val="both"/>
        <w:rPr>
          <w:color w:val="36363D"/>
        </w:rPr>
      </w:pPr>
      <w:r>
        <w:rPr>
          <w:color w:val="36363D"/>
        </w:rPr>
        <w:t xml:space="preserve">Computational studies of potassium-ion batteries have revealed unexpected advantages in terms of cost and sustainability, driving experimental validation of predicted materials (Eftekhari, 2024). Multi-valent systems offer potential advantages in energy density but require careful computational treatment of charge screening and </w:t>
      </w:r>
      <w:proofErr w:type="spellStart"/>
      <w:r w:rsidR="00A827A2" w:rsidRPr="00872DF3">
        <w:rPr>
          <w:color w:val="36363D"/>
          <w:highlight w:val="yellow"/>
        </w:rPr>
        <w:t>polarisation</w:t>
      </w:r>
      <w:proofErr w:type="spellEnd"/>
      <w:r w:rsidR="00A827A2">
        <w:rPr>
          <w:color w:val="36363D"/>
        </w:rPr>
        <w:t xml:space="preserve"> </w:t>
      </w:r>
      <w:r>
        <w:rPr>
          <w:color w:val="36363D"/>
        </w:rPr>
        <w:t>effects (Sa et al., 2023). Machine learning approaches have proven particularly valuable for exploring the vast chemical space of alternative ion systems (</w:t>
      </w:r>
      <w:proofErr w:type="spellStart"/>
      <w:r>
        <w:rPr>
          <w:color w:val="36363D"/>
        </w:rPr>
        <w:t>Kouchachvili</w:t>
      </w:r>
      <w:proofErr w:type="spellEnd"/>
      <w:r>
        <w:rPr>
          <w:color w:val="36363D"/>
        </w:rPr>
        <w:t xml:space="preserve"> &amp; Ikura, 2024).</w:t>
      </w:r>
    </w:p>
    <w:p w14:paraId="6349519E" w14:textId="77777777" w:rsidR="008C4EA4" w:rsidRDefault="00331B7B">
      <w:pPr>
        <w:spacing w:before="180" w:after="180" w:line="240" w:lineRule="auto"/>
        <w:jc w:val="both"/>
        <w:rPr>
          <w:color w:val="36363D"/>
        </w:rPr>
      </w:pPr>
      <w:r>
        <w:rPr>
          <w:noProof/>
          <w:color w:val="000000"/>
          <w:lang w:val="en-US"/>
        </w:rPr>
        <w:lastRenderedPageBreak/>
        <w:drawing>
          <wp:inline distT="0" distB="0" distL="114300" distR="114300" wp14:anchorId="3751DBE5" wp14:editId="5A6DB456">
            <wp:extent cx="2628900" cy="2628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0"/>
                    <a:srcRect/>
                    <a:stretch>
                      <a:fillRect/>
                    </a:stretch>
                  </pic:blipFill>
                  <pic:spPr>
                    <a:xfrm>
                      <a:off x="0" y="0"/>
                      <a:ext cx="2628900" cy="2628900"/>
                    </a:xfrm>
                    <a:prstGeom prst="rect">
                      <a:avLst/>
                    </a:prstGeom>
                  </pic:spPr>
                </pic:pic>
              </a:graphicData>
            </a:graphic>
          </wp:inline>
        </w:drawing>
      </w:r>
    </w:p>
    <w:p w14:paraId="0ECD17D5" w14:textId="77777777" w:rsidR="00E105B9" w:rsidRDefault="00E105B9">
      <w:pPr>
        <w:pStyle w:val="Heading3"/>
        <w:jc w:val="both"/>
        <w:rPr>
          <w:color w:val="36363D"/>
        </w:rPr>
      </w:pPr>
      <w:bookmarkStart w:id="17" w:name="7fdy2ijmze2k" w:colFirst="0" w:colLast="0"/>
      <w:bookmarkEnd w:id="17"/>
      <w:r>
        <w:rPr>
          <w:color w:val="36363D"/>
        </w:rPr>
        <w:t xml:space="preserve">Fig 4. </w:t>
      </w:r>
      <w:r w:rsidR="00D67226">
        <w:rPr>
          <w:color w:val="36363D"/>
        </w:rPr>
        <w:t xml:space="preserve">Computational </w:t>
      </w:r>
      <w:r w:rsidR="007D5F3C">
        <w:rPr>
          <w:color w:val="36363D"/>
        </w:rPr>
        <w:t>exploration of alternative ion systems</w:t>
      </w:r>
      <w:r w:rsidR="0093567D">
        <w:rPr>
          <w:color w:val="36363D"/>
        </w:rPr>
        <w:t xml:space="preserve"> </w:t>
      </w:r>
      <w:r w:rsidR="00763BC9">
        <w:rPr>
          <w:color w:val="36363D"/>
        </w:rPr>
        <w:t>beyond</w:t>
      </w:r>
      <w:r w:rsidR="0093567D">
        <w:rPr>
          <w:color w:val="36363D"/>
        </w:rPr>
        <w:t xml:space="preserve"> Lithium</w:t>
      </w:r>
    </w:p>
    <w:p w14:paraId="6D17FC66" w14:textId="77777777" w:rsidR="008C4EA4" w:rsidRDefault="00331B7B">
      <w:pPr>
        <w:pStyle w:val="Heading3"/>
        <w:jc w:val="both"/>
        <w:rPr>
          <w:color w:val="36363D"/>
        </w:rPr>
      </w:pPr>
      <w:r>
        <w:rPr>
          <w:color w:val="36363D"/>
        </w:rPr>
        <w:t>4.3. Solid-State Electrolytes and Interfaces</w:t>
      </w:r>
    </w:p>
    <w:p w14:paraId="4C3AD3D5" w14:textId="76619882" w:rsidR="008C4EA4" w:rsidRDefault="00331B7B">
      <w:pPr>
        <w:spacing w:before="180" w:after="180" w:line="240" w:lineRule="auto"/>
        <w:jc w:val="both"/>
        <w:rPr>
          <w:color w:val="36363D"/>
        </w:rPr>
      </w:pPr>
      <w:r>
        <w:rPr>
          <w:color w:val="36363D"/>
        </w:rPr>
        <w:t xml:space="preserve">Solid-state electrolytes represent a transformative technology for next-generation batteries, with computational design playing a central role in materials discovery (Janek &amp; Zeier, 2023). Ionic conductivity prediction in crystalline electrolytes combines electronic structure calculations with kinetic </w:t>
      </w:r>
      <w:r w:rsidR="00A827A2" w:rsidRPr="00872DF3">
        <w:rPr>
          <w:color w:val="36363D"/>
          <w:highlight w:val="yellow"/>
        </w:rPr>
        <w:t>modelling</w:t>
      </w:r>
      <w:r w:rsidR="00A827A2" w:rsidRPr="00872DF3">
        <w:rPr>
          <w:color w:val="36363D"/>
          <w:highlight w:val="yellow"/>
        </w:rPr>
        <w:t xml:space="preserve"> </w:t>
      </w:r>
      <w:r>
        <w:rPr>
          <w:color w:val="36363D"/>
        </w:rPr>
        <w:t>to identify optimal migration pathways (He et al., 2024). Glass-forming electrolyte systems require molecular dynamics simulations to capture structural disorder and ionic transport mechanisms (Deng et al., 2023). Computational screening has identified numerous superionic conductors with room-temperature conductivities approaching liquid electrolytes (Zhao et al., 2024).</w:t>
      </w:r>
    </w:p>
    <w:p w14:paraId="07DD791C" w14:textId="311E0809" w:rsidR="008C4EA4" w:rsidRDefault="00331B7B">
      <w:pPr>
        <w:spacing w:before="180" w:after="180" w:line="240" w:lineRule="auto"/>
        <w:jc w:val="both"/>
        <w:rPr>
          <w:color w:val="36363D"/>
        </w:rPr>
      </w:pPr>
      <w:r>
        <w:rPr>
          <w:color w:val="36363D"/>
        </w:rPr>
        <w:t xml:space="preserve">Interface engineering between solid electrolytes and electrodes presents complex challenges addressed through sophisticated computational </w:t>
      </w:r>
      <w:r w:rsidR="00A827A2" w:rsidRPr="00872DF3">
        <w:rPr>
          <w:color w:val="36363D"/>
          <w:highlight w:val="yellow"/>
        </w:rPr>
        <w:t>modelling</w:t>
      </w:r>
      <w:r w:rsidR="00A827A2" w:rsidRPr="00872DF3">
        <w:rPr>
          <w:color w:val="36363D"/>
          <w:highlight w:val="yellow"/>
        </w:rPr>
        <w:t xml:space="preserve"> </w:t>
      </w:r>
      <w:r>
        <w:rPr>
          <w:color w:val="36363D"/>
        </w:rPr>
        <w:t xml:space="preserve">(Richards et al., 2023). Computational prediction of interfacial resistance and chemical compatibility guides experimental development of effective interface layers (Wenzel et al., 2024). Recent advances in machine learning have enabled rapid screening of electrolyte compositions and processing conditions (Morgan &amp; Ceder, 2023). Multi-scale </w:t>
      </w:r>
      <w:r w:rsidR="00A827A2" w:rsidRPr="00872DF3">
        <w:rPr>
          <w:color w:val="36363D"/>
          <w:highlight w:val="yellow"/>
        </w:rPr>
        <w:t>modelling</w:t>
      </w:r>
      <w:r w:rsidR="00A827A2">
        <w:rPr>
          <w:color w:val="36363D"/>
        </w:rPr>
        <w:t xml:space="preserve"> </w:t>
      </w:r>
      <w:r>
        <w:rPr>
          <w:color w:val="36363D"/>
        </w:rPr>
        <w:t>approaches link atomic-level interface properties to device-level performance metrics (Sakamoto &amp; Yamamoto, 2024).</w:t>
      </w:r>
    </w:p>
    <w:p w14:paraId="567BDBC5" w14:textId="77777777" w:rsidR="008C4EA4" w:rsidRDefault="00331B7B">
      <w:pPr>
        <w:keepNext/>
        <w:keepLines/>
        <w:spacing w:before="200" w:after="0" w:line="240" w:lineRule="auto"/>
        <w:jc w:val="both"/>
        <w:rPr>
          <w:rFonts w:ascii="Calibri" w:eastAsia="Calibri" w:hAnsi="Calibri" w:cs="Calibri"/>
          <w:b/>
          <w:color w:val="36363D"/>
        </w:rPr>
      </w:pPr>
      <w:bookmarkStart w:id="18" w:name="cpf4leae3nga" w:colFirst="0" w:colLast="0"/>
      <w:bookmarkEnd w:id="18"/>
      <w:r>
        <w:rPr>
          <w:rFonts w:ascii="Calibri" w:eastAsia="Calibri" w:hAnsi="Calibri" w:cs="Calibri"/>
          <w:b/>
          <w:color w:val="36363D"/>
        </w:rPr>
        <w:t>5. Case Studies and Breakthrough Applications</w:t>
      </w:r>
    </w:p>
    <w:p w14:paraId="68AB0209" w14:textId="3D39CA83" w:rsidR="008C4EA4" w:rsidRDefault="00331B7B">
      <w:pPr>
        <w:pStyle w:val="Heading3"/>
        <w:jc w:val="both"/>
        <w:rPr>
          <w:color w:val="36363D"/>
        </w:rPr>
      </w:pPr>
      <w:bookmarkStart w:id="19" w:name="wzzs1cud4pmw" w:colFirst="0" w:colLast="0"/>
      <w:bookmarkEnd w:id="19"/>
      <w:r>
        <w:rPr>
          <w:color w:val="36363D"/>
        </w:rPr>
        <w:t xml:space="preserve">5.1. </w:t>
      </w:r>
      <w:r w:rsidR="00A827A2" w:rsidRPr="00872DF3">
        <w:rPr>
          <w:color w:val="36363D"/>
          <w:highlight w:val="yellow"/>
        </w:rPr>
        <w:t>High-Energy-Density</w:t>
      </w:r>
      <w:r>
        <w:rPr>
          <w:color w:val="36363D"/>
        </w:rPr>
        <w:t xml:space="preserve"> Cathode Materials</w:t>
      </w:r>
    </w:p>
    <w:p w14:paraId="0379FB93" w14:textId="77777777" w:rsidR="008C4EA4" w:rsidRDefault="00331B7B">
      <w:pPr>
        <w:spacing w:before="180" w:after="180" w:line="240" w:lineRule="auto"/>
        <w:jc w:val="both"/>
        <w:rPr>
          <w:color w:val="36363D"/>
        </w:rPr>
      </w:pPr>
      <w:r>
        <w:rPr>
          <w:color w:val="36363D"/>
        </w:rPr>
        <w:t xml:space="preserve">Computational design has been instrumental in developing next-generation cathode materials with energy densities exceeding 300 </w:t>
      </w:r>
      <w:proofErr w:type="spellStart"/>
      <w:r>
        <w:rPr>
          <w:color w:val="36363D"/>
        </w:rPr>
        <w:t>Wh</w:t>
      </w:r>
      <w:proofErr w:type="spellEnd"/>
      <w:r>
        <w:rPr>
          <w:color w:val="36363D"/>
        </w:rPr>
        <w:t xml:space="preserve">/kg (Lee &amp; </w:t>
      </w:r>
      <w:proofErr w:type="spellStart"/>
      <w:r>
        <w:rPr>
          <w:color w:val="36363D"/>
        </w:rPr>
        <w:t>Manthiram</w:t>
      </w:r>
      <w:proofErr w:type="spellEnd"/>
      <w:r>
        <w:rPr>
          <w:color w:val="36363D"/>
        </w:rPr>
        <w:t xml:space="preserve">, 2024). The discovery of lithium-rich layered oxides was guided by computational predictions of oxygen redox mechanisms and structural stability (Seo et al., 2023). Machine learning analysis of cathode databases revealed previously unknown correlations between transition metal arrangements and electrochemical properties (Sun et al., 2024). Recent computational work on disordered rock-salt </w:t>
      </w:r>
      <w:r>
        <w:rPr>
          <w:color w:val="36363D"/>
        </w:rPr>
        <w:lastRenderedPageBreak/>
        <w:t>cathodes has identified new design principles for high-capacity materials (Ji et al., 2023).</w:t>
      </w:r>
    </w:p>
    <w:p w14:paraId="79B4E3E1" w14:textId="70BFF63B" w:rsidR="008C4EA4" w:rsidRDefault="00331B7B">
      <w:pPr>
        <w:spacing w:before="180" w:after="180" w:line="240" w:lineRule="auto"/>
        <w:jc w:val="both"/>
        <w:rPr>
          <w:color w:val="36363D"/>
        </w:rPr>
      </w:pPr>
      <w:r>
        <w:rPr>
          <w:color w:val="36363D"/>
        </w:rPr>
        <w:t xml:space="preserve">Computational screening of over 10,000 potential cathode compositions led to </w:t>
      </w:r>
      <w:r w:rsidR="00A827A2" w:rsidRPr="00872DF3">
        <w:rPr>
          <w:color w:val="36363D"/>
          <w:highlight w:val="yellow"/>
        </w:rPr>
        <w:t>the</w:t>
      </w:r>
      <w:r w:rsidR="00A827A2">
        <w:rPr>
          <w:color w:val="36363D"/>
        </w:rPr>
        <w:t xml:space="preserve"> </w:t>
      </w:r>
      <w:r>
        <w:rPr>
          <w:color w:val="36363D"/>
        </w:rPr>
        <w:t>identification of novel manganese-rich materials with exceptional stability and capacity (Chen et al., 2024). Integration of computational predictions with automated synthesis platforms has accelerated experimental validation of promising cathode candidates (Burger et al., 2023). Advanced electron microscopy techniques validated computational predictions of atomic-scale structural changes during cycling (Wang et al., 2024).</w:t>
      </w:r>
    </w:p>
    <w:p w14:paraId="2B9738C2" w14:textId="77777777" w:rsidR="008C4EA4" w:rsidRDefault="00331B7B">
      <w:pPr>
        <w:keepNext/>
        <w:keepLines/>
        <w:spacing w:before="200" w:line="276" w:lineRule="auto"/>
        <w:rPr>
          <w:color w:val="36363D"/>
        </w:rPr>
      </w:pPr>
      <w:r>
        <w:rPr>
          <w:rFonts w:ascii="Calibri" w:eastAsia="Calibri" w:hAnsi="Calibri" w:cs="Calibri"/>
          <w:b/>
          <w:color w:val="4F81BD"/>
          <w:sz w:val="26"/>
          <w:szCs w:val="26"/>
        </w:rPr>
        <w:t>Table 2: High-Performance Electrode Materials Predicted via Computation</w:t>
      </w:r>
    </w:p>
    <w:tbl>
      <w:tblPr>
        <w:tblStyle w:val="Style11"/>
        <w:tblW w:w="8524" w:type="dxa"/>
        <w:tblInd w:w="-108" w:type="dxa"/>
        <w:tblLayout w:type="fixed"/>
        <w:tblLook w:val="04A0" w:firstRow="1" w:lastRow="0" w:firstColumn="1" w:lastColumn="0" w:noHBand="0" w:noVBand="1"/>
      </w:tblPr>
      <w:tblGrid>
        <w:gridCol w:w="1720"/>
        <w:gridCol w:w="1694"/>
        <w:gridCol w:w="1694"/>
        <w:gridCol w:w="1702"/>
        <w:gridCol w:w="1714"/>
      </w:tblGrid>
      <w:tr w:rsidR="008C4EA4" w14:paraId="3F5A47D4" w14:textId="77777777">
        <w:tc>
          <w:tcPr>
            <w:tcW w:w="1721"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6369346E" w14:textId="77777777" w:rsidR="008C4EA4" w:rsidRDefault="00331B7B">
            <w:pPr>
              <w:spacing w:line="276" w:lineRule="auto"/>
              <w:rPr>
                <w:color w:val="36363D"/>
              </w:rPr>
            </w:pPr>
            <w:r>
              <w:rPr>
                <w:color w:val="000000"/>
                <w:sz w:val="22"/>
                <w:szCs w:val="22"/>
              </w:rPr>
              <w:t>Material</w:t>
            </w:r>
          </w:p>
        </w:tc>
        <w:tc>
          <w:tcPr>
            <w:tcW w:w="169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560D4484" w14:textId="77777777" w:rsidR="008C4EA4" w:rsidRDefault="00331B7B">
            <w:pPr>
              <w:spacing w:line="276" w:lineRule="auto"/>
              <w:rPr>
                <w:color w:val="36363D"/>
              </w:rPr>
            </w:pPr>
            <w:r>
              <w:rPr>
                <w:color w:val="000000"/>
                <w:sz w:val="22"/>
                <w:szCs w:val="22"/>
              </w:rPr>
              <w:t>Battery Type</w:t>
            </w:r>
          </w:p>
        </w:tc>
        <w:tc>
          <w:tcPr>
            <w:tcW w:w="169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560A4CA6" w14:textId="77777777" w:rsidR="008C4EA4" w:rsidRDefault="00331B7B">
            <w:pPr>
              <w:spacing w:line="276" w:lineRule="auto"/>
              <w:rPr>
                <w:color w:val="36363D"/>
              </w:rPr>
            </w:pPr>
            <w:r>
              <w:rPr>
                <w:color w:val="000000"/>
                <w:sz w:val="22"/>
                <w:szCs w:val="22"/>
              </w:rPr>
              <w:t>Method Used</w:t>
            </w:r>
          </w:p>
        </w:tc>
        <w:tc>
          <w:tcPr>
            <w:tcW w:w="1702"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642B6E32" w14:textId="77777777" w:rsidR="008C4EA4" w:rsidRDefault="00331B7B">
            <w:pPr>
              <w:spacing w:line="276" w:lineRule="auto"/>
              <w:rPr>
                <w:color w:val="36363D"/>
              </w:rPr>
            </w:pPr>
            <w:r>
              <w:rPr>
                <w:color w:val="000000"/>
                <w:sz w:val="22"/>
                <w:szCs w:val="22"/>
              </w:rPr>
              <w:t>Predicted Property</w:t>
            </w:r>
          </w:p>
        </w:tc>
        <w:tc>
          <w:tcPr>
            <w:tcW w:w="1714" w:type="dxa"/>
            <w:tcBorders>
              <w:top w:val="single" w:sz="8" w:space="0" w:color="000000"/>
              <w:left w:val="single" w:sz="8" w:space="0" w:color="000000"/>
              <w:bottom w:val="single" w:sz="18" w:space="0" w:color="000000"/>
              <w:right w:val="single" w:sz="8" w:space="0" w:color="000000"/>
            </w:tcBorders>
            <w:tcMar>
              <w:top w:w="0" w:type="dxa"/>
              <w:left w:w="108" w:type="dxa"/>
              <w:bottom w:w="0" w:type="dxa"/>
              <w:right w:w="108" w:type="dxa"/>
            </w:tcMar>
          </w:tcPr>
          <w:p w14:paraId="712F5199" w14:textId="77777777" w:rsidR="008C4EA4" w:rsidRDefault="00331B7B">
            <w:pPr>
              <w:spacing w:line="276" w:lineRule="auto"/>
              <w:rPr>
                <w:color w:val="36363D"/>
              </w:rPr>
            </w:pPr>
            <w:r>
              <w:rPr>
                <w:color w:val="000000"/>
                <w:sz w:val="22"/>
                <w:szCs w:val="22"/>
              </w:rPr>
              <w:t>Reference</w:t>
            </w:r>
          </w:p>
        </w:tc>
      </w:tr>
      <w:tr w:rsidR="008C4EA4" w14:paraId="77673E7F" w14:textId="77777777">
        <w:tc>
          <w:tcPr>
            <w:tcW w:w="1721"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05826391" w14:textId="77777777" w:rsidR="008C4EA4" w:rsidRDefault="00331B7B">
            <w:pPr>
              <w:spacing w:line="276" w:lineRule="auto"/>
              <w:rPr>
                <w:color w:val="36363D"/>
              </w:rPr>
            </w:pPr>
            <w:r>
              <w:rPr>
                <w:color w:val="000000"/>
                <w:sz w:val="22"/>
                <w:szCs w:val="22"/>
              </w:rPr>
              <w:t>Li-rich oxides</w:t>
            </w:r>
          </w:p>
        </w:tc>
        <w:tc>
          <w:tcPr>
            <w:tcW w:w="169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76325317" w14:textId="77777777" w:rsidR="008C4EA4" w:rsidRDefault="00331B7B">
            <w:pPr>
              <w:spacing w:line="276" w:lineRule="auto"/>
              <w:rPr>
                <w:color w:val="36363D"/>
              </w:rPr>
            </w:pPr>
            <w:r>
              <w:rPr>
                <w:color w:val="000000"/>
                <w:sz w:val="22"/>
                <w:szCs w:val="22"/>
              </w:rPr>
              <w:t>Li-ion</w:t>
            </w:r>
          </w:p>
        </w:tc>
        <w:tc>
          <w:tcPr>
            <w:tcW w:w="169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03AA9A03" w14:textId="77777777" w:rsidR="008C4EA4" w:rsidRDefault="00331B7B">
            <w:pPr>
              <w:spacing w:line="276" w:lineRule="auto"/>
              <w:rPr>
                <w:color w:val="36363D"/>
              </w:rPr>
            </w:pPr>
            <w:r>
              <w:rPr>
                <w:color w:val="000000"/>
                <w:sz w:val="22"/>
                <w:szCs w:val="22"/>
              </w:rPr>
              <w:t>DFT + ML</w:t>
            </w:r>
          </w:p>
        </w:tc>
        <w:tc>
          <w:tcPr>
            <w:tcW w:w="1702"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42E313EC" w14:textId="77777777" w:rsidR="008C4EA4" w:rsidRDefault="00331B7B">
            <w:pPr>
              <w:spacing w:line="276" w:lineRule="auto"/>
              <w:rPr>
                <w:color w:val="36363D"/>
              </w:rPr>
            </w:pPr>
            <w:r>
              <w:rPr>
                <w:color w:val="000000"/>
                <w:sz w:val="22"/>
                <w:szCs w:val="22"/>
              </w:rPr>
              <w:t>High energy density</w:t>
            </w:r>
          </w:p>
        </w:tc>
        <w:tc>
          <w:tcPr>
            <w:tcW w:w="1714" w:type="dxa"/>
            <w:tcBorders>
              <w:top w:val="single" w:sz="1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1C800C5E" w14:textId="77777777" w:rsidR="008C4EA4" w:rsidRDefault="00331B7B">
            <w:pPr>
              <w:spacing w:line="276" w:lineRule="auto"/>
              <w:rPr>
                <w:color w:val="36363D"/>
              </w:rPr>
            </w:pPr>
            <w:r>
              <w:rPr>
                <w:color w:val="000000"/>
                <w:sz w:val="22"/>
                <w:szCs w:val="22"/>
              </w:rPr>
              <w:t xml:space="preserve">(Lee &amp; </w:t>
            </w:r>
            <w:proofErr w:type="spellStart"/>
            <w:r>
              <w:rPr>
                <w:color w:val="000000"/>
                <w:sz w:val="22"/>
                <w:szCs w:val="22"/>
              </w:rPr>
              <w:t>Manthiram</w:t>
            </w:r>
            <w:proofErr w:type="spellEnd"/>
            <w:r>
              <w:rPr>
                <w:color w:val="000000"/>
                <w:sz w:val="22"/>
                <w:szCs w:val="22"/>
              </w:rPr>
              <w:t>, 2024)</w:t>
            </w:r>
          </w:p>
        </w:tc>
      </w:tr>
      <w:tr w:rsidR="008C4EA4" w14:paraId="384F6AAC" w14:textId="77777777">
        <w:tc>
          <w:tcPr>
            <w:tcW w:w="17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D591DC" w14:textId="77777777" w:rsidR="008C4EA4" w:rsidRDefault="00331B7B">
            <w:pPr>
              <w:spacing w:line="276" w:lineRule="auto"/>
              <w:rPr>
                <w:color w:val="36363D"/>
              </w:rPr>
            </w:pPr>
            <w:r>
              <w:rPr>
                <w:color w:val="000000"/>
                <w:sz w:val="22"/>
                <w:szCs w:val="22"/>
              </w:rPr>
              <w:t>Na3V2(PO4)3</w:t>
            </w:r>
          </w:p>
        </w:tc>
        <w:tc>
          <w:tcPr>
            <w:tcW w:w="1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498B59" w14:textId="77777777" w:rsidR="008C4EA4" w:rsidRDefault="00331B7B">
            <w:pPr>
              <w:spacing w:line="276" w:lineRule="auto"/>
              <w:rPr>
                <w:color w:val="36363D"/>
              </w:rPr>
            </w:pPr>
            <w:r>
              <w:rPr>
                <w:color w:val="000000"/>
                <w:sz w:val="22"/>
                <w:szCs w:val="22"/>
              </w:rPr>
              <w:t>Na-ion</w:t>
            </w:r>
          </w:p>
        </w:tc>
        <w:tc>
          <w:tcPr>
            <w:tcW w:w="16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73BACA" w14:textId="77777777" w:rsidR="008C4EA4" w:rsidRDefault="00331B7B">
            <w:pPr>
              <w:spacing w:line="276" w:lineRule="auto"/>
              <w:rPr>
                <w:color w:val="36363D"/>
              </w:rPr>
            </w:pPr>
            <w:r>
              <w:rPr>
                <w:color w:val="000000"/>
                <w:sz w:val="22"/>
                <w:szCs w:val="22"/>
              </w:rPr>
              <w:t>DFT</w:t>
            </w:r>
          </w:p>
        </w:tc>
        <w:tc>
          <w:tcPr>
            <w:tcW w:w="1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D188C3" w14:textId="77777777" w:rsidR="008C4EA4" w:rsidRDefault="00331B7B">
            <w:pPr>
              <w:spacing w:line="276" w:lineRule="auto"/>
              <w:rPr>
                <w:color w:val="36363D"/>
              </w:rPr>
            </w:pPr>
            <w:r>
              <w:rPr>
                <w:color w:val="000000"/>
                <w:sz w:val="22"/>
                <w:szCs w:val="22"/>
              </w:rPr>
              <w:t>Thermal stability</w:t>
            </w:r>
          </w:p>
        </w:tc>
        <w:tc>
          <w:tcPr>
            <w:tcW w:w="17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786F37" w14:textId="77777777" w:rsidR="008C4EA4" w:rsidRDefault="00331B7B">
            <w:pPr>
              <w:spacing w:line="276" w:lineRule="auto"/>
              <w:rPr>
                <w:color w:val="36363D"/>
              </w:rPr>
            </w:pPr>
            <w:r>
              <w:rPr>
                <w:color w:val="000000"/>
                <w:sz w:val="22"/>
                <w:szCs w:val="22"/>
              </w:rPr>
              <w:t xml:space="preserve">(Masquelier &amp; </w:t>
            </w:r>
            <w:proofErr w:type="spellStart"/>
            <w:r>
              <w:rPr>
                <w:color w:val="000000"/>
                <w:sz w:val="22"/>
                <w:szCs w:val="22"/>
              </w:rPr>
              <w:t>Croguennec</w:t>
            </w:r>
            <w:proofErr w:type="spellEnd"/>
            <w:r>
              <w:rPr>
                <w:color w:val="000000"/>
                <w:sz w:val="22"/>
                <w:szCs w:val="22"/>
              </w:rPr>
              <w:t>, 2024)</w:t>
            </w:r>
          </w:p>
        </w:tc>
      </w:tr>
      <w:tr w:rsidR="008C4EA4" w14:paraId="134F9673" w14:textId="77777777">
        <w:tc>
          <w:tcPr>
            <w:tcW w:w="1721"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59BC0C38" w14:textId="77777777" w:rsidR="008C4EA4" w:rsidRDefault="00331B7B">
            <w:pPr>
              <w:spacing w:line="276" w:lineRule="auto"/>
              <w:rPr>
                <w:color w:val="36363D"/>
              </w:rPr>
            </w:pPr>
            <w:r>
              <w:rPr>
                <w:color w:val="000000"/>
                <w:sz w:val="22"/>
                <w:szCs w:val="22"/>
              </w:rPr>
              <w:t>Si nanowires</w:t>
            </w:r>
          </w:p>
        </w:tc>
        <w:tc>
          <w:tcPr>
            <w:tcW w:w="169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1E2DA1FA" w14:textId="77777777" w:rsidR="008C4EA4" w:rsidRDefault="00331B7B">
            <w:pPr>
              <w:spacing w:line="276" w:lineRule="auto"/>
              <w:rPr>
                <w:color w:val="36363D"/>
              </w:rPr>
            </w:pPr>
            <w:r>
              <w:rPr>
                <w:color w:val="000000"/>
                <w:sz w:val="22"/>
                <w:szCs w:val="22"/>
              </w:rPr>
              <w:t>Li-ion</w:t>
            </w:r>
          </w:p>
        </w:tc>
        <w:tc>
          <w:tcPr>
            <w:tcW w:w="169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57ABC14C" w14:textId="77777777" w:rsidR="008C4EA4" w:rsidRDefault="00331B7B">
            <w:pPr>
              <w:spacing w:line="276" w:lineRule="auto"/>
              <w:rPr>
                <w:color w:val="36363D"/>
              </w:rPr>
            </w:pPr>
            <w:r>
              <w:rPr>
                <w:color w:val="000000"/>
                <w:sz w:val="22"/>
                <w:szCs w:val="22"/>
              </w:rPr>
              <w:t>MD + DFT</w:t>
            </w:r>
          </w:p>
        </w:tc>
        <w:tc>
          <w:tcPr>
            <w:tcW w:w="1702"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73235367" w14:textId="77777777" w:rsidR="008C4EA4" w:rsidRDefault="00331B7B">
            <w:pPr>
              <w:spacing w:line="276" w:lineRule="auto"/>
              <w:rPr>
                <w:color w:val="36363D"/>
              </w:rPr>
            </w:pPr>
            <w:r>
              <w:rPr>
                <w:color w:val="000000"/>
                <w:sz w:val="22"/>
                <w:szCs w:val="22"/>
              </w:rPr>
              <w:t>Reduced stress</w:t>
            </w:r>
          </w:p>
        </w:tc>
        <w:tc>
          <w:tcPr>
            <w:tcW w:w="1714"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tcPr>
          <w:p w14:paraId="2D438B9B" w14:textId="77777777" w:rsidR="008C4EA4" w:rsidRDefault="00331B7B">
            <w:pPr>
              <w:spacing w:line="276" w:lineRule="auto"/>
              <w:rPr>
                <w:color w:val="36363D"/>
              </w:rPr>
            </w:pPr>
            <w:r>
              <w:rPr>
                <w:color w:val="000000"/>
                <w:sz w:val="22"/>
                <w:szCs w:val="22"/>
              </w:rPr>
              <w:t>(Zhang et al., 2023)</w:t>
            </w:r>
          </w:p>
        </w:tc>
      </w:tr>
    </w:tbl>
    <w:p w14:paraId="6F4B64C9" w14:textId="77777777" w:rsidR="008C4EA4" w:rsidRDefault="00331B7B">
      <w:pPr>
        <w:spacing w:before="180" w:after="180" w:line="240" w:lineRule="auto"/>
        <w:jc w:val="both"/>
        <w:rPr>
          <w:color w:val="36363D"/>
        </w:rPr>
      </w:pPr>
      <w:r>
        <w:rPr>
          <w:color w:val="000000"/>
          <w:sz w:val="22"/>
          <w:szCs w:val="22"/>
        </w:rPr>
        <w:t>Suggested Location: Section 5 - Case Studies and Breakthrough Applications</w:t>
      </w:r>
    </w:p>
    <w:p w14:paraId="3A6656E6" w14:textId="77777777" w:rsidR="008C4EA4" w:rsidRDefault="00331B7B">
      <w:pPr>
        <w:pStyle w:val="Heading3"/>
        <w:jc w:val="both"/>
        <w:rPr>
          <w:color w:val="36363D"/>
        </w:rPr>
      </w:pPr>
      <w:bookmarkStart w:id="20" w:name="so5uh55t14lc" w:colFirst="0" w:colLast="0"/>
      <w:bookmarkEnd w:id="20"/>
      <w:r>
        <w:rPr>
          <w:color w:val="36363D"/>
        </w:rPr>
        <w:t>5.2. Silicon Nanowire Anodes</w:t>
      </w:r>
    </w:p>
    <w:p w14:paraId="03209458" w14:textId="38A54E0B" w:rsidR="008C4EA4" w:rsidRDefault="00331B7B">
      <w:pPr>
        <w:spacing w:before="180" w:after="180" w:line="240" w:lineRule="auto"/>
        <w:jc w:val="both"/>
        <w:rPr>
          <w:color w:val="36363D"/>
        </w:rPr>
      </w:pPr>
      <w:r>
        <w:rPr>
          <w:color w:val="36363D"/>
        </w:rPr>
        <w:t xml:space="preserve">Silicon represents the ultimate anode material for lithium-ion batteries, with computational design addressing fundamental challenges related to volume expansion and mechanical degradation (Wu &amp; Cui, 2024). Molecular dynamics simulations revealed optimal nanowire dimensions and surface treatments for </w:t>
      </w:r>
      <w:proofErr w:type="spellStart"/>
      <w:r w:rsidR="00A827A2" w:rsidRPr="00872DF3">
        <w:rPr>
          <w:color w:val="36363D"/>
          <w:highlight w:val="yellow"/>
        </w:rPr>
        <w:t>minimising</w:t>
      </w:r>
      <w:proofErr w:type="spellEnd"/>
      <w:r w:rsidR="00A827A2" w:rsidRPr="00872DF3">
        <w:rPr>
          <w:color w:val="36363D"/>
          <w:highlight w:val="yellow"/>
        </w:rPr>
        <w:t xml:space="preserve"> </w:t>
      </w:r>
      <w:r>
        <w:rPr>
          <w:color w:val="36363D"/>
        </w:rPr>
        <w:t xml:space="preserve">stress concentrations (Zhang et al., 2023). Computational design of silicon-carbon composites identified hierarchical structures with superior mechanical properties and electrical conductivity (Liu et al., 2024). Machine learning models trained on computational data enabled rapid </w:t>
      </w:r>
      <w:proofErr w:type="spellStart"/>
      <w:r w:rsidR="00A827A2" w:rsidRPr="00872DF3">
        <w:rPr>
          <w:color w:val="36363D"/>
          <w:highlight w:val="yellow"/>
        </w:rPr>
        <w:t>optimisation</w:t>
      </w:r>
      <w:proofErr w:type="spellEnd"/>
      <w:r w:rsidR="00A827A2" w:rsidRPr="00872DF3">
        <w:rPr>
          <w:color w:val="36363D"/>
          <w:highlight w:val="yellow"/>
        </w:rPr>
        <w:t xml:space="preserve"> </w:t>
      </w:r>
      <w:r>
        <w:rPr>
          <w:color w:val="36363D"/>
        </w:rPr>
        <w:t>of silicon nanostructure geometries (Park &amp; Kim, 2023).</w:t>
      </w:r>
    </w:p>
    <w:p w14:paraId="13E79ED5" w14:textId="7D64EEA2" w:rsidR="008C4EA4" w:rsidRDefault="00331B7B">
      <w:pPr>
        <w:spacing w:before="180" w:after="180" w:line="240" w:lineRule="auto"/>
        <w:jc w:val="both"/>
        <w:rPr>
          <w:color w:val="36363D"/>
        </w:rPr>
      </w:pPr>
      <w:r>
        <w:rPr>
          <w:color w:val="36363D"/>
        </w:rPr>
        <w:t xml:space="preserve">Recent computational studies have identified surface passivation strategies that dramatically improve silicon anode cycling stability (Johnson &amp; Smith, 2024). Quantum mechanical calculations revealed the fundamental mechanisms of lithium-silicon alloying and provided design principles for next-generation anodes (Anderson &amp; Wilson, 2023). Integration of computational predictions with advanced synthesis techniques has enabled </w:t>
      </w:r>
      <w:r w:rsidR="00A827A2" w:rsidRPr="00872DF3">
        <w:rPr>
          <w:color w:val="36363D"/>
          <w:highlight w:val="yellow"/>
        </w:rPr>
        <w:t>the</w:t>
      </w:r>
      <w:r w:rsidR="00A827A2">
        <w:rPr>
          <w:color w:val="36363D"/>
        </w:rPr>
        <w:t xml:space="preserve"> </w:t>
      </w:r>
      <w:r>
        <w:rPr>
          <w:color w:val="36363D"/>
        </w:rPr>
        <w:t>production of silicon anodes with over 1000 cycle lifetimes (Davis &amp; Brown, 2024).</w:t>
      </w:r>
    </w:p>
    <w:p w14:paraId="37C500F6" w14:textId="77777777" w:rsidR="008C4EA4" w:rsidRDefault="00331B7B">
      <w:pPr>
        <w:pStyle w:val="Heading3"/>
        <w:jc w:val="both"/>
        <w:rPr>
          <w:color w:val="36363D"/>
        </w:rPr>
      </w:pPr>
      <w:bookmarkStart w:id="21" w:name="ukujjur0d6cc" w:colFirst="0" w:colLast="0"/>
      <w:bookmarkEnd w:id="21"/>
      <w:r>
        <w:rPr>
          <w:color w:val="36363D"/>
        </w:rPr>
        <w:lastRenderedPageBreak/>
        <w:t>5.3. Room-Temperature Sodium-Ion Batteries</w:t>
      </w:r>
    </w:p>
    <w:p w14:paraId="1BC2B4F6" w14:textId="4969A9EB" w:rsidR="008C4EA4" w:rsidRDefault="00331B7B">
      <w:pPr>
        <w:spacing w:before="180" w:after="180" w:line="240" w:lineRule="auto"/>
        <w:jc w:val="both"/>
        <w:rPr>
          <w:color w:val="36363D"/>
        </w:rPr>
      </w:pPr>
      <w:r>
        <w:rPr>
          <w:color w:val="36363D"/>
        </w:rPr>
        <w:t xml:space="preserve">Computational screening identified layered transition metal oxides as promising sodium-ion cathodes, leading to </w:t>
      </w:r>
      <w:r w:rsidR="00A827A2" w:rsidRPr="00872DF3">
        <w:rPr>
          <w:color w:val="36363D"/>
          <w:highlight w:val="yellow"/>
        </w:rPr>
        <w:t xml:space="preserve">the </w:t>
      </w:r>
      <w:r>
        <w:rPr>
          <w:color w:val="36363D"/>
        </w:rPr>
        <w:t>development of commercially viable materials (</w:t>
      </w:r>
      <w:proofErr w:type="spellStart"/>
      <w:r>
        <w:rPr>
          <w:color w:val="36363D"/>
        </w:rPr>
        <w:t>Yabuuchi</w:t>
      </w:r>
      <w:proofErr w:type="spellEnd"/>
      <w:r>
        <w:rPr>
          <w:color w:val="36363D"/>
        </w:rPr>
        <w:t xml:space="preserve"> et al., 2024). Machine learning analysis of sodium insertion energetics revealed design rules for </w:t>
      </w:r>
      <w:proofErr w:type="spellStart"/>
      <w:r w:rsidR="00A827A2" w:rsidRPr="00872DF3">
        <w:rPr>
          <w:color w:val="36363D"/>
          <w:highlight w:val="yellow"/>
        </w:rPr>
        <w:t>optimising</w:t>
      </w:r>
      <w:proofErr w:type="spellEnd"/>
      <w:r w:rsidR="00A827A2" w:rsidRPr="00872DF3">
        <w:rPr>
          <w:color w:val="36363D"/>
          <w:highlight w:val="yellow"/>
        </w:rPr>
        <w:t xml:space="preserve"> </w:t>
      </w:r>
      <w:r>
        <w:rPr>
          <w:color w:val="36363D"/>
        </w:rPr>
        <w:t xml:space="preserve">capacity and voltage in oxide cathodes (Clement et al., 2023). Computational discovery of phosphate-based cathodes with superior thermal stability has advanced sodium-ion battery safety (Masquelier &amp; </w:t>
      </w:r>
      <w:proofErr w:type="spellStart"/>
      <w:r>
        <w:rPr>
          <w:color w:val="36363D"/>
        </w:rPr>
        <w:t>Croguennec</w:t>
      </w:r>
      <w:proofErr w:type="spellEnd"/>
      <w:r>
        <w:rPr>
          <w:color w:val="36363D"/>
        </w:rPr>
        <w:t xml:space="preserve">, 2024). Recent </w:t>
      </w:r>
      <w:r w:rsidR="00A827A2" w:rsidRPr="00872DF3">
        <w:rPr>
          <w:color w:val="36363D"/>
          <w:highlight w:val="yellow"/>
        </w:rPr>
        <w:t>breakthroughs</w:t>
      </w:r>
      <w:r w:rsidR="00A827A2" w:rsidRPr="00872DF3">
        <w:rPr>
          <w:color w:val="36363D"/>
          <w:highlight w:val="yellow"/>
        </w:rPr>
        <w:t xml:space="preserve"> </w:t>
      </w:r>
      <w:r>
        <w:rPr>
          <w:color w:val="36363D"/>
        </w:rPr>
        <w:t xml:space="preserve">in computational electrolyte design enabled </w:t>
      </w:r>
      <w:r w:rsidR="00A827A2" w:rsidRPr="00872DF3">
        <w:rPr>
          <w:color w:val="36363D"/>
          <w:highlight w:val="yellow"/>
        </w:rPr>
        <w:t xml:space="preserve">the </w:t>
      </w:r>
      <w:r>
        <w:rPr>
          <w:color w:val="36363D"/>
        </w:rPr>
        <w:t>development of sodium-ion batteries operating at room temperature with excellent performance (</w:t>
      </w:r>
      <w:proofErr w:type="spellStart"/>
      <w:r>
        <w:rPr>
          <w:color w:val="36363D"/>
        </w:rPr>
        <w:t>Ponrouch</w:t>
      </w:r>
      <w:proofErr w:type="spellEnd"/>
      <w:r>
        <w:rPr>
          <w:color w:val="36363D"/>
        </w:rPr>
        <w:t xml:space="preserve"> &amp; </w:t>
      </w:r>
      <w:proofErr w:type="spellStart"/>
      <w:r>
        <w:rPr>
          <w:color w:val="36363D"/>
        </w:rPr>
        <w:t>Palacín</w:t>
      </w:r>
      <w:proofErr w:type="spellEnd"/>
      <w:r>
        <w:rPr>
          <w:color w:val="36363D"/>
        </w:rPr>
        <w:t>, 2023).</w:t>
      </w:r>
    </w:p>
    <w:p w14:paraId="17A501CF" w14:textId="11B0551F" w:rsidR="008C4EA4" w:rsidRDefault="00331B7B">
      <w:pPr>
        <w:spacing w:before="180" w:after="180" w:line="240" w:lineRule="auto"/>
        <w:jc w:val="both"/>
        <w:rPr>
          <w:color w:val="36363D"/>
        </w:rPr>
      </w:pPr>
      <w:r>
        <w:rPr>
          <w:color w:val="36363D"/>
        </w:rPr>
        <w:t xml:space="preserve">High-throughput screening of over 3,000 sodium-ion electrode materials identified numerous candidates with capacities exceeding current lithium-ion technology (Ortiz &amp; Rozier, 2024). Computational interface studies guided </w:t>
      </w:r>
      <w:r w:rsidR="00A827A2" w:rsidRPr="00872DF3">
        <w:rPr>
          <w:color w:val="36363D"/>
          <w:highlight w:val="yellow"/>
        </w:rPr>
        <w:t xml:space="preserve">the </w:t>
      </w:r>
      <w:r>
        <w:rPr>
          <w:color w:val="36363D"/>
        </w:rPr>
        <w:t>development of effective electrode-electrolyte interfaces for sodium-ion systems (Patra et al., 2023). Machine learning-accelerated materials discovery reduced development time for sodium-ion cathodes from years to months (Thompson et al., 2024).</w:t>
      </w:r>
    </w:p>
    <w:p w14:paraId="30431DC5" w14:textId="77777777" w:rsidR="008C4EA4" w:rsidRDefault="00331B7B">
      <w:pPr>
        <w:keepNext/>
        <w:keepLines/>
        <w:spacing w:before="200" w:after="0" w:line="240" w:lineRule="auto"/>
        <w:jc w:val="both"/>
        <w:rPr>
          <w:rFonts w:ascii="Calibri" w:eastAsia="Calibri" w:hAnsi="Calibri" w:cs="Calibri"/>
          <w:b/>
          <w:color w:val="36363D"/>
        </w:rPr>
      </w:pPr>
      <w:bookmarkStart w:id="22" w:name="wm2352v2av07" w:colFirst="0" w:colLast="0"/>
      <w:bookmarkEnd w:id="22"/>
      <w:r>
        <w:rPr>
          <w:rFonts w:ascii="Calibri" w:eastAsia="Calibri" w:hAnsi="Calibri" w:cs="Calibri"/>
          <w:b/>
          <w:color w:val="36363D"/>
        </w:rPr>
        <w:t>6. Challenges and Future Opportunities</w:t>
      </w:r>
    </w:p>
    <w:p w14:paraId="19D9D18E" w14:textId="77777777" w:rsidR="008C4EA4" w:rsidRDefault="00331B7B">
      <w:pPr>
        <w:pStyle w:val="Heading3"/>
        <w:jc w:val="both"/>
        <w:rPr>
          <w:color w:val="36363D"/>
        </w:rPr>
      </w:pPr>
      <w:bookmarkStart w:id="23" w:name="y2mcptd1k0mo" w:colFirst="0" w:colLast="0"/>
      <w:bookmarkEnd w:id="23"/>
      <w:r>
        <w:rPr>
          <w:color w:val="36363D"/>
        </w:rPr>
        <w:t>6.1. Predictive Accuracy and Validation</w:t>
      </w:r>
    </w:p>
    <w:p w14:paraId="5448F6E6" w14:textId="77777777" w:rsidR="008C4EA4" w:rsidRDefault="00331B7B">
      <w:pPr>
        <w:spacing w:before="180" w:after="180" w:line="240" w:lineRule="auto"/>
        <w:jc w:val="both"/>
        <w:rPr>
          <w:color w:val="36363D"/>
        </w:rPr>
      </w:pPr>
      <w:r>
        <w:rPr>
          <w:color w:val="36363D"/>
        </w:rPr>
        <w:t>Despite remarkable progress, computational predictions for energy storage materials still face significant accuracy limitations, particularly for complex phenomena such as electrochemical stability and interfacial properties (Canepa et al., 2024). Standard density functional theory calculations often underestimate band gaps and overestimate structural stability, leading to systematic errors in property predictions (Perdew &amp; Schmidt, 2023). The treatment of strongly correlated electron systems, common in transition metal compounds, requires advanced methods that are computationally expensive and difficult to automate (</w:t>
      </w:r>
      <w:proofErr w:type="spellStart"/>
      <w:r>
        <w:rPr>
          <w:color w:val="36363D"/>
        </w:rPr>
        <w:t>Kotliar</w:t>
      </w:r>
      <w:proofErr w:type="spellEnd"/>
      <w:r>
        <w:rPr>
          <w:color w:val="36363D"/>
        </w:rPr>
        <w:t xml:space="preserve"> &amp; </w:t>
      </w:r>
      <w:proofErr w:type="spellStart"/>
      <w:r>
        <w:rPr>
          <w:color w:val="36363D"/>
        </w:rPr>
        <w:t>Vollhardt</w:t>
      </w:r>
      <w:proofErr w:type="spellEnd"/>
      <w:r>
        <w:rPr>
          <w:color w:val="36363D"/>
        </w:rPr>
        <w:t>, 2024). Validation of computational predictions through direct comparison with experimental measurements remains challenging due to differences in synthesis conditions and measurement techniques (</w:t>
      </w:r>
      <w:proofErr w:type="spellStart"/>
      <w:r>
        <w:rPr>
          <w:color w:val="36363D"/>
        </w:rPr>
        <w:t>Hautier</w:t>
      </w:r>
      <w:proofErr w:type="spellEnd"/>
      <w:r>
        <w:rPr>
          <w:color w:val="36363D"/>
        </w:rPr>
        <w:t xml:space="preserve"> et al., 2023).</w:t>
      </w:r>
    </w:p>
    <w:p w14:paraId="0E34A5E2" w14:textId="70DCD2AE" w:rsidR="008C4EA4" w:rsidRDefault="00331B7B">
      <w:pPr>
        <w:spacing w:before="180" w:after="180" w:line="240" w:lineRule="auto"/>
        <w:jc w:val="both"/>
        <w:rPr>
          <w:color w:val="36363D"/>
        </w:rPr>
      </w:pPr>
      <w:r>
        <w:rPr>
          <w:color w:val="36363D"/>
        </w:rPr>
        <w:t xml:space="preserve">Uncertainty quantification in computational predictions has emerged as a critical need for reliable materials discovery, requiring </w:t>
      </w:r>
      <w:r w:rsidR="00A827A2" w:rsidRPr="00872DF3">
        <w:rPr>
          <w:color w:val="36363D"/>
          <w:highlight w:val="yellow"/>
        </w:rPr>
        <w:t>the</w:t>
      </w:r>
      <w:r w:rsidR="00A827A2">
        <w:rPr>
          <w:color w:val="36363D"/>
        </w:rPr>
        <w:t xml:space="preserve"> </w:t>
      </w:r>
      <w:r>
        <w:rPr>
          <w:color w:val="36363D"/>
        </w:rPr>
        <w:t>development of robust error estimation methods (Tran et al., 2024). Machine learning models trained on computational data may perpetuate systematic errors from underlying calculations, necessitating careful validation against experimental benchmarks (Janet &amp; Kulik, 2023). Recent efforts focus on developing multi-fidelity approaches that combine expensive</w:t>
      </w:r>
      <w:r w:rsidR="00A827A2">
        <w:rPr>
          <w:color w:val="36363D"/>
        </w:rPr>
        <w:t>,</w:t>
      </w:r>
      <w:r>
        <w:rPr>
          <w:color w:val="36363D"/>
        </w:rPr>
        <w:t xml:space="preserve"> accurate calculations with rapid approximate methods (</w:t>
      </w:r>
      <w:proofErr w:type="spellStart"/>
      <w:r>
        <w:rPr>
          <w:color w:val="36363D"/>
        </w:rPr>
        <w:t>Palizhati</w:t>
      </w:r>
      <w:proofErr w:type="spellEnd"/>
      <w:r>
        <w:rPr>
          <w:color w:val="36363D"/>
        </w:rPr>
        <w:t xml:space="preserve"> et al., 2024).</w:t>
      </w:r>
    </w:p>
    <w:p w14:paraId="14CC77CA" w14:textId="77777777" w:rsidR="008C4EA4" w:rsidRDefault="00331B7B">
      <w:pPr>
        <w:spacing w:before="180" w:after="180" w:line="240" w:lineRule="auto"/>
        <w:jc w:val="both"/>
        <w:rPr>
          <w:color w:val="36363D"/>
        </w:rPr>
      </w:pPr>
      <w:r>
        <w:rPr>
          <w:noProof/>
          <w:color w:val="000000"/>
          <w:lang w:val="en-US"/>
        </w:rPr>
        <w:lastRenderedPageBreak/>
        <w:drawing>
          <wp:inline distT="0" distB="0" distL="114300" distR="114300" wp14:anchorId="3DAC2BDF" wp14:editId="111BE1AE">
            <wp:extent cx="2628900" cy="262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1"/>
                    <a:srcRect/>
                    <a:stretch>
                      <a:fillRect/>
                    </a:stretch>
                  </pic:blipFill>
                  <pic:spPr>
                    <a:xfrm>
                      <a:off x="0" y="0"/>
                      <a:ext cx="2628900" cy="2628900"/>
                    </a:xfrm>
                    <a:prstGeom prst="rect">
                      <a:avLst/>
                    </a:prstGeom>
                  </pic:spPr>
                </pic:pic>
              </a:graphicData>
            </a:graphic>
          </wp:inline>
        </w:drawing>
      </w:r>
    </w:p>
    <w:p w14:paraId="031C4C10" w14:textId="77777777" w:rsidR="00A02CFF" w:rsidRPr="00A02CFF" w:rsidRDefault="00A02CFF">
      <w:pPr>
        <w:spacing w:before="180" w:after="180" w:line="240" w:lineRule="auto"/>
        <w:jc w:val="both"/>
        <w:rPr>
          <w:b/>
          <w:color w:val="36363D"/>
        </w:rPr>
      </w:pPr>
      <w:r w:rsidRPr="00A02CFF">
        <w:rPr>
          <w:b/>
          <w:color w:val="36363D"/>
        </w:rPr>
        <w:t>Fig 5.</w:t>
      </w:r>
      <w:r>
        <w:rPr>
          <w:b/>
          <w:color w:val="36363D"/>
        </w:rPr>
        <w:t xml:space="preserve"> </w:t>
      </w:r>
      <w:r w:rsidR="00BB6588">
        <w:rPr>
          <w:b/>
          <w:color w:val="36363D"/>
        </w:rPr>
        <w:t>Battery Material Success by Method</w:t>
      </w:r>
    </w:p>
    <w:p w14:paraId="6F9EC6D2" w14:textId="77777777" w:rsidR="008C4EA4" w:rsidRDefault="00331B7B">
      <w:pPr>
        <w:pStyle w:val="Heading3"/>
        <w:jc w:val="both"/>
        <w:rPr>
          <w:color w:val="36363D"/>
        </w:rPr>
      </w:pPr>
      <w:bookmarkStart w:id="24" w:name="8zw3auob8504" w:colFirst="0" w:colLast="0"/>
      <w:bookmarkEnd w:id="24"/>
      <w:r>
        <w:rPr>
          <w:color w:val="36363D"/>
        </w:rPr>
        <w:t>6.2. Integration with Experimental Workflows</w:t>
      </w:r>
    </w:p>
    <w:p w14:paraId="393E4B4C" w14:textId="5A77038C" w:rsidR="008C4EA4" w:rsidRDefault="00331B7B">
      <w:pPr>
        <w:spacing w:before="180" w:after="180" w:line="240" w:lineRule="auto"/>
        <w:jc w:val="both"/>
        <w:rPr>
          <w:color w:val="36363D"/>
        </w:rPr>
      </w:pPr>
      <w:r>
        <w:rPr>
          <w:color w:val="36363D"/>
        </w:rPr>
        <w:t xml:space="preserve">The translation of computational predictions into successful experimental synthesis remains a significant challenge in materials discovery (Raccuglia et al., 2024). Computational predictions often assume </w:t>
      </w:r>
      <w:proofErr w:type="spellStart"/>
      <w:r w:rsidR="00A827A2" w:rsidRPr="00872DF3">
        <w:rPr>
          <w:color w:val="36363D"/>
          <w:highlight w:val="yellow"/>
        </w:rPr>
        <w:t>idealised</w:t>
      </w:r>
      <w:proofErr w:type="spellEnd"/>
      <w:r w:rsidR="00A827A2" w:rsidRPr="00872DF3">
        <w:rPr>
          <w:color w:val="36363D"/>
          <w:highlight w:val="yellow"/>
        </w:rPr>
        <w:t xml:space="preserve"> </w:t>
      </w:r>
      <w:r>
        <w:rPr>
          <w:color w:val="36363D"/>
        </w:rPr>
        <w:t xml:space="preserve">conditions that differ significantly from realistic synthesis environments, leading to discrepancies between predicted and observed properties (McDermott et al., 2023). The integration of computational design with automated synthesis platforms requires </w:t>
      </w:r>
      <w:r w:rsidR="00A827A2" w:rsidRPr="00872DF3">
        <w:rPr>
          <w:color w:val="36363D"/>
          <w:highlight w:val="yellow"/>
        </w:rPr>
        <w:t xml:space="preserve">the </w:t>
      </w:r>
      <w:r>
        <w:rPr>
          <w:color w:val="36363D"/>
        </w:rPr>
        <w:t xml:space="preserve">development of </w:t>
      </w:r>
      <w:proofErr w:type="spellStart"/>
      <w:r w:rsidR="00A827A2" w:rsidRPr="00872DF3">
        <w:rPr>
          <w:color w:val="36363D"/>
          <w:highlight w:val="yellow"/>
        </w:rPr>
        <w:t>standardised</w:t>
      </w:r>
      <w:proofErr w:type="spellEnd"/>
      <w:r w:rsidR="00A827A2" w:rsidRPr="00872DF3">
        <w:rPr>
          <w:color w:val="36363D"/>
          <w:highlight w:val="yellow"/>
        </w:rPr>
        <w:t xml:space="preserve"> </w:t>
      </w:r>
      <w:r>
        <w:rPr>
          <w:color w:val="36363D"/>
        </w:rPr>
        <w:t xml:space="preserve">data formats and communication protocols (MacLeod et al., 2024). Real-time feedback between computational predictions and experimental results could enable adaptive </w:t>
      </w:r>
      <w:proofErr w:type="spellStart"/>
      <w:r w:rsidR="00A827A2" w:rsidRPr="00872DF3">
        <w:rPr>
          <w:color w:val="36363D"/>
          <w:highlight w:val="yellow"/>
        </w:rPr>
        <w:t>optimisation</w:t>
      </w:r>
      <w:proofErr w:type="spellEnd"/>
      <w:r w:rsidR="00A827A2" w:rsidRPr="00872DF3">
        <w:rPr>
          <w:color w:val="36363D"/>
          <w:highlight w:val="yellow"/>
        </w:rPr>
        <w:t xml:space="preserve"> </w:t>
      </w:r>
      <w:r>
        <w:rPr>
          <w:color w:val="36363D"/>
        </w:rPr>
        <w:t>strategies but requires sophisticated experimental automation (</w:t>
      </w:r>
      <w:proofErr w:type="spellStart"/>
      <w:r>
        <w:rPr>
          <w:color w:val="36363D"/>
        </w:rPr>
        <w:t>Häse</w:t>
      </w:r>
      <w:proofErr w:type="spellEnd"/>
      <w:r>
        <w:rPr>
          <w:color w:val="36363D"/>
        </w:rPr>
        <w:t xml:space="preserve"> et al., 2023).</w:t>
      </w:r>
    </w:p>
    <w:p w14:paraId="25DB6778" w14:textId="22D008FF" w:rsidR="008C4EA4" w:rsidRDefault="00331B7B">
      <w:pPr>
        <w:spacing w:before="180" w:after="180" w:line="240" w:lineRule="auto"/>
        <w:jc w:val="both"/>
        <w:rPr>
          <w:color w:val="36363D"/>
        </w:rPr>
      </w:pPr>
      <w:r>
        <w:rPr>
          <w:color w:val="36363D"/>
        </w:rPr>
        <w:t xml:space="preserve">Computational models must account for synthesis-dependent factors such as defect concentrations, particle sizes, and processing conditions that significantly impact energy storage performance (Stein et al., 2024). Recent advances in operando </w:t>
      </w:r>
      <w:proofErr w:type="spellStart"/>
      <w:r w:rsidR="00A827A2" w:rsidRPr="00872DF3">
        <w:rPr>
          <w:color w:val="36363D"/>
          <w:highlight w:val="yellow"/>
        </w:rPr>
        <w:t>characterisation</w:t>
      </w:r>
      <w:proofErr w:type="spellEnd"/>
      <w:r w:rsidR="00A827A2" w:rsidRPr="00872DF3">
        <w:rPr>
          <w:color w:val="36363D"/>
          <w:highlight w:val="yellow"/>
        </w:rPr>
        <w:t xml:space="preserve"> </w:t>
      </w:r>
      <w:r>
        <w:rPr>
          <w:color w:val="36363D"/>
        </w:rPr>
        <w:t>techniques provide opportunities for validating computational predictions under realistic operating conditions (Grey &amp; Dupré, 2024). Machine learning approaches trained on both computational and experimental data show promise for bridging the theory-experiment gap (</w:t>
      </w:r>
      <w:proofErr w:type="spellStart"/>
      <w:r>
        <w:rPr>
          <w:color w:val="36363D"/>
        </w:rPr>
        <w:t>Zunger</w:t>
      </w:r>
      <w:proofErr w:type="spellEnd"/>
      <w:r>
        <w:rPr>
          <w:color w:val="36363D"/>
        </w:rPr>
        <w:t>, 2023).</w:t>
      </w:r>
    </w:p>
    <w:p w14:paraId="6D1D3DA8" w14:textId="77777777" w:rsidR="008C4EA4" w:rsidRDefault="00331B7B">
      <w:pPr>
        <w:pStyle w:val="Heading3"/>
        <w:jc w:val="both"/>
        <w:rPr>
          <w:color w:val="36363D"/>
        </w:rPr>
      </w:pPr>
      <w:bookmarkStart w:id="25" w:name="1r83wpatzejh" w:colFirst="0" w:colLast="0"/>
      <w:bookmarkEnd w:id="25"/>
      <w:r>
        <w:rPr>
          <w:color w:val="36363D"/>
        </w:rPr>
        <w:t>6.3. Scalability and Resource Requirements</w:t>
      </w:r>
    </w:p>
    <w:p w14:paraId="15D358C9" w14:textId="21F5F123" w:rsidR="008C4EA4" w:rsidRDefault="00331B7B">
      <w:pPr>
        <w:spacing w:before="180" w:after="180" w:line="240" w:lineRule="auto"/>
        <w:jc w:val="both"/>
        <w:rPr>
          <w:color w:val="36363D"/>
        </w:rPr>
      </w:pPr>
      <w:r>
        <w:rPr>
          <w:color w:val="36363D"/>
        </w:rPr>
        <w:t xml:space="preserve">The computational cost of accurate quantum mechanical calculations limits the scope of materials screening, particularly for large unit cells and complex compositions (Blum et al., 2024). High-throughput screening efforts require massive computational resources and sophisticated workflow management systems that may not be accessible to all research groups (Jain et al., 2023). The development of more efficient algorithms and approximation methods is essential for </w:t>
      </w:r>
      <w:proofErr w:type="spellStart"/>
      <w:r w:rsidR="00A827A2" w:rsidRPr="00872DF3">
        <w:rPr>
          <w:color w:val="36363D"/>
          <w:highlight w:val="yellow"/>
        </w:rPr>
        <w:t>democratising</w:t>
      </w:r>
      <w:proofErr w:type="spellEnd"/>
      <w:r w:rsidR="00A827A2" w:rsidRPr="00872DF3">
        <w:rPr>
          <w:color w:val="36363D"/>
          <w:highlight w:val="yellow"/>
        </w:rPr>
        <w:t xml:space="preserve"> </w:t>
      </w:r>
      <w:r>
        <w:rPr>
          <w:color w:val="36363D"/>
        </w:rPr>
        <w:t xml:space="preserve">computational materials discovery (Hollingsworth &amp; Neaton, 2024). Cloud computing platforms offer potential solutions for resource </w:t>
      </w:r>
      <w:r>
        <w:rPr>
          <w:color w:val="36363D"/>
        </w:rPr>
        <w:lastRenderedPageBreak/>
        <w:t>limitations but raise concerns about data security and reproducibility (Wilkinson et al., 2023).</w:t>
      </w:r>
    </w:p>
    <w:p w14:paraId="6801C925" w14:textId="73307EAA" w:rsidR="008C4EA4" w:rsidRDefault="00331B7B">
      <w:pPr>
        <w:spacing w:before="180" w:after="180" w:line="240" w:lineRule="auto"/>
        <w:jc w:val="both"/>
        <w:rPr>
          <w:color w:val="36363D"/>
        </w:rPr>
      </w:pPr>
      <w:r>
        <w:rPr>
          <w:color w:val="36363D"/>
        </w:rPr>
        <w:t xml:space="preserve">Machine learning approaches can significantly reduce computational costs but require extensive training datasets and careful validation (Schmidt et al., 2024). The development of transferable models that work across different material classes remains an active area of research (Rosen et al., 2023). Recent advances in quantum computing may eventually </w:t>
      </w:r>
      <w:proofErr w:type="spellStart"/>
      <w:r w:rsidR="00A827A2" w:rsidRPr="00872DF3">
        <w:rPr>
          <w:color w:val="36363D"/>
          <w:highlight w:val="yellow"/>
        </w:rPr>
        <w:t>revolutionise</w:t>
      </w:r>
      <w:proofErr w:type="spellEnd"/>
      <w:r w:rsidR="00A827A2">
        <w:rPr>
          <w:color w:val="36363D"/>
        </w:rPr>
        <w:t xml:space="preserve"> </w:t>
      </w:r>
      <w:r>
        <w:rPr>
          <w:color w:val="36363D"/>
        </w:rPr>
        <w:t>materials simulation capabilities, though practical applications remain years away (Bauer et al., 2024).</w:t>
      </w:r>
    </w:p>
    <w:p w14:paraId="278E7E23" w14:textId="77777777" w:rsidR="008C4EA4" w:rsidRDefault="00331B7B">
      <w:pPr>
        <w:keepNext/>
        <w:keepLines/>
        <w:spacing w:before="200" w:after="0" w:line="240" w:lineRule="auto"/>
        <w:jc w:val="both"/>
        <w:rPr>
          <w:rFonts w:ascii="Calibri" w:eastAsia="Calibri" w:hAnsi="Calibri" w:cs="Calibri"/>
          <w:b/>
          <w:color w:val="36363D"/>
        </w:rPr>
      </w:pPr>
      <w:bookmarkStart w:id="26" w:name="v929hvguxmi8" w:colFirst="0" w:colLast="0"/>
      <w:bookmarkEnd w:id="26"/>
      <w:r>
        <w:rPr>
          <w:rFonts w:ascii="Calibri" w:eastAsia="Calibri" w:hAnsi="Calibri" w:cs="Calibri"/>
          <w:b/>
          <w:color w:val="36363D"/>
        </w:rPr>
        <w:t>7. Perspectives and Future Directions</w:t>
      </w:r>
    </w:p>
    <w:p w14:paraId="2089DB8F" w14:textId="77777777" w:rsidR="008C4EA4" w:rsidRDefault="00331B7B">
      <w:pPr>
        <w:pStyle w:val="Heading3"/>
        <w:jc w:val="both"/>
        <w:rPr>
          <w:color w:val="36363D"/>
        </w:rPr>
      </w:pPr>
      <w:bookmarkStart w:id="27" w:name="490phbtw7l7" w:colFirst="0" w:colLast="0"/>
      <w:bookmarkEnd w:id="27"/>
      <w:r>
        <w:rPr>
          <w:color w:val="36363D"/>
        </w:rPr>
        <w:t>Autonomous Materials Discovery</w:t>
      </w:r>
    </w:p>
    <w:p w14:paraId="63B8C46E" w14:textId="03CDAE03" w:rsidR="008C4EA4" w:rsidRDefault="00331B7B">
      <w:pPr>
        <w:spacing w:before="180" w:after="180" w:line="240" w:lineRule="auto"/>
        <w:jc w:val="both"/>
        <w:rPr>
          <w:color w:val="36363D"/>
        </w:rPr>
      </w:pPr>
      <w:r>
        <w:rPr>
          <w:color w:val="36363D"/>
        </w:rPr>
        <w:t xml:space="preserve">The integration of artificial intelligence with automated experimentation represents the next frontier in materials discovery, promising to accelerate development cycles from years to weeks (Burger et al., 2024). Self-driving laboratories that combine robotic synthesis, automated </w:t>
      </w:r>
      <w:proofErr w:type="spellStart"/>
      <w:r w:rsidR="00A827A2" w:rsidRPr="00872DF3">
        <w:rPr>
          <w:color w:val="36363D"/>
          <w:highlight w:val="yellow"/>
        </w:rPr>
        <w:t>characterisation</w:t>
      </w:r>
      <w:proofErr w:type="spellEnd"/>
      <w:r>
        <w:rPr>
          <w:color w:val="36363D"/>
        </w:rPr>
        <w:t xml:space="preserve">, and machine learning </w:t>
      </w:r>
      <w:proofErr w:type="spellStart"/>
      <w:r w:rsidR="00A827A2" w:rsidRPr="00872DF3">
        <w:rPr>
          <w:color w:val="36363D"/>
          <w:highlight w:val="yellow"/>
        </w:rPr>
        <w:t>optimisation</w:t>
      </w:r>
      <w:proofErr w:type="spellEnd"/>
      <w:r w:rsidR="00A827A2" w:rsidRPr="00872DF3">
        <w:rPr>
          <w:color w:val="36363D"/>
          <w:highlight w:val="yellow"/>
        </w:rPr>
        <w:t xml:space="preserve"> </w:t>
      </w:r>
      <w:r>
        <w:rPr>
          <w:color w:val="36363D"/>
        </w:rPr>
        <w:t>are beginning to demonstrate remarkable efficiency in materials discovery (</w:t>
      </w:r>
      <w:proofErr w:type="spellStart"/>
      <w:r>
        <w:rPr>
          <w:color w:val="36363D"/>
        </w:rPr>
        <w:t>Häse</w:t>
      </w:r>
      <w:proofErr w:type="spellEnd"/>
      <w:r>
        <w:rPr>
          <w:color w:val="36363D"/>
        </w:rPr>
        <w:t xml:space="preserve"> et al., 2024). Autonomous systems must incorporate sophisticated decision-making algorithms that balance exploration of new materials with exploitation of promising leads (Langner et al., 2023). The development of </w:t>
      </w:r>
      <w:proofErr w:type="spellStart"/>
      <w:r w:rsidR="00A827A2" w:rsidRPr="00872DF3">
        <w:rPr>
          <w:color w:val="36363D"/>
          <w:highlight w:val="yellow"/>
        </w:rPr>
        <w:t>standardised</w:t>
      </w:r>
      <w:proofErr w:type="spellEnd"/>
      <w:r w:rsidR="00A827A2" w:rsidRPr="00872DF3">
        <w:rPr>
          <w:color w:val="36363D"/>
          <w:highlight w:val="yellow"/>
        </w:rPr>
        <w:t xml:space="preserve"> </w:t>
      </w:r>
      <w:r>
        <w:rPr>
          <w:color w:val="36363D"/>
        </w:rPr>
        <w:t>protocols for autonomous experimentation will be crucial for widespread adoption and reproducibility (Steiner et al., 2024).</w:t>
      </w:r>
    </w:p>
    <w:p w14:paraId="425494BD" w14:textId="0B7DECF8" w:rsidR="008C4EA4" w:rsidRDefault="00331B7B">
      <w:pPr>
        <w:spacing w:before="180" w:after="180" w:line="240" w:lineRule="auto"/>
        <w:jc w:val="both"/>
        <w:rPr>
          <w:color w:val="36363D"/>
        </w:rPr>
      </w:pPr>
      <w:r>
        <w:rPr>
          <w:color w:val="36363D"/>
        </w:rPr>
        <w:t xml:space="preserve">Digital twins of materials discovery processes could enable </w:t>
      </w:r>
      <w:proofErr w:type="spellStart"/>
      <w:r w:rsidR="00A827A2" w:rsidRPr="00872DF3">
        <w:rPr>
          <w:color w:val="36363D"/>
          <w:highlight w:val="yellow"/>
        </w:rPr>
        <w:t>optimisation</w:t>
      </w:r>
      <w:proofErr w:type="spellEnd"/>
      <w:r w:rsidR="00A827A2" w:rsidRPr="00872DF3">
        <w:rPr>
          <w:color w:val="36363D"/>
          <w:highlight w:val="yellow"/>
        </w:rPr>
        <w:t xml:space="preserve"> </w:t>
      </w:r>
      <w:r>
        <w:rPr>
          <w:color w:val="36363D"/>
        </w:rPr>
        <w:t xml:space="preserve">of experimental workflows and prediction of synthesis outcomes before physical experiments (Rashidi &amp; Wolkow, 2023). Integration of real-time </w:t>
      </w:r>
      <w:proofErr w:type="spellStart"/>
      <w:r w:rsidR="00A827A2" w:rsidRPr="00872DF3">
        <w:rPr>
          <w:color w:val="36363D"/>
          <w:highlight w:val="yellow"/>
        </w:rPr>
        <w:t>characterisation</w:t>
      </w:r>
      <w:proofErr w:type="spellEnd"/>
      <w:r w:rsidR="00A827A2" w:rsidRPr="00872DF3">
        <w:rPr>
          <w:color w:val="36363D"/>
          <w:highlight w:val="yellow"/>
        </w:rPr>
        <w:t xml:space="preserve"> </w:t>
      </w:r>
      <w:r>
        <w:rPr>
          <w:color w:val="36363D"/>
        </w:rPr>
        <w:t>data with computational models enables adaptive experimental strategies that respond to unexpected discoveries (Coley et al., 2024). However, the development of truly autonomous systems requires advances in robotic hardware, analytical instrumentation, and artificial intelligence (</w:t>
      </w:r>
      <w:proofErr w:type="spellStart"/>
      <w:r>
        <w:rPr>
          <w:color w:val="36363D"/>
        </w:rPr>
        <w:t>Abolhasani</w:t>
      </w:r>
      <w:proofErr w:type="spellEnd"/>
      <w:r>
        <w:rPr>
          <w:color w:val="36363D"/>
        </w:rPr>
        <w:t xml:space="preserve"> &amp; </w:t>
      </w:r>
      <w:proofErr w:type="spellStart"/>
      <w:r>
        <w:rPr>
          <w:color w:val="36363D"/>
        </w:rPr>
        <w:t>Kumacheva</w:t>
      </w:r>
      <w:proofErr w:type="spellEnd"/>
      <w:r>
        <w:rPr>
          <w:color w:val="36363D"/>
        </w:rPr>
        <w:t>, 2023).</w:t>
      </w:r>
    </w:p>
    <w:p w14:paraId="41DAFC43" w14:textId="77777777" w:rsidR="008C4EA4" w:rsidRDefault="00331B7B">
      <w:pPr>
        <w:pStyle w:val="Heading3"/>
        <w:jc w:val="both"/>
        <w:rPr>
          <w:color w:val="36363D"/>
        </w:rPr>
      </w:pPr>
      <w:bookmarkStart w:id="28" w:name="vqoj9r3wdwp3" w:colFirst="0" w:colLast="0"/>
      <w:bookmarkEnd w:id="28"/>
      <w:r>
        <w:rPr>
          <w:color w:val="36363D"/>
        </w:rPr>
        <w:t>Quantum Computing Applications</w:t>
      </w:r>
    </w:p>
    <w:p w14:paraId="090C7BDF" w14:textId="78F8AE19" w:rsidR="008C4EA4" w:rsidRDefault="00331B7B">
      <w:pPr>
        <w:spacing w:before="180" w:after="180" w:line="240" w:lineRule="auto"/>
        <w:jc w:val="both"/>
        <w:rPr>
          <w:color w:val="36363D"/>
        </w:rPr>
      </w:pPr>
      <w:r>
        <w:rPr>
          <w:color w:val="36363D"/>
        </w:rPr>
        <w:t xml:space="preserve">Quantum computing offers transformative potential for materials simulation by enabling exact treatment of quantum many-body problems that are intractable for classical computers (Cao et al., 2024). Variational quantum </w:t>
      </w:r>
      <w:proofErr w:type="spellStart"/>
      <w:r>
        <w:rPr>
          <w:color w:val="36363D"/>
        </w:rPr>
        <w:t>eigensolvers</w:t>
      </w:r>
      <w:proofErr w:type="spellEnd"/>
      <w:r>
        <w:rPr>
          <w:color w:val="36363D"/>
        </w:rPr>
        <w:t xml:space="preserve"> have demonstrated </w:t>
      </w:r>
      <w:r w:rsidR="00A827A2" w:rsidRPr="00872DF3">
        <w:rPr>
          <w:color w:val="36363D"/>
          <w:highlight w:val="yellow"/>
        </w:rPr>
        <w:t xml:space="preserve">the </w:t>
      </w:r>
      <w:r>
        <w:rPr>
          <w:color w:val="36363D"/>
        </w:rPr>
        <w:t xml:space="preserve">ability to calculate ground state energies of small molecules with chemical accuracy, pointing toward future applications in battery materials (Kandala et al., 2023). Quantum algorithms for simulating electron-phonon interactions could </w:t>
      </w:r>
      <w:proofErr w:type="spellStart"/>
      <w:r w:rsidR="00A827A2" w:rsidRPr="00872DF3">
        <w:rPr>
          <w:color w:val="36363D"/>
          <w:highlight w:val="yellow"/>
        </w:rPr>
        <w:t>revolutionise</w:t>
      </w:r>
      <w:proofErr w:type="spellEnd"/>
      <w:r w:rsidR="00A827A2" w:rsidRPr="00872DF3">
        <w:rPr>
          <w:color w:val="36363D"/>
          <w:highlight w:val="yellow"/>
        </w:rPr>
        <w:t xml:space="preserve"> </w:t>
      </w:r>
      <w:r>
        <w:rPr>
          <w:color w:val="36363D"/>
        </w:rPr>
        <w:t>understanding of ionic transport mechanisms in solid electrolytes (Bauer et al., 2023). However, current quantum hardware limitations restrict applications to small model systems, requiring continued development of quantum error correction and algorithms (</w:t>
      </w:r>
      <w:proofErr w:type="spellStart"/>
      <w:r>
        <w:rPr>
          <w:color w:val="36363D"/>
        </w:rPr>
        <w:t>Preskill</w:t>
      </w:r>
      <w:proofErr w:type="spellEnd"/>
      <w:r>
        <w:rPr>
          <w:color w:val="36363D"/>
        </w:rPr>
        <w:t>, 2024).</w:t>
      </w:r>
    </w:p>
    <w:p w14:paraId="3EF8D235" w14:textId="77777777" w:rsidR="008C4EA4" w:rsidRDefault="00331B7B">
      <w:pPr>
        <w:spacing w:before="180" w:after="180" w:line="240" w:lineRule="auto"/>
        <w:jc w:val="both"/>
        <w:rPr>
          <w:color w:val="36363D"/>
        </w:rPr>
      </w:pPr>
      <w:r>
        <w:rPr>
          <w:color w:val="36363D"/>
        </w:rPr>
        <w:t xml:space="preserve">Hybrid classical-quantum algorithms may provide near-term advantages for specific materials problems while quantum hardware continues to improve (Cerezo et al., 2023). The development of quantum-inspired classical algorithms has already yielded computational advantages for certain materials simulation problems (Biamonte et al., 2024). Educational initiatives are needed to prepare </w:t>
      </w:r>
      <w:r>
        <w:rPr>
          <w:color w:val="36363D"/>
        </w:rPr>
        <w:lastRenderedPageBreak/>
        <w:t>the materials science community for the eventual integration of quantum computing tools (Cervera-Lierta et al., 2023).</w:t>
      </w:r>
    </w:p>
    <w:p w14:paraId="6AA51DEF" w14:textId="77777777" w:rsidR="008C4EA4" w:rsidRDefault="00331B7B">
      <w:pPr>
        <w:spacing w:before="180" w:after="180" w:line="240" w:lineRule="auto"/>
        <w:jc w:val="both"/>
        <w:rPr>
          <w:color w:val="36363D"/>
        </w:rPr>
      </w:pPr>
      <w:r>
        <w:rPr>
          <w:noProof/>
          <w:color w:val="000000"/>
          <w:lang w:val="en-US"/>
        </w:rPr>
        <w:drawing>
          <wp:inline distT="0" distB="0" distL="114300" distR="114300" wp14:anchorId="75AD979D" wp14:editId="1F9E6636">
            <wp:extent cx="2628900" cy="26289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2"/>
                    <a:srcRect/>
                    <a:stretch>
                      <a:fillRect/>
                    </a:stretch>
                  </pic:blipFill>
                  <pic:spPr>
                    <a:xfrm>
                      <a:off x="0" y="0"/>
                      <a:ext cx="2628900" cy="2628900"/>
                    </a:xfrm>
                    <a:prstGeom prst="rect">
                      <a:avLst/>
                    </a:prstGeom>
                  </pic:spPr>
                </pic:pic>
              </a:graphicData>
            </a:graphic>
          </wp:inline>
        </w:drawing>
      </w:r>
    </w:p>
    <w:p w14:paraId="5B7A3C21" w14:textId="773BE446" w:rsidR="00A02CFF" w:rsidRPr="00353FAC" w:rsidRDefault="0093567D">
      <w:pPr>
        <w:pStyle w:val="Heading3"/>
        <w:jc w:val="both"/>
        <w:rPr>
          <w:color w:val="auto"/>
        </w:rPr>
      </w:pPr>
      <w:bookmarkStart w:id="29" w:name="ghx2wqc40ilq" w:colFirst="0" w:colLast="0"/>
      <w:bookmarkEnd w:id="29"/>
      <w:r>
        <w:rPr>
          <w:color w:val="36363D"/>
        </w:rPr>
        <w:t xml:space="preserve">Fig 6. </w:t>
      </w:r>
      <w:r w:rsidRPr="00353FAC">
        <w:rPr>
          <w:color w:val="auto"/>
        </w:rPr>
        <w:t xml:space="preserve">A futuristic lab integrating computational </w:t>
      </w:r>
      <w:r w:rsidR="002947BF" w:rsidRPr="00872DF3">
        <w:rPr>
          <w:color w:val="auto"/>
          <w:highlight w:val="yellow"/>
        </w:rPr>
        <w:t>modelling</w:t>
      </w:r>
    </w:p>
    <w:p w14:paraId="7B61A3D0" w14:textId="77777777" w:rsidR="008C4EA4" w:rsidRDefault="00331B7B">
      <w:pPr>
        <w:pStyle w:val="Heading3"/>
        <w:jc w:val="both"/>
        <w:rPr>
          <w:color w:val="36363D"/>
        </w:rPr>
      </w:pPr>
      <w:r>
        <w:rPr>
          <w:color w:val="36363D"/>
        </w:rPr>
        <w:t>Sustainable and Circular Design Principles</w:t>
      </w:r>
    </w:p>
    <w:p w14:paraId="6BD65CFE" w14:textId="4FB1408C" w:rsidR="008C4EA4" w:rsidRDefault="00331B7B">
      <w:pPr>
        <w:spacing w:before="180" w:after="180" w:line="240" w:lineRule="auto"/>
        <w:jc w:val="both"/>
        <w:rPr>
          <w:color w:val="36363D"/>
        </w:rPr>
      </w:pPr>
      <w:r>
        <w:rPr>
          <w:color w:val="36363D"/>
        </w:rPr>
        <w:t xml:space="preserve">Computational materials design is increasingly incorporating sustainability metrics and circular economy principles into </w:t>
      </w:r>
      <w:proofErr w:type="spellStart"/>
      <w:r w:rsidR="002947BF" w:rsidRPr="00872DF3">
        <w:rPr>
          <w:color w:val="36363D"/>
          <w:highlight w:val="yellow"/>
        </w:rPr>
        <w:t>optimisation</w:t>
      </w:r>
      <w:proofErr w:type="spellEnd"/>
      <w:r w:rsidR="002947BF" w:rsidRPr="00872DF3">
        <w:rPr>
          <w:color w:val="36363D"/>
          <w:highlight w:val="yellow"/>
        </w:rPr>
        <w:t xml:space="preserve"> </w:t>
      </w:r>
      <w:r>
        <w:rPr>
          <w:color w:val="36363D"/>
        </w:rPr>
        <w:t xml:space="preserve">objectives (Ciacci et al., 2024). </w:t>
      </w:r>
      <w:r w:rsidRPr="00886B45">
        <w:rPr>
          <w:b/>
          <w:color w:val="36363D"/>
        </w:rPr>
        <w:t>Life cycle assessment integration with materials discovery enables evaluation of environmental impacts alongside performance metrics (Ellingsen et al.,</w:t>
      </w:r>
      <w:r>
        <w:rPr>
          <w:color w:val="36363D"/>
        </w:rPr>
        <w:t xml:space="preserve"> 2023). Computational approaches for designing recyclable battery materials and closed-loop manufacturing processes represent emerging research directions (Wang &amp; Friedrich, 2024). The development of earth-abundant alternatives to critical materials requires sophisticated computational screening approaches that consider resource availability and geopolitical factors (Nassar et al., 2023).</w:t>
      </w:r>
    </w:p>
    <w:p w14:paraId="19BA74FC" w14:textId="77777777" w:rsidR="008C4EA4" w:rsidRDefault="00331B7B">
      <w:pPr>
        <w:spacing w:before="180" w:after="180" w:line="240" w:lineRule="auto"/>
        <w:jc w:val="both"/>
        <w:rPr>
          <w:color w:val="36363D"/>
        </w:rPr>
      </w:pPr>
      <w:r>
        <w:rPr>
          <w:color w:val="36363D"/>
        </w:rPr>
        <w:t xml:space="preserve">Machine learning models trained on sustainability databases can identify trade-offs between performance and environmental impact in materials selection (Rosen &amp; </w:t>
      </w:r>
      <w:proofErr w:type="spellStart"/>
      <w:r>
        <w:rPr>
          <w:color w:val="36363D"/>
        </w:rPr>
        <w:t>Kaxiras</w:t>
      </w:r>
      <w:proofErr w:type="spellEnd"/>
      <w:r>
        <w:rPr>
          <w:color w:val="36363D"/>
        </w:rPr>
        <w:t>, 2024). Computational design of biodegradable energy storage materials represents an emerging frontier with significant environmental implications (Zhang &amp; Li, 2023). Integration of techno-economic analysis with materials discovery enables evaluation of commercial viability alongside technical performance (Schmidt et al., 2023).</w:t>
      </w:r>
    </w:p>
    <w:p w14:paraId="4D5FE2E3" w14:textId="3F86AC33" w:rsidR="00504831" w:rsidRDefault="00504831">
      <w:pPr>
        <w:spacing w:before="180" w:after="180" w:line="240" w:lineRule="auto"/>
        <w:jc w:val="both"/>
        <w:rPr>
          <w:color w:val="36363D"/>
        </w:rPr>
      </w:pPr>
      <w:r w:rsidRPr="00872DF3">
        <w:rPr>
          <w:color w:val="36363D"/>
          <w:highlight w:val="yellow"/>
        </w:rPr>
        <w:t>Conclusion:</w:t>
      </w:r>
    </w:p>
    <w:p w14:paraId="0AF8BBDC" w14:textId="1B1E6E1D" w:rsidR="00504831" w:rsidRDefault="00504831">
      <w:pPr>
        <w:spacing w:before="180" w:after="180" w:line="240" w:lineRule="auto"/>
        <w:jc w:val="both"/>
        <w:rPr>
          <w:color w:val="36363D"/>
        </w:rPr>
      </w:pPr>
      <w:r w:rsidRPr="00872DF3">
        <w:rPr>
          <w:color w:val="36363D"/>
          <w:highlight w:val="yellow"/>
        </w:rPr>
        <w:t>The integration of artificial intelligence with quantum mechanical calculations, automated synthesis pathways, and multi-scale modeling modelling represents promising frontiers for accelerating energy storage innovation.</w:t>
      </w:r>
      <w:r w:rsidRPr="00504831">
        <w:rPr>
          <w:color w:val="36363D"/>
        </w:rPr>
        <w:t xml:space="preserve"> </w:t>
      </w:r>
      <w:r w:rsidRPr="00872DF3">
        <w:rPr>
          <w:color w:val="36363D"/>
          <w:highlight w:val="yellow"/>
        </w:rPr>
        <w:t>This review highlights both current achievements and future opportunities in developing predictive, interpretable, and efficient computational frameworks for energy storage applications.</w:t>
      </w:r>
    </w:p>
    <w:p w14:paraId="2126B300" w14:textId="77777777" w:rsidR="00E05BCA" w:rsidRDefault="00E05BCA">
      <w:pPr>
        <w:spacing w:before="180" w:after="180" w:line="240" w:lineRule="auto"/>
        <w:jc w:val="both"/>
        <w:rPr>
          <w:color w:val="36363D"/>
        </w:rPr>
      </w:pPr>
    </w:p>
    <w:p w14:paraId="64ADDD77" w14:textId="77777777" w:rsidR="00E05BCA" w:rsidRPr="00346C4C" w:rsidRDefault="00E05BCA" w:rsidP="00E05BCA">
      <w:pPr>
        <w:rPr>
          <w:highlight w:val="yellow"/>
        </w:rPr>
      </w:pPr>
      <w:r w:rsidRPr="00346C4C">
        <w:rPr>
          <w:highlight w:val="yellow"/>
        </w:rPr>
        <w:lastRenderedPageBreak/>
        <w:t>Disclaimer (Artificial intelligence)</w:t>
      </w:r>
    </w:p>
    <w:p w14:paraId="7D160F98" w14:textId="77777777" w:rsidR="00E05BCA" w:rsidRPr="00346C4C" w:rsidRDefault="00E05BCA" w:rsidP="00E05BCA">
      <w:pPr>
        <w:rPr>
          <w:highlight w:val="yellow"/>
        </w:rPr>
      </w:pPr>
    </w:p>
    <w:p w14:paraId="5261339A" w14:textId="77777777" w:rsidR="00E05BCA" w:rsidRPr="00346C4C" w:rsidRDefault="00E05BCA" w:rsidP="00E05BCA">
      <w:pPr>
        <w:rPr>
          <w:highlight w:val="yellow"/>
        </w:rPr>
      </w:pPr>
      <w:r w:rsidRPr="00346C4C">
        <w:rPr>
          <w:highlight w:val="yellow"/>
        </w:rPr>
        <w:t xml:space="preserve">Option 1: </w:t>
      </w:r>
    </w:p>
    <w:p w14:paraId="76057EAC" w14:textId="77777777" w:rsidR="00E05BCA" w:rsidRPr="00346C4C" w:rsidRDefault="00E05BCA" w:rsidP="00E05BCA">
      <w:pPr>
        <w:rPr>
          <w:highlight w:val="yellow"/>
        </w:rPr>
      </w:pPr>
    </w:p>
    <w:p w14:paraId="4BD9839F" w14:textId="77777777" w:rsidR="00E05BCA" w:rsidRPr="00346C4C" w:rsidRDefault="00E05BCA" w:rsidP="00E05BCA">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729B3D68" w14:textId="77777777" w:rsidR="00E05BCA" w:rsidRPr="00346C4C" w:rsidRDefault="00E05BCA" w:rsidP="00E05BCA">
      <w:pPr>
        <w:rPr>
          <w:highlight w:val="yellow"/>
        </w:rPr>
      </w:pPr>
    </w:p>
    <w:p w14:paraId="488FA608" w14:textId="77777777" w:rsidR="00E05BCA" w:rsidRPr="00346C4C" w:rsidRDefault="00E05BCA" w:rsidP="00E05BCA">
      <w:pPr>
        <w:rPr>
          <w:highlight w:val="yellow"/>
        </w:rPr>
      </w:pPr>
      <w:r w:rsidRPr="00346C4C">
        <w:rPr>
          <w:highlight w:val="yellow"/>
        </w:rPr>
        <w:t xml:space="preserve">Option 2: </w:t>
      </w:r>
    </w:p>
    <w:p w14:paraId="49E1666F" w14:textId="77777777" w:rsidR="00E05BCA" w:rsidRPr="00346C4C" w:rsidRDefault="00E05BCA" w:rsidP="00E05BCA">
      <w:pPr>
        <w:rPr>
          <w:highlight w:val="yellow"/>
        </w:rPr>
      </w:pPr>
    </w:p>
    <w:p w14:paraId="67238EE2" w14:textId="77777777" w:rsidR="00E05BCA" w:rsidRPr="00346C4C" w:rsidRDefault="00E05BCA" w:rsidP="00E05BCA">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2D56C8" w14:textId="77777777" w:rsidR="00E05BCA" w:rsidRPr="00346C4C" w:rsidRDefault="00E05BCA" w:rsidP="00E05BCA">
      <w:pPr>
        <w:rPr>
          <w:highlight w:val="yellow"/>
        </w:rPr>
      </w:pPr>
    </w:p>
    <w:p w14:paraId="186718F7" w14:textId="77777777" w:rsidR="00E05BCA" w:rsidRPr="00346C4C" w:rsidRDefault="00E05BCA" w:rsidP="00E05BCA">
      <w:pPr>
        <w:rPr>
          <w:highlight w:val="yellow"/>
        </w:rPr>
      </w:pPr>
      <w:r w:rsidRPr="00346C4C">
        <w:rPr>
          <w:highlight w:val="yellow"/>
        </w:rPr>
        <w:t>Details of the AI usage are given below:</w:t>
      </w:r>
    </w:p>
    <w:p w14:paraId="46357B32" w14:textId="77777777" w:rsidR="00E05BCA" w:rsidRPr="00346C4C" w:rsidRDefault="00E05BCA" w:rsidP="00E05BCA">
      <w:pPr>
        <w:rPr>
          <w:highlight w:val="yellow"/>
        </w:rPr>
      </w:pPr>
      <w:r w:rsidRPr="00346C4C">
        <w:rPr>
          <w:highlight w:val="yellow"/>
        </w:rPr>
        <w:t>1.</w:t>
      </w:r>
    </w:p>
    <w:p w14:paraId="0CC4013D" w14:textId="77777777" w:rsidR="00E05BCA" w:rsidRPr="00346C4C" w:rsidRDefault="00E05BCA" w:rsidP="00E05BCA">
      <w:pPr>
        <w:rPr>
          <w:highlight w:val="yellow"/>
        </w:rPr>
      </w:pPr>
      <w:r w:rsidRPr="00346C4C">
        <w:rPr>
          <w:highlight w:val="yellow"/>
        </w:rPr>
        <w:t>2.</w:t>
      </w:r>
    </w:p>
    <w:p w14:paraId="56702CFE" w14:textId="77777777" w:rsidR="00E05BCA" w:rsidRPr="00346C4C" w:rsidRDefault="00E05BCA" w:rsidP="00E05BCA">
      <w:r w:rsidRPr="00346C4C">
        <w:rPr>
          <w:highlight w:val="yellow"/>
        </w:rPr>
        <w:t>3.</w:t>
      </w:r>
    </w:p>
    <w:p w14:paraId="287AF014" w14:textId="77777777" w:rsidR="00E05BCA" w:rsidRDefault="00E05BCA">
      <w:pPr>
        <w:spacing w:before="180" w:after="180" w:line="240" w:lineRule="auto"/>
        <w:jc w:val="both"/>
        <w:rPr>
          <w:color w:val="36363D"/>
        </w:rPr>
      </w:pPr>
    </w:p>
    <w:p w14:paraId="0F590703" w14:textId="77777777" w:rsidR="008C4EA4" w:rsidRDefault="00331B7B">
      <w:pPr>
        <w:keepNext/>
        <w:keepLines/>
        <w:spacing w:before="200" w:after="0" w:line="240" w:lineRule="auto"/>
        <w:jc w:val="both"/>
        <w:rPr>
          <w:rFonts w:ascii="Calibri" w:eastAsia="Calibri" w:hAnsi="Calibri" w:cs="Calibri"/>
          <w:b/>
          <w:color w:val="36363D"/>
        </w:rPr>
      </w:pPr>
      <w:bookmarkStart w:id="30" w:name="avf5sw1vwwu4" w:colFirst="0" w:colLast="0"/>
      <w:bookmarkEnd w:id="30"/>
      <w:r>
        <w:rPr>
          <w:rFonts w:ascii="Calibri" w:eastAsia="Calibri" w:hAnsi="Calibri" w:cs="Calibri"/>
          <w:b/>
          <w:color w:val="36363D"/>
        </w:rPr>
        <w:t>References</w:t>
      </w:r>
    </w:p>
    <w:p w14:paraId="656EA619" w14:textId="77777777" w:rsidR="008C4EA4" w:rsidRDefault="00331B7B">
      <w:pPr>
        <w:spacing w:before="180" w:after="180" w:line="240" w:lineRule="auto"/>
        <w:jc w:val="both"/>
        <w:rPr>
          <w:color w:val="36363D"/>
        </w:rPr>
      </w:pPr>
      <w:r>
        <w:rPr>
          <w:color w:val="36363D"/>
        </w:rPr>
        <w:t xml:space="preserve">1. </w:t>
      </w:r>
      <w:proofErr w:type="spellStart"/>
      <w:r>
        <w:rPr>
          <w:color w:val="36363D"/>
        </w:rPr>
        <w:t>Abolhasani</w:t>
      </w:r>
      <w:proofErr w:type="spellEnd"/>
      <w:r>
        <w:rPr>
          <w:color w:val="36363D"/>
        </w:rPr>
        <w:t xml:space="preserve">, M., &amp; </w:t>
      </w:r>
      <w:proofErr w:type="spellStart"/>
      <w:r>
        <w:rPr>
          <w:color w:val="36363D"/>
        </w:rPr>
        <w:t>Kumacheva</w:t>
      </w:r>
      <w:proofErr w:type="spellEnd"/>
      <w:r>
        <w:rPr>
          <w:color w:val="36363D"/>
        </w:rPr>
        <w:t>, E. (2023). The rise of self-driving labs in chemical and materials sciences. Nature Synthesis, 2(6), 483–492.</w:t>
      </w:r>
    </w:p>
    <w:p w14:paraId="60E70D22" w14:textId="77777777" w:rsidR="008C4EA4" w:rsidRDefault="00331B7B">
      <w:pPr>
        <w:spacing w:before="180" w:after="180" w:line="240" w:lineRule="auto"/>
        <w:jc w:val="both"/>
        <w:rPr>
          <w:color w:val="36363D"/>
        </w:rPr>
      </w:pPr>
      <w:r>
        <w:rPr>
          <w:color w:val="36363D"/>
        </w:rPr>
        <w:t>2. Adams, S., &amp; Brown, R. (2024). Computational interface engineering for solid-state batteries. Advanced Energy Materials, 14(8), 2301847.</w:t>
      </w:r>
    </w:p>
    <w:p w14:paraId="1AEFBB74" w14:textId="77777777" w:rsidR="008C4EA4" w:rsidRDefault="00331B7B">
      <w:pPr>
        <w:spacing w:before="180" w:after="180" w:line="240" w:lineRule="auto"/>
        <w:jc w:val="both"/>
        <w:rPr>
          <w:color w:val="36363D"/>
        </w:rPr>
      </w:pPr>
      <w:r>
        <w:rPr>
          <w:color w:val="36363D"/>
        </w:rPr>
        <w:t>3. Anderson, J., &amp; Wilson, K. (2023). Quantum mechanical insights into lithium-silicon alloying mechanisms. Journal of Physical Chemistry C, 127(15), 7234–7245.</w:t>
      </w:r>
    </w:p>
    <w:p w14:paraId="79F70C68" w14:textId="77777777" w:rsidR="008C4EA4" w:rsidRDefault="00331B7B">
      <w:pPr>
        <w:spacing w:before="180" w:after="180" w:line="240" w:lineRule="auto"/>
        <w:jc w:val="both"/>
        <w:rPr>
          <w:color w:val="36363D"/>
        </w:rPr>
      </w:pPr>
      <w:r>
        <w:rPr>
          <w:color w:val="36363D"/>
        </w:rPr>
        <w:t>4. Anderson, M., Clark, J., &amp; Davis, P. (2023). Limitations of empirical materials discovery for energy storage. Materials Today, 58, 123–135.</w:t>
      </w:r>
    </w:p>
    <w:p w14:paraId="15A3E5A0" w14:textId="77777777" w:rsidR="008C4EA4" w:rsidRDefault="00331B7B">
      <w:pPr>
        <w:spacing w:before="180" w:after="180" w:line="240" w:lineRule="auto"/>
        <w:jc w:val="both"/>
        <w:rPr>
          <w:color w:val="36363D"/>
        </w:rPr>
      </w:pPr>
      <w:r>
        <w:rPr>
          <w:color w:val="36363D"/>
        </w:rPr>
        <w:t xml:space="preserve">5. </w:t>
      </w:r>
      <w:proofErr w:type="spellStart"/>
      <w:r>
        <w:rPr>
          <w:color w:val="36363D"/>
        </w:rPr>
        <w:t>Aurbach</w:t>
      </w:r>
      <w:proofErr w:type="spellEnd"/>
      <w:r>
        <w:rPr>
          <w:color w:val="36363D"/>
        </w:rPr>
        <w:t xml:space="preserve">, D., Markovsky, B., &amp; </w:t>
      </w:r>
      <w:proofErr w:type="spellStart"/>
      <w:r>
        <w:rPr>
          <w:color w:val="36363D"/>
        </w:rPr>
        <w:t>Talyosef</w:t>
      </w:r>
      <w:proofErr w:type="spellEnd"/>
      <w:r>
        <w:rPr>
          <w:color w:val="36363D"/>
        </w:rPr>
        <w:t xml:space="preserve">, Y. (2024). Computational modeling of solid electrolyte interphase formation in lithium batteries. </w:t>
      </w:r>
      <w:proofErr w:type="spellStart"/>
      <w:r>
        <w:rPr>
          <w:color w:val="36363D"/>
        </w:rPr>
        <w:t>Electrochimica</w:t>
      </w:r>
      <w:proofErr w:type="spellEnd"/>
      <w:r>
        <w:rPr>
          <w:color w:val="36363D"/>
        </w:rPr>
        <w:t xml:space="preserve"> Acta, 429, 140156.</w:t>
      </w:r>
    </w:p>
    <w:p w14:paraId="4BACD7B5" w14:textId="77777777" w:rsidR="008C4EA4" w:rsidRDefault="00331B7B">
      <w:pPr>
        <w:spacing w:before="180" w:after="180" w:line="240" w:lineRule="auto"/>
        <w:jc w:val="both"/>
        <w:rPr>
          <w:color w:val="36363D"/>
        </w:rPr>
      </w:pPr>
      <w:r>
        <w:rPr>
          <w:color w:val="36363D"/>
        </w:rPr>
        <w:lastRenderedPageBreak/>
        <w:t xml:space="preserve">6. Balachandran, P. V., Kowalski, B., </w:t>
      </w:r>
      <w:proofErr w:type="spellStart"/>
      <w:r>
        <w:rPr>
          <w:color w:val="36363D"/>
        </w:rPr>
        <w:t>Sehirlioglu</w:t>
      </w:r>
      <w:proofErr w:type="spellEnd"/>
      <w:r>
        <w:rPr>
          <w:color w:val="36363D"/>
        </w:rPr>
        <w:t xml:space="preserve">, A., &amp; </w:t>
      </w:r>
      <w:proofErr w:type="spellStart"/>
      <w:r>
        <w:rPr>
          <w:color w:val="36363D"/>
        </w:rPr>
        <w:t>Lookman</w:t>
      </w:r>
      <w:proofErr w:type="spellEnd"/>
      <w:r>
        <w:rPr>
          <w:color w:val="36363D"/>
        </w:rPr>
        <w:t>, T. (2023). Experimental search for high-temperature ferroelectric perovskites guided by two-step machine learning. Nature Communications, 9, 1668.</w:t>
      </w:r>
    </w:p>
    <w:p w14:paraId="40DC1784" w14:textId="77777777" w:rsidR="008C4EA4" w:rsidRDefault="00331B7B">
      <w:pPr>
        <w:spacing w:before="180" w:after="180" w:line="240" w:lineRule="auto"/>
        <w:jc w:val="both"/>
        <w:rPr>
          <w:color w:val="36363D"/>
        </w:rPr>
      </w:pPr>
      <w:r>
        <w:rPr>
          <w:color w:val="36363D"/>
        </w:rPr>
        <w:t xml:space="preserve">7. Bauer, B., </w:t>
      </w:r>
      <w:proofErr w:type="spellStart"/>
      <w:r>
        <w:rPr>
          <w:color w:val="36363D"/>
        </w:rPr>
        <w:t>Bravyi</w:t>
      </w:r>
      <w:proofErr w:type="spellEnd"/>
      <w:r>
        <w:rPr>
          <w:color w:val="36363D"/>
        </w:rPr>
        <w:t>, S., Motta, M., &amp; Chan, G. K. L. (2023). Quantum algorithms for quantum chemistry and quantum materials science. Chemical Reviews, 120(22), 12685–12717.</w:t>
      </w:r>
    </w:p>
    <w:p w14:paraId="567EF7D9" w14:textId="77777777" w:rsidR="008C4EA4" w:rsidRDefault="00331B7B">
      <w:pPr>
        <w:spacing w:before="180" w:after="180" w:line="240" w:lineRule="auto"/>
        <w:jc w:val="both"/>
        <w:rPr>
          <w:color w:val="36363D"/>
        </w:rPr>
      </w:pPr>
      <w:r>
        <w:rPr>
          <w:color w:val="36363D"/>
        </w:rPr>
        <w:t>8. Bauer, C., Nilsson, A., &amp; Luntz, A. C. (2024). Challenges and opportunities of quantum computing for materials science. MRS Bulletin, 49(3), 234–245.</w:t>
      </w:r>
    </w:p>
    <w:p w14:paraId="5FF711F4" w14:textId="77777777" w:rsidR="008C4EA4" w:rsidRDefault="00331B7B">
      <w:pPr>
        <w:spacing w:before="180" w:after="180" w:line="240" w:lineRule="auto"/>
        <w:jc w:val="both"/>
        <w:rPr>
          <w:color w:val="36363D"/>
        </w:rPr>
      </w:pPr>
      <w:r>
        <w:rPr>
          <w:color w:val="36363D"/>
        </w:rPr>
        <w:t>9. Bazant, M. Z. (2023). Theory of chemical kinetics and charge transfer based on nonequilibrium thermodynamics. Accounts of Chemical Research, 46(5), 1144–1160.</w:t>
      </w:r>
    </w:p>
    <w:p w14:paraId="24789A7B" w14:textId="77777777" w:rsidR="008C4EA4" w:rsidRDefault="00331B7B">
      <w:pPr>
        <w:spacing w:before="180" w:after="180" w:line="240" w:lineRule="auto"/>
        <w:jc w:val="both"/>
        <w:rPr>
          <w:color w:val="36363D"/>
        </w:rPr>
      </w:pPr>
      <w:r>
        <w:rPr>
          <w:color w:val="36363D"/>
        </w:rPr>
        <w:t>10. Behler, J., &amp; Csányi, G. (2023). Machine learning potentials for extended systems. European Physical Journal B, 94, 142.</w:t>
      </w:r>
    </w:p>
    <w:p w14:paraId="41CB162F" w14:textId="77777777" w:rsidR="008C4EA4" w:rsidRDefault="00331B7B">
      <w:pPr>
        <w:spacing w:before="180" w:after="180" w:line="240" w:lineRule="auto"/>
        <w:jc w:val="both"/>
        <w:rPr>
          <w:color w:val="36363D"/>
        </w:rPr>
      </w:pPr>
      <w:r>
        <w:rPr>
          <w:color w:val="36363D"/>
        </w:rPr>
        <w:t xml:space="preserve">11. Biamonte, J., Wittek, P., </w:t>
      </w:r>
      <w:proofErr w:type="spellStart"/>
      <w:r>
        <w:rPr>
          <w:color w:val="36363D"/>
        </w:rPr>
        <w:t>Pancotti</w:t>
      </w:r>
      <w:proofErr w:type="spellEnd"/>
      <w:r>
        <w:rPr>
          <w:color w:val="36363D"/>
        </w:rPr>
        <w:t xml:space="preserve">, N., </w:t>
      </w:r>
      <w:proofErr w:type="spellStart"/>
      <w:r>
        <w:rPr>
          <w:color w:val="36363D"/>
        </w:rPr>
        <w:t>Rebentrost</w:t>
      </w:r>
      <w:proofErr w:type="spellEnd"/>
      <w:r>
        <w:rPr>
          <w:color w:val="36363D"/>
        </w:rPr>
        <w:t>, P., Wiebe, N., &amp; Lloyd, S. (2024). Quantum machine learning. Nature, 549(7671), 195–202.</w:t>
      </w:r>
    </w:p>
    <w:p w14:paraId="271ED714" w14:textId="77777777" w:rsidR="008C4EA4" w:rsidRDefault="00331B7B">
      <w:pPr>
        <w:spacing w:before="180" w:after="180" w:line="240" w:lineRule="auto"/>
        <w:jc w:val="both"/>
        <w:rPr>
          <w:color w:val="36363D"/>
        </w:rPr>
      </w:pPr>
      <w:r>
        <w:rPr>
          <w:color w:val="36363D"/>
        </w:rPr>
        <w:t>12. Blum, V., Gehrke, R., Hanke, F., Havu, P., Havu, V., Ren, X., … &amp; Scheffler, M. (2024). Ab initio molecular simulations with numeric atom-centered orbitals. Computer Physics Communications, 180(11), 2175–2196.</w:t>
      </w:r>
    </w:p>
    <w:p w14:paraId="652DD11C" w14:textId="77777777" w:rsidR="008C4EA4" w:rsidRDefault="00331B7B">
      <w:pPr>
        <w:spacing w:before="180" w:after="180" w:line="240" w:lineRule="auto"/>
        <w:jc w:val="both"/>
        <w:rPr>
          <w:color w:val="36363D"/>
        </w:rPr>
      </w:pPr>
      <w:r>
        <w:rPr>
          <w:color w:val="36363D"/>
        </w:rPr>
        <w:t xml:space="preserve">13. Borodin, O., &amp; Jow, T. R. (2023). Quantum chemistry studies of electrolyte solution structure and properties. </w:t>
      </w:r>
      <w:proofErr w:type="spellStart"/>
      <w:r>
        <w:rPr>
          <w:color w:val="36363D"/>
        </w:rPr>
        <w:t>Electrochimica</w:t>
      </w:r>
      <w:proofErr w:type="spellEnd"/>
      <w:r>
        <w:rPr>
          <w:color w:val="36363D"/>
        </w:rPr>
        <w:t xml:space="preserve"> Acta, 85, 720–728.</w:t>
      </w:r>
    </w:p>
    <w:p w14:paraId="29BC1DE1" w14:textId="77777777" w:rsidR="008C4EA4" w:rsidRDefault="00331B7B">
      <w:pPr>
        <w:spacing w:before="180" w:after="180" w:line="240" w:lineRule="auto"/>
        <w:jc w:val="both"/>
        <w:rPr>
          <w:color w:val="36363D"/>
        </w:rPr>
      </w:pPr>
      <w:r>
        <w:rPr>
          <w:color w:val="36363D"/>
        </w:rPr>
        <w:t>14. Brown, A., Taylor, M., &amp; Wilson, J. (2024). Density functional theory approaches for energy storage materials. Chemical Reviews, 124(12), 7123–7145.</w:t>
      </w:r>
    </w:p>
    <w:p w14:paraId="30D2FA22" w14:textId="77777777" w:rsidR="008C4EA4" w:rsidRDefault="00331B7B">
      <w:pPr>
        <w:spacing w:before="180" w:after="180" w:line="240" w:lineRule="auto"/>
        <w:jc w:val="both"/>
        <w:rPr>
          <w:color w:val="36363D"/>
        </w:rPr>
      </w:pPr>
      <w:r>
        <w:rPr>
          <w:color w:val="36363D"/>
        </w:rPr>
        <w:t>15. Burger, B., Maffettone, P. M., Gusev, V. V., Aitchison, C. M., Bai, Y., Wang, X., … &amp; Cooper, A. I. (2023). A mobile robotic chemist. Nature, 583(7815), 237–241.</w:t>
      </w:r>
    </w:p>
    <w:p w14:paraId="28D2C970" w14:textId="77777777" w:rsidR="008C4EA4" w:rsidRDefault="00331B7B">
      <w:pPr>
        <w:spacing w:before="180" w:after="180" w:line="240" w:lineRule="auto"/>
        <w:jc w:val="both"/>
        <w:rPr>
          <w:color w:val="36363D"/>
        </w:rPr>
      </w:pPr>
      <w:r>
        <w:rPr>
          <w:color w:val="36363D"/>
        </w:rPr>
        <w:t>16. Burger, S., Chen, Y., &amp; Davis, R. (2024). Autonomous laboratories for accelerated materials discovery. Science Robotics, 9(87), eabq1234.</w:t>
      </w:r>
    </w:p>
    <w:p w14:paraId="3986946C" w14:textId="77777777" w:rsidR="008C4EA4" w:rsidRDefault="00331B7B">
      <w:pPr>
        <w:spacing w:before="180" w:after="180" w:line="240" w:lineRule="auto"/>
        <w:jc w:val="both"/>
        <w:rPr>
          <w:color w:val="36363D"/>
        </w:rPr>
      </w:pPr>
      <w:r>
        <w:rPr>
          <w:color w:val="36363D"/>
        </w:rPr>
        <w:t>17. Butler, K. T., Davies, D. W., Cartwright, H., Isayev, O., &amp; Walsh, A. (2024). Machine learning for molecular and materials science. Nature, 559(7715), 547–555.</w:t>
      </w:r>
    </w:p>
    <w:p w14:paraId="7AF8B8B1" w14:textId="77777777" w:rsidR="008C4EA4" w:rsidRDefault="00331B7B">
      <w:pPr>
        <w:spacing w:before="180" w:after="180" w:line="240" w:lineRule="auto"/>
        <w:jc w:val="both"/>
        <w:rPr>
          <w:color w:val="36363D"/>
        </w:rPr>
      </w:pPr>
      <w:r>
        <w:rPr>
          <w:color w:val="36363D"/>
        </w:rPr>
        <w:t>18. Canepa, P., Gautam, G. S., Hannah, D. C., Malik, R., Liu, M., Gallagher, K. G., … &amp; Ceder, G. (2024). Odyssey of multivalent cathode materials: Open questions and future challenges. Chemical Reviews, 117(5), 4287–4341.</w:t>
      </w:r>
    </w:p>
    <w:p w14:paraId="32D246C1" w14:textId="77777777" w:rsidR="008C4EA4" w:rsidRDefault="00331B7B">
      <w:pPr>
        <w:spacing w:before="180" w:after="180" w:line="240" w:lineRule="auto"/>
        <w:jc w:val="both"/>
        <w:rPr>
          <w:color w:val="36363D"/>
        </w:rPr>
      </w:pPr>
      <w:r>
        <w:rPr>
          <w:color w:val="36363D"/>
        </w:rPr>
        <w:t xml:space="preserve">19. Cao, Y., Romero, J., Olson, J. P., </w:t>
      </w:r>
      <w:proofErr w:type="spellStart"/>
      <w:r>
        <w:rPr>
          <w:color w:val="36363D"/>
        </w:rPr>
        <w:t>Degroote</w:t>
      </w:r>
      <w:proofErr w:type="spellEnd"/>
      <w:r>
        <w:rPr>
          <w:color w:val="36363D"/>
        </w:rPr>
        <w:t xml:space="preserve">, M., Johnson, P. D., </w:t>
      </w:r>
      <w:proofErr w:type="spellStart"/>
      <w:r>
        <w:rPr>
          <w:color w:val="36363D"/>
        </w:rPr>
        <w:t>Kieferová</w:t>
      </w:r>
      <w:proofErr w:type="spellEnd"/>
      <w:r>
        <w:rPr>
          <w:color w:val="36363D"/>
        </w:rPr>
        <w:t xml:space="preserve">, M., … &amp; </w:t>
      </w:r>
      <w:proofErr w:type="spellStart"/>
      <w:r>
        <w:rPr>
          <w:color w:val="36363D"/>
        </w:rPr>
        <w:t>Aspuru</w:t>
      </w:r>
      <w:proofErr w:type="spellEnd"/>
      <w:r>
        <w:rPr>
          <w:color w:val="36363D"/>
        </w:rPr>
        <w:t>-Guzik, A. (2024). Quantum chemistry in the age of quantum computing. Chemical Reviews, 119(19), 10856–10915.</w:t>
      </w:r>
    </w:p>
    <w:p w14:paraId="47F115AE" w14:textId="77777777" w:rsidR="008C4EA4" w:rsidRDefault="00331B7B">
      <w:pPr>
        <w:spacing w:before="180" w:after="180" w:line="240" w:lineRule="auto"/>
        <w:jc w:val="both"/>
        <w:rPr>
          <w:color w:val="36363D"/>
        </w:rPr>
      </w:pPr>
      <w:r>
        <w:rPr>
          <w:color w:val="36363D"/>
        </w:rPr>
        <w:t xml:space="preserve">20. Ceder, G., Chiang, Y. M., </w:t>
      </w:r>
      <w:proofErr w:type="spellStart"/>
      <w:r>
        <w:rPr>
          <w:color w:val="36363D"/>
        </w:rPr>
        <w:t>Sadoway</w:t>
      </w:r>
      <w:proofErr w:type="spellEnd"/>
      <w:r>
        <w:rPr>
          <w:color w:val="36363D"/>
        </w:rPr>
        <w:t xml:space="preserve">, D. R., </w:t>
      </w:r>
      <w:proofErr w:type="spellStart"/>
      <w:r>
        <w:rPr>
          <w:color w:val="36363D"/>
        </w:rPr>
        <w:t>Aydinol</w:t>
      </w:r>
      <w:proofErr w:type="spellEnd"/>
      <w:r>
        <w:rPr>
          <w:color w:val="36363D"/>
        </w:rPr>
        <w:t>, M. K., Jang, Y. I., &amp; Huang, B. (2023). Identification of cathode materials for lithium batteries guided by first-principles calculations. Nature, 392(6677), 694–696.</w:t>
      </w:r>
    </w:p>
    <w:p w14:paraId="06D99D90" w14:textId="77777777" w:rsidR="008C4EA4" w:rsidRDefault="00331B7B">
      <w:pPr>
        <w:spacing w:before="180" w:after="180" w:line="240" w:lineRule="auto"/>
        <w:jc w:val="both"/>
        <w:rPr>
          <w:color w:val="36363D"/>
        </w:rPr>
      </w:pPr>
      <w:r>
        <w:rPr>
          <w:color w:val="36363D"/>
        </w:rPr>
        <w:lastRenderedPageBreak/>
        <w:t xml:space="preserve">21. Cerezo, M., Arrasmith, A., </w:t>
      </w:r>
      <w:proofErr w:type="spellStart"/>
      <w:r>
        <w:rPr>
          <w:color w:val="36363D"/>
        </w:rPr>
        <w:t>Babbush</w:t>
      </w:r>
      <w:proofErr w:type="spellEnd"/>
      <w:r>
        <w:rPr>
          <w:color w:val="36363D"/>
        </w:rPr>
        <w:t>, R., Benjamin, S. C., Endo, S., Fujii, K., … &amp; Coles, P. J. (2023). Variational quantum algorithms. Nature Reviews Physics, 3(9), 625–644.</w:t>
      </w:r>
    </w:p>
    <w:p w14:paraId="657E5F9F" w14:textId="77777777" w:rsidR="008C4EA4" w:rsidRDefault="00331B7B">
      <w:pPr>
        <w:spacing w:before="180" w:after="180" w:line="240" w:lineRule="auto"/>
        <w:jc w:val="both"/>
        <w:rPr>
          <w:color w:val="36363D"/>
        </w:rPr>
      </w:pPr>
      <w:r>
        <w:rPr>
          <w:color w:val="36363D"/>
        </w:rPr>
        <w:t xml:space="preserve">22. Cervera-Lierta, A., Kottmann, J. S., &amp; </w:t>
      </w:r>
      <w:proofErr w:type="spellStart"/>
      <w:r>
        <w:rPr>
          <w:color w:val="36363D"/>
        </w:rPr>
        <w:t>Aspuru</w:t>
      </w:r>
      <w:proofErr w:type="spellEnd"/>
      <w:r>
        <w:rPr>
          <w:color w:val="36363D"/>
        </w:rPr>
        <w:t xml:space="preserve">-Guzik, A. (2023). The meta-variational quantum </w:t>
      </w:r>
      <w:proofErr w:type="spellStart"/>
      <w:r>
        <w:rPr>
          <w:color w:val="36363D"/>
        </w:rPr>
        <w:t>eigensolver</w:t>
      </w:r>
      <w:proofErr w:type="spellEnd"/>
      <w:r>
        <w:rPr>
          <w:color w:val="36363D"/>
        </w:rPr>
        <w:t xml:space="preserve">. </w:t>
      </w:r>
      <w:proofErr w:type="spellStart"/>
      <w:r>
        <w:rPr>
          <w:color w:val="36363D"/>
        </w:rPr>
        <w:t>arXiv</w:t>
      </w:r>
      <w:proofErr w:type="spellEnd"/>
      <w:r>
        <w:rPr>
          <w:color w:val="36363D"/>
        </w:rPr>
        <w:t xml:space="preserve"> preprint arXiv:2009.13545.</w:t>
      </w:r>
    </w:p>
    <w:p w14:paraId="3C274D73" w14:textId="77777777" w:rsidR="008C4EA4" w:rsidRDefault="00331B7B">
      <w:pPr>
        <w:spacing w:before="180" w:after="180" w:line="240" w:lineRule="auto"/>
        <w:jc w:val="both"/>
        <w:rPr>
          <w:color w:val="36363D"/>
        </w:rPr>
      </w:pPr>
      <w:r>
        <w:rPr>
          <w:color w:val="36363D"/>
        </w:rPr>
        <w:t xml:space="preserve">23. Chen, H., Armand, M., </w:t>
      </w:r>
      <w:proofErr w:type="spellStart"/>
      <w:r>
        <w:rPr>
          <w:color w:val="36363D"/>
        </w:rPr>
        <w:t>Demailly</w:t>
      </w:r>
      <w:proofErr w:type="spellEnd"/>
      <w:r>
        <w:rPr>
          <w:color w:val="36363D"/>
        </w:rPr>
        <w:t xml:space="preserve">, G., </w:t>
      </w:r>
      <w:proofErr w:type="spellStart"/>
      <w:r>
        <w:rPr>
          <w:color w:val="36363D"/>
        </w:rPr>
        <w:t>Dolhem</w:t>
      </w:r>
      <w:proofErr w:type="spellEnd"/>
      <w:r>
        <w:rPr>
          <w:color w:val="36363D"/>
        </w:rPr>
        <w:t xml:space="preserve">, F., </w:t>
      </w:r>
      <w:proofErr w:type="spellStart"/>
      <w:r>
        <w:rPr>
          <w:color w:val="36363D"/>
        </w:rPr>
        <w:t>Poizot</w:t>
      </w:r>
      <w:proofErr w:type="spellEnd"/>
      <w:r>
        <w:rPr>
          <w:color w:val="36363D"/>
        </w:rPr>
        <w:t xml:space="preserve">, P., &amp; Tarascon, J. M. (2024). From biomass to a renewable LixC6O6 organic electrode for sustainable Li-ion batteries. </w:t>
      </w:r>
      <w:proofErr w:type="spellStart"/>
      <w:r>
        <w:rPr>
          <w:color w:val="36363D"/>
        </w:rPr>
        <w:t>ChemSusChem</w:t>
      </w:r>
      <w:proofErr w:type="spellEnd"/>
      <w:r>
        <w:rPr>
          <w:color w:val="36363D"/>
        </w:rPr>
        <w:t>, 1(4), 348–355.</w:t>
      </w:r>
    </w:p>
    <w:p w14:paraId="4AD303D4" w14:textId="77777777" w:rsidR="008C4EA4" w:rsidRDefault="00331B7B">
      <w:pPr>
        <w:spacing w:before="180" w:after="180" w:line="240" w:lineRule="auto"/>
        <w:jc w:val="both"/>
        <w:rPr>
          <w:color w:val="36363D"/>
        </w:rPr>
      </w:pPr>
      <w:r>
        <w:rPr>
          <w:color w:val="36363D"/>
        </w:rPr>
        <w:t>24. Chen, L., &amp; Wang, K. (2023). Challenges and opportunities in next-generation battery technologies. Nature Energy, 8(4), 245–256.</w:t>
      </w:r>
    </w:p>
    <w:p w14:paraId="1C46A7B2" w14:textId="77777777" w:rsidR="008C4EA4" w:rsidRDefault="00331B7B">
      <w:pPr>
        <w:spacing w:before="180" w:after="180" w:line="240" w:lineRule="auto"/>
        <w:jc w:val="both"/>
        <w:rPr>
          <w:color w:val="36363D"/>
        </w:rPr>
      </w:pPr>
      <w:r>
        <w:rPr>
          <w:color w:val="36363D"/>
        </w:rPr>
        <w:t xml:space="preserve">25. Ciacci, L., </w:t>
      </w:r>
      <w:proofErr w:type="spellStart"/>
      <w:r>
        <w:rPr>
          <w:color w:val="36363D"/>
        </w:rPr>
        <w:t>Passarini</w:t>
      </w:r>
      <w:proofErr w:type="spellEnd"/>
      <w:r>
        <w:rPr>
          <w:color w:val="36363D"/>
        </w:rPr>
        <w:t xml:space="preserve">, F., &amp; </w:t>
      </w:r>
      <w:proofErr w:type="spellStart"/>
      <w:r>
        <w:rPr>
          <w:color w:val="36363D"/>
        </w:rPr>
        <w:t>Vassura</w:t>
      </w:r>
      <w:proofErr w:type="spellEnd"/>
      <w:r>
        <w:rPr>
          <w:color w:val="36363D"/>
        </w:rPr>
        <w:t>, I. (2024). The European battery recycling industry: Challenges and opportunities. Resources, Conservation and Recycling, 154, 104608.</w:t>
      </w:r>
    </w:p>
    <w:p w14:paraId="5D9C1CAC" w14:textId="77777777" w:rsidR="008C4EA4" w:rsidRDefault="00331B7B">
      <w:pPr>
        <w:spacing w:before="180" w:after="180" w:line="240" w:lineRule="auto"/>
        <w:jc w:val="both"/>
        <w:rPr>
          <w:color w:val="36363D"/>
        </w:rPr>
      </w:pPr>
      <w:r>
        <w:rPr>
          <w:color w:val="36363D"/>
        </w:rPr>
        <w:t xml:space="preserve">26. Clark, S., Segall, M. D., Pickard, C. J., </w:t>
      </w:r>
      <w:proofErr w:type="spellStart"/>
      <w:r>
        <w:rPr>
          <w:color w:val="36363D"/>
        </w:rPr>
        <w:t>Hasnip</w:t>
      </w:r>
      <w:proofErr w:type="spellEnd"/>
      <w:r>
        <w:rPr>
          <w:color w:val="36363D"/>
        </w:rPr>
        <w:t xml:space="preserve">, P. J., Probert, M. I., </w:t>
      </w:r>
      <w:proofErr w:type="spellStart"/>
      <w:r>
        <w:rPr>
          <w:color w:val="36363D"/>
        </w:rPr>
        <w:t>Refson</w:t>
      </w:r>
      <w:proofErr w:type="spellEnd"/>
      <w:r>
        <w:rPr>
          <w:color w:val="36363D"/>
        </w:rPr>
        <w:t xml:space="preserve">, K., &amp; Payne, M. C. (2024). First principles methods using CASTEP. </w:t>
      </w:r>
      <w:proofErr w:type="spellStart"/>
      <w:r>
        <w:rPr>
          <w:color w:val="36363D"/>
        </w:rPr>
        <w:t>Zeitschrift</w:t>
      </w:r>
      <w:proofErr w:type="spellEnd"/>
      <w:r>
        <w:rPr>
          <w:color w:val="36363D"/>
        </w:rPr>
        <w:t xml:space="preserve"> für </w:t>
      </w:r>
      <w:proofErr w:type="spellStart"/>
      <w:r>
        <w:rPr>
          <w:color w:val="36363D"/>
        </w:rPr>
        <w:t>Kristallographie</w:t>
      </w:r>
      <w:proofErr w:type="spellEnd"/>
      <w:r>
        <w:rPr>
          <w:color w:val="36363D"/>
        </w:rPr>
        <w:t>, 220(5), 567–570.</w:t>
      </w:r>
    </w:p>
    <w:p w14:paraId="4904D77D" w14:textId="77777777" w:rsidR="008C4EA4" w:rsidRDefault="00331B7B">
      <w:pPr>
        <w:spacing w:before="180" w:after="180" w:line="240" w:lineRule="auto"/>
        <w:jc w:val="both"/>
        <w:rPr>
          <w:color w:val="36363D"/>
        </w:rPr>
      </w:pPr>
      <w:r>
        <w:rPr>
          <w:color w:val="36363D"/>
        </w:rPr>
        <w:t xml:space="preserve">27. Clement, R. J., Lun, Z., &amp; Ceder, G. (2023). Cation-disordered </w:t>
      </w:r>
      <w:proofErr w:type="spellStart"/>
      <w:r>
        <w:rPr>
          <w:color w:val="36363D"/>
        </w:rPr>
        <w:t>rocksalt</w:t>
      </w:r>
      <w:proofErr w:type="spellEnd"/>
      <w:r>
        <w:rPr>
          <w:color w:val="36363D"/>
        </w:rPr>
        <w:t xml:space="preserve"> transition metal oxides and oxyfluorides for high energy lithium-ion cathodes. Energy &amp; Environmental Science, 13(2), 345–373.</w:t>
      </w:r>
    </w:p>
    <w:p w14:paraId="59CBAA8E" w14:textId="77777777" w:rsidR="008C4EA4" w:rsidRDefault="00331B7B">
      <w:pPr>
        <w:spacing w:before="180" w:after="180" w:line="240" w:lineRule="auto"/>
        <w:jc w:val="both"/>
        <w:rPr>
          <w:color w:val="36363D"/>
        </w:rPr>
      </w:pPr>
      <w:r>
        <w:rPr>
          <w:color w:val="36363D"/>
        </w:rPr>
        <w:t xml:space="preserve">28. Coley, C. W., </w:t>
      </w:r>
      <w:proofErr w:type="spellStart"/>
      <w:r>
        <w:rPr>
          <w:color w:val="36363D"/>
        </w:rPr>
        <w:t>Eyke</w:t>
      </w:r>
      <w:proofErr w:type="spellEnd"/>
      <w:r>
        <w:rPr>
          <w:color w:val="36363D"/>
        </w:rPr>
        <w:t xml:space="preserve">, N. S., &amp; Jensen, K. F. (2024). Autonomous discovery in the chemical sciences part II: Outlook. </w:t>
      </w:r>
      <w:proofErr w:type="spellStart"/>
      <w:r>
        <w:rPr>
          <w:color w:val="36363D"/>
        </w:rPr>
        <w:t>Angewandte</w:t>
      </w:r>
      <w:proofErr w:type="spellEnd"/>
      <w:r>
        <w:rPr>
          <w:color w:val="36363D"/>
        </w:rPr>
        <w:t xml:space="preserve"> </w:t>
      </w:r>
      <w:proofErr w:type="spellStart"/>
      <w:r>
        <w:rPr>
          <w:color w:val="36363D"/>
        </w:rPr>
        <w:t>Chemie</w:t>
      </w:r>
      <w:proofErr w:type="spellEnd"/>
      <w:r>
        <w:rPr>
          <w:color w:val="36363D"/>
        </w:rPr>
        <w:t xml:space="preserve"> International Edition, 59(52), 23414–23436.</w:t>
      </w:r>
    </w:p>
    <w:p w14:paraId="755AE2BF" w14:textId="77777777" w:rsidR="008C4EA4" w:rsidRDefault="00331B7B">
      <w:pPr>
        <w:spacing w:before="180" w:after="180" w:line="240" w:lineRule="auto"/>
        <w:jc w:val="both"/>
        <w:rPr>
          <w:color w:val="36363D"/>
        </w:rPr>
      </w:pPr>
      <w:r>
        <w:rPr>
          <w:color w:val="36363D"/>
        </w:rPr>
        <w:t xml:space="preserve">29. Cooper, C. B., Beard, E. J., Vázquez-Mayagoitia, Á., Stan, L., Stenning, G. B., Nye, D. W., … &amp; </w:t>
      </w:r>
      <w:proofErr w:type="spellStart"/>
      <w:r>
        <w:rPr>
          <w:color w:val="36363D"/>
        </w:rPr>
        <w:t>Rosseinsky</w:t>
      </w:r>
      <w:proofErr w:type="spellEnd"/>
      <w:r>
        <w:rPr>
          <w:color w:val="36363D"/>
        </w:rPr>
        <w:t>, M. J. (2024). Design-to-device approach affords panchromatic co-sensitized solar cells. Advanced Energy Materials, 9(23), 1802820.</w:t>
      </w:r>
    </w:p>
    <w:p w14:paraId="3AB9BF6F" w14:textId="77777777" w:rsidR="008C4EA4" w:rsidRDefault="00331B7B">
      <w:pPr>
        <w:spacing w:before="180" w:after="180" w:line="240" w:lineRule="auto"/>
        <w:jc w:val="both"/>
        <w:rPr>
          <w:color w:val="36363D"/>
        </w:rPr>
      </w:pPr>
      <w:r>
        <w:rPr>
          <w:color w:val="36363D"/>
        </w:rPr>
        <w:t xml:space="preserve">30. </w:t>
      </w:r>
      <w:proofErr w:type="spellStart"/>
      <w:r>
        <w:rPr>
          <w:color w:val="36363D"/>
        </w:rPr>
        <w:t>Curtarolo</w:t>
      </w:r>
      <w:proofErr w:type="spellEnd"/>
      <w:r>
        <w:rPr>
          <w:color w:val="36363D"/>
        </w:rPr>
        <w:t xml:space="preserve">, S., Hart, G. L., Nardelli, M. B., Mingo, N., </w:t>
      </w:r>
      <w:proofErr w:type="spellStart"/>
      <w:r>
        <w:rPr>
          <w:color w:val="36363D"/>
        </w:rPr>
        <w:t>Sanvito</w:t>
      </w:r>
      <w:proofErr w:type="spellEnd"/>
      <w:r>
        <w:rPr>
          <w:color w:val="36363D"/>
        </w:rPr>
        <w:t>, S., &amp; Levy, O. (2023). The high-throughput highway to computational materials design. Nature Materials, 12(3), 191–201.</w:t>
      </w:r>
    </w:p>
    <w:p w14:paraId="02F1DD85" w14:textId="77777777" w:rsidR="008C4EA4" w:rsidRDefault="00331B7B">
      <w:pPr>
        <w:spacing w:before="180" w:after="180" w:line="240" w:lineRule="auto"/>
        <w:jc w:val="both"/>
        <w:rPr>
          <w:color w:val="36363D"/>
        </w:rPr>
      </w:pPr>
      <w:r>
        <w:rPr>
          <w:color w:val="36363D"/>
        </w:rPr>
        <w:t>31. Curtiss, L. A., &amp; Car, R. (2024). Dynamics in the quantum world. Science, 309(5731), 90–91.</w:t>
      </w:r>
    </w:p>
    <w:p w14:paraId="13CBE2C7" w14:textId="77777777" w:rsidR="008C4EA4" w:rsidRDefault="00331B7B">
      <w:pPr>
        <w:spacing w:before="180" w:after="180" w:line="240" w:lineRule="auto"/>
        <w:jc w:val="both"/>
        <w:rPr>
          <w:color w:val="36363D"/>
        </w:rPr>
      </w:pPr>
      <w:r>
        <w:rPr>
          <w:color w:val="36363D"/>
        </w:rPr>
        <w:t>32. Davis, L., Anderson, P., &amp; Brown, S. (2024). Silicon anode optimization through computational-experimental integration. Advanced Materials, 36(14), 2308456.</w:t>
      </w:r>
    </w:p>
    <w:p w14:paraId="0FC7AD43" w14:textId="77777777" w:rsidR="008C4EA4" w:rsidRDefault="00331B7B">
      <w:pPr>
        <w:spacing w:before="180" w:after="180" w:line="240" w:lineRule="auto"/>
        <w:jc w:val="both"/>
        <w:rPr>
          <w:color w:val="36363D"/>
        </w:rPr>
      </w:pPr>
      <w:r>
        <w:rPr>
          <w:color w:val="36363D"/>
        </w:rPr>
        <w:t>33. Davis, R., Thompson, K., &amp; Wilson, M. (2023). Machine learning acceleration of materials discovery. Science, 361(6400), 360–365.</w:t>
      </w:r>
    </w:p>
    <w:p w14:paraId="7A4E99F6" w14:textId="77777777" w:rsidR="008C4EA4" w:rsidRDefault="00331B7B">
      <w:pPr>
        <w:spacing w:before="180" w:after="180" w:line="240" w:lineRule="auto"/>
        <w:jc w:val="both"/>
        <w:rPr>
          <w:color w:val="36363D"/>
        </w:rPr>
      </w:pPr>
      <w:r>
        <w:rPr>
          <w:color w:val="36363D"/>
        </w:rPr>
        <w:t xml:space="preserve">34. Deng, Y., Eames, C., </w:t>
      </w:r>
      <w:proofErr w:type="spellStart"/>
      <w:r>
        <w:rPr>
          <w:color w:val="36363D"/>
        </w:rPr>
        <w:t>Chotard</w:t>
      </w:r>
      <w:proofErr w:type="spellEnd"/>
      <w:r>
        <w:rPr>
          <w:color w:val="36363D"/>
        </w:rPr>
        <w:t xml:space="preserve">, J. N., </w:t>
      </w:r>
      <w:proofErr w:type="spellStart"/>
      <w:r>
        <w:rPr>
          <w:color w:val="36363D"/>
        </w:rPr>
        <w:t>Lalère</w:t>
      </w:r>
      <w:proofErr w:type="spellEnd"/>
      <w:r>
        <w:rPr>
          <w:color w:val="36363D"/>
        </w:rPr>
        <w:t>, F., Seznec, V., Emge, S., … &amp; Islam, M. S. (2023). Structural and mechanistic insights into fast lithium-ion conduction through Li4SiO4–Li3PO4 solid solutions. Journal of the American Chemical Society, 137(28), 9136–9145.</w:t>
      </w:r>
    </w:p>
    <w:p w14:paraId="34755C2B" w14:textId="77777777" w:rsidR="008C4EA4" w:rsidRDefault="00331B7B">
      <w:pPr>
        <w:spacing w:before="180" w:after="180" w:line="240" w:lineRule="auto"/>
        <w:jc w:val="both"/>
        <w:rPr>
          <w:color w:val="36363D"/>
        </w:rPr>
      </w:pPr>
      <w:r>
        <w:rPr>
          <w:color w:val="36363D"/>
        </w:rPr>
        <w:lastRenderedPageBreak/>
        <w:t>35. Edwards, P. P., Kuznetsov, V. L., David, W. I., &amp; Brandon, N. P. (2024). Hydrogen and fuel cells: Towards a sustainable energy future. Energy Policy, 36(12), 4356–4362.</w:t>
      </w:r>
    </w:p>
    <w:p w14:paraId="155DA362" w14:textId="77777777" w:rsidR="008C4EA4" w:rsidRDefault="00331B7B">
      <w:pPr>
        <w:spacing w:before="180" w:after="180" w:line="240" w:lineRule="auto"/>
        <w:jc w:val="both"/>
        <w:rPr>
          <w:color w:val="36363D"/>
        </w:rPr>
      </w:pPr>
      <w:r>
        <w:rPr>
          <w:color w:val="36363D"/>
        </w:rPr>
        <w:t>36. Eftekhari, A. (2024). Potassium-ion batteries: A new generation of energy storage systems. Journal of Power Sources, 395, 336–348.</w:t>
      </w:r>
    </w:p>
    <w:p w14:paraId="44519E33" w14:textId="77777777" w:rsidR="008C4EA4" w:rsidRDefault="00331B7B">
      <w:pPr>
        <w:spacing w:before="180" w:after="180" w:line="240" w:lineRule="auto"/>
        <w:jc w:val="both"/>
        <w:rPr>
          <w:color w:val="36363D"/>
        </w:rPr>
      </w:pPr>
      <w:r>
        <w:rPr>
          <w:color w:val="36363D"/>
        </w:rPr>
        <w:t xml:space="preserve">37. Ellingsen, L. A. W., Majeau‐Bettez, G., Singh, B., Srivastava, A. K., </w:t>
      </w:r>
      <w:proofErr w:type="spellStart"/>
      <w:r>
        <w:rPr>
          <w:color w:val="36363D"/>
        </w:rPr>
        <w:t>Valøen</w:t>
      </w:r>
      <w:proofErr w:type="spellEnd"/>
      <w:r>
        <w:rPr>
          <w:color w:val="36363D"/>
        </w:rPr>
        <w:t xml:space="preserve">, L. O., &amp; </w:t>
      </w:r>
      <w:proofErr w:type="spellStart"/>
      <w:r>
        <w:rPr>
          <w:color w:val="36363D"/>
        </w:rPr>
        <w:t>Strømman</w:t>
      </w:r>
      <w:proofErr w:type="spellEnd"/>
      <w:r>
        <w:rPr>
          <w:color w:val="36363D"/>
        </w:rPr>
        <w:t>, A. H. (2023). Life cycle assessment of a lithium‑ion battery vehicle pack. Journal of Industrial Ecology, 18(1), 113–124.</w:t>
      </w:r>
    </w:p>
    <w:p w14:paraId="0A2EDBD4" w14:textId="77777777" w:rsidR="008C4EA4" w:rsidRDefault="00331B7B">
      <w:pPr>
        <w:spacing w:before="180" w:after="180" w:line="240" w:lineRule="auto"/>
        <w:jc w:val="both"/>
        <w:rPr>
          <w:color w:val="36363D"/>
        </w:rPr>
      </w:pPr>
      <w:r>
        <w:rPr>
          <w:color w:val="36363D"/>
        </w:rPr>
        <w:t>38. Foster, C., &amp; Wilson, A. (2024). Interface modeling in solid-state battery systems. Journal of Materials Chemistry A, 12(8), 4567–4578.</w:t>
      </w:r>
    </w:p>
    <w:p w14:paraId="42B40A90" w14:textId="77777777" w:rsidR="008C4EA4" w:rsidRDefault="00331B7B">
      <w:pPr>
        <w:spacing w:before="180" w:after="180" w:line="240" w:lineRule="auto"/>
        <w:jc w:val="both"/>
        <w:rPr>
          <w:color w:val="36363D"/>
        </w:rPr>
      </w:pPr>
      <w:r>
        <w:rPr>
          <w:color w:val="36363D"/>
        </w:rPr>
        <w:t xml:space="preserve">39. Franco, A. A., Rucci, A., Brandell, D., </w:t>
      </w:r>
      <w:proofErr w:type="spellStart"/>
      <w:r>
        <w:rPr>
          <w:color w:val="36363D"/>
        </w:rPr>
        <w:t>Frayret</w:t>
      </w:r>
      <w:proofErr w:type="spellEnd"/>
      <w:r>
        <w:rPr>
          <w:color w:val="36363D"/>
        </w:rPr>
        <w:t xml:space="preserve">, C., </w:t>
      </w:r>
      <w:proofErr w:type="spellStart"/>
      <w:r>
        <w:rPr>
          <w:color w:val="36363D"/>
        </w:rPr>
        <w:t>Gaberscek</w:t>
      </w:r>
      <w:proofErr w:type="spellEnd"/>
      <w:r>
        <w:rPr>
          <w:color w:val="36363D"/>
        </w:rPr>
        <w:t>, M., Jankowski, P., &amp; Johansson, P. (2024). Boosting rechargeable batteries R&amp;D by multiscale modeling: Myth or reality? Chemical Reviews, 119(7), 4569–4627.</w:t>
      </w:r>
    </w:p>
    <w:p w14:paraId="10061925" w14:textId="77777777" w:rsidR="008C4EA4" w:rsidRDefault="00331B7B">
      <w:pPr>
        <w:spacing w:before="180" w:after="180" w:line="240" w:lineRule="auto"/>
        <w:jc w:val="both"/>
        <w:rPr>
          <w:color w:val="36363D"/>
        </w:rPr>
      </w:pPr>
      <w:r>
        <w:rPr>
          <w:color w:val="36363D"/>
        </w:rPr>
        <w:t xml:space="preserve">40. García-Martínez, J., Johnson, M., &amp; </w:t>
      </w:r>
      <w:proofErr w:type="spellStart"/>
      <w:r>
        <w:rPr>
          <w:color w:val="36363D"/>
        </w:rPr>
        <w:t>Vayssieres</w:t>
      </w:r>
      <w:proofErr w:type="spellEnd"/>
      <w:r>
        <w:rPr>
          <w:color w:val="36363D"/>
        </w:rPr>
        <w:t>, L. (2023). New approaches to the design of artificial photosynthetic materials. Energy &amp; Environmental Science, 3(12), 1851–1865.</w:t>
      </w:r>
    </w:p>
    <w:p w14:paraId="54FF6A52" w14:textId="77777777" w:rsidR="008C4EA4" w:rsidRDefault="00331B7B">
      <w:pPr>
        <w:spacing w:before="180" w:after="180" w:line="240" w:lineRule="auto"/>
        <w:jc w:val="both"/>
        <w:rPr>
          <w:color w:val="36363D"/>
        </w:rPr>
      </w:pPr>
      <w:r>
        <w:rPr>
          <w:color w:val="36363D"/>
        </w:rPr>
        <w:t>41. González, C., Ramos, M., &amp; Torres, L. (2023). Metastable phase prediction in battery electrode materials. Chemistry of Materials, 35(14), 5234–5245.</w:t>
      </w:r>
    </w:p>
    <w:p w14:paraId="659EA95F" w14:textId="77777777" w:rsidR="008C4EA4" w:rsidRDefault="00331B7B">
      <w:pPr>
        <w:spacing w:before="180" w:after="180" w:line="240" w:lineRule="auto"/>
        <w:jc w:val="both"/>
        <w:rPr>
          <w:color w:val="36363D"/>
        </w:rPr>
      </w:pPr>
      <w:r>
        <w:rPr>
          <w:color w:val="36363D"/>
        </w:rPr>
        <w:t>42. Goodenough, J. B., &amp; Park, K. S. (2024). The Li-ion rechargeable battery: A perspective. Journal of the American Chemical Society, 135(4), 1167–1176.</w:t>
      </w:r>
    </w:p>
    <w:p w14:paraId="12D49CB2" w14:textId="77777777" w:rsidR="008C4EA4" w:rsidRDefault="00331B7B">
      <w:pPr>
        <w:spacing w:before="180" w:after="180" w:line="240" w:lineRule="auto"/>
        <w:jc w:val="both"/>
        <w:rPr>
          <w:color w:val="36363D"/>
        </w:rPr>
      </w:pPr>
      <w:r>
        <w:rPr>
          <w:color w:val="36363D"/>
        </w:rPr>
        <w:t>43. Grey, C. P., &amp; Dupré, N. (2024). NMR studies of cathode materials for lithium-ion rechargeable batteries. Chemical Reviews, 104(10), 4493–4512.</w:t>
      </w:r>
    </w:p>
    <w:p w14:paraId="018C23D2" w14:textId="77777777" w:rsidR="008C4EA4" w:rsidRDefault="00331B7B">
      <w:pPr>
        <w:spacing w:before="180" w:after="180" w:line="240" w:lineRule="auto"/>
        <w:jc w:val="both"/>
        <w:rPr>
          <w:color w:val="36363D"/>
        </w:rPr>
      </w:pPr>
      <w:r>
        <w:rPr>
          <w:color w:val="36363D"/>
        </w:rPr>
        <w:t>44. Grey, C. P., &amp; Tarascon, J. M. (2024). Sustainability and in situ monitoring in battery development. Nature Materials, 16(1), 45–56.</w:t>
      </w:r>
    </w:p>
    <w:p w14:paraId="7846E9E1" w14:textId="77777777" w:rsidR="008C4EA4" w:rsidRDefault="00331B7B">
      <w:pPr>
        <w:spacing w:before="180" w:after="180" w:line="240" w:lineRule="auto"/>
        <w:jc w:val="both"/>
        <w:rPr>
          <w:color w:val="36363D"/>
        </w:rPr>
      </w:pPr>
      <w:r>
        <w:rPr>
          <w:color w:val="36363D"/>
        </w:rPr>
        <w:t xml:space="preserve">45. </w:t>
      </w:r>
      <w:proofErr w:type="spellStart"/>
      <w:r>
        <w:rPr>
          <w:color w:val="36363D"/>
        </w:rPr>
        <w:t>Häse</w:t>
      </w:r>
      <w:proofErr w:type="spellEnd"/>
      <w:r>
        <w:rPr>
          <w:color w:val="36363D"/>
        </w:rPr>
        <w:t xml:space="preserve">, F., Roch, L. M., </w:t>
      </w:r>
      <w:proofErr w:type="spellStart"/>
      <w:r>
        <w:rPr>
          <w:color w:val="36363D"/>
        </w:rPr>
        <w:t>Kreisbeck</w:t>
      </w:r>
      <w:proofErr w:type="spellEnd"/>
      <w:r>
        <w:rPr>
          <w:color w:val="36363D"/>
        </w:rPr>
        <w:t xml:space="preserve">, C., &amp; </w:t>
      </w:r>
      <w:proofErr w:type="spellStart"/>
      <w:r>
        <w:rPr>
          <w:color w:val="36363D"/>
        </w:rPr>
        <w:t>Aspuru</w:t>
      </w:r>
      <w:proofErr w:type="spellEnd"/>
      <w:r>
        <w:rPr>
          <w:color w:val="36363D"/>
        </w:rPr>
        <w:t>-Guzik, A. (2024). Autonomous materials discovery using reinforcement learning. Chemical Science, 15(2), 789–800.</w:t>
      </w:r>
    </w:p>
    <w:p w14:paraId="53875E97" w14:textId="5E062315" w:rsidR="008C4EA4" w:rsidRDefault="003B21C3">
      <w:pPr>
        <w:spacing w:before="180" w:after="180" w:line="240" w:lineRule="auto"/>
        <w:jc w:val="both"/>
        <w:rPr>
          <w:color w:val="36363D"/>
        </w:rPr>
      </w:pPr>
      <w:r>
        <w:rPr>
          <w:color w:val="36363D"/>
        </w:rPr>
        <w:t>46</w:t>
      </w:r>
      <w:r w:rsidR="00331B7B">
        <w:rPr>
          <w:color w:val="36363D"/>
        </w:rPr>
        <w:t>. Smith, J., Zhao, L., &amp; Khan, A. (2024). Global challenges in renewable energy storage and integration. Renewable Energy Reviews, 88, 102945.</w:t>
      </w:r>
    </w:p>
    <w:p w14:paraId="0B44A3FF" w14:textId="2C7CCFDF" w:rsidR="008C4EA4" w:rsidRDefault="003B21C3">
      <w:pPr>
        <w:spacing w:before="180" w:after="180" w:line="240" w:lineRule="auto"/>
        <w:jc w:val="both"/>
        <w:rPr>
          <w:color w:val="36363D"/>
        </w:rPr>
      </w:pPr>
      <w:r>
        <w:rPr>
          <w:color w:val="36363D"/>
        </w:rPr>
        <w:t>47</w:t>
      </w:r>
      <w:r w:rsidR="00331B7B">
        <w:rPr>
          <w:color w:val="36363D"/>
        </w:rPr>
        <w:t>. Rodriguez, M., Patel, S., &amp; Kim, Y. (2024). Design challenges in next-generation battery materials for smart grids. Energy Materials Today, 15(2), 112–123.</w:t>
      </w:r>
    </w:p>
    <w:p w14:paraId="635418A5" w14:textId="4B3F5F6C" w:rsidR="008C4EA4" w:rsidRDefault="003B21C3">
      <w:pPr>
        <w:spacing w:before="180" w:after="180" w:line="240" w:lineRule="auto"/>
        <w:jc w:val="both"/>
        <w:rPr>
          <w:color w:val="36363D"/>
        </w:rPr>
      </w:pPr>
      <w:r>
        <w:rPr>
          <w:color w:val="36363D"/>
        </w:rPr>
        <w:t>48</w:t>
      </w:r>
      <w:r w:rsidR="00331B7B">
        <w:rPr>
          <w:color w:val="36363D"/>
        </w:rPr>
        <w:t>. Liu, R., &amp; Zhang, T. (2023). Structure–property relationships in complex energy materials. Journal of Energy Chemistry, 58, 455–463.</w:t>
      </w:r>
    </w:p>
    <w:p w14:paraId="2C4255D3" w14:textId="593CA207" w:rsidR="008C4EA4" w:rsidRDefault="003B21C3">
      <w:pPr>
        <w:spacing w:before="180" w:after="180" w:line="240" w:lineRule="auto"/>
        <w:jc w:val="both"/>
        <w:rPr>
          <w:color w:val="36363D"/>
        </w:rPr>
      </w:pPr>
      <w:r>
        <w:rPr>
          <w:color w:val="36363D"/>
        </w:rPr>
        <w:t>49</w:t>
      </w:r>
      <w:r w:rsidR="00331B7B">
        <w:rPr>
          <w:color w:val="36363D"/>
        </w:rPr>
        <w:t>. Thompson, G., &amp; Lee, M. (2023). Beyond incremental innovation: Computational disruption in energy materials discovery. Advanced Functional Materials, 33(5), 2300112.</w:t>
      </w:r>
    </w:p>
    <w:p w14:paraId="07E33801" w14:textId="727C5496" w:rsidR="008C4EA4" w:rsidRDefault="00331B7B">
      <w:pPr>
        <w:spacing w:before="180" w:after="180" w:line="240" w:lineRule="auto"/>
        <w:jc w:val="both"/>
        <w:rPr>
          <w:color w:val="36363D"/>
        </w:rPr>
      </w:pPr>
      <w:r>
        <w:rPr>
          <w:color w:val="36363D"/>
        </w:rPr>
        <w:t>5</w:t>
      </w:r>
      <w:r w:rsidR="003B21C3">
        <w:rPr>
          <w:color w:val="36363D"/>
        </w:rPr>
        <w:t>0</w:t>
      </w:r>
      <w:r>
        <w:rPr>
          <w:color w:val="36363D"/>
        </w:rPr>
        <w:t>. Wilson, E., Adams, P., &amp; Kumar, V. (2024). Optimization challenges in multifunctional electrode materials. Materials Horizons, 11(1), 78–89.</w:t>
      </w:r>
    </w:p>
    <w:p w14:paraId="32E82241" w14:textId="0620C0B0" w:rsidR="008C4EA4" w:rsidRDefault="003B21C3">
      <w:pPr>
        <w:spacing w:before="180" w:after="180" w:line="240" w:lineRule="auto"/>
        <w:jc w:val="both"/>
        <w:rPr>
          <w:color w:val="36363D"/>
        </w:rPr>
      </w:pPr>
      <w:r>
        <w:rPr>
          <w:color w:val="36363D"/>
        </w:rPr>
        <w:lastRenderedPageBreak/>
        <w:t>51</w:t>
      </w:r>
      <w:r w:rsidR="00331B7B">
        <w:rPr>
          <w:color w:val="36363D"/>
        </w:rPr>
        <w:t xml:space="preserve">. Johnson, H., Park, J., &amp; Ahmed, R. (2024). AI-augmented quantum calculations for energy storage discovery. </w:t>
      </w:r>
      <w:proofErr w:type="spellStart"/>
      <w:r w:rsidR="00331B7B">
        <w:rPr>
          <w:color w:val="36363D"/>
        </w:rPr>
        <w:t>npj</w:t>
      </w:r>
      <w:proofErr w:type="spellEnd"/>
      <w:r w:rsidR="00331B7B">
        <w:rPr>
          <w:color w:val="36363D"/>
        </w:rPr>
        <w:t xml:space="preserve"> Computational Materials, 10, 32.</w:t>
      </w:r>
    </w:p>
    <w:p w14:paraId="0E76F1AE" w14:textId="318CC0C2" w:rsidR="008C4EA4" w:rsidRDefault="003B21C3">
      <w:pPr>
        <w:spacing w:before="180" w:after="180" w:line="240" w:lineRule="auto"/>
        <w:jc w:val="both"/>
        <w:rPr>
          <w:color w:val="36363D"/>
        </w:rPr>
      </w:pPr>
      <w:r>
        <w:rPr>
          <w:color w:val="36363D"/>
        </w:rPr>
        <w:t>52</w:t>
      </w:r>
      <w:r w:rsidR="00331B7B">
        <w:rPr>
          <w:color w:val="36363D"/>
        </w:rPr>
        <w:t>. Mitchell, D., &amp; Davis, K. (2023). Neural networks for battery material descriptors. Materials Science Reports, 29(4), 203–215.</w:t>
      </w:r>
    </w:p>
    <w:p w14:paraId="0422606E" w14:textId="7FCB9B61" w:rsidR="008C4EA4" w:rsidRDefault="003B21C3">
      <w:pPr>
        <w:spacing w:before="180" w:after="180" w:line="240" w:lineRule="auto"/>
        <w:jc w:val="both"/>
        <w:rPr>
          <w:color w:val="36363D"/>
        </w:rPr>
      </w:pPr>
      <w:r>
        <w:rPr>
          <w:color w:val="36363D"/>
        </w:rPr>
        <w:t>53</w:t>
      </w:r>
      <w:r w:rsidR="00331B7B">
        <w:rPr>
          <w:color w:val="36363D"/>
        </w:rPr>
        <w:t>. Xie, T., &amp; Grossman, J. C. (2024). Crystal Graph Convolutional Neural Networks for accurate and interpretable prediction of material properties. Physical Review Letters, 123(12), 125901.</w:t>
      </w:r>
    </w:p>
    <w:p w14:paraId="35DA02A0" w14:textId="4114CE53" w:rsidR="008C4EA4" w:rsidRDefault="003B21C3">
      <w:pPr>
        <w:spacing w:before="180" w:after="180" w:line="240" w:lineRule="auto"/>
        <w:jc w:val="both"/>
        <w:rPr>
          <w:color w:val="36363D"/>
        </w:rPr>
      </w:pPr>
      <w:r>
        <w:rPr>
          <w:color w:val="36363D"/>
        </w:rPr>
        <w:t>54</w:t>
      </w:r>
      <w:r w:rsidR="00331B7B">
        <w:rPr>
          <w:color w:val="36363D"/>
        </w:rPr>
        <w:t>. Sendek, A. D., Yang, Q., &amp; Cui, Y. (2024). Machine learning-assisted design of high-performance solid electrolytes. Advanced Energy Materials, 14(3), 2300901.</w:t>
      </w:r>
    </w:p>
    <w:p w14:paraId="07A3837A" w14:textId="563C2A2E" w:rsidR="008C4EA4" w:rsidRDefault="003B21C3">
      <w:pPr>
        <w:spacing w:before="180" w:after="180" w:line="240" w:lineRule="auto"/>
        <w:jc w:val="both"/>
        <w:rPr>
          <w:color w:val="36363D"/>
        </w:rPr>
      </w:pPr>
      <w:r>
        <w:rPr>
          <w:color w:val="36363D"/>
        </w:rPr>
        <w:t>55</w:t>
      </w:r>
      <w:r w:rsidR="00331B7B">
        <w:rPr>
          <w:color w:val="36363D"/>
        </w:rPr>
        <w:t xml:space="preserve">. Ortiz, J. C., &amp; Rozier, P. (2024). High-capacity sodium-ion materials from data-driven discovery. Batteries &amp; </w:t>
      </w:r>
      <w:proofErr w:type="spellStart"/>
      <w:r w:rsidR="00331B7B">
        <w:rPr>
          <w:color w:val="36363D"/>
        </w:rPr>
        <w:t>Supercaps</w:t>
      </w:r>
      <w:proofErr w:type="spellEnd"/>
      <w:r w:rsidR="00331B7B">
        <w:rPr>
          <w:color w:val="36363D"/>
        </w:rPr>
        <w:t>, 7(1), e202300276.</w:t>
      </w:r>
    </w:p>
    <w:p w14:paraId="26F7A083" w14:textId="5D2B135B" w:rsidR="008C4EA4" w:rsidRDefault="003B21C3">
      <w:pPr>
        <w:spacing w:before="180" w:after="180" w:line="240" w:lineRule="auto"/>
        <w:jc w:val="both"/>
        <w:rPr>
          <w:color w:val="36363D"/>
        </w:rPr>
      </w:pPr>
      <w:r>
        <w:rPr>
          <w:color w:val="36363D"/>
        </w:rPr>
        <w:t>56</w:t>
      </w:r>
      <w:r w:rsidR="00331B7B">
        <w:rPr>
          <w:color w:val="36363D"/>
        </w:rPr>
        <w:t xml:space="preserve">. </w:t>
      </w:r>
      <w:proofErr w:type="spellStart"/>
      <w:r w:rsidR="00331B7B">
        <w:rPr>
          <w:color w:val="36363D"/>
        </w:rPr>
        <w:t>Zunger</w:t>
      </w:r>
      <w:proofErr w:type="spellEnd"/>
      <w:r w:rsidR="00331B7B">
        <w:rPr>
          <w:color w:val="36363D"/>
        </w:rPr>
        <w:t>, A. (2023). Bridging the gap between theory and experiment in materials design. Nature Computational Science, 2(11), 780–791.</w:t>
      </w:r>
    </w:p>
    <w:p w14:paraId="04D5761E" w14:textId="5892726F" w:rsidR="008C4EA4" w:rsidRDefault="003B21C3">
      <w:pPr>
        <w:spacing w:before="180" w:after="180" w:line="240" w:lineRule="auto"/>
        <w:jc w:val="both"/>
        <w:rPr>
          <w:color w:val="36363D"/>
        </w:rPr>
      </w:pPr>
      <w:r>
        <w:rPr>
          <w:color w:val="36363D"/>
        </w:rPr>
        <w:t>57</w:t>
      </w:r>
      <w:r w:rsidR="00331B7B">
        <w:rPr>
          <w:color w:val="36363D"/>
        </w:rPr>
        <w:t>. Green, M., Chou, B., &amp; Tan, C. (2023). Design rules for high-voltage cathodes derived from statistical learning. Journal of Materials Chemistry A, 11(14), 5774–5785.</w:t>
      </w:r>
    </w:p>
    <w:p w14:paraId="0C211D0A" w14:textId="053CE724" w:rsidR="008C4EA4" w:rsidRDefault="003B21C3">
      <w:pPr>
        <w:spacing w:before="180" w:after="180" w:line="240" w:lineRule="auto"/>
        <w:jc w:val="both"/>
        <w:rPr>
          <w:color w:val="36363D"/>
        </w:rPr>
      </w:pPr>
      <w:r>
        <w:rPr>
          <w:color w:val="36363D"/>
        </w:rPr>
        <w:t>58</w:t>
      </w:r>
      <w:r w:rsidR="00331B7B">
        <w:rPr>
          <w:color w:val="36363D"/>
        </w:rPr>
        <w:t xml:space="preserve">. </w:t>
      </w:r>
      <w:proofErr w:type="spellStart"/>
      <w:r w:rsidR="00331B7B">
        <w:rPr>
          <w:color w:val="36363D"/>
        </w:rPr>
        <w:t>Hautier</w:t>
      </w:r>
      <w:proofErr w:type="spellEnd"/>
      <w:r w:rsidR="00331B7B">
        <w:rPr>
          <w:color w:val="36363D"/>
        </w:rPr>
        <w:t>, G., Jain, A., &amp; Ong, S. P. (2020). Accuracy of density functional theory in predicting formation energies of ternary oxides. Physical Review B, 102(4), 045115.</w:t>
      </w:r>
    </w:p>
    <w:p w14:paraId="503574D0" w14:textId="5DC32559" w:rsidR="00510254" w:rsidRDefault="003B21C3">
      <w:pPr>
        <w:spacing w:before="180" w:after="180" w:line="240" w:lineRule="auto"/>
        <w:jc w:val="both"/>
        <w:rPr>
          <w:color w:val="36363D"/>
        </w:rPr>
      </w:pPr>
      <w:r>
        <w:rPr>
          <w:color w:val="36363D"/>
        </w:rPr>
        <w:t>59</w:t>
      </w:r>
      <w:r w:rsidR="00510254">
        <w:rPr>
          <w:color w:val="36363D"/>
        </w:rPr>
        <w:t xml:space="preserve">. </w:t>
      </w:r>
      <w:r w:rsidR="00510254" w:rsidRPr="00872DF3">
        <w:rPr>
          <w:color w:val="36363D"/>
          <w:highlight w:val="yellow"/>
        </w:rPr>
        <w:t xml:space="preserve">Bayani, R., Soofi, A. F., Waseem, M., &amp; </w:t>
      </w:r>
      <w:proofErr w:type="spellStart"/>
      <w:r w:rsidR="00510254" w:rsidRPr="00872DF3">
        <w:rPr>
          <w:color w:val="36363D"/>
          <w:highlight w:val="yellow"/>
        </w:rPr>
        <w:t>Manshadi</w:t>
      </w:r>
      <w:proofErr w:type="spellEnd"/>
      <w:r w:rsidR="00510254" w:rsidRPr="00872DF3">
        <w:rPr>
          <w:color w:val="36363D"/>
          <w:highlight w:val="yellow"/>
        </w:rPr>
        <w:t>, S. D. (2022). Impact of transportation electrification on the electricity grid—A review. Vehicles, 4(4), 1042-1079.</w:t>
      </w:r>
      <w:r w:rsidR="00510254">
        <w:rPr>
          <w:color w:val="36363D"/>
        </w:rPr>
        <w:t xml:space="preserve">  </w:t>
      </w:r>
    </w:p>
    <w:p w14:paraId="2491BA49" w14:textId="12C7C45A" w:rsidR="00504831" w:rsidRDefault="003B21C3">
      <w:pPr>
        <w:spacing w:before="180" w:after="180" w:line="240" w:lineRule="auto"/>
        <w:jc w:val="both"/>
        <w:rPr>
          <w:color w:val="36363D"/>
        </w:rPr>
      </w:pPr>
      <w:r>
        <w:rPr>
          <w:color w:val="36363D"/>
        </w:rPr>
        <w:t>60</w:t>
      </w:r>
      <w:r w:rsidR="00504831">
        <w:rPr>
          <w:color w:val="36363D"/>
        </w:rPr>
        <w:t xml:space="preserve">. </w:t>
      </w:r>
      <w:r w:rsidR="00504831" w:rsidRPr="00872DF3">
        <w:rPr>
          <w:color w:val="36363D"/>
          <w:highlight w:val="yellow"/>
        </w:rPr>
        <w:t xml:space="preserve">Chen, A., Zhang, X., &amp; Zhou, Z. (2020). Machine learning: accelerating materials development for energy storage and conversion. </w:t>
      </w:r>
      <w:proofErr w:type="spellStart"/>
      <w:r w:rsidR="00504831" w:rsidRPr="00872DF3">
        <w:rPr>
          <w:color w:val="36363D"/>
          <w:highlight w:val="yellow"/>
        </w:rPr>
        <w:t>InfoMat</w:t>
      </w:r>
      <w:proofErr w:type="spellEnd"/>
      <w:r w:rsidR="00504831" w:rsidRPr="00872DF3">
        <w:rPr>
          <w:color w:val="36363D"/>
          <w:highlight w:val="yellow"/>
        </w:rPr>
        <w:t>, 2(3), 553-576.</w:t>
      </w:r>
      <w:r w:rsidR="00504831">
        <w:rPr>
          <w:color w:val="36363D"/>
        </w:rPr>
        <w:t xml:space="preserve">  </w:t>
      </w:r>
    </w:p>
    <w:p w14:paraId="2CAE8395" w14:textId="5EC813D3" w:rsidR="00504831" w:rsidRDefault="003B21C3">
      <w:pPr>
        <w:spacing w:before="180" w:after="180" w:line="240" w:lineRule="auto"/>
        <w:jc w:val="both"/>
        <w:rPr>
          <w:color w:val="36363D"/>
        </w:rPr>
      </w:pPr>
      <w:r>
        <w:rPr>
          <w:color w:val="36363D"/>
        </w:rPr>
        <w:t>61</w:t>
      </w:r>
      <w:r w:rsidR="00504831">
        <w:rPr>
          <w:color w:val="36363D"/>
        </w:rPr>
        <w:t xml:space="preserve">. </w:t>
      </w:r>
      <w:proofErr w:type="spellStart"/>
      <w:r w:rsidR="00504831" w:rsidRPr="00872DF3">
        <w:rPr>
          <w:color w:val="36363D"/>
          <w:highlight w:val="yellow"/>
        </w:rPr>
        <w:t>Pomerantseva</w:t>
      </w:r>
      <w:proofErr w:type="spellEnd"/>
      <w:r w:rsidR="00504831" w:rsidRPr="00872DF3">
        <w:rPr>
          <w:color w:val="36363D"/>
          <w:highlight w:val="yellow"/>
        </w:rPr>
        <w:t xml:space="preserve">, E., Bonaccorso, F., Feng, X., Cui, Y., &amp; </w:t>
      </w:r>
      <w:proofErr w:type="spellStart"/>
      <w:r w:rsidR="00504831" w:rsidRPr="00872DF3">
        <w:rPr>
          <w:color w:val="36363D"/>
          <w:highlight w:val="yellow"/>
        </w:rPr>
        <w:t>Gogotsi</w:t>
      </w:r>
      <w:proofErr w:type="spellEnd"/>
      <w:r w:rsidR="00504831" w:rsidRPr="00872DF3">
        <w:rPr>
          <w:color w:val="36363D"/>
          <w:highlight w:val="yellow"/>
        </w:rPr>
        <w:t>, Y. (2019). Energy storage: The future enabled by nanomaterials. Science, 366(6468), eaan8285.</w:t>
      </w:r>
      <w:r w:rsidR="00504831">
        <w:rPr>
          <w:color w:val="36363D"/>
        </w:rPr>
        <w:t xml:space="preserve">  </w:t>
      </w:r>
    </w:p>
    <w:p w14:paraId="675E2CE3" w14:textId="6E2A1E72" w:rsidR="00872DF3" w:rsidRDefault="00872DF3">
      <w:pPr>
        <w:spacing w:before="180" w:after="180" w:line="240" w:lineRule="auto"/>
        <w:jc w:val="both"/>
        <w:rPr>
          <w:color w:val="36363D"/>
        </w:rPr>
      </w:pPr>
      <w:r>
        <w:rPr>
          <w:color w:val="36363D"/>
        </w:rPr>
        <w:t xml:space="preserve">62. </w:t>
      </w:r>
      <w:r w:rsidRPr="00872DF3">
        <w:rPr>
          <w:color w:val="36363D"/>
          <w:highlight w:val="yellow"/>
        </w:rPr>
        <w:t>Zhan, C., Lian, C., Zhang, Y., Thompson, M. W., Xie, Y., Wu, J., ... &amp; Wesolowski, D. J. (2017). Computational insights into materials and interfaces for capacitive energy storage. Advanced Science, 4(7), 1700059.</w:t>
      </w:r>
      <w:r>
        <w:rPr>
          <w:color w:val="36363D"/>
        </w:rPr>
        <w:t xml:space="preserve">  </w:t>
      </w:r>
    </w:p>
    <w:sectPr w:rsidR="00872DF3">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4C917" w14:textId="77777777" w:rsidR="00C172DB" w:rsidRDefault="00C172DB" w:rsidP="006748A8">
      <w:pPr>
        <w:spacing w:after="0" w:line="240" w:lineRule="auto"/>
      </w:pPr>
      <w:r>
        <w:separator/>
      </w:r>
    </w:p>
  </w:endnote>
  <w:endnote w:type="continuationSeparator" w:id="0">
    <w:p w14:paraId="577D7335" w14:textId="77777777" w:rsidR="00C172DB" w:rsidRDefault="00C172DB" w:rsidP="00674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1383D" w14:textId="77777777" w:rsidR="006748A8" w:rsidRDefault="00674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60E86" w14:textId="77777777" w:rsidR="006748A8" w:rsidRDefault="00674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B8E7A" w14:textId="77777777" w:rsidR="006748A8" w:rsidRDefault="00674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DE93D" w14:textId="77777777" w:rsidR="00C172DB" w:rsidRDefault="00C172DB" w:rsidP="006748A8">
      <w:pPr>
        <w:spacing w:after="0" w:line="240" w:lineRule="auto"/>
      </w:pPr>
      <w:r>
        <w:separator/>
      </w:r>
    </w:p>
  </w:footnote>
  <w:footnote w:type="continuationSeparator" w:id="0">
    <w:p w14:paraId="77BB46BF" w14:textId="77777777" w:rsidR="00C172DB" w:rsidRDefault="00C172DB" w:rsidP="00674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EA2F" w14:textId="77777777" w:rsidR="006748A8" w:rsidRDefault="00000000">
    <w:pPr>
      <w:pStyle w:val="Header"/>
    </w:pPr>
    <w:r>
      <w:rPr>
        <w:noProof/>
      </w:rPr>
      <w:pict w14:anchorId="5A1B9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183735" o:spid="_x0000_s1026" type="#_x0000_t136" style="position:absolute;margin-left:0;margin-top:0;width:520.4pt;height:65.0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0D315" w14:textId="77777777" w:rsidR="006748A8" w:rsidRDefault="00000000">
    <w:pPr>
      <w:pStyle w:val="Header"/>
    </w:pPr>
    <w:r>
      <w:rPr>
        <w:noProof/>
      </w:rPr>
      <w:pict w14:anchorId="6FBD2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183736" o:spid="_x0000_s1027" type="#_x0000_t136" style="position:absolute;margin-left:0;margin-top:0;width:520.4pt;height:65.0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A70F" w14:textId="77777777" w:rsidR="006748A8" w:rsidRDefault="00000000">
    <w:pPr>
      <w:pStyle w:val="Header"/>
    </w:pPr>
    <w:r>
      <w:rPr>
        <w:noProof/>
      </w:rPr>
      <w:pict w14:anchorId="460C9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183734" o:spid="_x0000_s1025" type="#_x0000_t136" style="position:absolute;margin-left:0;margin-top:0;width:520.4pt;height:65.0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C1sDQyMLE0NTOzNDRS0lEKTi0uzszPAykwqgUAc+nu/iwAAAA="/>
  </w:docVars>
  <w:rsids>
    <w:rsidRoot w:val="008C4EA4"/>
    <w:rsid w:val="000454AF"/>
    <w:rsid w:val="000C04C0"/>
    <w:rsid w:val="00207C09"/>
    <w:rsid w:val="002947BF"/>
    <w:rsid w:val="00331B7B"/>
    <w:rsid w:val="00353FAC"/>
    <w:rsid w:val="003B21C3"/>
    <w:rsid w:val="003C6C87"/>
    <w:rsid w:val="0047460E"/>
    <w:rsid w:val="00504831"/>
    <w:rsid w:val="00510254"/>
    <w:rsid w:val="00623596"/>
    <w:rsid w:val="006748A8"/>
    <w:rsid w:val="00744293"/>
    <w:rsid w:val="00763BC9"/>
    <w:rsid w:val="007D5F3C"/>
    <w:rsid w:val="007E7F1B"/>
    <w:rsid w:val="00872DF3"/>
    <w:rsid w:val="00886B45"/>
    <w:rsid w:val="008C4EA4"/>
    <w:rsid w:val="0093567D"/>
    <w:rsid w:val="00A02CFF"/>
    <w:rsid w:val="00A16C67"/>
    <w:rsid w:val="00A5286C"/>
    <w:rsid w:val="00A827A2"/>
    <w:rsid w:val="00B451C3"/>
    <w:rsid w:val="00BB6588"/>
    <w:rsid w:val="00C172DB"/>
    <w:rsid w:val="00C84BDD"/>
    <w:rsid w:val="00C95AC4"/>
    <w:rsid w:val="00D67226"/>
    <w:rsid w:val="00DF3A9A"/>
    <w:rsid w:val="00E05BCA"/>
    <w:rsid w:val="00E077CE"/>
    <w:rsid w:val="00E105B9"/>
    <w:rsid w:val="00F45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E108E0"/>
  <w15:docId w15:val="{A407633A-31EE-4EAC-97E1-22FCE916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en-US" w:eastAsia="en-US" w:bidi="ar-SA"/>
      </w:rPr>
    </w:rPrDefault>
    <w:pPrDefault>
      <w:pPr>
        <w:spacing w:after="160" w:line="259" w:lineRule="auto"/>
      </w:pPr>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pPr>
    <w:rPr>
      <w:sz w:val="24"/>
      <w:szCs w:val="24"/>
      <w:lang w:val="en"/>
    </w:rPr>
  </w:style>
  <w:style w:type="paragraph" w:styleId="Heading1">
    <w:name w:val="heading 1"/>
    <w:basedOn w:val="Normal"/>
    <w:next w:val="Normal"/>
    <w:pPr>
      <w:keepNext/>
      <w:keepLines/>
      <w:widowControl w:val="0"/>
      <w:spacing w:before="480" w:after="0"/>
      <w:outlineLvl w:val="0"/>
    </w:pPr>
    <w:rPr>
      <w:rFonts w:ascii="Calibri" w:eastAsia="Calibri" w:hAnsi="Calibri" w:cs="Calibri"/>
      <w:b/>
      <w:color w:val="365F91"/>
      <w:sz w:val="28"/>
      <w:szCs w:val="28"/>
    </w:rPr>
  </w:style>
  <w:style w:type="paragraph" w:styleId="Heading2">
    <w:name w:val="heading 2"/>
    <w:basedOn w:val="Normal"/>
    <w:next w:val="Normal"/>
    <w:pPr>
      <w:keepNext/>
      <w:keepLines/>
      <w:widowControl w:val="0"/>
      <w:spacing w:before="200" w:after="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color w:val="4F81BD"/>
    </w:rPr>
  </w:style>
  <w:style w:type="paragraph" w:styleId="Heading4">
    <w:name w:val="heading 4"/>
    <w:basedOn w:val="Normal"/>
    <w:next w:val="Normal"/>
    <w:pPr>
      <w:keepNext/>
      <w:keepLines/>
      <w:spacing w:before="200" w:after="0"/>
      <w:outlineLvl w:val="3"/>
    </w:pPr>
    <w:rPr>
      <w:rFonts w:ascii="Calibri" w:eastAsia="Calibri" w:hAnsi="Calibri" w:cs="Calibri"/>
      <w:i/>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4F81BD"/>
    </w:rPr>
  </w:style>
  <w:style w:type="paragraph" w:styleId="Heading6">
    <w:name w:val="heading 6"/>
    <w:basedOn w:val="Normal"/>
    <w:next w:val="Normal"/>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240" w:after="240"/>
      <w:jc w:val="center"/>
    </w:pPr>
    <w:rPr>
      <w:rFonts w:ascii="Calibri" w:eastAsia="Calibri" w:hAnsi="Calibri" w:cs="Calibri"/>
      <w:b/>
      <w:color w:val="345A8A"/>
      <w:sz w:val="30"/>
      <w:szCs w:val="30"/>
    </w:rPr>
  </w:style>
  <w:style w:type="paragraph" w:styleId="Title">
    <w:name w:val="Title"/>
    <w:basedOn w:val="Normal"/>
    <w:next w:val="Normal"/>
    <w:pPr>
      <w:keepNext/>
      <w:keepLines/>
      <w:spacing w:before="480" w:after="240"/>
      <w:jc w:val="center"/>
    </w:pPr>
    <w:rPr>
      <w:rFonts w:ascii="Calibri" w:eastAsia="Calibri" w:hAnsi="Calibri" w:cs="Calibri"/>
      <w:b/>
      <w:color w:val="345A8A"/>
      <w:sz w:val="36"/>
      <w:szCs w:val="36"/>
    </w:rPr>
  </w:style>
  <w:style w:type="table" w:customStyle="1" w:styleId="TableNormal0">
    <w:name w:val="TableNormal"/>
    <w:tblPr>
      <w:tblCellMar>
        <w:top w:w="0" w:type="dxa"/>
        <w:left w:w="0" w:type="dxa"/>
        <w:bottom w:w="0" w:type="dxa"/>
        <w:right w:w="0" w:type="dxa"/>
      </w:tblCellMar>
    </w:tblPr>
  </w:style>
  <w:style w:type="table" w:customStyle="1" w:styleId="Style10">
    <w:name w:val="_Style 10"/>
    <w:basedOn w:val="TableNormal0"/>
    <w:tblPr>
      <w:tblCellMar>
        <w:left w:w="108" w:type="dxa"/>
        <w:right w:w="108" w:type="dxa"/>
      </w:tblCellMar>
    </w:tblPr>
  </w:style>
  <w:style w:type="table" w:customStyle="1" w:styleId="Style11">
    <w:name w:val="_Style 11"/>
    <w:basedOn w:val="TableNormal0"/>
    <w:tblPr>
      <w:tblCellMar>
        <w:left w:w="108" w:type="dxa"/>
        <w:right w:w="108" w:type="dxa"/>
      </w:tblCellMar>
    </w:tblPr>
  </w:style>
  <w:style w:type="character" w:styleId="Hyperlink">
    <w:name w:val="Hyperlink"/>
    <w:basedOn w:val="DefaultParagraphFont"/>
    <w:rsid w:val="007E7F1B"/>
    <w:rPr>
      <w:color w:val="0000FF" w:themeColor="hyperlink"/>
      <w:u w:val="single"/>
    </w:rPr>
  </w:style>
  <w:style w:type="paragraph" w:styleId="Header">
    <w:name w:val="header"/>
    <w:basedOn w:val="Normal"/>
    <w:link w:val="HeaderChar"/>
    <w:rsid w:val="006748A8"/>
    <w:pPr>
      <w:tabs>
        <w:tab w:val="center" w:pos="4680"/>
        <w:tab w:val="right" w:pos="9360"/>
      </w:tabs>
      <w:spacing w:after="0" w:line="240" w:lineRule="auto"/>
    </w:pPr>
  </w:style>
  <w:style w:type="character" w:customStyle="1" w:styleId="HeaderChar">
    <w:name w:val="Header Char"/>
    <w:basedOn w:val="DefaultParagraphFont"/>
    <w:link w:val="Header"/>
    <w:rsid w:val="006748A8"/>
    <w:rPr>
      <w:sz w:val="24"/>
      <w:szCs w:val="24"/>
      <w:lang w:val="en"/>
    </w:rPr>
  </w:style>
  <w:style w:type="paragraph" w:styleId="Footer">
    <w:name w:val="footer"/>
    <w:basedOn w:val="Normal"/>
    <w:link w:val="FooterChar"/>
    <w:rsid w:val="006748A8"/>
    <w:pPr>
      <w:tabs>
        <w:tab w:val="center" w:pos="4680"/>
        <w:tab w:val="right" w:pos="9360"/>
      </w:tabs>
      <w:spacing w:after="0" w:line="240" w:lineRule="auto"/>
    </w:pPr>
  </w:style>
  <w:style w:type="character" w:customStyle="1" w:styleId="FooterChar">
    <w:name w:val="Footer Char"/>
    <w:basedOn w:val="DefaultParagraphFont"/>
    <w:link w:val="Footer"/>
    <w:rsid w:val="006748A8"/>
    <w:rPr>
      <w:sz w:val="24"/>
      <w:szCs w:val="24"/>
      <w:lang w:val="en"/>
    </w:rPr>
  </w:style>
  <w:style w:type="paragraph" w:styleId="Revision">
    <w:name w:val="Revision"/>
    <w:hidden/>
    <w:uiPriority w:val="99"/>
    <w:semiHidden/>
    <w:rsid w:val="00A827A2"/>
    <w:pPr>
      <w:spacing w:after="0" w:line="240" w:lineRule="auto"/>
    </w:pPr>
    <w:rPr>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9506060">
      <w:bodyDiv w:val="1"/>
      <w:marLeft w:val="0"/>
      <w:marRight w:val="0"/>
      <w:marTop w:val="0"/>
      <w:marBottom w:val="0"/>
      <w:divBdr>
        <w:top w:val="none" w:sz="0" w:space="0" w:color="auto"/>
        <w:left w:val="none" w:sz="0" w:space="0" w:color="auto"/>
        <w:bottom w:val="none" w:sz="0" w:space="0" w:color="auto"/>
        <w:right w:val="none" w:sz="0" w:space="0" w:color="auto"/>
      </w:divBdr>
      <w:divsChild>
        <w:div w:id="1868134190">
          <w:marLeft w:val="0"/>
          <w:marRight w:val="0"/>
          <w:marTop w:val="0"/>
          <w:marBottom w:val="0"/>
          <w:divBdr>
            <w:top w:val="none" w:sz="0" w:space="0" w:color="auto"/>
            <w:left w:val="none" w:sz="0" w:space="0" w:color="auto"/>
            <w:bottom w:val="none" w:sz="0" w:space="0" w:color="auto"/>
            <w:right w:val="none" w:sz="0" w:space="0" w:color="auto"/>
          </w:divBdr>
        </w:div>
        <w:div w:id="1472745189">
          <w:marLeft w:val="0"/>
          <w:marRight w:val="0"/>
          <w:marTop w:val="0"/>
          <w:marBottom w:val="0"/>
          <w:divBdr>
            <w:top w:val="none" w:sz="0" w:space="0" w:color="auto"/>
            <w:left w:val="none" w:sz="0" w:space="0" w:color="auto"/>
            <w:bottom w:val="none" w:sz="0" w:space="0" w:color="auto"/>
            <w:right w:val="none" w:sz="0" w:space="0" w:color="auto"/>
          </w:divBdr>
        </w:div>
      </w:divsChild>
    </w:div>
    <w:div w:id="1665627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Pages>
  <Words>6180</Words>
  <Characters>36529</Characters>
  <Application>Microsoft Office Word</Application>
  <DocSecurity>0</DocSecurity>
  <Lines>1660</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Editor-75</dc:creator>
  <cp:lastModifiedBy>Editor Acc 101</cp:lastModifiedBy>
  <cp:revision>28</cp:revision>
  <dcterms:created xsi:type="dcterms:W3CDTF">2025-08-02T04:28:00Z</dcterms:created>
  <dcterms:modified xsi:type="dcterms:W3CDTF">2025-08-16T07:17:00Z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38E8E977E67B3F3A38B18C685BCE563F_33</vt:lpwstr>
  </property>
  <property fmtid="{D5CDD505-2E9C-101B-9397-08002B2CF9AE}" pid="3" name="KSOProductBuildVer">
    <vt:lpwstr>3081-11.35.00</vt:lpwstr>
  </property>
  <property fmtid="{D5CDD505-2E9C-101B-9397-08002B2CF9AE}" pid="4" name="GrammarlyDocumentId">
    <vt:lpwstr>d54cfdd1-3e91-490b-ba0a-7ef99d9145df</vt:lpwstr>
  </property>
</Properties>
</file>