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Ex5.xml" ContentType="application/vnd.ms-office.chartex+xml"/>
  <Override PartName="/word/charts/style5.xml" ContentType="application/vnd.ms-office.chartstyle+xml"/>
  <Override PartName="/word/charts/colors5.xml" ContentType="application/vnd.ms-office.chartcolorstyle+xml"/>
  <Override PartName="/word/charts/chartEx6.xml" ContentType="application/vnd.ms-office.chartex+xml"/>
  <Override PartName="/word/charts/style6.xml" ContentType="application/vnd.ms-office.chartstyle+xml"/>
  <Override PartName="/word/charts/colors6.xml" ContentType="application/vnd.ms-office.chartcolorstyle+xml"/>
  <Override PartName="/word/charts/chartEx7.xml" ContentType="application/vnd.ms-office.chartex+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8074" w14:textId="77777777" w:rsidR="00F82C44" w:rsidRPr="003A1949" w:rsidRDefault="00F82C44" w:rsidP="00293419">
      <w:pPr>
        <w:jc w:val="right"/>
        <w:rPr>
          <w:rFonts w:ascii="Arial" w:hAnsi="Arial" w:cs="Arial"/>
        </w:rPr>
      </w:pPr>
    </w:p>
    <w:p w14:paraId="5D143E2C" w14:textId="1449CDFC" w:rsidR="008E73AA" w:rsidRPr="003A1949" w:rsidRDefault="00242CE5" w:rsidP="004E1C10">
      <w:pPr>
        <w:rPr>
          <w:rFonts w:ascii="Arial" w:hAnsi="Arial" w:cs="Arial"/>
          <w:b/>
          <w:bCs/>
        </w:rPr>
      </w:pPr>
      <w:r w:rsidRPr="003A1949">
        <w:rPr>
          <w:rFonts w:ascii="Arial" w:hAnsi="Arial" w:cs="Arial"/>
          <w:b/>
          <w:bCs/>
        </w:rPr>
        <w:t>Serum Vitamin B12 and Folate Status in Gestational Diabetes Mellitus: A Comparative Assessment</w:t>
      </w:r>
    </w:p>
    <w:p w14:paraId="067F3947" w14:textId="77777777" w:rsidR="00F50583" w:rsidRPr="003A1949" w:rsidRDefault="00F50583" w:rsidP="00E00976">
      <w:pPr>
        <w:jc w:val="center"/>
        <w:rPr>
          <w:rFonts w:ascii="Arial" w:hAnsi="Arial" w:cs="Arial"/>
        </w:rPr>
      </w:pPr>
    </w:p>
    <w:p w14:paraId="26661733" w14:textId="01DEA1D8" w:rsidR="008E73AA" w:rsidRDefault="006C2EFF" w:rsidP="003C03A2">
      <w:pPr>
        <w:jc w:val="both"/>
        <w:rPr>
          <w:rFonts w:ascii="Arial" w:hAnsi="Arial" w:cs="Arial"/>
          <w:b/>
          <w:bCs/>
        </w:rPr>
      </w:pPr>
      <w:r w:rsidRPr="003A1949">
        <w:rPr>
          <w:rFonts w:ascii="Arial" w:hAnsi="Arial" w:cs="Arial"/>
          <w:b/>
          <w:bCs/>
        </w:rPr>
        <w:t>A</w:t>
      </w:r>
      <w:r w:rsidR="003A1949">
        <w:rPr>
          <w:rFonts w:ascii="Arial" w:hAnsi="Arial" w:cs="Arial"/>
          <w:b/>
          <w:bCs/>
        </w:rPr>
        <w:t>BSTRACT</w:t>
      </w:r>
    </w:p>
    <w:p w14:paraId="662E7E1B" w14:textId="77777777" w:rsidR="00CA5AAF" w:rsidRDefault="00CA5AAF" w:rsidP="00CA5AAF">
      <w:pPr>
        <w:jc w:val="both"/>
        <w:rPr>
          <w:rFonts w:ascii="Arial" w:hAnsi="Arial" w:cs="Arial"/>
          <w:sz w:val="20"/>
          <w:szCs w:val="20"/>
        </w:rPr>
      </w:pPr>
      <w:r w:rsidRPr="00CA5AAF">
        <w:rPr>
          <w:rFonts w:ascii="Arial" w:hAnsi="Arial" w:cs="Arial"/>
          <w:sz w:val="20"/>
          <w:szCs w:val="20"/>
        </w:rPr>
        <w:t>Aim:</w:t>
      </w:r>
      <w:r w:rsidRPr="00CA5AAF">
        <w:rPr>
          <w:rFonts w:ascii="Arial" w:hAnsi="Arial" w:cs="Arial"/>
          <w:sz w:val="20"/>
          <w:szCs w:val="20"/>
        </w:rPr>
        <w:br/>
        <w:t>Gestational Diabetes Mellitus (GDM) is a common metabolic disorder of pregnancy associated with adverse maternal and neonatal outcomes. Micronutrients such as vitamin B12 and folate may influence glucose regulation and insulin response; however, their role in GDM remains unclear, particularly in the Indian context. This study aimed to assess the association between serum vitamin B12 and folate concentrations with GDM, while also comparing demographic, biochemical, and clinical profiles of affected versus unaffected women.</w:t>
      </w:r>
    </w:p>
    <w:p w14:paraId="09F467FA" w14:textId="4A9A6550" w:rsidR="00C11990" w:rsidRDefault="00C11990" w:rsidP="00CA5AAF">
      <w:pPr>
        <w:jc w:val="both"/>
        <w:rPr>
          <w:rFonts w:ascii="Arial" w:hAnsi="Arial" w:cs="Arial"/>
          <w:sz w:val="20"/>
          <w:szCs w:val="20"/>
        </w:rPr>
      </w:pPr>
      <w:r>
        <w:rPr>
          <w:rFonts w:ascii="Arial" w:hAnsi="Arial" w:cs="Arial"/>
          <w:sz w:val="20"/>
          <w:szCs w:val="20"/>
        </w:rPr>
        <w:t>Type of study: This study is original Research work</w:t>
      </w:r>
    </w:p>
    <w:p w14:paraId="40BBAABD" w14:textId="7401051F" w:rsidR="00CA5AAF" w:rsidRPr="00CA5AAF" w:rsidRDefault="00CA5AAF" w:rsidP="00CA5AAF">
      <w:pPr>
        <w:jc w:val="both"/>
        <w:rPr>
          <w:rFonts w:ascii="Arial" w:hAnsi="Arial" w:cs="Arial"/>
          <w:sz w:val="20"/>
          <w:szCs w:val="20"/>
        </w:rPr>
      </w:pPr>
      <w:r w:rsidRPr="00CA5AAF">
        <w:rPr>
          <w:rFonts w:ascii="Arial" w:hAnsi="Arial" w:cs="Arial"/>
          <w:sz w:val="20"/>
          <w:szCs w:val="20"/>
        </w:rPr>
        <w:t>Methods:</w:t>
      </w:r>
      <w:r w:rsidRPr="00CA5AAF">
        <w:rPr>
          <w:rFonts w:ascii="Arial" w:hAnsi="Arial" w:cs="Arial"/>
          <w:sz w:val="20"/>
          <w:szCs w:val="20"/>
        </w:rPr>
        <w:br/>
        <w:t>A total of 200 pregnant participants were enrolled, including 100 with GDM and 100 without. Data on demographic characteristics, body mass index (BMI), blood pressure, hemoglobin, HbA1c, oral glucose tolerance test (OGTT) results, and serum vitamin B12 and folate levels were collected. Statistical analysis was performed using SPSS version 21.0, applying independent t-tests and chi-square tests to evaluate group differences. Boxplots were generated to illustrate variable distributions.</w:t>
      </w:r>
    </w:p>
    <w:p w14:paraId="7A91EC19" w14:textId="77777777" w:rsidR="00CA5AAF" w:rsidRPr="00CA5AAF" w:rsidRDefault="00CA5AAF" w:rsidP="00CA5AAF">
      <w:pPr>
        <w:jc w:val="both"/>
        <w:rPr>
          <w:rFonts w:ascii="Arial" w:hAnsi="Arial" w:cs="Arial"/>
          <w:sz w:val="20"/>
          <w:szCs w:val="20"/>
        </w:rPr>
      </w:pPr>
      <w:r w:rsidRPr="00CA5AAF">
        <w:rPr>
          <w:rFonts w:ascii="Arial" w:hAnsi="Arial" w:cs="Arial"/>
          <w:sz w:val="20"/>
          <w:szCs w:val="20"/>
        </w:rPr>
        <w:t>Results:</w:t>
      </w:r>
      <w:r w:rsidRPr="00CA5AAF">
        <w:rPr>
          <w:rFonts w:ascii="Arial" w:hAnsi="Arial" w:cs="Arial"/>
          <w:sz w:val="20"/>
          <w:szCs w:val="20"/>
        </w:rPr>
        <w:br/>
        <w:t>No significant differences were observed in folate status between the groups. However, chi-square analysis revealed significant associations between GDM and categorical vitamin B12 levels, history of cesarean delivery, and antenatal supplementation practices.</w:t>
      </w:r>
    </w:p>
    <w:p w14:paraId="4B1B7A4F" w14:textId="77777777" w:rsidR="00CA5AAF" w:rsidRPr="00CA5AAF" w:rsidRDefault="00CA5AAF" w:rsidP="00CA5AAF">
      <w:pPr>
        <w:jc w:val="both"/>
        <w:rPr>
          <w:rFonts w:ascii="Arial" w:hAnsi="Arial" w:cs="Arial"/>
          <w:sz w:val="20"/>
          <w:szCs w:val="20"/>
        </w:rPr>
      </w:pPr>
      <w:r w:rsidRPr="00CA5AAF">
        <w:rPr>
          <w:rFonts w:ascii="Arial" w:hAnsi="Arial" w:cs="Arial"/>
          <w:sz w:val="20"/>
          <w:szCs w:val="20"/>
        </w:rPr>
        <w:t>Conclusion:</w:t>
      </w:r>
      <w:r w:rsidRPr="00CA5AAF">
        <w:rPr>
          <w:rFonts w:ascii="Arial" w:hAnsi="Arial" w:cs="Arial"/>
          <w:sz w:val="20"/>
          <w:szCs w:val="20"/>
        </w:rPr>
        <w:br/>
        <w:t>The findings highlight the importance of monitoring vitamin B12 status during pregnancy and suggest that tailored nutritional interventions may help reduce the risk of developing GDM. Larger longitudinal studies are recommended to establish causal relationships and inform preventive strategies.</w:t>
      </w:r>
    </w:p>
    <w:p w14:paraId="45966070" w14:textId="77777777" w:rsidR="00CA5AAF" w:rsidRPr="003A1949" w:rsidRDefault="00CA5AAF" w:rsidP="003C03A2">
      <w:pPr>
        <w:jc w:val="both"/>
        <w:rPr>
          <w:rFonts w:ascii="Arial" w:hAnsi="Arial" w:cs="Arial"/>
          <w:b/>
          <w:bCs/>
        </w:rPr>
      </w:pPr>
    </w:p>
    <w:p w14:paraId="14A39A96" w14:textId="2B4FE1BD" w:rsidR="004005B9" w:rsidRPr="003A1949" w:rsidRDefault="004005B9" w:rsidP="002B644A">
      <w:pPr>
        <w:jc w:val="both"/>
        <w:rPr>
          <w:rFonts w:ascii="Arial" w:hAnsi="Arial" w:cs="Arial"/>
        </w:rPr>
      </w:pPr>
      <w:r w:rsidRPr="003A1949">
        <w:rPr>
          <w:rFonts w:ascii="Arial" w:hAnsi="Arial" w:cs="Arial"/>
          <w:b/>
          <w:bCs/>
        </w:rPr>
        <w:t>Keywords:</w:t>
      </w:r>
      <w:r w:rsidRPr="003A1949">
        <w:rPr>
          <w:rFonts w:ascii="Arial" w:hAnsi="Arial" w:cs="Arial"/>
        </w:rPr>
        <w:t xml:space="preserve"> </w:t>
      </w:r>
      <w:r w:rsidRPr="003A1949">
        <w:rPr>
          <w:rFonts w:ascii="Arial" w:hAnsi="Arial" w:cs="Arial"/>
          <w:i/>
          <w:iCs/>
        </w:rPr>
        <w:t>Gestational Diabetes Mellitus, Vitamin B12, Folate, Pregnancy, Nutritional Status, India, GDM Risk Factors.</w:t>
      </w:r>
    </w:p>
    <w:p w14:paraId="796FB8E5" w14:textId="77777777" w:rsidR="004005B9" w:rsidRPr="003A1949" w:rsidRDefault="004005B9" w:rsidP="002B644A">
      <w:pPr>
        <w:jc w:val="both"/>
        <w:rPr>
          <w:rFonts w:ascii="Arial" w:hAnsi="Arial" w:cs="Arial"/>
        </w:rPr>
      </w:pPr>
    </w:p>
    <w:p w14:paraId="6A918C0E" w14:textId="77777777" w:rsidR="002B644A" w:rsidRPr="003A1949" w:rsidRDefault="002B644A" w:rsidP="003C03A2">
      <w:pPr>
        <w:jc w:val="both"/>
        <w:rPr>
          <w:rFonts w:ascii="Arial" w:hAnsi="Arial" w:cs="Arial"/>
        </w:rPr>
      </w:pPr>
    </w:p>
    <w:p w14:paraId="3594CAE8" w14:textId="2C9D1038" w:rsidR="008E73AA" w:rsidRPr="003A1949" w:rsidRDefault="003E4A46" w:rsidP="0092677A">
      <w:pPr>
        <w:pStyle w:val="ListParagraph"/>
        <w:numPr>
          <w:ilvl w:val="0"/>
          <w:numId w:val="20"/>
        </w:numPr>
        <w:jc w:val="both"/>
        <w:rPr>
          <w:rFonts w:ascii="Arial" w:hAnsi="Arial" w:cs="Arial"/>
          <w:b/>
          <w:bCs/>
        </w:rPr>
      </w:pPr>
      <w:r>
        <w:rPr>
          <w:rFonts w:ascii="Arial" w:hAnsi="Arial" w:cs="Arial"/>
          <w:b/>
          <w:bCs/>
        </w:rPr>
        <w:t>INTRODUCTION</w:t>
      </w:r>
    </w:p>
    <w:p w14:paraId="775D6C71" w14:textId="05906D57" w:rsidR="00F21606" w:rsidRPr="003E4A46" w:rsidRDefault="00094C25" w:rsidP="003E4A46">
      <w:pPr>
        <w:pStyle w:val="NormalWeb"/>
        <w:jc w:val="both"/>
        <w:rPr>
          <w:rFonts w:ascii="Arial" w:hAnsi="Arial" w:cs="Arial"/>
          <w:sz w:val="20"/>
          <w:szCs w:val="20"/>
        </w:rPr>
      </w:pPr>
      <w:r w:rsidRPr="003E4A46">
        <w:rPr>
          <w:rFonts w:ascii="Arial" w:hAnsi="Arial" w:cs="Arial"/>
          <w:sz w:val="20"/>
          <w:szCs w:val="20"/>
        </w:rPr>
        <w:t xml:space="preserve">Gestational diabetes mellitus (GDM) is a common metabolic condition of pregnancy, defined by glucose intolerance first identified during gestation. It poses several short- and long-term health risks for both mother and child. Recently, growing interest has focused on the contribution of micronutrients, especially vitamin B12 and folate, to the development of GDM. </w:t>
      </w:r>
      <w:r w:rsidR="00CA2135" w:rsidRPr="003E4A46">
        <w:rPr>
          <w:rFonts w:ascii="Arial" w:hAnsi="Arial" w:cs="Arial"/>
          <w:sz w:val="20"/>
          <w:szCs w:val="20"/>
        </w:rPr>
        <w:t xml:space="preserve">Research suggests that disturbances in the balance of these </w:t>
      </w:r>
      <w:r w:rsidR="00CA2135" w:rsidRPr="003E4A46">
        <w:rPr>
          <w:rFonts w:ascii="Arial" w:hAnsi="Arial" w:cs="Arial"/>
          <w:sz w:val="20"/>
          <w:szCs w:val="20"/>
        </w:rPr>
        <w:lastRenderedPageBreak/>
        <w:t>nutrients—especially when folate levels are elevated in the presence of vitamin B12 deficiency—may contribute to the development of GDM (Li et al., 2022). Such an imbalance can disrupt one-carbon metabolism, which plays a central role in methylation reactions. Alterations in this pathway may lead to increased homocysteine concentrations, impaired DNA methylation (Jiang et al., 2020), oxidative stress, and insulin resistance, all of which can precipitate glucose intolerance during pregnancy (</w:t>
      </w:r>
      <w:proofErr w:type="spellStart"/>
      <w:r w:rsidR="00CA2135" w:rsidRPr="003E4A46">
        <w:rPr>
          <w:rFonts w:ascii="Arial" w:hAnsi="Arial" w:cs="Arial"/>
          <w:sz w:val="20"/>
          <w:szCs w:val="20"/>
        </w:rPr>
        <w:t>Radzicka</w:t>
      </w:r>
      <w:proofErr w:type="spellEnd"/>
      <w:r w:rsidR="00CA2135" w:rsidRPr="003E4A46">
        <w:rPr>
          <w:rFonts w:ascii="Arial" w:hAnsi="Arial" w:cs="Arial"/>
          <w:sz w:val="20"/>
          <w:szCs w:val="20"/>
        </w:rPr>
        <w:t xml:space="preserve"> et al., 2019</w:t>
      </w:r>
      <w:r w:rsidR="00F21606" w:rsidRPr="003E4A46">
        <w:rPr>
          <w:rFonts w:ascii="Arial" w:hAnsi="Arial" w:cs="Arial"/>
          <w:sz w:val="20"/>
          <w:szCs w:val="20"/>
        </w:rPr>
        <w:t>). Maintaining</w:t>
      </w:r>
      <w:r w:rsidR="00CA2135" w:rsidRPr="003E4A46">
        <w:rPr>
          <w:rFonts w:ascii="Arial" w:hAnsi="Arial" w:cs="Arial"/>
          <w:sz w:val="20"/>
          <w:szCs w:val="20"/>
        </w:rPr>
        <w:t xml:space="preserve"> an appropriate balance between vitamin B12 and folate is therefore considered important for minimizing the risk of GDM (Maher &amp; </w:t>
      </w:r>
      <w:proofErr w:type="spellStart"/>
      <w:r w:rsidR="00CA2135" w:rsidRPr="003E4A46">
        <w:rPr>
          <w:rFonts w:ascii="Arial" w:hAnsi="Arial" w:cs="Arial"/>
          <w:sz w:val="20"/>
          <w:szCs w:val="20"/>
        </w:rPr>
        <w:t>Sobczynska-Malefora</w:t>
      </w:r>
      <w:proofErr w:type="spellEnd"/>
      <w:r w:rsidR="00CA2135" w:rsidRPr="003E4A46">
        <w:rPr>
          <w:rFonts w:ascii="Arial" w:hAnsi="Arial" w:cs="Arial"/>
          <w:sz w:val="20"/>
          <w:szCs w:val="20"/>
        </w:rPr>
        <w:t xml:space="preserve">, 2021). </w:t>
      </w:r>
      <w:r w:rsidRPr="003E4A46">
        <w:rPr>
          <w:rFonts w:ascii="Arial" w:hAnsi="Arial" w:cs="Arial"/>
          <w:sz w:val="20"/>
          <w:szCs w:val="20"/>
        </w:rPr>
        <w:t xml:space="preserve">Evidence from a meta-analysis by He et al. (2022) has highlighted a significant association between low vitamin B12 levels and increased GDM risk. </w:t>
      </w:r>
      <w:r w:rsidR="00CA2135" w:rsidRPr="003E4A46">
        <w:rPr>
          <w:rFonts w:ascii="Arial" w:hAnsi="Arial" w:cs="Arial"/>
          <w:sz w:val="20"/>
          <w:szCs w:val="20"/>
        </w:rPr>
        <w:t xml:space="preserve">Similarly, </w:t>
      </w:r>
      <w:proofErr w:type="spellStart"/>
      <w:r w:rsidR="00CA2135" w:rsidRPr="003E4A46">
        <w:rPr>
          <w:rFonts w:ascii="Arial" w:hAnsi="Arial" w:cs="Arial"/>
          <w:sz w:val="20"/>
          <w:szCs w:val="20"/>
        </w:rPr>
        <w:t>Kouroglou</w:t>
      </w:r>
      <w:proofErr w:type="spellEnd"/>
      <w:r w:rsidR="00CA2135" w:rsidRPr="003E4A46">
        <w:rPr>
          <w:rFonts w:ascii="Arial" w:hAnsi="Arial" w:cs="Arial"/>
          <w:sz w:val="20"/>
          <w:szCs w:val="20"/>
        </w:rPr>
        <w:t xml:space="preserve"> et al. </w:t>
      </w:r>
      <w:r w:rsidR="00CF2358">
        <w:rPr>
          <w:rFonts w:ascii="Arial" w:hAnsi="Arial" w:cs="Arial"/>
          <w:sz w:val="20"/>
          <w:szCs w:val="20"/>
        </w:rPr>
        <w:t>(</w:t>
      </w:r>
      <w:r w:rsidR="00CA2135" w:rsidRPr="003E4A46">
        <w:rPr>
          <w:rFonts w:ascii="Arial" w:hAnsi="Arial" w:cs="Arial"/>
          <w:sz w:val="20"/>
          <w:szCs w:val="20"/>
        </w:rPr>
        <w:t>2019) demonstrated that B12 deficiency may predispose pregnant women to impaired glucose regulation, suggesting a protective effect of adequate B12 intake. Interestingly, Yang et al. (2022) reported a dose-response relationship in which higher vitamin B12 concentrations were also associated with GDM, indicating that the balance between B12 and folate rather than absolute levels alone might be critical.</w:t>
      </w:r>
      <w:r w:rsidRPr="003E4A46">
        <w:rPr>
          <w:rFonts w:ascii="Arial" w:eastAsiaTheme="minorHAnsi" w:hAnsi="Arial" w:cs="Arial"/>
          <w:sz w:val="20"/>
          <w:szCs w:val="20"/>
        </w:rPr>
        <w:t xml:space="preserve"> </w:t>
      </w:r>
      <w:r w:rsidR="00D0307A" w:rsidRPr="00D0307A">
        <w:rPr>
          <w:rFonts w:ascii="Arial" w:eastAsiaTheme="minorHAnsi" w:hAnsi="Arial" w:cs="Arial"/>
          <w:sz w:val="20"/>
          <w:szCs w:val="20"/>
        </w:rPr>
        <w:t xml:space="preserve">Folate plays a crucial role in fetal development and in the prevention of neural tube defects; however, excessive folic acid intake, particularly in the context of vitamin B12 deficiency, may adversely affect maternal metabolic health. Higher maternal folate levels coupled with vitamin B12 insufficiency have been associated with an increased risk of GDM (Lai et al., 2018). Supporting this, Xie et al. (2019) reported that elevated folate status could worsen the metabolic consequences of low B12, while Paul and </w:t>
      </w:r>
      <w:proofErr w:type="spellStart"/>
      <w:r w:rsidR="00D0307A" w:rsidRPr="00D0307A">
        <w:rPr>
          <w:rFonts w:ascii="Arial" w:eastAsiaTheme="minorHAnsi" w:hAnsi="Arial" w:cs="Arial"/>
          <w:sz w:val="20"/>
          <w:szCs w:val="20"/>
        </w:rPr>
        <w:t>Selhub</w:t>
      </w:r>
      <w:proofErr w:type="spellEnd"/>
      <w:r w:rsidR="00D0307A" w:rsidRPr="00D0307A">
        <w:rPr>
          <w:rFonts w:ascii="Arial" w:eastAsiaTheme="minorHAnsi" w:hAnsi="Arial" w:cs="Arial"/>
          <w:sz w:val="20"/>
          <w:szCs w:val="20"/>
        </w:rPr>
        <w:t xml:space="preserve"> (2017) emphasized the importance of maintaining a balanced folate–B12 profile to reduce the likelihood of adverse pregnancy outcomes, including GDM.</w:t>
      </w:r>
      <w:r w:rsidR="00D0307A">
        <w:rPr>
          <w:rFonts w:ascii="Arial" w:eastAsiaTheme="minorHAnsi" w:hAnsi="Arial" w:cs="Arial"/>
          <w:sz w:val="20"/>
          <w:szCs w:val="20"/>
        </w:rPr>
        <w:t xml:space="preserve"> </w:t>
      </w:r>
      <w:r w:rsidR="00CA2135" w:rsidRPr="003E4A46">
        <w:rPr>
          <w:rFonts w:ascii="Arial" w:hAnsi="Arial" w:cs="Arial"/>
          <w:sz w:val="20"/>
          <w:szCs w:val="20"/>
        </w:rPr>
        <w:t>The interplay of these vitamins also influences homocysteine metabolism, and elevated homocysteine—often a marker of B12 deficiency—has been correlated with obstetric complications, including GDM (Meena et al., 2023). Moreover, increased homocysteine concentrations are linked with placental dysfunction, which may further aggravate GDM risk (Tinelli et al., 2019</w:t>
      </w:r>
      <w:r w:rsidR="00F21606" w:rsidRPr="003E4A46">
        <w:rPr>
          <w:rFonts w:ascii="Arial" w:hAnsi="Arial" w:cs="Arial"/>
          <w:sz w:val="20"/>
          <w:szCs w:val="20"/>
        </w:rPr>
        <w:t>).</w:t>
      </w:r>
      <w:r w:rsidRPr="003E4A46">
        <w:rPr>
          <w:rFonts w:ascii="Arial" w:hAnsi="Arial" w:cs="Arial"/>
          <w:sz w:val="20"/>
          <w:szCs w:val="20"/>
        </w:rPr>
        <w:t xml:space="preserve"> Beyond nutritional influences, genetic variations involved in one-carbon metabolism, such as MTHFR polymorphisms, may alter the association between these micronutrients and the risk of GDM. </w:t>
      </w:r>
      <w:r w:rsidR="00CA2135" w:rsidRPr="003E4A46">
        <w:rPr>
          <w:rFonts w:ascii="Arial" w:hAnsi="Arial" w:cs="Arial"/>
          <w:sz w:val="20"/>
          <w:szCs w:val="20"/>
        </w:rPr>
        <w:t>Li et al. (2022) emphasized that such genetic determinants may necessitate tailored nutritional interventions for women predisposed to GDM.</w:t>
      </w:r>
      <w:r w:rsidR="00252D33" w:rsidRPr="003E4A46">
        <w:rPr>
          <w:rFonts w:ascii="Arial" w:hAnsi="Arial" w:cs="Arial"/>
          <w:sz w:val="20"/>
          <w:szCs w:val="20"/>
        </w:rPr>
        <w:t xml:space="preserve"> Considering the critical involvement of vitamin B12 and folate in metabolic processes and early gestational outcomes, the present study aimed to evaluate their serum concentrations in women diagnosed with GDM compared to those without the condition.</w:t>
      </w:r>
      <w:r w:rsidR="00CA2135" w:rsidRPr="003E4A46">
        <w:rPr>
          <w:rFonts w:ascii="Arial" w:hAnsi="Arial" w:cs="Arial"/>
          <w:sz w:val="20"/>
          <w:szCs w:val="20"/>
        </w:rPr>
        <w:t xml:space="preserve"> Furthermore, by examining demographic, physiological, and biochemical parameters, the study aims to generate evidence relevant to prenatal nutritional practices and preventive measures in the Indian population, where the burden of GDM is increasing.</w:t>
      </w:r>
    </w:p>
    <w:p w14:paraId="6DCC3839" w14:textId="6664BBC8" w:rsidR="008E73AA" w:rsidRPr="003A1949" w:rsidRDefault="008E73AA" w:rsidP="003C03A2">
      <w:pPr>
        <w:jc w:val="both"/>
        <w:rPr>
          <w:rFonts w:ascii="Arial" w:hAnsi="Arial" w:cs="Arial"/>
          <w:b/>
          <w:bCs/>
        </w:rPr>
      </w:pPr>
      <w:r w:rsidRPr="003A1949">
        <w:rPr>
          <w:rFonts w:ascii="Arial" w:hAnsi="Arial" w:cs="Arial"/>
          <w:b/>
          <w:bCs/>
        </w:rPr>
        <w:t xml:space="preserve">2. </w:t>
      </w:r>
      <w:r w:rsidR="00AA4361">
        <w:rPr>
          <w:rFonts w:ascii="Arial" w:hAnsi="Arial" w:cs="Arial"/>
          <w:b/>
          <w:bCs/>
        </w:rPr>
        <w:t>PATIENTS</w:t>
      </w:r>
      <w:r w:rsidR="003E4A46">
        <w:rPr>
          <w:rFonts w:ascii="Arial" w:hAnsi="Arial" w:cs="Arial"/>
          <w:b/>
          <w:bCs/>
        </w:rPr>
        <w:t xml:space="preserve"> AND METHOD</w:t>
      </w:r>
    </w:p>
    <w:p w14:paraId="7560F5D5" w14:textId="5CFB1968" w:rsidR="00AA4361" w:rsidRPr="00AA4361" w:rsidRDefault="00AA4361" w:rsidP="00AA4361">
      <w:pPr>
        <w:jc w:val="both"/>
        <w:rPr>
          <w:rFonts w:ascii="Arial" w:hAnsi="Arial" w:cs="Arial"/>
          <w:sz w:val="20"/>
          <w:szCs w:val="20"/>
        </w:rPr>
      </w:pPr>
      <w:r w:rsidRPr="00AA4361">
        <w:rPr>
          <w:rFonts w:ascii="Arial" w:hAnsi="Arial" w:cs="Arial"/>
          <w:sz w:val="20"/>
          <w:szCs w:val="20"/>
        </w:rPr>
        <w:t>This hospital-based cross-sectional study was conducted from July 2022 to May 2024 among 200 pregnant women (100 with gestational diabetes mellitus [GDM] and 100 controls) attending antenatal outpatient departments of LNJP Hospital, Kurukshetra, and Civil Hospital, Karnal, with ethical approval obtained (DBT/2022/5008). Eligible participants were women with singleton pregnancies at 24–28 weeks gestation, with GDM diagnosed using a 75 g oral glucose tolerance test (OGTT) based on IADPSG criteria, while those with pre-existing diabetes, thyroid disorders, chronic illnesses, or non-antenatal use of vitamin B12/folic acid supplements were excluded. Baseline data, including pre-pregnancy BMI, hemoglobin, blood pressure, and folic acid supplementation details, were collected through structured interviews, and written informed consent was obtained. Venous blood samples were collected after overnight fasting, processed, and stored at −20°C for analysis, with serum vitamin B12 and folate levels measured via chemiluminescence immunoassay (CLIA). Nutrient status was categorized as deficient, insufficient, or sufficient using established international cut-offs (O’Leary &amp; Samman, 2010; WHO, 2015) to enable reliable assessment of maternal micronutrient status.</w:t>
      </w:r>
    </w:p>
    <w:p w14:paraId="24768526" w14:textId="77777777" w:rsidR="0085297E" w:rsidRDefault="0085297E" w:rsidP="00A90548">
      <w:pPr>
        <w:rPr>
          <w:rFonts w:ascii="Arial" w:hAnsi="Arial" w:cs="Arial"/>
          <w:b/>
          <w:bCs/>
        </w:rPr>
      </w:pPr>
    </w:p>
    <w:p w14:paraId="0BB28F6A" w14:textId="77777777" w:rsidR="0085297E" w:rsidRDefault="0085297E" w:rsidP="00A90548">
      <w:pPr>
        <w:rPr>
          <w:rFonts w:ascii="Arial" w:hAnsi="Arial" w:cs="Arial"/>
          <w:b/>
          <w:bCs/>
        </w:rPr>
      </w:pPr>
    </w:p>
    <w:p w14:paraId="65138D41" w14:textId="77777777" w:rsidR="0085297E" w:rsidRDefault="0085297E" w:rsidP="00A90548">
      <w:pPr>
        <w:rPr>
          <w:rFonts w:ascii="Arial" w:hAnsi="Arial" w:cs="Arial"/>
          <w:b/>
          <w:bCs/>
        </w:rPr>
      </w:pPr>
    </w:p>
    <w:p w14:paraId="2DD3E248" w14:textId="5C347FB1" w:rsidR="00A90548" w:rsidRPr="008A7CEC" w:rsidRDefault="006562E5" w:rsidP="00A90548">
      <w:pPr>
        <w:rPr>
          <w:rFonts w:ascii="Arial" w:hAnsi="Arial" w:cs="Arial"/>
          <w:b/>
          <w:bCs/>
        </w:rPr>
      </w:pPr>
      <w:r w:rsidRPr="008A7CEC">
        <w:rPr>
          <w:rFonts w:ascii="Arial" w:hAnsi="Arial" w:cs="Arial"/>
          <w:b/>
          <w:bCs/>
        </w:rPr>
        <w:lastRenderedPageBreak/>
        <w:t>3.</w:t>
      </w:r>
      <w:r w:rsidR="008E73AA" w:rsidRPr="008A7CEC">
        <w:rPr>
          <w:rFonts w:ascii="Arial" w:hAnsi="Arial" w:cs="Arial"/>
          <w:b/>
          <w:bCs/>
        </w:rPr>
        <w:t>Statistical Analysis</w:t>
      </w:r>
    </w:p>
    <w:p w14:paraId="2B0B3441" w14:textId="08A940CC" w:rsidR="008A7CEC" w:rsidRPr="008A7CEC" w:rsidRDefault="0085297E" w:rsidP="00C37E73">
      <w:pPr>
        <w:jc w:val="both"/>
        <w:rPr>
          <w:rFonts w:ascii="Arial" w:hAnsi="Arial" w:cs="Arial"/>
          <w:sz w:val="20"/>
          <w:szCs w:val="20"/>
        </w:rPr>
      </w:pPr>
      <w:r w:rsidRPr="0085297E">
        <w:rPr>
          <w:rFonts w:ascii="Arial" w:hAnsi="Arial" w:cs="Arial"/>
          <w:sz w:val="20"/>
          <w:szCs w:val="20"/>
        </w:rPr>
        <w:t>Statistical analyses were performed to compare demographic, clinical, and biochemical characteristics between GDM and non-GDM participants. Descriptive statistics were used to summarize baseline characteristics, with continuous variables (age, BMI, hemoglobin, blood pressure, HbA1c, OGTT values, serum vitamin B12 and folate levels) expressed as mean ± SD, and categorical variables (vitamin B12 and folate status, mode of delivery, supplementation practices) presented as frequencies and percentages. Independent sample t-tests were used for continuous variables, while chi-square tests were applied to categorical variables, with a p-value &lt;0.05 considered statistically significant. Boxplots were also generated to visualize the distribution of key continuous variables across groups.</w:t>
      </w:r>
    </w:p>
    <w:p w14:paraId="3348B61A" w14:textId="12F23522" w:rsidR="00F45D93" w:rsidRPr="003A1949" w:rsidRDefault="00A90548" w:rsidP="00F45D93">
      <w:pPr>
        <w:rPr>
          <w:rFonts w:ascii="Arial" w:hAnsi="Arial" w:cs="Arial"/>
          <w:b/>
          <w:bCs/>
        </w:rPr>
      </w:pPr>
      <w:r w:rsidRPr="003A1949">
        <w:rPr>
          <w:rFonts w:ascii="Arial" w:hAnsi="Arial" w:cs="Arial"/>
          <w:b/>
          <w:bCs/>
        </w:rPr>
        <w:t>4. R</w:t>
      </w:r>
      <w:r w:rsidR="008A7CEC">
        <w:rPr>
          <w:rFonts w:ascii="Arial" w:hAnsi="Arial" w:cs="Arial"/>
          <w:b/>
          <w:bCs/>
        </w:rPr>
        <w:t>ESULT AND DISCUSSION</w:t>
      </w:r>
    </w:p>
    <w:p w14:paraId="674F678D" w14:textId="6D521496" w:rsidR="006562E5" w:rsidRPr="008A7CEC" w:rsidRDefault="00A90548" w:rsidP="003C03A2">
      <w:pPr>
        <w:jc w:val="both"/>
        <w:rPr>
          <w:rFonts w:ascii="Arial" w:hAnsi="Arial" w:cs="Arial"/>
          <w:b/>
          <w:bCs/>
        </w:rPr>
      </w:pPr>
      <w:r w:rsidRPr="008A7CEC">
        <w:rPr>
          <w:rFonts w:ascii="Arial" w:hAnsi="Arial" w:cs="Arial"/>
          <w:b/>
          <w:bCs/>
        </w:rPr>
        <w:t>4</w:t>
      </w:r>
      <w:r w:rsidR="006562E5" w:rsidRPr="008A7CEC">
        <w:rPr>
          <w:rFonts w:ascii="Arial" w:hAnsi="Arial" w:cs="Arial"/>
          <w:b/>
          <w:bCs/>
        </w:rPr>
        <w:t>.1 Descriptive statistics</w:t>
      </w:r>
    </w:p>
    <w:p w14:paraId="7417EF7C" w14:textId="49C2A42F" w:rsidR="001969CF" w:rsidRPr="003A1949" w:rsidRDefault="001969CF" w:rsidP="003C03A2">
      <w:pPr>
        <w:jc w:val="both"/>
        <w:rPr>
          <w:rFonts w:ascii="Arial" w:hAnsi="Arial" w:cs="Arial"/>
          <w:b/>
          <w:bCs/>
        </w:rPr>
      </w:pPr>
      <w:r w:rsidRPr="003A1949">
        <w:rPr>
          <w:rFonts w:ascii="Arial" w:hAnsi="Arial" w:cs="Arial"/>
          <w:b/>
          <w:bCs/>
        </w:rPr>
        <w:t>Table 1</w:t>
      </w:r>
    </w:p>
    <w:p w14:paraId="2F9197EE" w14:textId="45A43C62" w:rsidR="006562E5" w:rsidRPr="00AE7799" w:rsidRDefault="001969CF" w:rsidP="003C03A2">
      <w:pPr>
        <w:jc w:val="both"/>
        <w:rPr>
          <w:rFonts w:ascii="Arial" w:hAnsi="Arial" w:cs="Arial"/>
          <w:sz w:val="20"/>
          <w:szCs w:val="20"/>
        </w:rPr>
      </w:pPr>
      <w:r w:rsidRPr="00AE7799">
        <w:rPr>
          <w:rFonts w:ascii="Arial" w:hAnsi="Arial" w:cs="Arial"/>
          <w:sz w:val="20"/>
          <w:szCs w:val="20"/>
        </w:rPr>
        <w:t>Presents descriptive statistics for continuous variables, stratified by diabetic status</w:t>
      </w:r>
    </w:p>
    <w:tbl>
      <w:tblPr>
        <w:tblStyle w:val="TableGrid"/>
        <w:tblW w:w="0" w:type="auto"/>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3117"/>
        <w:gridCol w:w="3117"/>
      </w:tblGrid>
      <w:tr w:rsidR="00062B38" w:rsidRPr="00AE7799" w14:paraId="11127B56" w14:textId="77777777" w:rsidTr="00062B38">
        <w:tc>
          <w:tcPr>
            <w:tcW w:w="3116" w:type="dxa"/>
            <w:tcBorders>
              <w:top w:val="single" w:sz="4" w:space="0" w:color="auto"/>
              <w:bottom w:val="single" w:sz="4" w:space="0" w:color="auto"/>
            </w:tcBorders>
          </w:tcPr>
          <w:p w14:paraId="73AB8017" w14:textId="67191E6B"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Characteristics</w:t>
            </w:r>
          </w:p>
        </w:tc>
        <w:tc>
          <w:tcPr>
            <w:tcW w:w="3117" w:type="dxa"/>
            <w:tcBorders>
              <w:top w:val="single" w:sz="4" w:space="0" w:color="auto"/>
              <w:bottom w:val="single" w:sz="4" w:space="0" w:color="auto"/>
            </w:tcBorders>
          </w:tcPr>
          <w:p w14:paraId="155DF1A9" w14:textId="0A219B52"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GDM</w:t>
            </w:r>
          </w:p>
        </w:tc>
        <w:tc>
          <w:tcPr>
            <w:tcW w:w="3117" w:type="dxa"/>
            <w:tcBorders>
              <w:top w:val="single" w:sz="4" w:space="0" w:color="auto"/>
              <w:bottom w:val="single" w:sz="4" w:space="0" w:color="auto"/>
            </w:tcBorders>
          </w:tcPr>
          <w:p w14:paraId="500CAB3F" w14:textId="1BE6BA7A" w:rsidR="00062B38" w:rsidRPr="00AE7799" w:rsidRDefault="00062B38" w:rsidP="00147721">
            <w:pPr>
              <w:jc w:val="both"/>
              <w:rPr>
                <w:rFonts w:ascii="Arial" w:hAnsi="Arial" w:cs="Arial"/>
                <w:b/>
                <w:bCs/>
                <w:sz w:val="20"/>
                <w:szCs w:val="20"/>
              </w:rPr>
            </w:pPr>
            <w:r w:rsidRPr="00AE7799">
              <w:rPr>
                <w:rFonts w:ascii="Arial" w:hAnsi="Arial" w:cs="Arial"/>
                <w:b/>
                <w:bCs/>
                <w:sz w:val="20"/>
                <w:szCs w:val="20"/>
              </w:rPr>
              <w:t>Non-GDM</w:t>
            </w:r>
          </w:p>
        </w:tc>
      </w:tr>
      <w:tr w:rsidR="00062B38" w:rsidRPr="00AE7799" w14:paraId="12CC2944" w14:textId="77777777" w:rsidTr="00062B38">
        <w:tc>
          <w:tcPr>
            <w:tcW w:w="3116" w:type="dxa"/>
            <w:tcBorders>
              <w:top w:val="single" w:sz="4" w:space="0" w:color="FFFFFF" w:themeColor="background1"/>
            </w:tcBorders>
          </w:tcPr>
          <w:p w14:paraId="0D1257DB" w14:textId="22239A71" w:rsidR="00062B38" w:rsidRPr="00AE7799" w:rsidRDefault="00062B38" w:rsidP="00062B38">
            <w:pPr>
              <w:jc w:val="both"/>
              <w:rPr>
                <w:rFonts w:ascii="Arial" w:hAnsi="Arial" w:cs="Arial"/>
                <w:sz w:val="20"/>
                <w:szCs w:val="20"/>
              </w:rPr>
            </w:pPr>
            <w:r w:rsidRPr="00AE7799">
              <w:rPr>
                <w:rFonts w:ascii="Arial" w:hAnsi="Arial" w:cs="Arial"/>
                <w:sz w:val="20"/>
                <w:szCs w:val="20"/>
              </w:rPr>
              <w:t>Age</w:t>
            </w:r>
          </w:p>
        </w:tc>
        <w:tc>
          <w:tcPr>
            <w:tcW w:w="3117" w:type="dxa"/>
            <w:tcBorders>
              <w:top w:val="single" w:sz="4" w:space="0" w:color="FFFFFF" w:themeColor="background1"/>
            </w:tcBorders>
          </w:tcPr>
          <w:p w14:paraId="797515F6"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31±5.38</w:t>
            </w:r>
          </w:p>
          <w:p w14:paraId="13C11639" w14:textId="1BD88098" w:rsidR="00062B38" w:rsidRPr="00AE7799" w:rsidRDefault="00062B38" w:rsidP="00062B38">
            <w:pPr>
              <w:jc w:val="both"/>
              <w:rPr>
                <w:rFonts w:ascii="Arial" w:hAnsi="Arial" w:cs="Arial"/>
                <w:sz w:val="20"/>
                <w:szCs w:val="20"/>
              </w:rPr>
            </w:pPr>
            <w:r w:rsidRPr="00AE7799">
              <w:rPr>
                <w:rFonts w:ascii="Arial" w:hAnsi="Arial" w:cs="Arial"/>
                <w:sz w:val="20"/>
                <w:szCs w:val="20"/>
              </w:rPr>
              <w:t>(31.00±5.38)</w:t>
            </w:r>
          </w:p>
        </w:tc>
        <w:tc>
          <w:tcPr>
            <w:tcW w:w="3117" w:type="dxa"/>
            <w:tcBorders>
              <w:top w:val="single" w:sz="4" w:space="0" w:color="FFFFFF" w:themeColor="background1"/>
            </w:tcBorders>
          </w:tcPr>
          <w:p w14:paraId="40A9CC4F"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 xml:space="preserve">25±4.93 </w:t>
            </w:r>
          </w:p>
          <w:p w14:paraId="717E3BE1" w14:textId="4D0FD2FB" w:rsidR="00062B38" w:rsidRPr="00AE7799" w:rsidRDefault="00062B38" w:rsidP="00062B38">
            <w:pPr>
              <w:jc w:val="both"/>
              <w:rPr>
                <w:rFonts w:ascii="Arial" w:hAnsi="Arial" w:cs="Arial"/>
                <w:sz w:val="20"/>
                <w:szCs w:val="20"/>
              </w:rPr>
            </w:pPr>
            <w:r w:rsidRPr="00AE7799">
              <w:rPr>
                <w:rFonts w:ascii="Arial" w:hAnsi="Arial" w:cs="Arial"/>
                <w:sz w:val="20"/>
                <w:szCs w:val="20"/>
              </w:rPr>
              <w:t>(25.00±4.93)</w:t>
            </w:r>
          </w:p>
        </w:tc>
      </w:tr>
      <w:tr w:rsidR="00062B38" w:rsidRPr="00AE7799" w14:paraId="5F5DC55F" w14:textId="77777777" w:rsidTr="00062B38">
        <w:tc>
          <w:tcPr>
            <w:tcW w:w="3116" w:type="dxa"/>
          </w:tcPr>
          <w:p w14:paraId="3D57D95D" w14:textId="5ECABC2A" w:rsidR="00062B38" w:rsidRPr="00AE7799" w:rsidRDefault="00062B38" w:rsidP="00062B38">
            <w:pPr>
              <w:jc w:val="both"/>
              <w:rPr>
                <w:rFonts w:ascii="Arial" w:hAnsi="Arial" w:cs="Arial"/>
                <w:sz w:val="20"/>
                <w:szCs w:val="20"/>
              </w:rPr>
            </w:pPr>
            <w:r w:rsidRPr="00AE7799">
              <w:rPr>
                <w:rFonts w:ascii="Arial" w:hAnsi="Arial" w:cs="Arial"/>
                <w:sz w:val="20"/>
                <w:szCs w:val="20"/>
              </w:rPr>
              <w:t>BMI</w:t>
            </w:r>
          </w:p>
        </w:tc>
        <w:tc>
          <w:tcPr>
            <w:tcW w:w="3117" w:type="dxa"/>
          </w:tcPr>
          <w:p w14:paraId="5BCA155E"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27.31±3.23</w:t>
            </w:r>
          </w:p>
          <w:p w14:paraId="6E3A9F72" w14:textId="77777777" w:rsidR="00062B38" w:rsidRPr="00AE7799" w:rsidRDefault="00062B38" w:rsidP="00062B38">
            <w:pPr>
              <w:jc w:val="both"/>
              <w:rPr>
                <w:rFonts w:ascii="Arial" w:hAnsi="Arial" w:cs="Arial"/>
                <w:sz w:val="20"/>
                <w:szCs w:val="20"/>
              </w:rPr>
            </w:pPr>
          </w:p>
        </w:tc>
        <w:tc>
          <w:tcPr>
            <w:tcW w:w="3117" w:type="dxa"/>
          </w:tcPr>
          <w:p w14:paraId="5A03D05F" w14:textId="731DD0AE" w:rsidR="00062B38" w:rsidRPr="00AE7799" w:rsidRDefault="00062B38" w:rsidP="00062B38">
            <w:pPr>
              <w:jc w:val="both"/>
              <w:rPr>
                <w:rFonts w:ascii="Arial" w:hAnsi="Arial" w:cs="Arial"/>
                <w:sz w:val="20"/>
                <w:szCs w:val="20"/>
              </w:rPr>
            </w:pPr>
            <w:r w:rsidRPr="00AE7799">
              <w:rPr>
                <w:rFonts w:ascii="Arial" w:hAnsi="Arial" w:cs="Arial"/>
                <w:sz w:val="20"/>
                <w:szCs w:val="20"/>
              </w:rPr>
              <w:t>20.04±3.81</w:t>
            </w:r>
          </w:p>
        </w:tc>
      </w:tr>
      <w:tr w:rsidR="00062B38" w:rsidRPr="00AE7799" w14:paraId="4A139EF0" w14:textId="77777777" w:rsidTr="00062B38">
        <w:tc>
          <w:tcPr>
            <w:tcW w:w="3116" w:type="dxa"/>
          </w:tcPr>
          <w:p w14:paraId="2B69A6D4" w14:textId="36F25F6A" w:rsidR="00062B38" w:rsidRPr="00AE7799" w:rsidRDefault="00062B38" w:rsidP="00062B38">
            <w:pPr>
              <w:jc w:val="both"/>
              <w:rPr>
                <w:rFonts w:ascii="Arial" w:hAnsi="Arial" w:cs="Arial"/>
                <w:sz w:val="20"/>
                <w:szCs w:val="20"/>
              </w:rPr>
            </w:pPr>
            <w:r w:rsidRPr="00AE7799">
              <w:rPr>
                <w:rFonts w:ascii="Arial" w:hAnsi="Arial" w:cs="Arial"/>
                <w:sz w:val="20"/>
                <w:szCs w:val="20"/>
              </w:rPr>
              <w:t>Hb</w:t>
            </w:r>
          </w:p>
        </w:tc>
        <w:tc>
          <w:tcPr>
            <w:tcW w:w="3117" w:type="dxa"/>
          </w:tcPr>
          <w:p w14:paraId="0F31DA47" w14:textId="72A2A24B" w:rsidR="00062B38" w:rsidRPr="00AE7799" w:rsidRDefault="00062B38" w:rsidP="00062B38">
            <w:pPr>
              <w:jc w:val="both"/>
              <w:rPr>
                <w:rFonts w:ascii="Arial" w:hAnsi="Arial" w:cs="Arial"/>
                <w:sz w:val="20"/>
                <w:szCs w:val="20"/>
              </w:rPr>
            </w:pPr>
            <w:r w:rsidRPr="00AE7799">
              <w:rPr>
                <w:rFonts w:ascii="Arial" w:hAnsi="Arial" w:cs="Arial"/>
                <w:sz w:val="20"/>
                <w:szCs w:val="20"/>
              </w:rPr>
              <w:t>11.05±0.46</w:t>
            </w:r>
          </w:p>
        </w:tc>
        <w:tc>
          <w:tcPr>
            <w:tcW w:w="3117" w:type="dxa"/>
          </w:tcPr>
          <w:p w14:paraId="068F7F4F" w14:textId="59DB99D2" w:rsidR="00062B38" w:rsidRPr="00AE7799" w:rsidRDefault="00062B38" w:rsidP="00062B38">
            <w:pPr>
              <w:jc w:val="both"/>
              <w:rPr>
                <w:rFonts w:ascii="Arial" w:hAnsi="Arial" w:cs="Arial"/>
                <w:sz w:val="20"/>
                <w:szCs w:val="20"/>
              </w:rPr>
            </w:pPr>
            <w:r w:rsidRPr="00AE7799">
              <w:rPr>
                <w:rFonts w:ascii="Arial" w:hAnsi="Arial" w:cs="Arial"/>
                <w:sz w:val="20"/>
                <w:szCs w:val="20"/>
              </w:rPr>
              <w:t>11.56±0.49</w:t>
            </w:r>
          </w:p>
        </w:tc>
      </w:tr>
      <w:tr w:rsidR="00062B38" w:rsidRPr="00AE7799" w14:paraId="0DD4D333" w14:textId="77777777" w:rsidTr="00062B38">
        <w:tc>
          <w:tcPr>
            <w:tcW w:w="3116" w:type="dxa"/>
          </w:tcPr>
          <w:p w14:paraId="6DC54197" w14:textId="70D0E754" w:rsidR="00062B38" w:rsidRPr="00AE7799" w:rsidRDefault="00062B38" w:rsidP="00062B38">
            <w:pPr>
              <w:jc w:val="both"/>
              <w:rPr>
                <w:rFonts w:ascii="Arial" w:hAnsi="Arial" w:cs="Arial"/>
                <w:sz w:val="20"/>
                <w:szCs w:val="20"/>
              </w:rPr>
            </w:pPr>
            <w:r w:rsidRPr="00AE7799">
              <w:rPr>
                <w:rFonts w:ascii="Arial" w:hAnsi="Arial" w:cs="Arial"/>
                <w:sz w:val="20"/>
                <w:szCs w:val="20"/>
              </w:rPr>
              <w:t>Systolic BP</w:t>
            </w:r>
          </w:p>
        </w:tc>
        <w:tc>
          <w:tcPr>
            <w:tcW w:w="3117" w:type="dxa"/>
          </w:tcPr>
          <w:p w14:paraId="437226FB" w14:textId="64390DB5" w:rsidR="00062B38" w:rsidRPr="00AE7799" w:rsidRDefault="00062B38" w:rsidP="00062B38">
            <w:pPr>
              <w:jc w:val="both"/>
              <w:rPr>
                <w:rFonts w:ascii="Arial" w:hAnsi="Arial" w:cs="Arial"/>
                <w:sz w:val="20"/>
                <w:szCs w:val="20"/>
              </w:rPr>
            </w:pPr>
            <w:r w:rsidRPr="00AE7799">
              <w:rPr>
                <w:rFonts w:ascii="Arial" w:hAnsi="Arial" w:cs="Arial"/>
                <w:sz w:val="20"/>
                <w:szCs w:val="20"/>
              </w:rPr>
              <w:t>124.37±5.45</w:t>
            </w:r>
          </w:p>
        </w:tc>
        <w:tc>
          <w:tcPr>
            <w:tcW w:w="3117" w:type="dxa"/>
          </w:tcPr>
          <w:p w14:paraId="0D4E3F08" w14:textId="58A8FBCF" w:rsidR="00062B38" w:rsidRPr="00AE7799" w:rsidRDefault="00062B38" w:rsidP="00062B38">
            <w:pPr>
              <w:jc w:val="both"/>
              <w:rPr>
                <w:rFonts w:ascii="Arial" w:hAnsi="Arial" w:cs="Arial"/>
                <w:sz w:val="20"/>
                <w:szCs w:val="20"/>
              </w:rPr>
            </w:pPr>
            <w:r w:rsidRPr="00AE7799">
              <w:rPr>
                <w:rFonts w:ascii="Arial" w:hAnsi="Arial" w:cs="Arial"/>
                <w:sz w:val="20"/>
                <w:szCs w:val="20"/>
              </w:rPr>
              <w:t>115.32±5.42</w:t>
            </w:r>
          </w:p>
        </w:tc>
      </w:tr>
      <w:tr w:rsidR="00062B38" w:rsidRPr="00AE7799" w14:paraId="79A15B0A" w14:textId="77777777" w:rsidTr="00062B38">
        <w:tc>
          <w:tcPr>
            <w:tcW w:w="3116" w:type="dxa"/>
          </w:tcPr>
          <w:p w14:paraId="38B71555" w14:textId="4B7D7B7E" w:rsidR="00062B38" w:rsidRPr="00AE7799" w:rsidRDefault="00062B38" w:rsidP="00062B38">
            <w:pPr>
              <w:jc w:val="both"/>
              <w:rPr>
                <w:rFonts w:ascii="Arial" w:hAnsi="Arial" w:cs="Arial"/>
                <w:sz w:val="20"/>
                <w:szCs w:val="20"/>
              </w:rPr>
            </w:pPr>
            <w:r w:rsidRPr="00AE7799">
              <w:rPr>
                <w:rFonts w:ascii="Arial" w:hAnsi="Arial" w:cs="Arial"/>
                <w:sz w:val="20"/>
                <w:szCs w:val="20"/>
              </w:rPr>
              <w:t>Dia systolic BP</w:t>
            </w:r>
          </w:p>
        </w:tc>
        <w:tc>
          <w:tcPr>
            <w:tcW w:w="3117" w:type="dxa"/>
          </w:tcPr>
          <w:p w14:paraId="62BA347F" w14:textId="7BCFB955" w:rsidR="00062B38" w:rsidRPr="00AE7799" w:rsidRDefault="00062B38" w:rsidP="00062B38">
            <w:pPr>
              <w:jc w:val="both"/>
              <w:rPr>
                <w:rFonts w:ascii="Arial" w:hAnsi="Arial" w:cs="Arial"/>
                <w:sz w:val="20"/>
                <w:szCs w:val="20"/>
              </w:rPr>
            </w:pPr>
            <w:r w:rsidRPr="00AE7799">
              <w:rPr>
                <w:rFonts w:ascii="Arial" w:hAnsi="Arial" w:cs="Arial"/>
                <w:sz w:val="20"/>
                <w:szCs w:val="20"/>
              </w:rPr>
              <w:t>82.08±0.38</w:t>
            </w:r>
          </w:p>
        </w:tc>
        <w:tc>
          <w:tcPr>
            <w:tcW w:w="3117" w:type="dxa"/>
          </w:tcPr>
          <w:p w14:paraId="1C7CC514" w14:textId="65D10AF7" w:rsidR="00062B38" w:rsidRPr="00AE7799" w:rsidRDefault="00062B38" w:rsidP="00062B38">
            <w:pPr>
              <w:jc w:val="both"/>
              <w:rPr>
                <w:rFonts w:ascii="Arial" w:hAnsi="Arial" w:cs="Arial"/>
                <w:sz w:val="20"/>
                <w:szCs w:val="20"/>
              </w:rPr>
            </w:pPr>
            <w:r w:rsidRPr="00AE7799">
              <w:rPr>
                <w:rFonts w:ascii="Arial" w:hAnsi="Arial" w:cs="Arial"/>
                <w:sz w:val="20"/>
                <w:szCs w:val="20"/>
              </w:rPr>
              <w:t>76.42±3.53</w:t>
            </w:r>
          </w:p>
        </w:tc>
      </w:tr>
      <w:tr w:rsidR="00062B38" w:rsidRPr="00AE7799" w14:paraId="0511F223" w14:textId="77777777" w:rsidTr="00062B38">
        <w:tc>
          <w:tcPr>
            <w:tcW w:w="3116" w:type="dxa"/>
          </w:tcPr>
          <w:p w14:paraId="5AE4A463" w14:textId="151A4F51" w:rsidR="00062B38" w:rsidRPr="00AE7799" w:rsidRDefault="00062B38" w:rsidP="00062B38">
            <w:pPr>
              <w:jc w:val="both"/>
              <w:rPr>
                <w:rFonts w:ascii="Arial" w:hAnsi="Arial" w:cs="Arial"/>
                <w:sz w:val="20"/>
                <w:szCs w:val="20"/>
              </w:rPr>
            </w:pPr>
            <w:r w:rsidRPr="00AE7799">
              <w:rPr>
                <w:rFonts w:ascii="Arial" w:hAnsi="Arial" w:cs="Arial"/>
                <w:sz w:val="20"/>
                <w:szCs w:val="20"/>
              </w:rPr>
              <w:t>HbA1c</w:t>
            </w:r>
          </w:p>
        </w:tc>
        <w:tc>
          <w:tcPr>
            <w:tcW w:w="3117" w:type="dxa"/>
          </w:tcPr>
          <w:p w14:paraId="108362FA" w14:textId="6B05F740" w:rsidR="00062B38" w:rsidRPr="00AE7799" w:rsidRDefault="00062B38" w:rsidP="00062B38">
            <w:pPr>
              <w:jc w:val="both"/>
              <w:rPr>
                <w:rFonts w:ascii="Arial" w:hAnsi="Arial" w:cs="Arial"/>
                <w:sz w:val="20"/>
                <w:szCs w:val="20"/>
              </w:rPr>
            </w:pPr>
            <w:r w:rsidRPr="00AE7799">
              <w:rPr>
                <w:rFonts w:ascii="Arial" w:hAnsi="Arial" w:cs="Arial"/>
                <w:sz w:val="20"/>
                <w:szCs w:val="20"/>
              </w:rPr>
              <w:t>6.56±0.35</w:t>
            </w:r>
          </w:p>
        </w:tc>
        <w:tc>
          <w:tcPr>
            <w:tcW w:w="3117" w:type="dxa"/>
          </w:tcPr>
          <w:p w14:paraId="1B78D1B6" w14:textId="1F9E8C9C" w:rsidR="00062B38" w:rsidRPr="00AE7799" w:rsidRDefault="00062B38" w:rsidP="00062B38">
            <w:pPr>
              <w:jc w:val="both"/>
              <w:rPr>
                <w:rFonts w:ascii="Arial" w:hAnsi="Arial" w:cs="Arial"/>
                <w:sz w:val="20"/>
                <w:szCs w:val="20"/>
              </w:rPr>
            </w:pPr>
            <w:r w:rsidRPr="00AE7799">
              <w:rPr>
                <w:rFonts w:ascii="Arial" w:hAnsi="Arial" w:cs="Arial"/>
                <w:sz w:val="20"/>
                <w:szCs w:val="20"/>
              </w:rPr>
              <w:t>5.34±0.32</w:t>
            </w:r>
          </w:p>
        </w:tc>
      </w:tr>
      <w:tr w:rsidR="00062B38" w:rsidRPr="00AE7799" w14:paraId="28966769" w14:textId="77777777" w:rsidTr="00062B38">
        <w:tc>
          <w:tcPr>
            <w:tcW w:w="3116" w:type="dxa"/>
          </w:tcPr>
          <w:p w14:paraId="67E3B6D2"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OGTT</w:t>
            </w:r>
          </w:p>
          <w:p w14:paraId="343B08BA" w14:textId="542081CF" w:rsidR="00062B38" w:rsidRPr="00AE7799" w:rsidRDefault="00E9409D" w:rsidP="00062B38">
            <w:pPr>
              <w:jc w:val="both"/>
              <w:rPr>
                <w:rFonts w:ascii="Arial" w:hAnsi="Arial" w:cs="Arial"/>
                <w:sz w:val="20"/>
                <w:szCs w:val="20"/>
              </w:rPr>
            </w:pPr>
            <w:r w:rsidRPr="00AE7799">
              <w:rPr>
                <w:rFonts w:ascii="Arial" w:hAnsi="Arial" w:cs="Arial"/>
                <w:sz w:val="20"/>
                <w:szCs w:val="20"/>
              </w:rPr>
              <w:t>a. Fasting</w:t>
            </w:r>
            <w:r w:rsidR="00062B38" w:rsidRPr="00AE7799">
              <w:rPr>
                <w:rFonts w:ascii="Arial" w:hAnsi="Arial" w:cs="Arial"/>
                <w:sz w:val="20"/>
                <w:szCs w:val="20"/>
              </w:rPr>
              <w:t xml:space="preserve"> &gt; 92 mg/dl</w:t>
            </w:r>
          </w:p>
          <w:p w14:paraId="1FA4F0A0"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b. 1-hr≥ 180 mg/dl</w:t>
            </w:r>
          </w:p>
          <w:p w14:paraId="097F3326" w14:textId="0E44331B" w:rsidR="00062B38" w:rsidRPr="00AE7799" w:rsidRDefault="00062B38" w:rsidP="00062B38">
            <w:pPr>
              <w:jc w:val="both"/>
              <w:rPr>
                <w:rFonts w:ascii="Arial" w:hAnsi="Arial" w:cs="Arial"/>
                <w:sz w:val="20"/>
                <w:szCs w:val="20"/>
              </w:rPr>
            </w:pPr>
            <w:r w:rsidRPr="00AE7799">
              <w:rPr>
                <w:rFonts w:ascii="Arial" w:hAnsi="Arial" w:cs="Arial"/>
                <w:sz w:val="20"/>
                <w:szCs w:val="20"/>
              </w:rPr>
              <w:t>c. 2-hr≥ 153 mg/dl</w:t>
            </w:r>
          </w:p>
          <w:p w14:paraId="0D872E1C" w14:textId="15AFDE34" w:rsidR="00062B38" w:rsidRPr="00AE7799" w:rsidRDefault="00062B38" w:rsidP="00062B38">
            <w:pPr>
              <w:jc w:val="both"/>
              <w:rPr>
                <w:rFonts w:ascii="Arial" w:hAnsi="Arial" w:cs="Arial"/>
                <w:sz w:val="20"/>
                <w:szCs w:val="20"/>
              </w:rPr>
            </w:pPr>
          </w:p>
        </w:tc>
        <w:tc>
          <w:tcPr>
            <w:tcW w:w="3117" w:type="dxa"/>
          </w:tcPr>
          <w:p w14:paraId="5EEB3860" w14:textId="77777777" w:rsidR="00062B38" w:rsidRPr="00AE7799" w:rsidRDefault="00062B38" w:rsidP="00062B38">
            <w:pPr>
              <w:jc w:val="both"/>
              <w:rPr>
                <w:rFonts w:ascii="Arial" w:hAnsi="Arial" w:cs="Arial"/>
                <w:sz w:val="20"/>
                <w:szCs w:val="20"/>
              </w:rPr>
            </w:pPr>
          </w:p>
          <w:p w14:paraId="00DEAAE6"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98.29±3.57</w:t>
            </w:r>
          </w:p>
          <w:p w14:paraId="794EDBDE"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191.23±6.10</w:t>
            </w:r>
          </w:p>
          <w:p w14:paraId="1600B221" w14:textId="6155DB31" w:rsidR="00062B38" w:rsidRPr="00AE7799" w:rsidRDefault="00062B38" w:rsidP="00062B38">
            <w:pPr>
              <w:jc w:val="both"/>
              <w:rPr>
                <w:rFonts w:ascii="Arial" w:hAnsi="Arial" w:cs="Arial"/>
                <w:sz w:val="20"/>
                <w:szCs w:val="20"/>
              </w:rPr>
            </w:pPr>
            <w:r w:rsidRPr="00AE7799">
              <w:rPr>
                <w:rFonts w:ascii="Arial" w:hAnsi="Arial" w:cs="Arial"/>
                <w:sz w:val="20"/>
                <w:szCs w:val="20"/>
              </w:rPr>
              <w:t>161.55±4.83</w:t>
            </w:r>
          </w:p>
        </w:tc>
        <w:tc>
          <w:tcPr>
            <w:tcW w:w="3117" w:type="dxa"/>
          </w:tcPr>
          <w:p w14:paraId="2084FF36" w14:textId="77777777" w:rsidR="00062B38" w:rsidRPr="00AE7799" w:rsidRDefault="00062B38" w:rsidP="00062B38">
            <w:pPr>
              <w:jc w:val="both"/>
              <w:rPr>
                <w:rFonts w:ascii="Arial" w:hAnsi="Arial" w:cs="Arial"/>
                <w:sz w:val="20"/>
                <w:szCs w:val="20"/>
              </w:rPr>
            </w:pPr>
          </w:p>
          <w:p w14:paraId="293F797C"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80.96±6.92</w:t>
            </w:r>
          </w:p>
          <w:p w14:paraId="03244CBD" w14:textId="77777777" w:rsidR="00062B38" w:rsidRPr="00AE7799" w:rsidRDefault="00062B38" w:rsidP="00062B38">
            <w:pPr>
              <w:jc w:val="both"/>
              <w:rPr>
                <w:rFonts w:ascii="Arial" w:hAnsi="Arial" w:cs="Arial"/>
                <w:sz w:val="20"/>
                <w:szCs w:val="20"/>
              </w:rPr>
            </w:pPr>
            <w:r w:rsidRPr="00AE7799">
              <w:rPr>
                <w:rFonts w:ascii="Arial" w:hAnsi="Arial" w:cs="Arial"/>
                <w:sz w:val="20"/>
                <w:szCs w:val="20"/>
              </w:rPr>
              <w:t>145.86±16.31</w:t>
            </w:r>
          </w:p>
          <w:p w14:paraId="33BE5A2E" w14:textId="22A0951A" w:rsidR="00062B38" w:rsidRPr="00AE7799" w:rsidRDefault="00062B38" w:rsidP="00062B38">
            <w:pPr>
              <w:jc w:val="both"/>
              <w:rPr>
                <w:rFonts w:ascii="Arial" w:hAnsi="Arial" w:cs="Arial"/>
                <w:sz w:val="20"/>
                <w:szCs w:val="20"/>
              </w:rPr>
            </w:pPr>
            <w:r w:rsidRPr="00AE7799">
              <w:rPr>
                <w:rFonts w:ascii="Arial" w:hAnsi="Arial" w:cs="Arial"/>
                <w:sz w:val="20"/>
                <w:szCs w:val="20"/>
              </w:rPr>
              <w:t>131.14±12.25</w:t>
            </w:r>
          </w:p>
        </w:tc>
      </w:tr>
      <w:tr w:rsidR="00062B38" w:rsidRPr="00AE7799" w14:paraId="3DA0FAEF" w14:textId="77777777" w:rsidTr="00062B38">
        <w:tc>
          <w:tcPr>
            <w:tcW w:w="3116" w:type="dxa"/>
          </w:tcPr>
          <w:p w14:paraId="61B35C80" w14:textId="3AC84CA8" w:rsidR="00062B38" w:rsidRPr="00AE7799" w:rsidRDefault="00062B38" w:rsidP="00062B38">
            <w:pPr>
              <w:jc w:val="both"/>
              <w:rPr>
                <w:rFonts w:ascii="Arial" w:hAnsi="Arial" w:cs="Arial"/>
                <w:sz w:val="20"/>
                <w:szCs w:val="20"/>
              </w:rPr>
            </w:pPr>
            <w:r w:rsidRPr="00AE7799">
              <w:rPr>
                <w:rFonts w:ascii="Arial" w:hAnsi="Arial" w:cs="Arial"/>
                <w:sz w:val="20"/>
                <w:szCs w:val="20"/>
              </w:rPr>
              <w:t>Serum Vitamin B12</w:t>
            </w:r>
          </w:p>
        </w:tc>
        <w:tc>
          <w:tcPr>
            <w:tcW w:w="3117" w:type="dxa"/>
          </w:tcPr>
          <w:p w14:paraId="38F077F0" w14:textId="313199CE" w:rsidR="00062B38" w:rsidRPr="00AE7799" w:rsidRDefault="00062B38" w:rsidP="00062B38">
            <w:pPr>
              <w:jc w:val="both"/>
              <w:rPr>
                <w:rFonts w:ascii="Arial" w:hAnsi="Arial" w:cs="Arial"/>
                <w:sz w:val="20"/>
                <w:szCs w:val="20"/>
              </w:rPr>
            </w:pPr>
            <w:r w:rsidRPr="00AE7799">
              <w:rPr>
                <w:rFonts w:ascii="Arial" w:hAnsi="Arial" w:cs="Arial"/>
                <w:sz w:val="20"/>
                <w:szCs w:val="20"/>
              </w:rPr>
              <w:t>443.83±277.06</w:t>
            </w:r>
          </w:p>
        </w:tc>
        <w:tc>
          <w:tcPr>
            <w:tcW w:w="3117" w:type="dxa"/>
          </w:tcPr>
          <w:p w14:paraId="7C35F911" w14:textId="56E64655" w:rsidR="00062B38" w:rsidRPr="00AE7799" w:rsidRDefault="00062B38" w:rsidP="00062B38">
            <w:pPr>
              <w:jc w:val="both"/>
              <w:rPr>
                <w:rFonts w:ascii="Arial" w:hAnsi="Arial" w:cs="Arial"/>
                <w:sz w:val="20"/>
                <w:szCs w:val="20"/>
              </w:rPr>
            </w:pPr>
            <w:r w:rsidRPr="00AE7799">
              <w:rPr>
                <w:rFonts w:ascii="Arial" w:hAnsi="Arial" w:cs="Arial"/>
                <w:sz w:val="20"/>
                <w:szCs w:val="20"/>
              </w:rPr>
              <w:t>526.50±266.26</w:t>
            </w:r>
          </w:p>
        </w:tc>
      </w:tr>
      <w:tr w:rsidR="00062B38" w:rsidRPr="00AE7799" w14:paraId="2A43926D" w14:textId="77777777" w:rsidTr="00062B38">
        <w:tc>
          <w:tcPr>
            <w:tcW w:w="3116" w:type="dxa"/>
          </w:tcPr>
          <w:p w14:paraId="25C8EA36" w14:textId="5B250431" w:rsidR="00062B38" w:rsidRPr="00AE7799" w:rsidRDefault="00062B38" w:rsidP="00062B38">
            <w:pPr>
              <w:jc w:val="both"/>
              <w:rPr>
                <w:rFonts w:ascii="Arial" w:hAnsi="Arial" w:cs="Arial"/>
                <w:sz w:val="20"/>
                <w:szCs w:val="20"/>
              </w:rPr>
            </w:pPr>
            <w:r w:rsidRPr="00AE7799">
              <w:rPr>
                <w:rFonts w:ascii="Arial" w:hAnsi="Arial" w:cs="Arial"/>
                <w:sz w:val="20"/>
                <w:szCs w:val="20"/>
              </w:rPr>
              <w:t>Serum Folate</w:t>
            </w:r>
          </w:p>
        </w:tc>
        <w:tc>
          <w:tcPr>
            <w:tcW w:w="3117" w:type="dxa"/>
          </w:tcPr>
          <w:p w14:paraId="27CDEF90" w14:textId="361EB96C" w:rsidR="00062B38" w:rsidRPr="00AE7799" w:rsidRDefault="00062B38" w:rsidP="00062B38">
            <w:pPr>
              <w:jc w:val="both"/>
              <w:rPr>
                <w:rFonts w:ascii="Arial" w:hAnsi="Arial" w:cs="Arial"/>
                <w:sz w:val="20"/>
                <w:szCs w:val="20"/>
              </w:rPr>
            </w:pPr>
            <w:r w:rsidRPr="00AE7799">
              <w:rPr>
                <w:rFonts w:ascii="Arial" w:hAnsi="Arial" w:cs="Arial"/>
                <w:sz w:val="20"/>
                <w:szCs w:val="20"/>
              </w:rPr>
              <w:t>12.42±5.87</w:t>
            </w:r>
          </w:p>
        </w:tc>
        <w:tc>
          <w:tcPr>
            <w:tcW w:w="3117" w:type="dxa"/>
          </w:tcPr>
          <w:p w14:paraId="226C27E7" w14:textId="53BC341B" w:rsidR="00062B38" w:rsidRPr="00AE7799" w:rsidRDefault="00062B38" w:rsidP="00062B38">
            <w:pPr>
              <w:jc w:val="both"/>
              <w:rPr>
                <w:rFonts w:ascii="Arial" w:hAnsi="Arial" w:cs="Arial"/>
                <w:sz w:val="20"/>
                <w:szCs w:val="20"/>
              </w:rPr>
            </w:pPr>
            <w:r w:rsidRPr="00AE7799">
              <w:rPr>
                <w:rFonts w:ascii="Arial" w:hAnsi="Arial" w:cs="Arial"/>
                <w:sz w:val="20"/>
                <w:szCs w:val="20"/>
              </w:rPr>
              <w:t>13.24±5.90</w:t>
            </w:r>
          </w:p>
        </w:tc>
      </w:tr>
    </w:tbl>
    <w:p w14:paraId="1622FDBC" w14:textId="70ED27A6" w:rsidR="00062B38" w:rsidRPr="00AE7799" w:rsidRDefault="00062B38" w:rsidP="005A1E99">
      <w:pPr>
        <w:jc w:val="both"/>
        <w:rPr>
          <w:rFonts w:ascii="Arial" w:hAnsi="Arial" w:cs="Arial"/>
          <w:sz w:val="20"/>
          <w:szCs w:val="20"/>
        </w:rPr>
      </w:pPr>
    </w:p>
    <w:p w14:paraId="14E6C521" w14:textId="47E146A1" w:rsidR="005A1E99" w:rsidRPr="00AE7799" w:rsidRDefault="00062B38" w:rsidP="005A1E99">
      <w:pPr>
        <w:jc w:val="both"/>
        <w:rPr>
          <w:rFonts w:ascii="Arial" w:hAnsi="Arial" w:cs="Arial"/>
          <w:sz w:val="20"/>
          <w:szCs w:val="20"/>
        </w:rPr>
      </w:pPr>
      <w:r w:rsidRPr="00AE7799">
        <w:rPr>
          <w:rFonts w:ascii="Arial" w:hAnsi="Arial" w:cs="Arial"/>
          <w:sz w:val="20"/>
          <w:szCs w:val="20"/>
        </w:rPr>
        <w:t xml:space="preserve">An </w:t>
      </w:r>
      <w:r w:rsidR="00542A17" w:rsidRPr="00AE7799">
        <w:rPr>
          <w:rFonts w:ascii="Arial" w:hAnsi="Arial" w:cs="Arial"/>
          <w:sz w:val="20"/>
          <w:szCs w:val="20"/>
        </w:rPr>
        <w:t xml:space="preserve">analysis of GDM and non-GDM subjects revealed several significant variations in physiological and biochemical markers. mothers with GDM had a higher mean age (31.00 ± 5.38 years) than non-GDM mothers (25.00 ± 4.93 years), indicating that maternal age may be a risk factor for GDM. This observation is corroborated by studies from (Swaminathan et al., 2008), who found that age is a substantial predictor of GDM prevalence in South Indian women. </w:t>
      </w:r>
      <w:r w:rsidR="00185E5E" w:rsidRPr="00AE7799">
        <w:rPr>
          <w:rFonts w:ascii="Arial" w:hAnsi="Arial" w:cs="Arial"/>
          <w:sz w:val="20"/>
          <w:szCs w:val="20"/>
        </w:rPr>
        <w:t xml:space="preserve">The mean BMI was significantly higher in the GDM group compared with controls (27.31 ± 3.23 kg/m² vs. 20.04 ± 3.81 kg/m² </w:t>
      </w:r>
      <w:r w:rsidR="007C7E85" w:rsidRPr="00AE7799">
        <w:rPr>
          <w:rFonts w:ascii="Arial" w:hAnsi="Arial" w:cs="Arial"/>
          <w:sz w:val="20"/>
          <w:szCs w:val="20"/>
        </w:rPr>
        <w:t>indicating a strong relationship between obesity before to pregnancy and the development of GDM. A similar pattern was seen by Rajput et al. (2013), who found maternal overweight and obesity as key factors of GDM in North Indian women.</w:t>
      </w:r>
      <w:r w:rsidR="00FC359A" w:rsidRPr="00AE7799">
        <w:rPr>
          <w:rFonts w:ascii="Arial" w:hAnsi="Arial" w:cs="Arial"/>
          <w:sz w:val="20"/>
          <w:szCs w:val="20"/>
        </w:rPr>
        <w:t xml:space="preserve"> </w:t>
      </w:r>
      <w:r w:rsidR="00E02D32" w:rsidRPr="00AE7799">
        <w:rPr>
          <w:rFonts w:ascii="Arial" w:hAnsi="Arial" w:cs="Arial"/>
          <w:sz w:val="20"/>
          <w:szCs w:val="20"/>
        </w:rPr>
        <w:t>GDM participants had higher blood pressure, with systolic at 124.37 ± 5.45 mmHg and diastolic at 82.08 ± 0.38 mmHg, compared to non-GDM women who had 115.32 ± 5.42 mmHg and 76.42 ± 3.53 mmHg. These findings are consistent with those of Saxena et al. (2011), who discovered that hypertensive alterations are more prevalent in GDM moms and may share metabolic pathways with insulin resistance. HbA1c values were considerably higher in GDM (6.56 ± 0.35%) compared to non-GDM (5.34 ± 0.32%), indicating its efficacy as a screening measure in accordance with ADA recommendations and Indian clinical research (Saravanan et al., 2024</w:t>
      </w:r>
      <w:r w:rsidR="00E90410" w:rsidRPr="00AE7799">
        <w:rPr>
          <w:rFonts w:ascii="Arial" w:hAnsi="Arial" w:cs="Arial"/>
          <w:sz w:val="20"/>
          <w:szCs w:val="20"/>
        </w:rPr>
        <w:t>). OGTT</w:t>
      </w:r>
      <w:r w:rsidR="005A1E99" w:rsidRPr="00AE7799">
        <w:rPr>
          <w:rFonts w:ascii="Arial" w:hAnsi="Arial" w:cs="Arial"/>
          <w:sz w:val="20"/>
          <w:szCs w:val="20"/>
        </w:rPr>
        <w:t xml:space="preserve"> assessments were significantly higher in GDM subjects at all time periods </w:t>
      </w:r>
      <w:r w:rsidR="005A1E99" w:rsidRPr="00AE7799">
        <w:rPr>
          <w:rFonts w:ascii="Arial" w:hAnsi="Arial" w:cs="Arial"/>
          <w:sz w:val="20"/>
          <w:szCs w:val="20"/>
        </w:rPr>
        <w:lastRenderedPageBreak/>
        <w:t>(fasting, 1-hour, and 2-hour), indicating reduced glucose tolerance. Although hemoglobin levels were comparable, GDM women had somewhat lower Hb (11.05 ± 0.46 g/dL) than non-GDM women (11.56 ± 0.49 g/dL), suggesting dietary disparities.</w:t>
      </w:r>
    </w:p>
    <w:p w14:paraId="6644D1FD" w14:textId="39989107" w:rsidR="00E90410" w:rsidRPr="00AE7799" w:rsidRDefault="00185E5E" w:rsidP="00E90410">
      <w:pPr>
        <w:jc w:val="both"/>
        <w:rPr>
          <w:rFonts w:ascii="Arial" w:hAnsi="Arial" w:cs="Arial"/>
          <w:sz w:val="20"/>
          <w:szCs w:val="20"/>
        </w:rPr>
      </w:pPr>
      <w:r w:rsidRPr="00AE7799">
        <w:rPr>
          <w:rFonts w:ascii="Arial" w:hAnsi="Arial" w:cs="Arial"/>
          <w:sz w:val="20"/>
          <w:szCs w:val="20"/>
        </w:rPr>
        <w:t xml:space="preserve">Serum vitamin B12 concentrations were significantly lower among women with GDM (443.83 ± 277.06 </w:t>
      </w:r>
      <w:proofErr w:type="spellStart"/>
      <w:r w:rsidRPr="00AE7799">
        <w:rPr>
          <w:rFonts w:ascii="Arial" w:hAnsi="Arial" w:cs="Arial"/>
          <w:sz w:val="20"/>
          <w:szCs w:val="20"/>
        </w:rPr>
        <w:t>pg</w:t>
      </w:r>
      <w:proofErr w:type="spellEnd"/>
      <w:r w:rsidRPr="00AE7799">
        <w:rPr>
          <w:rFonts w:ascii="Arial" w:hAnsi="Arial" w:cs="Arial"/>
          <w:sz w:val="20"/>
          <w:szCs w:val="20"/>
        </w:rPr>
        <w:t xml:space="preserve">/mL) than in the non-GDM group (526.50 ± 266.26 </w:t>
      </w:r>
      <w:proofErr w:type="spellStart"/>
      <w:r w:rsidRPr="00AE7799">
        <w:rPr>
          <w:rFonts w:ascii="Arial" w:hAnsi="Arial" w:cs="Arial"/>
          <w:sz w:val="20"/>
          <w:szCs w:val="20"/>
        </w:rPr>
        <w:t>pg</w:t>
      </w:r>
      <w:proofErr w:type="spellEnd"/>
      <w:r w:rsidRPr="00AE7799">
        <w:rPr>
          <w:rFonts w:ascii="Arial" w:hAnsi="Arial" w:cs="Arial"/>
          <w:sz w:val="20"/>
          <w:szCs w:val="20"/>
        </w:rPr>
        <w:t xml:space="preserve">/mL), suggesting a potential contribution of B12 insufficiency to GDM development. </w:t>
      </w:r>
      <w:r w:rsidR="00E90410" w:rsidRPr="00AE7799">
        <w:rPr>
          <w:rFonts w:ascii="Arial" w:hAnsi="Arial" w:cs="Arial"/>
          <w:sz w:val="20"/>
          <w:szCs w:val="20"/>
        </w:rPr>
        <w:t xml:space="preserve">This conclusion is congruent with research by Finkelstein et al. (2017), </w:t>
      </w:r>
      <w:r w:rsidR="00F76987" w:rsidRPr="00AE7799">
        <w:rPr>
          <w:rFonts w:ascii="Arial" w:hAnsi="Arial" w:cs="Arial"/>
          <w:sz w:val="20"/>
          <w:szCs w:val="20"/>
        </w:rPr>
        <w:t>It was observed that reduced maternal vitamin B12 levels during early pregnancy were independently associated with increased insulin resistance and impaired glucose tolerance. Women with GDM showed marginally lower mean folate concentrations (12.42 ± 5.87 ng/mL) compared to those without GDM (13.24 ± 5.90 ng/mL)</w:t>
      </w:r>
      <w:r w:rsidR="00E90410" w:rsidRPr="00AE7799">
        <w:rPr>
          <w:rFonts w:ascii="Arial" w:hAnsi="Arial" w:cs="Arial"/>
          <w:sz w:val="20"/>
          <w:szCs w:val="20"/>
        </w:rPr>
        <w:t xml:space="preserve">, but this difference was not statistically </w:t>
      </w:r>
      <w:r w:rsidR="00FC359A" w:rsidRPr="00AE7799">
        <w:rPr>
          <w:rFonts w:ascii="Arial" w:hAnsi="Arial" w:cs="Arial"/>
          <w:sz w:val="20"/>
          <w:szCs w:val="20"/>
        </w:rPr>
        <w:t>significant. This</w:t>
      </w:r>
      <w:r w:rsidR="00E90410" w:rsidRPr="00AE7799">
        <w:rPr>
          <w:rFonts w:ascii="Arial" w:hAnsi="Arial" w:cs="Arial"/>
          <w:sz w:val="20"/>
          <w:szCs w:val="20"/>
        </w:rPr>
        <w:t xml:space="preserve"> is similar with the findings of </w:t>
      </w:r>
      <w:proofErr w:type="spellStart"/>
      <w:r w:rsidR="00E90410" w:rsidRPr="00AE7799">
        <w:rPr>
          <w:rFonts w:ascii="Arial" w:hAnsi="Arial" w:cs="Arial"/>
          <w:sz w:val="20"/>
          <w:szCs w:val="20"/>
        </w:rPr>
        <w:t>He</w:t>
      </w:r>
      <w:proofErr w:type="spellEnd"/>
      <w:r w:rsidR="00E90410" w:rsidRPr="00AE7799">
        <w:rPr>
          <w:rFonts w:ascii="Arial" w:hAnsi="Arial" w:cs="Arial"/>
          <w:sz w:val="20"/>
          <w:szCs w:val="20"/>
        </w:rPr>
        <w:t xml:space="preserve"> et al. (2022), who discovered that folate levels alone were not a strong predictor of GDM risk in South Indian women, but the folate-to-B12 ratio was a more important factor.</w:t>
      </w:r>
    </w:p>
    <w:p w14:paraId="6E562833" w14:textId="774D902D" w:rsidR="00A028A5" w:rsidRPr="003A1949" w:rsidRDefault="00A90548" w:rsidP="003C03A2">
      <w:pPr>
        <w:jc w:val="both"/>
        <w:rPr>
          <w:rFonts w:ascii="Arial" w:hAnsi="Arial" w:cs="Arial"/>
          <w:b/>
          <w:bCs/>
        </w:rPr>
      </w:pPr>
      <w:r w:rsidRPr="003A1949">
        <w:rPr>
          <w:rFonts w:ascii="Arial" w:hAnsi="Arial" w:cs="Arial"/>
          <w:b/>
          <w:bCs/>
        </w:rPr>
        <w:t>4</w:t>
      </w:r>
      <w:r w:rsidR="00A028A5" w:rsidRPr="003A1949">
        <w:rPr>
          <w:rFonts w:ascii="Arial" w:hAnsi="Arial" w:cs="Arial"/>
          <w:b/>
          <w:bCs/>
        </w:rPr>
        <w:t>.2 Independent sample t-test</w:t>
      </w:r>
    </w:p>
    <w:p w14:paraId="56DCCA2A" w14:textId="1223A554" w:rsidR="00F76987" w:rsidRPr="003A1949" w:rsidRDefault="00F76987" w:rsidP="003C03A2">
      <w:pPr>
        <w:jc w:val="both"/>
        <w:rPr>
          <w:rFonts w:ascii="Arial" w:hAnsi="Arial" w:cs="Arial"/>
        </w:rPr>
      </w:pPr>
      <w:r w:rsidRPr="00AE7799">
        <w:rPr>
          <w:rFonts w:ascii="Arial" w:hAnsi="Arial" w:cs="Arial"/>
          <w:sz w:val="20"/>
          <w:szCs w:val="20"/>
        </w:rPr>
        <w:t>Table 2 summarizes the mean ± standard deviation of serum vitamin B12 and folate concentrations in the GDM and non-GDM groups. Group differences were evaluated using independent sample t-tests to determine statistical significance</w:t>
      </w:r>
      <w:r w:rsidRPr="003A1949">
        <w:rPr>
          <w:rFonts w:ascii="Arial" w:hAnsi="Arial" w:cs="Arial"/>
        </w:rPr>
        <w:t>.</w:t>
      </w:r>
    </w:p>
    <w:p w14:paraId="090EF4B1" w14:textId="77777777" w:rsidR="00185E5E" w:rsidRPr="003A1949" w:rsidRDefault="004752B0" w:rsidP="003C03A2">
      <w:pPr>
        <w:jc w:val="both"/>
        <w:rPr>
          <w:rFonts w:ascii="Arial" w:hAnsi="Arial" w:cs="Arial"/>
        </w:rPr>
      </w:pPr>
      <w:r w:rsidRPr="003A1949">
        <w:rPr>
          <w:rFonts w:ascii="Arial" w:hAnsi="Arial" w:cs="Arial"/>
          <w:b/>
          <w:bCs/>
        </w:rPr>
        <w:t>Table 2</w:t>
      </w:r>
      <w:r w:rsidRPr="003A1949">
        <w:rPr>
          <w:rFonts w:ascii="Arial" w:hAnsi="Arial" w:cs="Arial"/>
        </w:rPr>
        <w:t xml:space="preserve"> </w:t>
      </w:r>
    </w:p>
    <w:p w14:paraId="460B13CF" w14:textId="29AC72C2" w:rsidR="00185E5E" w:rsidRPr="00AE7799" w:rsidRDefault="004752B0" w:rsidP="003C03A2">
      <w:pPr>
        <w:jc w:val="both"/>
        <w:rPr>
          <w:rFonts w:ascii="Arial" w:hAnsi="Arial" w:cs="Arial"/>
          <w:sz w:val="20"/>
          <w:szCs w:val="20"/>
        </w:rPr>
      </w:pPr>
      <w:r w:rsidRPr="00AE7799">
        <w:rPr>
          <w:rFonts w:ascii="Arial" w:hAnsi="Arial" w:cs="Arial"/>
          <w:sz w:val="20"/>
          <w:szCs w:val="20"/>
        </w:rPr>
        <w:t>Independent sample t-test</w:t>
      </w:r>
    </w:p>
    <w:tbl>
      <w:tblPr>
        <w:tblStyle w:val="TableGrid"/>
        <w:tblW w:w="0" w:type="auto"/>
        <w:tblBorders>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8"/>
        <w:gridCol w:w="1558"/>
        <w:gridCol w:w="1558"/>
        <w:gridCol w:w="1558"/>
        <w:gridCol w:w="1559"/>
        <w:gridCol w:w="1559"/>
      </w:tblGrid>
      <w:tr w:rsidR="00185E5E" w:rsidRPr="003A1949" w14:paraId="6B9A37D0" w14:textId="77777777" w:rsidTr="00185E5E">
        <w:tc>
          <w:tcPr>
            <w:tcW w:w="1558" w:type="dxa"/>
            <w:tcBorders>
              <w:top w:val="single" w:sz="4" w:space="0" w:color="auto"/>
              <w:bottom w:val="single" w:sz="4" w:space="0" w:color="FFFFFF" w:themeColor="background1"/>
            </w:tcBorders>
          </w:tcPr>
          <w:p w14:paraId="726FC05F" w14:textId="6F134633" w:rsidR="00185E5E" w:rsidRPr="003A1949" w:rsidRDefault="00185E5E" w:rsidP="00185E5E">
            <w:pPr>
              <w:jc w:val="both"/>
              <w:rPr>
                <w:rFonts w:ascii="Arial" w:hAnsi="Arial" w:cs="Arial"/>
              </w:rPr>
            </w:pPr>
            <w:r w:rsidRPr="003A1949">
              <w:rPr>
                <w:rFonts w:ascii="Arial" w:hAnsi="Arial" w:cs="Arial"/>
              </w:rPr>
              <w:t>Variable</w:t>
            </w:r>
          </w:p>
        </w:tc>
        <w:tc>
          <w:tcPr>
            <w:tcW w:w="1558" w:type="dxa"/>
            <w:tcBorders>
              <w:top w:val="single" w:sz="4" w:space="0" w:color="auto"/>
              <w:bottom w:val="single" w:sz="4" w:space="0" w:color="FFFFFF" w:themeColor="background1"/>
            </w:tcBorders>
          </w:tcPr>
          <w:p w14:paraId="4433ECAE" w14:textId="5178FDF9" w:rsidR="00185E5E" w:rsidRPr="003A1949" w:rsidRDefault="00185E5E" w:rsidP="00185E5E">
            <w:pPr>
              <w:jc w:val="both"/>
              <w:rPr>
                <w:rFonts w:ascii="Arial" w:hAnsi="Arial" w:cs="Arial"/>
              </w:rPr>
            </w:pPr>
            <w:r w:rsidRPr="003A1949">
              <w:rPr>
                <w:rFonts w:ascii="Arial" w:hAnsi="Arial" w:cs="Arial"/>
              </w:rPr>
              <w:t>GDM Mean ± SD</w:t>
            </w:r>
          </w:p>
        </w:tc>
        <w:tc>
          <w:tcPr>
            <w:tcW w:w="1558" w:type="dxa"/>
            <w:tcBorders>
              <w:top w:val="single" w:sz="4" w:space="0" w:color="auto"/>
              <w:bottom w:val="single" w:sz="4" w:space="0" w:color="FFFFFF" w:themeColor="background1"/>
            </w:tcBorders>
          </w:tcPr>
          <w:p w14:paraId="170BA5E8" w14:textId="16FFBBB6" w:rsidR="00185E5E" w:rsidRPr="003A1949" w:rsidRDefault="00185E5E" w:rsidP="00185E5E">
            <w:pPr>
              <w:jc w:val="both"/>
              <w:rPr>
                <w:rFonts w:ascii="Arial" w:hAnsi="Arial" w:cs="Arial"/>
              </w:rPr>
            </w:pPr>
            <w:r w:rsidRPr="003A1949">
              <w:rPr>
                <w:rFonts w:ascii="Arial" w:hAnsi="Arial" w:cs="Arial"/>
              </w:rPr>
              <w:t>Non-GDM Mean ± SD</w:t>
            </w:r>
          </w:p>
        </w:tc>
        <w:tc>
          <w:tcPr>
            <w:tcW w:w="1558" w:type="dxa"/>
            <w:tcBorders>
              <w:top w:val="single" w:sz="4" w:space="0" w:color="auto"/>
              <w:bottom w:val="single" w:sz="4" w:space="0" w:color="FFFFFF" w:themeColor="background1"/>
            </w:tcBorders>
          </w:tcPr>
          <w:p w14:paraId="34E86ED4" w14:textId="7F127CB9" w:rsidR="00185E5E" w:rsidRPr="003A1949" w:rsidRDefault="00185E5E" w:rsidP="00185E5E">
            <w:pPr>
              <w:jc w:val="both"/>
              <w:rPr>
                <w:rFonts w:ascii="Arial" w:hAnsi="Arial" w:cs="Arial"/>
              </w:rPr>
            </w:pPr>
            <w:r w:rsidRPr="003A1949">
              <w:rPr>
                <w:rFonts w:ascii="Arial" w:hAnsi="Arial" w:cs="Arial"/>
              </w:rPr>
              <w:t>t-value</w:t>
            </w:r>
          </w:p>
        </w:tc>
        <w:tc>
          <w:tcPr>
            <w:tcW w:w="1559" w:type="dxa"/>
            <w:tcBorders>
              <w:top w:val="single" w:sz="4" w:space="0" w:color="auto"/>
              <w:bottom w:val="single" w:sz="4" w:space="0" w:color="FFFFFF" w:themeColor="background1"/>
            </w:tcBorders>
          </w:tcPr>
          <w:p w14:paraId="53F081AC" w14:textId="0347BCDF" w:rsidR="00185E5E" w:rsidRPr="003A1949" w:rsidRDefault="00185E5E" w:rsidP="00185E5E">
            <w:pPr>
              <w:jc w:val="both"/>
              <w:rPr>
                <w:rFonts w:ascii="Arial" w:hAnsi="Arial" w:cs="Arial"/>
              </w:rPr>
            </w:pPr>
            <w:r w:rsidRPr="003A1949">
              <w:rPr>
                <w:rFonts w:ascii="Arial" w:hAnsi="Arial" w:cs="Arial"/>
              </w:rPr>
              <w:t>p-value</w:t>
            </w:r>
          </w:p>
        </w:tc>
        <w:tc>
          <w:tcPr>
            <w:tcW w:w="1559" w:type="dxa"/>
            <w:tcBorders>
              <w:top w:val="single" w:sz="4" w:space="0" w:color="auto"/>
              <w:bottom w:val="single" w:sz="4" w:space="0" w:color="FFFFFF" w:themeColor="background1"/>
            </w:tcBorders>
          </w:tcPr>
          <w:p w14:paraId="4CAB8856" w14:textId="72256DA2" w:rsidR="00185E5E" w:rsidRPr="003A1949" w:rsidRDefault="00185E5E" w:rsidP="00185E5E">
            <w:pPr>
              <w:jc w:val="both"/>
              <w:rPr>
                <w:rFonts w:ascii="Arial" w:hAnsi="Arial" w:cs="Arial"/>
              </w:rPr>
            </w:pPr>
            <w:r w:rsidRPr="003A1949">
              <w:rPr>
                <w:rFonts w:ascii="Arial" w:hAnsi="Arial" w:cs="Arial"/>
              </w:rPr>
              <w:t>Significance</w:t>
            </w:r>
          </w:p>
        </w:tc>
      </w:tr>
      <w:tr w:rsidR="00247AD4" w:rsidRPr="003A1949" w14:paraId="0AE89098" w14:textId="77777777" w:rsidTr="00185E5E">
        <w:tc>
          <w:tcPr>
            <w:tcW w:w="1558" w:type="dxa"/>
            <w:tcBorders>
              <w:top w:val="single" w:sz="4" w:space="0" w:color="auto"/>
              <w:bottom w:val="single" w:sz="4" w:space="0" w:color="FFFFFF" w:themeColor="background1"/>
            </w:tcBorders>
          </w:tcPr>
          <w:p w14:paraId="364E3231"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70E85DAA"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1D5E27C3" w14:textId="77777777" w:rsidR="00247AD4" w:rsidRPr="003A1949" w:rsidRDefault="00247AD4" w:rsidP="00185E5E">
            <w:pPr>
              <w:jc w:val="both"/>
              <w:rPr>
                <w:rFonts w:ascii="Arial" w:hAnsi="Arial" w:cs="Arial"/>
              </w:rPr>
            </w:pPr>
          </w:p>
        </w:tc>
        <w:tc>
          <w:tcPr>
            <w:tcW w:w="1558" w:type="dxa"/>
            <w:tcBorders>
              <w:top w:val="single" w:sz="4" w:space="0" w:color="auto"/>
              <w:bottom w:val="single" w:sz="4" w:space="0" w:color="FFFFFF" w:themeColor="background1"/>
            </w:tcBorders>
          </w:tcPr>
          <w:p w14:paraId="402837FC" w14:textId="77777777" w:rsidR="00247AD4" w:rsidRPr="003A1949" w:rsidRDefault="00247AD4" w:rsidP="00185E5E">
            <w:pPr>
              <w:jc w:val="both"/>
              <w:rPr>
                <w:rFonts w:ascii="Arial" w:hAnsi="Arial" w:cs="Arial"/>
              </w:rPr>
            </w:pPr>
          </w:p>
        </w:tc>
        <w:tc>
          <w:tcPr>
            <w:tcW w:w="1559" w:type="dxa"/>
            <w:tcBorders>
              <w:top w:val="single" w:sz="4" w:space="0" w:color="auto"/>
              <w:bottom w:val="single" w:sz="4" w:space="0" w:color="FFFFFF" w:themeColor="background1"/>
            </w:tcBorders>
          </w:tcPr>
          <w:p w14:paraId="61F897B6" w14:textId="77777777" w:rsidR="00247AD4" w:rsidRPr="003A1949" w:rsidRDefault="00247AD4" w:rsidP="00185E5E">
            <w:pPr>
              <w:jc w:val="both"/>
              <w:rPr>
                <w:rFonts w:ascii="Arial" w:hAnsi="Arial" w:cs="Arial"/>
              </w:rPr>
            </w:pPr>
          </w:p>
        </w:tc>
        <w:tc>
          <w:tcPr>
            <w:tcW w:w="1559" w:type="dxa"/>
            <w:tcBorders>
              <w:top w:val="single" w:sz="4" w:space="0" w:color="auto"/>
              <w:bottom w:val="single" w:sz="4" w:space="0" w:color="FFFFFF" w:themeColor="background1"/>
            </w:tcBorders>
          </w:tcPr>
          <w:p w14:paraId="18E100CE" w14:textId="77777777" w:rsidR="00247AD4" w:rsidRPr="003A1949" w:rsidRDefault="00247AD4" w:rsidP="00185E5E">
            <w:pPr>
              <w:jc w:val="both"/>
              <w:rPr>
                <w:rFonts w:ascii="Arial" w:hAnsi="Arial" w:cs="Arial"/>
              </w:rPr>
            </w:pPr>
          </w:p>
        </w:tc>
      </w:tr>
      <w:tr w:rsidR="00185E5E" w:rsidRPr="003A1949" w14:paraId="73D591FA" w14:textId="77777777" w:rsidTr="00247AD4">
        <w:trPr>
          <w:trHeight w:val="697"/>
        </w:trPr>
        <w:tc>
          <w:tcPr>
            <w:tcW w:w="1558" w:type="dxa"/>
            <w:tcBorders>
              <w:top w:val="single" w:sz="4" w:space="0" w:color="FFFFFF" w:themeColor="background1"/>
            </w:tcBorders>
          </w:tcPr>
          <w:p w14:paraId="165C07F9" w14:textId="4880D46D" w:rsidR="00185E5E" w:rsidRPr="003A1949" w:rsidRDefault="00185E5E" w:rsidP="00185E5E">
            <w:pPr>
              <w:jc w:val="both"/>
              <w:rPr>
                <w:rFonts w:ascii="Arial" w:hAnsi="Arial" w:cs="Arial"/>
              </w:rPr>
            </w:pPr>
            <w:r w:rsidRPr="003A1949">
              <w:rPr>
                <w:rFonts w:ascii="Arial" w:hAnsi="Arial" w:cs="Arial"/>
              </w:rPr>
              <w:t>Vitamin B12 (</w:t>
            </w:r>
            <w:proofErr w:type="spellStart"/>
            <w:r w:rsidRPr="003A1949">
              <w:rPr>
                <w:rFonts w:ascii="Arial" w:hAnsi="Arial" w:cs="Arial"/>
              </w:rPr>
              <w:t>pg</w:t>
            </w:r>
            <w:proofErr w:type="spellEnd"/>
            <w:r w:rsidRPr="003A1949">
              <w:rPr>
                <w:rFonts w:ascii="Arial" w:hAnsi="Arial" w:cs="Arial"/>
              </w:rPr>
              <w:t>/ml)</w:t>
            </w:r>
          </w:p>
        </w:tc>
        <w:tc>
          <w:tcPr>
            <w:tcW w:w="1558" w:type="dxa"/>
            <w:tcBorders>
              <w:top w:val="single" w:sz="4" w:space="0" w:color="FFFFFF" w:themeColor="background1"/>
            </w:tcBorders>
          </w:tcPr>
          <w:p w14:paraId="63AA9407" w14:textId="11624067" w:rsidR="00185E5E" w:rsidRPr="003A1949" w:rsidRDefault="00185E5E" w:rsidP="00185E5E">
            <w:pPr>
              <w:jc w:val="both"/>
              <w:rPr>
                <w:rFonts w:ascii="Arial" w:hAnsi="Arial" w:cs="Arial"/>
              </w:rPr>
            </w:pPr>
            <w:r w:rsidRPr="003A1949">
              <w:rPr>
                <w:rFonts w:ascii="Arial" w:hAnsi="Arial" w:cs="Arial"/>
              </w:rPr>
              <w:t>443.84 ± 277.07</w:t>
            </w:r>
          </w:p>
        </w:tc>
        <w:tc>
          <w:tcPr>
            <w:tcW w:w="1558" w:type="dxa"/>
            <w:tcBorders>
              <w:top w:val="single" w:sz="4" w:space="0" w:color="FFFFFF" w:themeColor="background1"/>
            </w:tcBorders>
          </w:tcPr>
          <w:p w14:paraId="21FDAFB4" w14:textId="014D6AFD" w:rsidR="00185E5E" w:rsidRPr="003A1949" w:rsidRDefault="00185E5E" w:rsidP="00185E5E">
            <w:pPr>
              <w:jc w:val="both"/>
              <w:rPr>
                <w:rFonts w:ascii="Arial" w:hAnsi="Arial" w:cs="Arial"/>
              </w:rPr>
            </w:pPr>
            <w:r w:rsidRPr="003A1949">
              <w:rPr>
                <w:rFonts w:ascii="Arial" w:hAnsi="Arial" w:cs="Arial"/>
              </w:rPr>
              <w:t>526.51 ± 266.26</w:t>
            </w:r>
          </w:p>
        </w:tc>
        <w:tc>
          <w:tcPr>
            <w:tcW w:w="1558" w:type="dxa"/>
            <w:tcBorders>
              <w:top w:val="single" w:sz="4" w:space="0" w:color="FFFFFF" w:themeColor="background1"/>
            </w:tcBorders>
          </w:tcPr>
          <w:p w14:paraId="1C4A5A18" w14:textId="120E2EE6" w:rsidR="00185E5E" w:rsidRPr="003A1949" w:rsidRDefault="00185E5E" w:rsidP="00185E5E">
            <w:pPr>
              <w:jc w:val="both"/>
              <w:rPr>
                <w:rFonts w:ascii="Arial" w:hAnsi="Arial" w:cs="Arial"/>
              </w:rPr>
            </w:pPr>
            <w:r w:rsidRPr="003A1949">
              <w:rPr>
                <w:rFonts w:ascii="Arial" w:hAnsi="Arial" w:cs="Arial"/>
              </w:rPr>
              <w:t>-2.15</w:t>
            </w:r>
          </w:p>
        </w:tc>
        <w:tc>
          <w:tcPr>
            <w:tcW w:w="1559" w:type="dxa"/>
            <w:tcBorders>
              <w:top w:val="single" w:sz="4" w:space="0" w:color="FFFFFF" w:themeColor="background1"/>
            </w:tcBorders>
          </w:tcPr>
          <w:p w14:paraId="6B6F0C0E" w14:textId="4529EFDE" w:rsidR="00185E5E" w:rsidRPr="003A1949" w:rsidRDefault="00185E5E" w:rsidP="00185E5E">
            <w:pPr>
              <w:jc w:val="both"/>
              <w:rPr>
                <w:rFonts w:ascii="Arial" w:hAnsi="Arial" w:cs="Arial"/>
              </w:rPr>
            </w:pPr>
            <w:r w:rsidRPr="003A1949">
              <w:rPr>
                <w:rFonts w:ascii="Arial" w:hAnsi="Arial" w:cs="Arial"/>
              </w:rPr>
              <w:t>0.033</w:t>
            </w:r>
          </w:p>
        </w:tc>
        <w:tc>
          <w:tcPr>
            <w:tcW w:w="1559" w:type="dxa"/>
            <w:tcBorders>
              <w:top w:val="single" w:sz="4" w:space="0" w:color="FFFFFF" w:themeColor="background1"/>
            </w:tcBorders>
          </w:tcPr>
          <w:p w14:paraId="1E2E5DEA" w14:textId="74E3F378" w:rsidR="00185E5E" w:rsidRPr="003A1949" w:rsidRDefault="00185E5E" w:rsidP="00185E5E">
            <w:pPr>
              <w:jc w:val="both"/>
              <w:rPr>
                <w:rFonts w:ascii="Arial" w:hAnsi="Arial" w:cs="Arial"/>
              </w:rPr>
            </w:pPr>
            <w:r w:rsidRPr="003A1949">
              <w:rPr>
                <w:rFonts w:ascii="Arial" w:hAnsi="Arial" w:cs="Arial"/>
              </w:rPr>
              <w:t>Yes</w:t>
            </w:r>
          </w:p>
        </w:tc>
      </w:tr>
      <w:tr w:rsidR="00185E5E" w:rsidRPr="003A1949" w14:paraId="039719C8" w14:textId="77777777" w:rsidTr="00185E5E">
        <w:tc>
          <w:tcPr>
            <w:tcW w:w="1558" w:type="dxa"/>
          </w:tcPr>
          <w:p w14:paraId="634E17F5" w14:textId="6800469E" w:rsidR="00185E5E" w:rsidRPr="003A1949" w:rsidRDefault="00185E5E" w:rsidP="00185E5E">
            <w:pPr>
              <w:jc w:val="both"/>
              <w:rPr>
                <w:rFonts w:ascii="Arial" w:hAnsi="Arial" w:cs="Arial"/>
              </w:rPr>
            </w:pPr>
            <w:r w:rsidRPr="003A1949">
              <w:rPr>
                <w:rFonts w:ascii="Arial" w:hAnsi="Arial" w:cs="Arial"/>
              </w:rPr>
              <w:t>Folate (ng/ml)</w:t>
            </w:r>
          </w:p>
        </w:tc>
        <w:tc>
          <w:tcPr>
            <w:tcW w:w="1558" w:type="dxa"/>
          </w:tcPr>
          <w:p w14:paraId="45FA00D3" w14:textId="6DA1F755" w:rsidR="00185E5E" w:rsidRPr="003A1949" w:rsidRDefault="00185E5E" w:rsidP="00185E5E">
            <w:pPr>
              <w:jc w:val="both"/>
              <w:rPr>
                <w:rFonts w:ascii="Arial" w:hAnsi="Arial" w:cs="Arial"/>
              </w:rPr>
            </w:pPr>
            <w:r w:rsidRPr="003A1949">
              <w:rPr>
                <w:rFonts w:ascii="Arial" w:hAnsi="Arial" w:cs="Arial"/>
              </w:rPr>
              <w:t>12.43 ± 5.87</w:t>
            </w:r>
          </w:p>
        </w:tc>
        <w:tc>
          <w:tcPr>
            <w:tcW w:w="1558" w:type="dxa"/>
          </w:tcPr>
          <w:p w14:paraId="22FE6AEE" w14:textId="799A7335" w:rsidR="00185E5E" w:rsidRPr="003A1949" w:rsidRDefault="00185E5E" w:rsidP="00185E5E">
            <w:pPr>
              <w:jc w:val="both"/>
              <w:rPr>
                <w:rFonts w:ascii="Arial" w:hAnsi="Arial" w:cs="Arial"/>
              </w:rPr>
            </w:pPr>
            <w:r w:rsidRPr="003A1949">
              <w:rPr>
                <w:rFonts w:ascii="Arial" w:hAnsi="Arial" w:cs="Arial"/>
              </w:rPr>
              <w:t>13.25 ± 5.91</w:t>
            </w:r>
          </w:p>
        </w:tc>
        <w:tc>
          <w:tcPr>
            <w:tcW w:w="1558" w:type="dxa"/>
          </w:tcPr>
          <w:p w14:paraId="155902DB" w14:textId="3542B7DC" w:rsidR="00185E5E" w:rsidRPr="003A1949" w:rsidRDefault="00185E5E" w:rsidP="00185E5E">
            <w:pPr>
              <w:jc w:val="both"/>
              <w:rPr>
                <w:rFonts w:ascii="Arial" w:hAnsi="Arial" w:cs="Arial"/>
              </w:rPr>
            </w:pPr>
            <w:r w:rsidRPr="003A1949">
              <w:rPr>
                <w:rFonts w:ascii="Arial" w:hAnsi="Arial" w:cs="Arial"/>
              </w:rPr>
              <w:t>-0.99</w:t>
            </w:r>
          </w:p>
        </w:tc>
        <w:tc>
          <w:tcPr>
            <w:tcW w:w="1559" w:type="dxa"/>
          </w:tcPr>
          <w:p w14:paraId="12CF4F99" w14:textId="5B943349" w:rsidR="00185E5E" w:rsidRPr="003A1949" w:rsidRDefault="00185E5E" w:rsidP="00185E5E">
            <w:pPr>
              <w:jc w:val="both"/>
              <w:rPr>
                <w:rFonts w:ascii="Arial" w:hAnsi="Arial" w:cs="Arial"/>
              </w:rPr>
            </w:pPr>
            <w:r w:rsidRPr="003A1949">
              <w:rPr>
                <w:rFonts w:ascii="Arial" w:hAnsi="Arial" w:cs="Arial"/>
              </w:rPr>
              <w:t>0.324</w:t>
            </w:r>
          </w:p>
        </w:tc>
        <w:tc>
          <w:tcPr>
            <w:tcW w:w="1559" w:type="dxa"/>
          </w:tcPr>
          <w:p w14:paraId="362D515C" w14:textId="5F80527B" w:rsidR="00185E5E" w:rsidRPr="003A1949" w:rsidRDefault="00185E5E" w:rsidP="00185E5E">
            <w:pPr>
              <w:jc w:val="both"/>
              <w:rPr>
                <w:rFonts w:ascii="Arial" w:hAnsi="Arial" w:cs="Arial"/>
              </w:rPr>
            </w:pPr>
            <w:r w:rsidRPr="003A1949">
              <w:rPr>
                <w:rFonts w:ascii="Arial" w:hAnsi="Arial" w:cs="Arial"/>
              </w:rPr>
              <w:t>No</w:t>
            </w:r>
          </w:p>
        </w:tc>
      </w:tr>
    </w:tbl>
    <w:p w14:paraId="01CCBC81" w14:textId="77777777" w:rsidR="00185E5E" w:rsidRPr="003A1949" w:rsidRDefault="00185E5E" w:rsidP="00801EC5">
      <w:pPr>
        <w:jc w:val="both"/>
        <w:rPr>
          <w:rFonts w:ascii="Arial" w:hAnsi="Arial" w:cs="Arial"/>
        </w:rPr>
      </w:pPr>
    </w:p>
    <w:p w14:paraId="611D90FA" w14:textId="568685ED" w:rsidR="00801EC5" w:rsidRPr="002B1807" w:rsidRDefault="00801EC5" w:rsidP="00801EC5">
      <w:pPr>
        <w:jc w:val="both"/>
        <w:rPr>
          <w:rFonts w:ascii="Arial" w:hAnsi="Arial" w:cs="Arial"/>
          <w:sz w:val="20"/>
          <w:szCs w:val="20"/>
        </w:rPr>
      </w:pPr>
      <w:r w:rsidRPr="002B1807">
        <w:rPr>
          <w:rFonts w:ascii="Arial" w:hAnsi="Arial" w:cs="Arial"/>
          <w:sz w:val="20"/>
          <w:szCs w:val="20"/>
        </w:rPr>
        <w:t xml:space="preserve">The independent samples t-test demonstrated that serum vitamin B12 concentrations were significantly lower in women with GDM (443.84 ± 277.07 </w:t>
      </w:r>
      <w:proofErr w:type="spellStart"/>
      <w:r w:rsidRPr="002B1807">
        <w:rPr>
          <w:rFonts w:ascii="Arial" w:hAnsi="Arial" w:cs="Arial"/>
          <w:sz w:val="20"/>
          <w:szCs w:val="20"/>
        </w:rPr>
        <w:t>pg</w:t>
      </w:r>
      <w:proofErr w:type="spellEnd"/>
      <w:r w:rsidRPr="002B1807">
        <w:rPr>
          <w:rFonts w:ascii="Arial" w:hAnsi="Arial" w:cs="Arial"/>
          <w:sz w:val="20"/>
          <w:szCs w:val="20"/>
        </w:rPr>
        <w:t xml:space="preserve">/mL) compared to the non-GDM group (526.51 ± 266.26 </w:t>
      </w:r>
      <w:proofErr w:type="spellStart"/>
      <w:r w:rsidRPr="002B1807">
        <w:rPr>
          <w:rFonts w:ascii="Arial" w:hAnsi="Arial" w:cs="Arial"/>
          <w:sz w:val="20"/>
          <w:szCs w:val="20"/>
        </w:rPr>
        <w:t>pg</w:t>
      </w:r>
      <w:proofErr w:type="spellEnd"/>
      <w:r w:rsidRPr="002B1807">
        <w:rPr>
          <w:rFonts w:ascii="Arial" w:hAnsi="Arial" w:cs="Arial"/>
          <w:sz w:val="20"/>
          <w:szCs w:val="20"/>
        </w:rPr>
        <w:t>/mL), with a t-value of -2.15 and a p-value of 0.033. This statistically significant finding supports the hypothesis that vitamin B12 insufficiency may impair glucose metabolism through its role in one-carbon metabolism and insulin sensitivity. These results are consistent with earlier studies, such as Krishnaveni et al. (2009), who reported an association between low maternal B12 levels and increased insulin resistance in Indian women, as well as Sukumar et al. (2016), who observed that B12 deficiency during early pregnancy correlated with elevated fasting glucose and greater GDM risk in South Asian populations.</w:t>
      </w:r>
    </w:p>
    <w:p w14:paraId="7361254C" w14:textId="369A383E" w:rsidR="001D199C" w:rsidRPr="002B1807" w:rsidRDefault="001D199C" w:rsidP="003C03A2">
      <w:pPr>
        <w:jc w:val="both"/>
        <w:rPr>
          <w:rFonts w:ascii="Arial" w:hAnsi="Arial" w:cs="Arial"/>
          <w:sz w:val="20"/>
          <w:szCs w:val="20"/>
        </w:rPr>
      </w:pPr>
      <w:r w:rsidRPr="002B1807">
        <w:rPr>
          <w:rFonts w:ascii="Arial" w:hAnsi="Arial" w:cs="Arial"/>
          <w:sz w:val="20"/>
          <w:szCs w:val="20"/>
        </w:rPr>
        <w:t xml:space="preserve">Mean folate concentrations were slightly lower in the GDM group (12.43 ± 5.87 ng/mL) compared with the non-GDM group (13.25 ± 5.91 ng/mL); however, the difference was not statistically significant (t = –0.99, p = 0.324). These findings suggest that vitamin B12 may have a stronger influence on GDM pathophysiology, whereas folate levels alone do not clearly distinguish between groups. Nevertheless, growing evidence highlights the importance of the combined effect of folate and vitamin B12, rather than their isolated values. </w:t>
      </w:r>
      <w:r w:rsidR="00801EC5" w:rsidRPr="002B1807">
        <w:rPr>
          <w:rFonts w:ascii="Arial" w:hAnsi="Arial" w:cs="Arial"/>
          <w:sz w:val="20"/>
          <w:szCs w:val="20"/>
        </w:rPr>
        <w:t>For instance, Chen et al. (2020) and Jiang et al. (2020) highlighted that elevated folate levels combined with inadequate B12 may exacerbate insulin resistance and heighten the risk of GDM by disturbing methylation processes and homocysteine metabolism.</w:t>
      </w:r>
    </w:p>
    <w:p w14:paraId="27F01BD8" w14:textId="5942D138" w:rsidR="0021441F" w:rsidRPr="003A1949" w:rsidRDefault="00A90548" w:rsidP="003C03A2">
      <w:pPr>
        <w:jc w:val="both"/>
        <w:rPr>
          <w:rFonts w:ascii="Arial" w:hAnsi="Arial" w:cs="Arial"/>
          <w:b/>
          <w:bCs/>
        </w:rPr>
      </w:pPr>
      <w:r w:rsidRPr="003A1949">
        <w:rPr>
          <w:rFonts w:ascii="Arial" w:hAnsi="Arial" w:cs="Arial"/>
          <w:b/>
          <w:bCs/>
        </w:rPr>
        <w:lastRenderedPageBreak/>
        <w:t>4</w:t>
      </w:r>
      <w:r w:rsidR="009D4E18" w:rsidRPr="003A1949">
        <w:rPr>
          <w:rFonts w:ascii="Arial" w:hAnsi="Arial" w:cs="Arial"/>
          <w:b/>
          <w:bCs/>
        </w:rPr>
        <w:t>.</w:t>
      </w:r>
      <w:r w:rsidR="00C30476" w:rsidRPr="003A1949">
        <w:rPr>
          <w:rFonts w:ascii="Arial" w:hAnsi="Arial" w:cs="Arial"/>
          <w:b/>
          <w:bCs/>
        </w:rPr>
        <w:t>3 Chi-</w:t>
      </w:r>
      <w:r w:rsidR="00856D63" w:rsidRPr="003A1949">
        <w:rPr>
          <w:rFonts w:ascii="Arial" w:hAnsi="Arial" w:cs="Arial"/>
          <w:b/>
          <w:bCs/>
        </w:rPr>
        <w:t>Square</w:t>
      </w:r>
      <w:r w:rsidR="00C30476" w:rsidRPr="003A1949">
        <w:rPr>
          <w:rFonts w:ascii="Arial" w:hAnsi="Arial" w:cs="Arial"/>
          <w:b/>
          <w:bCs/>
        </w:rPr>
        <w:t xml:space="preserve"> category counts</w:t>
      </w:r>
    </w:p>
    <w:p w14:paraId="30B63406" w14:textId="77777777" w:rsidR="00247AD4" w:rsidRPr="002B1807" w:rsidRDefault="00E96E3F" w:rsidP="003C03A2">
      <w:pPr>
        <w:jc w:val="both"/>
        <w:rPr>
          <w:rFonts w:ascii="Arial" w:hAnsi="Arial" w:cs="Arial"/>
          <w:sz w:val="20"/>
          <w:szCs w:val="20"/>
        </w:rPr>
      </w:pPr>
      <w:r w:rsidRPr="002B1807">
        <w:rPr>
          <w:rFonts w:ascii="Arial" w:hAnsi="Arial" w:cs="Arial"/>
          <w:b/>
          <w:bCs/>
          <w:sz w:val="20"/>
          <w:szCs w:val="20"/>
        </w:rPr>
        <w:t>Table 3</w:t>
      </w:r>
      <w:r w:rsidRPr="002B1807">
        <w:rPr>
          <w:rFonts w:ascii="Arial" w:hAnsi="Arial" w:cs="Arial"/>
          <w:sz w:val="20"/>
          <w:szCs w:val="20"/>
        </w:rPr>
        <w:t xml:space="preserve"> </w:t>
      </w:r>
    </w:p>
    <w:p w14:paraId="7C658BBF" w14:textId="05163A6D" w:rsidR="00934A09" w:rsidRPr="002B1807" w:rsidRDefault="00934A09" w:rsidP="003C03A2">
      <w:pPr>
        <w:jc w:val="both"/>
        <w:rPr>
          <w:rFonts w:ascii="Arial" w:hAnsi="Arial" w:cs="Arial"/>
          <w:sz w:val="20"/>
          <w:szCs w:val="20"/>
        </w:rPr>
      </w:pPr>
      <w:r w:rsidRPr="002B1807">
        <w:rPr>
          <w:rFonts w:ascii="Arial" w:hAnsi="Arial" w:cs="Arial"/>
          <w:sz w:val="20"/>
          <w:szCs w:val="20"/>
        </w:rPr>
        <w:t xml:space="preserve">Distribution of participants according to serum Vitamin B12 and folic acid status categories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47AD4" w:rsidRPr="002B1807" w14:paraId="2CFC4EAB" w14:textId="77777777" w:rsidTr="00247AD4">
        <w:tc>
          <w:tcPr>
            <w:tcW w:w="3116" w:type="dxa"/>
            <w:tcBorders>
              <w:top w:val="single" w:sz="4" w:space="0" w:color="auto"/>
              <w:bottom w:val="nil"/>
            </w:tcBorders>
          </w:tcPr>
          <w:p w14:paraId="5E386E7A" w14:textId="759BBA61" w:rsidR="00247AD4" w:rsidRPr="002B1807" w:rsidRDefault="00247AD4" w:rsidP="00247AD4">
            <w:pPr>
              <w:jc w:val="both"/>
              <w:rPr>
                <w:rFonts w:ascii="Arial" w:hAnsi="Arial" w:cs="Arial"/>
                <w:sz w:val="20"/>
                <w:szCs w:val="20"/>
              </w:rPr>
            </w:pPr>
            <w:r w:rsidRPr="002B1807">
              <w:rPr>
                <w:rFonts w:ascii="Arial" w:hAnsi="Arial" w:cs="Arial"/>
                <w:sz w:val="20"/>
                <w:szCs w:val="20"/>
              </w:rPr>
              <w:t>Category</w:t>
            </w:r>
          </w:p>
        </w:tc>
        <w:tc>
          <w:tcPr>
            <w:tcW w:w="3117" w:type="dxa"/>
            <w:tcBorders>
              <w:top w:val="single" w:sz="4" w:space="0" w:color="auto"/>
              <w:bottom w:val="nil"/>
            </w:tcBorders>
          </w:tcPr>
          <w:p w14:paraId="7C7C1F71" w14:textId="17D04537" w:rsidR="001D199C" w:rsidRPr="002B1807" w:rsidRDefault="00247AD4" w:rsidP="001D199C">
            <w:pPr>
              <w:rPr>
                <w:rFonts w:ascii="Arial" w:hAnsi="Arial" w:cs="Arial"/>
                <w:sz w:val="20"/>
                <w:szCs w:val="20"/>
              </w:rPr>
            </w:pPr>
            <w:r w:rsidRPr="002B1807">
              <w:rPr>
                <w:rFonts w:ascii="Arial" w:hAnsi="Arial" w:cs="Arial"/>
                <w:sz w:val="20"/>
                <w:szCs w:val="20"/>
              </w:rPr>
              <w:t>Non-GDM</w:t>
            </w:r>
          </w:p>
          <w:p w14:paraId="35F32832" w14:textId="70E0D5EF" w:rsidR="00247AD4" w:rsidRPr="002B1807" w:rsidRDefault="00247AD4" w:rsidP="001D199C">
            <w:pPr>
              <w:rPr>
                <w:rFonts w:ascii="Arial" w:hAnsi="Arial" w:cs="Arial"/>
                <w:sz w:val="20"/>
                <w:szCs w:val="20"/>
              </w:rPr>
            </w:pPr>
            <w:r w:rsidRPr="002B1807">
              <w:rPr>
                <w:rFonts w:ascii="Arial" w:hAnsi="Arial" w:cs="Arial"/>
                <w:sz w:val="20"/>
                <w:szCs w:val="20"/>
              </w:rPr>
              <w:t>(n=100)</w:t>
            </w:r>
          </w:p>
        </w:tc>
        <w:tc>
          <w:tcPr>
            <w:tcW w:w="3117" w:type="dxa"/>
            <w:tcBorders>
              <w:top w:val="single" w:sz="4" w:space="0" w:color="auto"/>
              <w:bottom w:val="nil"/>
            </w:tcBorders>
          </w:tcPr>
          <w:p w14:paraId="664C4A6E" w14:textId="77777777" w:rsidR="001D199C" w:rsidRPr="002B1807" w:rsidRDefault="00247AD4" w:rsidP="00247AD4">
            <w:pPr>
              <w:jc w:val="both"/>
              <w:rPr>
                <w:rFonts w:ascii="Arial" w:hAnsi="Arial" w:cs="Arial"/>
                <w:sz w:val="20"/>
                <w:szCs w:val="20"/>
              </w:rPr>
            </w:pPr>
            <w:r w:rsidRPr="002B1807">
              <w:rPr>
                <w:rFonts w:ascii="Arial" w:hAnsi="Arial" w:cs="Arial"/>
                <w:sz w:val="20"/>
                <w:szCs w:val="20"/>
              </w:rPr>
              <w:t xml:space="preserve">GDM </w:t>
            </w:r>
          </w:p>
          <w:p w14:paraId="1126752C" w14:textId="40CF285D" w:rsidR="00247AD4" w:rsidRPr="002B1807" w:rsidRDefault="00247AD4" w:rsidP="00247AD4">
            <w:pPr>
              <w:jc w:val="both"/>
              <w:rPr>
                <w:rFonts w:ascii="Arial" w:hAnsi="Arial" w:cs="Arial"/>
                <w:sz w:val="20"/>
                <w:szCs w:val="20"/>
              </w:rPr>
            </w:pPr>
            <w:r w:rsidRPr="002B1807">
              <w:rPr>
                <w:rFonts w:ascii="Arial" w:hAnsi="Arial" w:cs="Arial"/>
                <w:sz w:val="20"/>
                <w:szCs w:val="20"/>
              </w:rPr>
              <w:t>(n=100)</w:t>
            </w:r>
          </w:p>
          <w:p w14:paraId="4C59D2E4" w14:textId="20508CB2" w:rsidR="00247AD4" w:rsidRPr="002B1807" w:rsidRDefault="00247AD4" w:rsidP="00247AD4">
            <w:pPr>
              <w:jc w:val="both"/>
              <w:rPr>
                <w:rFonts w:ascii="Arial" w:hAnsi="Arial" w:cs="Arial"/>
                <w:sz w:val="20"/>
                <w:szCs w:val="20"/>
              </w:rPr>
            </w:pPr>
          </w:p>
        </w:tc>
      </w:tr>
      <w:tr w:rsidR="00247AD4" w:rsidRPr="002B1807" w14:paraId="33712030" w14:textId="77777777" w:rsidTr="00247AD4">
        <w:tc>
          <w:tcPr>
            <w:tcW w:w="3116" w:type="dxa"/>
            <w:tcBorders>
              <w:top w:val="single" w:sz="4" w:space="0" w:color="auto"/>
              <w:bottom w:val="nil"/>
            </w:tcBorders>
          </w:tcPr>
          <w:p w14:paraId="105FB298" w14:textId="77777777" w:rsidR="00247AD4" w:rsidRPr="002B1807" w:rsidRDefault="00247AD4" w:rsidP="00247AD4">
            <w:pPr>
              <w:jc w:val="both"/>
              <w:rPr>
                <w:rFonts w:ascii="Arial" w:hAnsi="Arial" w:cs="Arial"/>
                <w:sz w:val="20"/>
                <w:szCs w:val="20"/>
              </w:rPr>
            </w:pPr>
          </w:p>
        </w:tc>
        <w:tc>
          <w:tcPr>
            <w:tcW w:w="3117" w:type="dxa"/>
            <w:tcBorders>
              <w:top w:val="single" w:sz="4" w:space="0" w:color="auto"/>
              <w:bottom w:val="nil"/>
            </w:tcBorders>
          </w:tcPr>
          <w:p w14:paraId="425332B5" w14:textId="77777777" w:rsidR="00247AD4" w:rsidRPr="002B1807" w:rsidRDefault="00247AD4" w:rsidP="00247AD4">
            <w:pPr>
              <w:jc w:val="both"/>
              <w:rPr>
                <w:rFonts w:ascii="Arial" w:hAnsi="Arial" w:cs="Arial"/>
                <w:sz w:val="20"/>
                <w:szCs w:val="20"/>
              </w:rPr>
            </w:pPr>
          </w:p>
        </w:tc>
        <w:tc>
          <w:tcPr>
            <w:tcW w:w="3117" w:type="dxa"/>
            <w:tcBorders>
              <w:top w:val="single" w:sz="4" w:space="0" w:color="auto"/>
              <w:bottom w:val="nil"/>
            </w:tcBorders>
          </w:tcPr>
          <w:p w14:paraId="0CCD1A28" w14:textId="77777777" w:rsidR="00247AD4" w:rsidRPr="002B1807" w:rsidRDefault="00247AD4" w:rsidP="00247AD4">
            <w:pPr>
              <w:jc w:val="both"/>
              <w:rPr>
                <w:rFonts w:ascii="Arial" w:hAnsi="Arial" w:cs="Arial"/>
                <w:sz w:val="20"/>
                <w:szCs w:val="20"/>
              </w:rPr>
            </w:pPr>
          </w:p>
        </w:tc>
      </w:tr>
      <w:tr w:rsidR="00247AD4" w:rsidRPr="002B1807" w14:paraId="10D7554E" w14:textId="77777777" w:rsidTr="00247AD4">
        <w:tc>
          <w:tcPr>
            <w:tcW w:w="3116" w:type="dxa"/>
            <w:tcBorders>
              <w:top w:val="nil"/>
            </w:tcBorders>
          </w:tcPr>
          <w:p w14:paraId="6662C7CA" w14:textId="4D3252EB" w:rsidR="00247AD4" w:rsidRPr="002B1807" w:rsidRDefault="00247AD4" w:rsidP="00247AD4">
            <w:pPr>
              <w:jc w:val="both"/>
              <w:rPr>
                <w:rFonts w:ascii="Arial" w:hAnsi="Arial" w:cs="Arial"/>
                <w:sz w:val="20"/>
                <w:szCs w:val="20"/>
              </w:rPr>
            </w:pPr>
            <w:r w:rsidRPr="002B1807">
              <w:rPr>
                <w:rFonts w:ascii="Arial" w:hAnsi="Arial" w:cs="Arial"/>
                <w:sz w:val="20"/>
                <w:szCs w:val="20"/>
              </w:rPr>
              <w:t>Vitamin B12 Deficient</w:t>
            </w:r>
          </w:p>
        </w:tc>
        <w:tc>
          <w:tcPr>
            <w:tcW w:w="3117" w:type="dxa"/>
            <w:tcBorders>
              <w:top w:val="nil"/>
            </w:tcBorders>
          </w:tcPr>
          <w:p w14:paraId="76979022" w14:textId="1EA3DB70" w:rsidR="00247AD4" w:rsidRPr="002B1807" w:rsidRDefault="00247AD4" w:rsidP="00247AD4">
            <w:pPr>
              <w:jc w:val="both"/>
              <w:rPr>
                <w:rFonts w:ascii="Arial" w:hAnsi="Arial" w:cs="Arial"/>
                <w:sz w:val="20"/>
                <w:szCs w:val="20"/>
              </w:rPr>
            </w:pPr>
            <w:r w:rsidRPr="002B1807">
              <w:rPr>
                <w:rFonts w:ascii="Arial" w:hAnsi="Arial" w:cs="Arial"/>
                <w:sz w:val="20"/>
                <w:szCs w:val="20"/>
              </w:rPr>
              <w:t>17</w:t>
            </w:r>
          </w:p>
        </w:tc>
        <w:tc>
          <w:tcPr>
            <w:tcW w:w="3117" w:type="dxa"/>
            <w:tcBorders>
              <w:top w:val="nil"/>
            </w:tcBorders>
          </w:tcPr>
          <w:p w14:paraId="2F815CF1" w14:textId="0F2617E8" w:rsidR="00247AD4" w:rsidRPr="002B1807" w:rsidRDefault="00247AD4" w:rsidP="00247AD4">
            <w:pPr>
              <w:jc w:val="both"/>
              <w:rPr>
                <w:rFonts w:ascii="Arial" w:hAnsi="Arial" w:cs="Arial"/>
                <w:sz w:val="20"/>
                <w:szCs w:val="20"/>
              </w:rPr>
            </w:pPr>
            <w:r w:rsidRPr="002B1807">
              <w:rPr>
                <w:rFonts w:ascii="Arial" w:hAnsi="Arial" w:cs="Arial"/>
                <w:sz w:val="20"/>
                <w:szCs w:val="20"/>
              </w:rPr>
              <w:t>31</w:t>
            </w:r>
          </w:p>
        </w:tc>
      </w:tr>
      <w:tr w:rsidR="00247AD4" w:rsidRPr="002B1807" w14:paraId="298B85F8" w14:textId="77777777" w:rsidTr="00247AD4">
        <w:tc>
          <w:tcPr>
            <w:tcW w:w="3116" w:type="dxa"/>
          </w:tcPr>
          <w:p w14:paraId="2FF05D51" w14:textId="436FC5F2" w:rsidR="00247AD4" w:rsidRPr="002B1807" w:rsidRDefault="00247AD4" w:rsidP="00247AD4">
            <w:pPr>
              <w:jc w:val="both"/>
              <w:rPr>
                <w:rFonts w:ascii="Arial" w:hAnsi="Arial" w:cs="Arial"/>
                <w:sz w:val="20"/>
                <w:szCs w:val="20"/>
              </w:rPr>
            </w:pPr>
            <w:r w:rsidRPr="002B1807">
              <w:rPr>
                <w:rFonts w:ascii="Arial" w:hAnsi="Arial" w:cs="Arial"/>
                <w:sz w:val="20"/>
                <w:szCs w:val="20"/>
              </w:rPr>
              <w:t>Vitamin B12 Insufficient</w:t>
            </w:r>
          </w:p>
        </w:tc>
        <w:tc>
          <w:tcPr>
            <w:tcW w:w="3117" w:type="dxa"/>
          </w:tcPr>
          <w:p w14:paraId="3338A6F2" w14:textId="3209A444" w:rsidR="00247AD4" w:rsidRPr="002B1807" w:rsidRDefault="00247AD4" w:rsidP="00247AD4">
            <w:pPr>
              <w:jc w:val="both"/>
              <w:rPr>
                <w:rFonts w:ascii="Arial" w:hAnsi="Arial" w:cs="Arial"/>
                <w:sz w:val="20"/>
                <w:szCs w:val="20"/>
              </w:rPr>
            </w:pPr>
            <w:r w:rsidRPr="002B1807">
              <w:rPr>
                <w:rFonts w:ascii="Arial" w:hAnsi="Arial" w:cs="Arial"/>
                <w:sz w:val="20"/>
                <w:szCs w:val="20"/>
              </w:rPr>
              <w:t>10</w:t>
            </w:r>
          </w:p>
        </w:tc>
        <w:tc>
          <w:tcPr>
            <w:tcW w:w="3117" w:type="dxa"/>
          </w:tcPr>
          <w:p w14:paraId="1F69666F" w14:textId="36EF85E4" w:rsidR="00247AD4" w:rsidRPr="002B1807" w:rsidRDefault="00247AD4" w:rsidP="00247AD4">
            <w:pPr>
              <w:jc w:val="both"/>
              <w:rPr>
                <w:rFonts w:ascii="Arial" w:hAnsi="Arial" w:cs="Arial"/>
                <w:sz w:val="20"/>
                <w:szCs w:val="20"/>
              </w:rPr>
            </w:pPr>
            <w:r w:rsidRPr="002B1807">
              <w:rPr>
                <w:rFonts w:ascii="Arial" w:hAnsi="Arial" w:cs="Arial"/>
                <w:sz w:val="20"/>
                <w:szCs w:val="20"/>
              </w:rPr>
              <w:t>15</w:t>
            </w:r>
          </w:p>
        </w:tc>
      </w:tr>
      <w:tr w:rsidR="00247AD4" w:rsidRPr="002B1807" w14:paraId="06E7E454" w14:textId="77777777" w:rsidTr="00247AD4">
        <w:tc>
          <w:tcPr>
            <w:tcW w:w="3116" w:type="dxa"/>
          </w:tcPr>
          <w:p w14:paraId="689F462B" w14:textId="1DF056B8" w:rsidR="00247AD4" w:rsidRPr="002B1807" w:rsidRDefault="00247AD4" w:rsidP="00247AD4">
            <w:pPr>
              <w:jc w:val="both"/>
              <w:rPr>
                <w:rFonts w:ascii="Arial" w:hAnsi="Arial" w:cs="Arial"/>
                <w:sz w:val="20"/>
                <w:szCs w:val="20"/>
              </w:rPr>
            </w:pPr>
            <w:r w:rsidRPr="002B1807">
              <w:rPr>
                <w:rFonts w:ascii="Arial" w:hAnsi="Arial" w:cs="Arial"/>
                <w:sz w:val="20"/>
                <w:szCs w:val="20"/>
              </w:rPr>
              <w:t>Vitamin B12 Sufficient</w:t>
            </w:r>
          </w:p>
        </w:tc>
        <w:tc>
          <w:tcPr>
            <w:tcW w:w="3117" w:type="dxa"/>
          </w:tcPr>
          <w:p w14:paraId="4153DFF9" w14:textId="283B90FC" w:rsidR="00247AD4" w:rsidRPr="002B1807" w:rsidRDefault="00247AD4" w:rsidP="00247AD4">
            <w:pPr>
              <w:jc w:val="both"/>
              <w:rPr>
                <w:rFonts w:ascii="Arial" w:hAnsi="Arial" w:cs="Arial"/>
                <w:sz w:val="20"/>
                <w:szCs w:val="20"/>
              </w:rPr>
            </w:pPr>
            <w:r w:rsidRPr="002B1807">
              <w:rPr>
                <w:rFonts w:ascii="Arial" w:hAnsi="Arial" w:cs="Arial"/>
                <w:sz w:val="20"/>
                <w:szCs w:val="20"/>
              </w:rPr>
              <w:t>73</w:t>
            </w:r>
          </w:p>
        </w:tc>
        <w:tc>
          <w:tcPr>
            <w:tcW w:w="3117" w:type="dxa"/>
          </w:tcPr>
          <w:p w14:paraId="49C43311" w14:textId="1035D99C" w:rsidR="00247AD4" w:rsidRPr="002B1807" w:rsidRDefault="00247AD4" w:rsidP="00247AD4">
            <w:pPr>
              <w:jc w:val="both"/>
              <w:rPr>
                <w:rFonts w:ascii="Arial" w:hAnsi="Arial" w:cs="Arial"/>
                <w:sz w:val="20"/>
                <w:szCs w:val="20"/>
              </w:rPr>
            </w:pPr>
            <w:r w:rsidRPr="002B1807">
              <w:rPr>
                <w:rFonts w:ascii="Arial" w:hAnsi="Arial" w:cs="Arial"/>
                <w:sz w:val="20"/>
                <w:szCs w:val="20"/>
              </w:rPr>
              <w:t>54</w:t>
            </w:r>
          </w:p>
        </w:tc>
      </w:tr>
      <w:tr w:rsidR="00247AD4" w:rsidRPr="002B1807" w14:paraId="15A7D42A" w14:textId="77777777" w:rsidTr="00247AD4">
        <w:tc>
          <w:tcPr>
            <w:tcW w:w="3116" w:type="dxa"/>
          </w:tcPr>
          <w:p w14:paraId="092F1321" w14:textId="7CE9E2C6" w:rsidR="00247AD4" w:rsidRPr="002B1807" w:rsidRDefault="00247AD4" w:rsidP="00247AD4">
            <w:pPr>
              <w:jc w:val="both"/>
              <w:rPr>
                <w:rFonts w:ascii="Arial" w:hAnsi="Arial" w:cs="Arial"/>
                <w:sz w:val="20"/>
                <w:szCs w:val="20"/>
              </w:rPr>
            </w:pPr>
            <w:r w:rsidRPr="002B1807">
              <w:rPr>
                <w:rFonts w:ascii="Arial" w:hAnsi="Arial" w:cs="Arial"/>
                <w:sz w:val="20"/>
                <w:szCs w:val="20"/>
              </w:rPr>
              <w:t>Folate Deficient</w:t>
            </w:r>
          </w:p>
        </w:tc>
        <w:tc>
          <w:tcPr>
            <w:tcW w:w="3117" w:type="dxa"/>
          </w:tcPr>
          <w:p w14:paraId="6DFD9DB2" w14:textId="33ADD378" w:rsidR="00247AD4" w:rsidRPr="002B1807" w:rsidRDefault="00247AD4" w:rsidP="00247AD4">
            <w:pPr>
              <w:jc w:val="both"/>
              <w:rPr>
                <w:rFonts w:ascii="Arial" w:hAnsi="Arial" w:cs="Arial"/>
                <w:sz w:val="20"/>
                <w:szCs w:val="20"/>
              </w:rPr>
            </w:pPr>
            <w:r w:rsidRPr="002B1807">
              <w:rPr>
                <w:rFonts w:ascii="Arial" w:hAnsi="Arial" w:cs="Arial"/>
                <w:sz w:val="20"/>
                <w:szCs w:val="20"/>
              </w:rPr>
              <w:t>3</w:t>
            </w:r>
          </w:p>
        </w:tc>
        <w:tc>
          <w:tcPr>
            <w:tcW w:w="3117" w:type="dxa"/>
          </w:tcPr>
          <w:p w14:paraId="3597A529" w14:textId="2E968114" w:rsidR="00247AD4" w:rsidRPr="002B1807" w:rsidRDefault="00247AD4" w:rsidP="00247AD4">
            <w:pPr>
              <w:jc w:val="both"/>
              <w:rPr>
                <w:rFonts w:ascii="Arial" w:hAnsi="Arial" w:cs="Arial"/>
                <w:sz w:val="20"/>
                <w:szCs w:val="20"/>
              </w:rPr>
            </w:pPr>
            <w:r w:rsidRPr="002B1807">
              <w:rPr>
                <w:rFonts w:ascii="Arial" w:hAnsi="Arial" w:cs="Arial"/>
                <w:sz w:val="20"/>
                <w:szCs w:val="20"/>
              </w:rPr>
              <w:t>4</w:t>
            </w:r>
          </w:p>
        </w:tc>
      </w:tr>
      <w:tr w:rsidR="00247AD4" w:rsidRPr="002B1807" w14:paraId="4E2E1364" w14:textId="77777777" w:rsidTr="00247AD4">
        <w:tc>
          <w:tcPr>
            <w:tcW w:w="3116" w:type="dxa"/>
          </w:tcPr>
          <w:p w14:paraId="6283008F" w14:textId="5EE2B7FA" w:rsidR="00247AD4" w:rsidRPr="002B1807" w:rsidRDefault="00247AD4" w:rsidP="00247AD4">
            <w:pPr>
              <w:jc w:val="both"/>
              <w:rPr>
                <w:rFonts w:ascii="Arial" w:hAnsi="Arial" w:cs="Arial"/>
                <w:sz w:val="20"/>
                <w:szCs w:val="20"/>
              </w:rPr>
            </w:pPr>
            <w:r w:rsidRPr="002B1807">
              <w:rPr>
                <w:rFonts w:ascii="Arial" w:hAnsi="Arial" w:cs="Arial"/>
                <w:sz w:val="20"/>
                <w:szCs w:val="20"/>
              </w:rPr>
              <w:t>Folate Sufficient</w:t>
            </w:r>
          </w:p>
        </w:tc>
        <w:tc>
          <w:tcPr>
            <w:tcW w:w="3117" w:type="dxa"/>
          </w:tcPr>
          <w:p w14:paraId="56B95BB8" w14:textId="3AB8D83F" w:rsidR="00247AD4" w:rsidRPr="002B1807" w:rsidRDefault="00247AD4" w:rsidP="00247AD4">
            <w:pPr>
              <w:jc w:val="both"/>
              <w:rPr>
                <w:rFonts w:ascii="Arial" w:hAnsi="Arial" w:cs="Arial"/>
                <w:sz w:val="20"/>
                <w:szCs w:val="20"/>
              </w:rPr>
            </w:pPr>
            <w:r w:rsidRPr="002B1807">
              <w:rPr>
                <w:rFonts w:ascii="Arial" w:hAnsi="Arial" w:cs="Arial"/>
                <w:sz w:val="20"/>
                <w:szCs w:val="20"/>
              </w:rPr>
              <w:t>97</w:t>
            </w:r>
          </w:p>
        </w:tc>
        <w:tc>
          <w:tcPr>
            <w:tcW w:w="3117" w:type="dxa"/>
          </w:tcPr>
          <w:p w14:paraId="20007FA8" w14:textId="604CCE57" w:rsidR="00247AD4" w:rsidRPr="002B1807" w:rsidRDefault="00247AD4" w:rsidP="00247AD4">
            <w:pPr>
              <w:jc w:val="both"/>
              <w:rPr>
                <w:rFonts w:ascii="Arial" w:hAnsi="Arial" w:cs="Arial"/>
                <w:sz w:val="20"/>
                <w:szCs w:val="20"/>
              </w:rPr>
            </w:pPr>
            <w:r w:rsidRPr="002B1807">
              <w:rPr>
                <w:rFonts w:ascii="Arial" w:hAnsi="Arial" w:cs="Arial"/>
                <w:sz w:val="20"/>
                <w:szCs w:val="20"/>
              </w:rPr>
              <w:t>96</w:t>
            </w:r>
          </w:p>
        </w:tc>
      </w:tr>
    </w:tbl>
    <w:p w14:paraId="5702BED5" w14:textId="77777777" w:rsidR="004F4326" w:rsidRPr="002B1807" w:rsidRDefault="004F4326" w:rsidP="003C03A2">
      <w:pPr>
        <w:jc w:val="both"/>
        <w:rPr>
          <w:rFonts w:ascii="Arial" w:hAnsi="Arial" w:cs="Arial"/>
          <w:sz w:val="20"/>
          <w:szCs w:val="20"/>
        </w:rPr>
      </w:pPr>
    </w:p>
    <w:p w14:paraId="125BEF30" w14:textId="6B54EEE9" w:rsidR="001D199C" w:rsidRPr="003A1949" w:rsidRDefault="001D199C" w:rsidP="003C03A2">
      <w:pPr>
        <w:jc w:val="both"/>
        <w:rPr>
          <w:rFonts w:ascii="Arial" w:hAnsi="Arial" w:cs="Arial"/>
          <w:b/>
          <w:bCs/>
        </w:rPr>
      </w:pPr>
      <w:r w:rsidRPr="003A1949">
        <w:rPr>
          <w:rFonts w:ascii="Arial" w:hAnsi="Arial" w:cs="Arial"/>
          <w:b/>
          <w:bCs/>
        </w:rPr>
        <w:t>4.4 Summary of Chi-Square Test Results for Categorical Variable</w:t>
      </w:r>
    </w:p>
    <w:p w14:paraId="316F6788" w14:textId="0C9FBF8A" w:rsidR="00686D8F" w:rsidRPr="002B1807" w:rsidRDefault="001D199C" w:rsidP="003C03A2">
      <w:pPr>
        <w:jc w:val="both"/>
        <w:rPr>
          <w:rFonts w:ascii="Arial" w:hAnsi="Arial" w:cs="Arial"/>
          <w:sz w:val="20"/>
          <w:szCs w:val="20"/>
        </w:rPr>
      </w:pPr>
      <w:r w:rsidRPr="002B1807">
        <w:rPr>
          <w:rFonts w:ascii="Arial" w:hAnsi="Arial" w:cs="Arial"/>
          <w:sz w:val="20"/>
          <w:szCs w:val="20"/>
        </w:rPr>
        <w:t xml:space="preserve">The table below presents the outcomes of chi-square analyses evaluating the relationship between categorical variables and GDM, </w:t>
      </w:r>
      <w:r w:rsidR="008F0CB8" w:rsidRPr="002B1807">
        <w:rPr>
          <w:rFonts w:ascii="Arial" w:hAnsi="Arial" w:cs="Arial"/>
          <w:sz w:val="20"/>
          <w:szCs w:val="20"/>
        </w:rPr>
        <w:t>both continuous and categorical variables with GDM status. These include grouped serum Vitamin B12 and folate levels, delivery type, and vitamin supplementation before and during pregnancy.</w:t>
      </w:r>
    </w:p>
    <w:p w14:paraId="22886EA1" w14:textId="77777777" w:rsidR="00247AD4" w:rsidRPr="003A1949" w:rsidRDefault="00257E8B" w:rsidP="003C03A2">
      <w:pPr>
        <w:jc w:val="both"/>
        <w:rPr>
          <w:rFonts w:ascii="Arial" w:hAnsi="Arial" w:cs="Arial"/>
        </w:rPr>
      </w:pPr>
      <w:r w:rsidRPr="003A1949">
        <w:rPr>
          <w:rFonts w:ascii="Arial" w:hAnsi="Arial" w:cs="Arial"/>
          <w:b/>
          <w:bCs/>
        </w:rPr>
        <w:t>Table 4</w:t>
      </w:r>
      <w:r w:rsidRPr="003A1949">
        <w:rPr>
          <w:rFonts w:ascii="Arial" w:hAnsi="Arial" w:cs="Arial"/>
        </w:rPr>
        <w:t xml:space="preserve"> </w:t>
      </w:r>
    </w:p>
    <w:p w14:paraId="429ADFF0" w14:textId="1BCB7F57" w:rsidR="00257E8B" w:rsidRPr="002B1807" w:rsidRDefault="001D199C" w:rsidP="003C03A2">
      <w:pPr>
        <w:jc w:val="both"/>
        <w:rPr>
          <w:rFonts w:ascii="Arial" w:hAnsi="Arial" w:cs="Arial"/>
          <w:sz w:val="20"/>
          <w:szCs w:val="20"/>
        </w:rPr>
      </w:pPr>
      <w:r w:rsidRPr="002B1807">
        <w:rPr>
          <w:rFonts w:ascii="Arial" w:hAnsi="Arial" w:cs="Arial"/>
          <w:sz w:val="20"/>
          <w:szCs w:val="20"/>
        </w:rPr>
        <w:t>Summary of Chi-Square Analyses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613"/>
        <w:gridCol w:w="1870"/>
        <w:gridCol w:w="1870"/>
        <w:gridCol w:w="1870"/>
      </w:tblGrid>
      <w:tr w:rsidR="00247AD4" w:rsidRPr="002B1807" w14:paraId="1A2DD812" w14:textId="77777777" w:rsidTr="00F36354">
        <w:tc>
          <w:tcPr>
            <w:tcW w:w="2127" w:type="dxa"/>
            <w:tcBorders>
              <w:top w:val="single" w:sz="4" w:space="0" w:color="auto"/>
              <w:bottom w:val="nil"/>
            </w:tcBorders>
          </w:tcPr>
          <w:p w14:paraId="7D56EE21" w14:textId="353BE8F1" w:rsidR="00247AD4" w:rsidRPr="002B1807" w:rsidRDefault="00247AD4" w:rsidP="00247AD4">
            <w:pPr>
              <w:jc w:val="both"/>
              <w:rPr>
                <w:rFonts w:ascii="Arial" w:hAnsi="Arial" w:cs="Arial"/>
                <w:sz w:val="20"/>
                <w:szCs w:val="20"/>
              </w:rPr>
            </w:pPr>
            <w:r w:rsidRPr="002B1807">
              <w:rPr>
                <w:rFonts w:ascii="Arial" w:hAnsi="Arial" w:cs="Arial"/>
                <w:sz w:val="20"/>
                <w:szCs w:val="20"/>
              </w:rPr>
              <w:t>Variable</w:t>
            </w:r>
          </w:p>
        </w:tc>
        <w:tc>
          <w:tcPr>
            <w:tcW w:w="1613" w:type="dxa"/>
            <w:tcBorders>
              <w:top w:val="single" w:sz="4" w:space="0" w:color="auto"/>
              <w:bottom w:val="nil"/>
            </w:tcBorders>
          </w:tcPr>
          <w:p w14:paraId="7B24B89E" w14:textId="77777777" w:rsidR="00247AD4" w:rsidRPr="002B1807" w:rsidRDefault="00247AD4" w:rsidP="00247AD4">
            <w:pPr>
              <w:jc w:val="both"/>
              <w:rPr>
                <w:rFonts w:ascii="Arial" w:hAnsi="Arial" w:cs="Arial"/>
                <w:sz w:val="20"/>
                <w:szCs w:val="20"/>
              </w:rPr>
            </w:pPr>
            <w:r w:rsidRPr="002B1807">
              <w:rPr>
                <w:rFonts w:ascii="Arial" w:hAnsi="Arial" w:cs="Arial"/>
                <w:sz w:val="20"/>
                <w:szCs w:val="20"/>
              </w:rPr>
              <w:t>Chi-square (χ²)</w:t>
            </w:r>
          </w:p>
          <w:p w14:paraId="0AFA6F8A" w14:textId="56642756" w:rsidR="00247AD4" w:rsidRPr="002B1807" w:rsidRDefault="00247AD4" w:rsidP="00247AD4">
            <w:pPr>
              <w:jc w:val="both"/>
              <w:rPr>
                <w:rFonts w:ascii="Arial" w:hAnsi="Arial" w:cs="Arial"/>
                <w:sz w:val="20"/>
                <w:szCs w:val="20"/>
              </w:rPr>
            </w:pPr>
          </w:p>
        </w:tc>
        <w:tc>
          <w:tcPr>
            <w:tcW w:w="1870" w:type="dxa"/>
            <w:tcBorders>
              <w:top w:val="single" w:sz="4" w:space="0" w:color="auto"/>
              <w:bottom w:val="nil"/>
            </w:tcBorders>
          </w:tcPr>
          <w:p w14:paraId="4495A4E0" w14:textId="5B45FA83" w:rsidR="00247AD4" w:rsidRPr="002B1807" w:rsidRDefault="00247AD4" w:rsidP="00247AD4">
            <w:pPr>
              <w:jc w:val="both"/>
              <w:rPr>
                <w:rFonts w:ascii="Arial" w:hAnsi="Arial" w:cs="Arial"/>
                <w:sz w:val="20"/>
                <w:szCs w:val="20"/>
              </w:rPr>
            </w:pPr>
            <w:r w:rsidRPr="002B1807">
              <w:rPr>
                <w:rFonts w:ascii="Arial" w:hAnsi="Arial" w:cs="Arial"/>
                <w:sz w:val="20"/>
                <w:szCs w:val="20"/>
              </w:rPr>
              <w:t>df</w:t>
            </w:r>
          </w:p>
        </w:tc>
        <w:tc>
          <w:tcPr>
            <w:tcW w:w="1870" w:type="dxa"/>
            <w:tcBorders>
              <w:top w:val="single" w:sz="4" w:space="0" w:color="auto"/>
              <w:bottom w:val="nil"/>
            </w:tcBorders>
          </w:tcPr>
          <w:p w14:paraId="3BE2F181" w14:textId="26A85F7D" w:rsidR="00247AD4" w:rsidRPr="002B1807" w:rsidRDefault="00247AD4" w:rsidP="00247AD4">
            <w:pPr>
              <w:jc w:val="both"/>
              <w:rPr>
                <w:rFonts w:ascii="Arial" w:hAnsi="Arial" w:cs="Arial"/>
                <w:sz w:val="20"/>
                <w:szCs w:val="20"/>
              </w:rPr>
            </w:pPr>
            <w:r w:rsidRPr="002B1807">
              <w:rPr>
                <w:rFonts w:ascii="Arial" w:hAnsi="Arial" w:cs="Arial"/>
                <w:sz w:val="20"/>
                <w:szCs w:val="20"/>
              </w:rPr>
              <w:t>p-value</w:t>
            </w:r>
          </w:p>
        </w:tc>
        <w:tc>
          <w:tcPr>
            <w:tcW w:w="1870" w:type="dxa"/>
            <w:tcBorders>
              <w:top w:val="single" w:sz="4" w:space="0" w:color="auto"/>
              <w:bottom w:val="nil"/>
            </w:tcBorders>
          </w:tcPr>
          <w:p w14:paraId="0C57AA53" w14:textId="24640778" w:rsidR="00247AD4" w:rsidRPr="002B1807" w:rsidRDefault="00247AD4" w:rsidP="00247AD4">
            <w:pPr>
              <w:jc w:val="both"/>
              <w:rPr>
                <w:rFonts w:ascii="Arial" w:hAnsi="Arial" w:cs="Arial"/>
                <w:sz w:val="20"/>
                <w:szCs w:val="20"/>
              </w:rPr>
            </w:pPr>
            <w:r w:rsidRPr="002B1807">
              <w:rPr>
                <w:rFonts w:ascii="Arial" w:hAnsi="Arial" w:cs="Arial"/>
                <w:sz w:val="20"/>
                <w:szCs w:val="20"/>
              </w:rPr>
              <w:t>Significance</w:t>
            </w:r>
          </w:p>
        </w:tc>
      </w:tr>
      <w:tr w:rsidR="00F36354" w:rsidRPr="002B1807" w14:paraId="2438AEE3" w14:textId="77777777" w:rsidTr="00F36354">
        <w:tc>
          <w:tcPr>
            <w:tcW w:w="2127" w:type="dxa"/>
            <w:tcBorders>
              <w:top w:val="single" w:sz="4" w:space="0" w:color="auto"/>
              <w:bottom w:val="nil"/>
            </w:tcBorders>
          </w:tcPr>
          <w:p w14:paraId="7E5E29B1" w14:textId="77777777" w:rsidR="00F36354" w:rsidRPr="002B1807" w:rsidRDefault="00F36354" w:rsidP="00247AD4">
            <w:pPr>
              <w:jc w:val="both"/>
              <w:rPr>
                <w:rFonts w:ascii="Arial" w:hAnsi="Arial" w:cs="Arial"/>
                <w:sz w:val="20"/>
                <w:szCs w:val="20"/>
              </w:rPr>
            </w:pPr>
          </w:p>
        </w:tc>
        <w:tc>
          <w:tcPr>
            <w:tcW w:w="1613" w:type="dxa"/>
            <w:tcBorders>
              <w:top w:val="single" w:sz="4" w:space="0" w:color="auto"/>
              <w:bottom w:val="nil"/>
            </w:tcBorders>
          </w:tcPr>
          <w:p w14:paraId="7D725552"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26402BE4"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06E0A279" w14:textId="77777777" w:rsidR="00F36354" w:rsidRPr="002B1807" w:rsidRDefault="00F36354" w:rsidP="00247AD4">
            <w:pPr>
              <w:jc w:val="both"/>
              <w:rPr>
                <w:rFonts w:ascii="Arial" w:hAnsi="Arial" w:cs="Arial"/>
                <w:sz w:val="20"/>
                <w:szCs w:val="20"/>
              </w:rPr>
            </w:pPr>
          </w:p>
        </w:tc>
        <w:tc>
          <w:tcPr>
            <w:tcW w:w="1870" w:type="dxa"/>
            <w:tcBorders>
              <w:top w:val="single" w:sz="4" w:space="0" w:color="auto"/>
              <w:bottom w:val="nil"/>
            </w:tcBorders>
          </w:tcPr>
          <w:p w14:paraId="72C5AADC" w14:textId="77777777" w:rsidR="00F36354" w:rsidRPr="002B1807" w:rsidRDefault="00F36354" w:rsidP="00247AD4">
            <w:pPr>
              <w:jc w:val="both"/>
              <w:rPr>
                <w:rFonts w:ascii="Arial" w:hAnsi="Arial" w:cs="Arial"/>
                <w:sz w:val="20"/>
                <w:szCs w:val="20"/>
              </w:rPr>
            </w:pPr>
          </w:p>
        </w:tc>
      </w:tr>
      <w:tr w:rsidR="00247AD4" w:rsidRPr="002B1807" w14:paraId="17DA6904" w14:textId="77777777" w:rsidTr="00F36354">
        <w:tc>
          <w:tcPr>
            <w:tcW w:w="2127" w:type="dxa"/>
            <w:tcBorders>
              <w:top w:val="nil"/>
            </w:tcBorders>
          </w:tcPr>
          <w:p w14:paraId="6BC6DA91" w14:textId="383B5CE0" w:rsidR="00247AD4" w:rsidRPr="002B1807" w:rsidRDefault="00247AD4" w:rsidP="00247AD4">
            <w:pPr>
              <w:rPr>
                <w:rFonts w:ascii="Arial" w:hAnsi="Arial" w:cs="Arial"/>
                <w:sz w:val="20"/>
                <w:szCs w:val="20"/>
              </w:rPr>
            </w:pPr>
            <w:r w:rsidRPr="002B1807">
              <w:rPr>
                <w:rFonts w:ascii="Arial" w:hAnsi="Arial" w:cs="Arial"/>
                <w:sz w:val="20"/>
                <w:szCs w:val="20"/>
              </w:rPr>
              <w:t>Vitamin B12 Category</w:t>
            </w:r>
          </w:p>
        </w:tc>
        <w:tc>
          <w:tcPr>
            <w:tcW w:w="1613" w:type="dxa"/>
            <w:tcBorders>
              <w:top w:val="nil"/>
            </w:tcBorders>
          </w:tcPr>
          <w:p w14:paraId="46BBD713" w14:textId="28762F9E" w:rsidR="00247AD4" w:rsidRPr="002B1807" w:rsidRDefault="00247AD4" w:rsidP="00247AD4">
            <w:pPr>
              <w:jc w:val="both"/>
              <w:rPr>
                <w:rFonts w:ascii="Arial" w:hAnsi="Arial" w:cs="Arial"/>
                <w:sz w:val="20"/>
                <w:szCs w:val="20"/>
              </w:rPr>
            </w:pPr>
            <w:r w:rsidRPr="002B1807">
              <w:rPr>
                <w:rFonts w:ascii="Arial" w:hAnsi="Arial" w:cs="Arial"/>
                <w:sz w:val="20"/>
                <w:szCs w:val="20"/>
              </w:rPr>
              <w:t>7.93</w:t>
            </w:r>
          </w:p>
        </w:tc>
        <w:tc>
          <w:tcPr>
            <w:tcW w:w="1870" w:type="dxa"/>
            <w:tcBorders>
              <w:top w:val="nil"/>
            </w:tcBorders>
          </w:tcPr>
          <w:p w14:paraId="2F36CB0C" w14:textId="590D876E"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Borders>
              <w:top w:val="nil"/>
            </w:tcBorders>
          </w:tcPr>
          <w:p w14:paraId="64184859" w14:textId="7711684A" w:rsidR="00247AD4" w:rsidRPr="002B1807" w:rsidRDefault="00247AD4" w:rsidP="00247AD4">
            <w:pPr>
              <w:jc w:val="both"/>
              <w:rPr>
                <w:rFonts w:ascii="Arial" w:hAnsi="Arial" w:cs="Arial"/>
                <w:sz w:val="20"/>
                <w:szCs w:val="20"/>
              </w:rPr>
            </w:pPr>
            <w:r w:rsidRPr="002B1807">
              <w:rPr>
                <w:rFonts w:ascii="Arial" w:hAnsi="Arial" w:cs="Arial"/>
                <w:sz w:val="20"/>
                <w:szCs w:val="20"/>
              </w:rPr>
              <w:t>0.019</w:t>
            </w:r>
          </w:p>
        </w:tc>
        <w:tc>
          <w:tcPr>
            <w:tcW w:w="1870" w:type="dxa"/>
            <w:tcBorders>
              <w:top w:val="nil"/>
            </w:tcBorders>
          </w:tcPr>
          <w:p w14:paraId="129C78FE" w14:textId="71DADD36"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r w:rsidR="00247AD4" w:rsidRPr="002B1807" w14:paraId="2ECAD956" w14:textId="77777777" w:rsidTr="00247AD4">
        <w:tc>
          <w:tcPr>
            <w:tcW w:w="2127" w:type="dxa"/>
          </w:tcPr>
          <w:p w14:paraId="30FB6F88" w14:textId="7465440B" w:rsidR="00247AD4" w:rsidRPr="002B1807" w:rsidRDefault="00247AD4" w:rsidP="00247AD4">
            <w:pPr>
              <w:jc w:val="both"/>
              <w:rPr>
                <w:rFonts w:ascii="Arial" w:hAnsi="Arial" w:cs="Arial"/>
                <w:sz w:val="20"/>
                <w:szCs w:val="20"/>
              </w:rPr>
            </w:pPr>
            <w:r w:rsidRPr="002B1807">
              <w:rPr>
                <w:rFonts w:ascii="Arial" w:hAnsi="Arial" w:cs="Arial"/>
                <w:sz w:val="20"/>
                <w:szCs w:val="20"/>
              </w:rPr>
              <w:t>Folate Category</w:t>
            </w:r>
          </w:p>
        </w:tc>
        <w:tc>
          <w:tcPr>
            <w:tcW w:w="1613" w:type="dxa"/>
          </w:tcPr>
          <w:p w14:paraId="38F28D46" w14:textId="6BF05BB2" w:rsidR="00247AD4" w:rsidRPr="002B1807" w:rsidRDefault="00247AD4" w:rsidP="00247AD4">
            <w:pPr>
              <w:jc w:val="both"/>
              <w:rPr>
                <w:rFonts w:ascii="Arial" w:hAnsi="Arial" w:cs="Arial"/>
                <w:sz w:val="20"/>
                <w:szCs w:val="20"/>
              </w:rPr>
            </w:pPr>
            <w:r w:rsidRPr="002B1807">
              <w:rPr>
                <w:rFonts w:ascii="Arial" w:hAnsi="Arial" w:cs="Arial"/>
                <w:sz w:val="20"/>
                <w:szCs w:val="20"/>
              </w:rPr>
              <w:t>0.00</w:t>
            </w:r>
          </w:p>
        </w:tc>
        <w:tc>
          <w:tcPr>
            <w:tcW w:w="1870" w:type="dxa"/>
          </w:tcPr>
          <w:p w14:paraId="4C227A3D" w14:textId="7EFAA5AF" w:rsidR="00247AD4" w:rsidRPr="002B1807" w:rsidRDefault="00247AD4" w:rsidP="00247AD4">
            <w:pPr>
              <w:jc w:val="both"/>
              <w:rPr>
                <w:rFonts w:ascii="Arial" w:hAnsi="Arial" w:cs="Arial"/>
                <w:sz w:val="20"/>
                <w:szCs w:val="20"/>
              </w:rPr>
            </w:pPr>
            <w:r w:rsidRPr="002B1807">
              <w:rPr>
                <w:rFonts w:ascii="Arial" w:hAnsi="Arial" w:cs="Arial"/>
                <w:sz w:val="20"/>
                <w:szCs w:val="20"/>
              </w:rPr>
              <w:t>1</w:t>
            </w:r>
          </w:p>
        </w:tc>
        <w:tc>
          <w:tcPr>
            <w:tcW w:w="1870" w:type="dxa"/>
          </w:tcPr>
          <w:p w14:paraId="61B85EC2" w14:textId="70B32BAC" w:rsidR="00247AD4" w:rsidRPr="002B1807" w:rsidRDefault="00247AD4" w:rsidP="00247AD4">
            <w:pPr>
              <w:jc w:val="both"/>
              <w:rPr>
                <w:rFonts w:ascii="Arial" w:hAnsi="Arial" w:cs="Arial"/>
                <w:sz w:val="20"/>
                <w:szCs w:val="20"/>
              </w:rPr>
            </w:pPr>
            <w:r w:rsidRPr="002B1807">
              <w:rPr>
                <w:rFonts w:ascii="Arial" w:hAnsi="Arial" w:cs="Arial"/>
                <w:sz w:val="20"/>
                <w:szCs w:val="20"/>
              </w:rPr>
              <w:t>1.000</w:t>
            </w:r>
          </w:p>
        </w:tc>
        <w:tc>
          <w:tcPr>
            <w:tcW w:w="1870" w:type="dxa"/>
          </w:tcPr>
          <w:p w14:paraId="79182831" w14:textId="249F647D" w:rsidR="00247AD4" w:rsidRPr="002B1807" w:rsidRDefault="00247AD4" w:rsidP="00247AD4">
            <w:pPr>
              <w:jc w:val="both"/>
              <w:rPr>
                <w:rFonts w:ascii="Arial" w:hAnsi="Arial" w:cs="Arial"/>
                <w:sz w:val="20"/>
                <w:szCs w:val="20"/>
              </w:rPr>
            </w:pPr>
            <w:r w:rsidRPr="002B1807">
              <w:rPr>
                <w:rFonts w:ascii="Arial" w:hAnsi="Arial" w:cs="Arial"/>
                <w:sz w:val="20"/>
                <w:szCs w:val="20"/>
              </w:rPr>
              <w:t>No</w:t>
            </w:r>
          </w:p>
        </w:tc>
      </w:tr>
      <w:tr w:rsidR="00247AD4" w:rsidRPr="002B1807" w14:paraId="06BE706A" w14:textId="77777777" w:rsidTr="00247AD4">
        <w:tc>
          <w:tcPr>
            <w:tcW w:w="2127" w:type="dxa"/>
          </w:tcPr>
          <w:p w14:paraId="370083B2" w14:textId="11DEE4C2" w:rsidR="00247AD4" w:rsidRPr="002B1807" w:rsidRDefault="00247AD4" w:rsidP="00247AD4">
            <w:pPr>
              <w:rPr>
                <w:rFonts w:ascii="Arial" w:hAnsi="Arial" w:cs="Arial"/>
                <w:sz w:val="20"/>
                <w:szCs w:val="20"/>
              </w:rPr>
            </w:pPr>
            <w:r w:rsidRPr="002B1807">
              <w:rPr>
                <w:rFonts w:ascii="Arial" w:hAnsi="Arial" w:cs="Arial"/>
                <w:sz w:val="20"/>
                <w:szCs w:val="20"/>
              </w:rPr>
              <w:t>First Delivery Cesarean</w:t>
            </w:r>
          </w:p>
        </w:tc>
        <w:tc>
          <w:tcPr>
            <w:tcW w:w="1613" w:type="dxa"/>
          </w:tcPr>
          <w:p w14:paraId="29C91A22" w14:textId="2EFA95AF" w:rsidR="00247AD4" w:rsidRPr="002B1807" w:rsidRDefault="00247AD4" w:rsidP="00247AD4">
            <w:pPr>
              <w:jc w:val="both"/>
              <w:rPr>
                <w:rFonts w:ascii="Arial" w:hAnsi="Arial" w:cs="Arial"/>
                <w:sz w:val="20"/>
                <w:szCs w:val="20"/>
              </w:rPr>
            </w:pPr>
            <w:r w:rsidRPr="002B1807">
              <w:rPr>
                <w:rFonts w:ascii="Arial" w:hAnsi="Arial" w:cs="Arial"/>
                <w:sz w:val="20"/>
                <w:szCs w:val="20"/>
              </w:rPr>
              <w:t>26.86</w:t>
            </w:r>
          </w:p>
        </w:tc>
        <w:tc>
          <w:tcPr>
            <w:tcW w:w="1870" w:type="dxa"/>
          </w:tcPr>
          <w:p w14:paraId="22FC555B" w14:textId="5E4D1EAF"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Pr>
          <w:p w14:paraId="45635714" w14:textId="4F9EFDAF" w:rsidR="00247AD4" w:rsidRPr="002B1807" w:rsidRDefault="00247AD4" w:rsidP="00247AD4">
            <w:pPr>
              <w:jc w:val="both"/>
              <w:rPr>
                <w:rFonts w:ascii="Arial" w:hAnsi="Arial" w:cs="Arial"/>
                <w:sz w:val="20"/>
                <w:szCs w:val="20"/>
              </w:rPr>
            </w:pPr>
            <w:r w:rsidRPr="002B1807">
              <w:rPr>
                <w:rFonts w:ascii="Arial" w:hAnsi="Arial" w:cs="Arial"/>
                <w:sz w:val="20"/>
                <w:szCs w:val="20"/>
              </w:rPr>
              <w:t>0.000</w:t>
            </w:r>
          </w:p>
        </w:tc>
        <w:tc>
          <w:tcPr>
            <w:tcW w:w="1870" w:type="dxa"/>
          </w:tcPr>
          <w:p w14:paraId="0F107E00" w14:textId="217701CF"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r w:rsidR="00247AD4" w:rsidRPr="002B1807" w14:paraId="3EB3328C" w14:textId="77777777" w:rsidTr="00247AD4">
        <w:tc>
          <w:tcPr>
            <w:tcW w:w="2127" w:type="dxa"/>
          </w:tcPr>
          <w:p w14:paraId="52EB3EA4" w14:textId="6D8D36DE" w:rsidR="00247AD4" w:rsidRPr="002B1807" w:rsidRDefault="00247AD4" w:rsidP="00247AD4">
            <w:pPr>
              <w:jc w:val="both"/>
              <w:rPr>
                <w:rFonts w:ascii="Arial" w:hAnsi="Arial" w:cs="Arial"/>
                <w:sz w:val="20"/>
                <w:szCs w:val="20"/>
              </w:rPr>
            </w:pPr>
            <w:r w:rsidRPr="002B1807">
              <w:rPr>
                <w:rFonts w:ascii="Arial" w:hAnsi="Arial" w:cs="Arial"/>
                <w:sz w:val="20"/>
                <w:szCs w:val="20"/>
              </w:rPr>
              <w:t>Supplement Before Pregnancy</w:t>
            </w:r>
          </w:p>
        </w:tc>
        <w:tc>
          <w:tcPr>
            <w:tcW w:w="1613" w:type="dxa"/>
          </w:tcPr>
          <w:p w14:paraId="25CEF2E5" w14:textId="5D7EC63A" w:rsidR="00247AD4" w:rsidRPr="002B1807" w:rsidRDefault="00247AD4" w:rsidP="00247AD4">
            <w:pPr>
              <w:jc w:val="both"/>
              <w:rPr>
                <w:rFonts w:ascii="Arial" w:hAnsi="Arial" w:cs="Arial"/>
                <w:sz w:val="20"/>
                <w:szCs w:val="20"/>
              </w:rPr>
            </w:pPr>
            <w:r w:rsidRPr="002B1807">
              <w:rPr>
                <w:rFonts w:ascii="Arial" w:hAnsi="Arial" w:cs="Arial"/>
                <w:sz w:val="20"/>
                <w:szCs w:val="20"/>
              </w:rPr>
              <w:t>2.00</w:t>
            </w:r>
          </w:p>
        </w:tc>
        <w:tc>
          <w:tcPr>
            <w:tcW w:w="1870" w:type="dxa"/>
          </w:tcPr>
          <w:p w14:paraId="0F490274" w14:textId="63878858" w:rsidR="00247AD4" w:rsidRPr="002B1807" w:rsidRDefault="00247AD4" w:rsidP="00247AD4">
            <w:pPr>
              <w:jc w:val="both"/>
              <w:rPr>
                <w:rFonts w:ascii="Arial" w:hAnsi="Arial" w:cs="Arial"/>
                <w:sz w:val="20"/>
                <w:szCs w:val="20"/>
              </w:rPr>
            </w:pPr>
            <w:r w:rsidRPr="002B1807">
              <w:rPr>
                <w:rFonts w:ascii="Arial" w:hAnsi="Arial" w:cs="Arial"/>
                <w:sz w:val="20"/>
                <w:szCs w:val="20"/>
              </w:rPr>
              <w:t>2</w:t>
            </w:r>
          </w:p>
        </w:tc>
        <w:tc>
          <w:tcPr>
            <w:tcW w:w="1870" w:type="dxa"/>
          </w:tcPr>
          <w:p w14:paraId="7EEFC5A6" w14:textId="618679AC" w:rsidR="00247AD4" w:rsidRPr="002B1807" w:rsidRDefault="00247AD4" w:rsidP="00247AD4">
            <w:pPr>
              <w:jc w:val="both"/>
              <w:rPr>
                <w:rFonts w:ascii="Arial" w:hAnsi="Arial" w:cs="Arial"/>
                <w:sz w:val="20"/>
                <w:szCs w:val="20"/>
              </w:rPr>
            </w:pPr>
            <w:r w:rsidRPr="002B1807">
              <w:rPr>
                <w:rFonts w:ascii="Arial" w:hAnsi="Arial" w:cs="Arial"/>
                <w:sz w:val="20"/>
                <w:szCs w:val="20"/>
              </w:rPr>
              <w:t>0.368</w:t>
            </w:r>
          </w:p>
        </w:tc>
        <w:tc>
          <w:tcPr>
            <w:tcW w:w="1870" w:type="dxa"/>
          </w:tcPr>
          <w:p w14:paraId="4F7E6345" w14:textId="7EF6B64A" w:rsidR="00247AD4" w:rsidRPr="002B1807" w:rsidRDefault="00247AD4" w:rsidP="00247AD4">
            <w:pPr>
              <w:jc w:val="both"/>
              <w:rPr>
                <w:rFonts w:ascii="Arial" w:hAnsi="Arial" w:cs="Arial"/>
                <w:sz w:val="20"/>
                <w:szCs w:val="20"/>
              </w:rPr>
            </w:pPr>
            <w:r w:rsidRPr="002B1807">
              <w:rPr>
                <w:rFonts w:ascii="Arial" w:hAnsi="Arial" w:cs="Arial"/>
                <w:sz w:val="20"/>
                <w:szCs w:val="20"/>
              </w:rPr>
              <w:t>No</w:t>
            </w:r>
          </w:p>
        </w:tc>
      </w:tr>
      <w:tr w:rsidR="00247AD4" w:rsidRPr="002B1807" w14:paraId="4015540A" w14:textId="77777777" w:rsidTr="00247AD4">
        <w:tc>
          <w:tcPr>
            <w:tcW w:w="2127" w:type="dxa"/>
          </w:tcPr>
          <w:p w14:paraId="7BA6EE96" w14:textId="59BC29EB" w:rsidR="00247AD4" w:rsidRPr="002B1807" w:rsidRDefault="00247AD4" w:rsidP="00247AD4">
            <w:pPr>
              <w:jc w:val="both"/>
              <w:rPr>
                <w:rFonts w:ascii="Arial" w:hAnsi="Arial" w:cs="Arial"/>
                <w:sz w:val="20"/>
                <w:szCs w:val="20"/>
              </w:rPr>
            </w:pPr>
            <w:r w:rsidRPr="002B1807">
              <w:rPr>
                <w:rFonts w:ascii="Arial" w:hAnsi="Arial" w:cs="Arial"/>
                <w:sz w:val="20"/>
                <w:szCs w:val="20"/>
              </w:rPr>
              <w:t>Supplement During Pregnancy</w:t>
            </w:r>
          </w:p>
        </w:tc>
        <w:tc>
          <w:tcPr>
            <w:tcW w:w="1613" w:type="dxa"/>
          </w:tcPr>
          <w:p w14:paraId="4E1BE681" w14:textId="22A11216" w:rsidR="00247AD4" w:rsidRPr="002B1807" w:rsidRDefault="00247AD4" w:rsidP="00247AD4">
            <w:pPr>
              <w:jc w:val="both"/>
              <w:rPr>
                <w:rFonts w:ascii="Arial" w:hAnsi="Arial" w:cs="Arial"/>
                <w:sz w:val="20"/>
                <w:szCs w:val="20"/>
              </w:rPr>
            </w:pPr>
            <w:r w:rsidRPr="002B1807">
              <w:rPr>
                <w:rFonts w:ascii="Arial" w:hAnsi="Arial" w:cs="Arial"/>
                <w:sz w:val="20"/>
                <w:szCs w:val="20"/>
              </w:rPr>
              <w:t>47.02</w:t>
            </w:r>
          </w:p>
        </w:tc>
        <w:tc>
          <w:tcPr>
            <w:tcW w:w="1870" w:type="dxa"/>
          </w:tcPr>
          <w:p w14:paraId="1F66C000" w14:textId="183F972F" w:rsidR="00247AD4" w:rsidRPr="002B1807" w:rsidRDefault="00247AD4" w:rsidP="00247AD4">
            <w:pPr>
              <w:jc w:val="both"/>
              <w:rPr>
                <w:rFonts w:ascii="Arial" w:hAnsi="Arial" w:cs="Arial"/>
                <w:sz w:val="20"/>
                <w:szCs w:val="20"/>
              </w:rPr>
            </w:pPr>
            <w:r w:rsidRPr="002B1807">
              <w:rPr>
                <w:rFonts w:ascii="Arial" w:hAnsi="Arial" w:cs="Arial"/>
                <w:sz w:val="20"/>
                <w:szCs w:val="20"/>
              </w:rPr>
              <w:t>3</w:t>
            </w:r>
          </w:p>
        </w:tc>
        <w:tc>
          <w:tcPr>
            <w:tcW w:w="1870" w:type="dxa"/>
          </w:tcPr>
          <w:p w14:paraId="43E0915F" w14:textId="5A979A99" w:rsidR="00247AD4" w:rsidRPr="002B1807" w:rsidRDefault="00247AD4" w:rsidP="00247AD4">
            <w:pPr>
              <w:jc w:val="both"/>
              <w:rPr>
                <w:rFonts w:ascii="Arial" w:hAnsi="Arial" w:cs="Arial"/>
                <w:sz w:val="20"/>
                <w:szCs w:val="20"/>
              </w:rPr>
            </w:pPr>
            <w:r w:rsidRPr="002B1807">
              <w:rPr>
                <w:rFonts w:ascii="Arial" w:hAnsi="Arial" w:cs="Arial"/>
                <w:sz w:val="20"/>
                <w:szCs w:val="20"/>
              </w:rPr>
              <w:t>0.000</w:t>
            </w:r>
          </w:p>
        </w:tc>
        <w:tc>
          <w:tcPr>
            <w:tcW w:w="1870" w:type="dxa"/>
          </w:tcPr>
          <w:p w14:paraId="1935CD65" w14:textId="0512C616" w:rsidR="00247AD4" w:rsidRPr="002B1807" w:rsidRDefault="00247AD4" w:rsidP="00247AD4">
            <w:pPr>
              <w:jc w:val="both"/>
              <w:rPr>
                <w:rFonts w:ascii="Arial" w:hAnsi="Arial" w:cs="Arial"/>
                <w:sz w:val="20"/>
                <w:szCs w:val="20"/>
              </w:rPr>
            </w:pPr>
            <w:r w:rsidRPr="002B1807">
              <w:rPr>
                <w:rFonts w:ascii="Arial" w:hAnsi="Arial" w:cs="Arial"/>
                <w:sz w:val="20"/>
                <w:szCs w:val="20"/>
              </w:rPr>
              <w:t>Yes</w:t>
            </w:r>
          </w:p>
        </w:tc>
      </w:tr>
    </w:tbl>
    <w:p w14:paraId="5B354C7E" w14:textId="77777777" w:rsidR="00247AD4" w:rsidRPr="002B1807" w:rsidRDefault="00247AD4" w:rsidP="003C03A2">
      <w:pPr>
        <w:jc w:val="both"/>
        <w:rPr>
          <w:rFonts w:ascii="Arial" w:hAnsi="Arial" w:cs="Arial"/>
          <w:sz w:val="20"/>
          <w:szCs w:val="20"/>
        </w:rPr>
      </w:pPr>
    </w:p>
    <w:p w14:paraId="25B85BDC" w14:textId="254B1928" w:rsidR="00F70C80" w:rsidRPr="002B1807" w:rsidRDefault="001D199C" w:rsidP="00F70C80">
      <w:pPr>
        <w:jc w:val="both"/>
        <w:rPr>
          <w:rFonts w:ascii="Arial" w:hAnsi="Arial" w:cs="Arial"/>
          <w:sz w:val="20"/>
          <w:szCs w:val="20"/>
        </w:rPr>
      </w:pPr>
      <w:r w:rsidRPr="002B1807">
        <w:rPr>
          <w:rFonts w:ascii="Arial" w:hAnsi="Arial" w:cs="Arial"/>
          <w:sz w:val="20"/>
          <w:szCs w:val="20"/>
        </w:rPr>
        <w:t xml:space="preserve">The chi-square analysis (Table 4) revealed that several categorical factors were significantly associated with GDM status. In particular, serum vitamin B12 levels demonstrated a significant association with GDM (χ² = 7.93, df = 2, p = 0.019), </w:t>
      </w:r>
      <w:r w:rsidR="00D85327" w:rsidRPr="002B1807">
        <w:rPr>
          <w:rFonts w:ascii="Arial" w:hAnsi="Arial" w:cs="Arial"/>
          <w:sz w:val="20"/>
          <w:szCs w:val="20"/>
        </w:rPr>
        <w:t>showing that women with GDM had a greater incidence of vitamin B12 deficiency or insufficiency than non-GDM women. This data supports the probable significance of micronutrient imbalance, particularly vitamin B12 insufficiency, in the development of GDM, as previously revealed by Indian research stressing the relationship to insulin resistance and disrupted one-carbon metabolism (Swaminathan et al., 2020). In contrast, serum folate categories did not have a significant correlation with GDM (p = 1.000), indicating that folate alone may not be a robust predictor.</w:t>
      </w:r>
      <w:r w:rsidR="00F70C80" w:rsidRPr="002B1807">
        <w:rPr>
          <w:rFonts w:ascii="Arial" w:hAnsi="Arial" w:cs="Arial"/>
          <w:sz w:val="20"/>
          <w:szCs w:val="20"/>
        </w:rPr>
        <w:t xml:space="preserve"> Additionally, the association between folate and GDM is more intricate and may be determined by its ratio to vitamin B12 rather than just folate levels. </w:t>
      </w:r>
      <w:r w:rsidR="00C00E4E" w:rsidRPr="002B1807">
        <w:rPr>
          <w:rFonts w:ascii="Arial" w:hAnsi="Arial" w:cs="Arial"/>
          <w:sz w:val="20"/>
          <w:szCs w:val="20"/>
        </w:rPr>
        <w:t>Women with a prior history of cesarean delivery were significantly more likely to develop GDM in subsequent pregnancies (χ² = 26.86, p &lt; 0.001). T</w:t>
      </w:r>
      <w:r w:rsidR="00F70C80" w:rsidRPr="002B1807">
        <w:rPr>
          <w:rFonts w:ascii="Arial" w:hAnsi="Arial" w:cs="Arial"/>
          <w:sz w:val="20"/>
          <w:szCs w:val="20"/>
        </w:rPr>
        <w:t xml:space="preserve">his might be due to underlying </w:t>
      </w:r>
      <w:r w:rsidR="00F70C80" w:rsidRPr="002B1807">
        <w:rPr>
          <w:rFonts w:ascii="Arial" w:hAnsi="Arial" w:cs="Arial"/>
          <w:sz w:val="20"/>
          <w:szCs w:val="20"/>
        </w:rPr>
        <w:lastRenderedPageBreak/>
        <w:t>metabolic or obstetric risk factors that persist throughout pregnancies, as highlighted in previous population-based research (Rajput et al., 2013).</w:t>
      </w:r>
    </w:p>
    <w:p w14:paraId="3EB6407D" w14:textId="711B9ADA" w:rsidR="00F70C80" w:rsidRPr="002B1807" w:rsidRDefault="00C00E4E" w:rsidP="003C03A2">
      <w:pPr>
        <w:jc w:val="both"/>
        <w:rPr>
          <w:rFonts w:ascii="Arial" w:hAnsi="Arial" w:cs="Arial"/>
          <w:sz w:val="20"/>
          <w:szCs w:val="20"/>
        </w:rPr>
      </w:pPr>
      <w:r w:rsidRPr="002B1807">
        <w:rPr>
          <w:rFonts w:ascii="Arial" w:hAnsi="Arial" w:cs="Arial"/>
          <w:sz w:val="20"/>
          <w:szCs w:val="20"/>
        </w:rPr>
        <w:t xml:space="preserve">Similarly, the use of vitamin B12 and/or folic acid supplementation during pregnancy showed a significant association with GDM status </w:t>
      </w:r>
      <w:r w:rsidR="00F70C80" w:rsidRPr="002B1807">
        <w:rPr>
          <w:rFonts w:ascii="Arial" w:hAnsi="Arial" w:cs="Arial"/>
          <w:sz w:val="20"/>
          <w:szCs w:val="20"/>
        </w:rPr>
        <w:t>(χ² = 47.02, df = 3, p &lt; 0.001). This might indicate improved nutritional knowledge or healthcare access among women with GDM. However, pre-pregnancy supplementation did not demonstrate a significant connection (p = 0.368), indicating that the timing of micronutrient intervention may influence metabolic outcomes.</w:t>
      </w:r>
    </w:p>
    <w:p w14:paraId="64E9B8B3" w14:textId="605056B8" w:rsidR="0097590B" w:rsidRPr="002B1807" w:rsidRDefault="00A90548" w:rsidP="003C03A2">
      <w:pPr>
        <w:jc w:val="both"/>
        <w:rPr>
          <w:rFonts w:ascii="Arial" w:hAnsi="Arial" w:cs="Arial"/>
          <w:b/>
          <w:bCs/>
        </w:rPr>
      </w:pPr>
      <w:r w:rsidRPr="002B1807">
        <w:rPr>
          <w:rFonts w:ascii="Arial" w:hAnsi="Arial" w:cs="Arial"/>
          <w:b/>
          <w:bCs/>
        </w:rPr>
        <w:t>4</w:t>
      </w:r>
      <w:r w:rsidR="0097590B" w:rsidRPr="002B1807">
        <w:rPr>
          <w:rFonts w:ascii="Arial" w:hAnsi="Arial" w:cs="Arial"/>
          <w:b/>
          <w:bCs/>
        </w:rPr>
        <w:t>.</w:t>
      </w:r>
      <w:r w:rsidR="008F0CB8" w:rsidRPr="002B1807">
        <w:rPr>
          <w:rFonts w:ascii="Arial" w:hAnsi="Arial" w:cs="Arial"/>
          <w:b/>
          <w:bCs/>
        </w:rPr>
        <w:t>6</w:t>
      </w:r>
      <w:r w:rsidR="0097590B" w:rsidRPr="002B1807">
        <w:rPr>
          <w:rFonts w:ascii="Arial" w:hAnsi="Arial" w:cs="Arial"/>
          <w:b/>
          <w:bCs/>
        </w:rPr>
        <w:t xml:space="preserve"> Boxpl</w:t>
      </w:r>
      <w:r w:rsidR="00FC611A" w:rsidRPr="002B1807">
        <w:rPr>
          <w:rFonts w:ascii="Arial" w:hAnsi="Arial" w:cs="Arial"/>
          <w:b/>
          <w:bCs/>
        </w:rPr>
        <w:t xml:space="preserve">ots </w:t>
      </w:r>
      <w:r w:rsidR="00892480" w:rsidRPr="002B1807">
        <w:rPr>
          <w:rFonts w:ascii="Arial" w:hAnsi="Arial" w:cs="Arial"/>
          <w:b/>
          <w:bCs/>
        </w:rPr>
        <w:t xml:space="preserve">for continuous variables </w:t>
      </w:r>
    </w:p>
    <w:p w14:paraId="0086B30E" w14:textId="7B176A77" w:rsidR="008E73AA" w:rsidRPr="002B1807" w:rsidRDefault="008853D7" w:rsidP="003C03A2">
      <w:pPr>
        <w:jc w:val="both"/>
        <w:rPr>
          <w:rFonts w:ascii="Arial" w:hAnsi="Arial" w:cs="Arial"/>
          <w:sz w:val="20"/>
          <w:szCs w:val="20"/>
        </w:rPr>
      </w:pPr>
      <w:r w:rsidRPr="002B1807">
        <w:rPr>
          <w:rFonts w:ascii="Arial" w:hAnsi="Arial" w:cs="Arial"/>
          <w:sz w:val="20"/>
          <w:szCs w:val="20"/>
        </w:rPr>
        <w:t>The following boxplots visually compare GDM and non-GDM groups across key continuous variables such as age, BMI, blood pressure, HbA1c, and OGTT values. Boxplots provide a concise visualization of data distribution.</w:t>
      </w:r>
    </w:p>
    <w:p w14:paraId="51B4C281" w14:textId="77777777" w:rsidR="00A561A6" w:rsidRPr="003A1949" w:rsidRDefault="00A561A6" w:rsidP="003C03A2">
      <w:pPr>
        <w:jc w:val="both"/>
        <w:rPr>
          <w:rFonts w:ascii="Arial" w:hAnsi="Arial" w:cs="Arial"/>
        </w:rPr>
      </w:pPr>
    </w:p>
    <w:p w14:paraId="4141678E" w14:textId="77777777" w:rsidR="00A561A6" w:rsidRPr="003A1949" w:rsidRDefault="00A561A6" w:rsidP="003C03A2">
      <w:pPr>
        <w:jc w:val="both"/>
        <w:rPr>
          <w:rFonts w:ascii="Arial" w:hAnsi="Arial" w:cs="Arial"/>
        </w:rPr>
      </w:pPr>
    </w:p>
    <w:p w14:paraId="6726F3C0" w14:textId="77777777" w:rsidR="00A561A6" w:rsidRPr="003A1949" w:rsidRDefault="00A561A6" w:rsidP="003C03A2">
      <w:pPr>
        <w:jc w:val="both"/>
        <w:rPr>
          <w:rFonts w:ascii="Arial" w:hAnsi="Arial" w:cs="Arial"/>
        </w:rPr>
      </w:pPr>
    </w:p>
    <w:p w14:paraId="3367BA10" w14:textId="77777777" w:rsidR="00A561A6" w:rsidRPr="003A1949" w:rsidRDefault="00A561A6" w:rsidP="003C03A2">
      <w:pPr>
        <w:jc w:val="both"/>
        <w:rPr>
          <w:rFonts w:ascii="Arial" w:hAnsi="Arial" w:cs="Arial"/>
        </w:rPr>
      </w:pPr>
    </w:p>
    <w:p w14:paraId="571D42FC" w14:textId="21713697" w:rsidR="00FA7FEB" w:rsidRPr="003A1949" w:rsidRDefault="00FA7FEB" w:rsidP="003C03A2">
      <w:pPr>
        <w:jc w:val="both"/>
        <w:rPr>
          <w:rFonts w:ascii="Arial" w:hAnsi="Arial" w:cs="Arial"/>
        </w:rPr>
      </w:pPr>
    </w:p>
    <w:p w14:paraId="3F6A3602" w14:textId="77777777" w:rsidR="003653D3" w:rsidRPr="003A1949" w:rsidRDefault="003653D3" w:rsidP="003C03A2">
      <w:pPr>
        <w:jc w:val="both"/>
        <w:rPr>
          <w:rFonts w:ascii="Arial" w:hAnsi="Arial" w:cs="Arial"/>
        </w:rPr>
        <w:sectPr w:rsidR="003653D3" w:rsidRPr="003A19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8A7D8A9" w14:textId="663DE9CC" w:rsidR="00A561A6" w:rsidRPr="003A1949" w:rsidRDefault="006D3510" w:rsidP="003C03A2">
      <w:pPr>
        <w:jc w:val="both"/>
        <w:rPr>
          <w:rFonts w:ascii="Arial" w:hAnsi="Arial" w:cs="Arial"/>
        </w:rPr>
      </w:pPr>
      <w:r w:rsidRPr="003A1949">
        <w:rPr>
          <w:rFonts w:ascii="Arial" w:hAnsi="Arial" w:cs="Arial"/>
          <w:noProof/>
        </w:rPr>
        <w:lastRenderedPageBreak/>
        <mc:AlternateContent>
          <mc:Choice Requires="wps">
            <w:drawing>
              <wp:anchor distT="0" distB="0" distL="114300" distR="114300" simplePos="0" relativeHeight="251671552" behindDoc="0" locked="0" layoutInCell="1" allowOverlap="1" wp14:anchorId="703F1178" wp14:editId="17D6638E">
                <wp:simplePos x="0" y="0"/>
                <wp:positionH relativeFrom="column">
                  <wp:posOffset>4908550</wp:posOffset>
                </wp:positionH>
                <wp:positionV relativeFrom="paragraph">
                  <wp:posOffset>-146050</wp:posOffset>
                </wp:positionV>
                <wp:extent cx="4521200" cy="3136900"/>
                <wp:effectExtent l="0" t="0" r="0" b="6350"/>
                <wp:wrapNone/>
                <wp:docPr id="1203189082" name="Text Box 2"/>
                <wp:cNvGraphicFramePr/>
                <a:graphic xmlns:a="http://schemas.openxmlformats.org/drawingml/2006/main">
                  <a:graphicData uri="http://schemas.microsoft.com/office/word/2010/wordprocessingShape">
                    <wps:wsp>
                      <wps:cNvSpPr txBox="1"/>
                      <wps:spPr>
                        <a:xfrm>
                          <a:off x="0" y="0"/>
                          <a:ext cx="4521200" cy="3136900"/>
                        </a:xfrm>
                        <a:prstGeom prst="rect">
                          <a:avLst/>
                        </a:prstGeom>
                        <a:solidFill>
                          <a:schemeClr val="lt1"/>
                        </a:solidFill>
                        <a:ln w="6350">
                          <a:noFill/>
                        </a:ln>
                      </wps:spPr>
                      <wps:txbx>
                        <w:txbxContent>
                          <w:p w14:paraId="400879A3" w14:textId="76CE1F17" w:rsidR="006D3510" w:rsidRDefault="006D3510">
                            <w:r>
                              <w:rPr>
                                <w:noProof/>
                              </w:rPr>
                              <mc:AlternateContent>
                                <mc:Choice Requires="cx1">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30335987" name="Chart 1">
                                                <a:extLst>
                                                  <a:ext uri="{FF2B5EF4-FFF2-40B4-BE49-F238E27FC236}">
                                                    <a16:creationId xmlns:a16="http://schemas.microsoft.com/office/drawing/2014/main" id="{8C1E0C28-44A4-BB3A-ACEA-0F415FE0395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331970" cy="259905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3F1178" id="_x0000_t202" coordsize="21600,21600" o:spt="202" path="m,l,21600r21600,l21600,xe">
                <v:stroke joinstyle="miter"/>
                <v:path gradientshapeok="t" o:connecttype="rect"/>
              </v:shapetype>
              <v:shape id="Text Box 2" o:spid="_x0000_s1026" type="#_x0000_t202" style="position:absolute;left:0;text-align:left;margin-left:386.5pt;margin-top:-11.5pt;width:356pt;height:24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" fillcolor="white [3201]" stroked="f" strokeweight=".5pt">
                <v:textbox>
                  <w:txbxContent>
                    <w:p w14:paraId="400879A3" w14:textId="76CE1F17" w:rsidR="006D3510" w:rsidRDefault="006D3510">
                      <w:r>
                        <w:rPr>
                          <w:noProof/>
                        </w:rPr>
                        <mc:AlternateContent>
                          <mc:Choice Requires="cx1">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5C8BB0B0" wp14:editId="437FBC11">
                                <wp:extent cx="4331970" cy="2599055"/>
                                <wp:effectExtent l="0" t="0" r="11430" b="10795"/>
                                <wp:docPr id="530335987" name="Chart 1">
                                  <a:extLst xmlns:a="http://schemas.openxmlformats.org/drawingml/2006/main">
                                    <a:ext uri="{FF2B5EF4-FFF2-40B4-BE49-F238E27FC236}">
                                      <a16:creationId xmlns:a16="http://schemas.microsoft.com/office/drawing/2014/main" id="{8C1E0C28-44A4-BB3A-ACEA-0F415FE0395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30335987" name="Chart 1">
                                          <a:extLst>
                                            <a:ext uri="{FF2B5EF4-FFF2-40B4-BE49-F238E27FC236}">
                                              <a16:creationId xmlns:a16="http://schemas.microsoft.com/office/drawing/2014/main" id="{8C1E0C28-44A4-BB3A-ACEA-0F415FE0395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331970" cy="2599055"/>
                                        </a:xfrm>
                                        <a:prstGeom prst="rect">
                                          <a:avLst/>
                                        </a:prstGeom>
                                      </pic:spPr>
                                    </pic:pic>
                                  </a:graphicData>
                                </a:graphic>
                              </wp:inline>
                            </w:drawing>
                          </mc:Fallback>
                        </mc:AlternateContent>
                      </w:r>
                    </w:p>
                  </w:txbxContent>
                </v:textbox>
              </v:shape>
            </w:pict>
          </mc:Fallback>
        </mc:AlternateContent>
      </w:r>
      <w:r w:rsidR="003653D3" w:rsidRPr="003A1949">
        <w:rPr>
          <w:rFonts w:ascii="Arial" w:hAnsi="Arial" w:cs="Arial"/>
          <w:noProof/>
        </w:rPr>
        <mc:AlternateContent>
          <mc:Choice Requires="wps">
            <w:drawing>
              <wp:anchor distT="0" distB="0" distL="114300" distR="114300" simplePos="0" relativeHeight="251670528" behindDoc="0" locked="0" layoutInCell="1" allowOverlap="1" wp14:anchorId="5348FB07" wp14:editId="737C7AC1">
                <wp:simplePos x="0" y="0"/>
                <wp:positionH relativeFrom="column">
                  <wp:posOffset>-57150</wp:posOffset>
                </wp:positionH>
                <wp:positionV relativeFrom="paragraph">
                  <wp:posOffset>-127000</wp:posOffset>
                </wp:positionV>
                <wp:extent cx="4908550" cy="3098800"/>
                <wp:effectExtent l="0" t="0" r="6350" b="6350"/>
                <wp:wrapNone/>
                <wp:docPr id="2128732688" name="Text Box 1"/>
                <wp:cNvGraphicFramePr/>
                <a:graphic xmlns:a="http://schemas.openxmlformats.org/drawingml/2006/main">
                  <a:graphicData uri="http://schemas.microsoft.com/office/word/2010/wordprocessingShape">
                    <wps:wsp>
                      <wps:cNvSpPr txBox="1"/>
                      <wps:spPr>
                        <a:xfrm>
                          <a:off x="0" y="0"/>
                          <a:ext cx="4908550" cy="3098800"/>
                        </a:xfrm>
                        <a:prstGeom prst="rect">
                          <a:avLst/>
                        </a:prstGeom>
                        <a:solidFill>
                          <a:schemeClr val="lt1"/>
                        </a:solidFill>
                        <a:ln w="6350">
                          <a:noFill/>
                        </a:ln>
                      </wps:spPr>
                      <wps:txbx>
                        <w:txbxContent>
                          <w:p w14:paraId="5C72548A" w14:textId="3967A630" w:rsidR="003653D3" w:rsidRDefault="003653D3">
                            <w:r>
                              <w:rPr>
                                <w:noProof/>
                              </w:rPr>
                              <mc:AlternateContent>
                                <mc:Choice Requires="cx1">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00387534" name="Chart 1">
                                                <a:extLst>
                                                  <a:ext uri="{FF2B5EF4-FFF2-40B4-BE49-F238E27FC236}">
                                                    <a16:creationId xmlns:a16="http://schemas.microsoft.com/office/drawing/2014/main" id="{EAE77A63-6256-10D1-536B-F3196AB09CA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48FB07" id="Text Box 1" o:spid="_x0000_s1027" type="#_x0000_t202" style="position:absolute;left:0;text-align:left;margin-left:-4.5pt;margin-top:-10pt;width:386.5pt;height:2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" fillcolor="white [3201]" stroked="f" strokeweight=".5pt">
                <v:textbox>
                  <w:txbxContent>
                    <w:p w14:paraId="5C72548A" w14:textId="3967A630" w:rsidR="003653D3" w:rsidRDefault="003653D3">
                      <w:r>
                        <w:rPr>
                          <w:noProof/>
                        </w:rPr>
                        <mc:AlternateContent>
                          <mc:Choice Requires="cx1">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585F49D7" wp14:editId="5AA0A51B">
                                <wp:extent cx="4572000" cy="2743200"/>
                                <wp:effectExtent l="0" t="0" r="0" b="0"/>
                                <wp:docPr id="500387534" name="Chart 1">
                                  <a:extLst xmlns:a="http://schemas.openxmlformats.org/drawingml/2006/main">
                                    <a:ext uri="{FF2B5EF4-FFF2-40B4-BE49-F238E27FC236}">
                                      <a16:creationId xmlns:a16="http://schemas.microsoft.com/office/drawing/2014/main" id="{EAE77A63-6256-10D1-536B-F3196AB09CA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00387534" name="Chart 1">
                                          <a:extLst>
                                            <a:ext uri="{FF2B5EF4-FFF2-40B4-BE49-F238E27FC236}">
                                              <a16:creationId xmlns:a16="http://schemas.microsoft.com/office/drawing/2014/main" id="{EAE77A63-6256-10D1-536B-F3196AB09CAA}"/>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mc:Fallback>
                        </mc:AlternateContent>
                      </w:r>
                    </w:p>
                  </w:txbxContent>
                </v:textbox>
              </v:shape>
            </w:pict>
          </mc:Fallback>
        </mc:AlternateContent>
      </w:r>
    </w:p>
    <w:p w14:paraId="4B5FF29F" w14:textId="77777777" w:rsidR="00BB13B3" w:rsidRPr="003A1949" w:rsidRDefault="00BB13B3" w:rsidP="003C03A2">
      <w:pPr>
        <w:jc w:val="both"/>
        <w:rPr>
          <w:rFonts w:ascii="Arial" w:hAnsi="Arial" w:cs="Arial"/>
        </w:rPr>
      </w:pPr>
    </w:p>
    <w:p w14:paraId="162C332F" w14:textId="77777777" w:rsidR="00E84C44" w:rsidRPr="003A1949" w:rsidRDefault="00E84C44" w:rsidP="003C03A2">
      <w:pPr>
        <w:jc w:val="both"/>
        <w:rPr>
          <w:rFonts w:ascii="Arial" w:hAnsi="Arial" w:cs="Arial"/>
        </w:rPr>
      </w:pPr>
    </w:p>
    <w:p w14:paraId="07C59360" w14:textId="77777777" w:rsidR="00E84C44" w:rsidRPr="003A1949" w:rsidRDefault="00E84C44" w:rsidP="003C03A2">
      <w:pPr>
        <w:jc w:val="both"/>
        <w:rPr>
          <w:rFonts w:ascii="Arial" w:hAnsi="Arial" w:cs="Arial"/>
        </w:rPr>
      </w:pPr>
    </w:p>
    <w:p w14:paraId="1C054C94" w14:textId="77777777" w:rsidR="00E84C44" w:rsidRPr="003A1949" w:rsidRDefault="00E84C44" w:rsidP="003C03A2">
      <w:pPr>
        <w:jc w:val="both"/>
        <w:rPr>
          <w:rFonts w:ascii="Arial" w:hAnsi="Arial" w:cs="Arial"/>
        </w:rPr>
      </w:pPr>
    </w:p>
    <w:p w14:paraId="44E79D1B" w14:textId="77777777" w:rsidR="00E84C44" w:rsidRPr="003A1949" w:rsidRDefault="00E84C44" w:rsidP="003C03A2">
      <w:pPr>
        <w:jc w:val="both"/>
        <w:rPr>
          <w:rFonts w:ascii="Arial" w:hAnsi="Arial" w:cs="Arial"/>
        </w:rPr>
      </w:pPr>
    </w:p>
    <w:p w14:paraId="2C3E3CAC" w14:textId="77777777" w:rsidR="00E84C44" w:rsidRPr="003A1949" w:rsidRDefault="00E84C44" w:rsidP="003C03A2">
      <w:pPr>
        <w:jc w:val="both"/>
        <w:rPr>
          <w:rFonts w:ascii="Arial" w:hAnsi="Arial" w:cs="Arial"/>
        </w:rPr>
      </w:pPr>
    </w:p>
    <w:p w14:paraId="1287DB24" w14:textId="5D838D26" w:rsidR="00F45D93" w:rsidRPr="003A1949" w:rsidRDefault="00F45D93" w:rsidP="003C03A2">
      <w:pPr>
        <w:jc w:val="both"/>
        <w:rPr>
          <w:rFonts w:ascii="Arial" w:hAnsi="Arial" w:cs="Arial"/>
        </w:rPr>
      </w:pPr>
    </w:p>
    <w:p w14:paraId="098CCF2B" w14:textId="1ACAD462" w:rsidR="003653D3" w:rsidRPr="003A1949" w:rsidRDefault="002B397E"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1792" behindDoc="0" locked="0" layoutInCell="1" allowOverlap="1" wp14:anchorId="759FA009" wp14:editId="5B884A62">
                <wp:simplePos x="0" y="0"/>
                <wp:positionH relativeFrom="column">
                  <wp:posOffset>7002780</wp:posOffset>
                </wp:positionH>
                <wp:positionV relativeFrom="paragraph">
                  <wp:posOffset>17145</wp:posOffset>
                </wp:positionV>
                <wp:extent cx="812800" cy="323850"/>
                <wp:effectExtent l="0" t="0" r="25400" b="19050"/>
                <wp:wrapNone/>
                <wp:docPr id="1997824910"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schemeClr val="tx1"/>
                          </a:solidFill>
                        </a:ln>
                      </wps:spPr>
                      <wps:txbx>
                        <w:txbxContent>
                          <w:p w14:paraId="111D22D3" w14:textId="3F3F6B7F" w:rsidR="00C53E3E" w:rsidRPr="00C53E3E" w:rsidRDefault="00C53E3E" w:rsidP="00C53E3E">
                            <w:pPr>
                              <w:jc w:val="center"/>
                              <w:rPr>
                                <w:b/>
                                <w:bCs/>
                              </w:rPr>
                            </w:pPr>
                            <w:r w:rsidRPr="00C53E3E">
                              <w:rPr>
                                <w:b/>
                                <w:bCs/>
                              </w:rPr>
                              <w:t>(</w:t>
                            </w:r>
                            <w:r>
                              <w:rPr>
                                <w:b/>
                                <w:bCs/>
                              </w:rPr>
                              <w:t>b</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FA009" id="Text Box 10" o:spid="_x0000_s1028" type="#_x0000_t202" style="position:absolute;left:0;text-align:left;margin-left:551.4pt;margin-top:1.35pt;width:64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" fillcolor="white [3201]" strokecolor="black [3213]" strokeweight=".5pt">
                <v:textbox>
                  <w:txbxContent>
                    <w:p w14:paraId="111D22D3" w14:textId="3F3F6B7F" w:rsidR="00C53E3E" w:rsidRPr="00C53E3E" w:rsidRDefault="00C53E3E" w:rsidP="00C53E3E">
                      <w:pPr>
                        <w:jc w:val="center"/>
                        <w:rPr>
                          <w:b/>
                          <w:bCs/>
                        </w:rPr>
                      </w:pPr>
                      <w:r w:rsidRPr="00C53E3E">
                        <w:rPr>
                          <w:b/>
                          <w:bCs/>
                        </w:rPr>
                        <w:t>(</w:t>
                      </w:r>
                      <w:r>
                        <w:rPr>
                          <w:b/>
                          <w:bCs/>
                        </w:rPr>
                        <w:t>b</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79744" behindDoc="0" locked="0" layoutInCell="1" allowOverlap="1" wp14:anchorId="16A2A1BD" wp14:editId="51B4F5CB">
                <wp:simplePos x="0" y="0"/>
                <wp:positionH relativeFrom="column">
                  <wp:posOffset>2122302</wp:posOffset>
                </wp:positionH>
                <wp:positionV relativeFrom="paragraph">
                  <wp:posOffset>13351</wp:posOffset>
                </wp:positionV>
                <wp:extent cx="812800" cy="323850"/>
                <wp:effectExtent l="0" t="0" r="25400" b="19050"/>
                <wp:wrapNone/>
                <wp:docPr id="585986668"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schemeClr val="tx1"/>
                          </a:solidFill>
                        </a:ln>
                      </wps:spPr>
                      <wps:txbx>
                        <w:txbxContent>
                          <w:p w14:paraId="13106E3A" w14:textId="3A564282" w:rsidR="00C53E3E" w:rsidRPr="00C53E3E" w:rsidRDefault="00C53E3E" w:rsidP="00C53E3E">
                            <w:pPr>
                              <w:jc w:val="center"/>
                              <w:rPr>
                                <w:b/>
                                <w:bCs/>
                              </w:rPr>
                            </w:pPr>
                            <w:r w:rsidRPr="00C53E3E">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A1BD" id="_x0000_s1029" type="#_x0000_t202" style="position:absolute;left:0;text-align:left;margin-left:167.1pt;margin-top:1.05pt;width:64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" fillcolor="white [3201]" strokecolor="black [3213]" strokeweight=".5pt">
                <v:textbox>
                  <w:txbxContent>
                    <w:p w14:paraId="13106E3A" w14:textId="3A564282" w:rsidR="00C53E3E" w:rsidRPr="00C53E3E" w:rsidRDefault="00C53E3E" w:rsidP="00C53E3E">
                      <w:pPr>
                        <w:jc w:val="center"/>
                        <w:rPr>
                          <w:b/>
                          <w:bCs/>
                        </w:rPr>
                      </w:pPr>
                      <w:r w:rsidRPr="00C53E3E">
                        <w:rPr>
                          <w:b/>
                          <w:bCs/>
                        </w:rPr>
                        <w:t>(a)</w:t>
                      </w:r>
                    </w:p>
                  </w:txbxContent>
                </v:textbox>
              </v:shape>
            </w:pict>
          </mc:Fallback>
        </mc:AlternateContent>
      </w:r>
    </w:p>
    <w:p w14:paraId="2C3DFBC4" w14:textId="13DDC831"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3600" behindDoc="0" locked="0" layoutInCell="1" allowOverlap="1" wp14:anchorId="5ECC7DAD" wp14:editId="5ED8CF03">
                <wp:simplePos x="0" y="0"/>
                <wp:positionH relativeFrom="column">
                  <wp:posOffset>4972050</wp:posOffset>
                </wp:positionH>
                <wp:positionV relativeFrom="paragraph">
                  <wp:posOffset>313690</wp:posOffset>
                </wp:positionV>
                <wp:extent cx="4508500" cy="2800350"/>
                <wp:effectExtent l="0" t="0" r="6350" b="0"/>
                <wp:wrapNone/>
                <wp:docPr id="207617195" name="Text Box 4"/>
                <wp:cNvGraphicFramePr/>
                <a:graphic xmlns:a="http://schemas.openxmlformats.org/drawingml/2006/main">
                  <a:graphicData uri="http://schemas.microsoft.com/office/word/2010/wordprocessingShape">
                    <wps:wsp>
                      <wps:cNvSpPr txBox="1"/>
                      <wps:spPr>
                        <a:xfrm>
                          <a:off x="0" y="0"/>
                          <a:ext cx="4508500" cy="2800350"/>
                        </a:xfrm>
                        <a:prstGeom prst="rect">
                          <a:avLst/>
                        </a:prstGeom>
                        <a:solidFill>
                          <a:schemeClr val="lt1"/>
                        </a:solidFill>
                        <a:ln w="6350">
                          <a:noFill/>
                        </a:ln>
                      </wps:spPr>
                      <wps:txbx>
                        <w:txbxContent>
                          <w:p w14:paraId="6A5BBBFD" w14:textId="1EACB8D1" w:rsidR="00AE21F7" w:rsidRDefault="00AE21F7">
                            <w:r>
                              <w:rPr>
                                <w:noProof/>
                              </w:rPr>
                              <mc:AlternateContent>
                                <mc:Choice Requires="cx1">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22969686" name="Chart 1">
                                                <a:extLst>
                                                  <a:ext uri="{FF2B5EF4-FFF2-40B4-BE49-F238E27FC236}">
                                                    <a16:creationId xmlns:a16="http://schemas.microsoft.com/office/drawing/2014/main" id="{FCB6CC17-092B-884F-C97C-0330D34C33A4}"/>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319270" cy="259143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C7DAD" id="Text Box 4" o:spid="_x0000_s1030" type="#_x0000_t202" style="position:absolute;left:0;text-align:left;margin-left:391.5pt;margin-top:24.7pt;width:355pt;height:2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" fillcolor="white [3201]" stroked="f" strokeweight=".5pt">
                <v:textbox>
                  <w:txbxContent>
                    <w:p w14:paraId="6A5BBBFD" w14:textId="1EACB8D1" w:rsidR="00AE21F7" w:rsidRDefault="00AE21F7">
                      <w:r>
                        <w:rPr>
                          <w:noProof/>
                        </w:rPr>
                        <mc:AlternateContent>
                          <mc:Choice Requires="cx1">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33AEDF5" wp14:editId="5AC029FF">
                                <wp:extent cx="4319270" cy="2591435"/>
                                <wp:effectExtent l="0" t="0" r="5080" b="18415"/>
                                <wp:docPr id="2022969686" name="Chart 1">
                                  <a:extLst xmlns:a="http://schemas.openxmlformats.org/drawingml/2006/main">
                                    <a:ext uri="{FF2B5EF4-FFF2-40B4-BE49-F238E27FC236}">
                                      <a16:creationId xmlns:a16="http://schemas.microsoft.com/office/drawing/2014/main" id="{FCB6CC17-092B-884F-C97C-0330D34C33A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22969686" name="Chart 1">
                                          <a:extLst>
                                            <a:ext uri="{FF2B5EF4-FFF2-40B4-BE49-F238E27FC236}">
                                              <a16:creationId xmlns:a16="http://schemas.microsoft.com/office/drawing/2014/main" id="{FCB6CC17-092B-884F-C97C-0330D34C33A4}"/>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319270" cy="2591435"/>
                                        </a:xfrm>
                                        <a:prstGeom prst="rect">
                                          <a:avLst/>
                                        </a:prstGeom>
                                      </pic:spPr>
                                    </pic:pic>
                                  </a:graphicData>
                                </a:graphic>
                              </wp:inline>
                            </w:drawing>
                          </mc:Fallback>
                        </mc:AlternateContent>
                      </w:r>
                    </w:p>
                  </w:txbxContent>
                </v:textbox>
              </v:shape>
            </w:pict>
          </mc:Fallback>
        </mc:AlternateContent>
      </w:r>
      <w:r w:rsidR="006D3510" w:rsidRPr="003A1949">
        <w:rPr>
          <w:rFonts w:ascii="Arial" w:hAnsi="Arial" w:cs="Arial"/>
          <w:noProof/>
        </w:rPr>
        <mc:AlternateContent>
          <mc:Choice Requires="wps">
            <w:drawing>
              <wp:anchor distT="0" distB="0" distL="114300" distR="114300" simplePos="0" relativeHeight="251672576" behindDoc="0" locked="0" layoutInCell="1" allowOverlap="1" wp14:anchorId="1934C64F" wp14:editId="248964B1">
                <wp:simplePos x="0" y="0"/>
                <wp:positionH relativeFrom="column">
                  <wp:posOffset>-38100</wp:posOffset>
                </wp:positionH>
                <wp:positionV relativeFrom="paragraph">
                  <wp:posOffset>326390</wp:posOffset>
                </wp:positionV>
                <wp:extent cx="4826000" cy="2800350"/>
                <wp:effectExtent l="0" t="0" r="0" b="0"/>
                <wp:wrapNone/>
                <wp:docPr id="1262529096" name="Text Box 3"/>
                <wp:cNvGraphicFramePr/>
                <a:graphic xmlns:a="http://schemas.openxmlformats.org/drawingml/2006/main">
                  <a:graphicData uri="http://schemas.microsoft.com/office/word/2010/wordprocessingShape">
                    <wps:wsp>
                      <wps:cNvSpPr txBox="1"/>
                      <wps:spPr>
                        <a:xfrm>
                          <a:off x="0" y="0"/>
                          <a:ext cx="4826000" cy="2800350"/>
                        </a:xfrm>
                        <a:prstGeom prst="rect">
                          <a:avLst/>
                        </a:prstGeom>
                        <a:solidFill>
                          <a:schemeClr val="lt1"/>
                        </a:solidFill>
                        <a:ln w="6350">
                          <a:noFill/>
                        </a:ln>
                      </wps:spPr>
                      <wps:txbx>
                        <w:txbxContent>
                          <w:p w14:paraId="0D5634F3" w14:textId="0C69E8F9" w:rsidR="006D3510" w:rsidRDefault="006D3510">
                            <w:r>
                              <w:rPr>
                                <w:noProof/>
                              </w:rPr>
                              <mc:AlternateContent>
                                <mc:Choice Requires="cx1">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6619272" name="Chart 1">
                                                <a:extLst>
                                                  <a:ext uri="{FF2B5EF4-FFF2-40B4-BE49-F238E27FC236}">
                                                    <a16:creationId xmlns:a16="http://schemas.microsoft.com/office/drawing/2014/main" id="{0CD3C614-0EF6-45E3-4A62-6EB6C206EA79}"/>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366895" cy="262001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4C64F" id="Text Box 3" o:spid="_x0000_s1031" type="#_x0000_t202" style="position:absolute;left:0;text-align:left;margin-left:-3pt;margin-top:25.7pt;width:380pt;height:22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" fillcolor="white [3201]" stroked="f" strokeweight=".5pt">
                <v:textbox>
                  <w:txbxContent>
                    <w:p w14:paraId="0D5634F3" w14:textId="0C69E8F9" w:rsidR="006D3510" w:rsidRDefault="006D3510">
                      <w:r>
                        <w:rPr>
                          <w:noProof/>
                        </w:rPr>
                        <mc:AlternateContent>
                          <mc:Choice Requires="cx1">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561B5B24" wp14:editId="7284673D">
                                <wp:extent cx="4366895" cy="2620010"/>
                                <wp:effectExtent l="0" t="0" r="14605" b="8890"/>
                                <wp:docPr id="1836619272" name="Chart 1">
                                  <a:extLst xmlns:a="http://schemas.openxmlformats.org/drawingml/2006/main">
                                    <a:ext uri="{FF2B5EF4-FFF2-40B4-BE49-F238E27FC236}">
                                      <a16:creationId xmlns:a16="http://schemas.microsoft.com/office/drawing/2014/main" id="{0CD3C614-0EF6-45E3-4A62-6EB6C206EA7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6619272" name="Chart 1">
                                          <a:extLst>
                                            <a:ext uri="{FF2B5EF4-FFF2-40B4-BE49-F238E27FC236}">
                                              <a16:creationId xmlns:a16="http://schemas.microsoft.com/office/drawing/2014/main" id="{0CD3C614-0EF6-45E3-4A62-6EB6C206EA79}"/>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366895" cy="2620010"/>
                                        </a:xfrm>
                                        <a:prstGeom prst="rect">
                                          <a:avLst/>
                                        </a:prstGeom>
                                      </pic:spPr>
                                    </pic:pic>
                                  </a:graphicData>
                                </a:graphic>
                              </wp:inline>
                            </w:drawing>
                          </mc:Fallback>
                        </mc:AlternateContent>
                      </w:r>
                    </w:p>
                  </w:txbxContent>
                </v:textbox>
              </v:shape>
            </w:pict>
          </mc:Fallback>
        </mc:AlternateContent>
      </w:r>
    </w:p>
    <w:p w14:paraId="00924E28" w14:textId="17BC5396" w:rsidR="003653D3" w:rsidRPr="003A1949" w:rsidRDefault="003653D3" w:rsidP="003C03A2">
      <w:pPr>
        <w:jc w:val="both"/>
        <w:rPr>
          <w:rFonts w:ascii="Arial" w:hAnsi="Arial" w:cs="Arial"/>
        </w:rPr>
      </w:pPr>
    </w:p>
    <w:p w14:paraId="5FD5C51B" w14:textId="4EEF945D" w:rsidR="003653D3" w:rsidRPr="003A1949" w:rsidRDefault="003653D3" w:rsidP="003C03A2">
      <w:pPr>
        <w:jc w:val="both"/>
        <w:rPr>
          <w:rFonts w:ascii="Arial" w:hAnsi="Arial" w:cs="Arial"/>
        </w:rPr>
      </w:pPr>
    </w:p>
    <w:p w14:paraId="7FCA51D9" w14:textId="444D7840" w:rsidR="003653D3" w:rsidRPr="003A1949" w:rsidRDefault="003653D3" w:rsidP="003C03A2">
      <w:pPr>
        <w:jc w:val="both"/>
        <w:rPr>
          <w:rFonts w:ascii="Arial" w:hAnsi="Arial" w:cs="Arial"/>
        </w:rPr>
      </w:pPr>
    </w:p>
    <w:p w14:paraId="60CDC010" w14:textId="09142561" w:rsidR="003653D3" w:rsidRPr="003A1949" w:rsidRDefault="003653D3" w:rsidP="003C03A2">
      <w:pPr>
        <w:jc w:val="both"/>
        <w:rPr>
          <w:rFonts w:ascii="Arial" w:hAnsi="Arial" w:cs="Arial"/>
        </w:rPr>
      </w:pPr>
    </w:p>
    <w:p w14:paraId="5FBF2883" w14:textId="59F4940E" w:rsidR="003653D3" w:rsidRPr="003A1949" w:rsidRDefault="003653D3" w:rsidP="003C03A2">
      <w:pPr>
        <w:jc w:val="both"/>
        <w:rPr>
          <w:rFonts w:ascii="Arial" w:hAnsi="Arial" w:cs="Arial"/>
        </w:rPr>
      </w:pPr>
    </w:p>
    <w:p w14:paraId="7239D18C" w14:textId="17D58339" w:rsidR="003653D3" w:rsidRPr="003A1949" w:rsidRDefault="003653D3" w:rsidP="003C03A2">
      <w:pPr>
        <w:jc w:val="both"/>
        <w:rPr>
          <w:rFonts w:ascii="Arial" w:hAnsi="Arial" w:cs="Arial"/>
        </w:rPr>
      </w:pPr>
    </w:p>
    <w:p w14:paraId="4CCEFCD7" w14:textId="77F254E4" w:rsidR="003653D3" w:rsidRPr="003A1949" w:rsidRDefault="003653D3" w:rsidP="003C03A2">
      <w:pPr>
        <w:jc w:val="both"/>
        <w:rPr>
          <w:rFonts w:ascii="Arial" w:hAnsi="Arial" w:cs="Arial"/>
        </w:rPr>
      </w:pPr>
    </w:p>
    <w:p w14:paraId="4FCB25E2" w14:textId="327C6D7E" w:rsidR="003653D3" w:rsidRPr="003A1949" w:rsidRDefault="002B397E"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5888" behindDoc="0" locked="0" layoutInCell="1" allowOverlap="1" wp14:anchorId="1C2AD760" wp14:editId="1B60B4F7">
                <wp:simplePos x="0" y="0"/>
                <wp:positionH relativeFrom="column">
                  <wp:posOffset>5834990</wp:posOffset>
                </wp:positionH>
                <wp:positionV relativeFrom="paragraph">
                  <wp:posOffset>193098</wp:posOffset>
                </wp:positionV>
                <wp:extent cx="812800" cy="323850"/>
                <wp:effectExtent l="0" t="0" r="25400" b="19050"/>
                <wp:wrapNone/>
                <wp:docPr id="390952927"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4ABFA943" w14:textId="3EA6643D" w:rsidR="00363BB0" w:rsidRPr="00C53E3E" w:rsidRDefault="00363BB0" w:rsidP="00363BB0">
                            <w:pPr>
                              <w:jc w:val="center"/>
                              <w:rPr>
                                <w:b/>
                                <w:bCs/>
                              </w:rPr>
                            </w:pPr>
                            <w:r w:rsidRPr="00C53E3E">
                              <w:rPr>
                                <w:b/>
                                <w:bCs/>
                              </w:rPr>
                              <w:t>(</w:t>
                            </w:r>
                            <w:r>
                              <w:rPr>
                                <w:b/>
                                <w:bCs/>
                              </w:rPr>
                              <w:t>d</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2AD760" id="_x0000_s1032" type="#_x0000_t202" style="position:absolute;left:0;text-align:left;margin-left:459.45pt;margin-top:15.2pt;width:64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" fillcolor="white [3201]" strokeweight=".5pt">
                <v:textbox>
                  <w:txbxContent>
                    <w:p w14:paraId="4ABFA943" w14:textId="3EA6643D" w:rsidR="00363BB0" w:rsidRPr="00C53E3E" w:rsidRDefault="00363BB0" w:rsidP="00363BB0">
                      <w:pPr>
                        <w:jc w:val="center"/>
                        <w:rPr>
                          <w:b/>
                          <w:bCs/>
                        </w:rPr>
                      </w:pPr>
                      <w:r w:rsidRPr="00C53E3E">
                        <w:rPr>
                          <w:b/>
                          <w:bCs/>
                        </w:rPr>
                        <w:t>(</w:t>
                      </w:r>
                      <w:r>
                        <w:rPr>
                          <w:b/>
                          <w:bCs/>
                        </w:rPr>
                        <w:t>d</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83840" behindDoc="0" locked="0" layoutInCell="1" allowOverlap="1" wp14:anchorId="529BD9B5" wp14:editId="163D5AF8">
                <wp:simplePos x="0" y="0"/>
                <wp:positionH relativeFrom="column">
                  <wp:posOffset>842818</wp:posOffset>
                </wp:positionH>
                <wp:positionV relativeFrom="paragraph">
                  <wp:posOffset>187506</wp:posOffset>
                </wp:positionV>
                <wp:extent cx="812800" cy="323850"/>
                <wp:effectExtent l="0" t="0" r="25400" b="19050"/>
                <wp:wrapNone/>
                <wp:docPr id="677724961"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0F8F13A5" w14:textId="5FFF7EC3" w:rsidR="00C53E3E" w:rsidRPr="00C53E3E" w:rsidRDefault="00C53E3E" w:rsidP="00C53E3E">
                            <w:pPr>
                              <w:jc w:val="center"/>
                              <w:rPr>
                                <w:b/>
                                <w:bCs/>
                              </w:rPr>
                            </w:pPr>
                            <w:r w:rsidRPr="00C53E3E">
                              <w:rPr>
                                <w:b/>
                                <w:bCs/>
                              </w:rPr>
                              <w:t>(</w:t>
                            </w:r>
                            <w:r w:rsidR="00363BB0">
                              <w:rPr>
                                <w:b/>
                                <w:bCs/>
                              </w:rPr>
                              <w:t>c</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BD9B5" id="_x0000_s1033" type="#_x0000_t202" style="position:absolute;left:0;text-align:left;margin-left:66.35pt;margin-top:14.75pt;width:64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" fillcolor="white [3201]" strokeweight=".5pt">
                <v:textbox>
                  <w:txbxContent>
                    <w:p w14:paraId="0F8F13A5" w14:textId="5FFF7EC3" w:rsidR="00C53E3E" w:rsidRPr="00C53E3E" w:rsidRDefault="00C53E3E" w:rsidP="00C53E3E">
                      <w:pPr>
                        <w:jc w:val="center"/>
                        <w:rPr>
                          <w:b/>
                          <w:bCs/>
                        </w:rPr>
                      </w:pPr>
                      <w:r w:rsidRPr="00C53E3E">
                        <w:rPr>
                          <w:b/>
                          <w:bCs/>
                        </w:rPr>
                        <w:t>(</w:t>
                      </w:r>
                      <w:r w:rsidR="00363BB0">
                        <w:rPr>
                          <w:b/>
                          <w:bCs/>
                        </w:rPr>
                        <w:t>c</w:t>
                      </w:r>
                      <w:r w:rsidRPr="00C53E3E">
                        <w:rPr>
                          <w:b/>
                          <w:bCs/>
                        </w:rPr>
                        <w:t>)</w:t>
                      </w:r>
                    </w:p>
                  </w:txbxContent>
                </v:textbox>
              </v:shape>
            </w:pict>
          </mc:Fallback>
        </mc:AlternateContent>
      </w:r>
    </w:p>
    <w:p w14:paraId="28D9380F" w14:textId="13507581"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5648" behindDoc="0" locked="0" layoutInCell="1" allowOverlap="1" wp14:anchorId="69C6D331" wp14:editId="198391F4">
                <wp:simplePos x="0" y="0"/>
                <wp:positionH relativeFrom="column">
                  <wp:posOffset>4997450</wp:posOffset>
                </wp:positionH>
                <wp:positionV relativeFrom="paragraph">
                  <wp:posOffset>321945</wp:posOffset>
                </wp:positionV>
                <wp:extent cx="4483100" cy="2794000"/>
                <wp:effectExtent l="0" t="0" r="0" b="6350"/>
                <wp:wrapNone/>
                <wp:docPr id="1159272715" name="Text Box 6"/>
                <wp:cNvGraphicFramePr/>
                <a:graphic xmlns:a="http://schemas.openxmlformats.org/drawingml/2006/main">
                  <a:graphicData uri="http://schemas.microsoft.com/office/word/2010/wordprocessingShape">
                    <wps:wsp>
                      <wps:cNvSpPr txBox="1"/>
                      <wps:spPr>
                        <a:xfrm>
                          <a:off x="0" y="0"/>
                          <a:ext cx="4483100" cy="2794000"/>
                        </a:xfrm>
                        <a:prstGeom prst="rect">
                          <a:avLst/>
                        </a:prstGeom>
                        <a:solidFill>
                          <a:schemeClr val="lt1"/>
                        </a:solidFill>
                        <a:ln w="6350">
                          <a:noFill/>
                        </a:ln>
                      </wps:spPr>
                      <wps:txbx>
                        <w:txbxContent>
                          <w:p w14:paraId="26DFFD1D" w14:textId="72815349" w:rsidR="00AE21F7" w:rsidRDefault="00AE21F7">
                            <w:r>
                              <w:rPr>
                                <w:noProof/>
                              </w:rPr>
                              <mc:AlternateContent>
                                <mc:Choice Requires="cx1">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407696" name="Chart 1">
                                                <a:extLst>
                                                  <a:ext uri="{FF2B5EF4-FFF2-40B4-BE49-F238E27FC236}">
                                                    <a16:creationId xmlns:a16="http://schemas.microsoft.com/office/drawing/2014/main" id="{98EF1666-EBB0-CB40-C673-52BABE71194E}"/>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4293870" cy="2576195"/>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D331" id="Text Box 6" o:spid="_x0000_s1034" type="#_x0000_t202" style="position:absolute;left:0;text-align:left;margin-left:393.5pt;margin-top:25.35pt;width:353pt;height:22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" fillcolor="white [3201]" stroked="f" strokeweight=".5pt">
                <v:textbox>
                  <w:txbxContent>
                    <w:p w14:paraId="26DFFD1D" w14:textId="72815349" w:rsidR="00AE21F7" w:rsidRDefault="00AE21F7">
                      <w:r>
                        <w:rPr>
                          <w:noProof/>
                        </w:rPr>
                        <mc:AlternateContent>
                          <mc:Choice Requires="cx1">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66650FA1" wp14:editId="38C6602A">
                                <wp:extent cx="4293870" cy="2576195"/>
                                <wp:effectExtent l="0" t="0" r="11430" b="14605"/>
                                <wp:docPr id="25407696" name="Chart 1">
                                  <a:extLst xmlns:a="http://schemas.openxmlformats.org/drawingml/2006/main">
                                    <a:ext uri="{FF2B5EF4-FFF2-40B4-BE49-F238E27FC236}">
                                      <a16:creationId xmlns:a16="http://schemas.microsoft.com/office/drawing/2014/main" id="{98EF1666-EBB0-CB40-C673-52BABE71194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407696" name="Chart 1">
                                          <a:extLst>
                                            <a:ext uri="{FF2B5EF4-FFF2-40B4-BE49-F238E27FC236}">
                                              <a16:creationId xmlns:a16="http://schemas.microsoft.com/office/drawing/2014/main" id="{98EF1666-EBB0-CB40-C673-52BABE71194E}"/>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4293870" cy="2576195"/>
                                        </a:xfrm>
                                        <a:prstGeom prst="rect">
                                          <a:avLst/>
                                        </a:prstGeom>
                                      </pic:spPr>
                                    </pic:pic>
                                  </a:graphicData>
                                </a:graphic>
                              </wp:inline>
                            </w:drawing>
                          </mc:Fallback>
                        </mc:AlternateContent>
                      </w:r>
                    </w:p>
                  </w:txbxContent>
                </v:textbox>
              </v:shape>
            </w:pict>
          </mc:Fallback>
        </mc:AlternateContent>
      </w:r>
    </w:p>
    <w:p w14:paraId="6101D12C" w14:textId="0E957DE8" w:rsidR="003653D3"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4624" behindDoc="0" locked="0" layoutInCell="1" allowOverlap="1" wp14:anchorId="6CDF5185" wp14:editId="1BF0B62F">
                <wp:simplePos x="0" y="0"/>
                <wp:positionH relativeFrom="column">
                  <wp:posOffset>6350</wp:posOffset>
                </wp:positionH>
                <wp:positionV relativeFrom="paragraph">
                  <wp:posOffset>44450</wp:posOffset>
                </wp:positionV>
                <wp:extent cx="4794250" cy="2794000"/>
                <wp:effectExtent l="0" t="0" r="6350" b="6350"/>
                <wp:wrapNone/>
                <wp:docPr id="777410796" name="Text Box 5"/>
                <wp:cNvGraphicFramePr/>
                <a:graphic xmlns:a="http://schemas.openxmlformats.org/drawingml/2006/main">
                  <a:graphicData uri="http://schemas.microsoft.com/office/word/2010/wordprocessingShape">
                    <wps:wsp>
                      <wps:cNvSpPr txBox="1"/>
                      <wps:spPr>
                        <a:xfrm>
                          <a:off x="0" y="0"/>
                          <a:ext cx="4794250" cy="2794000"/>
                        </a:xfrm>
                        <a:prstGeom prst="rect">
                          <a:avLst/>
                        </a:prstGeom>
                        <a:solidFill>
                          <a:schemeClr val="lt1"/>
                        </a:solidFill>
                        <a:ln w="6350">
                          <a:noFill/>
                        </a:ln>
                      </wps:spPr>
                      <wps:txbx>
                        <w:txbxContent>
                          <w:p w14:paraId="7BCC51AF" w14:textId="1D411A59" w:rsidR="00AE21F7" w:rsidRDefault="00AE21F7">
                            <w:r>
                              <w:rPr>
                                <w:noProof/>
                              </w:rPr>
                              <mc:AlternateContent>
                                <mc:Choice Requires="cx1">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29467757" name="Chart 1">
                                                <a:extLst>
                                                  <a:ext uri="{FF2B5EF4-FFF2-40B4-BE49-F238E27FC236}">
                                                    <a16:creationId xmlns:a16="http://schemas.microsoft.com/office/drawing/2014/main" id="{CF81EAA6-0FB6-7934-FF9B-DEEB0F8E7771}"/>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4493895" cy="269621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F5185" id="Text Box 5" o:spid="_x0000_s1035" type="#_x0000_t202" style="position:absolute;left:0;text-align:left;margin-left:.5pt;margin-top:3.5pt;width:377.5pt;height:22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" fillcolor="white [3201]" stroked="f" strokeweight=".5pt">
                <v:textbox>
                  <w:txbxContent>
                    <w:p w14:paraId="7BCC51AF" w14:textId="1D411A59" w:rsidR="00AE21F7" w:rsidRDefault="00AE21F7">
                      <w:r>
                        <w:rPr>
                          <w:noProof/>
                        </w:rPr>
                        <mc:AlternateContent>
                          <mc:Choice Requires="cx1">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659C8C37" wp14:editId="41BC098D">
                                <wp:extent cx="4493895" cy="2696210"/>
                                <wp:effectExtent l="0" t="0" r="1905" b="8890"/>
                                <wp:docPr id="1129467757" name="Chart 1">
                                  <a:extLst xmlns:a="http://schemas.openxmlformats.org/drawingml/2006/main">
                                    <a:ext uri="{FF2B5EF4-FFF2-40B4-BE49-F238E27FC236}">
                                      <a16:creationId xmlns:a16="http://schemas.microsoft.com/office/drawing/2014/main" id="{CF81EAA6-0FB6-7934-FF9B-DEEB0F8E77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29467757" name="Chart 1">
                                          <a:extLst>
                                            <a:ext uri="{FF2B5EF4-FFF2-40B4-BE49-F238E27FC236}">
                                              <a16:creationId xmlns:a16="http://schemas.microsoft.com/office/drawing/2014/main" id="{CF81EAA6-0FB6-7934-FF9B-DEEB0F8E7771}"/>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4493895" cy="2696210"/>
                                        </a:xfrm>
                                        <a:prstGeom prst="rect">
                                          <a:avLst/>
                                        </a:prstGeom>
                                      </pic:spPr>
                                    </pic:pic>
                                  </a:graphicData>
                                </a:graphic>
                              </wp:inline>
                            </w:drawing>
                          </mc:Fallback>
                        </mc:AlternateContent>
                      </w:r>
                    </w:p>
                  </w:txbxContent>
                </v:textbox>
              </v:shape>
            </w:pict>
          </mc:Fallback>
        </mc:AlternateContent>
      </w:r>
    </w:p>
    <w:p w14:paraId="47AAD492" w14:textId="7524AC05" w:rsidR="003653D3" w:rsidRPr="003A1949" w:rsidRDefault="003653D3" w:rsidP="003C03A2">
      <w:pPr>
        <w:jc w:val="both"/>
        <w:rPr>
          <w:rFonts w:ascii="Arial" w:hAnsi="Arial" w:cs="Arial"/>
        </w:rPr>
      </w:pPr>
    </w:p>
    <w:p w14:paraId="2DC4B2A5" w14:textId="71A49D16" w:rsidR="003653D3" w:rsidRPr="003A1949" w:rsidRDefault="003653D3" w:rsidP="003C03A2">
      <w:pPr>
        <w:jc w:val="both"/>
        <w:rPr>
          <w:rFonts w:ascii="Arial" w:hAnsi="Arial" w:cs="Arial"/>
        </w:rPr>
      </w:pPr>
    </w:p>
    <w:p w14:paraId="7E9FC8CB" w14:textId="7D0BADEA" w:rsidR="003653D3" w:rsidRPr="003A1949" w:rsidRDefault="003653D3" w:rsidP="003C03A2">
      <w:pPr>
        <w:jc w:val="both"/>
        <w:rPr>
          <w:rFonts w:ascii="Arial" w:hAnsi="Arial" w:cs="Arial"/>
        </w:rPr>
      </w:pPr>
    </w:p>
    <w:p w14:paraId="04ECAEED" w14:textId="036B6D73" w:rsidR="003653D3" w:rsidRPr="003A1949" w:rsidRDefault="003653D3" w:rsidP="003C03A2">
      <w:pPr>
        <w:jc w:val="both"/>
        <w:rPr>
          <w:rFonts w:ascii="Arial" w:hAnsi="Arial" w:cs="Arial"/>
        </w:rPr>
      </w:pPr>
    </w:p>
    <w:p w14:paraId="5E6546D8" w14:textId="54E644D7" w:rsidR="00F45D93" w:rsidRPr="003A1949" w:rsidRDefault="00F45D93" w:rsidP="003C03A2">
      <w:pPr>
        <w:jc w:val="both"/>
        <w:rPr>
          <w:rFonts w:ascii="Arial" w:hAnsi="Arial" w:cs="Arial"/>
        </w:rPr>
      </w:pPr>
    </w:p>
    <w:p w14:paraId="4DD138C8" w14:textId="7F13E4D7" w:rsidR="00F45D93" w:rsidRPr="003A1949" w:rsidRDefault="00F45D93" w:rsidP="003C03A2">
      <w:pPr>
        <w:jc w:val="both"/>
        <w:rPr>
          <w:rFonts w:ascii="Arial" w:hAnsi="Arial" w:cs="Arial"/>
        </w:rPr>
      </w:pPr>
    </w:p>
    <w:p w14:paraId="469D119D" w14:textId="1DBCC1B1" w:rsidR="00AE21F7" w:rsidRPr="003A1949" w:rsidRDefault="00AE21F7" w:rsidP="003C03A2">
      <w:pPr>
        <w:jc w:val="both"/>
        <w:rPr>
          <w:rFonts w:ascii="Arial" w:hAnsi="Arial" w:cs="Arial"/>
        </w:rPr>
      </w:pPr>
    </w:p>
    <w:p w14:paraId="7E0D432D" w14:textId="09D20678" w:rsidR="00AE21F7" w:rsidRPr="003A1949" w:rsidRDefault="00363BB0"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87936" behindDoc="0" locked="0" layoutInCell="1" allowOverlap="1" wp14:anchorId="1494CF1D" wp14:editId="3C3427D3">
                <wp:simplePos x="0" y="0"/>
                <wp:positionH relativeFrom="column">
                  <wp:posOffset>6953250</wp:posOffset>
                </wp:positionH>
                <wp:positionV relativeFrom="paragraph">
                  <wp:posOffset>109855</wp:posOffset>
                </wp:positionV>
                <wp:extent cx="812800" cy="323850"/>
                <wp:effectExtent l="0" t="0" r="25400" b="19050"/>
                <wp:wrapNone/>
                <wp:docPr id="1188672951"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10604F9B" w14:textId="617F2ECB" w:rsidR="00363BB0" w:rsidRPr="00C53E3E" w:rsidRDefault="00363BB0" w:rsidP="00363BB0">
                            <w:pPr>
                              <w:jc w:val="center"/>
                              <w:rPr>
                                <w:b/>
                                <w:bCs/>
                              </w:rPr>
                            </w:pPr>
                            <w:r w:rsidRPr="00C53E3E">
                              <w:rPr>
                                <w:b/>
                                <w:bCs/>
                              </w:rPr>
                              <w:t>(</w:t>
                            </w:r>
                            <w:r>
                              <w:rPr>
                                <w:b/>
                                <w:bCs/>
                              </w:rPr>
                              <w:t>f</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4CF1D" id="_x0000_s1036" type="#_x0000_t202" style="position:absolute;left:0;text-align:left;margin-left:547.5pt;margin-top:8.65pt;width:64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" fillcolor="white [3201]" strokeweight=".5pt">
                <v:textbox>
                  <w:txbxContent>
                    <w:p w14:paraId="10604F9B" w14:textId="617F2ECB" w:rsidR="00363BB0" w:rsidRPr="00C53E3E" w:rsidRDefault="00363BB0" w:rsidP="00363BB0">
                      <w:pPr>
                        <w:jc w:val="center"/>
                        <w:rPr>
                          <w:b/>
                          <w:bCs/>
                        </w:rPr>
                      </w:pPr>
                      <w:r w:rsidRPr="00C53E3E">
                        <w:rPr>
                          <w:b/>
                          <w:bCs/>
                        </w:rPr>
                        <w:t>(</w:t>
                      </w:r>
                      <w:r>
                        <w:rPr>
                          <w:b/>
                          <w:bCs/>
                        </w:rPr>
                        <w:t>f</w:t>
                      </w:r>
                      <w:r w:rsidRPr="00C53E3E">
                        <w:rPr>
                          <w:b/>
                          <w:bCs/>
                        </w:rPr>
                        <w:t>)</w:t>
                      </w:r>
                    </w:p>
                  </w:txbxContent>
                </v:textbox>
              </v:shape>
            </w:pict>
          </mc:Fallback>
        </mc:AlternateContent>
      </w:r>
      <w:r w:rsidRPr="003A1949">
        <w:rPr>
          <w:rFonts w:ascii="Arial" w:hAnsi="Arial" w:cs="Arial"/>
          <w:noProof/>
        </w:rPr>
        <mc:AlternateContent>
          <mc:Choice Requires="wps">
            <w:drawing>
              <wp:anchor distT="0" distB="0" distL="114300" distR="114300" simplePos="0" relativeHeight="251689984" behindDoc="0" locked="0" layoutInCell="1" allowOverlap="1" wp14:anchorId="352A0511" wp14:editId="4A24EF90">
                <wp:simplePos x="0" y="0"/>
                <wp:positionH relativeFrom="column">
                  <wp:posOffset>1911350</wp:posOffset>
                </wp:positionH>
                <wp:positionV relativeFrom="paragraph">
                  <wp:posOffset>248285</wp:posOffset>
                </wp:positionV>
                <wp:extent cx="812800" cy="323850"/>
                <wp:effectExtent l="0" t="0" r="25400" b="19050"/>
                <wp:wrapNone/>
                <wp:docPr id="14486873" name="Text Box 10"/>
                <wp:cNvGraphicFramePr/>
                <a:graphic xmlns:a="http://schemas.openxmlformats.org/drawingml/2006/main">
                  <a:graphicData uri="http://schemas.microsoft.com/office/word/2010/wordprocessingShape">
                    <wps:wsp>
                      <wps:cNvSpPr txBox="1"/>
                      <wps:spPr>
                        <a:xfrm>
                          <a:off x="0" y="0"/>
                          <a:ext cx="812800" cy="323850"/>
                        </a:xfrm>
                        <a:prstGeom prst="rect">
                          <a:avLst/>
                        </a:prstGeom>
                        <a:solidFill>
                          <a:schemeClr val="lt1"/>
                        </a:solidFill>
                        <a:ln w="6350">
                          <a:solidFill>
                            <a:prstClr val="black"/>
                          </a:solidFill>
                        </a:ln>
                      </wps:spPr>
                      <wps:txbx>
                        <w:txbxContent>
                          <w:p w14:paraId="6E7CA7B6" w14:textId="4280C1D5" w:rsidR="00363BB0" w:rsidRPr="00C53E3E" w:rsidRDefault="00363BB0" w:rsidP="00363BB0">
                            <w:pPr>
                              <w:jc w:val="center"/>
                              <w:rPr>
                                <w:b/>
                                <w:bCs/>
                              </w:rPr>
                            </w:pPr>
                            <w:r w:rsidRPr="00C53E3E">
                              <w:rPr>
                                <w:b/>
                                <w:bCs/>
                              </w:rPr>
                              <w:t>(</w:t>
                            </w:r>
                            <w:r>
                              <w:rPr>
                                <w:b/>
                                <w:bCs/>
                              </w:rPr>
                              <w:t>e</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A0511" id="_x0000_s1037" type="#_x0000_t202" style="position:absolute;left:0;text-align:left;margin-left:150.5pt;margin-top:19.55pt;width:64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" fillcolor="white [3201]" strokeweight=".5pt">
                <v:textbox>
                  <w:txbxContent>
                    <w:p w14:paraId="6E7CA7B6" w14:textId="4280C1D5" w:rsidR="00363BB0" w:rsidRPr="00C53E3E" w:rsidRDefault="00363BB0" w:rsidP="00363BB0">
                      <w:pPr>
                        <w:jc w:val="center"/>
                        <w:rPr>
                          <w:b/>
                          <w:bCs/>
                        </w:rPr>
                      </w:pPr>
                      <w:r w:rsidRPr="00C53E3E">
                        <w:rPr>
                          <w:b/>
                          <w:bCs/>
                        </w:rPr>
                        <w:t>(</w:t>
                      </w:r>
                      <w:r>
                        <w:rPr>
                          <w:b/>
                          <w:bCs/>
                        </w:rPr>
                        <w:t>e</w:t>
                      </w:r>
                      <w:r w:rsidRPr="00C53E3E">
                        <w:rPr>
                          <w:b/>
                          <w:bCs/>
                        </w:rPr>
                        <w:t>)</w:t>
                      </w:r>
                    </w:p>
                  </w:txbxContent>
                </v:textbox>
              </v:shape>
            </w:pict>
          </mc:Fallback>
        </mc:AlternateContent>
      </w:r>
    </w:p>
    <w:p w14:paraId="1D20CE0B" w14:textId="087E17F3" w:rsidR="00AE21F7" w:rsidRPr="003A1949" w:rsidRDefault="00AE21F7"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76672" behindDoc="0" locked="0" layoutInCell="1" allowOverlap="1" wp14:anchorId="68698890" wp14:editId="3722E792">
                <wp:simplePos x="0" y="0"/>
                <wp:positionH relativeFrom="column">
                  <wp:posOffset>1327150</wp:posOffset>
                </wp:positionH>
                <wp:positionV relativeFrom="paragraph">
                  <wp:posOffset>237490</wp:posOffset>
                </wp:positionV>
                <wp:extent cx="6381750" cy="3130550"/>
                <wp:effectExtent l="0" t="0" r="0" b="0"/>
                <wp:wrapNone/>
                <wp:docPr id="1293263018" name="Text Box 7"/>
                <wp:cNvGraphicFramePr/>
                <a:graphic xmlns:a="http://schemas.openxmlformats.org/drawingml/2006/main">
                  <a:graphicData uri="http://schemas.microsoft.com/office/word/2010/wordprocessingShape">
                    <wps:wsp>
                      <wps:cNvSpPr txBox="1"/>
                      <wps:spPr>
                        <a:xfrm>
                          <a:off x="0" y="0"/>
                          <a:ext cx="6381750" cy="3130550"/>
                        </a:xfrm>
                        <a:prstGeom prst="rect">
                          <a:avLst/>
                        </a:prstGeom>
                        <a:solidFill>
                          <a:schemeClr val="lt1"/>
                        </a:solidFill>
                        <a:ln w="6350">
                          <a:noFill/>
                        </a:ln>
                      </wps:spPr>
                      <wps:txbx>
                        <w:txbxContent>
                          <w:p w14:paraId="118C7A28" w14:textId="4DDD04B6" w:rsidR="00AE21F7" w:rsidRDefault="007F5A43" w:rsidP="007F5A43">
                            <w:pPr>
                              <w:jc w:val="center"/>
                            </w:pPr>
                            <w:r>
                              <w:rPr>
                                <w:noProof/>
                              </w:rPr>
                              <mc:AlternateContent>
                                <mc:Choice Requires="cx1">
                                  <w:drawing>
                                    <wp:inline distT="0" distB="0" distL="0" distR="0" wp14:anchorId="330AAA70" wp14:editId="68EEA618">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6"/>
                                        </a:graphicData>
                                      </a:graphic>
                                    </wp:inline>
                                  </w:drawing>
                                </mc:Choice>
                                <mc:Fallback>
                                  <w:drawing>
                                    <wp:inline distT="0" distB="0" distL="0" distR="0" wp14:anchorId="330AAA70" wp14:editId="68EEA618">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47211058" name="Chart 1">
                                                <a:extLst>
                                                  <a:ext uri="{FF2B5EF4-FFF2-40B4-BE49-F238E27FC236}">
                                                    <a16:creationId xmlns:a16="http://schemas.microsoft.com/office/drawing/2014/main" id="{F00B85FA-B806-AA05-7460-1F5928A15D34}"/>
                                                  </a:ext>
                                                </a:extLst>
                                              </pic:cNvPr>
                                              <pic:cNvPicPr>
                                                <a:picLocks noGrp="1" noRot="1" noChangeAspect="1" noMove="1" noResize="1" noEditPoints="1" noAdjustHandles="1" noChangeArrowheads="1" noChangeShapeType="1"/>
                                              </pic:cNvPicPr>
                                            </pic:nvPicPr>
                                            <pic:blipFill>
                                              <a:blip r:embed="rId27"/>
                                              <a:stretch>
                                                <a:fillRect/>
                                              </a:stretch>
                                            </pic:blipFill>
                                            <pic:spPr>
                                              <a:xfrm>
                                                <a:off x="0" y="0"/>
                                                <a:ext cx="5530850" cy="3092450"/>
                                              </a:xfrm>
                                              <a:prstGeom prst="rect">
                                                <a:avLst/>
                                              </a:prstGeom>
                                            </pic:spPr>
                                          </pic:pic>
                                        </a:graphicData>
                                      </a:graphic>
                                    </wp:inline>
                                  </w:drawing>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98890" id="Text Box 7" o:spid="_x0000_s1038" type="#_x0000_t202" style="position:absolute;left:0;text-align:left;margin-left:104.5pt;margin-top:18.7pt;width:502.5pt;height:24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" fillcolor="white [3201]" stroked="f" strokeweight=".5pt">
                <v:textbox>
                  <w:txbxContent>
                    <w:p w14:paraId="118C7A28" w14:textId="4DDD04B6" w:rsidR="00AE21F7" w:rsidRDefault="007F5A43" w:rsidP="007F5A43">
                      <w:pPr>
                        <w:jc w:val="center"/>
                      </w:pPr>
                      <w:r>
                        <w:rPr>
                          <w:noProof/>
                        </w:rPr>
                        <mc:AlternateContent>
                          <mc:Choice Requires="cx1">
                            <w:drawing>
                              <wp:inline distT="0" distB="0" distL="0" distR="0" wp14:anchorId="330AAA70" wp14:editId="68EEA618">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6"/>
                                  </a:graphicData>
                                </a:graphic>
                              </wp:inline>
                            </w:drawing>
                          </mc:Choice>
                          <mc:Fallback>
                            <w:drawing>
                              <wp:inline distT="0" distB="0" distL="0" distR="0" wp14:anchorId="330AAA70" wp14:editId="68EEA618">
                                <wp:extent cx="5530850" cy="3092450"/>
                                <wp:effectExtent l="0" t="0" r="12700" b="12700"/>
                                <wp:docPr id="1647211058" name="Chart 1">
                                  <a:extLst xmlns:a="http://schemas.openxmlformats.org/drawingml/2006/main">
                                    <a:ext uri="{FF2B5EF4-FFF2-40B4-BE49-F238E27FC236}">
                                      <a16:creationId xmlns:a16="http://schemas.microsoft.com/office/drawing/2014/main" id="{F00B85FA-B806-AA05-7460-1F5928A15D3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47211058" name="Chart 1">
                                          <a:extLst>
                                            <a:ext uri="{FF2B5EF4-FFF2-40B4-BE49-F238E27FC236}">
                                              <a16:creationId xmlns:a16="http://schemas.microsoft.com/office/drawing/2014/main" id="{F00B85FA-B806-AA05-7460-1F5928A15D34}"/>
                                            </a:ext>
                                          </a:extLst>
                                        </pic:cNvPr>
                                        <pic:cNvPicPr>
                                          <a:picLocks noGrp="1" noRot="1" noChangeAspect="1" noMove="1" noResize="1" noEditPoints="1" noAdjustHandles="1" noChangeArrowheads="1" noChangeShapeType="1"/>
                                        </pic:cNvPicPr>
                                      </pic:nvPicPr>
                                      <pic:blipFill>
                                        <a:blip r:embed="rId27"/>
                                        <a:stretch>
                                          <a:fillRect/>
                                        </a:stretch>
                                      </pic:blipFill>
                                      <pic:spPr>
                                        <a:xfrm>
                                          <a:off x="0" y="0"/>
                                          <a:ext cx="5530850" cy="3092450"/>
                                        </a:xfrm>
                                        <a:prstGeom prst="rect">
                                          <a:avLst/>
                                        </a:prstGeom>
                                      </pic:spPr>
                                    </pic:pic>
                                  </a:graphicData>
                                </a:graphic>
                              </wp:inline>
                            </w:drawing>
                          </mc:Fallback>
                        </mc:AlternateContent>
                      </w:r>
                    </w:p>
                  </w:txbxContent>
                </v:textbox>
              </v:shape>
            </w:pict>
          </mc:Fallback>
        </mc:AlternateContent>
      </w:r>
    </w:p>
    <w:p w14:paraId="590FAA61" w14:textId="77777777" w:rsidR="00AE21F7" w:rsidRPr="003A1949" w:rsidRDefault="00AE21F7" w:rsidP="003C03A2">
      <w:pPr>
        <w:jc w:val="both"/>
        <w:rPr>
          <w:rFonts w:ascii="Arial" w:hAnsi="Arial" w:cs="Arial"/>
        </w:rPr>
      </w:pPr>
    </w:p>
    <w:p w14:paraId="591B9B15" w14:textId="77777777" w:rsidR="00AE21F7" w:rsidRPr="003A1949" w:rsidRDefault="00AE21F7" w:rsidP="003C03A2">
      <w:pPr>
        <w:jc w:val="both"/>
        <w:rPr>
          <w:rFonts w:ascii="Arial" w:hAnsi="Arial" w:cs="Arial"/>
        </w:rPr>
      </w:pPr>
    </w:p>
    <w:p w14:paraId="4E962FBD" w14:textId="77777777" w:rsidR="00AE21F7" w:rsidRPr="003A1949" w:rsidRDefault="00AE21F7" w:rsidP="003C03A2">
      <w:pPr>
        <w:jc w:val="both"/>
        <w:rPr>
          <w:rFonts w:ascii="Arial" w:hAnsi="Arial" w:cs="Arial"/>
        </w:rPr>
      </w:pPr>
    </w:p>
    <w:p w14:paraId="39E4D290" w14:textId="77777777" w:rsidR="00AE21F7" w:rsidRPr="003A1949" w:rsidRDefault="00AE21F7" w:rsidP="003C03A2">
      <w:pPr>
        <w:jc w:val="both"/>
        <w:rPr>
          <w:rFonts w:ascii="Arial" w:hAnsi="Arial" w:cs="Arial"/>
        </w:rPr>
      </w:pPr>
    </w:p>
    <w:p w14:paraId="234E10D8" w14:textId="77777777" w:rsidR="00AE21F7" w:rsidRPr="003A1949" w:rsidRDefault="00AE21F7" w:rsidP="003C03A2">
      <w:pPr>
        <w:jc w:val="both"/>
        <w:rPr>
          <w:rFonts w:ascii="Arial" w:hAnsi="Arial" w:cs="Arial"/>
        </w:rPr>
      </w:pPr>
    </w:p>
    <w:p w14:paraId="77C5F4D6" w14:textId="77777777" w:rsidR="00AE21F7" w:rsidRPr="003A1949" w:rsidRDefault="00AE21F7" w:rsidP="003C03A2">
      <w:pPr>
        <w:jc w:val="both"/>
        <w:rPr>
          <w:rFonts w:ascii="Arial" w:hAnsi="Arial" w:cs="Arial"/>
        </w:rPr>
      </w:pPr>
    </w:p>
    <w:p w14:paraId="6844C409" w14:textId="77777777" w:rsidR="00AE21F7" w:rsidRPr="003A1949" w:rsidRDefault="00AE21F7" w:rsidP="003C03A2">
      <w:pPr>
        <w:jc w:val="both"/>
        <w:rPr>
          <w:rFonts w:ascii="Arial" w:hAnsi="Arial" w:cs="Arial"/>
        </w:rPr>
      </w:pPr>
    </w:p>
    <w:p w14:paraId="35C9178B" w14:textId="61DFE1A3" w:rsidR="00AE21F7" w:rsidRPr="003A1949" w:rsidRDefault="005B55C8" w:rsidP="003C03A2">
      <w:pPr>
        <w:jc w:val="both"/>
        <w:rPr>
          <w:rFonts w:ascii="Arial" w:hAnsi="Arial" w:cs="Arial"/>
        </w:rPr>
      </w:pPr>
      <w:r w:rsidRPr="003A1949">
        <w:rPr>
          <w:rFonts w:ascii="Arial" w:hAnsi="Arial" w:cs="Arial"/>
          <w:noProof/>
        </w:rPr>
        <mc:AlternateContent>
          <mc:Choice Requires="wps">
            <w:drawing>
              <wp:anchor distT="0" distB="0" distL="114300" distR="114300" simplePos="0" relativeHeight="251692032" behindDoc="0" locked="0" layoutInCell="1" allowOverlap="1" wp14:anchorId="3C044F1E" wp14:editId="0E16022C">
                <wp:simplePos x="0" y="0"/>
                <wp:positionH relativeFrom="column">
                  <wp:posOffset>4318000</wp:posOffset>
                </wp:positionH>
                <wp:positionV relativeFrom="paragraph">
                  <wp:posOffset>790575</wp:posOffset>
                </wp:positionV>
                <wp:extent cx="812800" cy="260350"/>
                <wp:effectExtent l="0" t="0" r="25400" b="25400"/>
                <wp:wrapNone/>
                <wp:docPr id="717177428" name="Text Box 10"/>
                <wp:cNvGraphicFramePr/>
                <a:graphic xmlns:a="http://schemas.openxmlformats.org/drawingml/2006/main">
                  <a:graphicData uri="http://schemas.microsoft.com/office/word/2010/wordprocessingShape">
                    <wps:wsp>
                      <wps:cNvSpPr txBox="1"/>
                      <wps:spPr>
                        <a:xfrm>
                          <a:off x="0" y="0"/>
                          <a:ext cx="812800" cy="260350"/>
                        </a:xfrm>
                        <a:prstGeom prst="rect">
                          <a:avLst/>
                        </a:prstGeom>
                        <a:solidFill>
                          <a:schemeClr val="lt1"/>
                        </a:solidFill>
                        <a:ln w="6350">
                          <a:solidFill>
                            <a:prstClr val="black"/>
                          </a:solidFill>
                        </a:ln>
                      </wps:spPr>
                      <wps:txbx>
                        <w:txbxContent>
                          <w:p w14:paraId="673310DD" w14:textId="2678B6A0" w:rsidR="00363BB0" w:rsidRPr="00C53E3E" w:rsidRDefault="00363BB0" w:rsidP="00363BB0">
                            <w:pPr>
                              <w:jc w:val="center"/>
                              <w:rPr>
                                <w:b/>
                                <w:bCs/>
                              </w:rPr>
                            </w:pPr>
                            <w:r w:rsidRPr="00C53E3E">
                              <w:rPr>
                                <w:b/>
                                <w:bCs/>
                              </w:rPr>
                              <w:t>(</w:t>
                            </w:r>
                            <w:r>
                              <w:rPr>
                                <w:b/>
                                <w:bCs/>
                              </w:rPr>
                              <w:t>g</w:t>
                            </w:r>
                            <w:r w:rsidRPr="00C53E3E">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044F1E" id="_x0000_s1039" type="#_x0000_t202" style="position:absolute;left:0;text-align:left;margin-left:340pt;margin-top:62.25pt;width:64pt;height:2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T9OA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" fillcolor="white [3201]" strokeweight=".5pt">
                <v:textbox>
                  <w:txbxContent>
                    <w:p w14:paraId="673310DD" w14:textId="2678B6A0" w:rsidR="00363BB0" w:rsidRPr="00C53E3E" w:rsidRDefault="00363BB0" w:rsidP="00363BB0">
                      <w:pPr>
                        <w:jc w:val="center"/>
                        <w:rPr>
                          <w:b/>
                          <w:bCs/>
                        </w:rPr>
                      </w:pPr>
                      <w:r w:rsidRPr="00C53E3E">
                        <w:rPr>
                          <w:b/>
                          <w:bCs/>
                        </w:rPr>
                        <w:t>(</w:t>
                      </w:r>
                      <w:r>
                        <w:rPr>
                          <w:b/>
                          <w:bCs/>
                        </w:rPr>
                        <w:t>g</w:t>
                      </w:r>
                      <w:r w:rsidRPr="00C53E3E">
                        <w:rPr>
                          <w:b/>
                          <w:bCs/>
                        </w:rPr>
                        <w:t>)</w:t>
                      </w:r>
                    </w:p>
                  </w:txbxContent>
                </v:textbox>
              </v:shape>
            </w:pict>
          </mc:Fallback>
        </mc:AlternateContent>
      </w:r>
      <w:r w:rsidR="00E71C17" w:rsidRPr="003A1949">
        <w:rPr>
          <w:rFonts w:ascii="Arial" w:hAnsi="Arial" w:cs="Arial"/>
          <w:noProof/>
        </w:rPr>
        <mc:AlternateContent>
          <mc:Choice Requires="wps">
            <w:drawing>
              <wp:anchor distT="0" distB="0" distL="114300" distR="114300" simplePos="0" relativeHeight="251693056" behindDoc="0" locked="0" layoutInCell="1" allowOverlap="1" wp14:anchorId="70BD967E" wp14:editId="1815692D">
                <wp:simplePos x="0" y="0"/>
                <wp:positionH relativeFrom="column">
                  <wp:posOffset>914400</wp:posOffset>
                </wp:positionH>
                <wp:positionV relativeFrom="paragraph">
                  <wp:posOffset>1063625</wp:posOffset>
                </wp:positionV>
                <wp:extent cx="7778750" cy="685800"/>
                <wp:effectExtent l="0" t="0" r="0" b="0"/>
                <wp:wrapNone/>
                <wp:docPr id="2044321652" name="Text Box 11"/>
                <wp:cNvGraphicFramePr/>
                <a:graphic xmlns:a="http://schemas.openxmlformats.org/drawingml/2006/main">
                  <a:graphicData uri="http://schemas.microsoft.com/office/word/2010/wordprocessingShape">
                    <wps:wsp>
                      <wps:cNvSpPr txBox="1"/>
                      <wps:spPr>
                        <a:xfrm>
                          <a:off x="0" y="0"/>
                          <a:ext cx="7778750" cy="685800"/>
                        </a:xfrm>
                        <a:prstGeom prst="rect">
                          <a:avLst/>
                        </a:prstGeom>
                        <a:solidFill>
                          <a:schemeClr val="lt1"/>
                        </a:solidFill>
                        <a:ln w="6350">
                          <a:noFill/>
                        </a:ln>
                      </wps:spPr>
                      <wps:txbx>
                        <w:txbxContent>
                          <w:p w14:paraId="3A5D6FCA" w14:textId="0CABF778" w:rsidR="00E71C17" w:rsidRPr="00CF1DC1" w:rsidRDefault="00E71C17">
                            <w:pPr>
                              <w:rPr>
                                <w:rFonts w:ascii="Arial" w:hAnsi="Arial" w:cs="Arial"/>
                                <w:sz w:val="20"/>
                                <w:szCs w:val="20"/>
                              </w:rPr>
                            </w:pPr>
                            <w:r w:rsidRPr="00CF1DC1">
                              <w:rPr>
                                <w:rFonts w:ascii="Arial" w:hAnsi="Arial" w:cs="Arial"/>
                                <w:b/>
                                <w:bCs/>
                                <w:sz w:val="20"/>
                                <w:szCs w:val="20"/>
                              </w:rPr>
                              <w:t>Fig 1</w:t>
                            </w:r>
                            <w:r w:rsidRPr="00CF1DC1">
                              <w:rPr>
                                <w:rFonts w:ascii="Arial" w:hAnsi="Arial" w:cs="Arial"/>
                                <w:sz w:val="20"/>
                                <w:szCs w:val="20"/>
                              </w:rPr>
                              <w:t xml:space="preserve"> Box plot represent </w:t>
                            </w:r>
                            <w:r w:rsidR="005F3326" w:rsidRPr="00CF1DC1">
                              <w:rPr>
                                <w:rFonts w:ascii="Arial" w:hAnsi="Arial" w:cs="Arial"/>
                                <w:sz w:val="20"/>
                                <w:szCs w:val="20"/>
                              </w:rPr>
                              <w:t xml:space="preserve">visually compare GDM and non-GDM groups across key continuous variables such as </w:t>
                            </w:r>
                            <w:r w:rsidR="00652FF3" w:rsidRPr="00CF1DC1">
                              <w:rPr>
                                <w:rFonts w:ascii="Arial" w:hAnsi="Arial" w:cs="Arial"/>
                                <w:sz w:val="20"/>
                                <w:szCs w:val="20"/>
                              </w:rPr>
                              <w:t xml:space="preserve">(a) </w:t>
                            </w:r>
                            <w:r w:rsidR="005F3326" w:rsidRPr="00CF1DC1">
                              <w:rPr>
                                <w:rFonts w:ascii="Arial" w:hAnsi="Arial" w:cs="Arial"/>
                                <w:sz w:val="20"/>
                                <w:szCs w:val="20"/>
                              </w:rPr>
                              <w:t xml:space="preserve">age, </w:t>
                            </w:r>
                            <w:r w:rsidR="00652FF3" w:rsidRPr="00CF1DC1">
                              <w:rPr>
                                <w:rFonts w:ascii="Arial" w:hAnsi="Arial" w:cs="Arial"/>
                                <w:sz w:val="20"/>
                                <w:szCs w:val="20"/>
                              </w:rPr>
                              <w:t xml:space="preserve">(b) </w:t>
                            </w:r>
                            <w:r w:rsidR="005F3326" w:rsidRPr="00CF1DC1">
                              <w:rPr>
                                <w:rFonts w:ascii="Arial" w:hAnsi="Arial" w:cs="Arial"/>
                                <w:sz w:val="20"/>
                                <w:szCs w:val="20"/>
                              </w:rPr>
                              <w:t xml:space="preserve">BMI, </w:t>
                            </w:r>
                            <w:r w:rsidR="00652FF3" w:rsidRPr="00CF1DC1">
                              <w:rPr>
                                <w:rFonts w:ascii="Arial" w:hAnsi="Arial" w:cs="Arial"/>
                                <w:sz w:val="20"/>
                                <w:szCs w:val="20"/>
                              </w:rPr>
                              <w:t xml:space="preserve">(c) </w:t>
                            </w:r>
                            <w:r w:rsidR="0023286A" w:rsidRPr="00CF1DC1">
                              <w:rPr>
                                <w:rFonts w:ascii="Arial" w:hAnsi="Arial" w:cs="Arial"/>
                                <w:sz w:val="20"/>
                                <w:szCs w:val="20"/>
                              </w:rPr>
                              <w:t>Hemoglobin</w:t>
                            </w:r>
                            <w:r w:rsidR="00652FF3" w:rsidRPr="00CF1DC1">
                              <w:rPr>
                                <w:rFonts w:ascii="Arial" w:hAnsi="Arial" w:cs="Arial"/>
                                <w:sz w:val="20"/>
                                <w:szCs w:val="20"/>
                              </w:rPr>
                              <w:t xml:space="preserve"> level</w:t>
                            </w:r>
                            <w:r w:rsidR="00086B24" w:rsidRPr="00CF1DC1">
                              <w:rPr>
                                <w:rFonts w:ascii="Arial" w:hAnsi="Arial" w:cs="Arial"/>
                                <w:sz w:val="20"/>
                                <w:szCs w:val="20"/>
                              </w:rPr>
                              <w:t xml:space="preserve">, (d) Systolic </w:t>
                            </w:r>
                            <w:r w:rsidR="005F3326" w:rsidRPr="00CF1DC1">
                              <w:rPr>
                                <w:rFonts w:ascii="Arial" w:hAnsi="Arial" w:cs="Arial"/>
                                <w:sz w:val="20"/>
                                <w:szCs w:val="20"/>
                              </w:rPr>
                              <w:t>blood pressure,</w:t>
                            </w:r>
                            <w:r w:rsidR="00086B24" w:rsidRPr="00CF1DC1">
                              <w:rPr>
                                <w:rFonts w:ascii="Arial" w:hAnsi="Arial" w:cs="Arial"/>
                                <w:sz w:val="20"/>
                                <w:szCs w:val="20"/>
                              </w:rPr>
                              <w:t xml:space="preserve"> </w:t>
                            </w:r>
                            <w:r w:rsidR="0062244D" w:rsidRPr="00CF1DC1">
                              <w:rPr>
                                <w:rFonts w:ascii="Arial" w:hAnsi="Arial" w:cs="Arial"/>
                                <w:sz w:val="20"/>
                                <w:szCs w:val="20"/>
                              </w:rPr>
                              <w:t>(e</w:t>
                            </w:r>
                            <w:r w:rsidR="00086B24" w:rsidRPr="00CF1DC1">
                              <w:rPr>
                                <w:rFonts w:ascii="Arial" w:hAnsi="Arial" w:cs="Arial"/>
                                <w:sz w:val="20"/>
                                <w:szCs w:val="20"/>
                              </w:rPr>
                              <w:t xml:space="preserve">) </w:t>
                            </w:r>
                            <w:r w:rsidR="004521B1" w:rsidRPr="00CF1DC1">
                              <w:rPr>
                                <w:rFonts w:ascii="Arial" w:hAnsi="Arial" w:cs="Arial"/>
                                <w:sz w:val="20"/>
                                <w:szCs w:val="20"/>
                              </w:rPr>
                              <w:t>Dia systolic</w:t>
                            </w:r>
                            <w:r w:rsidR="00086B24" w:rsidRPr="00CF1DC1">
                              <w:rPr>
                                <w:rFonts w:ascii="Arial" w:hAnsi="Arial" w:cs="Arial"/>
                                <w:sz w:val="20"/>
                                <w:szCs w:val="20"/>
                              </w:rPr>
                              <w:t xml:space="preserve"> blood Pressure</w:t>
                            </w:r>
                            <w:r w:rsidR="0023286A" w:rsidRPr="00CF1DC1">
                              <w:rPr>
                                <w:rFonts w:ascii="Arial" w:hAnsi="Arial" w:cs="Arial"/>
                                <w:sz w:val="20"/>
                                <w:szCs w:val="20"/>
                              </w:rPr>
                              <w:t xml:space="preserve">, (f) </w:t>
                            </w:r>
                            <w:r w:rsidR="005F3326" w:rsidRPr="00CF1DC1">
                              <w:rPr>
                                <w:rFonts w:ascii="Arial" w:hAnsi="Arial" w:cs="Arial"/>
                                <w:sz w:val="20"/>
                                <w:szCs w:val="20"/>
                              </w:rPr>
                              <w:t>HbA1c, and</w:t>
                            </w:r>
                            <w:r w:rsidR="0062244D" w:rsidRPr="00CF1DC1">
                              <w:rPr>
                                <w:rFonts w:ascii="Arial" w:hAnsi="Arial" w:cs="Arial"/>
                                <w:sz w:val="20"/>
                                <w:szCs w:val="20"/>
                              </w:rPr>
                              <w:t xml:space="preserve"> </w:t>
                            </w:r>
                            <w:r w:rsidR="0023286A" w:rsidRPr="00CF1DC1">
                              <w:rPr>
                                <w:rFonts w:ascii="Arial" w:hAnsi="Arial" w:cs="Arial"/>
                                <w:sz w:val="20"/>
                                <w:szCs w:val="20"/>
                              </w:rPr>
                              <w:t xml:space="preserve">(g) </w:t>
                            </w:r>
                            <w:r w:rsidR="005F3326" w:rsidRPr="00CF1DC1">
                              <w:rPr>
                                <w:rFonts w:ascii="Arial" w:hAnsi="Arial" w:cs="Arial"/>
                                <w:sz w:val="20"/>
                                <w:szCs w:val="20"/>
                              </w:rPr>
                              <w:t>OGTT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BD967E" id="Text Box 11" o:spid="_x0000_s1040" type="#_x0000_t202" style="position:absolute;left:0;text-align:left;margin-left:1in;margin-top:83.75pt;width:612.5pt;height:5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TNMAIAAFw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" fillcolor="white [3201]" stroked="f" strokeweight=".5pt">
                <v:textbox>
                  <w:txbxContent>
                    <w:p w14:paraId="3A5D6FCA" w14:textId="0CABF778" w:rsidR="00E71C17" w:rsidRPr="00CF1DC1" w:rsidRDefault="00E71C17">
                      <w:pPr>
                        <w:rPr>
                          <w:rFonts w:ascii="Arial" w:hAnsi="Arial" w:cs="Arial"/>
                          <w:sz w:val="20"/>
                          <w:szCs w:val="20"/>
                        </w:rPr>
                      </w:pPr>
                      <w:r w:rsidRPr="00CF1DC1">
                        <w:rPr>
                          <w:rFonts w:ascii="Arial" w:hAnsi="Arial" w:cs="Arial"/>
                          <w:b/>
                          <w:bCs/>
                          <w:sz w:val="20"/>
                          <w:szCs w:val="20"/>
                        </w:rPr>
                        <w:t>Fig 1</w:t>
                      </w:r>
                      <w:r w:rsidRPr="00CF1DC1">
                        <w:rPr>
                          <w:rFonts w:ascii="Arial" w:hAnsi="Arial" w:cs="Arial"/>
                          <w:sz w:val="20"/>
                          <w:szCs w:val="20"/>
                        </w:rPr>
                        <w:t xml:space="preserve"> Box plot represent </w:t>
                      </w:r>
                      <w:r w:rsidR="005F3326" w:rsidRPr="00CF1DC1">
                        <w:rPr>
                          <w:rFonts w:ascii="Arial" w:hAnsi="Arial" w:cs="Arial"/>
                          <w:sz w:val="20"/>
                          <w:szCs w:val="20"/>
                        </w:rPr>
                        <w:t xml:space="preserve">visually compare GDM and non-GDM groups across key continuous variables such as </w:t>
                      </w:r>
                      <w:r w:rsidR="00652FF3" w:rsidRPr="00CF1DC1">
                        <w:rPr>
                          <w:rFonts w:ascii="Arial" w:hAnsi="Arial" w:cs="Arial"/>
                          <w:sz w:val="20"/>
                          <w:szCs w:val="20"/>
                        </w:rPr>
                        <w:t xml:space="preserve">(a) </w:t>
                      </w:r>
                      <w:r w:rsidR="005F3326" w:rsidRPr="00CF1DC1">
                        <w:rPr>
                          <w:rFonts w:ascii="Arial" w:hAnsi="Arial" w:cs="Arial"/>
                          <w:sz w:val="20"/>
                          <w:szCs w:val="20"/>
                        </w:rPr>
                        <w:t xml:space="preserve">age, </w:t>
                      </w:r>
                      <w:r w:rsidR="00652FF3" w:rsidRPr="00CF1DC1">
                        <w:rPr>
                          <w:rFonts w:ascii="Arial" w:hAnsi="Arial" w:cs="Arial"/>
                          <w:sz w:val="20"/>
                          <w:szCs w:val="20"/>
                        </w:rPr>
                        <w:t xml:space="preserve">(b) </w:t>
                      </w:r>
                      <w:r w:rsidR="005F3326" w:rsidRPr="00CF1DC1">
                        <w:rPr>
                          <w:rFonts w:ascii="Arial" w:hAnsi="Arial" w:cs="Arial"/>
                          <w:sz w:val="20"/>
                          <w:szCs w:val="20"/>
                        </w:rPr>
                        <w:t xml:space="preserve">BMI, </w:t>
                      </w:r>
                      <w:r w:rsidR="00652FF3" w:rsidRPr="00CF1DC1">
                        <w:rPr>
                          <w:rFonts w:ascii="Arial" w:hAnsi="Arial" w:cs="Arial"/>
                          <w:sz w:val="20"/>
                          <w:szCs w:val="20"/>
                        </w:rPr>
                        <w:t xml:space="preserve">(c) </w:t>
                      </w:r>
                      <w:r w:rsidR="0023286A" w:rsidRPr="00CF1DC1">
                        <w:rPr>
                          <w:rFonts w:ascii="Arial" w:hAnsi="Arial" w:cs="Arial"/>
                          <w:sz w:val="20"/>
                          <w:szCs w:val="20"/>
                        </w:rPr>
                        <w:t>Hemoglobin</w:t>
                      </w:r>
                      <w:r w:rsidR="00652FF3" w:rsidRPr="00CF1DC1">
                        <w:rPr>
                          <w:rFonts w:ascii="Arial" w:hAnsi="Arial" w:cs="Arial"/>
                          <w:sz w:val="20"/>
                          <w:szCs w:val="20"/>
                        </w:rPr>
                        <w:t xml:space="preserve"> level</w:t>
                      </w:r>
                      <w:r w:rsidR="00086B24" w:rsidRPr="00CF1DC1">
                        <w:rPr>
                          <w:rFonts w:ascii="Arial" w:hAnsi="Arial" w:cs="Arial"/>
                          <w:sz w:val="20"/>
                          <w:szCs w:val="20"/>
                        </w:rPr>
                        <w:t xml:space="preserve">, (d) Systolic </w:t>
                      </w:r>
                      <w:r w:rsidR="005F3326" w:rsidRPr="00CF1DC1">
                        <w:rPr>
                          <w:rFonts w:ascii="Arial" w:hAnsi="Arial" w:cs="Arial"/>
                          <w:sz w:val="20"/>
                          <w:szCs w:val="20"/>
                        </w:rPr>
                        <w:t>blood pressure,</w:t>
                      </w:r>
                      <w:r w:rsidR="00086B24" w:rsidRPr="00CF1DC1">
                        <w:rPr>
                          <w:rFonts w:ascii="Arial" w:hAnsi="Arial" w:cs="Arial"/>
                          <w:sz w:val="20"/>
                          <w:szCs w:val="20"/>
                        </w:rPr>
                        <w:t xml:space="preserve"> </w:t>
                      </w:r>
                      <w:r w:rsidR="0062244D" w:rsidRPr="00CF1DC1">
                        <w:rPr>
                          <w:rFonts w:ascii="Arial" w:hAnsi="Arial" w:cs="Arial"/>
                          <w:sz w:val="20"/>
                          <w:szCs w:val="20"/>
                        </w:rPr>
                        <w:t>(e</w:t>
                      </w:r>
                      <w:r w:rsidR="00086B24" w:rsidRPr="00CF1DC1">
                        <w:rPr>
                          <w:rFonts w:ascii="Arial" w:hAnsi="Arial" w:cs="Arial"/>
                          <w:sz w:val="20"/>
                          <w:szCs w:val="20"/>
                        </w:rPr>
                        <w:t xml:space="preserve">) </w:t>
                      </w:r>
                      <w:r w:rsidR="004521B1" w:rsidRPr="00CF1DC1">
                        <w:rPr>
                          <w:rFonts w:ascii="Arial" w:hAnsi="Arial" w:cs="Arial"/>
                          <w:sz w:val="20"/>
                          <w:szCs w:val="20"/>
                        </w:rPr>
                        <w:t>Dia systolic</w:t>
                      </w:r>
                      <w:r w:rsidR="00086B24" w:rsidRPr="00CF1DC1">
                        <w:rPr>
                          <w:rFonts w:ascii="Arial" w:hAnsi="Arial" w:cs="Arial"/>
                          <w:sz w:val="20"/>
                          <w:szCs w:val="20"/>
                        </w:rPr>
                        <w:t xml:space="preserve"> blood Pressure</w:t>
                      </w:r>
                      <w:r w:rsidR="0023286A" w:rsidRPr="00CF1DC1">
                        <w:rPr>
                          <w:rFonts w:ascii="Arial" w:hAnsi="Arial" w:cs="Arial"/>
                          <w:sz w:val="20"/>
                          <w:szCs w:val="20"/>
                        </w:rPr>
                        <w:t xml:space="preserve">, (f) </w:t>
                      </w:r>
                      <w:r w:rsidR="005F3326" w:rsidRPr="00CF1DC1">
                        <w:rPr>
                          <w:rFonts w:ascii="Arial" w:hAnsi="Arial" w:cs="Arial"/>
                          <w:sz w:val="20"/>
                          <w:szCs w:val="20"/>
                        </w:rPr>
                        <w:t>HbA1c, and</w:t>
                      </w:r>
                      <w:r w:rsidR="0062244D" w:rsidRPr="00CF1DC1">
                        <w:rPr>
                          <w:rFonts w:ascii="Arial" w:hAnsi="Arial" w:cs="Arial"/>
                          <w:sz w:val="20"/>
                          <w:szCs w:val="20"/>
                        </w:rPr>
                        <w:t xml:space="preserve"> </w:t>
                      </w:r>
                      <w:r w:rsidR="0023286A" w:rsidRPr="00CF1DC1">
                        <w:rPr>
                          <w:rFonts w:ascii="Arial" w:hAnsi="Arial" w:cs="Arial"/>
                          <w:sz w:val="20"/>
                          <w:szCs w:val="20"/>
                        </w:rPr>
                        <w:t xml:space="preserve">(g) </w:t>
                      </w:r>
                      <w:r w:rsidR="005F3326" w:rsidRPr="00CF1DC1">
                        <w:rPr>
                          <w:rFonts w:ascii="Arial" w:hAnsi="Arial" w:cs="Arial"/>
                          <w:sz w:val="20"/>
                          <w:szCs w:val="20"/>
                        </w:rPr>
                        <w:t>OGTT values</w:t>
                      </w:r>
                    </w:p>
                  </w:txbxContent>
                </v:textbox>
              </v:shape>
            </w:pict>
          </mc:Fallback>
        </mc:AlternateContent>
      </w:r>
    </w:p>
    <w:p w14:paraId="6D022E8D" w14:textId="77777777" w:rsidR="005603B1" w:rsidRPr="003A1949" w:rsidRDefault="005603B1" w:rsidP="003C03A2">
      <w:pPr>
        <w:jc w:val="both"/>
        <w:rPr>
          <w:rFonts w:ascii="Arial" w:hAnsi="Arial" w:cs="Arial"/>
        </w:rPr>
      </w:pPr>
    </w:p>
    <w:p w14:paraId="0C4BDFF7" w14:textId="6B4C605C" w:rsidR="0023286A" w:rsidRPr="003A1949" w:rsidRDefault="0023286A" w:rsidP="0023286A">
      <w:pPr>
        <w:tabs>
          <w:tab w:val="left" w:pos="1240"/>
        </w:tabs>
        <w:rPr>
          <w:rFonts w:ascii="Arial" w:hAnsi="Arial" w:cs="Arial"/>
        </w:rPr>
      </w:pPr>
      <w:r w:rsidRPr="003A1949">
        <w:rPr>
          <w:rFonts w:ascii="Arial" w:hAnsi="Arial" w:cs="Arial"/>
        </w:rPr>
        <w:tab/>
      </w:r>
    </w:p>
    <w:p w14:paraId="2F8BC5B0" w14:textId="55DBC61E" w:rsidR="0023286A" w:rsidRPr="003A1949" w:rsidRDefault="0023286A" w:rsidP="0023286A">
      <w:pPr>
        <w:tabs>
          <w:tab w:val="left" w:pos="1240"/>
        </w:tabs>
        <w:rPr>
          <w:rFonts w:ascii="Arial" w:hAnsi="Arial" w:cs="Arial"/>
        </w:rPr>
        <w:sectPr w:rsidR="0023286A" w:rsidRPr="003A1949" w:rsidSect="003653D3">
          <w:pgSz w:w="16838" w:h="23811" w:code="8"/>
          <w:pgMar w:top="1440" w:right="1440" w:bottom="1440" w:left="1440" w:header="720" w:footer="720" w:gutter="0"/>
          <w:cols w:space="720"/>
          <w:docGrid w:linePitch="360"/>
        </w:sectPr>
      </w:pPr>
      <w:r w:rsidRPr="003A1949">
        <w:rPr>
          <w:rFonts w:ascii="Arial" w:hAnsi="Arial" w:cs="Arial"/>
        </w:rPr>
        <w:tab/>
      </w:r>
    </w:p>
    <w:p w14:paraId="43FD5778" w14:textId="77777777" w:rsidR="00D176D7" w:rsidRPr="00CF1DC1" w:rsidRDefault="00D176D7" w:rsidP="00D176D7">
      <w:pPr>
        <w:jc w:val="both"/>
        <w:rPr>
          <w:rFonts w:ascii="Arial" w:hAnsi="Arial" w:cs="Arial"/>
          <w:sz w:val="20"/>
          <w:szCs w:val="20"/>
        </w:rPr>
      </w:pPr>
      <w:r w:rsidRPr="00CF1DC1">
        <w:rPr>
          <w:rFonts w:ascii="Arial" w:hAnsi="Arial" w:cs="Arial"/>
          <w:sz w:val="20"/>
          <w:szCs w:val="20"/>
        </w:rPr>
        <w:lastRenderedPageBreak/>
        <w:t>The boxplots (Figures 1a–g) provide a visual summary of key continuous variables, complementing the statistical analyses. Figure 1a illustrates that women with GDM had a higher median age and a broader interquartile range compared to non-GDM women, reinforcing maternal age as an important risk factor for GDM. Figure 1b depicts Body Mass Index (BMI) differences, where the GDM group showed greater median values and wider variability, supporting the established association between overweight/obesity and gestational diabetes. Figure 1c indicates slightly lower hemoglobin levels among GDM participants, though the overlapping ranges suggest only minor nutritional differences.</w:t>
      </w:r>
    </w:p>
    <w:p w14:paraId="69116258" w14:textId="77777777" w:rsidR="00D176D7" w:rsidRPr="00CF1DC1" w:rsidRDefault="00D176D7" w:rsidP="00D176D7">
      <w:pPr>
        <w:jc w:val="both"/>
        <w:rPr>
          <w:rFonts w:ascii="Arial" w:hAnsi="Arial" w:cs="Arial"/>
          <w:sz w:val="20"/>
          <w:szCs w:val="20"/>
        </w:rPr>
      </w:pPr>
      <w:r w:rsidRPr="00CF1DC1">
        <w:rPr>
          <w:rFonts w:ascii="Arial" w:hAnsi="Arial" w:cs="Arial"/>
          <w:sz w:val="20"/>
          <w:szCs w:val="20"/>
        </w:rPr>
        <w:t>Figure 1d highlights systolic blood pressure, with GDM women displaying higher median values and a more compact range, pointing to an elevated cardiovascular risk profile. Similarly, Figure 1e shows higher diastolic blood pressure in the GDM group, aligning with evidence linking hypertensive tendencies to gestational hyperglycemia. Figure 1f demonstrates that HbA1c values were consistently higher in GDM women, with a distinct interquartile range, reflecting chronic hyperglycemia and supporting HbA1c as a useful biomarker for GDM. Figure 1g presents OGTT results at fasting, 1-hour, and 2-hour intervals, where glucose levels in GDM participants remained above diagnostic cut-offs, in contrast to clearly lower values in the non-GDM group.</w:t>
      </w:r>
    </w:p>
    <w:p w14:paraId="0E288859" w14:textId="0D4D725E" w:rsidR="00D176D7" w:rsidRPr="00CF1DC1" w:rsidRDefault="00D176D7" w:rsidP="00057703">
      <w:pPr>
        <w:jc w:val="both"/>
        <w:rPr>
          <w:rFonts w:ascii="Arial" w:hAnsi="Arial" w:cs="Arial"/>
          <w:sz w:val="20"/>
          <w:szCs w:val="20"/>
        </w:rPr>
      </w:pPr>
      <w:r w:rsidRPr="00CF1DC1">
        <w:rPr>
          <w:rFonts w:ascii="Arial" w:hAnsi="Arial" w:cs="Arial"/>
          <w:sz w:val="20"/>
          <w:szCs w:val="20"/>
        </w:rPr>
        <w:t>Collectively, these boxplots confirm that maternal age, BMI, blood pressure, HbA1c, and OGTT values are consistently elevated among GDM cases, underscoring their utility as early indicators of pregnancy risk. By providing a visual depiction of variability and group differences, boxplots serve as an effective complement to traditional statistical tests.</w:t>
      </w:r>
    </w:p>
    <w:p w14:paraId="2FABBAF9" w14:textId="5F16A6E4" w:rsidR="0085297E" w:rsidRPr="0085297E" w:rsidRDefault="0085297E" w:rsidP="0085297E">
      <w:pPr>
        <w:rPr>
          <w:rFonts w:ascii="Arial" w:hAnsi="Arial" w:cs="Arial"/>
          <w:lang w:val="en-IN"/>
        </w:rPr>
      </w:pPr>
      <w:r w:rsidRPr="0085297E">
        <w:rPr>
          <w:rFonts w:ascii="Arial" w:hAnsi="Arial" w:cs="Arial"/>
          <w:b/>
          <w:bCs/>
          <w:lang w:val="en-IN"/>
        </w:rPr>
        <w:t>Results and Discussion</w:t>
      </w:r>
      <w:r>
        <w:rPr>
          <w:rFonts w:ascii="Arial" w:hAnsi="Arial" w:cs="Arial"/>
          <w:b/>
          <w:bCs/>
          <w:lang w:val="en-IN"/>
        </w:rPr>
        <w:t>:</w:t>
      </w:r>
      <w:r w:rsidRPr="0085297E">
        <w:rPr>
          <w:rFonts w:ascii="Arial" w:hAnsi="Arial" w:cs="Arial"/>
          <w:b/>
          <w:bCs/>
          <w:lang w:val="en-IN"/>
        </w:rPr>
        <w:br/>
      </w:r>
      <w:r w:rsidRPr="0085297E">
        <w:rPr>
          <w:rFonts w:ascii="Arial" w:hAnsi="Arial" w:cs="Arial"/>
          <w:lang w:val="en-IN"/>
        </w:rPr>
        <w:t xml:space="preserve">This study examined the association between serum vitamin B12 and folate concentrations with gestational diabetes mellitus (GDM), along with sociodemographic, physiological, and biochemical differences between women with and without GDM. Women with GDM were generally older, had higher BMI values, and displayed elevated systolic and diastolic blood pressure, emphasizing advanced maternal age and pre-pregnancy overweight as key contributors to GDM risk. Biochemical markers, including HbA1c and OGTT values, were significantly higher in the GDM group, reflecting impaired glucose regulation and persistent </w:t>
      </w:r>
      <w:proofErr w:type="spellStart"/>
      <w:r w:rsidRPr="0085297E">
        <w:rPr>
          <w:rFonts w:ascii="Arial" w:hAnsi="Arial" w:cs="Arial"/>
          <w:lang w:val="en-IN"/>
        </w:rPr>
        <w:t>hyperglycemia</w:t>
      </w:r>
      <w:proofErr w:type="spellEnd"/>
      <w:r w:rsidRPr="0085297E">
        <w:rPr>
          <w:rFonts w:ascii="Arial" w:hAnsi="Arial" w:cs="Arial"/>
          <w:lang w:val="en-IN"/>
        </w:rPr>
        <w:t>. These indicators effectively distinguished GDM from non-GDM participants, both statistically and visually through boxplots.</w:t>
      </w:r>
    </w:p>
    <w:p w14:paraId="6A30A66A" w14:textId="77777777" w:rsidR="0085297E" w:rsidRPr="0085297E" w:rsidRDefault="0085297E" w:rsidP="0085297E">
      <w:pPr>
        <w:jc w:val="both"/>
        <w:rPr>
          <w:rFonts w:ascii="Arial" w:hAnsi="Arial" w:cs="Arial"/>
          <w:lang w:val="en-IN"/>
        </w:rPr>
      </w:pPr>
      <w:proofErr w:type="spellStart"/>
      <w:r w:rsidRPr="0085297E">
        <w:rPr>
          <w:rFonts w:ascii="Arial" w:hAnsi="Arial" w:cs="Arial"/>
          <w:lang w:val="en-IN"/>
        </w:rPr>
        <w:t>Hemoglobin</w:t>
      </w:r>
      <w:proofErr w:type="spellEnd"/>
      <w:r w:rsidRPr="0085297E">
        <w:rPr>
          <w:rFonts w:ascii="Arial" w:hAnsi="Arial" w:cs="Arial"/>
          <w:lang w:val="en-IN"/>
        </w:rPr>
        <w:t xml:space="preserve"> levels were slightly lower among GDM women, though the difference was not marked. A major finding was the significantly reduced serum vitamin B12 levels in GDM participants, pointing toward a possible role of B12 deficiency in disturbed glucose metabolism during pregnancy. In contrast, serum folate concentrations did not differ meaningfully between groups, suggesting that folate alone may not be strongly associated with GDM despite its vital role in maternal health. Chi-square analysis further revealed significant associations between GDM status and categorical vitamin B12 levels, history of </w:t>
      </w:r>
      <w:proofErr w:type="spellStart"/>
      <w:r w:rsidRPr="0085297E">
        <w:rPr>
          <w:rFonts w:ascii="Arial" w:hAnsi="Arial" w:cs="Arial"/>
          <w:lang w:val="en-IN"/>
        </w:rPr>
        <w:t>cesarean</w:t>
      </w:r>
      <w:proofErr w:type="spellEnd"/>
      <w:r w:rsidRPr="0085297E">
        <w:rPr>
          <w:rFonts w:ascii="Arial" w:hAnsi="Arial" w:cs="Arial"/>
          <w:lang w:val="en-IN"/>
        </w:rPr>
        <w:t xml:space="preserve"> delivery, and supplementation practices during pregnancy, providing additional insights into maternal and clinical factors influencing GDM.</w:t>
      </w:r>
    </w:p>
    <w:p w14:paraId="676D270B" w14:textId="77777777" w:rsidR="0085297E" w:rsidRDefault="0085297E" w:rsidP="0085297E">
      <w:pPr>
        <w:jc w:val="both"/>
        <w:rPr>
          <w:rFonts w:ascii="Arial" w:hAnsi="Arial" w:cs="Arial"/>
          <w:lang w:val="en-IN"/>
        </w:rPr>
      </w:pPr>
      <w:r w:rsidRPr="0085297E">
        <w:rPr>
          <w:rFonts w:ascii="Arial" w:hAnsi="Arial" w:cs="Arial"/>
          <w:lang w:val="en-IN"/>
        </w:rPr>
        <w:t>These findings highlight the multifactorial nature of GDM, reinforcing the importance of integrating nutritional assessment, especially of vitamin B12, into maternal healthcare. The evidence supports early screening and monitoring of micronutrient status, alongside careful metabolic evaluation, as strategies to minimize adverse pregnancy outcomes.</w:t>
      </w:r>
    </w:p>
    <w:p w14:paraId="3481D541" w14:textId="77777777" w:rsidR="0085297E" w:rsidRDefault="0085297E" w:rsidP="0085297E">
      <w:pPr>
        <w:jc w:val="both"/>
        <w:rPr>
          <w:rFonts w:ascii="Arial" w:hAnsi="Arial" w:cs="Arial"/>
          <w:lang w:val="en-IN"/>
        </w:rPr>
      </w:pPr>
    </w:p>
    <w:p w14:paraId="4BCBE45E" w14:textId="77777777" w:rsidR="0085297E" w:rsidRPr="0085297E" w:rsidRDefault="0085297E" w:rsidP="0085297E">
      <w:pPr>
        <w:jc w:val="both"/>
        <w:rPr>
          <w:rFonts w:ascii="Arial" w:hAnsi="Arial" w:cs="Arial"/>
          <w:lang w:val="en-IN"/>
        </w:rPr>
      </w:pPr>
    </w:p>
    <w:p w14:paraId="617FB878" w14:textId="77777777" w:rsidR="0085297E" w:rsidRPr="0085297E" w:rsidRDefault="0085297E" w:rsidP="0085297E">
      <w:pPr>
        <w:jc w:val="both"/>
        <w:rPr>
          <w:rFonts w:ascii="Arial" w:hAnsi="Arial" w:cs="Arial"/>
          <w:lang w:val="en-IN"/>
        </w:rPr>
      </w:pPr>
      <w:r w:rsidRPr="0085297E">
        <w:rPr>
          <w:rFonts w:ascii="Arial" w:hAnsi="Arial" w:cs="Arial"/>
          <w:b/>
          <w:bCs/>
          <w:lang w:val="en-IN"/>
        </w:rPr>
        <w:lastRenderedPageBreak/>
        <w:t>Conclusion</w:t>
      </w:r>
      <w:r w:rsidRPr="0085297E">
        <w:rPr>
          <w:rFonts w:ascii="Arial" w:hAnsi="Arial" w:cs="Arial"/>
          <w:b/>
          <w:bCs/>
          <w:lang w:val="en-IN"/>
        </w:rPr>
        <w:br/>
      </w:r>
      <w:r w:rsidRPr="0085297E">
        <w:rPr>
          <w:rFonts w:ascii="Arial" w:hAnsi="Arial" w:cs="Arial"/>
          <w:lang w:val="en-IN"/>
        </w:rPr>
        <w:t>To conclude, significant associations were found between categorical vitamin B12 levels, history of caesarean delivery, antenatal supplementation practices and GDM. The results also highlight the need for regular monitoring of vitamin B12 status in pregnancy and suggest that tailored nutritional interventions could help lower the risk of developing GDM.</w:t>
      </w:r>
    </w:p>
    <w:p w14:paraId="530AFF0D" w14:textId="77777777" w:rsidR="003C03A2" w:rsidRPr="0085297E" w:rsidRDefault="003C03A2" w:rsidP="003C03A2">
      <w:pPr>
        <w:jc w:val="both"/>
        <w:rPr>
          <w:rFonts w:ascii="Arial" w:hAnsi="Arial" w:cs="Arial"/>
        </w:rPr>
      </w:pPr>
    </w:p>
    <w:p w14:paraId="3744DB3E" w14:textId="77777777" w:rsidR="003C03A2" w:rsidRPr="003A1949" w:rsidRDefault="003C03A2" w:rsidP="003C03A2">
      <w:pPr>
        <w:jc w:val="both"/>
        <w:rPr>
          <w:rFonts w:ascii="Arial" w:hAnsi="Arial" w:cs="Arial"/>
          <w:b/>
          <w:bCs/>
        </w:rPr>
      </w:pPr>
    </w:p>
    <w:p w14:paraId="571AF80C" w14:textId="77777777" w:rsidR="003C03A2" w:rsidRPr="003A1949" w:rsidRDefault="003C03A2" w:rsidP="003C03A2">
      <w:pPr>
        <w:jc w:val="both"/>
        <w:rPr>
          <w:rFonts w:ascii="Arial" w:hAnsi="Arial" w:cs="Arial"/>
          <w:b/>
          <w:bCs/>
        </w:rPr>
      </w:pPr>
    </w:p>
    <w:p w14:paraId="744C19CC" w14:textId="77777777" w:rsidR="003C03A2" w:rsidRPr="003A1949" w:rsidRDefault="003C03A2" w:rsidP="003C03A2">
      <w:pPr>
        <w:jc w:val="both"/>
        <w:rPr>
          <w:rFonts w:ascii="Arial" w:hAnsi="Arial" w:cs="Arial"/>
          <w:b/>
          <w:bCs/>
        </w:rPr>
      </w:pPr>
    </w:p>
    <w:p w14:paraId="728F7E75" w14:textId="77777777" w:rsidR="002B397E" w:rsidRPr="002B397E" w:rsidRDefault="002B397E" w:rsidP="002B397E">
      <w:pPr>
        <w:jc w:val="both"/>
        <w:rPr>
          <w:rFonts w:ascii="Arial" w:hAnsi="Arial" w:cs="Arial"/>
          <w:b/>
          <w:bCs/>
        </w:rPr>
      </w:pPr>
      <w:r w:rsidRPr="002B397E">
        <w:rPr>
          <w:rFonts w:ascii="Arial" w:hAnsi="Arial" w:cs="Arial"/>
          <w:b/>
          <w:bCs/>
        </w:rPr>
        <w:t>COMPETING INTERESTS DISCLAIMER:</w:t>
      </w:r>
    </w:p>
    <w:p w14:paraId="136F209C" w14:textId="05F33B14" w:rsidR="003C03A2" w:rsidRPr="003A1949" w:rsidRDefault="002B397E" w:rsidP="002B397E">
      <w:pPr>
        <w:jc w:val="both"/>
        <w:rPr>
          <w:rFonts w:ascii="Arial" w:hAnsi="Arial" w:cs="Arial"/>
          <w:b/>
          <w:bCs/>
        </w:rPr>
      </w:pPr>
      <w:r w:rsidRPr="002B397E">
        <w:rPr>
          <w:rFonts w:ascii="Arial" w:hAnsi="Arial" w:cs="Arial"/>
          <w:b/>
          <w:bCs/>
        </w:rPr>
        <w:t>Authors have declared that they have no known competing financial interests OR non-financial interests OR personal relationships that could have appeared to influence the work reported in this paper.</w:t>
      </w:r>
    </w:p>
    <w:p w14:paraId="630499A8" w14:textId="77777777" w:rsidR="00057703" w:rsidRPr="003A1949" w:rsidRDefault="00057703" w:rsidP="003C03A2">
      <w:pPr>
        <w:jc w:val="both"/>
        <w:rPr>
          <w:rFonts w:ascii="Arial" w:hAnsi="Arial" w:cs="Arial"/>
          <w:b/>
          <w:bCs/>
        </w:rPr>
      </w:pPr>
    </w:p>
    <w:p w14:paraId="21D28126" w14:textId="77777777" w:rsidR="007F1003" w:rsidRPr="00270720" w:rsidRDefault="007F1003" w:rsidP="007F1003">
      <w:pPr>
        <w:rPr>
          <w:highlight w:val="yellow"/>
        </w:rPr>
      </w:pPr>
      <w:r w:rsidRPr="00270720">
        <w:rPr>
          <w:highlight w:val="yellow"/>
        </w:rPr>
        <w:t>Disclaimer (Artificial intelligence)</w:t>
      </w:r>
    </w:p>
    <w:p w14:paraId="23B155EA" w14:textId="77777777" w:rsidR="007F1003" w:rsidRPr="00270720" w:rsidRDefault="007F1003" w:rsidP="007F1003">
      <w:pPr>
        <w:rPr>
          <w:highlight w:val="yellow"/>
        </w:rPr>
      </w:pPr>
    </w:p>
    <w:p w14:paraId="6539B3F1" w14:textId="77777777" w:rsidR="007F1003" w:rsidRPr="00270720" w:rsidRDefault="007F1003" w:rsidP="007F1003">
      <w:pPr>
        <w:rPr>
          <w:highlight w:val="yellow"/>
        </w:rPr>
      </w:pPr>
      <w:r w:rsidRPr="00270720">
        <w:rPr>
          <w:highlight w:val="yellow"/>
        </w:rPr>
        <w:t xml:space="preserve">Option 1: </w:t>
      </w:r>
    </w:p>
    <w:p w14:paraId="71B91EC2" w14:textId="77777777" w:rsidR="007F1003" w:rsidRPr="00270720" w:rsidRDefault="007F1003" w:rsidP="007F1003">
      <w:pPr>
        <w:rPr>
          <w:highlight w:val="yellow"/>
        </w:rPr>
      </w:pPr>
    </w:p>
    <w:p w14:paraId="65DDDC21" w14:textId="77777777" w:rsidR="007F1003" w:rsidRPr="00270720" w:rsidRDefault="007F1003" w:rsidP="007F100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B52CE4F" w14:textId="77777777" w:rsidR="007F1003" w:rsidRPr="00270720" w:rsidRDefault="007F1003" w:rsidP="007F1003">
      <w:pPr>
        <w:rPr>
          <w:highlight w:val="yellow"/>
        </w:rPr>
      </w:pPr>
    </w:p>
    <w:p w14:paraId="02C16AE5" w14:textId="77777777" w:rsidR="007F1003" w:rsidRPr="00270720" w:rsidRDefault="007F1003" w:rsidP="007F1003">
      <w:pPr>
        <w:rPr>
          <w:highlight w:val="yellow"/>
        </w:rPr>
      </w:pPr>
      <w:r w:rsidRPr="00270720">
        <w:rPr>
          <w:highlight w:val="yellow"/>
        </w:rPr>
        <w:t xml:space="preserve">Option 2: </w:t>
      </w:r>
    </w:p>
    <w:p w14:paraId="512E7D86" w14:textId="77777777" w:rsidR="007F1003" w:rsidRPr="00270720" w:rsidRDefault="007F1003" w:rsidP="007F1003">
      <w:pPr>
        <w:rPr>
          <w:highlight w:val="yellow"/>
        </w:rPr>
      </w:pPr>
    </w:p>
    <w:p w14:paraId="7F926F92" w14:textId="77777777" w:rsidR="007F1003" w:rsidRPr="00270720" w:rsidRDefault="007F1003" w:rsidP="007F100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CF287B" w14:textId="77777777" w:rsidR="007F1003" w:rsidRPr="00270720" w:rsidRDefault="007F1003" w:rsidP="007F1003">
      <w:pPr>
        <w:rPr>
          <w:highlight w:val="yellow"/>
        </w:rPr>
      </w:pPr>
    </w:p>
    <w:p w14:paraId="3950B4A6" w14:textId="77777777" w:rsidR="007F1003" w:rsidRPr="00270720" w:rsidRDefault="007F1003" w:rsidP="007F1003">
      <w:pPr>
        <w:rPr>
          <w:highlight w:val="yellow"/>
        </w:rPr>
      </w:pPr>
      <w:r w:rsidRPr="00270720">
        <w:rPr>
          <w:highlight w:val="yellow"/>
        </w:rPr>
        <w:t>Details of the AI usage are given below:</w:t>
      </w:r>
    </w:p>
    <w:p w14:paraId="682F2675" w14:textId="77777777" w:rsidR="007F1003" w:rsidRPr="00270720" w:rsidRDefault="007F1003" w:rsidP="007F1003">
      <w:pPr>
        <w:rPr>
          <w:highlight w:val="yellow"/>
        </w:rPr>
      </w:pPr>
      <w:r w:rsidRPr="00270720">
        <w:rPr>
          <w:highlight w:val="yellow"/>
        </w:rPr>
        <w:t>1.</w:t>
      </w:r>
    </w:p>
    <w:p w14:paraId="73E354C1" w14:textId="77777777" w:rsidR="007F1003" w:rsidRPr="00270720" w:rsidRDefault="007F1003" w:rsidP="007F1003">
      <w:pPr>
        <w:rPr>
          <w:highlight w:val="yellow"/>
        </w:rPr>
      </w:pPr>
      <w:r w:rsidRPr="00270720">
        <w:rPr>
          <w:highlight w:val="yellow"/>
        </w:rPr>
        <w:t>2.</w:t>
      </w:r>
    </w:p>
    <w:p w14:paraId="733772C9" w14:textId="77777777" w:rsidR="007F1003" w:rsidRPr="00270720" w:rsidRDefault="007F1003" w:rsidP="007F1003">
      <w:r w:rsidRPr="00270720">
        <w:rPr>
          <w:highlight w:val="yellow"/>
        </w:rPr>
        <w:lastRenderedPageBreak/>
        <w:t>3.</w:t>
      </w:r>
    </w:p>
    <w:p w14:paraId="696D74EC" w14:textId="77777777" w:rsidR="00057703" w:rsidRPr="003A1949" w:rsidRDefault="00057703" w:rsidP="003C03A2">
      <w:pPr>
        <w:jc w:val="both"/>
        <w:rPr>
          <w:rFonts w:ascii="Arial" w:hAnsi="Arial" w:cs="Arial"/>
          <w:b/>
          <w:bCs/>
        </w:rPr>
      </w:pPr>
    </w:p>
    <w:p w14:paraId="45DDA2A4" w14:textId="77777777" w:rsidR="00057703" w:rsidRPr="003A1949" w:rsidRDefault="00057703" w:rsidP="003C03A2">
      <w:pPr>
        <w:jc w:val="both"/>
        <w:rPr>
          <w:rFonts w:ascii="Arial" w:hAnsi="Arial" w:cs="Arial"/>
          <w:b/>
          <w:bCs/>
        </w:rPr>
      </w:pPr>
    </w:p>
    <w:p w14:paraId="623F05FC" w14:textId="77777777" w:rsidR="00057703" w:rsidRPr="003A1949" w:rsidRDefault="00057703" w:rsidP="003C03A2">
      <w:pPr>
        <w:jc w:val="both"/>
        <w:rPr>
          <w:rFonts w:ascii="Arial" w:hAnsi="Arial" w:cs="Arial"/>
          <w:b/>
          <w:bCs/>
        </w:rPr>
      </w:pPr>
    </w:p>
    <w:p w14:paraId="6970AA2A" w14:textId="77777777" w:rsidR="00057703" w:rsidRPr="003A1949" w:rsidRDefault="00057703" w:rsidP="003C03A2">
      <w:pPr>
        <w:jc w:val="both"/>
        <w:rPr>
          <w:rFonts w:ascii="Arial" w:hAnsi="Arial" w:cs="Arial"/>
          <w:b/>
          <w:bCs/>
        </w:rPr>
      </w:pPr>
    </w:p>
    <w:p w14:paraId="2BAF7B39" w14:textId="77777777" w:rsidR="00684BBE" w:rsidRPr="003A1949" w:rsidRDefault="00684BBE" w:rsidP="003C03A2">
      <w:pPr>
        <w:jc w:val="both"/>
        <w:rPr>
          <w:rFonts w:ascii="Arial" w:hAnsi="Arial" w:cs="Arial"/>
          <w:b/>
          <w:bCs/>
        </w:rPr>
      </w:pPr>
    </w:p>
    <w:p w14:paraId="5F53AA47" w14:textId="77777777" w:rsidR="005603B1" w:rsidRPr="003A1949" w:rsidRDefault="005603B1" w:rsidP="003C03A2">
      <w:pPr>
        <w:jc w:val="both"/>
        <w:rPr>
          <w:rFonts w:ascii="Arial" w:hAnsi="Arial" w:cs="Arial"/>
          <w:b/>
          <w:bCs/>
        </w:rPr>
      </w:pPr>
    </w:p>
    <w:p w14:paraId="61DDFF15" w14:textId="1AF73FC4" w:rsidR="008423FC" w:rsidRPr="003A1949" w:rsidRDefault="008423FC" w:rsidP="008423FC">
      <w:pPr>
        <w:jc w:val="both"/>
        <w:rPr>
          <w:rFonts w:ascii="Arial" w:hAnsi="Arial" w:cs="Arial"/>
        </w:rPr>
      </w:pPr>
      <w:r w:rsidRPr="003A1949">
        <w:rPr>
          <w:rFonts w:ascii="Arial" w:hAnsi="Arial" w:cs="Arial"/>
        </w:rPr>
        <w:t>References</w:t>
      </w:r>
    </w:p>
    <w:p w14:paraId="1C8FB7FA"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He, J., Jiang, D., Cui, X., &amp; Ji, C. (2022). Vitamin b12 status and folic acid/vitamin b12 related to the risk of gestational diabetes mellitus in pregnancy: a systematic review and meta-analysis of observational studies. BMC Pregnancy and Childbirth, 22(1). https://doi.org/10.1186/s12884-022-04911-9</w:t>
      </w:r>
    </w:p>
    <w:p w14:paraId="5091A226" w14:textId="77777777" w:rsidR="008423FC" w:rsidRPr="003A1949" w:rsidRDefault="008423FC" w:rsidP="00B42CBA">
      <w:pPr>
        <w:pStyle w:val="ListParagraph"/>
        <w:numPr>
          <w:ilvl w:val="0"/>
          <w:numId w:val="15"/>
        </w:numPr>
        <w:jc w:val="both"/>
        <w:rPr>
          <w:rFonts w:ascii="Arial" w:hAnsi="Arial" w:cs="Arial"/>
        </w:rPr>
      </w:pPr>
      <w:proofErr w:type="spellStart"/>
      <w:r w:rsidRPr="003A1949">
        <w:rPr>
          <w:rFonts w:ascii="Arial" w:hAnsi="Arial" w:cs="Arial"/>
        </w:rPr>
        <w:t>Kouroglou</w:t>
      </w:r>
      <w:proofErr w:type="spellEnd"/>
      <w:r w:rsidRPr="003A1949">
        <w:rPr>
          <w:rFonts w:ascii="Arial" w:hAnsi="Arial" w:cs="Arial"/>
        </w:rPr>
        <w:t xml:space="preserve">, E., Anagnostis, P., Daponte, A., &amp; </w:t>
      </w:r>
      <w:proofErr w:type="spellStart"/>
      <w:r w:rsidRPr="003A1949">
        <w:rPr>
          <w:rFonts w:ascii="Arial" w:hAnsi="Arial" w:cs="Arial"/>
        </w:rPr>
        <w:t>Bargiota</w:t>
      </w:r>
      <w:proofErr w:type="spellEnd"/>
      <w:r w:rsidRPr="003A1949">
        <w:rPr>
          <w:rFonts w:ascii="Arial" w:hAnsi="Arial" w:cs="Arial"/>
        </w:rPr>
        <w:t>, Α. (2019). Vitamin b12 insufficiency is associated with increased risk of gestational diabetes mellitus: a systematic review and meta-analysis. Endocrine, 66(2), 149-156. https://doi.org/10.1007/s12020-019-02053-1</w:t>
      </w:r>
    </w:p>
    <w:p w14:paraId="7E066BB6"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Li, S., Tian, X., Wang, Y., Zhang, X., Zhang, L., Li, C., … &amp; Zhang, Q. (2022). Associations of maternal rs1801131 genotype in </w:t>
      </w:r>
      <w:proofErr w:type="spellStart"/>
      <w:r w:rsidRPr="003A1949">
        <w:rPr>
          <w:rFonts w:ascii="Arial" w:hAnsi="Arial" w:cs="Arial"/>
        </w:rPr>
        <w:t>mthfr</w:t>
      </w:r>
      <w:proofErr w:type="spellEnd"/>
      <w:r w:rsidRPr="003A1949">
        <w:rPr>
          <w:rFonts w:ascii="Arial" w:hAnsi="Arial" w:cs="Arial"/>
        </w:rPr>
        <w:t xml:space="preserve"> and serum folate and vitamin b12 with gestational diabetes mellitus in </w:t>
      </w:r>
      <w:proofErr w:type="spellStart"/>
      <w:r w:rsidRPr="003A1949">
        <w:rPr>
          <w:rFonts w:ascii="Arial" w:hAnsi="Arial" w:cs="Arial"/>
        </w:rPr>
        <w:t>chinese</w:t>
      </w:r>
      <w:proofErr w:type="spellEnd"/>
      <w:r w:rsidRPr="003A1949">
        <w:rPr>
          <w:rFonts w:ascii="Arial" w:hAnsi="Arial" w:cs="Arial"/>
        </w:rPr>
        <w:t xml:space="preserve"> pregnant women. Nutrients, 14(6), 1169. https://doi.org/10.3390/nu14061169</w:t>
      </w:r>
    </w:p>
    <w:p w14:paraId="575F1223"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Meena, S., Gaikwad, H., &amp; Nath, B. (2023). Plasma homocysteine, folic acid and vitamin b12 in abruptio placentae: a cross-sectional study of their role and </w:t>
      </w:r>
      <w:proofErr w:type="spellStart"/>
      <w:r w:rsidRPr="003A1949">
        <w:rPr>
          <w:rFonts w:ascii="Arial" w:hAnsi="Arial" w:cs="Arial"/>
        </w:rPr>
        <w:t>feto</w:t>
      </w:r>
      <w:proofErr w:type="spellEnd"/>
      <w:r w:rsidRPr="003A1949">
        <w:rPr>
          <w:rFonts w:ascii="Arial" w:hAnsi="Arial" w:cs="Arial"/>
        </w:rPr>
        <w:t>-maternal outcome. Cureus. https://doi.org/10.7759/cureus.35664</w:t>
      </w:r>
    </w:p>
    <w:p w14:paraId="7547ADA4"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Paul, L. and </w:t>
      </w:r>
      <w:proofErr w:type="spellStart"/>
      <w:r w:rsidRPr="003A1949">
        <w:rPr>
          <w:rFonts w:ascii="Arial" w:hAnsi="Arial" w:cs="Arial"/>
        </w:rPr>
        <w:t>Selhub</w:t>
      </w:r>
      <w:proofErr w:type="spellEnd"/>
      <w:r w:rsidRPr="003A1949">
        <w:rPr>
          <w:rFonts w:ascii="Arial" w:hAnsi="Arial" w:cs="Arial"/>
        </w:rPr>
        <w:t>, J. (2017). Interaction between excess folate and low vitamin b12 status. Molecular Aspects of Medicine, 53, 43-47. https://doi.org/10.1016/j.mam.2016.11.004</w:t>
      </w:r>
    </w:p>
    <w:p w14:paraId="59DD601E"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Tinelli, C., Pino, A., </w:t>
      </w:r>
      <w:proofErr w:type="spellStart"/>
      <w:r w:rsidRPr="003A1949">
        <w:rPr>
          <w:rFonts w:ascii="Arial" w:hAnsi="Arial" w:cs="Arial"/>
        </w:rPr>
        <w:t>Ficulle</w:t>
      </w:r>
      <w:proofErr w:type="spellEnd"/>
      <w:r w:rsidRPr="003A1949">
        <w:rPr>
          <w:rFonts w:ascii="Arial" w:hAnsi="Arial" w:cs="Arial"/>
        </w:rPr>
        <w:t xml:space="preserve">, E., Marcelli, S., &amp; </w:t>
      </w:r>
      <w:proofErr w:type="spellStart"/>
      <w:r w:rsidRPr="003A1949">
        <w:rPr>
          <w:rFonts w:ascii="Arial" w:hAnsi="Arial" w:cs="Arial"/>
        </w:rPr>
        <w:t>Feligioni</w:t>
      </w:r>
      <w:proofErr w:type="spellEnd"/>
      <w:r w:rsidRPr="003A1949">
        <w:rPr>
          <w:rFonts w:ascii="Arial" w:hAnsi="Arial" w:cs="Arial"/>
        </w:rPr>
        <w:t xml:space="preserve">, M. (2019). </w:t>
      </w:r>
      <w:proofErr w:type="spellStart"/>
      <w:r w:rsidRPr="003A1949">
        <w:rPr>
          <w:rFonts w:ascii="Arial" w:hAnsi="Arial" w:cs="Arial"/>
        </w:rPr>
        <w:t>Hyperhomocysteinemia</w:t>
      </w:r>
      <w:proofErr w:type="spellEnd"/>
      <w:r w:rsidRPr="003A1949">
        <w:rPr>
          <w:rFonts w:ascii="Arial" w:hAnsi="Arial" w:cs="Arial"/>
        </w:rPr>
        <w:t xml:space="preserve"> as a risk factor and potential nutraceutical target for certain pathologies. Frontiers in Nutrition, 6. https://doi.org/10.3389/fnut.2019.00049</w:t>
      </w:r>
    </w:p>
    <w:p w14:paraId="1CBD3C56"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Xie, K., Xu, P., Fu, Z., Gu, X., Li, H., Cui, X., … &amp; Guo, X. (2019). Association of maternal folate status in the second trimester of pregnancy with the risk of gestational diabetes mellitus. Food Science &amp; Nutrition, 7(11), 3759-3765. https://doi.org/10.1002/fsn3.1235</w:t>
      </w:r>
    </w:p>
    <w:p w14:paraId="22C07620"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Yang, C., Lu, X., Zhao, F., &amp; Sun, G. (2022). The effects of serum folic acid and vitamin b12 on the risk of gestational diabetes mellitus. Diabetes Metabolic Syndrome and Obesity Targets and Therapy, Volume 15, 3891-3899.</w:t>
      </w:r>
    </w:p>
    <w:p w14:paraId="4C807D05"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Jiang, X., Jack-Roberts, C., Edwards, K., Gilboa, E., </w:t>
      </w:r>
      <w:proofErr w:type="spellStart"/>
      <w:r w:rsidRPr="003A1949">
        <w:rPr>
          <w:rFonts w:ascii="Arial" w:hAnsi="Arial" w:cs="Arial"/>
        </w:rPr>
        <w:t>Djuraev</w:t>
      </w:r>
      <w:proofErr w:type="spellEnd"/>
      <w:r w:rsidRPr="003A1949">
        <w:rPr>
          <w:rFonts w:ascii="Arial" w:hAnsi="Arial" w:cs="Arial"/>
        </w:rPr>
        <w:t>, I., &amp; Dalloul, M. (2020). Association of Methylation-Related Nutrient Intake and Status with Offspring DNA Methylation in Pregnant Women with and Without Gestational Diabetes Mellitus. Current Developments in Nutrition, 4, nzaa054_088.</w:t>
      </w:r>
    </w:p>
    <w:p w14:paraId="78490905" w14:textId="77777777" w:rsidR="008423FC" w:rsidRPr="003A1949" w:rsidRDefault="008423FC" w:rsidP="00B42CBA">
      <w:pPr>
        <w:pStyle w:val="ListParagraph"/>
        <w:numPr>
          <w:ilvl w:val="0"/>
          <w:numId w:val="15"/>
        </w:numPr>
        <w:jc w:val="both"/>
        <w:rPr>
          <w:rFonts w:ascii="Arial" w:hAnsi="Arial" w:cs="Arial"/>
        </w:rPr>
      </w:pPr>
      <w:proofErr w:type="spellStart"/>
      <w:r w:rsidRPr="003A1949">
        <w:rPr>
          <w:rFonts w:ascii="Arial" w:hAnsi="Arial" w:cs="Arial"/>
        </w:rPr>
        <w:lastRenderedPageBreak/>
        <w:t>Radzicka</w:t>
      </w:r>
      <w:proofErr w:type="spellEnd"/>
      <w:r w:rsidRPr="003A1949">
        <w:rPr>
          <w:rFonts w:ascii="Arial" w:hAnsi="Arial" w:cs="Arial"/>
        </w:rPr>
        <w:t>, S., Ziolkowska, K., Zaborowski, M. P., Brazert, J., &amp; Pietryga, M. (2019). Serum homocysteine and vitamin B12 levels in women with gestational diabetes mellitus. </w:t>
      </w:r>
      <w:proofErr w:type="spellStart"/>
      <w:r w:rsidRPr="003A1949">
        <w:rPr>
          <w:rFonts w:ascii="Arial" w:hAnsi="Arial" w:cs="Arial"/>
        </w:rPr>
        <w:t>Ginekologia</w:t>
      </w:r>
      <w:proofErr w:type="spellEnd"/>
      <w:r w:rsidRPr="003A1949">
        <w:rPr>
          <w:rFonts w:ascii="Arial" w:hAnsi="Arial" w:cs="Arial"/>
        </w:rPr>
        <w:t xml:space="preserve"> Polska, 90(7), 381-387.</w:t>
      </w:r>
    </w:p>
    <w:p w14:paraId="24EC0DB6" w14:textId="1BD8C8A8"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Maher, A., &amp; Sobczyńska-</w:t>
      </w:r>
      <w:proofErr w:type="spellStart"/>
      <w:r w:rsidRPr="003A1949">
        <w:rPr>
          <w:rFonts w:ascii="Arial" w:hAnsi="Arial" w:cs="Arial"/>
        </w:rPr>
        <w:t>Malefora</w:t>
      </w:r>
      <w:proofErr w:type="spellEnd"/>
      <w:r w:rsidRPr="003A1949">
        <w:rPr>
          <w:rFonts w:ascii="Arial" w:hAnsi="Arial" w:cs="Arial"/>
        </w:rPr>
        <w:t xml:space="preserve">, A. (2021). The Relationship Between Folate, Vitamin B12 and Gestational Diabetes Mellitus </w:t>
      </w:r>
      <w:r w:rsidR="00C963EC" w:rsidRPr="003A1949">
        <w:rPr>
          <w:rFonts w:ascii="Arial" w:hAnsi="Arial" w:cs="Arial"/>
        </w:rPr>
        <w:t>with</w:t>
      </w:r>
      <w:r w:rsidRPr="003A1949">
        <w:rPr>
          <w:rFonts w:ascii="Arial" w:hAnsi="Arial" w:cs="Arial"/>
        </w:rPr>
        <w:t xml:space="preserve"> Proposed Mechanisms and </w:t>
      </w:r>
      <w:proofErr w:type="spellStart"/>
      <w:r w:rsidRPr="003A1949">
        <w:rPr>
          <w:rFonts w:ascii="Arial" w:hAnsi="Arial" w:cs="Arial"/>
        </w:rPr>
        <w:t>Foetal</w:t>
      </w:r>
      <w:proofErr w:type="spellEnd"/>
      <w:r w:rsidRPr="003A1949">
        <w:rPr>
          <w:rFonts w:ascii="Arial" w:hAnsi="Arial" w:cs="Arial"/>
        </w:rPr>
        <w:t xml:space="preserve"> Implications. Journal of Family and Reproductive Health, 15(3), 141–149.</w:t>
      </w:r>
    </w:p>
    <w:p w14:paraId="0ED6D391"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Li, S., Hou, Y., Yan, X., Wang, Y., Shi, C., Wu, X., Liu, H., Zhang, L., Zhang, X., Liu, J., Zhang, M., Zhang, Q., &amp; Tang, N. (2019). Joint effects of folate and vitamin B12 imbalance with maternal characteristics on gestational diabetes mellitus. Journal of Diabetes, 11(9), 744–751.</w:t>
      </w:r>
    </w:p>
    <w:p w14:paraId="627F09FC"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Krishnaveni, G. V., Hill, J. C., Veena, S. R., Bhat, D. S., Wills, A. K., Karat, C. L. S., ... &amp; Fall, C. H. D. (2009). Low plasma vitamin B12 in pregnancy is associated with gestational ‘diabesity ‘and later diabetes. </w:t>
      </w:r>
      <w:proofErr w:type="spellStart"/>
      <w:r w:rsidRPr="003A1949">
        <w:rPr>
          <w:rFonts w:ascii="Arial" w:hAnsi="Arial" w:cs="Arial"/>
        </w:rPr>
        <w:t>Diabetologia</w:t>
      </w:r>
      <w:proofErr w:type="spellEnd"/>
      <w:r w:rsidRPr="003A1949">
        <w:rPr>
          <w:rFonts w:ascii="Arial" w:hAnsi="Arial" w:cs="Arial"/>
        </w:rPr>
        <w:t>, 52(11), 2350-2358.</w:t>
      </w:r>
    </w:p>
    <w:p w14:paraId="3EAEFE1C"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Sukumar, N., </w:t>
      </w:r>
      <w:proofErr w:type="spellStart"/>
      <w:r w:rsidRPr="003A1949">
        <w:rPr>
          <w:rFonts w:ascii="Arial" w:hAnsi="Arial" w:cs="Arial"/>
        </w:rPr>
        <w:t>Adaikalakoteswari</w:t>
      </w:r>
      <w:proofErr w:type="spellEnd"/>
      <w:r w:rsidRPr="003A1949">
        <w:rPr>
          <w:rFonts w:ascii="Arial" w:hAnsi="Arial" w:cs="Arial"/>
        </w:rPr>
        <w:t>, A., Venkataraman, H., Maheswaran, H., &amp; Saravanan, P. (2016). Vitamin B12 status in women of childbearing age in the UK and its relationship with national nutrient intake guidelines: results from two National Diet and Nutrition Surveys. BMJ open, 6(8), e011247.</w:t>
      </w:r>
    </w:p>
    <w:p w14:paraId="5A5751C9"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Chen, X., Zhang, Y., Chen, H., Jiang, Y., Wang, Y., Wang, D., Li, M., Dou, Y., Sun, X., Huang, G., &amp; Yan, W. (2021). Association of Maternal Folate and Vitamin B12 in Early Pregnancy </w:t>
      </w:r>
      <w:proofErr w:type="gramStart"/>
      <w:r w:rsidRPr="003A1949">
        <w:rPr>
          <w:rFonts w:ascii="Arial" w:hAnsi="Arial" w:cs="Arial"/>
        </w:rPr>
        <w:t>With</w:t>
      </w:r>
      <w:proofErr w:type="gramEnd"/>
      <w:r w:rsidRPr="003A1949">
        <w:rPr>
          <w:rFonts w:ascii="Arial" w:hAnsi="Arial" w:cs="Arial"/>
        </w:rPr>
        <w:t xml:space="preserve"> Gestational Diabetes Mellitus: A Prospective Cohort Study. Diabetes care, 44(1), 217–223.</w:t>
      </w:r>
    </w:p>
    <w:p w14:paraId="62E96F26" w14:textId="70CC9E42"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Swaminathan, G., Swaminathan, A., &amp; Corsi, D. J. (2020). Prevalence of Gestational Diabetes in India by Individual Socioeconomic, Demographic, and Clinical Factors. JAMA network open, 3(11), e2025074. </w:t>
      </w:r>
      <w:hyperlink r:id="rId28" w:history="1">
        <w:r w:rsidR="00AE5951" w:rsidRPr="003A1949">
          <w:rPr>
            <w:rStyle w:val="Hyperlink"/>
            <w:rFonts w:ascii="Arial" w:hAnsi="Arial" w:cs="Arial"/>
          </w:rPr>
          <w:t>https://doi.org/10.1001/jamanetworkopen.2020.25074</w:t>
        </w:r>
      </w:hyperlink>
    </w:p>
    <w:p w14:paraId="569BC22F" w14:textId="3746B51A" w:rsidR="00AE5951" w:rsidRPr="003A1949" w:rsidRDefault="00AE5951" w:rsidP="00B42CBA">
      <w:pPr>
        <w:pStyle w:val="ListParagraph"/>
        <w:numPr>
          <w:ilvl w:val="0"/>
          <w:numId w:val="15"/>
        </w:numPr>
        <w:jc w:val="both"/>
        <w:rPr>
          <w:rFonts w:ascii="Arial" w:hAnsi="Arial" w:cs="Arial"/>
        </w:rPr>
      </w:pPr>
      <w:r w:rsidRPr="003A1949">
        <w:rPr>
          <w:rFonts w:ascii="Arial" w:hAnsi="Arial" w:cs="Arial"/>
        </w:rPr>
        <w:t>Rajput, R., Yadav, Y., Nanda, S., &amp; Rajput, M. (2013). Prevalence of gestational diabetes mellitus &amp; associated risk factors at a tertiary care hospital in Haryana. </w:t>
      </w:r>
      <w:r w:rsidRPr="003A1949">
        <w:rPr>
          <w:rFonts w:ascii="Arial" w:hAnsi="Arial" w:cs="Arial"/>
          <w:i/>
          <w:iCs/>
        </w:rPr>
        <w:t>Indian Journal of Medical Research</w:t>
      </w:r>
      <w:r w:rsidRPr="003A1949">
        <w:rPr>
          <w:rFonts w:ascii="Arial" w:hAnsi="Arial" w:cs="Arial"/>
        </w:rPr>
        <w:t>, </w:t>
      </w:r>
      <w:r w:rsidRPr="003A1949">
        <w:rPr>
          <w:rFonts w:ascii="Arial" w:hAnsi="Arial" w:cs="Arial"/>
          <w:i/>
          <w:iCs/>
        </w:rPr>
        <w:t>137</w:t>
      </w:r>
      <w:r w:rsidRPr="003A1949">
        <w:rPr>
          <w:rFonts w:ascii="Arial" w:hAnsi="Arial" w:cs="Arial"/>
        </w:rPr>
        <w:t>(4), 728-733.</w:t>
      </w:r>
    </w:p>
    <w:p w14:paraId="04883D0E"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Saxena, P., Tyagi, S., Prakash, A., Nigam, A., &amp; Trivedi, S. S. (2011). Pregnancy outcome of women with gestational diabetes in a tertiary level hospital of north India. Indian Journal of Community Medicine, 36(2), 120-123.</w:t>
      </w:r>
    </w:p>
    <w:p w14:paraId="799AF209" w14:textId="77777777" w:rsidR="008423FC" w:rsidRPr="003A1949" w:rsidRDefault="008423FC" w:rsidP="00B42CBA">
      <w:pPr>
        <w:pStyle w:val="ListParagraph"/>
        <w:numPr>
          <w:ilvl w:val="0"/>
          <w:numId w:val="15"/>
        </w:numPr>
        <w:jc w:val="both"/>
        <w:rPr>
          <w:rFonts w:ascii="Arial" w:hAnsi="Arial" w:cs="Arial"/>
        </w:rPr>
      </w:pPr>
      <w:r w:rsidRPr="003A1949">
        <w:rPr>
          <w:rFonts w:ascii="Arial" w:hAnsi="Arial" w:cs="Arial"/>
        </w:rPr>
        <w:t xml:space="preserve">Saravanan, P., Deepa, M., Ahmed, Z., Ram, U., Surapaneni, T., </w:t>
      </w:r>
      <w:proofErr w:type="spellStart"/>
      <w:r w:rsidRPr="003A1949">
        <w:rPr>
          <w:rFonts w:ascii="Arial" w:hAnsi="Arial" w:cs="Arial"/>
        </w:rPr>
        <w:t>Kallur</w:t>
      </w:r>
      <w:proofErr w:type="spellEnd"/>
      <w:r w:rsidRPr="003A1949">
        <w:rPr>
          <w:rFonts w:ascii="Arial" w:hAnsi="Arial" w:cs="Arial"/>
        </w:rPr>
        <w:t xml:space="preserve">, S. D., Desari, P., Suresh, S., Anjana, R. M., Hannah, W., Shivashri, C., Hemavathy, S., Sukumar, N., Kosgei, W. K., Christoffersen-Deb, A., Kibet, V., Hector, J. N., </w:t>
      </w:r>
      <w:proofErr w:type="spellStart"/>
      <w:r w:rsidRPr="003A1949">
        <w:rPr>
          <w:rFonts w:ascii="Arial" w:hAnsi="Arial" w:cs="Arial"/>
        </w:rPr>
        <w:t>Anusu</w:t>
      </w:r>
      <w:proofErr w:type="spellEnd"/>
      <w:r w:rsidRPr="003A1949">
        <w:rPr>
          <w:rFonts w:ascii="Arial" w:hAnsi="Arial" w:cs="Arial"/>
        </w:rPr>
        <w:t>, G., Stallard, N., Ghebremichael-</w:t>
      </w:r>
      <w:proofErr w:type="spellStart"/>
      <w:r w:rsidRPr="003A1949">
        <w:rPr>
          <w:rFonts w:ascii="Arial" w:hAnsi="Arial" w:cs="Arial"/>
        </w:rPr>
        <w:t>Weldeselassie</w:t>
      </w:r>
      <w:proofErr w:type="spellEnd"/>
      <w:r w:rsidRPr="003A1949">
        <w:rPr>
          <w:rFonts w:ascii="Arial" w:hAnsi="Arial" w:cs="Arial"/>
        </w:rPr>
        <w:t>, Y., … Mohan, V. (2024). Early pregnancy HbA1c as the first screening test for gestational diabetes: results from three prospective cohorts. The lancet. Diabetes &amp; endocrinology, 12(8), 535–544. https://doi.org/10.1016/S2213-8587(24)00151-7</w:t>
      </w:r>
    </w:p>
    <w:p w14:paraId="48444D10" w14:textId="1E829D53" w:rsidR="008423FC" w:rsidRDefault="008423FC" w:rsidP="00B42CBA">
      <w:pPr>
        <w:pStyle w:val="ListParagraph"/>
        <w:numPr>
          <w:ilvl w:val="0"/>
          <w:numId w:val="15"/>
        </w:numPr>
        <w:jc w:val="both"/>
        <w:rPr>
          <w:rFonts w:ascii="Arial" w:hAnsi="Arial" w:cs="Arial"/>
        </w:rPr>
      </w:pPr>
      <w:r w:rsidRPr="003A1949">
        <w:rPr>
          <w:rFonts w:ascii="Arial" w:hAnsi="Arial" w:cs="Arial"/>
        </w:rPr>
        <w:t xml:space="preserve">Finkelstein, J. L., </w:t>
      </w:r>
      <w:proofErr w:type="spellStart"/>
      <w:r w:rsidRPr="003A1949">
        <w:rPr>
          <w:rFonts w:ascii="Arial" w:hAnsi="Arial" w:cs="Arial"/>
        </w:rPr>
        <w:t>Kurpad</w:t>
      </w:r>
      <w:proofErr w:type="spellEnd"/>
      <w:r w:rsidRPr="003A1949">
        <w:rPr>
          <w:rFonts w:ascii="Arial" w:hAnsi="Arial" w:cs="Arial"/>
        </w:rPr>
        <w:t xml:space="preserve">, A. V., Thomas, T., Srinivasan, K., &amp; Duggan, C. (2017). Vitamin B12 status in pregnant women and their infants in South India. European journal of clinical nutrition, 71(9), 1046–1053. </w:t>
      </w:r>
      <w:hyperlink r:id="rId29" w:history="1">
        <w:r w:rsidR="00F9329F" w:rsidRPr="002B45B8">
          <w:rPr>
            <w:rStyle w:val="Hyperlink"/>
            <w:rFonts w:ascii="Arial" w:hAnsi="Arial" w:cs="Arial"/>
          </w:rPr>
          <w:t>https://doi.org/10.1038/ejcn.2017.29</w:t>
        </w:r>
      </w:hyperlink>
    </w:p>
    <w:p w14:paraId="539B2267" w14:textId="00B1020D" w:rsidR="00A857DB" w:rsidRDefault="00A857DB" w:rsidP="00B42CBA">
      <w:pPr>
        <w:pStyle w:val="ListParagraph"/>
        <w:numPr>
          <w:ilvl w:val="0"/>
          <w:numId w:val="15"/>
        </w:numPr>
        <w:jc w:val="both"/>
        <w:rPr>
          <w:rFonts w:ascii="Arial" w:hAnsi="Arial" w:cs="Arial"/>
        </w:rPr>
      </w:pPr>
      <w:r w:rsidRPr="00A857DB">
        <w:rPr>
          <w:rFonts w:ascii="Arial" w:hAnsi="Arial" w:cs="Arial"/>
        </w:rPr>
        <w:t xml:space="preserve">Lai, J. S., Pang, W. W., Cai, S., Lee, Y. S., Chan, J. K. Y., Shek, L. P. C., Yap, F. K. P., Tan, K. H., Godfrey, K. M., van Dam, R. M., Chong, Y. S., &amp; Chong, M. F. F. (2018). High folate and low vitamin B12 status during pregnancy is associated with gestational diabetes mellitus. </w:t>
      </w:r>
      <w:r w:rsidRPr="00A857DB">
        <w:rPr>
          <w:rFonts w:ascii="Arial" w:hAnsi="Arial" w:cs="Arial"/>
          <w:i/>
          <w:iCs/>
        </w:rPr>
        <w:t>Clinical Nutrition, 37</w:t>
      </w:r>
      <w:r w:rsidRPr="00A857DB">
        <w:rPr>
          <w:rFonts w:ascii="Arial" w:hAnsi="Arial" w:cs="Arial"/>
        </w:rPr>
        <w:t>(3), 940–947.</w:t>
      </w:r>
    </w:p>
    <w:p w14:paraId="17EAAE00" w14:textId="652400B2" w:rsidR="00E81CF7" w:rsidRDefault="00E81CF7" w:rsidP="00B42CBA">
      <w:pPr>
        <w:pStyle w:val="ListParagraph"/>
        <w:numPr>
          <w:ilvl w:val="0"/>
          <w:numId w:val="15"/>
        </w:numPr>
        <w:jc w:val="both"/>
        <w:rPr>
          <w:rFonts w:ascii="Arial" w:hAnsi="Arial" w:cs="Arial"/>
        </w:rPr>
      </w:pPr>
      <w:r w:rsidRPr="00E81CF7">
        <w:rPr>
          <w:rFonts w:ascii="Arial" w:hAnsi="Arial" w:cs="Arial"/>
        </w:rPr>
        <w:t>O’Leary, F., &amp; Samman, S. (2010). Vitamin B</w:t>
      </w:r>
      <w:r w:rsidRPr="00E81CF7">
        <w:rPr>
          <w:rFonts w:ascii="Arial" w:hAnsi="Arial" w:cs="Arial"/>
          <w:vertAlign w:val="subscript"/>
        </w:rPr>
        <w:t>12</w:t>
      </w:r>
      <w:r w:rsidRPr="00E81CF7">
        <w:rPr>
          <w:rFonts w:ascii="Arial" w:hAnsi="Arial" w:cs="Arial"/>
        </w:rPr>
        <w:t> in Health and Disease. </w:t>
      </w:r>
      <w:r w:rsidRPr="00E81CF7">
        <w:rPr>
          <w:rFonts w:ascii="Arial" w:hAnsi="Arial" w:cs="Arial"/>
          <w:i/>
          <w:iCs/>
        </w:rPr>
        <w:t>Nutrients</w:t>
      </w:r>
      <w:r w:rsidRPr="00E81CF7">
        <w:rPr>
          <w:rFonts w:ascii="Arial" w:hAnsi="Arial" w:cs="Arial"/>
        </w:rPr>
        <w:t>, </w:t>
      </w:r>
      <w:r w:rsidRPr="00E81CF7">
        <w:rPr>
          <w:rFonts w:ascii="Arial" w:hAnsi="Arial" w:cs="Arial"/>
          <w:i/>
          <w:iCs/>
        </w:rPr>
        <w:t>2</w:t>
      </w:r>
      <w:r w:rsidRPr="00E81CF7">
        <w:rPr>
          <w:rFonts w:ascii="Arial" w:hAnsi="Arial" w:cs="Arial"/>
        </w:rPr>
        <w:t xml:space="preserve">(3), 299-316. </w:t>
      </w:r>
      <w:hyperlink r:id="rId30" w:history="1">
        <w:r w:rsidR="0099511C" w:rsidRPr="002B45B8">
          <w:rPr>
            <w:rStyle w:val="Hyperlink"/>
            <w:rFonts w:ascii="Arial" w:hAnsi="Arial" w:cs="Arial"/>
          </w:rPr>
          <w:t>https://doi.org/10.3390/nu2030299</w:t>
        </w:r>
      </w:hyperlink>
    </w:p>
    <w:p w14:paraId="0AD5114E" w14:textId="23635560" w:rsidR="0099511C" w:rsidRDefault="0099511C" w:rsidP="00B42CBA">
      <w:pPr>
        <w:pStyle w:val="ListParagraph"/>
        <w:numPr>
          <w:ilvl w:val="0"/>
          <w:numId w:val="15"/>
        </w:numPr>
        <w:jc w:val="both"/>
        <w:rPr>
          <w:rFonts w:ascii="Arial" w:hAnsi="Arial" w:cs="Arial"/>
        </w:rPr>
      </w:pPr>
      <w:r w:rsidRPr="0099511C">
        <w:rPr>
          <w:rFonts w:ascii="Arial" w:hAnsi="Arial" w:cs="Arial"/>
        </w:rPr>
        <w:lastRenderedPageBreak/>
        <w:t xml:space="preserve">World Health Organization. (2015). </w:t>
      </w:r>
      <w:r w:rsidRPr="0099511C">
        <w:rPr>
          <w:rFonts w:ascii="Arial" w:hAnsi="Arial" w:cs="Arial"/>
          <w:i/>
          <w:iCs/>
        </w:rPr>
        <w:t>Serum and red blood cell folate concentrations for assessing folate status in populations: Report of a WHO technical consultation, Geneva, Switzerland, 15–17 September 2014</w:t>
      </w:r>
      <w:r w:rsidRPr="0099511C">
        <w:rPr>
          <w:rFonts w:ascii="Arial" w:hAnsi="Arial" w:cs="Arial"/>
        </w:rPr>
        <w:t xml:space="preserve"> (WHO/NMH/NHD/EPG/15.01). Geneva: World Health Organization. </w:t>
      </w:r>
      <w:hyperlink r:id="rId31" w:tgtFrame="_new" w:history="1">
        <w:r w:rsidRPr="0099511C">
          <w:rPr>
            <w:rStyle w:val="Hyperlink"/>
            <w:rFonts w:ascii="Arial" w:hAnsi="Arial" w:cs="Arial"/>
          </w:rPr>
          <w:t>https://www.who.int/publications/i/item/WHO-NMH-NHD-EPG-15.01</w:t>
        </w:r>
      </w:hyperlink>
    </w:p>
    <w:p w14:paraId="7F4D3A26" w14:textId="77777777" w:rsidR="008423FC" w:rsidRPr="003A1949" w:rsidRDefault="008423FC" w:rsidP="008423FC">
      <w:pPr>
        <w:jc w:val="both"/>
        <w:rPr>
          <w:rFonts w:ascii="Arial" w:hAnsi="Arial" w:cs="Arial"/>
        </w:rPr>
      </w:pPr>
    </w:p>
    <w:p w14:paraId="33CD3684" w14:textId="77777777" w:rsidR="00F03C57" w:rsidRPr="003A1949" w:rsidRDefault="00F03C57" w:rsidP="00CB5E8E">
      <w:pPr>
        <w:rPr>
          <w:rFonts w:ascii="Arial" w:hAnsi="Arial" w:cs="Arial"/>
          <w:color w:val="1F497D" w:themeColor="text2"/>
        </w:rPr>
      </w:pPr>
    </w:p>
    <w:p w14:paraId="7E20ED3E" w14:textId="77777777" w:rsidR="00CB5E8E" w:rsidRPr="003A1949" w:rsidRDefault="00CB5E8E" w:rsidP="00EC24B9">
      <w:pPr>
        <w:rPr>
          <w:rFonts w:ascii="Arial" w:hAnsi="Arial" w:cs="Arial"/>
          <w:color w:val="1F497D" w:themeColor="text2"/>
        </w:rPr>
      </w:pPr>
    </w:p>
    <w:p w14:paraId="55064A3A" w14:textId="7D92C884" w:rsidR="00236AED" w:rsidRPr="003A1949" w:rsidRDefault="00236AED" w:rsidP="00BD614C">
      <w:pPr>
        <w:rPr>
          <w:rFonts w:ascii="Arial" w:hAnsi="Arial" w:cs="Arial"/>
        </w:rPr>
      </w:pPr>
    </w:p>
    <w:p w14:paraId="220E0982" w14:textId="77777777" w:rsidR="003C03A2" w:rsidRPr="003A1949" w:rsidRDefault="003C03A2" w:rsidP="003C03A2">
      <w:pPr>
        <w:jc w:val="both"/>
        <w:rPr>
          <w:rFonts w:ascii="Arial" w:hAnsi="Arial" w:cs="Arial"/>
          <w:b/>
          <w:bCs/>
        </w:rPr>
      </w:pPr>
    </w:p>
    <w:p w14:paraId="63C27B7D" w14:textId="77777777" w:rsidR="00063675" w:rsidRPr="003A1949" w:rsidRDefault="00063675" w:rsidP="003C03A2">
      <w:pPr>
        <w:jc w:val="both"/>
        <w:rPr>
          <w:rFonts w:ascii="Arial" w:hAnsi="Arial" w:cs="Arial"/>
          <w:b/>
          <w:bCs/>
        </w:rPr>
      </w:pPr>
    </w:p>
    <w:p w14:paraId="55F23D1B" w14:textId="77777777" w:rsidR="00063675" w:rsidRPr="003A1949" w:rsidRDefault="00063675" w:rsidP="003C03A2">
      <w:pPr>
        <w:jc w:val="both"/>
        <w:rPr>
          <w:rFonts w:ascii="Arial" w:hAnsi="Arial" w:cs="Arial"/>
          <w:b/>
          <w:bCs/>
        </w:rPr>
      </w:pPr>
    </w:p>
    <w:p w14:paraId="4ABDA2BB" w14:textId="77777777" w:rsidR="00063675" w:rsidRPr="003A1949" w:rsidRDefault="00063675" w:rsidP="003C03A2">
      <w:pPr>
        <w:jc w:val="both"/>
        <w:rPr>
          <w:rFonts w:ascii="Arial" w:hAnsi="Arial" w:cs="Arial"/>
          <w:b/>
          <w:bCs/>
        </w:rPr>
      </w:pPr>
    </w:p>
    <w:p w14:paraId="26E8B58B" w14:textId="77777777" w:rsidR="00F42541" w:rsidRPr="003A1949" w:rsidRDefault="00F42541" w:rsidP="003C03A2">
      <w:pPr>
        <w:jc w:val="both"/>
        <w:rPr>
          <w:rFonts w:ascii="Arial" w:hAnsi="Arial" w:cs="Arial"/>
          <w:b/>
          <w:bCs/>
        </w:rPr>
      </w:pPr>
    </w:p>
    <w:p w14:paraId="286D02B1" w14:textId="77777777" w:rsidR="00F42541" w:rsidRPr="003A1949" w:rsidRDefault="00F42541" w:rsidP="003C03A2">
      <w:pPr>
        <w:jc w:val="both"/>
        <w:rPr>
          <w:rFonts w:ascii="Arial" w:hAnsi="Arial" w:cs="Arial"/>
          <w:b/>
          <w:bCs/>
        </w:rPr>
      </w:pPr>
    </w:p>
    <w:p w14:paraId="01558671" w14:textId="77777777" w:rsidR="00F42541" w:rsidRPr="003A1949" w:rsidRDefault="00F42541" w:rsidP="003C03A2">
      <w:pPr>
        <w:jc w:val="both"/>
        <w:rPr>
          <w:rFonts w:ascii="Arial" w:hAnsi="Arial" w:cs="Arial"/>
          <w:b/>
          <w:bCs/>
        </w:rPr>
      </w:pPr>
    </w:p>
    <w:p w14:paraId="06584D76" w14:textId="77777777" w:rsidR="00F42541" w:rsidRPr="003A1949" w:rsidRDefault="00F42541" w:rsidP="003C03A2">
      <w:pPr>
        <w:jc w:val="both"/>
        <w:rPr>
          <w:rFonts w:ascii="Arial" w:hAnsi="Arial" w:cs="Arial"/>
          <w:b/>
          <w:bCs/>
        </w:rPr>
      </w:pPr>
    </w:p>
    <w:p w14:paraId="17E66F3E" w14:textId="77777777" w:rsidR="00063675" w:rsidRPr="003A1949" w:rsidRDefault="00063675" w:rsidP="003C03A2">
      <w:pPr>
        <w:jc w:val="both"/>
        <w:rPr>
          <w:rFonts w:ascii="Arial" w:hAnsi="Arial" w:cs="Arial"/>
          <w:b/>
          <w:bCs/>
        </w:rPr>
      </w:pPr>
    </w:p>
    <w:sectPr w:rsidR="00063675" w:rsidRPr="003A1949" w:rsidSect="003653D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94CE" w14:textId="77777777" w:rsidR="007C6CAF" w:rsidRDefault="007C6CAF" w:rsidP="00A561A6">
      <w:pPr>
        <w:spacing w:after="0" w:line="240" w:lineRule="auto"/>
      </w:pPr>
      <w:r>
        <w:separator/>
      </w:r>
    </w:p>
  </w:endnote>
  <w:endnote w:type="continuationSeparator" w:id="0">
    <w:p w14:paraId="6A213658" w14:textId="77777777" w:rsidR="007C6CAF" w:rsidRDefault="007C6CAF" w:rsidP="00A5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13DD" w14:textId="77777777" w:rsidR="00961858" w:rsidRDefault="0096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ABAE" w14:textId="77777777" w:rsidR="00961858" w:rsidRDefault="00961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A658" w14:textId="77777777" w:rsidR="00961858" w:rsidRDefault="0096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ABBE" w14:textId="77777777" w:rsidR="007C6CAF" w:rsidRDefault="007C6CAF" w:rsidP="00A561A6">
      <w:pPr>
        <w:spacing w:after="0" w:line="240" w:lineRule="auto"/>
      </w:pPr>
      <w:r>
        <w:separator/>
      </w:r>
    </w:p>
  </w:footnote>
  <w:footnote w:type="continuationSeparator" w:id="0">
    <w:p w14:paraId="3D8C0221" w14:textId="77777777" w:rsidR="007C6CAF" w:rsidRDefault="007C6CAF" w:rsidP="00A5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27EC" w14:textId="556F0C5D" w:rsidR="00961858" w:rsidRDefault="00000000">
    <w:pPr>
      <w:pStyle w:val="Header"/>
    </w:pPr>
    <w:r>
      <w:rPr>
        <w:noProof/>
      </w:rPr>
      <w:pict w14:anchorId="7AEF9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0F86" w14:textId="6550BB0D" w:rsidR="00961858" w:rsidRDefault="00000000">
    <w:pPr>
      <w:pStyle w:val="Header"/>
    </w:pPr>
    <w:r>
      <w:rPr>
        <w:noProof/>
      </w:rPr>
      <w:pict w14:anchorId="1FED1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C51F" w14:textId="557767EC" w:rsidR="00961858" w:rsidRDefault="00000000">
    <w:pPr>
      <w:pStyle w:val="Header"/>
    </w:pPr>
    <w:r>
      <w:rPr>
        <w:noProof/>
      </w:rPr>
      <w:pict w14:anchorId="504A8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1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4FD"/>
    <w:multiLevelType w:val="multilevel"/>
    <w:tmpl w:val="57605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16A31"/>
    <w:multiLevelType w:val="multilevel"/>
    <w:tmpl w:val="540C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4152C"/>
    <w:multiLevelType w:val="hybridMultilevel"/>
    <w:tmpl w:val="9FD4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5BBA"/>
    <w:multiLevelType w:val="hybridMultilevel"/>
    <w:tmpl w:val="6EE24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625E7"/>
    <w:multiLevelType w:val="multilevel"/>
    <w:tmpl w:val="89A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0136"/>
    <w:multiLevelType w:val="hybridMultilevel"/>
    <w:tmpl w:val="3702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48AC"/>
    <w:multiLevelType w:val="hybridMultilevel"/>
    <w:tmpl w:val="47700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57D30"/>
    <w:multiLevelType w:val="multilevel"/>
    <w:tmpl w:val="B768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852DD"/>
    <w:multiLevelType w:val="hybridMultilevel"/>
    <w:tmpl w:val="6368E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506E0"/>
    <w:multiLevelType w:val="hybridMultilevel"/>
    <w:tmpl w:val="4FEC6C2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502A9"/>
    <w:multiLevelType w:val="hybridMultilevel"/>
    <w:tmpl w:val="618E1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E0592"/>
    <w:multiLevelType w:val="multilevel"/>
    <w:tmpl w:val="20666B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037A9"/>
    <w:multiLevelType w:val="multilevel"/>
    <w:tmpl w:val="3B989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D7EE2"/>
    <w:multiLevelType w:val="multilevel"/>
    <w:tmpl w:val="0228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87D8F"/>
    <w:multiLevelType w:val="multilevel"/>
    <w:tmpl w:val="6DA0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B07CB"/>
    <w:multiLevelType w:val="multilevel"/>
    <w:tmpl w:val="53F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C3145"/>
    <w:multiLevelType w:val="multilevel"/>
    <w:tmpl w:val="DF60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B6611"/>
    <w:multiLevelType w:val="hybridMultilevel"/>
    <w:tmpl w:val="B4547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145FE"/>
    <w:multiLevelType w:val="hybridMultilevel"/>
    <w:tmpl w:val="EA48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145D1"/>
    <w:multiLevelType w:val="multilevel"/>
    <w:tmpl w:val="5C4C4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638165">
    <w:abstractNumId w:val="11"/>
  </w:num>
  <w:num w:numId="2" w16cid:durableId="1119492454">
    <w:abstractNumId w:val="13"/>
  </w:num>
  <w:num w:numId="3" w16cid:durableId="623735902">
    <w:abstractNumId w:val="7"/>
  </w:num>
  <w:num w:numId="4" w16cid:durableId="1105224074">
    <w:abstractNumId w:val="14"/>
  </w:num>
  <w:num w:numId="5" w16cid:durableId="2124614815">
    <w:abstractNumId w:val="0"/>
  </w:num>
  <w:num w:numId="6" w16cid:durableId="36783164">
    <w:abstractNumId w:val="12"/>
  </w:num>
  <w:num w:numId="7" w16cid:durableId="737942650">
    <w:abstractNumId w:val="16"/>
  </w:num>
  <w:num w:numId="8" w16cid:durableId="1021124343">
    <w:abstractNumId w:val="5"/>
  </w:num>
  <w:num w:numId="9" w16cid:durableId="1721708386">
    <w:abstractNumId w:val="6"/>
  </w:num>
  <w:num w:numId="10" w16cid:durableId="93988145">
    <w:abstractNumId w:val="8"/>
  </w:num>
  <w:num w:numId="11" w16cid:durableId="144510592">
    <w:abstractNumId w:val="9"/>
  </w:num>
  <w:num w:numId="12" w16cid:durableId="508524883">
    <w:abstractNumId w:val="15"/>
  </w:num>
  <w:num w:numId="13" w16cid:durableId="483426295">
    <w:abstractNumId w:val="4"/>
  </w:num>
  <w:num w:numId="14" w16cid:durableId="1840272399">
    <w:abstractNumId w:val="19"/>
  </w:num>
  <w:num w:numId="15" w16cid:durableId="774254216">
    <w:abstractNumId w:val="3"/>
  </w:num>
  <w:num w:numId="16" w16cid:durableId="1255824657">
    <w:abstractNumId w:val="18"/>
  </w:num>
  <w:num w:numId="17" w16cid:durableId="277568706">
    <w:abstractNumId w:val="10"/>
  </w:num>
  <w:num w:numId="18" w16cid:durableId="695928596">
    <w:abstractNumId w:val="1"/>
  </w:num>
  <w:num w:numId="19" w16cid:durableId="1596134751">
    <w:abstractNumId w:val="17"/>
  </w:num>
  <w:num w:numId="20" w16cid:durableId="84432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DA"/>
    <w:rsid w:val="00001567"/>
    <w:rsid w:val="00004AF6"/>
    <w:rsid w:val="00012C98"/>
    <w:rsid w:val="000157A5"/>
    <w:rsid w:val="00032722"/>
    <w:rsid w:val="00056482"/>
    <w:rsid w:val="00057703"/>
    <w:rsid w:val="000623CA"/>
    <w:rsid w:val="00062829"/>
    <w:rsid w:val="00062B38"/>
    <w:rsid w:val="00063675"/>
    <w:rsid w:val="00064486"/>
    <w:rsid w:val="00070341"/>
    <w:rsid w:val="00085ED8"/>
    <w:rsid w:val="000865AF"/>
    <w:rsid w:val="00086B24"/>
    <w:rsid w:val="00091476"/>
    <w:rsid w:val="00094C25"/>
    <w:rsid w:val="00096F36"/>
    <w:rsid w:val="000A4CF3"/>
    <w:rsid w:val="000A6F75"/>
    <w:rsid w:val="000C4019"/>
    <w:rsid w:val="000F1BB5"/>
    <w:rsid w:val="000F3249"/>
    <w:rsid w:val="00130D59"/>
    <w:rsid w:val="00136DB0"/>
    <w:rsid w:val="0014380A"/>
    <w:rsid w:val="00147721"/>
    <w:rsid w:val="00160C91"/>
    <w:rsid w:val="00161122"/>
    <w:rsid w:val="00161BCF"/>
    <w:rsid w:val="00163719"/>
    <w:rsid w:val="00166D3A"/>
    <w:rsid w:val="001723A5"/>
    <w:rsid w:val="001734E5"/>
    <w:rsid w:val="00173DBE"/>
    <w:rsid w:val="00185E5E"/>
    <w:rsid w:val="001969CF"/>
    <w:rsid w:val="001A0701"/>
    <w:rsid w:val="001A096D"/>
    <w:rsid w:val="001A451D"/>
    <w:rsid w:val="001C64B6"/>
    <w:rsid w:val="001D1729"/>
    <w:rsid w:val="001D199C"/>
    <w:rsid w:val="001D2B96"/>
    <w:rsid w:val="001D4668"/>
    <w:rsid w:val="001F38D7"/>
    <w:rsid w:val="0021441F"/>
    <w:rsid w:val="0022798F"/>
    <w:rsid w:val="00230AFB"/>
    <w:rsid w:val="0023269A"/>
    <w:rsid w:val="0023286A"/>
    <w:rsid w:val="00236AED"/>
    <w:rsid w:val="00242CE5"/>
    <w:rsid w:val="00247AD4"/>
    <w:rsid w:val="00252D33"/>
    <w:rsid w:val="002535A7"/>
    <w:rsid w:val="00257E8B"/>
    <w:rsid w:val="00265CEC"/>
    <w:rsid w:val="00283BC4"/>
    <w:rsid w:val="0029098F"/>
    <w:rsid w:val="00293419"/>
    <w:rsid w:val="002B1807"/>
    <w:rsid w:val="002B22CD"/>
    <w:rsid w:val="002B2391"/>
    <w:rsid w:val="002B397E"/>
    <w:rsid w:val="002B644A"/>
    <w:rsid w:val="002B7C59"/>
    <w:rsid w:val="002C3983"/>
    <w:rsid w:val="002E3467"/>
    <w:rsid w:val="002F07C1"/>
    <w:rsid w:val="002F757D"/>
    <w:rsid w:val="0031184A"/>
    <w:rsid w:val="003141B6"/>
    <w:rsid w:val="0032595F"/>
    <w:rsid w:val="00335F4D"/>
    <w:rsid w:val="00343DA4"/>
    <w:rsid w:val="00353C81"/>
    <w:rsid w:val="00363BB0"/>
    <w:rsid w:val="003643E8"/>
    <w:rsid w:val="003653D3"/>
    <w:rsid w:val="0036709D"/>
    <w:rsid w:val="00373046"/>
    <w:rsid w:val="00381192"/>
    <w:rsid w:val="0038578C"/>
    <w:rsid w:val="003925FF"/>
    <w:rsid w:val="00395C14"/>
    <w:rsid w:val="003A1949"/>
    <w:rsid w:val="003A3093"/>
    <w:rsid w:val="003B05D4"/>
    <w:rsid w:val="003B76AF"/>
    <w:rsid w:val="003C03A2"/>
    <w:rsid w:val="003D7527"/>
    <w:rsid w:val="003E4A46"/>
    <w:rsid w:val="004005B9"/>
    <w:rsid w:val="00415DDF"/>
    <w:rsid w:val="004311EE"/>
    <w:rsid w:val="00433E35"/>
    <w:rsid w:val="00445AF8"/>
    <w:rsid w:val="004521B1"/>
    <w:rsid w:val="004752B0"/>
    <w:rsid w:val="00481A28"/>
    <w:rsid w:val="00484E2D"/>
    <w:rsid w:val="0049056E"/>
    <w:rsid w:val="004A1E41"/>
    <w:rsid w:val="004B3061"/>
    <w:rsid w:val="004B3710"/>
    <w:rsid w:val="004E1C10"/>
    <w:rsid w:val="004E1C65"/>
    <w:rsid w:val="004E2F07"/>
    <w:rsid w:val="004E3A49"/>
    <w:rsid w:val="004F068B"/>
    <w:rsid w:val="004F2FC6"/>
    <w:rsid w:val="004F4326"/>
    <w:rsid w:val="004F70CB"/>
    <w:rsid w:val="00507E12"/>
    <w:rsid w:val="00517890"/>
    <w:rsid w:val="00526D63"/>
    <w:rsid w:val="00542A17"/>
    <w:rsid w:val="00542A7F"/>
    <w:rsid w:val="00544FBF"/>
    <w:rsid w:val="00554A00"/>
    <w:rsid w:val="005603B1"/>
    <w:rsid w:val="00576BEA"/>
    <w:rsid w:val="0059388B"/>
    <w:rsid w:val="005A1814"/>
    <w:rsid w:val="005A1E99"/>
    <w:rsid w:val="005B55C8"/>
    <w:rsid w:val="005B7110"/>
    <w:rsid w:val="005F3326"/>
    <w:rsid w:val="00601A00"/>
    <w:rsid w:val="00613839"/>
    <w:rsid w:val="00621D55"/>
    <w:rsid w:val="0062244D"/>
    <w:rsid w:val="00627208"/>
    <w:rsid w:val="00632F01"/>
    <w:rsid w:val="006428EC"/>
    <w:rsid w:val="00646245"/>
    <w:rsid w:val="00652B17"/>
    <w:rsid w:val="00652FF3"/>
    <w:rsid w:val="006562E5"/>
    <w:rsid w:val="00676607"/>
    <w:rsid w:val="00680EFE"/>
    <w:rsid w:val="00684BBE"/>
    <w:rsid w:val="00686247"/>
    <w:rsid w:val="00686D8F"/>
    <w:rsid w:val="00686F13"/>
    <w:rsid w:val="00686F46"/>
    <w:rsid w:val="006A7BBB"/>
    <w:rsid w:val="006B7369"/>
    <w:rsid w:val="006C2EFF"/>
    <w:rsid w:val="006D12A5"/>
    <w:rsid w:val="006D3510"/>
    <w:rsid w:val="006E4A62"/>
    <w:rsid w:val="006E56D8"/>
    <w:rsid w:val="006E6EF5"/>
    <w:rsid w:val="006F427F"/>
    <w:rsid w:val="00700E71"/>
    <w:rsid w:val="0071110C"/>
    <w:rsid w:val="00716591"/>
    <w:rsid w:val="007447D7"/>
    <w:rsid w:val="00744E2E"/>
    <w:rsid w:val="00756416"/>
    <w:rsid w:val="00757E54"/>
    <w:rsid w:val="00780F4D"/>
    <w:rsid w:val="0078102A"/>
    <w:rsid w:val="007928EE"/>
    <w:rsid w:val="007A1488"/>
    <w:rsid w:val="007B34F0"/>
    <w:rsid w:val="007C6CAF"/>
    <w:rsid w:val="007C7E85"/>
    <w:rsid w:val="007D3892"/>
    <w:rsid w:val="007E392B"/>
    <w:rsid w:val="007F1003"/>
    <w:rsid w:val="007F5A43"/>
    <w:rsid w:val="007F5B10"/>
    <w:rsid w:val="00801EC5"/>
    <w:rsid w:val="00804354"/>
    <w:rsid w:val="008379F6"/>
    <w:rsid w:val="008423FC"/>
    <w:rsid w:val="00847143"/>
    <w:rsid w:val="0085297E"/>
    <w:rsid w:val="00856D63"/>
    <w:rsid w:val="0087256B"/>
    <w:rsid w:val="0088242F"/>
    <w:rsid w:val="008853D7"/>
    <w:rsid w:val="00892480"/>
    <w:rsid w:val="008A1286"/>
    <w:rsid w:val="008A6AFB"/>
    <w:rsid w:val="008A7CEC"/>
    <w:rsid w:val="008E5B76"/>
    <w:rsid w:val="008E73AA"/>
    <w:rsid w:val="008F0CB8"/>
    <w:rsid w:val="008F44A8"/>
    <w:rsid w:val="008F44D8"/>
    <w:rsid w:val="008F7E31"/>
    <w:rsid w:val="00924D4D"/>
    <w:rsid w:val="0092677A"/>
    <w:rsid w:val="00934A09"/>
    <w:rsid w:val="00941FF9"/>
    <w:rsid w:val="00943ECF"/>
    <w:rsid w:val="00961858"/>
    <w:rsid w:val="00963FE3"/>
    <w:rsid w:val="009755D4"/>
    <w:rsid w:val="0097590B"/>
    <w:rsid w:val="00975A03"/>
    <w:rsid w:val="00987681"/>
    <w:rsid w:val="0099511C"/>
    <w:rsid w:val="009A5A76"/>
    <w:rsid w:val="009B612D"/>
    <w:rsid w:val="009D2B52"/>
    <w:rsid w:val="009D3EEB"/>
    <w:rsid w:val="009D4E18"/>
    <w:rsid w:val="009F4B6E"/>
    <w:rsid w:val="00A00704"/>
    <w:rsid w:val="00A01920"/>
    <w:rsid w:val="00A028A5"/>
    <w:rsid w:val="00A07646"/>
    <w:rsid w:val="00A10ACA"/>
    <w:rsid w:val="00A11848"/>
    <w:rsid w:val="00A329E7"/>
    <w:rsid w:val="00A4256A"/>
    <w:rsid w:val="00A51D77"/>
    <w:rsid w:val="00A55377"/>
    <w:rsid w:val="00A561A6"/>
    <w:rsid w:val="00A579C5"/>
    <w:rsid w:val="00A81DC7"/>
    <w:rsid w:val="00A842DA"/>
    <w:rsid w:val="00A857DB"/>
    <w:rsid w:val="00A90548"/>
    <w:rsid w:val="00A939F8"/>
    <w:rsid w:val="00AA1B80"/>
    <w:rsid w:val="00AA4361"/>
    <w:rsid w:val="00AC35F9"/>
    <w:rsid w:val="00AC79C0"/>
    <w:rsid w:val="00AC7C9F"/>
    <w:rsid w:val="00AD6ECF"/>
    <w:rsid w:val="00AE093A"/>
    <w:rsid w:val="00AE21F7"/>
    <w:rsid w:val="00AE5951"/>
    <w:rsid w:val="00AE7799"/>
    <w:rsid w:val="00B211D5"/>
    <w:rsid w:val="00B21425"/>
    <w:rsid w:val="00B2163D"/>
    <w:rsid w:val="00B241E0"/>
    <w:rsid w:val="00B24BB0"/>
    <w:rsid w:val="00B42CBA"/>
    <w:rsid w:val="00B47148"/>
    <w:rsid w:val="00B55212"/>
    <w:rsid w:val="00B651B7"/>
    <w:rsid w:val="00B704D6"/>
    <w:rsid w:val="00B7543A"/>
    <w:rsid w:val="00B76538"/>
    <w:rsid w:val="00B82655"/>
    <w:rsid w:val="00B82BD6"/>
    <w:rsid w:val="00B977D3"/>
    <w:rsid w:val="00BB13B3"/>
    <w:rsid w:val="00BC5A41"/>
    <w:rsid w:val="00BD386D"/>
    <w:rsid w:val="00BD4568"/>
    <w:rsid w:val="00BD59B5"/>
    <w:rsid w:val="00BD614C"/>
    <w:rsid w:val="00BE08A8"/>
    <w:rsid w:val="00BE7904"/>
    <w:rsid w:val="00BF2130"/>
    <w:rsid w:val="00BF270E"/>
    <w:rsid w:val="00C00E4E"/>
    <w:rsid w:val="00C11990"/>
    <w:rsid w:val="00C16D97"/>
    <w:rsid w:val="00C20A93"/>
    <w:rsid w:val="00C25906"/>
    <w:rsid w:val="00C26802"/>
    <w:rsid w:val="00C27D4C"/>
    <w:rsid w:val="00C30476"/>
    <w:rsid w:val="00C37E73"/>
    <w:rsid w:val="00C4688F"/>
    <w:rsid w:val="00C50DA5"/>
    <w:rsid w:val="00C53E3E"/>
    <w:rsid w:val="00C773DD"/>
    <w:rsid w:val="00C77A4C"/>
    <w:rsid w:val="00C84731"/>
    <w:rsid w:val="00C916A0"/>
    <w:rsid w:val="00C963EC"/>
    <w:rsid w:val="00CA2135"/>
    <w:rsid w:val="00CA5AAF"/>
    <w:rsid w:val="00CB2AF3"/>
    <w:rsid w:val="00CB5E8E"/>
    <w:rsid w:val="00CC5053"/>
    <w:rsid w:val="00CD6BEE"/>
    <w:rsid w:val="00CF1DC1"/>
    <w:rsid w:val="00CF2358"/>
    <w:rsid w:val="00CF698B"/>
    <w:rsid w:val="00D019F3"/>
    <w:rsid w:val="00D0307A"/>
    <w:rsid w:val="00D0654C"/>
    <w:rsid w:val="00D14155"/>
    <w:rsid w:val="00D176D7"/>
    <w:rsid w:val="00D25785"/>
    <w:rsid w:val="00D306C5"/>
    <w:rsid w:val="00D33B98"/>
    <w:rsid w:val="00D43496"/>
    <w:rsid w:val="00D6249E"/>
    <w:rsid w:val="00D734F3"/>
    <w:rsid w:val="00D85327"/>
    <w:rsid w:val="00D9668F"/>
    <w:rsid w:val="00DC4368"/>
    <w:rsid w:val="00DC53DC"/>
    <w:rsid w:val="00DD011D"/>
    <w:rsid w:val="00DD4C19"/>
    <w:rsid w:val="00DE4E02"/>
    <w:rsid w:val="00DE59DE"/>
    <w:rsid w:val="00DF1F79"/>
    <w:rsid w:val="00DF2A7E"/>
    <w:rsid w:val="00DF7FDA"/>
    <w:rsid w:val="00E00976"/>
    <w:rsid w:val="00E0258A"/>
    <w:rsid w:val="00E02D32"/>
    <w:rsid w:val="00E04AC1"/>
    <w:rsid w:val="00E361C5"/>
    <w:rsid w:val="00E37F12"/>
    <w:rsid w:val="00E40668"/>
    <w:rsid w:val="00E56394"/>
    <w:rsid w:val="00E71C17"/>
    <w:rsid w:val="00E81CF7"/>
    <w:rsid w:val="00E84407"/>
    <w:rsid w:val="00E84C44"/>
    <w:rsid w:val="00E90410"/>
    <w:rsid w:val="00E9409D"/>
    <w:rsid w:val="00E96A5D"/>
    <w:rsid w:val="00E96E3F"/>
    <w:rsid w:val="00EC24B9"/>
    <w:rsid w:val="00EC5D90"/>
    <w:rsid w:val="00F02D82"/>
    <w:rsid w:val="00F03C57"/>
    <w:rsid w:val="00F06214"/>
    <w:rsid w:val="00F07150"/>
    <w:rsid w:val="00F15C6E"/>
    <w:rsid w:val="00F16279"/>
    <w:rsid w:val="00F21606"/>
    <w:rsid w:val="00F36354"/>
    <w:rsid w:val="00F42541"/>
    <w:rsid w:val="00F45D93"/>
    <w:rsid w:val="00F50583"/>
    <w:rsid w:val="00F6525C"/>
    <w:rsid w:val="00F678EF"/>
    <w:rsid w:val="00F70C80"/>
    <w:rsid w:val="00F75D88"/>
    <w:rsid w:val="00F76987"/>
    <w:rsid w:val="00F77010"/>
    <w:rsid w:val="00F82C44"/>
    <w:rsid w:val="00F90BD2"/>
    <w:rsid w:val="00F91599"/>
    <w:rsid w:val="00F9329F"/>
    <w:rsid w:val="00F96EB5"/>
    <w:rsid w:val="00FA5D26"/>
    <w:rsid w:val="00FA7FEB"/>
    <w:rsid w:val="00FC0C2B"/>
    <w:rsid w:val="00FC359A"/>
    <w:rsid w:val="00FC611A"/>
    <w:rsid w:val="00FE0F3A"/>
    <w:rsid w:val="00FE2E76"/>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9CF2"/>
  <w15:chartTrackingRefBased/>
  <w15:docId w15:val="{FB91741D-BFE0-4C06-B4C4-B59F4DEE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F7F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F7FD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F7F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7F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7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F7F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F7F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F7F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F7F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F7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DA"/>
    <w:rPr>
      <w:rFonts w:eastAsiaTheme="majorEastAsia" w:cstheme="majorBidi"/>
      <w:color w:val="272727" w:themeColor="text1" w:themeTint="D8"/>
    </w:rPr>
  </w:style>
  <w:style w:type="paragraph" w:styleId="Title">
    <w:name w:val="Title"/>
    <w:basedOn w:val="Normal"/>
    <w:next w:val="Normal"/>
    <w:link w:val="TitleChar"/>
    <w:uiPriority w:val="10"/>
    <w:qFormat/>
    <w:rsid w:val="00DF7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FDA"/>
    <w:rPr>
      <w:i/>
      <w:iCs/>
      <w:color w:val="404040" w:themeColor="text1" w:themeTint="BF"/>
    </w:rPr>
  </w:style>
  <w:style w:type="paragraph" w:styleId="ListParagraph">
    <w:name w:val="List Paragraph"/>
    <w:basedOn w:val="Normal"/>
    <w:uiPriority w:val="34"/>
    <w:qFormat/>
    <w:rsid w:val="00DF7FDA"/>
    <w:pPr>
      <w:ind w:left="720"/>
      <w:contextualSpacing/>
    </w:pPr>
  </w:style>
  <w:style w:type="character" w:styleId="IntenseEmphasis">
    <w:name w:val="Intense Emphasis"/>
    <w:basedOn w:val="DefaultParagraphFont"/>
    <w:uiPriority w:val="21"/>
    <w:qFormat/>
    <w:rsid w:val="00DF7FDA"/>
    <w:rPr>
      <w:i/>
      <w:iCs/>
      <w:color w:val="365F91" w:themeColor="accent1" w:themeShade="BF"/>
    </w:rPr>
  </w:style>
  <w:style w:type="paragraph" w:styleId="IntenseQuote">
    <w:name w:val="Intense Quote"/>
    <w:basedOn w:val="Normal"/>
    <w:next w:val="Normal"/>
    <w:link w:val="IntenseQuoteChar"/>
    <w:uiPriority w:val="30"/>
    <w:qFormat/>
    <w:rsid w:val="00DF7F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7FDA"/>
    <w:rPr>
      <w:i/>
      <w:iCs/>
      <w:color w:val="365F91" w:themeColor="accent1" w:themeShade="BF"/>
    </w:rPr>
  </w:style>
  <w:style w:type="character" w:styleId="IntenseReference">
    <w:name w:val="Intense Reference"/>
    <w:basedOn w:val="DefaultParagraphFont"/>
    <w:uiPriority w:val="32"/>
    <w:qFormat/>
    <w:rsid w:val="00DF7FDA"/>
    <w:rPr>
      <w:b/>
      <w:bCs/>
      <w:smallCaps/>
      <w:color w:val="365F91" w:themeColor="accent1" w:themeShade="BF"/>
      <w:spacing w:val="5"/>
    </w:rPr>
  </w:style>
  <w:style w:type="table" w:styleId="TableGrid">
    <w:name w:val="Table Grid"/>
    <w:basedOn w:val="TableNormal"/>
    <w:uiPriority w:val="59"/>
    <w:rsid w:val="009D4E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E790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A5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A6"/>
  </w:style>
  <w:style w:type="paragraph" w:styleId="Footer">
    <w:name w:val="footer"/>
    <w:basedOn w:val="Normal"/>
    <w:link w:val="FooterChar"/>
    <w:uiPriority w:val="99"/>
    <w:unhideWhenUsed/>
    <w:rsid w:val="00A5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A6"/>
  </w:style>
  <w:style w:type="paragraph" w:styleId="NormalWeb">
    <w:name w:val="Normal (Web)"/>
    <w:basedOn w:val="Normal"/>
    <w:uiPriority w:val="99"/>
    <w:unhideWhenUsed/>
    <w:rsid w:val="001A09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14C"/>
    <w:rPr>
      <w:color w:val="0000FF" w:themeColor="hyperlink"/>
      <w:u w:val="single"/>
    </w:rPr>
  </w:style>
  <w:style w:type="character" w:customStyle="1" w:styleId="UnresolvedMention1">
    <w:name w:val="Unresolved Mention1"/>
    <w:basedOn w:val="DefaultParagraphFont"/>
    <w:uiPriority w:val="99"/>
    <w:semiHidden/>
    <w:unhideWhenUsed/>
    <w:rsid w:val="00CB5E8E"/>
    <w:rPr>
      <w:color w:val="605E5C"/>
      <w:shd w:val="clear" w:color="auto" w:fill="E1DFDD"/>
    </w:rPr>
  </w:style>
  <w:style w:type="table" w:styleId="GridTable5Dark-Accent3">
    <w:name w:val="Grid Table 5 Dark Accent 3"/>
    <w:basedOn w:val="TableNormal"/>
    <w:uiPriority w:val="50"/>
    <w:rsid w:val="0000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PlainTable2">
    <w:name w:val="Plain Table 2"/>
    <w:basedOn w:val="TableNormal"/>
    <w:uiPriority w:val="42"/>
    <w:rsid w:val="00062B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85E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85E5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9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4/relationships/chartEx" Target="charts/chartEx3.xml"/><Relationship Id="rId26" Type="http://schemas.microsoft.com/office/2014/relationships/chartEx" Target="charts/chartEx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microsoft.com/office/2014/relationships/chartEx" Target="charts/chartEx2.xml"/><Relationship Id="rId20" Type="http://schemas.microsoft.com/office/2014/relationships/chartEx" Target="charts/chartEx4.xml"/><Relationship Id="rId29" Type="http://schemas.openxmlformats.org/officeDocument/2006/relationships/hyperlink" Target="https://doi.org/10.1038/ejcn.2017.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4/relationships/chartEx" Target="charts/chartEx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yperlink" Target="https://doi.org/10.1001/jamanetworkopen.2020.25074"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www.who.int/publications/i/item/WHO-NMH-NHD-EPG-15.01"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 Id="rId22" Type="http://schemas.microsoft.com/office/2014/relationships/chartEx" Target="charts/chartEx5.xml"/><Relationship Id="rId27" Type="http://schemas.openxmlformats.org/officeDocument/2006/relationships/image" Target="media/image7.png"/><Relationship Id="rId30" Type="http://schemas.openxmlformats.org/officeDocument/2006/relationships/hyperlink" Target="https://doi.org/10.3390/nu2030299" TargetMode="External"/><Relationship Id="rId8" Type="http://schemas.openxmlformats.org/officeDocument/2006/relationships/header" Target="header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main%20file\Boxplot_Data_Editable,,,,.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ownloads\Boxplot_Data_Editable.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main%20file\Boxplot_Data_Editable,,,,.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Desktop\main%20file\Boxplot_Data_Editable,,,,.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Desktop\main%20file\Boxplot_Data_Editable,,,,.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Desktop\main%20file\Boxplot_Data_Editable,,,,.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Desktop\main%20file\Boxplot_Data_Editable,,,,.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BMI!$A$2:$A$201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BMI!$B$2:$B$201</cx:f>
        <cx:lvl ptCount="200" formatCode="General">
          <cx:pt idx="0">31.800000000000001</cx:pt>
          <cx:pt idx="1">24.699999999999999</cx:pt>
          <cx:pt idx="2">32.200000000000003</cx:pt>
          <cx:pt idx="3">32.200000000000003</cx:pt>
          <cx:pt idx="4">33</cx:pt>
          <cx:pt idx="5">27.199999999999999</cx:pt>
          <cx:pt idx="6">27.399999999999999</cx:pt>
          <cx:pt idx="7">21.300000000000001</cx:pt>
          <cx:pt idx="8">19.199999999999999</cx:pt>
          <cx:pt idx="9">26.199999999999999</cx:pt>
          <cx:pt idx="10">27.800000000000001</cx:pt>
          <cx:pt idx="11">25.899999999999999</cx:pt>
          <cx:pt idx="12">27.800000000000001</cx:pt>
          <cx:pt idx="13">24.100000000000001</cx:pt>
          <cx:pt idx="14">28.5</cx:pt>
          <cx:pt idx="15">26.699999999999999</cx:pt>
          <cx:pt idx="16">26.800000000000001</cx:pt>
          <cx:pt idx="17">32.100000000000001</cx:pt>
          <cx:pt idx="18">25</cx:pt>
          <cx:pt idx="19">19.699999999999999</cx:pt>
          <cx:pt idx="20">26.800000000000001</cx:pt>
          <cx:pt idx="21">29.5</cx:pt>
          <cx:pt idx="22">33.399999999999999</cx:pt>
          <cx:pt idx="23">26.800000000000001</cx:pt>
          <cx:pt idx="24">29.300000000000001</cx:pt>
          <cx:pt idx="25">25</cx:pt>
          <cx:pt idx="26">29</cx:pt>
          <cx:pt idx="27">21.699999999999999</cx:pt>
          <cx:pt idx="28">29.300000000000001</cx:pt>
          <cx:pt idx="29">29.399999999999999</cx:pt>
          <cx:pt idx="30">28.100000000000001</cx:pt>
          <cx:pt idx="31">28.100000000000001</cx:pt>
          <cx:pt idx="32">26.100000000000001</cx:pt>
          <cx:pt idx="33">29</cx:pt>
          <cx:pt idx="34">29.800000000000001</cx:pt>
          <cx:pt idx="35">31.600000000000001</cx:pt>
          <cx:pt idx="36">22.899999999999999</cx:pt>
          <cx:pt idx="37">26</cx:pt>
          <cx:pt idx="38">29.300000000000001</cx:pt>
          <cx:pt idx="39">27.399999999999999</cx:pt>
          <cx:pt idx="40">29.899999999999999</cx:pt>
          <cx:pt idx="41">30.399999999999999</cx:pt>
          <cx:pt idx="42">26.100000000000001</cx:pt>
          <cx:pt idx="43">30.899999999999999</cx:pt>
          <cx:pt idx="44">27.5</cx:pt>
          <cx:pt idx="45">25.699999999999999</cx:pt>
          <cx:pt idx="46">28</cx:pt>
          <cx:pt idx="47">26.199999999999999</cx:pt>
          <cx:pt idx="48">27.600000000000001</cx:pt>
          <cx:pt idx="49">28.600000000000001</cx:pt>
          <cx:pt idx="50">27.300000000000001</cx:pt>
          <cx:pt idx="51">29.300000000000001</cx:pt>
          <cx:pt idx="52">25.199999999999999</cx:pt>
          <cx:pt idx="53">27.199999999999999</cx:pt>
          <cx:pt idx="54">25.100000000000001</cx:pt>
          <cx:pt idx="55">26.199999999999999</cx:pt>
          <cx:pt idx="56">26.800000000000001</cx:pt>
          <cx:pt idx="57">26.5</cx:pt>
          <cx:pt idx="58">25.300000000000001</cx:pt>
          <cx:pt idx="59">27.199999999999999</cx:pt>
          <cx:pt idx="60">28.800000000000001</cx:pt>
          <cx:pt idx="61">31.899999999999999</cx:pt>
          <cx:pt idx="62">34.799999999999997</cx:pt>
          <cx:pt idx="63">18.5</cx:pt>
          <cx:pt idx="64">26.199999999999999</cx:pt>
          <cx:pt idx="65">34.899999999999999</cx:pt>
          <cx:pt idx="66">22.800000000000001</cx:pt>
          <cx:pt idx="67">29.300000000000001</cx:pt>
          <cx:pt idx="68">29.199999999999999</cx:pt>
          <cx:pt idx="69">28</cx:pt>
          <cx:pt idx="70">28.600000000000001</cx:pt>
          <cx:pt idx="71">24.399999999999999</cx:pt>
          <cx:pt idx="72">27.100000000000001</cx:pt>
          <cx:pt idx="73">28.300000000000001</cx:pt>
          <cx:pt idx="74">27.899999999999999</cx:pt>
          <cx:pt idx="75">19.399999999999999</cx:pt>
          <cx:pt idx="76">32</cx:pt>
          <cx:pt idx="77">29.600000000000001</cx:pt>
          <cx:pt idx="78">29.100000000000001</cx:pt>
          <cx:pt idx="79">27.199999999999999</cx:pt>
          <cx:pt idx="80">25.800000000000001</cx:pt>
          <cx:pt idx="81">28.300000000000001</cx:pt>
          <cx:pt idx="82">22.899999999999999</cx:pt>
          <cx:pt idx="83">26.800000000000001</cx:pt>
          <cx:pt idx="84">32.100000000000001</cx:pt>
          <cx:pt idx="85">27</cx:pt>
          <cx:pt idx="86">26.300000000000001</cx:pt>
          <cx:pt idx="87">28</cx:pt>
          <cx:pt idx="88">26.100000000000001</cx:pt>
          <cx:pt idx="89">25.300000000000001</cx:pt>
          <cx:pt idx="90">29.699999999999999</cx:pt>
          <cx:pt idx="91">29</cx:pt>
          <cx:pt idx="92">22.5</cx:pt>
          <cx:pt idx="93">28.300000000000001</cx:pt>
          <cx:pt idx="94">25.600000000000001</cx:pt>
          <cx:pt idx="95">26.199999999999999</cx:pt>
          <cx:pt idx="96">18.5</cx:pt>
          <cx:pt idx="97">25</cx:pt>
          <cx:pt idx="98">27</cx:pt>
          <cx:pt idx="99">27.399999999999999</cx:pt>
          <cx:pt idx="100">17.399999999999999</cx:pt>
          <cx:pt idx="101">17.199999999999999</cx:pt>
          <cx:pt idx="102">16.699999999999999</cx:pt>
          <cx:pt idx="103">23.300000000000001</cx:pt>
          <cx:pt idx="104">16.5</cx:pt>
          <cx:pt idx="105">16.300000000000001</cx:pt>
          <cx:pt idx="106">16.300000000000001</cx:pt>
          <cx:pt idx="107">16.899999999999999</cx:pt>
          <cx:pt idx="108">17.199999999999999</cx:pt>
          <cx:pt idx="109">23.199999999999999</cx:pt>
          <cx:pt idx="110">16.899999999999999</cx:pt>
          <cx:pt idx="111">22.600000000000001</cx:pt>
          <cx:pt idx="112">16.699999999999999</cx:pt>
          <cx:pt idx="113">23.600000000000001</cx:pt>
          <cx:pt idx="114">25.300000000000001</cx:pt>
          <cx:pt idx="115">18.300000000000001</cx:pt>
          <cx:pt idx="116">18.300000000000001</cx:pt>
          <cx:pt idx="117">16.100000000000001</cx:pt>
          <cx:pt idx="118">16.199999999999999</cx:pt>
          <cx:pt idx="119">17</cx:pt>
          <cx:pt idx="120">17</cx:pt>
          <cx:pt idx="121">17.600000000000001</cx:pt>
          <cx:pt idx="122">17.899999999999999</cx:pt>
          <cx:pt idx="123">19</cx:pt>
          <cx:pt idx="124">17.600000000000001</cx:pt>
          <cx:pt idx="125">18.100000000000001</cx:pt>
          <cx:pt idx="126">31.399999999999999</cx:pt>
          <cx:pt idx="127">17.399999999999999</cx:pt>
          <cx:pt idx="128">18.699999999999999</cx:pt>
          <cx:pt idx="129">21.399999999999999</cx:pt>
          <cx:pt idx="130">16.300000000000001</cx:pt>
          <cx:pt idx="131">16.300000000000001</cx:pt>
          <cx:pt idx="132">18.800000000000001</cx:pt>
          <cx:pt idx="133">22.600000000000001</cx:pt>
          <cx:pt idx="134">24.5</cx:pt>
          <cx:pt idx="135">16.300000000000001</cx:pt>
          <cx:pt idx="136">23</cx:pt>
          <cx:pt idx="137">18</cx:pt>
          <cx:pt idx="138">16.399999999999999</cx:pt>
          <cx:pt idx="139">16.100000000000001</cx:pt>
          <cx:pt idx="140">23.5</cx:pt>
          <cx:pt idx="141">16.199999999999999</cx:pt>
          <cx:pt idx="142">17</cx:pt>
          <cx:pt idx="143">16.600000000000001</cx:pt>
          <cx:pt idx="144">16.899999999999999</cx:pt>
          <cx:pt idx="145">16.600000000000001</cx:pt>
          <cx:pt idx="146">24.100000000000001</cx:pt>
          <cx:pt idx="147">24.800000000000001</cx:pt>
          <cx:pt idx="148">16.100000000000001</cx:pt>
          <cx:pt idx="149">16.199999999999999</cx:pt>
          <cx:pt idx="150">17.5</cx:pt>
          <cx:pt idx="151">17.800000000000001</cx:pt>
          <cx:pt idx="152">18.300000000000001</cx:pt>
          <cx:pt idx="153">17.899999999999999</cx:pt>
          <cx:pt idx="154">16.5</cx:pt>
          <cx:pt idx="155">28.699999999999999</cx:pt>
          <cx:pt idx="156">18.399999999999999</cx:pt>
          <cx:pt idx="157">24.100000000000001</cx:pt>
          <cx:pt idx="158">18.600000000000001</cx:pt>
          <cx:pt idx="159">21.5</cx:pt>
          <cx:pt idx="160">27.399999999999999</cx:pt>
          <cx:pt idx="161">19</cx:pt>
          <cx:pt idx="162">28.399999999999999</cx:pt>
          <cx:pt idx="163">19.800000000000001</cx:pt>
          <cx:pt idx="164">26.300000000000001</cx:pt>
          <cx:pt idx="165">16.600000000000001</cx:pt>
          <cx:pt idx="166">16.899999999999999</cx:pt>
          <cx:pt idx="167">17</cx:pt>
          <cx:pt idx="168">22.600000000000001</cx:pt>
          <cx:pt idx="169">23.699999999999999</cx:pt>
          <cx:pt idx="170">20.600000000000001</cx:pt>
          <cx:pt idx="171">27.800000000000001</cx:pt>
          <cx:pt idx="172">29.100000000000001</cx:pt>
          <cx:pt idx="173">23.5</cx:pt>
          <cx:pt idx="174">17.800000000000001</cx:pt>
          <cx:pt idx="175">24.300000000000001</cx:pt>
          <cx:pt idx="176">22.5</cx:pt>
          <cx:pt idx="177">17</cx:pt>
          <cx:pt idx="178">19.800000000000001</cx:pt>
          <cx:pt idx="179">16.5</cx:pt>
          <cx:pt idx="180">26</cx:pt>
          <cx:pt idx="181">26.399999999999999</cx:pt>
          <cx:pt idx="182">18.199999999999999</cx:pt>
          <cx:pt idx="183">19.300000000000001</cx:pt>
          <cx:pt idx="184">17.300000000000001</cx:pt>
          <cx:pt idx="185">16</cx:pt>
          <cx:pt idx="186">22.399999999999999</cx:pt>
          <cx:pt idx="187">22.300000000000001</cx:pt>
          <cx:pt idx="188">24.300000000000001</cx:pt>
          <cx:pt idx="189">20.699999999999999</cx:pt>
          <cx:pt idx="190">23.800000000000001</cx:pt>
          <cx:pt idx="191">21.699999999999999</cx:pt>
          <cx:pt idx="192">23.199999999999999</cx:pt>
          <cx:pt idx="193">17.100000000000001</cx:pt>
          <cx:pt idx="194">17.199999999999999</cx:pt>
          <cx:pt idx="195">21.199999999999999</cx:pt>
          <cx:pt idx="196">26</cx:pt>
          <cx:pt idx="197">19.199999999999999</cx:pt>
          <cx:pt idx="198">25.199999999999999</cx:pt>
          <cx:pt idx="199">16.399999999999999</cx:pt>
        </cx:lvl>
      </cx:numDim>
    </cx:data>
  </cx:chartData>
  <cx:chart>
    <cx:title pos="t" align="ctr" overlay="0">
      <cx:tx>
        <cx:txData>
          <cx:v>Body Mass Index</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Body Mass Index</a:t>
          </a:r>
        </a:p>
      </cx:txPr>
    </cx:title>
    <cx:plotArea>
      <cx:plotAreaRegion>
        <cx:plotSurface>
          <cx:spPr>
            <a:ln>
              <a:solidFill>
                <a:schemeClr val="tx1"/>
              </a:solidFill>
            </a:ln>
          </cx:spPr>
        </cx:plotSurface>
        <cx:series layoutId="boxWhisker" uniqueId="{CEF0E5D6-2F65-4C65-BEAC-7188CA8D11F0}">
          <cx:tx>
            <cx:txData>
              <cx:f>BMI!$B$1</cx:f>
              <cx:v>BMI</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BMI</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BMI</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AGE!$A$2:$A$201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AGE!$B$2:$B$201</cx:f>
        <cx:lvl ptCount="200" formatCode="General">
          <cx:pt idx="0">24</cx:pt>
          <cx:pt idx="1">32</cx:pt>
          <cx:pt idx="2">28</cx:pt>
          <cx:pt idx="3">30</cx:pt>
          <cx:pt idx="4">31</cx:pt>
          <cx:pt idx="5">25</cx:pt>
          <cx:pt idx="6">36</cx:pt>
          <cx:pt idx="7">30</cx:pt>
          <cx:pt idx="8">28</cx:pt>
          <cx:pt idx="9">33</cx:pt>
          <cx:pt idx="10">31</cx:pt>
          <cx:pt idx="11">40</cx:pt>
          <cx:pt idx="12">26</cx:pt>
          <cx:pt idx="13">40</cx:pt>
          <cx:pt idx="14">27</cx:pt>
          <cx:pt idx="15">29</cx:pt>
          <cx:pt idx="16">32</cx:pt>
          <cx:pt idx="17">24</cx:pt>
          <cx:pt idx="18">34</cx:pt>
          <cx:pt idx="19">32</cx:pt>
          <cx:pt idx="20">31</cx:pt>
          <cx:pt idx="21">26</cx:pt>
          <cx:pt idx="22">31</cx:pt>
          <cx:pt idx="23">40</cx:pt>
          <cx:pt idx="24">28</cx:pt>
          <cx:pt idx="25">39</cx:pt>
          <cx:pt idx="26">32</cx:pt>
          <cx:pt idx="27">21</cx:pt>
          <cx:pt idx="28">34</cx:pt>
          <cx:pt idx="29">29</cx:pt>
          <cx:pt idx="30">38</cx:pt>
          <cx:pt idx="31">31</cx:pt>
          <cx:pt idx="32">28</cx:pt>
          <cx:pt idx="33">31</cx:pt>
          <cx:pt idx="34">23</cx:pt>
          <cx:pt idx="35">21</cx:pt>
          <cx:pt idx="36">31</cx:pt>
          <cx:pt idx="37">33</cx:pt>
          <cx:pt idx="38">30</cx:pt>
          <cx:pt idx="39">35</cx:pt>
          <cx:pt idx="40">32</cx:pt>
          <cx:pt idx="41">28</cx:pt>
          <cx:pt idx="42">35</cx:pt>
          <cx:pt idx="43">30</cx:pt>
          <cx:pt idx="44">26</cx:pt>
          <cx:pt idx="45">35</cx:pt>
          <cx:pt idx="46">34</cx:pt>
          <cx:pt idx="47">35</cx:pt>
          <cx:pt idx="48">39</cx:pt>
          <cx:pt idx="49">32</cx:pt>
          <cx:pt idx="50">32</cx:pt>
          <cx:pt idx="51">35</cx:pt>
          <cx:pt idx="52">19</cx:pt>
          <cx:pt idx="53">32</cx:pt>
          <cx:pt idx="54">21</cx:pt>
          <cx:pt idx="55">30</cx:pt>
          <cx:pt idx="56">35</cx:pt>
          <cx:pt idx="57">35</cx:pt>
          <cx:pt idx="58">38</cx:pt>
          <cx:pt idx="59">30</cx:pt>
          <cx:pt idx="60">40</cx:pt>
          <cx:pt idx="61">22</cx:pt>
          <cx:pt idx="62">22</cx:pt>
          <cx:pt idx="63">29</cx:pt>
          <cx:pt idx="64">41</cx:pt>
          <cx:pt idx="65">37</cx:pt>
          <cx:pt idx="66">34</cx:pt>
          <cx:pt idx="67">30</cx:pt>
          <cx:pt idx="68">42</cx:pt>
          <cx:pt idx="69">28</cx:pt>
          <cx:pt idx="70">32</cx:pt>
          <cx:pt idx="71">32</cx:pt>
          <cx:pt idx="72">28</cx:pt>
          <cx:pt idx="73">32</cx:pt>
          <cx:pt idx="74">31</cx:pt>
          <cx:pt idx="75">28</cx:pt>
          <cx:pt idx="76">38</cx:pt>
          <cx:pt idx="77">26</cx:pt>
          <cx:pt idx="78">28</cx:pt>
          <cx:pt idx="79">28</cx:pt>
          <cx:pt idx="80">40</cx:pt>
          <cx:pt idx="81">34</cx:pt>
          <cx:pt idx="82">26</cx:pt>
          <cx:pt idx="83">35</cx:pt>
          <cx:pt idx="84">19</cx:pt>
          <cx:pt idx="85">33</cx:pt>
          <cx:pt idx="86">29</cx:pt>
          <cx:pt idx="87">19</cx:pt>
          <cx:pt idx="88">23</cx:pt>
          <cx:pt idx="89">32</cx:pt>
          <cx:pt idx="90">30</cx:pt>
          <cx:pt idx="91">26</cx:pt>
          <cx:pt idx="92">34</cx:pt>
          <cx:pt idx="93">42</cx:pt>
          <cx:pt idx="94">36</cx:pt>
          <cx:pt idx="95">30</cx:pt>
          <cx:pt idx="96">32</cx:pt>
          <cx:pt idx="97">40</cx:pt>
          <cx:pt idx="98">30</cx:pt>
          <cx:pt idx="99">25</cx:pt>
          <cx:pt idx="100">35</cx:pt>
          <cx:pt idx="101">22</cx:pt>
          <cx:pt idx="102">19</cx:pt>
          <cx:pt idx="103">28</cx:pt>
          <cx:pt idx="104">28</cx:pt>
          <cx:pt idx="105">26</cx:pt>
          <cx:pt idx="106">26</cx:pt>
          <cx:pt idx="107">18</cx:pt>
          <cx:pt idx="108">28</cx:pt>
          <cx:pt idx="109">19</cx:pt>
          <cx:pt idx="110">22</cx:pt>
          <cx:pt idx="111">35</cx:pt>
          <cx:pt idx="112">21</cx:pt>
          <cx:pt idx="113">22</cx:pt>
          <cx:pt idx="114">23</cx:pt>
          <cx:pt idx="115">27</cx:pt>
          <cx:pt idx="116">22</cx:pt>
          <cx:pt idx="117">18</cx:pt>
          <cx:pt idx="118">25</cx:pt>
          <cx:pt idx="119">22</cx:pt>
          <cx:pt idx="120">30</cx:pt>
          <cx:pt idx="121">28</cx:pt>
          <cx:pt idx="122">23</cx:pt>
          <cx:pt idx="123">29</cx:pt>
          <cx:pt idx="124">20</cx:pt>
          <cx:pt idx="125">28</cx:pt>
          <cx:pt idx="126">32</cx:pt>
          <cx:pt idx="127">25</cx:pt>
          <cx:pt idx="128">24</cx:pt>
          <cx:pt idx="129">22</cx:pt>
          <cx:pt idx="130">27</cx:pt>
          <cx:pt idx="131">21</cx:pt>
          <cx:pt idx="132">24</cx:pt>
          <cx:pt idx="133">24</cx:pt>
          <cx:pt idx="134">27</cx:pt>
          <cx:pt idx="135">19</cx:pt>
          <cx:pt idx="136">36</cx:pt>
          <cx:pt idx="137">25</cx:pt>
          <cx:pt idx="138">22</cx:pt>
          <cx:pt idx="139">24</cx:pt>
          <cx:pt idx="140">26</cx:pt>
          <cx:pt idx="141">25</cx:pt>
          <cx:pt idx="142">22</cx:pt>
          <cx:pt idx="143">18</cx:pt>
          <cx:pt idx="144">22</cx:pt>
          <cx:pt idx="145">20</cx:pt>
          <cx:pt idx="146">22</cx:pt>
          <cx:pt idx="147">29</cx:pt>
          <cx:pt idx="148">24</cx:pt>
          <cx:pt idx="149">26</cx:pt>
          <cx:pt idx="150">28</cx:pt>
          <cx:pt idx="151">28</cx:pt>
          <cx:pt idx="152">23</cx:pt>
          <cx:pt idx="153">30</cx:pt>
          <cx:pt idx="154">23</cx:pt>
          <cx:pt idx="155">26</cx:pt>
          <cx:pt idx="156">22</cx:pt>
          <cx:pt idx="157">39</cx:pt>
          <cx:pt idx="158">30</cx:pt>
          <cx:pt idx="159">41</cx:pt>
          <cx:pt idx="160">29</cx:pt>
          <cx:pt idx="161">26</cx:pt>
          <cx:pt idx="162">19</cx:pt>
          <cx:pt idx="163">25</cx:pt>
          <cx:pt idx="164">30</cx:pt>
          <cx:pt idx="165">26</cx:pt>
          <cx:pt idx="166">18</cx:pt>
          <cx:pt idx="167">24</cx:pt>
          <cx:pt idx="168">22</cx:pt>
          <cx:pt idx="169">34</cx:pt>
          <cx:pt idx="170">25</cx:pt>
          <cx:pt idx="171">26</cx:pt>
          <cx:pt idx="172">22</cx:pt>
          <cx:pt idx="173">24</cx:pt>
          <cx:pt idx="174">27</cx:pt>
          <cx:pt idx="175">22</cx:pt>
          <cx:pt idx="176">19</cx:pt>
          <cx:pt idx="177">31</cx:pt>
          <cx:pt idx="178">21</cx:pt>
          <cx:pt idx="179">20</cx:pt>
          <cx:pt idx="180">23</cx:pt>
          <cx:pt idx="181">18</cx:pt>
          <cx:pt idx="182">22</cx:pt>
          <cx:pt idx="183">30</cx:pt>
          <cx:pt idx="184">28</cx:pt>
          <cx:pt idx="185">42</cx:pt>
          <cx:pt idx="186">22</cx:pt>
          <cx:pt idx="187">18</cx:pt>
          <cx:pt idx="188">22</cx:pt>
          <cx:pt idx="189">20</cx:pt>
          <cx:pt idx="190">23</cx:pt>
          <cx:pt idx="191">26</cx:pt>
          <cx:pt idx="192">22</cx:pt>
          <cx:pt idx="193">24</cx:pt>
          <cx:pt idx="194">30</cx:pt>
          <cx:pt idx="195">29</cx:pt>
          <cx:pt idx="196">28</cx:pt>
          <cx:pt idx="197">22</cx:pt>
          <cx:pt idx="198">21</cx:pt>
          <cx:pt idx="199">20</cx:pt>
        </cx:lvl>
      </cx:numDim>
    </cx:data>
  </cx:chartData>
  <cx:chart>
    <cx:title pos="t" align="ctr" overlay="0">
      <cx:tx>
        <cx:txData>
          <cx:v>Box plot of age by Diabetic Status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Box plot of age by Diabetic Status</a:t>
          </a:r>
        </a:p>
      </cx:txPr>
    </cx:title>
    <cx:plotArea>
      <cx:plotAreaRegion>
        <cx:plotSurface>
          <cx:spPr>
            <a:noFill/>
            <a:ln>
              <a:solidFill>
                <a:schemeClr val="tx1"/>
              </a:solidFill>
            </a:ln>
          </cx:spPr>
        </cx:plotSurface>
        <cx:series layoutId="boxWhisker" uniqueId="{534DCE31-0848-4CB9-89DF-9B6F9DA03369}">
          <cx:tx>
            <cx:txData>
              <cx:f>AGE!$B$1</cx:f>
              <cx:v>Age</cx:v>
            </cx:txData>
          </cx:tx>
          <cx:dataId val="0"/>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a:p>
                <a:pPr algn="ctr" rtl="0">
                  <a:defRPr/>
                </a:pPr>
                <a:endParaRPr lang="en-US" sz="900" b="0" i="0" u="none" strike="noStrike" baseline="0">
                  <a:solidFill>
                    <a:sysClr val="windowText" lastClr="000000">
                      <a:lumMod val="65000"/>
                      <a:lumOff val="35000"/>
                    </a:sysClr>
                  </a:solidFill>
                  <a:latin typeface="Calibri"/>
                </a:endParaRPr>
              </a:p>
              <a:p>
                <a:pPr algn="ctr" rtl="0">
                  <a:defRPr/>
                </a:pPr>
                <a:endParaRPr lang="en-US" sz="900" b="0" i="0" u="none" strike="noStrike" baseline="0">
                  <a:solidFill>
                    <a:sysClr val="windowText" lastClr="000000">
                      <a:lumMod val="65000"/>
                      <a:lumOff val="35000"/>
                    </a:sysClr>
                  </a:solidFill>
                  <a:latin typeface="Calibri"/>
                </a:endParaRPr>
              </a:p>
            </cx:rich>
          </cx:tx>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Age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Age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lrMapOvr bg1="lt1" tx1="dk1" bg2="lt2" tx2="dk2" accent1="accent1" accent2="accent2" accent3="accent3" accent4="accent4" accent5="accent5" accent6="accent6" hlink="hlink" folHlink="folHlink"/>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SYSTOLIC_BP!$A$2:$A$201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SYSTOLIC_BP!$B$2:$B$201</cx:f>
        <cx:lvl ptCount="200" formatCode="General">
          <cx:pt idx="0">128</cx:pt>
          <cx:pt idx="1">124.2</cx:pt>
          <cx:pt idx="2">128.90000000000001</cx:pt>
          <cx:pt idx="3">134.09999999999999</cx:pt>
          <cx:pt idx="4">123.59999999999999</cx:pt>
          <cx:pt idx="5">123.59999999999999</cx:pt>
          <cx:pt idx="6">134.5</cx:pt>
          <cx:pt idx="7">129.59999999999999</cx:pt>
          <cx:pt idx="8">122.2</cx:pt>
          <cx:pt idx="9">128.30000000000001</cx:pt>
          <cx:pt idx="10">122.2</cx:pt>
          <cx:pt idx="11">122.2</cx:pt>
          <cx:pt idx="12">126.5</cx:pt>
          <cx:pt idx="13">113.5</cx:pt>
          <cx:pt idx="14">114.7</cx:pt>
          <cx:pt idx="15">121.59999999999999</cx:pt>
          <cx:pt idx="16">118.90000000000001</cx:pt>
          <cx:pt idx="17">126.90000000000001</cx:pt>
          <cx:pt idx="18">119.59999999999999</cx:pt>
          <cx:pt idx="19">116.5</cx:pt>
          <cx:pt idx="20">133.80000000000001</cx:pt>
          <cx:pt idx="21">123.59999999999999</cx:pt>
          <cx:pt idx="22">125.40000000000001</cx:pt>
          <cx:pt idx="23">116.5</cx:pt>
          <cx:pt idx="24">121.7</cx:pt>
          <cx:pt idx="25">125.7</cx:pt>
          <cx:pt idx="26">118.09999999999999</cx:pt>
          <cx:pt idx="27">127.3</cx:pt>
          <cx:pt idx="28">121.40000000000001</cx:pt>
          <cx:pt idx="29">123.2</cx:pt>
          <cx:pt idx="30">121.40000000000001</cx:pt>
          <cx:pt idx="31">136.09999999999999</cx:pt>
          <cx:pt idx="32">124.90000000000001</cx:pt>
          <cx:pt idx="33">118.7</cx:pt>
          <cx:pt idx="34">129.90000000000001</cx:pt>
          <cx:pt idx="35">117.7</cx:pt>
          <cx:pt idx="36">126.3</cx:pt>
          <cx:pt idx="37">113.2</cx:pt>
          <cx:pt idx="38">117</cx:pt>
          <cx:pt idx="39">126.2</cx:pt>
          <cx:pt idx="40">129.40000000000001</cx:pt>
          <cx:pt idx="41">126</cx:pt>
          <cx:pt idx="42">124.3</cx:pt>
          <cx:pt idx="43">123.2</cx:pt>
          <cx:pt idx="44">116.09999999999999</cx:pt>
          <cx:pt idx="45">120.7</cx:pt>
          <cx:pt idx="46">122.2</cx:pt>
          <cx:pt idx="47">131.30000000000001</cx:pt>
          <cx:pt idx="48">127.09999999999999</cx:pt>
          <cx:pt idx="49">114.40000000000001</cx:pt>
          <cx:pt idx="50">126.90000000000001</cx:pt>
          <cx:pt idx="51">122.7</cx:pt>
          <cx:pt idx="52">120.90000000000001</cx:pt>
          <cx:pt idx="53">128.69999999999999</cx:pt>
          <cx:pt idx="54">131.19999999999999</cx:pt>
          <cx:pt idx="55">130.59999999999999</cx:pt>
          <cx:pt idx="56">120</cx:pt>
          <cx:pt idx="57">123.09999999999999</cx:pt>
          <cx:pt idx="58">127</cx:pt>
          <cx:pt idx="59">130.90000000000001</cx:pt>
          <cx:pt idx="60">122.09999999999999</cx:pt>
          <cx:pt idx="61">123.90000000000001</cx:pt>
          <cx:pt idx="62">118.40000000000001</cx:pt>
          <cx:pt idx="63">117.8</cx:pt>
          <cx:pt idx="64">129.90000000000001</cx:pt>
          <cx:pt idx="65">133.09999999999999</cx:pt>
          <cx:pt idx="66">124.59999999999999</cx:pt>
          <cx:pt idx="67">131</cx:pt>
          <cx:pt idx="68">127.2</cx:pt>
          <cx:pt idx="69">121.09999999999999</cx:pt>
          <cx:pt idx="70">127.2</cx:pt>
          <cx:pt idx="71">134.19999999999999</cx:pt>
          <cx:pt idx="72">124.8</cx:pt>
          <cx:pt idx="73">134.40000000000001</cx:pt>
          <cx:pt idx="74">109.3</cx:pt>
          <cx:pt idx="75">129.90000000000001</cx:pt>
          <cx:pt idx="76">125.5</cx:pt>
          <cx:pt idx="77">123.2</cx:pt>
          <cx:pt idx="78">125.59999999999999</cx:pt>
          <cx:pt idx="79">113.09999999999999</cx:pt>
          <cx:pt idx="80">123.7</cx:pt>
          <cx:pt idx="81">127.09999999999999</cx:pt>
          <cx:pt idx="82">133.90000000000001</cx:pt>
          <cx:pt idx="83">121.90000000000001</cx:pt>
          <cx:pt idx="84">120.09999999999999</cx:pt>
          <cx:pt idx="85">122</cx:pt>
          <cx:pt idx="86">130.5</cx:pt>
          <cx:pt idx="87">127</cx:pt>
          <cx:pt idx="88">121.8</cx:pt>
          <cx:pt idx="89">128.09999999999999</cx:pt>
          <cx:pt idx="90">125.59999999999999</cx:pt>
          <cx:pt idx="91">130.80000000000001</cx:pt>
          <cx:pt idx="92">120.8</cx:pt>
          <cx:pt idx="93">123</cx:pt>
          <cx:pt idx="94">122.59999999999999</cx:pt>
          <cx:pt idx="95">116.2</cx:pt>
          <cx:pt idx="96">126.8</cx:pt>
          <cx:pt idx="97">126.59999999999999</cx:pt>
          <cx:pt idx="98">125</cx:pt>
          <cx:pt idx="99">123.59999999999999</cx:pt>
          <cx:pt idx="100">116.8</cx:pt>
          <cx:pt idx="101">117.8</cx:pt>
          <cx:pt idx="102">120.40000000000001</cx:pt>
          <cx:pt idx="103">120.3</cx:pt>
          <cx:pt idx="104">108.09999999999999</cx:pt>
          <cx:pt idx="105">110.3</cx:pt>
          <cx:pt idx="106">117.59999999999999</cx:pt>
          <cx:pt idx="107">117.59999999999999</cx:pt>
          <cx:pt idx="108">117.59999999999999</cx:pt>
          <cx:pt idx="109">134.30000000000001</cx:pt>
          <cx:pt idx="110">117.90000000000001</cx:pt>
          <cx:pt idx="111">120.7</cx:pt>
          <cx:pt idx="112">119.8</cx:pt>
          <cx:pt idx="113">118.3</cx:pt>
          <cx:pt idx="114">113.40000000000001</cx:pt>
          <cx:pt idx="115">118.8</cx:pt>
          <cx:pt idx="116">111.09999999999999</cx:pt>
          <cx:pt idx="117">113.8</cx:pt>
          <cx:pt idx="118">112.59999999999999</cx:pt>
          <cx:pt idx="119">115.40000000000001</cx:pt>
          <cx:pt idx="120">126.59999999999999</cx:pt>
          <cx:pt idx="121">105.7</cx:pt>
          <cx:pt idx="122">118.40000000000001</cx:pt>
          <cx:pt idx="123">106.90000000000001</cx:pt>
          <cx:pt idx="124">112.59999999999999</cx:pt>
          <cx:pt idx="125">120.40000000000001</cx:pt>
          <cx:pt idx="126">115.3</cx:pt>
          <cx:pt idx="127">109.59999999999999</cx:pt>
          <cx:pt idx="128">111.40000000000001</cx:pt>
          <cx:pt idx="129">118.40000000000001</cx:pt>
          <cx:pt idx="130">111.3</cx:pt>
          <cx:pt idx="131">116.09999999999999</cx:pt>
          <cx:pt idx="132">115.2</cx:pt>
          <cx:pt idx="133">111.7</cx:pt>
          <cx:pt idx="134">125.7</cx:pt>
          <cx:pt idx="135">118.2</cx:pt>
          <cx:pt idx="136">104.90000000000001</cx:pt>
          <cx:pt idx="137">115.90000000000001</cx:pt>
          <cx:pt idx="138">111.7</cx:pt>
          <cx:pt idx="139">119.3</cx:pt>
          <cx:pt idx="140">111</cx:pt>
          <cx:pt idx="141">114.40000000000001</cx:pt>
          <cx:pt idx="142">117.5</cx:pt>
          <cx:pt idx="143">119.3</cx:pt>
          <cx:pt idx="144">109</cx:pt>
          <cx:pt idx="145">113.3</cx:pt>
          <cx:pt idx="146">112.59999999999999</cx:pt>
          <cx:pt idx="147">111.7</cx:pt>
          <cx:pt idx="148">123.8</cx:pt>
          <cx:pt idx="149">117</cx:pt>
          <cx:pt idx="150">108.7</cx:pt>
          <cx:pt idx="151">119.59999999999999</cx:pt>
          <cx:pt idx="152">125.59999999999999</cx:pt>
          <cx:pt idx="153">120.2</cx:pt>
          <cx:pt idx="154">107.40000000000001</cx:pt>
          <cx:pt idx="155">112.59999999999999</cx:pt>
          <cx:pt idx="156">121.3</cx:pt>
          <cx:pt idx="157">111.5</cx:pt>
          <cx:pt idx="158">117.2</cx:pt>
          <cx:pt idx="159">118.90000000000001</cx:pt>
          <cx:pt idx="160">110.40000000000001</cx:pt>
          <cx:pt idx="161">114.7</cx:pt>
          <cx:pt idx="162">98.799999999999997</cx:pt>
          <cx:pt idx="163">109.90000000000001</cx:pt>
          <cx:pt idx="164">113.7</cx:pt>
          <cx:pt idx="165">108.8</cx:pt>
          <cx:pt idx="166">123.2</cx:pt>
          <cx:pt idx="167">107.8</cx:pt>
          <cx:pt idx="168">112.8</cx:pt>
          <cx:pt idx="169">115.7</cx:pt>
          <cx:pt idx="170">122.2</cx:pt>
          <cx:pt idx="171">107.8</cx:pt>
          <cx:pt idx="172">120.8</cx:pt>
          <cx:pt idx="173">115.09999999999999</cx:pt>
          <cx:pt idx="174">110.09999999999999</cx:pt>
          <cx:pt idx="175">117.3</cx:pt>
          <cx:pt idx="176">116</cx:pt>
          <cx:pt idx="177">112</cx:pt>
          <cx:pt idx="178">115.3</cx:pt>
          <cx:pt idx="179">113.09999999999999</cx:pt>
          <cx:pt idx="180">115.59999999999999</cx:pt>
          <cx:pt idx="181">118.3</cx:pt>
          <cx:pt idx="182">122.90000000000001</cx:pt>
          <cx:pt idx="183">108.8</cx:pt>
          <cx:pt idx="184">125.7</cx:pt>
          <cx:pt idx="185">105.2</cx:pt>
          <cx:pt idx="186">114.2</cx:pt>
          <cx:pt idx="187">117.90000000000001</cx:pt>
          <cx:pt idx="188">116.40000000000001</cx:pt>
          <cx:pt idx="189">111.90000000000001</cx:pt>
          <cx:pt idx="190">114</cx:pt>
          <cx:pt idx="191">112.5</cx:pt>
          <cx:pt idx="192">112.09999999999999</cx:pt>
          <cx:pt idx="193">119.2</cx:pt>
          <cx:pt idx="194">116.8</cx:pt>
          <cx:pt idx="195">111.5</cx:pt>
          <cx:pt idx="196">119.5</cx:pt>
          <cx:pt idx="197">116.5</cx:pt>
          <cx:pt idx="198">119.09999999999999</cx:pt>
          <cx:pt idx="199">118.09999999999999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Ssystolic BP </a:t>
            </a:r>
            <a:r>
              <a:rPr lang="en-US" sz="1200" b="0" i="0" u="none" strike="noStrike" baseline="0">
                <a:solidFill>
                  <a:sysClr val="windowText" lastClr="000000">
                    <a:lumMod val="65000"/>
                    <a:lumOff val="35000"/>
                  </a:sysClr>
                </a:solidFill>
                <a:latin typeface="Calibri"/>
              </a:rPr>
              <a:t>(mmHg)</a:t>
            </a:r>
          </a:p>
        </cx:rich>
      </cx:tx>
    </cx:title>
    <cx:plotArea>
      <cx:plotAreaRegion>
        <cx:plotSurface>
          <cx:spPr>
            <a:ln>
              <a:solidFill>
                <a:schemeClr val="tx1"/>
              </a:solidFill>
            </a:ln>
          </cx:spPr>
        </cx:plotSurface>
        <cx:series layoutId="boxWhisker" uniqueId="{32C07125-419F-4041-898C-35EAE3BC9791}">
          <cx:tx>
            <cx:txData>
              <cx:f>SYSTOLIC_BP!$B$1</cx:f>
              <cx:v>Blood Pressure</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Blood Pressure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Blood Pressure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lrMapOvr bg1="lt1" tx1="dk1" bg2="lt2" tx2="dk2" accent1="accent1" accent2="accent2" accent3="accent3" accent4="accent4" accent5="accent5" accent6="accent6" hlink="hlink" folHlink="folHlink"/>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HB!$A$2:$A$201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HB!$B$2:$B$201</cx:f>
        <cx:lvl ptCount="200" formatCode="General">
          <cx:pt idx="0">11.1</cx:pt>
          <cx:pt idx="1">10.1</cx:pt>
          <cx:pt idx="2">11</cx:pt>
          <cx:pt idx="3">11.699999999999999</cx:pt>
          <cx:pt idx="4">11.199999999999999</cx:pt>
          <cx:pt idx="5">11.9</cx:pt>
          <cx:pt idx="6">11.300000000000001</cx:pt>
          <cx:pt idx="7">10.199999999999999</cx:pt>
          <cx:pt idx="8">11.4</cx:pt>
          <cx:pt idx="9">11.199999999999999</cx:pt>
          <cx:pt idx="10">11.199999999999999</cx:pt>
          <cx:pt idx="11">11.5</cx:pt>
          <cx:pt idx="12">11.4</cx:pt>
          <cx:pt idx="13">10.699999999999999</cx:pt>
          <cx:pt idx="14">10.199999999999999</cx:pt>
          <cx:pt idx="15">10.9</cx:pt>
          <cx:pt idx="16">11.800000000000001</cx:pt>
          <cx:pt idx="17">12</cx:pt>
          <cx:pt idx="18">11.300000000000001</cx:pt>
          <cx:pt idx="19">10.800000000000001</cx:pt>
          <cx:pt idx="20">11</cx:pt>
          <cx:pt idx="21">11.5</cx:pt>
          <cx:pt idx="22">9.8000000000000007</cx:pt>
          <cx:pt idx="23">11.1</cx:pt>
          <cx:pt idx="24">11.199999999999999</cx:pt>
          <cx:pt idx="25">10.6</cx:pt>
          <cx:pt idx="26">11.300000000000001</cx:pt>
          <cx:pt idx="27">10.5</cx:pt>
          <cx:pt idx="28">10.699999999999999</cx:pt>
          <cx:pt idx="29">10.699999999999999</cx:pt>
          <cx:pt idx="30">11.1</cx:pt>
          <cx:pt idx="31">10.800000000000001</cx:pt>
          <cx:pt idx="32">11</cx:pt>
          <cx:pt idx="33">11.9</cx:pt>
          <cx:pt idx="34">11.300000000000001</cx:pt>
          <cx:pt idx="35">11.1</cx:pt>
          <cx:pt idx="36">10.800000000000001</cx:pt>
          <cx:pt idx="37">10.5</cx:pt>
          <cx:pt idx="38">10.6</cx:pt>
          <cx:pt idx="39">12.199999999999999</cx:pt>
          <cx:pt idx="40">11.4</cx:pt>
          <cx:pt idx="41">11</cx:pt>
          <cx:pt idx="42">10.699999999999999</cx:pt>
          <cx:pt idx="43">11.300000000000001</cx:pt>
          <cx:pt idx="44">11</cx:pt>
          <cx:pt idx="45">10.6</cx:pt>
          <cx:pt idx="46">11.199999999999999</cx:pt>
          <cx:pt idx="47">10.800000000000001</cx:pt>
          <cx:pt idx="48">10.699999999999999</cx:pt>
          <cx:pt idx="49">10.6</cx:pt>
          <cx:pt idx="50">11.300000000000001</cx:pt>
          <cx:pt idx="51">11.9</cx:pt>
          <cx:pt idx="52">10.699999999999999</cx:pt>
          <cx:pt idx="53">10.9</cx:pt>
          <cx:pt idx="54">11.4</cx:pt>
          <cx:pt idx="55">10.5</cx:pt>
          <cx:pt idx="56">10.9</cx:pt>
          <cx:pt idx="57">10.800000000000001</cx:pt>
          <cx:pt idx="58">11.300000000000001</cx:pt>
          <cx:pt idx="59">11.800000000000001</cx:pt>
          <cx:pt idx="60">10.9</cx:pt>
          <cx:pt idx="61">10.6</cx:pt>
          <cx:pt idx="62">11.300000000000001</cx:pt>
          <cx:pt idx="63">10.800000000000001</cx:pt>
          <cx:pt idx="64">11</cx:pt>
          <cx:pt idx="65">10.800000000000001</cx:pt>
          <cx:pt idx="66">11.300000000000001</cx:pt>
          <cx:pt idx="67">10.5</cx:pt>
          <cx:pt idx="68">11.300000000000001</cx:pt>
          <cx:pt idx="69">10.6</cx:pt>
          <cx:pt idx="70">11.800000000000001</cx:pt>
          <cx:pt idx="71">11.699999999999999</cx:pt>
          <cx:pt idx="72">10.6</cx:pt>
          <cx:pt idx="73">12</cx:pt>
          <cx:pt idx="74">11.300000000000001</cx:pt>
          <cx:pt idx="75">10.5</cx:pt>
          <cx:pt idx="76">11.5</cx:pt>
          <cx:pt idx="77">11.1</cx:pt>
          <cx:pt idx="78">10.6</cx:pt>
          <cx:pt idx="79">11.199999999999999</cx:pt>
          <cx:pt idx="80">10.6</cx:pt>
          <cx:pt idx="81">10.800000000000001</cx:pt>
          <cx:pt idx="82">11.1</cx:pt>
          <cx:pt idx="83">10.800000000000001</cx:pt>
          <cx:pt idx="84">11.300000000000001</cx:pt>
          <cx:pt idx="85">11.199999999999999</cx:pt>
          <cx:pt idx="86">11.199999999999999</cx:pt>
          <cx:pt idx="87">11</cx:pt>
          <cx:pt idx="88">11.300000000000001</cx:pt>
          <cx:pt idx="89">10.9</cx:pt>
          <cx:pt idx="90">11.9</cx:pt>
          <cx:pt idx="91">11.5</cx:pt>
          <cx:pt idx="92">11.5</cx:pt>
          <cx:pt idx="93">10.6</cx:pt>
          <cx:pt idx="94">9.9000000000000004</cx:pt>
          <cx:pt idx="95">11</cx:pt>
          <cx:pt idx="96">10.6</cx:pt>
          <cx:pt idx="97">10.800000000000001</cx:pt>
          <cx:pt idx="98">10.699999999999999</cx:pt>
          <cx:pt idx="99">11.5</cx:pt>
          <cx:pt idx="100">12.199999999999999</cx:pt>
          <cx:pt idx="101">11.300000000000001</cx:pt>
          <cx:pt idx="102">11.4</cx:pt>
          <cx:pt idx="103">11.199999999999999</cx:pt>
          <cx:pt idx="104">11.800000000000001</cx:pt>
          <cx:pt idx="105">11.6</cx:pt>
          <cx:pt idx="106">11.9</cx:pt>
          <cx:pt idx="107">12.1</cx:pt>
          <cx:pt idx="108">10.9</cx:pt>
          <cx:pt idx="109">11.300000000000001</cx:pt>
          <cx:pt idx="110">12.5</cx:pt>
          <cx:pt idx="111">11.5</cx:pt>
          <cx:pt idx="112">11.699999999999999</cx:pt>
          <cx:pt idx="113">11.1</cx:pt>
          <cx:pt idx="114">11.6</cx:pt>
          <cx:pt idx="115">11.1</cx:pt>
          <cx:pt idx="116">11.5</cx:pt>
          <cx:pt idx="117">11.5</cx:pt>
          <cx:pt idx="118">11.1</cx:pt>
          <cx:pt idx="119">13</cx:pt>
          <cx:pt idx="120">11.6</cx:pt>
          <cx:pt idx="121">12.1</cx:pt>
          <cx:pt idx="122">10.9</cx:pt>
          <cx:pt idx="123">11.1</cx:pt>
          <cx:pt idx="124">12.5</cx:pt>
          <cx:pt idx="125">10.9</cx:pt>
          <cx:pt idx="126">11.800000000000001</cx:pt>
          <cx:pt idx="127">11.5</cx:pt>
          <cx:pt idx="128">11.699999999999999</cx:pt>
          <cx:pt idx="129">12.300000000000001</cx:pt>
          <cx:pt idx="130">10.699999999999999</cx:pt>
          <cx:pt idx="131">11.9</cx:pt>
          <cx:pt idx="132">11.300000000000001</cx:pt>
          <cx:pt idx="133">11.800000000000001</cx:pt>
          <cx:pt idx="134">12.1</cx:pt>
          <cx:pt idx="135">11.699999999999999</cx:pt>
          <cx:pt idx="136">11.4</cx:pt>
          <cx:pt idx="137">11.6</cx:pt>
          <cx:pt idx="138">11.5</cx:pt>
          <cx:pt idx="139">11.5</cx:pt>
          <cx:pt idx="140">10.800000000000001</cx:pt>
          <cx:pt idx="141">11.9</cx:pt>
          <cx:pt idx="142">11.699999999999999</cx:pt>
          <cx:pt idx="143">11.800000000000001</cx:pt>
          <cx:pt idx="144">11.4</cx:pt>
          <cx:pt idx="145">12.199999999999999</cx:pt>
          <cx:pt idx="146">10.699999999999999</cx:pt>
          <cx:pt idx="147">11.5</cx:pt>
          <cx:pt idx="148">11.5</cx:pt>
          <cx:pt idx="149">12.4</cx:pt>
          <cx:pt idx="150">11.5</cx:pt>
          <cx:pt idx="151">10.9</cx:pt>
          <cx:pt idx="152">12</cx:pt>
          <cx:pt idx="153">12.4</cx:pt>
          <cx:pt idx="154">11.199999999999999</cx:pt>
          <cx:pt idx="155">11</cx:pt>
          <cx:pt idx="156">9.9000000000000004</cx:pt>
          <cx:pt idx="157">11.300000000000001</cx:pt>
          <cx:pt idx="158">11.800000000000001</cx:pt>
          <cx:pt idx="159">11.5</cx:pt>
          <cx:pt idx="160">11.199999999999999</cx:pt>
          <cx:pt idx="161">11.4</cx:pt>
          <cx:pt idx="162">12.6</cx:pt>
          <cx:pt idx="163">12.1</cx:pt>
          <cx:pt idx="164">11.300000000000001</cx:pt>
          <cx:pt idx="165">11.9</cx:pt>
          <cx:pt idx="166">11.9</cx:pt>
          <cx:pt idx="167">11.800000000000001</cx:pt>
          <cx:pt idx="168">10.9</cx:pt>
          <cx:pt idx="169">11.699999999999999</cx:pt>
          <cx:pt idx="170">11.699999999999999</cx:pt>
          <cx:pt idx="171">11.1</cx:pt>
          <cx:pt idx="172">12.199999999999999</cx:pt>
          <cx:pt idx="173">12</cx:pt>
          <cx:pt idx="174">11.699999999999999</cx:pt>
          <cx:pt idx="175">11.4</cx:pt>
          <cx:pt idx="176">11.6</cx:pt>
          <cx:pt idx="177">11.699999999999999</cx:pt>
          <cx:pt idx="178">11.199999999999999</cx:pt>
          <cx:pt idx="179">11.5</cx:pt>
          <cx:pt idx="180">11.5</cx:pt>
          <cx:pt idx="181">11.6</cx:pt>
          <cx:pt idx="182">11.6</cx:pt>
          <cx:pt idx="183">11</cx:pt>
          <cx:pt idx="184">11.9</cx:pt>
          <cx:pt idx="185">11.4</cx:pt>
          <cx:pt idx="186">11.1</cx:pt>
          <cx:pt idx="187">11</cx:pt>
          <cx:pt idx="188">11.9</cx:pt>
          <cx:pt idx="189">12.199999999999999</cx:pt>
          <cx:pt idx="190">10.800000000000001</cx:pt>
          <cx:pt idx="191">11.800000000000001</cx:pt>
          <cx:pt idx="192">12.1</cx:pt>
          <cx:pt idx="193">11</cx:pt>
          <cx:pt idx="194">11.199999999999999</cx:pt>
          <cx:pt idx="195">12.5</cx:pt>
          <cx:pt idx="196">11.699999999999999</cx:pt>
          <cx:pt idx="197">11.6</cx:pt>
          <cx:pt idx="198">11.5</cx:pt>
          <cx:pt idx="199">11</cx:pt>
        </cx:lvl>
      </cx:numDim>
    </cx:data>
  </cx:chartData>
  <cx:chart>
    <cx:title pos="t" align="ctr" overlay="0">
      <cx:tx>
        <cx:txData>
          <cx:v>Haemoglobin </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Haemoglobin </a:t>
          </a:r>
        </a:p>
      </cx:txPr>
    </cx:title>
    <cx:plotArea>
      <cx:plotAreaRegion>
        <cx:plotSurface>
          <cx:spPr>
            <a:ln>
              <a:solidFill>
                <a:schemeClr val="tx1"/>
              </a:solidFill>
            </a:ln>
          </cx:spPr>
        </cx:plotSurface>
        <cx:series layoutId="boxWhisker" uniqueId="{BBF85583-846A-417A-BF4F-8409F6EE9D80}">
          <cx:tx>
            <cx:txData>
              <cx:f>HB!$B$1</cx:f>
              <cx:v>Hb</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Hb</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Hb</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lrMapOvr bg1="lt1" tx1="dk1" bg2="lt2" tx2="dk2" accent1="accent1" accent2="accent2" accent3="accent3" accent4="accent4" accent5="accent5" accent6="accent6" hlink="hlink" folHlink="folHlink"/>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'HbA1c_(%)'!$A$2:$A$201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'HbA1c_(%)'!$B$2:$B$201</cx:f>
        <cx:lvl ptCount="200" formatCode="General">
          <cx:pt idx="0">6.4500000000000002</cx:pt>
          <cx:pt idx="1">7.1399999999999997</cx:pt>
          <cx:pt idx="2">6.8799999999999999</cx:pt>
          <cx:pt idx="3">6.7199999999999998</cx:pt>
          <cx:pt idx="4">6.1900000000000004</cx:pt>
          <cx:pt idx="5">6.1900000000000004</cx:pt>
          <cx:pt idx="6">6.0700000000000003</cx:pt>
          <cx:pt idx="7">7.04</cx:pt>
          <cx:pt idx="8">6.7199999999999998</cx:pt>
          <cx:pt idx="9">6.8499999999999996</cx:pt>
          <cx:pt idx="10">6.0199999999999996</cx:pt>
          <cx:pt idx="11">7.1600000000000001</cx:pt>
          <cx:pt idx="12">7</cx:pt>
          <cx:pt idx="13">6.25</cx:pt>
          <cx:pt idx="14">6.2199999999999998</cx:pt>
          <cx:pt idx="15">6.2199999999999998</cx:pt>
          <cx:pt idx="16">6.3700000000000001</cx:pt>
          <cx:pt idx="17">6.6299999999999999</cx:pt>
          <cx:pt idx="18">6.5199999999999996</cx:pt>
          <cx:pt idx="19">6.3499999999999996</cx:pt>
          <cx:pt idx="20">6.7300000000000004</cx:pt>
          <cx:pt idx="21">6.1699999999999999</cx:pt>
          <cx:pt idx="22">6.3499999999999996</cx:pt>
          <cx:pt idx="23">6.4400000000000004</cx:pt>
          <cx:pt idx="24">6.5499999999999998</cx:pt>
          <cx:pt idx="25">6.9400000000000004</cx:pt>
          <cx:pt idx="26">6.2400000000000002</cx:pt>
          <cx:pt idx="27">6.6200000000000001</cx:pt>
          <cx:pt idx="28">6.71</cx:pt>
          <cx:pt idx="29">6.0599999999999996</cx:pt>
          <cx:pt idx="30">6.7300000000000004</cx:pt>
          <cx:pt idx="31">6.2000000000000002</cx:pt>
          <cx:pt idx="32">6.0800000000000001</cx:pt>
          <cx:pt idx="33">7.1399999999999997</cx:pt>
          <cx:pt idx="34">7.1600000000000001</cx:pt>
          <cx:pt idx="35">6.9699999999999998</cx:pt>
          <cx:pt idx="36">6.3700000000000001</cx:pt>
          <cx:pt idx="37">6.1200000000000001</cx:pt>
          <cx:pt idx="38">6.8200000000000003</cx:pt>
          <cx:pt idx="39">6.5300000000000002</cx:pt>
          <cx:pt idx="40">6.1500000000000004</cx:pt>
          <cx:pt idx="41">6.5899999999999999</cx:pt>
          <cx:pt idx="42">6.04</cx:pt>
          <cx:pt idx="43">7.0899999999999999</cx:pt>
          <cx:pt idx="44">6.3099999999999996</cx:pt>
          <cx:pt idx="45">6.7999999999999998</cx:pt>
          <cx:pt idx="46">6.3700000000000001</cx:pt>
          <cx:pt idx="47">6.6200000000000001</cx:pt>
          <cx:pt idx="48">6.6600000000000001</cx:pt>
          <cx:pt idx="49">6.2199999999999998</cx:pt>
          <cx:pt idx="50">7.1600000000000001</cx:pt>
          <cx:pt idx="51">6.9299999999999997</cx:pt>
          <cx:pt idx="52">7.1299999999999999</cx:pt>
          <cx:pt idx="53">7.0700000000000003</cx:pt>
          <cx:pt idx="54">6.7199999999999998</cx:pt>
          <cx:pt idx="55">7.1100000000000003</cx:pt>
          <cx:pt idx="56">6.1100000000000003</cx:pt>
          <cx:pt idx="57">6.2400000000000002</cx:pt>
          <cx:pt idx="58">6.0499999999999998</cx:pt>
          <cx:pt idx="59">6.3899999999999997</cx:pt>
          <cx:pt idx="60">6.4699999999999998</cx:pt>
          <cx:pt idx="61">6.3300000000000001</cx:pt>
          <cx:pt idx="62">6.9900000000000002</cx:pt>
          <cx:pt idx="63">6.4299999999999997</cx:pt>
          <cx:pt idx="64">6.3399999999999999</cx:pt>
          <cx:pt idx="65">6.6500000000000004</cx:pt>
          <cx:pt idx="66">6.1699999999999999</cx:pt>
          <cx:pt idx="67">6.96</cx:pt>
          <cx:pt idx="68">6.0899999999999999</cx:pt>
          <cx:pt idx="69">7.1799999999999997</cx:pt>
          <cx:pt idx="70">6.9299999999999997</cx:pt>
          <cx:pt idx="71">6.2400000000000002</cx:pt>
          <cx:pt idx="72">6.0099999999999998</cx:pt>
          <cx:pt idx="73">6.9800000000000004</cx:pt>
          <cx:pt idx="74">6.8499999999999996</cx:pt>
          <cx:pt idx="75">6.8700000000000001</cx:pt>
          <cx:pt idx="76">6.9299999999999997</cx:pt>
          <cx:pt idx="77">6.0899999999999999</cx:pt>
          <cx:pt idx="78">6.4299999999999997</cx:pt>
          <cx:pt idx="79">6.1399999999999997</cx:pt>
          <cx:pt idx="80">7.04</cx:pt>
          <cx:pt idx="81">6.75</cx:pt>
          <cx:pt idx="82">6.4000000000000004</cx:pt>
          <cx:pt idx="83">6.0800000000000001</cx:pt>
          <cx:pt idx="84">6.3700000000000001</cx:pt>
          <cx:pt idx="85">6.3899999999999997</cx:pt>
          <cx:pt idx="86">6.8799999999999999</cx:pt>
          <cx:pt idx="87">6.7699999999999996</cx:pt>
          <cx:pt idx="88">7.0599999999999996</cx:pt>
          <cx:pt idx="89">6.5700000000000003</cx:pt>
          <cx:pt idx="90">6.1399999999999997</cx:pt>
          <cx:pt idx="91">6.8600000000000003</cx:pt>
          <cx:pt idx="92">6.9100000000000001</cx:pt>
          <cx:pt idx="93">6.6699999999999999</cx:pt>
          <cx:pt idx="94">6.9299999999999997</cx:pt>
          <cx:pt idx="95">6.5899999999999999</cx:pt>
          <cx:pt idx="96">6.6299999999999999</cx:pt>
          <cx:pt idx="97">6.5099999999999998</cx:pt>
          <cx:pt idx="98">6.0300000000000002</cx:pt>
          <cx:pt idx="99">6.1299999999999999</cx:pt>
          <cx:pt idx="100">4.8300000000000001</cx:pt>
          <cx:pt idx="101">5.5</cx:pt>
          <cx:pt idx="102">5.1500000000000004</cx:pt>
          <cx:pt idx="103">5.3600000000000003</cx:pt>
          <cx:pt idx="104">5.7999999999999998</cx:pt>
          <cx:pt idx="105">5.0700000000000003</cx:pt>
          <cx:pt idx="106">5.25</cx:pt>
          <cx:pt idx="107">5.6299999999999999</cx:pt>
          <cx:pt idx="108">5.0499999999999998</cx:pt>
          <cx:pt idx="109">4.8799999999999999</cx:pt>
          <cx:pt idx="110">5.1200000000000001</cx:pt>
          <cx:pt idx="111">4.9800000000000004</cx:pt>
          <cx:pt idx="112">5.8200000000000003</cx:pt>
          <cx:pt idx="113">5.6900000000000004</cx:pt>
          <cx:pt idx="114">5.5</cx:pt>
          <cx:pt idx="115">5.7599999999999998</cx:pt>
          <cx:pt idx="116">5.6799999999999997</cx:pt>
          <cx:pt idx="117">5.0099999999999998</cx:pt>
          <cx:pt idx="118">5.7800000000000002</cx:pt>
          <cx:pt idx="119">5.3899999999999997</cx:pt>
          <cx:pt idx="120">5.6900000000000004</cx:pt>
          <cx:pt idx="121">5.79</cx:pt>
          <cx:pt idx="122">5.1500000000000004</cx:pt>
          <cx:pt idx="123">4.9199999999999999</cx:pt>
          <cx:pt idx="124">5.0499999999999998</cx:pt>
          <cx:pt idx="125">5.2699999999999996</cx:pt>
          <cx:pt idx="126">5.7000000000000002</cx:pt>
          <cx:pt idx="127">5.75</cx:pt>
          <cx:pt idx="128">4.8099999999999996</cx:pt>
          <cx:pt idx="129">5.3600000000000003</cx:pt>
          <cx:pt idx="130">5.2599999999999998</cx:pt>
          <cx:pt idx="131">5.04</cx:pt>
          <cx:pt idx="132">4.9299999999999997</cx:pt>
          <cx:pt idx="133">5.1699999999999999</cx:pt>
          <cx:pt idx="134">5.8399999999999999</cx:pt>
          <cx:pt idx="135">5.1600000000000001</cx:pt>
          <cx:pt idx="136">5.3700000000000001</cx:pt>
          <cx:pt idx="137">5.5700000000000003</cx:pt>
          <cx:pt idx="138">5.2000000000000002</cx:pt>
          <cx:pt idx="139">5.8700000000000001</cx:pt>
          <cx:pt idx="140">5.8600000000000003</cx:pt>
          <cx:pt idx="141">5.0800000000000001</cx:pt>
          <cx:pt idx="142">5.3499999999999996</cx:pt>
          <cx:pt idx="143">5.1299999999999999</cx:pt>
          <cx:pt idx="144">5.1100000000000003</cx:pt>
          <cx:pt idx="145">4.8399999999999999</cx:pt>
          <cx:pt idx="146">5.4699999999999998</cx:pt>
          <cx:pt idx="147">5.3499999999999996</cx:pt>
          <cx:pt idx="148">4.8600000000000003</cx:pt>
          <cx:pt idx="149">5.1100000000000003</cx:pt>
          <cx:pt idx="150">5.7999999999999998</cx:pt>
          <cx:pt idx="151">5.0599999999999996</cx:pt>
          <cx:pt idx="152">4.96</cx:pt>
          <cx:pt idx="153">5.3399999999999999</cx:pt>
          <cx:pt idx="154">5.8799999999999999</cx:pt>
          <cx:pt idx="155">5.0700000000000003</cx:pt>
          <cx:pt idx="156">5.54</cx:pt>
          <cx:pt idx="157">5.6399999999999997</cx:pt>
          <cx:pt idx="158">5.0599999999999996</cx:pt>
          <cx:pt idx="159">5.5999999999999996</cx:pt>
          <cx:pt idx="160">5.2000000000000002</cx:pt>
          <cx:pt idx="161">5.5</cx:pt>
          <cx:pt idx="162">5.5</cx:pt>
          <cx:pt idx="163">5.3899999999999997</cx:pt>
          <cx:pt idx="164">4.9000000000000004</cx:pt>
          <cx:pt idx="165">5.7199999999999998</cx:pt>
          <cx:pt idx="166">5.1500000000000004</cx:pt>
          <cx:pt idx="167">5.0099999999999998</cx:pt>
          <cx:pt idx="168">4.8399999999999999</cx:pt>
          <cx:pt idx="169">5.4500000000000002</cx:pt>
          <cx:pt idx="170">5.5499999999999998</cx:pt>
          <cx:pt idx="171">4.8200000000000003</cx:pt>
          <cx:pt idx="172">5.3600000000000003</cx:pt>
          <cx:pt idx="173">5.0499999999999998</cx:pt>
          <cx:pt idx="174">5.5099999999999998</cx:pt>
          <cx:pt idx="175">4.9900000000000002</cx:pt>
          <cx:pt idx="176">5.5599999999999996</cx:pt>
          <cx:pt idx="177">5.2300000000000004</cx:pt>
          <cx:pt idx="178">5.8300000000000001</cx:pt>
          <cx:pt idx="179">4.9500000000000002</cx:pt>
          <cx:pt idx="180">5.1799999999999997</cx:pt>
          <cx:pt idx="181">4.9199999999999999</cx:pt>
          <cx:pt idx="182">5.8200000000000003</cx:pt>
          <cx:pt idx="183">5.7699999999999996</cx:pt>
          <cx:pt idx="184">5.0800000000000001</cx:pt>
          <cx:pt idx="185">5.5300000000000002</cx:pt>
          <cx:pt idx="186">5.7000000000000002</cx:pt>
          <cx:pt idx="187">5.4100000000000001</cx:pt>
          <cx:pt idx="188">5.3799999999999999</cx:pt>
          <cx:pt idx="189">5.0700000000000003</cx:pt>
          <cx:pt idx="190">4.9000000000000004</cx:pt>
          <cx:pt idx="191">5.79</cx:pt>
          <cx:pt idx="192">5.79</cx:pt>
          <cx:pt idx="193">5.5</cx:pt>
          <cx:pt idx="194">5.1699999999999999</cx:pt>
          <cx:pt idx="195">5.1799999999999997</cx:pt>
          <cx:pt idx="196">5.5999999999999996</cx:pt>
          <cx:pt idx="197">5.79</cx:pt>
          <cx:pt idx="198">5.7800000000000002</cx:pt>
          <cx:pt idx="199">5.6600000000000001</cx:pt>
        </cx:lvl>
      </cx:numDim>
    </cx:data>
  </cx:chartData>
  <cx:chart>
    <cx:title pos="t" align="ctr" overlay="0">
      <cx:tx>
        <cx:txData>
          <cx:v>HbA1c %</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HbA1c %</a:t>
          </a:r>
        </a:p>
      </cx:txPr>
    </cx:title>
    <cx:plotArea>
      <cx:plotAreaRegion>
        <cx:plotSurface>
          <cx:spPr>
            <a:ln>
              <a:solidFill>
                <a:schemeClr val="tx1"/>
              </a:solidFill>
            </a:ln>
          </cx:spPr>
        </cx:plotSurface>
        <cx:series layoutId="boxWhisker" uniqueId="{58AD0CEB-8095-45E3-AD68-8AC0C7B2A438}">
          <cx:tx>
            <cx:txData>
              <cx:f>'HbA1c_(%)'!$B$1</cx:f>
              <cx:v>Diabetic Status</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rich>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 </a:t>
                </a:r>
                <a:r>
                  <a:rPr lang="en-US" sz="1200" b="1" i="0" u="none" strike="noStrike" baseline="0">
                    <a:solidFill>
                      <a:sysClr val="windowText" lastClr="000000">
                        <a:lumMod val="65000"/>
                        <a:lumOff val="35000"/>
                      </a:sysClr>
                    </a:solidFill>
                    <a:latin typeface="Calibri"/>
                  </a:rPr>
                  <a:t>HbA1c %</a:t>
                </a:r>
              </a:p>
            </cx:rich>
          </cx:tx>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noFill/>
    </a:ln>
  </cx:spPr>
  <cx:clrMapOvr bg1="lt1" tx1="dk1" bg2="lt2" tx2="dk2" accent1="accent1" accent2="accent2" accent3="accent3" accent4="accent4" accent5="accent5" accent6="accent6" hlink="hlink" folHlink="folHlink"/>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DIASYSTOLIC_BP!$A$2:$A$201</cx:f>
        <cx:lvl ptCount="200">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pt idx="199">Non-GDM</cx:pt>
        </cx:lvl>
      </cx:strDim>
      <cx:numDim type="val">
        <cx:f>DIASYSTOLIC_BP!$B$2:$B$201</cx:f>
        <cx:lvl ptCount="200" formatCode="General">
          <cx:pt idx="0">76.299999999999997</cx:pt>
          <cx:pt idx="1">80.299999999999997</cx:pt>
          <cx:pt idx="2">80.599999999999994</cx:pt>
          <cx:pt idx="3">78.799999999999997</cx:pt>
          <cx:pt idx="4">81.400000000000006</cx:pt>
          <cx:pt idx="5">83.599999999999994</cx:pt>
          <cx:pt idx="6">89.5</cx:pt>
          <cx:pt idx="7">82.700000000000003</cx:pt>
          <cx:pt idx="8">83</cx:pt>
          <cx:pt idx="9">81.700000000000003</cx:pt>
          <cx:pt idx="10">74.299999999999997</cx:pt>
          <cx:pt idx="11">81.900000000000006</cx:pt>
          <cx:pt idx="12">82.200000000000003</cx:pt>
          <cx:pt idx="13">91.900000000000006</cx:pt>
          <cx:pt idx="14">81.200000000000003</cx:pt>
          <cx:pt idx="15">83.200000000000003</cx:pt>
          <cx:pt idx="16">81.900000000000006</cx:pt>
          <cx:pt idx="17">77.299999999999997</cx:pt>
          <cx:pt idx="18">86.599999999999994</cx:pt>
          <cx:pt idx="19">85</cx:pt>
          <cx:pt idx="20">85.200000000000003</cx:pt>
          <cx:pt idx="21">78.400000000000006</cx:pt>
          <cx:pt idx="22">87.599999999999994</cx:pt>
          <cx:pt idx="23">76.400000000000006</cx:pt>
          <cx:pt idx="24">84.299999999999997</cx:pt>
          <cx:pt idx="25">90.799999999999997</cx:pt>
          <cx:pt idx="26">78</cx:pt>
          <cx:pt idx="27">79.700000000000003</cx:pt>
          <cx:pt idx="28">82.400000000000006</cx:pt>
          <cx:pt idx="29">80</cx:pt>
          <cx:pt idx="30">75.799999999999997</cx:pt>
          <cx:pt idx="31">82.299999999999997</cx:pt>
          <cx:pt idx="32">77.799999999999997</cx:pt>
          <cx:pt idx="33">83.900000000000006</cx:pt>
          <cx:pt idx="34">78.299999999999997</cx:pt>
          <cx:pt idx="35">88.200000000000003</cx:pt>
          <cx:pt idx="36">78.900000000000006</cx:pt>
          <cx:pt idx="37">80.700000000000003</cx:pt>
          <cx:pt idx="38">85.299999999999997</cx:pt>
          <cx:pt idx="39">77.099999999999994</cx:pt>
          <cx:pt idx="40">82.900000000000006</cx:pt>
          <cx:pt idx="41">87.200000000000003</cx:pt>
          <cx:pt idx="42">75.599999999999994</cx:pt>
          <cx:pt idx="43">82.700000000000003</cx:pt>
          <cx:pt idx="44">83</cx:pt>
          <cx:pt idx="45">85.099999999999994</cx:pt>
          <cx:pt idx="46">77.099999999999994</cx:pt>
          <cx:pt idx="47">76.700000000000003</cx:pt>
          <cx:pt idx="48">84.099999999999994</cx:pt>
          <cx:pt idx="49">83.200000000000003</cx:pt>
          <cx:pt idx="50">83</cx:pt>
          <cx:pt idx="51">83.400000000000006</cx:pt>
          <cx:pt idx="52">79.299999999999997</cx:pt>
          <cx:pt idx="53">82.900000000000006</cx:pt>
          <cx:pt idx="54">83.200000000000003</cx:pt>
          <cx:pt idx="55">79.099999999999994</cx:pt>
          <cx:pt idx="56">89.5</cx:pt>
          <cx:pt idx="57">83.900000000000006</cx:pt>
          <cx:pt idx="58">77.200000000000003</cx:pt>
          <cx:pt idx="59">84.599999999999994</cx:pt>
          <cx:pt idx="60">78.099999999999994</cx:pt>
          <cx:pt idx="61">85.099999999999994</cx:pt>
          <cx:pt idx="62">86.599999999999994</cx:pt>
          <cx:pt idx="63">78.700000000000003</cx:pt>
          <cx:pt idx="64">85.900000000000006</cx:pt>
          <cx:pt idx="65">83.700000000000003</cx:pt>
          <cx:pt idx="66">85.299999999999997</cx:pt>
          <cx:pt idx="67">89.599999999999994</cx:pt>
          <cx:pt idx="68">81</cx:pt>
          <cx:pt idx="69">79</cx:pt>
          <cx:pt idx="70">78.400000000000006</cx:pt>
          <cx:pt idx="71">78.700000000000003</cx:pt>
          <cx:pt idx="72">81.700000000000003</cx:pt>
          <cx:pt idx="73">83.400000000000006</cx:pt>
          <cx:pt idx="74">83.099999999999994</cx:pt>
          <cx:pt idx="75">85.299999999999997</cx:pt>
          <cx:pt idx="76">82.099999999999994</cx:pt>
          <cx:pt idx="77">87.799999999999997</cx:pt>
          <cx:pt idx="78">80.900000000000006</cx:pt>
          <cx:pt idx="79">92.900000000000006</cx:pt>
          <cx:pt idx="80">84.5</cx:pt>
          <cx:pt idx="81">78.599999999999994</cx:pt>
          <cx:pt idx="82">77.700000000000003</cx:pt>
          <cx:pt idx="83">83.900000000000006</cx:pt>
          <cx:pt idx="84">81.099999999999994</cx:pt>
          <cx:pt idx="85">84.900000000000006</cx:pt>
          <cx:pt idx="86">83.900000000000006</cx:pt>
          <cx:pt idx="87">81.700000000000003</cx:pt>
          <cx:pt idx="88">78.599999999999994</cx:pt>
          <cx:pt idx="89">75.900000000000006</cx:pt>
          <cx:pt idx="90">80.200000000000003</cx:pt>
          <cx:pt idx="91">85.400000000000006</cx:pt>
          <cx:pt idx="92">82.900000000000006</cx:pt>
          <cx:pt idx="93">77</cx:pt>
          <cx:pt idx="94">82.700000000000003</cx:pt>
          <cx:pt idx="95">83.5</cx:pt>
          <cx:pt idx="96">78.5</cx:pt>
          <cx:pt idx="97">82.599999999999994</cx:pt>
          <cx:pt idx="98">82.200000000000003</cx:pt>
          <cx:pt idx="99">77.400000000000006</cx:pt>
          <cx:pt idx="100">72.700000000000003</cx:pt>
          <cx:pt idx="101">73.799999999999997</cx:pt>
          <cx:pt idx="102">79</cx:pt>
          <cx:pt idx="103">78.400000000000006</cx:pt>
          <cx:pt idx="104">75.900000000000006</cx:pt>
          <cx:pt idx="105">76.5</cx:pt>
          <cx:pt idx="106">81.099999999999994</cx:pt>
          <cx:pt idx="107">73.599999999999994</cx:pt>
          <cx:pt idx="108">78.200000000000003</cx:pt>
          <cx:pt idx="109">75.200000000000003</cx:pt>
          <cx:pt idx="110">75.099999999999994</cx:pt>
          <cx:pt idx="111">80.400000000000006</cx:pt>
          <cx:pt idx="112">79.299999999999997</cx:pt>
          <cx:pt idx="113">79.299999999999997</cx:pt>
          <cx:pt idx="114">81.200000000000003</cx:pt>
          <cx:pt idx="115">76.099999999999994</cx:pt>
          <cx:pt idx="116">78.700000000000003</cx:pt>
          <cx:pt idx="117">74.799999999999997</cx:pt>
          <cx:pt idx="118">77.299999999999997</cx:pt>
          <cx:pt idx="119">75.5</cx:pt>
          <cx:pt idx="120">76.400000000000006</cx:pt>
          <cx:pt idx="121">78.400000000000006</cx:pt>
          <cx:pt idx="122">72.700000000000003</cx:pt>
          <cx:pt idx="123">84.400000000000006</cx:pt>
          <cx:pt idx="124">72</cx:pt>
          <cx:pt idx="125">71.099999999999994</cx:pt>
          <cx:pt idx="126">80.599999999999994</cx:pt>
          <cx:pt idx="127">79.200000000000003</cx:pt>
          <cx:pt idx="128">78.5</cx:pt>
          <cx:pt idx="129">78.5</cx:pt>
          <cx:pt idx="130">76</cx:pt>
          <cx:pt idx="131">72.400000000000006</cx:pt>
          <cx:pt idx="132">76.299999999999997</cx:pt>
          <cx:pt idx="133">73.299999999999997</cx:pt>
          <cx:pt idx="134">79.900000000000006</cx:pt>
          <cx:pt idx="135">75.400000000000006</cx:pt>
          <cx:pt idx="136">72.700000000000003</cx:pt>
          <cx:pt idx="137">74.700000000000003</cx:pt>
          <cx:pt idx="138">77.700000000000003</cx:pt>
          <cx:pt idx="139">73.700000000000003</cx:pt>
          <cx:pt idx="140">72.700000000000003</cx:pt>
          <cx:pt idx="141">77</cx:pt>
          <cx:pt idx="142">77</cx:pt>
          <cx:pt idx="143">74</cx:pt>
          <cx:pt idx="144">74.099999999999994</cx:pt>
          <cx:pt idx="145">76.900000000000006</cx:pt>
          <cx:pt idx="146">70.200000000000003</cx:pt>
          <cx:pt idx="147">70.400000000000006</cx:pt>
          <cx:pt idx="148">73.099999999999994</cx:pt>
          <cx:pt idx="149">75.099999999999994</cx:pt>
          <cx:pt idx="150">77.200000000000003</cx:pt>
          <cx:pt idx="151">81.900000000000006</cx:pt>
          <cx:pt idx="152">79.400000000000006</cx:pt>
          <cx:pt idx="153">75.400000000000006</cx:pt>
          <cx:pt idx="154">75.900000000000006</cx:pt>
          <cx:pt idx="155">72</cx:pt>
          <cx:pt idx="156">75.900000000000006</cx:pt>
          <cx:pt idx="157">74.799999999999997</cx:pt>
          <cx:pt idx="158">77.299999999999997</cx:pt>
          <cx:pt idx="159">72.700000000000003</cx:pt>
          <cx:pt idx="160">78.099999999999994</cx:pt>
          <cx:pt idx="161">82.099999999999994</cx:pt>
          <cx:pt idx="162">75.599999999999994</cx:pt>
          <cx:pt idx="163">77.599999999999994</cx:pt>
          <cx:pt idx="164">78.799999999999997</cx:pt>
          <cx:pt idx="165">74.400000000000006</cx:pt>
          <cx:pt idx="166">76.900000000000006</cx:pt>
          <cx:pt idx="167">76.099999999999994</cx:pt>
          <cx:pt idx="168">76.400000000000006</cx:pt>
          <cx:pt idx="169">72.900000000000006</cx:pt>
          <cx:pt idx="170">76.099999999999994</cx:pt>
          <cx:pt idx="171">78</cx:pt>
          <cx:pt idx="172">81.799999999999997</cx:pt>
          <cx:pt idx="173">79.799999999999997</cx:pt>
          <cx:pt idx="174">84.599999999999994</cx:pt>
          <cx:pt idx="175">72.900000000000006</cx:pt>
          <cx:pt idx="176">79.5</cx:pt>
          <cx:pt idx="177">76.700000000000003</cx:pt>
          <cx:pt idx="178">84.799999999999997</cx:pt>
          <cx:pt idx="179">72.799999999999997</cx:pt>
          <cx:pt idx="180">72.599999999999994</cx:pt>
          <cx:pt idx="181">73.599999999999994</cx:pt>
          <cx:pt idx="182">67.5</cx:pt>
          <cx:pt idx="183">73.900000000000006</cx:pt>
          <cx:pt idx="184">73</cx:pt>
          <cx:pt idx="185">76.599999999999994</cx:pt>
          <cx:pt idx="186">77.400000000000006</cx:pt>
          <cx:pt idx="187">83.5</cx:pt>
          <cx:pt idx="188">79.799999999999997</cx:pt>
          <cx:pt idx="189">73.700000000000003</cx:pt>
          <cx:pt idx="190">72.400000000000006</cx:pt>
          <cx:pt idx="191">78</cx:pt>
          <cx:pt idx="192">70.700000000000003</cx:pt>
          <cx:pt idx="193">83.299999999999997</cx:pt>
          <cx:pt idx="194">80.700000000000003</cx:pt>
          <cx:pt idx="195">74.099999999999994</cx:pt>
          <cx:pt idx="196">69.099999999999994</cx:pt>
          <cx:pt idx="197">81.400000000000006</cx:pt>
          <cx:pt idx="198">75.5</cx:pt>
          <cx:pt idx="199">81</cx:pt>
        </cx:lvl>
      </cx:numDim>
    </cx:data>
  </cx:chartData>
  <cx:chart>
    <cx:title pos="t" align="ctr" overlay="0">
      <cx:tx>
        <cx:txData>
          <cx:v>Diasystolic BP(mmHg)</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Diasystolic BP(mmHg)</a:t>
          </a:r>
        </a:p>
      </cx:txPr>
    </cx:title>
    <cx:plotArea>
      <cx:plotAreaRegion>
        <cx:series layoutId="boxWhisker" uniqueId="{C82689AE-8F17-48C3-B5AC-A4F843F103DB}">
          <cx:tx>
            <cx:txData>
              <cx:f>DIASYSTOLIC_BP!$B$1</cx:f>
              <cx:v>Blood Pressure</cx:v>
            </cx:txData>
          </cx:tx>
          <cx:dataId val="0"/>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Blood Pressure</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Blood Pressure</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chart>
  <cx:spPr>
    <a:ln>
      <a:solidFill>
        <a:schemeClr val="tx1"/>
      </a:solidFill>
    </a:ln>
  </cx:spPr>
  <cx:clrMapOvr bg1="lt1" tx1="dk1" bg2="lt2" tx2="dk2" accent1="accent1" accent2="accent2" accent3="accent3" accent4="accent4" accent5="accent5" accent6="accent6" hlink="hlink" folHlink="folHlink"/>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Threhhold'!$B$2:$B$200</cx:f>
        <cx:lvl ptCount="199" formatCode="General">
          <cx:pt idx="0">101.06</cx:pt>
          <cx:pt idx="1">101.13</cx:pt>
          <cx:pt idx="2">96.670000000000002</cx:pt>
          <cx:pt idx="3">95.819999999999993</cx:pt>
          <cx:pt idx="4">102.52</cx:pt>
          <cx:pt idx="5">102.53</cx:pt>
          <cx:pt idx="6">103.27</cx:pt>
          <cx:pt idx="7">103.87</cx:pt>
          <cx:pt idx="8">98.650000000000006</cx:pt>
          <cx:pt idx="9">98.519999999999996</cx:pt>
          <cx:pt idx="10">102.38</cx:pt>
          <cx:pt idx="11">100.45</cx:pt>
          <cx:pt idx="12">101.13</cx:pt>
          <cx:pt idx="13">102.34999999999999</cx:pt>
          <cx:pt idx="14">103.56999999999999</cx:pt>
          <cx:pt idx="15">96.390000000000001</cx:pt>
          <cx:pt idx="16">96.879999999999995</cx:pt>
          <cx:pt idx="17">93.219999999999999</cx:pt>
          <cx:pt idx="18">99.519999999999996</cx:pt>
          <cx:pt idx="19">92.469999999999999</cx:pt>
          <cx:pt idx="20">98.049999999999997</cx:pt>
          <cx:pt idx="21">99.049999999999997</cx:pt>
          <cx:pt idx="22">95.730000000000004</cx:pt>
          <cx:pt idx="23">99.680000000000007</cx:pt>
          <cx:pt idx="24">92.400000000000006</cx:pt>
          <cx:pt idx="25">92.489999999999995</cx:pt>
          <cx:pt idx="26">102.69</cx:pt>
          <cx:pt idx="27">96.680000000000007</cx:pt>
          <cx:pt idx="28">93.650000000000006</cx:pt>
          <cx:pt idx="29">98.790000000000006</cx:pt>
          <cx:pt idx="30">102.01000000000001</cx:pt>
          <cx:pt idx="31">94.810000000000002</cx:pt>
          <cx:pt idx="32">100.09999999999999</cx:pt>
          <cx:pt idx="33">93.109999999999999</cx:pt>
          <cx:pt idx="34">92.670000000000002</cx:pt>
          <cx:pt idx="35">98.909999999999997</cx:pt>
          <cx:pt idx="36">99.030000000000001</cx:pt>
          <cx:pt idx="37">100.29000000000001</cx:pt>
          <cx:pt idx="38">101.44</cx:pt>
          <cx:pt idx="39">104.69</cx:pt>
          <cx:pt idx="40">98.709999999999994</cx:pt>
          <cx:pt idx="41">96.200000000000003</cx:pt>
          <cx:pt idx="42">102.34</cx:pt>
          <cx:pt idx="43">95.519999999999996</cx:pt>
          <cx:pt idx="44">97.709999999999994</cx:pt>
          <cx:pt idx="45">93.019999999999996</cx:pt>
          <cx:pt idx="46">92.329999999999998</cx:pt>
          <cx:pt idx="47">104.51000000000001</cx:pt>
          <cx:pt idx="48">102.87</cx:pt>
          <cx:pt idx="49">101.05</cx:pt>
          <cx:pt idx="50">97.319999999999993</cx:pt>
          <cx:pt idx="51">94.25</cx:pt>
          <cx:pt idx="52">94.030000000000001</cx:pt>
          <cx:pt idx="53">95.25</cx:pt>
          <cx:pt idx="54">99.140000000000001</cx:pt>
          <cx:pt idx="55">101.29000000000001</cx:pt>
          <cx:pt idx="56">100.58</cx:pt>
          <cx:pt idx="57">95.640000000000001</cx:pt>
          <cx:pt idx="58">104.41</cx:pt>
          <cx:pt idx="59">101.59</cx:pt>
          <cx:pt idx="60">99.209999999999994</cx:pt>
          <cx:pt idx="61">99.950000000000003</cx:pt>
          <cx:pt idx="62">97.450000000000003</cx:pt>
          <cx:pt idx="63">95.219999999999999</cx:pt>
          <cx:pt idx="64">96.629999999999995</cx:pt>
          <cx:pt idx="65">101.84999999999999</cx:pt>
          <cx:pt idx="66">92.189999999999998</cx:pt>
          <cx:pt idx="67">93.510000000000005</cx:pt>
          <cx:pt idx="68">92.599999999999994</cx:pt>
          <cx:pt idx="69">92.530000000000001</cx:pt>
          <cx:pt idx="70">103.12</cx:pt>
          <cx:pt idx="71">101.15000000000001</cx:pt>
          <cx:pt idx="72">98.159999999999997</cx:pt>
          <cx:pt idx="73">93.269999999999996</cx:pt>
          <cx:pt idx="74">98.390000000000001</cx:pt>
          <cx:pt idx="75">98.159999999999997</cx:pt>
          <cx:pt idx="76">94.25</cx:pt>
          <cx:pt idx="77">97.640000000000001</cx:pt>
          <cx:pt idx="78">97.180000000000007</cx:pt>
          <cx:pt idx="79">100.01000000000001</cx:pt>
          <cx:pt idx="80">100.26000000000001</cx:pt>
          <cx:pt idx="81">92.590000000000003</cx:pt>
          <cx:pt idx="82">96.870000000000005</cx:pt>
          <cx:pt idx="83">100.14</cx:pt>
          <cx:pt idx="84">98.540000000000006</cx:pt>
          <cx:pt idx="85">103.13</cx:pt>
          <cx:pt idx="86">100.56</cx:pt>
          <cx:pt idx="87">94.120000000000005</cx:pt>
          <cx:pt idx="88">92.920000000000002</cx:pt>
          <cx:pt idx="89">100.34999999999999</cx:pt>
          <cx:pt idx="90">92.340000000000003</cx:pt>
          <cx:pt idx="91">99.620000000000005</cx:pt>
          <cx:pt idx="92">104.22</cx:pt>
          <cx:pt idx="93">99.480000000000004</cx:pt>
          <cx:pt idx="94">97.049999999999997</cx:pt>
          <cx:pt idx="95">100.36</cx:pt>
          <cx:pt idx="96">97.959999999999994</cx:pt>
          <cx:pt idx="97">99.090000000000003</cx:pt>
          <cx:pt idx="98">104.23999999999999</cx:pt>
          <cx:pt idx="99">97.019999999999996</cx:pt>
          <cx:pt idx="100">91.049999999999997</cx:pt>
          <cx:pt idx="101">89.829999999999998</cx:pt>
          <cx:pt idx="102">74.290000000000006</cx:pt>
          <cx:pt idx="103">71.519999999999996</cx:pt>
          <cx:pt idx="104">72.209999999999994</cx:pt>
          <cx:pt idx="105">70.400000000000006</cx:pt>
          <cx:pt idx="106">72.069999999999993</cx:pt>
          <cx:pt idx="107">84.959999999999994</cx:pt>
          <cx:pt idx="108">71.560000000000002</cx:pt>
          <cx:pt idx="109">76.989999999999995</cx:pt>
          <cx:pt idx="110">88.5</cx:pt>
          <cx:pt idx="111">70.510000000000005</cx:pt>
          <cx:pt idx="112">87.840000000000003</cx:pt>
          <cx:pt idx="113">76.170000000000002</cx:pt>
          <cx:pt idx="114">72.590000000000003</cx:pt>
          <cx:pt idx="115">85.260000000000005</cx:pt>
          <cx:pt idx="116">83.769999999999996</cx:pt>
          <cx:pt idx="117">89.219999999999999</cx:pt>
          <cx:pt idx="118">86.099999999999994</cx:pt>
          <cx:pt idx="119">87.599999999999994</cx:pt>
          <cx:pt idx="120">76.180000000000007</cx:pt>
          <cx:pt idx="121">73.890000000000001</cx:pt>
          <cx:pt idx="122">86.439999999999998</cx:pt>
          <cx:pt idx="123">87.670000000000002</cx:pt>
          <cx:pt idx="124">91.689999999999998</cx:pt>
          <cx:pt idx="125">79.040000000000006</cx:pt>
          <cx:pt idx="126">78.150000000000006</cx:pt>
          <cx:pt idx="127">87</cx:pt>
          <cx:pt idx="128">77.459999999999994</cx:pt>
          <cx:pt idx="129">90.379999999999995</cx:pt>
          <cx:pt idx="130">88.799999999999997</cx:pt>
          <cx:pt idx="131">79.390000000000001</cx:pt>
          <cx:pt idx="132">86.439999999999998</cx:pt>
          <cx:pt idx="133">86.519999999999996</cx:pt>
          <cx:pt idx="134">72.260000000000005</cx:pt>
          <cx:pt idx="135">89.769999999999996</cx:pt>
          <cx:pt idx="136">81.069999999999993</cx:pt>
          <cx:pt idx="137">88.099999999999994</cx:pt>
          <cx:pt idx="138">77.010000000000005</cx:pt>
          <cx:pt idx="139">89.609999999999999</cx:pt>
          <cx:pt idx="140">78.519999999999996</cx:pt>
          <cx:pt idx="141">70.239999999999995</cx:pt>
          <cx:pt idx="142">89.829999999999998</cx:pt>
          <cx:pt idx="143">72</cx:pt>
          <cx:pt idx="144">76.989999999999995</cx:pt>
          <cx:pt idx="145">90.810000000000002</cx:pt>
          <cx:pt idx="146">90.819999999999993</cx:pt>
          <cx:pt idx="147">82.560000000000002</cx:pt>
          <cx:pt idx="148">83.840000000000003</cx:pt>
          <cx:pt idx="149">79.819999999999993</cx:pt>
          <cx:pt idx="150">76.420000000000002</cx:pt>
          <cx:pt idx="151">77.200000000000003</cx:pt>
          <cx:pt idx="152">84.730000000000004</cx:pt>
          <cx:pt idx="153">86.480000000000004</cx:pt>
          <cx:pt idx="154">87.340000000000003</cx:pt>
          <cx:pt idx="155">87.290000000000006</cx:pt>
          <cx:pt idx="156">72</cx:pt>
          <cx:pt idx="157">80.829999999999998</cx:pt>
          <cx:pt idx="158">71.260000000000005</cx:pt>
          <cx:pt idx="159">82.030000000000001</cx:pt>
          <cx:pt idx="160">79.670000000000002</cx:pt>
          <cx:pt idx="161">89.439999999999998</cx:pt>
          <cx:pt idx="162">77.689999999999998</cx:pt>
          <cx:pt idx="163">72.560000000000002</cx:pt>
          <cx:pt idx="164">73.129999999999995</cx:pt>
          <cx:pt idx="165">86.680000000000007</cx:pt>
          <cx:pt idx="166">83.540000000000006</cx:pt>
          <cx:pt idx="167">72.209999999999994</cx:pt>
          <cx:pt idx="168">71.840000000000003</cx:pt>
          <cx:pt idx="169">85.349999999999994</cx:pt>
          <cx:pt idx="170">71.590000000000003</cx:pt>
          <cx:pt idx="171">88</cx:pt>
          <cx:pt idx="172">85.469999999999999</cx:pt>
          <cx:pt idx="173">71.780000000000001</cx:pt>
          <cx:pt idx="174">71.859999999999999</cx:pt>
          <cx:pt idx="175">91.609999999999999</cx:pt>
          <cx:pt idx="176">78.200000000000003</cx:pt>
          <cx:pt idx="177">78.120000000000005</cx:pt>
          <cx:pt idx="178">87.799999999999997</cx:pt>
          <cx:pt idx="179">90.739999999999995</cx:pt>
          <cx:pt idx="180">91.590000000000003</cx:pt>
          <cx:pt idx="181">86.5</cx:pt>
          <cx:pt idx="182">78.239999999999995</cx:pt>
          <cx:pt idx="183">71.829999999999998</cx:pt>
          <cx:pt idx="184">87.019999999999996</cx:pt>
          <cx:pt idx="185">82.230000000000004</cx:pt>
          <cx:pt idx="186">79.290000000000006</cx:pt>
          <cx:pt idx="187">89.849999999999994</cx:pt>
          <cx:pt idx="188">72.439999999999998</cx:pt>
          <cx:pt idx="189">80.790000000000006</cx:pt>
          <cx:pt idx="190">70.25</cx:pt>
          <cx:pt idx="191">80.260000000000005</cx:pt>
          <cx:pt idx="192">71.230000000000004</cx:pt>
          <cx:pt idx="193">72.599999999999994</cx:pt>
          <cx:pt idx="194">72.569999999999993</cx:pt>
          <cx:pt idx="195">84.219999999999999</cx:pt>
          <cx:pt idx="196">86.340000000000003</cx:pt>
          <cx:pt idx="197">82.780000000000001</cx:pt>
          <cx:pt idx="198">91.069999999999993</cx:pt>
        </cx:lvl>
      </cx:numDim>
    </cx:data>
    <cx:data id="1">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Threhhold'!$C$2:$C$200</cx:f>
        <cx:lvl ptCount="199" formatCode="General">
          <cx:pt idx="0">197.37</cx:pt>
          <cx:pt idx="1">184.47</cx:pt>
          <cx:pt idx="2">199.25999999999999</cx:pt>
          <cx:pt idx="3">180.24000000000001</cx:pt>
          <cx:pt idx="4">199.40000000000001</cx:pt>
          <cx:pt idx="5">180.86000000000001</cx:pt>
          <cx:pt idx="6">197.81999999999999</cx:pt>
          <cx:pt idx="7">190.55000000000001</cx:pt>
          <cx:pt idx="8">199.86000000000001</cx:pt>
          <cx:pt idx="9">181.47999999999999</cx:pt>
          <cx:pt idx="10">191.08000000000001</cx:pt>
          <cx:pt idx="11">199.38999999999999</cx:pt>
          <cx:pt idx="12">190.46000000000001</cx:pt>
          <cx:pt idx="13">192.59</cx:pt>
          <cx:pt idx="14">193.91</cx:pt>
          <cx:pt idx="15">189.09</cx:pt>
          <cx:pt idx="16">192.55000000000001</cx:pt>
          <cx:pt idx="17">191.69</cx:pt>
          <cx:pt idx="18">198.02000000000001</cx:pt>
          <cx:pt idx="19">180.91</cx:pt>
          <cx:pt idx="20">185.62</cx:pt>
          <cx:pt idx="21">199.00999999999999</cx:pt>
          <cx:pt idx="22">197.81</cx:pt>
          <cx:pt idx="23">189.11000000000001</cx:pt>
          <cx:pt idx="24">192.40000000000001</cx:pt>
          <cx:pt idx="25">185.55000000000001</cx:pt>
          <cx:pt idx="26">183.75999999999999</cx:pt>
          <cx:pt idx="27">189.27000000000001</cx:pt>
          <cx:pt idx="28">187.06999999999999</cx:pt>
          <cx:pt idx="29">191.66999999999999</cx:pt>
          <cx:pt idx="30">181.55000000000001</cx:pt>
          <cx:pt idx="31">199.49000000000001</cx:pt>
          <cx:pt idx="32">199.72</cx:pt>
          <cx:pt idx="33">193.96000000000001</cx:pt>
          <cx:pt idx="34">190.72</cx:pt>
          <cx:pt idx="35">186.19</cx:pt>
          <cx:pt idx="36">196.28</cx:pt>
          <cx:pt idx="37">193.69</cx:pt>
          <cx:pt idx="38">183.25</cx:pt>
          <cx:pt idx="39">198.22</cx:pt>
          <cx:pt idx="40">196.44999999999999</cx:pt>
          <cx:pt idx="41">199</cx:pt>
          <cx:pt idx="42">194.50999999999999</cx:pt>
          <cx:pt idx="43">192.27000000000001</cx:pt>
          <cx:pt idx="44">188.36000000000001</cx:pt>
          <cx:pt idx="45">198.65000000000001</cx:pt>
          <cx:pt idx="46">197.31999999999999</cx:pt>
          <cx:pt idx="47">180.90000000000001</cx:pt>
          <cx:pt idx="48">180.53</cx:pt>
          <cx:pt idx="49">187.53</cx:pt>
          <cx:pt idx="50">196.21000000000001</cx:pt>
          <cx:pt idx="51">199.75</cx:pt>
          <cx:pt idx="52">183.00999999999999</cx:pt>
          <cx:pt idx="53">191.88</cx:pt>
          <cx:pt idx="54">187.62</cx:pt>
          <cx:pt idx="55">199.40000000000001</cx:pt>
          <cx:pt idx="56">196.84</cx:pt>
          <cx:pt idx="57">196.77000000000001</cx:pt>
          <cx:pt idx="58">189.37</cx:pt>
          <cx:pt idx="59">188.30000000000001</cx:pt>
          <cx:pt idx="60">185.47</cx:pt>
          <cx:pt idx="61">181.13</cx:pt>
          <cx:pt idx="62">197.28999999999999</cx:pt>
          <cx:pt idx="63">196.25999999999999</cx:pt>
          <cx:pt idx="64">199.99000000000001</cx:pt>
          <cx:pt idx="65">199.93000000000001</cx:pt>
          <cx:pt idx="66">191.11000000000001</cx:pt>
          <cx:pt idx="67">195.38</cx:pt>
          <cx:pt idx="68">198.90000000000001</cx:pt>
          <cx:pt idx="69">196.99000000000001</cx:pt>
          <cx:pt idx="70">184.94999999999999</cx:pt>
          <cx:pt idx="71">189.00999999999999</cx:pt>
          <cx:pt idx="72">182.58000000000001</cx:pt>
          <cx:pt idx="73">199.08000000000001</cx:pt>
          <cx:pt idx="74">192.12</cx:pt>
          <cx:pt idx="75">184.56999999999999</cx:pt>
          <cx:pt idx="76">193.43000000000001</cx:pt>
          <cx:pt idx="77">192.36000000000001</cx:pt>
          <cx:pt idx="78">187.16</cx:pt>
          <cx:pt idx="79">182.27000000000001</cx:pt>
          <cx:pt idx="80">193.43000000000001</cx:pt>
          <cx:pt idx="81">190.41</cx:pt>
          <cx:pt idx="82">195.44999999999999</cx:pt>
          <cx:pt idx="83">190.40000000000001</cx:pt>
          <cx:pt idx="84">197.03999999999999</cx:pt>
          <cx:pt idx="85">191.03999999999999</cx:pt>
          <cx:pt idx="86">191.22</cx:pt>
          <cx:pt idx="87">197.53</cx:pt>
          <cx:pt idx="88">188.06999999999999</cx:pt>
          <cx:pt idx="89">182.68000000000001</cx:pt>
          <cx:pt idx="90">180.58000000000001</cx:pt>
          <cx:pt idx="91">195.09999999999999</cx:pt>
          <cx:pt idx="92">192.41</cx:pt>
          <cx:pt idx="93">194.08000000000001</cx:pt>
          <cx:pt idx="94">184.25999999999999</cx:pt>
          <cx:pt idx="95">182.72999999999999</cx:pt>
          <cx:pt idx="96">180.28999999999999</cx:pt>
          <cx:pt idx="97">187.00999999999999</cx:pt>
          <cx:pt idx="98">191.80000000000001</cx:pt>
          <cx:pt idx="99">187.84</cx:pt>
          <cx:pt idx="100">146.19999999999999</cx:pt>
          <cx:pt idx="101">174.16</cx:pt>
          <cx:pt idx="102">140.86000000000001</cx:pt>
          <cx:pt idx="103">150.78999999999999</cx:pt>
          <cx:pt idx="104">166.94</cx:pt>
          <cx:pt idx="105">143.75</cx:pt>
          <cx:pt idx="106">157.25999999999999</cx:pt>
          <cx:pt idx="107">171.66</cx:pt>
          <cx:pt idx="108">176.88</cx:pt>
          <cx:pt idx="109">128.81</cx:pt>
          <cx:pt idx="110">175.5</cx:pt>
          <cx:pt idx="111">149.47999999999999</cx:pt>
          <cx:pt idx="112">135.47</cx:pt>
          <cx:pt idx="113">147.5</cx:pt>
          <cx:pt idx="114">178.69999999999999</cx:pt>
          <cx:pt idx="115">149.50999999999999</cx:pt>
          <cx:pt idx="116">139.69</cx:pt>
          <cx:pt idx="117">157.94</cx:pt>
          <cx:pt idx="118">134.38</cx:pt>
          <cx:pt idx="119">124.54000000000001</cx:pt>
          <cx:pt idx="120">127.72</cx:pt>
          <cx:pt idx="121">127.67</cx:pt>
          <cx:pt idx="122">129.09999999999999</cx:pt>
          <cx:pt idx="123">128.31999999999999</cx:pt>
          <cx:pt idx="124">158.38999999999999</cx:pt>
          <cx:pt idx="125">130.88999999999999</cx:pt>
          <cx:pt idx="126">140.71000000000001</cx:pt>
          <cx:pt idx="127">173.72</cx:pt>
          <cx:pt idx="128">148.38999999999999</cx:pt>
          <cx:pt idx="129">159.99000000000001</cx:pt>
          <cx:pt idx="130">130.31999999999999</cx:pt>
          <cx:pt idx="131">131.52000000000001</cx:pt>
          <cx:pt idx="132">122.45</cx:pt>
          <cx:pt idx="133">130.12</cx:pt>
          <cx:pt idx="134">136.69</cx:pt>
          <cx:pt idx="135">130.59999999999999</cx:pt>
          <cx:pt idx="136">125.31</cx:pt>
          <cx:pt idx="137">127.23</cx:pt>
          <cx:pt idx="138">147.59999999999999</cx:pt>
          <cx:pt idx="139">132.36000000000001</cx:pt>
          <cx:pt idx="140">141.81999999999999</cx:pt>
          <cx:pt idx="141">150.15000000000001</cx:pt>
          <cx:pt idx="142">161.34999999999999</cx:pt>
          <cx:pt idx="143">122.34999999999999</cx:pt>
          <cx:pt idx="144">167.88</cx:pt>
          <cx:pt idx="145">157.61000000000001</cx:pt>
          <cx:pt idx="146">124.90000000000001</cx:pt>
          <cx:pt idx="147">172.33000000000001</cx:pt>
          <cx:pt idx="148">175.16</cx:pt>
          <cx:pt idx="149">123.66</cx:pt>
          <cx:pt idx="150">136.58000000000001</cx:pt>
          <cx:pt idx="151">168.28999999999999</cx:pt>
          <cx:pt idx="152">164.81999999999999</cx:pt>
          <cx:pt idx="153">131.05000000000001</cx:pt>
          <cx:pt idx="154">132.53999999999999</cx:pt>
          <cx:pt idx="155">142.19</cx:pt>
          <cx:pt idx="156">149.02000000000001</cx:pt>
          <cx:pt idx="157">157.03</cx:pt>
          <cx:pt idx="158">142.09999999999999</cx:pt>
          <cx:pt idx="159">147.71000000000001</cx:pt>
          <cx:pt idx="160">164.77000000000001</cx:pt>
          <cx:pt idx="161">122.2</cx:pt>
          <cx:pt idx="162">135.12</cx:pt>
          <cx:pt idx="163">162.72999999999999</cx:pt>
          <cx:pt idx="164">173.62</cx:pt>
          <cx:pt idx="165">150.65000000000001</cx:pt>
          <cx:pt idx="166">151.87</cx:pt>
          <cx:pt idx="167">126.42</cx:pt>
          <cx:pt idx="168">146.80000000000001</cx:pt>
          <cx:pt idx="169">151.90000000000001</cx:pt>
          <cx:pt idx="170">134.52000000000001</cx:pt>
          <cx:pt idx="171">136.13</cx:pt>
          <cx:pt idx="172">142.59999999999999</cx:pt>
          <cx:pt idx="173">121.2</cx:pt>
          <cx:pt idx="174">139.28999999999999</cx:pt>
          <cx:pt idx="175">132.66999999999999</cx:pt>
          <cx:pt idx="176">139.62</cx:pt>
          <cx:pt idx="177">127.17</cx:pt>
          <cx:pt idx="178">173.34</cx:pt>
          <cx:pt idx="179">155.56</cx:pt>
          <cx:pt idx="180">160.68000000000001</cx:pt>
          <cx:pt idx="181">167.27000000000001</cx:pt>
          <cx:pt idx="182">149.86000000000001</cx:pt>
          <cx:pt idx="183">125.20999999999999</cx:pt>
          <cx:pt idx="184">152.16999999999999</cx:pt>
          <cx:pt idx="185">155.15000000000001</cx:pt>
          <cx:pt idx="186">164.65000000000001</cx:pt>
          <cx:pt idx="187">145.86000000000001</cx:pt>
          <cx:pt idx="188">127.64</cx:pt>
          <cx:pt idx="189">137</cx:pt>
          <cx:pt idx="190">141.75</cx:pt>
          <cx:pt idx="191">158.69</cx:pt>
          <cx:pt idx="192">154.19</cx:pt>
          <cx:pt idx="193">141.33000000000001</cx:pt>
          <cx:pt idx="194">179.09</cx:pt>
          <cx:pt idx="195">156.28999999999999</cx:pt>
          <cx:pt idx="196">134.21000000000001</cx:pt>
          <cx:pt idx="197">126.09999999999999</cx:pt>
          <cx:pt idx="198">129.16</cx:pt>
        </cx:lvl>
      </cx:numDim>
    </cx:data>
    <cx:data id="2">
      <cx:strDim type="cat">
        <cx:f>'OGTT 3 Threhhold'!$A$2:$A$200</cx:f>
        <cx:lvl ptCount="199">
          <cx:pt idx="0">GDM</cx:pt>
          <cx:pt idx="1">GDM</cx:pt>
          <cx:pt idx="2">GDM</cx:pt>
          <cx:pt idx="3">GDM</cx:pt>
          <cx:pt idx="4">GDM</cx:pt>
          <cx:pt idx="5">GDM</cx:pt>
          <cx:pt idx="6">GDM</cx:pt>
          <cx:pt idx="7">GDM</cx:pt>
          <cx:pt idx="8">GDM</cx:pt>
          <cx:pt idx="9">GDM</cx:pt>
          <cx:pt idx="10">GDM</cx:pt>
          <cx:pt idx="11">GDM</cx:pt>
          <cx:pt idx="12">GDM</cx:pt>
          <cx:pt idx="13">GDM</cx:pt>
          <cx:pt idx="14">GDM</cx:pt>
          <cx:pt idx="15">GDM</cx:pt>
          <cx:pt idx="16">GDM</cx:pt>
          <cx:pt idx="17">GDM</cx:pt>
          <cx:pt idx="18">GDM</cx:pt>
          <cx:pt idx="19">GDM</cx:pt>
          <cx:pt idx="20">GDM</cx:pt>
          <cx:pt idx="21">GDM</cx:pt>
          <cx:pt idx="22">GDM</cx:pt>
          <cx:pt idx="23">GDM</cx:pt>
          <cx:pt idx="24">GDM</cx:pt>
          <cx:pt idx="25">GDM</cx:pt>
          <cx:pt idx="26">GDM</cx:pt>
          <cx:pt idx="27">GDM</cx:pt>
          <cx:pt idx="28">GDM</cx:pt>
          <cx:pt idx="29">GDM</cx:pt>
          <cx:pt idx="30">GDM</cx:pt>
          <cx:pt idx="31">GDM</cx:pt>
          <cx:pt idx="32">GDM</cx:pt>
          <cx:pt idx="33">GDM</cx:pt>
          <cx:pt idx="34">GDM</cx:pt>
          <cx:pt idx="35">GDM</cx:pt>
          <cx:pt idx="36">GDM</cx:pt>
          <cx:pt idx="37">GDM</cx:pt>
          <cx:pt idx="38">GDM</cx:pt>
          <cx:pt idx="39">GDM</cx:pt>
          <cx:pt idx="40">GDM</cx:pt>
          <cx:pt idx="41">GDM</cx:pt>
          <cx:pt idx="42">GDM</cx:pt>
          <cx:pt idx="43">GDM</cx:pt>
          <cx:pt idx="44">GDM</cx:pt>
          <cx:pt idx="45">GDM</cx:pt>
          <cx:pt idx="46">GDM</cx:pt>
          <cx:pt idx="47">GDM</cx:pt>
          <cx:pt idx="48">GDM</cx:pt>
          <cx:pt idx="49">GDM</cx:pt>
          <cx:pt idx="50">GDM</cx:pt>
          <cx:pt idx="51">GDM</cx:pt>
          <cx:pt idx="52">GDM</cx:pt>
          <cx:pt idx="53">GDM</cx:pt>
          <cx:pt idx="54">GDM</cx:pt>
          <cx:pt idx="55">GDM</cx:pt>
          <cx:pt idx="56">GDM</cx:pt>
          <cx:pt idx="57">GDM</cx:pt>
          <cx:pt idx="58">GDM</cx:pt>
          <cx:pt idx="59">GDM</cx:pt>
          <cx:pt idx="60">GDM</cx:pt>
          <cx:pt idx="61">GDM</cx:pt>
          <cx:pt idx="62">GDM</cx:pt>
          <cx:pt idx="63">GDM</cx:pt>
          <cx:pt idx="64">GDM</cx:pt>
          <cx:pt idx="65">GDM</cx:pt>
          <cx:pt idx="66">GDM</cx:pt>
          <cx:pt idx="67">GDM</cx:pt>
          <cx:pt idx="68">GDM</cx:pt>
          <cx:pt idx="69">GDM</cx:pt>
          <cx:pt idx="70">GDM</cx:pt>
          <cx:pt idx="71">GDM</cx:pt>
          <cx:pt idx="72">GDM</cx:pt>
          <cx:pt idx="73">GDM</cx:pt>
          <cx:pt idx="74">GDM</cx:pt>
          <cx:pt idx="75">GDM</cx:pt>
          <cx:pt idx="76">GDM</cx:pt>
          <cx:pt idx="77">GDM</cx:pt>
          <cx:pt idx="78">GDM</cx:pt>
          <cx:pt idx="79">GDM</cx:pt>
          <cx:pt idx="80">GDM</cx:pt>
          <cx:pt idx="81">GDM</cx:pt>
          <cx:pt idx="82">GDM</cx:pt>
          <cx:pt idx="83">GDM</cx:pt>
          <cx:pt idx="84">GDM</cx:pt>
          <cx:pt idx="85">GDM</cx:pt>
          <cx:pt idx="86">GDM</cx:pt>
          <cx:pt idx="87">GDM</cx:pt>
          <cx:pt idx="88">GDM</cx:pt>
          <cx:pt idx="89">GDM</cx:pt>
          <cx:pt idx="90">GDM</cx:pt>
          <cx:pt idx="91">GDM</cx:pt>
          <cx:pt idx="92">GDM</cx:pt>
          <cx:pt idx="93">GDM</cx:pt>
          <cx:pt idx="94">GDM</cx:pt>
          <cx:pt idx="95">GDM</cx:pt>
          <cx:pt idx="96">GDM</cx:pt>
          <cx:pt idx="97">GDM</cx:pt>
          <cx:pt idx="98">GDM</cx:pt>
          <cx:pt idx="99">GDM</cx:pt>
          <cx:pt idx="100">Non-GDM</cx:pt>
          <cx:pt idx="101">Non-GDM</cx:pt>
          <cx:pt idx="102">Non-GDM</cx:pt>
          <cx:pt idx="103">Non-GDM</cx:pt>
          <cx:pt idx="104">Non-GDM</cx:pt>
          <cx:pt idx="105">Non-GDM</cx:pt>
          <cx:pt idx="106">Non-GDM</cx:pt>
          <cx:pt idx="107">Non-GDM</cx:pt>
          <cx:pt idx="108">Non-GDM</cx:pt>
          <cx:pt idx="109">Non-GDM</cx:pt>
          <cx:pt idx="110">Non-GDM</cx:pt>
          <cx:pt idx="111">Non-GDM</cx:pt>
          <cx:pt idx="112">Non-GDM</cx:pt>
          <cx:pt idx="113">Non-GDM</cx:pt>
          <cx:pt idx="114">Non-GDM</cx:pt>
          <cx:pt idx="115">Non-GDM</cx:pt>
          <cx:pt idx="116">Non-GDM</cx:pt>
          <cx:pt idx="117">Non-GDM</cx:pt>
          <cx:pt idx="118">Non-GDM</cx:pt>
          <cx:pt idx="119">Non-GDM</cx:pt>
          <cx:pt idx="120">Non-GDM</cx:pt>
          <cx:pt idx="121">Non-GDM</cx:pt>
          <cx:pt idx="122">Non-GDM</cx:pt>
          <cx:pt idx="123">Non-GDM</cx:pt>
          <cx:pt idx="124">Non-GDM</cx:pt>
          <cx:pt idx="125">Non-GDM</cx:pt>
          <cx:pt idx="126">Non-GDM</cx:pt>
          <cx:pt idx="127">Non-GDM</cx:pt>
          <cx:pt idx="128">Non-GDM</cx:pt>
          <cx:pt idx="129">Non-GDM</cx:pt>
          <cx:pt idx="130">Non-GDM</cx:pt>
          <cx:pt idx="131">Non-GDM</cx:pt>
          <cx:pt idx="132">Non-GDM</cx:pt>
          <cx:pt idx="133">Non-GDM</cx:pt>
          <cx:pt idx="134">Non-GDM</cx:pt>
          <cx:pt idx="135">Non-GDM</cx:pt>
          <cx:pt idx="136">Non-GDM</cx:pt>
          <cx:pt idx="137">Non-GDM</cx:pt>
          <cx:pt idx="138">Non-GDM</cx:pt>
          <cx:pt idx="139">Non-GDM</cx:pt>
          <cx:pt idx="140">Non-GDM</cx:pt>
          <cx:pt idx="141">Non-GDM</cx:pt>
          <cx:pt idx="142">Non-GDM</cx:pt>
          <cx:pt idx="143">Non-GDM</cx:pt>
          <cx:pt idx="144">Non-GDM</cx:pt>
          <cx:pt idx="145">Non-GDM</cx:pt>
          <cx:pt idx="146">Non-GDM</cx:pt>
          <cx:pt idx="147">Non-GDM</cx:pt>
          <cx:pt idx="148">Non-GDM</cx:pt>
          <cx:pt idx="149">Non-GDM</cx:pt>
          <cx:pt idx="150">Non-GDM</cx:pt>
          <cx:pt idx="151">Non-GDM</cx:pt>
          <cx:pt idx="152">Non-GDM</cx:pt>
          <cx:pt idx="153">Non-GDM</cx:pt>
          <cx:pt idx="154">Non-GDM</cx:pt>
          <cx:pt idx="155">Non-GDM</cx:pt>
          <cx:pt idx="156">Non-GDM</cx:pt>
          <cx:pt idx="157">Non-GDM</cx:pt>
          <cx:pt idx="158">Non-GDM</cx:pt>
          <cx:pt idx="159">Non-GDM</cx:pt>
          <cx:pt idx="160">Non-GDM</cx:pt>
          <cx:pt idx="161">Non-GDM</cx:pt>
          <cx:pt idx="162">Non-GDM</cx:pt>
          <cx:pt idx="163">Non-GDM</cx:pt>
          <cx:pt idx="164">Non-GDM</cx:pt>
          <cx:pt idx="165">Non-GDM</cx:pt>
          <cx:pt idx="166">Non-GDM</cx:pt>
          <cx:pt idx="167">Non-GDM</cx:pt>
          <cx:pt idx="168">Non-GDM</cx:pt>
          <cx:pt idx="169">Non-GDM</cx:pt>
          <cx:pt idx="170">Non-GDM</cx:pt>
          <cx:pt idx="171">Non-GDM</cx:pt>
          <cx:pt idx="172">Non-GDM</cx:pt>
          <cx:pt idx="173">Non-GDM</cx:pt>
          <cx:pt idx="174">Non-GDM</cx:pt>
          <cx:pt idx="175">Non-GDM</cx:pt>
          <cx:pt idx="176">Non-GDM</cx:pt>
          <cx:pt idx="177">Non-GDM</cx:pt>
          <cx:pt idx="178">Non-GDM</cx:pt>
          <cx:pt idx="179">Non-GDM</cx:pt>
          <cx:pt idx="180">Non-GDM</cx:pt>
          <cx:pt idx="181">Non-GDM</cx:pt>
          <cx:pt idx="182">Non-GDM</cx:pt>
          <cx:pt idx="183">Non-GDM</cx:pt>
          <cx:pt idx="184">Non-GDM</cx:pt>
          <cx:pt idx="185">Non-GDM</cx:pt>
          <cx:pt idx="186">Non-GDM</cx:pt>
          <cx:pt idx="187">Non-GDM</cx:pt>
          <cx:pt idx="188">Non-GDM</cx:pt>
          <cx:pt idx="189">Non-GDM</cx:pt>
          <cx:pt idx="190">Non-GDM</cx:pt>
          <cx:pt idx="191">Non-GDM</cx:pt>
          <cx:pt idx="192">Non-GDM</cx:pt>
          <cx:pt idx="193">Non-GDM</cx:pt>
          <cx:pt idx="194">Non-GDM</cx:pt>
          <cx:pt idx="195">Non-GDM</cx:pt>
          <cx:pt idx="196">Non-GDM</cx:pt>
          <cx:pt idx="197">Non-GDM</cx:pt>
          <cx:pt idx="198">Non-GDM</cx:pt>
        </cx:lvl>
      </cx:strDim>
      <cx:numDim type="val">
        <cx:f>'OGTT 3 Threhhold'!$D$2:$D$200</cx:f>
        <cx:lvl ptCount="199" formatCode="General">
          <cx:pt idx="0">156.16999999999999</cx:pt>
          <cx:pt idx="1">157.84999999999999</cx:pt>
          <cx:pt idx="2">155.94999999999999</cx:pt>
          <cx:pt idx="3">168.25</cx:pt>
          <cx:pt idx="4">154.36000000000001</cx:pt>
          <cx:pt idx="5">161.91999999999999</cx:pt>
          <cx:pt idx="6">159.97999999999999</cx:pt>
          <cx:pt idx="7">169.69999999999999</cx:pt>
          <cx:pt idx="8">154.90000000000001</cx:pt>
          <cx:pt idx="9">159.75999999999999</cx:pt>
          <cx:pt idx="10">169.47999999999999</cx:pt>
          <cx:pt idx="11">167.71000000000001</cx:pt>
          <cx:pt idx="12">166.88999999999999</cx:pt>
          <cx:pt idx="13">157.38</cx:pt>
          <cx:pt idx="14">155.91</cx:pt>
          <cx:pt idx="15">164.37</cx:pt>
          <cx:pt idx="16">168.80000000000001</cx:pt>
          <cx:pt idx="17">162.46000000000001</cx:pt>
          <cx:pt idx="18">162.72</cx:pt>
          <cx:pt idx="19">157.75999999999999</cx:pt>
          <cx:pt idx="20">166.08000000000001</cx:pt>
          <cx:pt idx="21">156.18000000000001</cx:pt>
          <cx:pt idx="22">158.5</cx:pt>
          <cx:pt idx="23">160.22999999999999</cx:pt>
          <cx:pt idx="24">161.63</cx:pt>
          <cx:pt idx="25">157.12</cx:pt>
          <cx:pt idx="26">154.94999999999999</cx:pt>
          <cx:pt idx="27">163.38</cx:pt>
          <cx:pt idx="28">157.91</cx:pt>
          <cx:pt idx="29">162.88</cx:pt>
          <cx:pt idx="30">155.62</cx:pt>
          <cx:pt idx="31">161.18000000000001</cx:pt>
          <cx:pt idx="32">162.05000000000001</cx:pt>
          <cx:pt idx="33">153.88</cx:pt>
          <cx:pt idx="34">158.72</cx:pt>
          <cx:pt idx="35">155.28999999999999</cx:pt>
          <cx:pt idx="36">154.08000000000001</cx:pt>
          <cx:pt idx="37">169.83000000000001</cx:pt>
          <cx:pt idx="38">158.47999999999999</cx:pt>
          <cx:pt idx="39">166.77000000000001</cx:pt>
          <cx:pt idx="40">157.33000000000001</cx:pt>
          <cx:pt idx="41">164.59</cx:pt>
          <cx:pt idx="42">165.91999999999999</cx:pt>
          <cx:pt idx="43">163.13</cx:pt>
          <cx:pt idx="44">161.02000000000001</cx:pt>
          <cx:pt idx="45">160</cx:pt>
          <cx:pt idx="46">158.93000000000001</cx:pt>
          <cx:pt idx="47">168.80000000000001</cx:pt>
          <cx:pt idx="48">167.12</cx:pt>
          <cx:pt idx="49">169.41</cx:pt>
          <cx:pt idx="50">155.11000000000001</cx:pt>
          <cx:pt idx="51">165.41999999999999</cx:pt>
          <cx:pt idx="52">168.94999999999999</cx:pt>
          <cx:pt idx="53">156.08000000000001</cx:pt>
          <cx:pt idx="54">154.13</cx:pt>
          <cx:pt idx="55">165.59999999999999</cx:pt>
          <cx:pt idx="56">162.77000000000001</cx:pt>
          <cx:pt idx="57">167.31</cx:pt>
          <cx:pt idx="58">155.38</cx:pt>
          <cx:pt idx="59">166.52000000000001</cx:pt>
          <cx:pt idx="60">156.43000000000001</cx:pt>
          <cx:pt idx="61">155.78</cx:pt>
          <cx:pt idx="62">155.78999999999999</cx:pt>
          <cx:pt idx="63">166.84999999999999</cx:pt>
          <cx:pt idx="64">164.31</cx:pt>
          <cx:pt idx="65">161.88999999999999</cx:pt>
          <cx:pt idx="66">159.09999999999999</cx:pt>
          <cx:pt idx="67">167.91</cx:pt>
          <cx:pt idx="68">159.66999999999999</cx:pt>
          <cx:pt idx="69">166.88</cx:pt>
          <cx:pt idx="70">160.47</cx:pt>
          <cx:pt idx="71">159.41</cx:pt>
          <cx:pt idx="72">160.87</cx:pt>
          <cx:pt idx="73">158.12</cx:pt>
          <cx:pt idx="74">165.71000000000001</cx:pt>
          <cx:pt idx="75">161.55000000000001</cx:pt>
          <cx:pt idx="76">156.94999999999999</cx:pt>
          <cx:pt idx="77">168.28999999999999</cx:pt>
          <cx:pt idx="78">159.53</cx:pt>
          <cx:pt idx="79">162.24000000000001</cx:pt>
          <cx:pt idx="80">168.41</cx:pt>
          <cx:pt idx="81">163.61000000000001</cx:pt>
          <cx:pt idx="82">154.99000000000001</cx:pt>
          <cx:pt idx="83">168.97999999999999</cx:pt>
          <cx:pt idx="84">163.66999999999999</cx:pt>
          <cx:pt idx="85">158.69</cx:pt>
          <cx:pt idx="86">155.37</cx:pt>
          <cx:pt idx="87">166.5</cx:pt>
          <cx:pt idx="88">163.53999999999999</cx:pt>
          <cx:pt idx="89">162.06999999999999</cx:pt>
          <cx:pt idx="90">168.19999999999999</cx:pt>
          <cx:pt idx="91">166.41</cx:pt>
          <cx:pt idx="92">155.58000000000001</cx:pt>
          <cx:pt idx="93">158.30000000000001</cx:pt>
          <cx:pt idx="94">157.22</cx:pt>
          <cx:pt idx="95">165.65000000000001</cx:pt>
          <cx:pt idx="96">153.56999999999999</cx:pt>
          <cx:pt idx="97">162.69</cx:pt>
          <cx:pt idx="98">165.96000000000001</cx:pt>
          <cx:pt idx="99">167.91</cx:pt>
          <cx:pt idx="100">124.68000000000001</cx:pt>
          <cx:pt idx="101">145.22999999999999</cx:pt>
          <cx:pt idx="102">114.75</cx:pt>
          <cx:pt idx="103">146.31</cx:pt>
          <cx:pt idx="104">115.47</cx:pt>
          <cx:pt idx="105">127.04000000000001</cx:pt>
          <cx:pt idx="106">144.19999999999999</cx:pt>
          <cx:pt idx="107">116.43000000000001</cx:pt>
          <cx:pt idx="108">119.83</cx:pt>
          <cx:pt idx="109">140.97999999999999</cx:pt>
          <cx:pt idx="110">140.88999999999999</cx:pt>
          <cx:pt idx="111">137.50999999999999</cx:pt>
          <cx:pt idx="112">139.77000000000001</cx:pt>
          <cx:pt idx="113">133.28</cx:pt>
          <cx:pt idx="114">120.8</cx:pt>
          <cx:pt idx="115">124.83</cx:pt>
          <cx:pt idx="116">117.79000000000001</cx:pt>
          <cx:pt idx="117">148.97</cx:pt>
          <cx:pt idx="118">135.03</cx:pt>
          <cx:pt idx="119">127.2</cx:pt>
          <cx:pt idx="120">129.81999999999999</cx:pt>
          <cx:pt idx="121">150.63999999999999</cx:pt>
          <cx:pt idx="122">116.58</cx:pt>
          <cx:pt idx="123">135.15000000000001</cx:pt>
          <cx:pt idx="124">131.69999999999999</cx:pt>
          <cx:pt idx="125">136.22999999999999</cx:pt>
          <cx:pt idx="126">110.78</cx:pt>
          <cx:pt idx="127">147.41</cx:pt>
          <cx:pt idx="128">149.99000000000001</cx:pt>
          <cx:pt idx="129">134.24000000000001</cx:pt>
          <cx:pt idx="130">139.88999999999999</cx:pt>
          <cx:pt idx="131">149.58000000000001</cx:pt>
          <cx:pt idx="132">140.34</cx:pt>
          <cx:pt idx="133">116.54000000000001</cx:pt>
          <cx:pt idx="134">134.72</cx:pt>
          <cx:pt idx="135">136.03</cx:pt>
          <cx:pt idx="136">128.19999999999999</cx:pt>
          <cx:pt idx="137">141.59</cx:pt>
          <cx:pt idx="138">150.08000000000001</cx:pt>
          <cx:pt idx="139">149.71000000000001</cx:pt>
          <cx:pt idx="140">129.34</cx:pt>
          <cx:pt idx="141">114.86</cx:pt>
          <cx:pt idx="142">152.25</cx:pt>
          <cx:pt idx="143">145.99000000000001</cx:pt>
          <cx:pt idx="144">115.34999999999999</cx:pt>
          <cx:pt idx="145">149.5</cx:pt>
          <cx:pt idx="146">147.31999999999999</cx:pt>
          <cx:pt idx="147">132.25999999999999</cx:pt>
          <cx:pt idx="148">135.37</cx:pt>
          <cx:pt idx="149">127.12</cx:pt>
          <cx:pt idx="150">112.34999999999999</cx:pt>
          <cx:pt idx="151">124.38</cx:pt>
          <cx:pt idx="152">144.44</cx:pt>
          <cx:pt idx="153">110.2</cx:pt>
          <cx:pt idx="154">124.31</cx:pt>
          <cx:pt idx="155">127.08</cx:pt>
          <cx:pt idx="156">133.05000000000001</cx:pt>
          <cx:pt idx="157">149.46000000000001</cx:pt>
          <cx:pt idx="158">124.86</cx:pt>
          <cx:pt idx="159">124.88</cx:pt>
          <cx:pt idx="160">141.63999999999999</cx:pt>
          <cx:pt idx="161">129.40000000000001</cx:pt>
          <cx:pt idx="162">119.64</cx:pt>
          <cx:pt idx="163">129.41</cx:pt>
          <cx:pt idx="164">116.04000000000001</cx:pt>
          <cx:pt idx="165">117.56999999999999</cx:pt>
          <cx:pt idx="166">131.38</cx:pt>
          <cx:pt idx="167">127.97</cx:pt>
          <cx:pt idx="168">149.25</cx:pt>
          <cx:pt idx="169">125.55</cx:pt>
          <cx:pt idx="170">134.91</cx:pt>
          <cx:pt idx="171">137.12</cx:pt>
          <cx:pt idx="172">110.56</cx:pt>
          <cx:pt idx="173">138.47</cx:pt>
          <cx:pt idx="174">117.64</cx:pt>
          <cx:pt idx="175">151.22999999999999</cx:pt>
          <cx:pt idx="176">116.38</cx:pt>
          <cx:pt idx="177">127.79000000000001</cx:pt>
          <cx:pt idx="178">113.66</cx:pt>
          <cx:pt idx="179">152.77000000000001</cx:pt>
          <cx:pt idx="180">131.53999999999999</cx:pt>
          <cx:pt idx="181">135.53999999999999</cx:pt>
          <cx:pt idx="182">112.88</cx:pt>
          <cx:pt idx="183">142.16999999999999</cx:pt>
          <cx:pt idx="184">119</cx:pt>
          <cx:pt idx="185">148.53</cx:pt>
          <cx:pt idx="186">118.8</cx:pt>
          <cx:pt idx="187">118.18000000000001</cx:pt>
          <cx:pt idx="188">111.56999999999999</cx:pt>
          <cx:pt idx="189">130.25</cx:pt>
          <cx:pt idx="190">134.22999999999999</cx:pt>
          <cx:pt idx="191">112.81999999999999</cx:pt>
          <cx:pt idx="192">143.27000000000001</cx:pt>
          <cx:pt idx="193">129.44999999999999</cx:pt>
          <cx:pt idx="194">132.5</cx:pt>
          <cx:pt idx="195">128.91</cx:pt>
          <cx:pt idx="196">127.19</cx:pt>
          <cx:pt idx="197">134.00999999999999</cx:pt>
          <cx:pt idx="198">116.66</cx:pt>
        </cx:lvl>
      </cx:numDim>
    </cx:data>
  </cx:chartData>
  <cx:chart>
    <cx:title pos="t" align="ctr" overlay="0">
      <cx:tx>
        <cx:txData>
          <cx:v>Oral Glucose Tolerance Test (mg/dl)</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a:rPr>
            <a:t>Oral Glucose Tolerance Test (mg/dl)</a:t>
          </a:r>
        </a:p>
      </cx:txPr>
    </cx:title>
    <cx:plotArea>
      <cx:plotAreaRegion>
        <cx:plotSurface>
          <cx:spPr>
            <a:ln>
              <a:solidFill>
                <a:schemeClr val="tx1"/>
              </a:solidFill>
            </a:ln>
          </cx:spPr>
        </cx:plotSurface>
        <cx:series layoutId="boxWhisker" uniqueId="{D4865CDE-AD63-4655-9F7F-9F8FF8128530}">
          <cx:tx>
            <cx:txData>
              <cx:f>'OGTT 3 Threhhold'!$B$1</cx:f>
              <cx:v>Fasting ≥92 mg/dL</cx:v>
            </cx:txData>
          </cx:tx>
          <cx:dataId val="0"/>
          <cx:layoutPr>
            <cx:visibility meanLine="0" meanMarker="1" nonoutliers="0" outliers="1"/>
            <cx:statistics quartileMethod="exclusive"/>
          </cx:layoutPr>
        </cx:series>
        <cx:series layoutId="boxWhisker" uniqueId="{F37EC80C-AF39-4820-A73D-CF75A05A86E8}">
          <cx:tx>
            <cx:txData>
              <cx:f>'OGTT 3 Threhhold'!$C$1</cx:f>
              <cx:v>1-hr ≥180 mg/dL</cx:v>
            </cx:txData>
          </cx:tx>
          <cx:dataId val="1"/>
          <cx:layoutPr>
            <cx:visibility meanLine="0" meanMarker="1" nonoutliers="0" outliers="1"/>
            <cx:statistics quartileMethod="exclusive"/>
          </cx:layoutPr>
        </cx:series>
        <cx:series layoutId="boxWhisker" uniqueId="{1A3D0468-8695-4A21-A9B3-B3CF0342458C}">
          <cx:tx>
            <cx:txData>
              <cx:f>'OGTT 3 Threhhold'!$D$1</cx:f>
              <cx:v>OGTT Level</cx:v>
            </cx:txData>
          </cx:tx>
          <cx:dataId val="2"/>
          <cx:layoutPr>
            <cx:visibility meanLine="0" meanMarker="1" nonoutliers="0" outliers="1"/>
            <cx:statistics quartileMethod="exclusive"/>
          </cx:layoutPr>
        </cx:series>
      </cx:plotAreaRegion>
      <cx:axis id="0">
        <cx:catScaling gapWidth="1"/>
        <cx:title>
          <cx:tx>
            <cx:txData>
              <cx:v>Diabetic Status</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Diabetic Status</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axis id="1">
        <cx:valScaling/>
        <cx:title>
          <cx:tx>
            <cx:txData>
              <cx:v>OGTT Level</cx:v>
            </cx:txData>
          </cx:tx>
          <cx:txPr>
            <a:bodyPr spcFirstLastPara="1" vertOverflow="ellipsis" horzOverflow="overflow" wrap="square" lIns="0" tIns="0" rIns="0" bIns="0" anchor="ctr" anchorCtr="1"/>
            <a:lstStyle/>
            <a:p>
              <a:pPr algn="ctr" rtl="0">
                <a:defRPr/>
              </a:pPr>
              <a:r>
                <a:rPr lang="en-US" sz="1200" b="1" i="0" u="none" strike="noStrike" baseline="0">
                  <a:solidFill>
                    <a:sysClr val="windowText" lastClr="000000">
                      <a:lumMod val="65000"/>
                      <a:lumOff val="35000"/>
                    </a:sysClr>
                  </a:solidFill>
                  <a:latin typeface="Calibri"/>
                </a:rPr>
                <a:t>OGTT Level</a:t>
              </a:r>
            </a:p>
          </cx:txPr>
        </cx:title>
        <cx:tickLabels/>
        <cx:txPr>
          <a:bodyPr spcFirstLastPara="1" vertOverflow="ellipsis" horzOverflow="overflow" wrap="square" lIns="0" tIns="0" rIns="0" bIns="0" anchor="ctr" anchorCtr="1"/>
          <a:lstStyle/>
          <a:p>
            <a:pPr algn="ctr" rtl="0">
              <a:defRPr b="1"/>
            </a:pPr>
            <a:endParaRPr lang="en-US" sz="900" b="1" i="0" u="none" strike="noStrike" baseline="0">
              <a:solidFill>
                <a:sysClr val="windowText" lastClr="000000">
                  <a:lumMod val="65000"/>
                  <a:lumOff val="35000"/>
                </a:sysClr>
              </a:solidFill>
              <a:latin typeface="Calibri"/>
            </a:endParaRPr>
          </a:p>
        </cx:txPr>
      </cx:axis>
    </cx:plotArea>
    <cx:legend pos="t" align="ctr" overlay="0"/>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34F2F-7496-4D58-A668-05308FB6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3890</Words>
  <Characters>23384</Characters>
  <Application>Microsoft Office Word</Application>
  <DocSecurity>0</DocSecurity>
  <Lines>556</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Samridhi Sharma</cp:lastModifiedBy>
  <cp:revision>25</cp:revision>
  <dcterms:created xsi:type="dcterms:W3CDTF">2025-08-21T04:28:00Z</dcterms:created>
  <dcterms:modified xsi:type="dcterms:W3CDTF">2025-08-26T16:46:00Z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144d920c-7703-46aa-ad52-c391ddfbd186</vt:lpwstr>
  </property>
</Properties>
</file>