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E3A3" w14:textId="0442F8DF" w:rsidR="00023427" w:rsidRDefault="00023427" w:rsidP="00023427">
      <w:pPr>
        <w:spacing w:line="360" w:lineRule="auto"/>
        <w:jc w:val="right"/>
        <w:rPr>
          <w:rFonts w:ascii="Arial" w:eastAsia="Times New Roman" w:hAnsi="Arial" w:cs="Arial"/>
          <w:b/>
          <w:bCs/>
          <w:sz w:val="36"/>
          <w:szCs w:val="36"/>
          <w:lang w:eastAsia="pt-BR"/>
        </w:rPr>
      </w:pPr>
      <w:r w:rsidRPr="00023427">
        <w:rPr>
          <w:rFonts w:ascii="Arial" w:eastAsia="Times New Roman" w:hAnsi="Arial" w:cs="Arial"/>
          <w:b/>
          <w:bCs/>
          <w:sz w:val="36"/>
          <w:szCs w:val="36"/>
          <w:lang w:eastAsia="pt-BR"/>
        </w:rPr>
        <w:t>Therapeutic Strategies Targeting the Endocrine-Metabolic-Immunological Response to Trauma: A Systematic Review</w:t>
      </w:r>
    </w:p>
    <w:p w14:paraId="20DBB485" w14:textId="77777777" w:rsidR="007A3BEE" w:rsidRDefault="007A3BEE" w:rsidP="00023427">
      <w:pPr>
        <w:spacing w:line="360" w:lineRule="auto"/>
        <w:jc w:val="right"/>
        <w:rPr>
          <w:rFonts w:ascii="Arial" w:eastAsia="Times New Roman" w:hAnsi="Arial" w:cs="Arial"/>
          <w:b/>
          <w:bCs/>
          <w:sz w:val="36"/>
          <w:szCs w:val="36"/>
          <w:lang w:eastAsia="pt-BR"/>
        </w:rPr>
      </w:pPr>
    </w:p>
    <w:p w14:paraId="1A362F96" w14:textId="77777777" w:rsidR="007A3BEE" w:rsidRPr="00023427" w:rsidRDefault="007A3BEE" w:rsidP="00023427">
      <w:pPr>
        <w:spacing w:line="360" w:lineRule="auto"/>
        <w:jc w:val="right"/>
        <w:rPr>
          <w:rFonts w:ascii="Arial" w:eastAsia="Times New Roman" w:hAnsi="Arial" w:cs="Arial"/>
          <w:b/>
          <w:bCs/>
          <w:sz w:val="36"/>
          <w:szCs w:val="36"/>
          <w:lang w:eastAsia="pt-BR"/>
        </w:rPr>
      </w:pPr>
    </w:p>
    <w:p w14:paraId="445AB4EA" w14:textId="77777777" w:rsidR="00023427" w:rsidRDefault="00023427" w:rsidP="00023427">
      <w:pPr>
        <w:spacing w:line="360" w:lineRule="auto"/>
        <w:rPr>
          <w:rFonts w:ascii="Arial" w:hAnsi="Arial" w:cs="Arial"/>
          <w:b/>
          <w:bCs/>
        </w:rPr>
      </w:pPr>
      <w:r w:rsidRPr="00BB74C5">
        <w:rPr>
          <w:rFonts w:ascii="Arial" w:hAnsi="Arial" w:cs="Arial"/>
          <w:b/>
          <w:bCs/>
        </w:rPr>
        <w:t>ABSTRACT</w:t>
      </w:r>
    </w:p>
    <w:p w14:paraId="7437943E" w14:textId="539E6D63" w:rsidR="00CC0D2A" w:rsidRDefault="00CC0D2A" w:rsidP="00023427">
      <w:pPr>
        <w:spacing w:line="360" w:lineRule="auto"/>
        <w:jc w:val="both"/>
        <w:rPr>
          <w:rFonts w:ascii="Arial" w:hAnsi="Arial" w:cs="Arial"/>
          <w:b/>
          <w:bCs/>
          <w:sz w:val="20"/>
          <w:szCs w:val="20"/>
        </w:rPr>
      </w:pPr>
      <w:r w:rsidRPr="006C2B37">
        <w:rPr>
          <w:rFonts w:ascii="Arial" w:hAnsi="Arial" w:cs="Arial"/>
          <w:b/>
          <w:bCs/>
          <w:sz w:val="20"/>
          <w:szCs w:val="20"/>
          <w:highlight w:val="yellow"/>
        </w:rPr>
        <w:t xml:space="preserve">Background: </w:t>
      </w:r>
      <w:r w:rsidR="009B5D20" w:rsidRPr="006C2B37">
        <w:rPr>
          <w:rFonts w:ascii="Arial" w:hAnsi="Arial" w:cs="Arial"/>
          <w:sz w:val="20"/>
          <w:szCs w:val="20"/>
          <w:highlight w:val="yellow"/>
        </w:rPr>
        <w:t>The Endocrine-Metabolic-Immunological Response to Trauma (REMIT) encompasses a complex set of physiological adaptations triggered immediately after trauma events—such as injury, surgery, burns, or haemorrhage—with the aim of restoring homeostasis, maintaining tissue perfusion, and providing the energy needed for survival</w:t>
      </w:r>
      <w:r w:rsidR="009B5D20">
        <w:rPr>
          <w:rFonts w:ascii="Arial" w:hAnsi="Arial" w:cs="Arial"/>
          <w:sz w:val="20"/>
          <w:szCs w:val="20"/>
        </w:rPr>
        <w:t>.</w:t>
      </w:r>
      <w:r w:rsidR="009B5D20" w:rsidRPr="00023427">
        <w:rPr>
          <w:rFonts w:ascii="Arial" w:hAnsi="Arial" w:cs="Arial"/>
          <w:sz w:val="20"/>
          <w:szCs w:val="20"/>
        </w:rPr>
        <w:t xml:space="preserve"> </w:t>
      </w:r>
    </w:p>
    <w:p w14:paraId="4BD9BDF3" w14:textId="779397E8"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Objective: </w:t>
      </w:r>
      <w:r w:rsidRPr="00023427">
        <w:rPr>
          <w:rFonts w:ascii="Arial" w:hAnsi="Arial" w:cs="Arial"/>
          <w:sz w:val="20"/>
          <w:szCs w:val="20"/>
        </w:rPr>
        <w:t>This systematic review aims to evaluate the clinical effectiveness, associated risks, and applicability of key therapeutic strategies designed to modulate the endocrine-metabolic-immunological response to trauma (REMIT). The analysis focuses on interventions targeting the endocrine, metabolic, and immunological axes in critically ill or polytraumatized adult patients.</w:t>
      </w:r>
    </w:p>
    <w:p w14:paraId="62681C06" w14:textId="502409AA" w:rsidR="00023427" w:rsidRPr="00023427" w:rsidRDefault="00BD6DD9" w:rsidP="00CA7A08">
      <w:pPr>
        <w:spacing w:line="360" w:lineRule="auto"/>
        <w:jc w:val="both"/>
        <w:rPr>
          <w:rFonts w:ascii="Arial" w:hAnsi="Arial" w:cs="Arial"/>
          <w:sz w:val="20"/>
          <w:szCs w:val="20"/>
        </w:rPr>
      </w:pPr>
      <w:r w:rsidRPr="006C2B37">
        <w:rPr>
          <w:rFonts w:ascii="Arial" w:hAnsi="Arial" w:cs="Arial"/>
          <w:b/>
          <w:bCs/>
          <w:sz w:val="20"/>
          <w:szCs w:val="20"/>
          <w:highlight w:val="yellow"/>
        </w:rPr>
        <w:t xml:space="preserve">Methodology: </w:t>
      </w:r>
      <w:r w:rsidRPr="006C2B37">
        <w:rPr>
          <w:rFonts w:ascii="Arial" w:hAnsi="Arial" w:cs="Arial"/>
          <w:sz w:val="20"/>
          <w:szCs w:val="20"/>
          <w:highlight w:val="yellow"/>
        </w:rPr>
        <w:t>A s</w:t>
      </w:r>
      <w:r w:rsidR="00023427" w:rsidRPr="006C2B37">
        <w:rPr>
          <w:rFonts w:ascii="Arial" w:hAnsi="Arial" w:cs="Arial"/>
          <w:sz w:val="20"/>
          <w:szCs w:val="20"/>
          <w:highlight w:val="yellow"/>
        </w:rPr>
        <w:t>ystematic</w:t>
      </w:r>
      <w:r w:rsidR="00023427" w:rsidRPr="00023427">
        <w:rPr>
          <w:rFonts w:ascii="Arial" w:hAnsi="Arial" w:cs="Arial"/>
          <w:sz w:val="20"/>
          <w:szCs w:val="20"/>
        </w:rPr>
        <w:t xml:space="preserve"> literature review</w:t>
      </w:r>
      <w:r>
        <w:rPr>
          <w:rFonts w:ascii="Arial" w:hAnsi="Arial" w:cs="Arial"/>
          <w:sz w:val="20"/>
          <w:szCs w:val="20"/>
        </w:rPr>
        <w:t xml:space="preserve"> </w:t>
      </w:r>
      <w:r w:rsidRPr="006C2B37">
        <w:rPr>
          <w:rFonts w:ascii="Arial" w:hAnsi="Arial" w:cs="Arial"/>
          <w:sz w:val="20"/>
          <w:szCs w:val="20"/>
          <w:highlight w:val="yellow"/>
        </w:rPr>
        <w:t>was conducted</w:t>
      </w:r>
      <w:r w:rsidR="00023427" w:rsidRPr="006C2B37">
        <w:rPr>
          <w:rFonts w:ascii="Arial" w:hAnsi="Arial" w:cs="Arial"/>
          <w:sz w:val="20"/>
          <w:szCs w:val="20"/>
          <w:highlight w:val="yellow"/>
        </w:rPr>
        <w:t>.</w:t>
      </w:r>
      <w:r>
        <w:rPr>
          <w:rFonts w:ascii="Arial" w:hAnsi="Arial" w:cs="Arial"/>
          <w:b/>
          <w:bCs/>
          <w:sz w:val="20"/>
          <w:szCs w:val="20"/>
        </w:rPr>
        <w:t xml:space="preserve"> </w:t>
      </w:r>
      <w:r w:rsidR="00023427" w:rsidRPr="006C2B37">
        <w:rPr>
          <w:rFonts w:ascii="Arial" w:hAnsi="Arial" w:cs="Arial"/>
          <w:sz w:val="20"/>
          <w:szCs w:val="20"/>
          <w:highlight w:val="yellow"/>
        </w:rPr>
        <w:t xml:space="preserve">Searches </w:t>
      </w:r>
      <w:r w:rsidRPr="006C2B37">
        <w:rPr>
          <w:rFonts w:ascii="Arial" w:hAnsi="Arial" w:cs="Arial"/>
          <w:sz w:val="20"/>
          <w:szCs w:val="20"/>
          <w:highlight w:val="yellow"/>
        </w:rPr>
        <w:t>were</w:t>
      </w:r>
      <w:r>
        <w:rPr>
          <w:rFonts w:ascii="Arial" w:hAnsi="Arial" w:cs="Arial"/>
          <w:sz w:val="20"/>
          <w:szCs w:val="20"/>
        </w:rPr>
        <w:t xml:space="preserve"> </w:t>
      </w:r>
      <w:r w:rsidR="00023427" w:rsidRPr="00023427">
        <w:rPr>
          <w:rFonts w:ascii="Arial" w:hAnsi="Arial" w:cs="Arial"/>
          <w:sz w:val="20"/>
          <w:szCs w:val="20"/>
        </w:rPr>
        <w:t>conducted in PubMed, SciELO, LILACS, BVS, and MEDLINE databases from January 2014 to April 2024.</w:t>
      </w:r>
      <w:r>
        <w:rPr>
          <w:rFonts w:ascii="Arial" w:hAnsi="Arial" w:cs="Arial"/>
          <w:b/>
          <w:bCs/>
          <w:sz w:val="20"/>
          <w:szCs w:val="20"/>
        </w:rPr>
        <w:t xml:space="preserve"> </w:t>
      </w:r>
      <w:r w:rsidR="00023427" w:rsidRPr="00023427">
        <w:rPr>
          <w:rFonts w:ascii="Arial" w:hAnsi="Arial" w:cs="Arial"/>
          <w:sz w:val="20"/>
          <w:szCs w:val="20"/>
        </w:rPr>
        <w:t xml:space="preserve">The review followed PRISMA guidelines. Included studies were original research (clinical trials, cohort studies, experimental models, and systematic reviews) involving adult patients with physical, surgical, or burn trauma. </w:t>
      </w:r>
      <w:r w:rsidR="00350B66" w:rsidRPr="006C2B37">
        <w:rPr>
          <w:rFonts w:ascii="Arial" w:hAnsi="Arial" w:cs="Arial"/>
          <w:sz w:val="20"/>
          <w:szCs w:val="20"/>
          <w:highlight w:val="yellow"/>
        </w:rPr>
        <w:t>Filters were applied to include only full-text studies published in Portuguese, English, or Spanish, involving human adults (≥18 years). Duplicates were removed using Mendeley reference manager.</w:t>
      </w:r>
      <w:r w:rsidR="00350B66">
        <w:rPr>
          <w:rFonts w:ascii="Arial" w:hAnsi="Arial" w:cs="Arial"/>
          <w:sz w:val="20"/>
          <w:szCs w:val="20"/>
        </w:rPr>
        <w:t xml:space="preserve"> </w:t>
      </w:r>
      <w:r w:rsidR="00023427" w:rsidRPr="00023427">
        <w:rPr>
          <w:rFonts w:ascii="Arial" w:hAnsi="Arial" w:cs="Arial"/>
          <w:sz w:val="20"/>
          <w:szCs w:val="20"/>
        </w:rPr>
        <w:t xml:space="preserve">Interventions </w:t>
      </w:r>
      <w:r w:rsidR="006C55A8" w:rsidRPr="006C2B37">
        <w:rPr>
          <w:rFonts w:ascii="Arial" w:hAnsi="Arial" w:cs="Arial"/>
          <w:sz w:val="20"/>
          <w:szCs w:val="20"/>
          <w:highlight w:val="yellow"/>
        </w:rPr>
        <w:t>analysed</w:t>
      </w:r>
      <w:r w:rsidR="006C55A8" w:rsidRPr="006C2B37">
        <w:rPr>
          <w:rFonts w:ascii="Arial" w:hAnsi="Arial" w:cs="Arial"/>
          <w:sz w:val="20"/>
          <w:szCs w:val="20"/>
          <w:highlight w:val="yellow"/>
        </w:rPr>
        <w:t xml:space="preserve"> </w:t>
      </w:r>
      <w:r w:rsidR="00023427" w:rsidRPr="006C2B37">
        <w:rPr>
          <w:rFonts w:ascii="Arial" w:hAnsi="Arial" w:cs="Arial"/>
          <w:sz w:val="20"/>
          <w:szCs w:val="20"/>
          <w:highlight w:val="yellow"/>
        </w:rPr>
        <w:t>included</w:t>
      </w:r>
      <w:r w:rsidR="00023427" w:rsidRPr="00023427">
        <w:rPr>
          <w:rFonts w:ascii="Arial" w:hAnsi="Arial" w:cs="Arial"/>
          <w:sz w:val="20"/>
          <w:szCs w:val="20"/>
        </w:rPr>
        <w:t xml:space="preserve"> glycemic control, nutrition, immunonutrition, beta-blockers, corticosteroids, antioxidants, and DAMP-targeting therapies. Selection, data extraction, and methodological quality assessment were independently conducted by two reviewers using appropriate tools (ROBIS, Cochrane, NOS).</w:t>
      </w:r>
    </w:p>
    <w:p w14:paraId="4F080006" w14:textId="5FB01D6E"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Results: </w:t>
      </w:r>
      <w:r w:rsidRPr="00023427">
        <w:rPr>
          <w:rFonts w:ascii="Arial" w:hAnsi="Arial" w:cs="Arial"/>
          <w:sz w:val="20"/>
          <w:szCs w:val="20"/>
        </w:rPr>
        <w:t>Out of 117 studies screened, 15 were included, covering diverse trauma types and interventions. Early enteral nutrition, immunonutrients, and beta-blockers demonstrated the most positive clinical impact, reducing infectious complications, organ dysfunction, and hospital stay. Experimental therapies like DAMP inhibition and mitochondrial modulation showed promise in animal models. Intensive glycemic control and corticosteroid use had limited benefits and posed risks such as hypoglycemia and immunosuppression. Treatment approaches varied widely depending on trauma type and severity.</w:t>
      </w:r>
    </w:p>
    <w:p w14:paraId="00F5CAF6" w14:textId="67D605CB"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Conclusion: </w:t>
      </w:r>
      <w:r w:rsidRPr="00023427">
        <w:rPr>
          <w:rFonts w:ascii="Arial" w:hAnsi="Arial" w:cs="Arial"/>
          <w:sz w:val="20"/>
          <w:szCs w:val="20"/>
        </w:rPr>
        <w:t xml:space="preserve">Effective modulation of REMIT requires integrated, </w:t>
      </w:r>
      <w:r w:rsidR="000F02D8" w:rsidRPr="006C2B37">
        <w:rPr>
          <w:rFonts w:ascii="Arial" w:hAnsi="Arial" w:cs="Arial"/>
          <w:sz w:val="20"/>
          <w:szCs w:val="20"/>
          <w:highlight w:val="yellow"/>
        </w:rPr>
        <w:t>individualised</w:t>
      </w:r>
      <w:r w:rsidR="000F02D8" w:rsidRPr="00023427">
        <w:rPr>
          <w:rFonts w:ascii="Arial" w:hAnsi="Arial" w:cs="Arial"/>
          <w:sz w:val="20"/>
          <w:szCs w:val="20"/>
        </w:rPr>
        <w:t xml:space="preserve"> </w:t>
      </w:r>
      <w:r w:rsidRPr="00023427">
        <w:rPr>
          <w:rFonts w:ascii="Arial" w:hAnsi="Arial" w:cs="Arial"/>
          <w:sz w:val="20"/>
          <w:szCs w:val="20"/>
        </w:rPr>
        <w:t xml:space="preserve">interventions. Early enteral nutrition and immunonutrition are supported by the strongest clinical evidence. </w:t>
      </w:r>
      <w:r w:rsidRPr="00023427">
        <w:rPr>
          <w:rFonts w:ascii="Arial" w:hAnsi="Arial" w:cs="Arial"/>
          <w:sz w:val="20"/>
          <w:szCs w:val="20"/>
        </w:rPr>
        <w:lastRenderedPageBreak/>
        <w:t xml:space="preserve">Further multicenter trials and biomarker development are needed to </w:t>
      </w:r>
      <w:r w:rsidR="000F02D8" w:rsidRPr="006C2B37">
        <w:rPr>
          <w:rFonts w:ascii="Arial" w:hAnsi="Arial" w:cs="Arial"/>
          <w:sz w:val="20"/>
          <w:szCs w:val="20"/>
          <w:highlight w:val="yellow"/>
        </w:rPr>
        <w:t>optimise</w:t>
      </w:r>
      <w:r w:rsidR="000F02D8" w:rsidRPr="00023427">
        <w:rPr>
          <w:rFonts w:ascii="Arial" w:hAnsi="Arial" w:cs="Arial"/>
          <w:sz w:val="20"/>
          <w:szCs w:val="20"/>
        </w:rPr>
        <w:t xml:space="preserve"> </w:t>
      </w:r>
      <w:r w:rsidRPr="00023427">
        <w:rPr>
          <w:rFonts w:ascii="Arial" w:hAnsi="Arial" w:cs="Arial"/>
          <w:sz w:val="20"/>
          <w:szCs w:val="20"/>
        </w:rPr>
        <w:t>therapeutic decision-making and improve outcomes in critical care.</w:t>
      </w:r>
    </w:p>
    <w:p w14:paraId="758FADEF" w14:textId="57493AB3" w:rsidR="00023427" w:rsidRPr="006C2B37" w:rsidRDefault="008B0F7C" w:rsidP="00023427">
      <w:pPr>
        <w:spacing w:line="360" w:lineRule="auto"/>
        <w:jc w:val="both"/>
        <w:rPr>
          <w:rFonts w:ascii="Arial" w:hAnsi="Arial" w:cs="Arial"/>
          <w:b/>
          <w:bCs/>
          <w:i/>
          <w:iCs/>
          <w:sz w:val="20"/>
          <w:szCs w:val="20"/>
        </w:rPr>
      </w:pPr>
      <w:r w:rsidRPr="006C2B37">
        <w:rPr>
          <w:rFonts w:ascii="Arial" w:hAnsi="Arial" w:cs="Arial"/>
          <w:b/>
          <w:bCs/>
          <w:sz w:val="20"/>
          <w:szCs w:val="20"/>
          <w:highlight w:val="yellow"/>
        </w:rPr>
        <w:t xml:space="preserve">Keywords: </w:t>
      </w:r>
      <w:r w:rsidR="00DC0FE9" w:rsidRPr="006C2B37">
        <w:rPr>
          <w:rFonts w:ascii="Arial" w:hAnsi="Arial" w:cs="Arial"/>
          <w:i/>
          <w:iCs/>
          <w:sz w:val="20"/>
          <w:szCs w:val="20"/>
          <w:highlight w:val="yellow"/>
        </w:rPr>
        <w:t>Endocrine-Metabolic-Immunological Response to Trauma</w:t>
      </w:r>
      <w:r w:rsidR="00DC0FE9" w:rsidRPr="006C2B37">
        <w:rPr>
          <w:rFonts w:ascii="Arial" w:hAnsi="Arial" w:cs="Arial"/>
          <w:i/>
          <w:iCs/>
          <w:sz w:val="20"/>
          <w:szCs w:val="20"/>
          <w:highlight w:val="yellow"/>
        </w:rPr>
        <w:t xml:space="preserve">, </w:t>
      </w:r>
      <w:r w:rsidR="00DC0FE9" w:rsidRPr="006C2B37">
        <w:rPr>
          <w:rFonts w:ascii="Arial" w:hAnsi="Arial" w:cs="Arial"/>
          <w:i/>
          <w:iCs/>
          <w:sz w:val="20"/>
          <w:szCs w:val="20"/>
          <w:highlight w:val="yellow"/>
        </w:rPr>
        <w:t>homeostasis</w:t>
      </w:r>
      <w:r w:rsidR="00DC0FE9" w:rsidRPr="006C2B37">
        <w:rPr>
          <w:rFonts w:ascii="Arial" w:hAnsi="Arial" w:cs="Arial"/>
          <w:i/>
          <w:iCs/>
          <w:sz w:val="20"/>
          <w:szCs w:val="20"/>
          <w:highlight w:val="yellow"/>
        </w:rPr>
        <w:t xml:space="preserve">, </w:t>
      </w:r>
      <w:r w:rsidR="00DC0FE9" w:rsidRPr="006C2B37">
        <w:rPr>
          <w:rFonts w:ascii="Arial" w:hAnsi="Arial" w:cs="Arial"/>
          <w:i/>
          <w:iCs/>
          <w:sz w:val="20"/>
          <w:szCs w:val="20"/>
          <w:highlight w:val="yellow"/>
        </w:rPr>
        <w:t>critical care</w:t>
      </w:r>
      <w:r w:rsidR="00DC0FE9" w:rsidRPr="006C2B37">
        <w:rPr>
          <w:rFonts w:ascii="Arial" w:hAnsi="Arial" w:cs="Arial"/>
          <w:i/>
          <w:iCs/>
          <w:sz w:val="20"/>
          <w:szCs w:val="20"/>
        </w:rPr>
        <w:t>,</w:t>
      </w:r>
      <w:r w:rsidR="00060C46" w:rsidRPr="006C2B37">
        <w:rPr>
          <w:rFonts w:ascii="Arial" w:hAnsi="Arial" w:cs="Arial"/>
          <w:i/>
          <w:iCs/>
          <w:sz w:val="20"/>
          <w:szCs w:val="20"/>
        </w:rPr>
        <w:t xml:space="preserve"> </w:t>
      </w:r>
      <w:r w:rsidR="00060C46" w:rsidRPr="006C2B37">
        <w:rPr>
          <w:rFonts w:ascii="Arial" w:hAnsi="Arial" w:cs="Arial"/>
          <w:i/>
          <w:iCs/>
          <w:sz w:val="20"/>
          <w:szCs w:val="20"/>
          <w:highlight w:val="yellow"/>
        </w:rPr>
        <w:t>hypothalamic-pituitary-adrenal (HPA) axis</w:t>
      </w:r>
      <w:r w:rsidR="00060C46" w:rsidRPr="006C2B37">
        <w:rPr>
          <w:rFonts w:ascii="Arial" w:hAnsi="Arial" w:cs="Arial"/>
          <w:i/>
          <w:iCs/>
          <w:sz w:val="20"/>
          <w:szCs w:val="20"/>
          <w:highlight w:val="yellow"/>
        </w:rPr>
        <w:t xml:space="preserve">, </w:t>
      </w:r>
      <w:r w:rsidR="004C034F" w:rsidRPr="006C2B37">
        <w:rPr>
          <w:rFonts w:ascii="Arial" w:eastAsia="Times New Roman" w:hAnsi="Arial" w:cs="Arial"/>
          <w:i/>
          <w:iCs/>
          <w:sz w:val="20"/>
          <w:szCs w:val="20"/>
          <w:highlight w:val="yellow"/>
          <w:lang w:eastAsia="pt-BR"/>
        </w:rPr>
        <w:t>Damage-Associated Molecular Patterns</w:t>
      </w:r>
    </w:p>
    <w:p w14:paraId="241097E5" w14:textId="77777777" w:rsidR="00023427" w:rsidRDefault="00023427" w:rsidP="00023427">
      <w:pPr>
        <w:pStyle w:val="ListParagraph"/>
        <w:numPr>
          <w:ilvl w:val="0"/>
          <w:numId w:val="1"/>
        </w:numPr>
        <w:spacing w:line="360" w:lineRule="auto"/>
        <w:rPr>
          <w:rFonts w:ascii="Arial" w:hAnsi="Arial" w:cs="Arial"/>
          <w:b/>
          <w:bCs/>
        </w:rPr>
      </w:pPr>
      <w:r w:rsidRPr="00B67CC6">
        <w:rPr>
          <w:rFonts w:ascii="Arial" w:hAnsi="Arial" w:cs="Arial"/>
          <w:b/>
          <w:bCs/>
        </w:rPr>
        <w:t>INTRODUCTION</w:t>
      </w:r>
    </w:p>
    <w:p w14:paraId="1768E33D" w14:textId="18A9293F" w:rsidR="00023427" w:rsidRPr="00023427" w:rsidRDefault="00F13C49" w:rsidP="00584049">
      <w:pPr>
        <w:spacing w:line="360" w:lineRule="auto"/>
        <w:ind w:firstLine="360"/>
        <w:jc w:val="both"/>
        <w:rPr>
          <w:rFonts w:ascii="Arial" w:hAnsi="Arial" w:cs="Arial"/>
          <w:sz w:val="20"/>
          <w:szCs w:val="20"/>
        </w:rPr>
      </w:pPr>
      <w:r w:rsidRPr="006C2B37">
        <w:rPr>
          <w:rFonts w:ascii="Arial" w:hAnsi="Arial" w:cs="Arial"/>
          <w:sz w:val="20"/>
          <w:szCs w:val="20"/>
          <w:highlight w:val="yellow"/>
        </w:rPr>
        <w:t>A</w:t>
      </w:r>
      <w:r w:rsidRPr="006C2B37">
        <w:rPr>
          <w:rFonts w:ascii="Arial" w:hAnsi="Arial" w:cs="Arial"/>
          <w:sz w:val="20"/>
          <w:szCs w:val="20"/>
          <w:highlight w:val="yellow"/>
        </w:rPr>
        <w:t xml:space="preserve"> traumatic experience is an event that can pierce into the integrity of an individual or a group</w:t>
      </w:r>
      <w:r>
        <w:rPr>
          <w:rFonts w:ascii="Arial" w:hAnsi="Arial" w:cs="Arial"/>
          <w:sz w:val="20"/>
          <w:szCs w:val="20"/>
          <w:highlight w:val="yellow"/>
        </w:rPr>
        <w:t>,</w:t>
      </w:r>
      <w:r w:rsidRPr="006C2B37">
        <w:rPr>
          <w:rFonts w:ascii="Arial" w:hAnsi="Arial" w:cs="Arial"/>
          <w:sz w:val="20"/>
          <w:szCs w:val="20"/>
          <w:highlight w:val="yellow"/>
        </w:rPr>
        <w:t xml:space="preserve"> causing distress, </w:t>
      </w:r>
      <w:r>
        <w:rPr>
          <w:rFonts w:ascii="Arial" w:hAnsi="Arial" w:cs="Arial"/>
          <w:sz w:val="20"/>
          <w:szCs w:val="20"/>
          <w:highlight w:val="yellow"/>
        </w:rPr>
        <w:t>feelings</w:t>
      </w:r>
      <w:r w:rsidRPr="006C2B37">
        <w:rPr>
          <w:rFonts w:ascii="Arial" w:hAnsi="Arial" w:cs="Arial"/>
          <w:sz w:val="20"/>
          <w:szCs w:val="20"/>
          <w:highlight w:val="yellow"/>
        </w:rPr>
        <w:t xml:space="preserve"> of helplessness, horror, or intense fear</w:t>
      </w:r>
      <w:r w:rsidRPr="006C2B37">
        <w:rPr>
          <w:rFonts w:ascii="Arial" w:hAnsi="Arial" w:cs="Arial"/>
          <w:sz w:val="20"/>
          <w:szCs w:val="20"/>
          <w:highlight w:val="yellow"/>
        </w:rPr>
        <w:t xml:space="preserve">. </w:t>
      </w:r>
      <w:r w:rsidR="009564C8" w:rsidRPr="006C2B37">
        <w:rPr>
          <w:rFonts w:ascii="Arial" w:hAnsi="Arial" w:cs="Arial"/>
          <w:sz w:val="20"/>
          <w:szCs w:val="20"/>
          <w:highlight w:val="yellow"/>
        </w:rPr>
        <w:t xml:space="preserve">It is worth mentioning that, while as much as 90% of the general population experience traumatic stress, only 20–30% of them develop </w:t>
      </w:r>
      <w:r w:rsidR="009564C8" w:rsidRPr="009564C8">
        <w:rPr>
          <w:rFonts w:ascii="Arial" w:hAnsi="Arial" w:cs="Arial"/>
          <w:sz w:val="20"/>
          <w:szCs w:val="20"/>
          <w:highlight w:val="yellow"/>
        </w:rPr>
        <w:t>post-traumatic stress disorder</w:t>
      </w:r>
      <w:r w:rsidR="009564C8">
        <w:rPr>
          <w:rFonts w:ascii="Arial" w:hAnsi="Arial" w:cs="Arial"/>
          <w:sz w:val="20"/>
          <w:szCs w:val="20"/>
          <w:highlight w:val="yellow"/>
        </w:rPr>
        <w:t xml:space="preserve"> </w:t>
      </w:r>
      <w:r w:rsidR="009564C8" w:rsidRPr="006C2B37">
        <w:rPr>
          <w:rFonts w:ascii="Arial" w:hAnsi="Arial" w:cs="Arial"/>
          <w:sz w:val="20"/>
          <w:szCs w:val="20"/>
          <w:highlight w:val="yellow"/>
        </w:rPr>
        <w:t>(</w:t>
      </w:r>
      <w:r w:rsidR="00B647EE" w:rsidRPr="00B647EE">
        <w:rPr>
          <w:rFonts w:ascii="Arial" w:eastAsia="Times New Roman" w:hAnsi="Arial" w:cs="Arial"/>
          <w:bCs/>
          <w:sz w:val="20"/>
          <w:szCs w:val="20"/>
          <w:highlight w:val="yellow"/>
          <w:lang w:eastAsia="pt-BR"/>
        </w:rPr>
        <w:t>Al Jowf</w:t>
      </w:r>
      <w:r w:rsidR="00B647EE" w:rsidRPr="006C2B37">
        <w:rPr>
          <w:rFonts w:ascii="Arial" w:eastAsia="Times New Roman" w:hAnsi="Arial" w:cs="Arial"/>
          <w:bCs/>
          <w:sz w:val="20"/>
          <w:szCs w:val="20"/>
          <w:highlight w:val="yellow"/>
          <w:lang w:eastAsia="pt-BR"/>
        </w:rPr>
        <w:t xml:space="preserve"> et al., 2022</w:t>
      </w:r>
      <w:r w:rsidR="009564C8" w:rsidRPr="006C2B37">
        <w:rPr>
          <w:rFonts w:ascii="Arial" w:hAnsi="Arial" w:cs="Arial"/>
          <w:sz w:val="20"/>
          <w:szCs w:val="20"/>
          <w:highlight w:val="yellow"/>
        </w:rPr>
        <w:t>).</w:t>
      </w:r>
      <w:r w:rsidR="009564C8">
        <w:rPr>
          <w:rFonts w:ascii="Arial" w:hAnsi="Arial" w:cs="Arial"/>
          <w:sz w:val="20"/>
          <w:szCs w:val="20"/>
        </w:rPr>
        <w:t xml:space="preserve"> </w:t>
      </w:r>
      <w:r w:rsidR="00023427" w:rsidRPr="00023427">
        <w:rPr>
          <w:rFonts w:ascii="Arial" w:hAnsi="Arial" w:cs="Arial"/>
          <w:sz w:val="20"/>
          <w:szCs w:val="20"/>
        </w:rPr>
        <w:t xml:space="preserve">The Endocrine-Metabolic-Immunological Response to Trauma (REMIT) encompasses a complex set of physiological adaptations triggered immediately after trauma events—such as injury, surgery, burns, or </w:t>
      </w:r>
      <w:r w:rsidR="0079775F" w:rsidRPr="006C2B37">
        <w:rPr>
          <w:rFonts w:ascii="Arial" w:hAnsi="Arial" w:cs="Arial"/>
          <w:sz w:val="20"/>
          <w:szCs w:val="20"/>
          <w:highlight w:val="yellow"/>
        </w:rPr>
        <w:t>haemorrhage</w:t>
      </w:r>
      <w:r w:rsidR="00023427" w:rsidRPr="006C2B37">
        <w:rPr>
          <w:rFonts w:ascii="Arial" w:hAnsi="Arial" w:cs="Arial"/>
          <w:sz w:val="20"/>
          <w:szCs w:val="20"/>
          <w:highlight w:val="yellow"/>
        </w:rPr>
        <w:t>—with</w:t>
      </w:r>
      <w:r w:rsidR="00023427" w:rsidRPr="00023427">
        <w:rPr>
          <w:rFonts w:ascii="Arial" w:hAnsi="Arial" w:cs="Arial"/>
          <w:sz w:val="20"/>
          <w:szCs w:val="20"/>
        </w:rPr>
        <w:t xml:space="preserve"> the aim of restoring homeostasis, maintaining tissue perfusion, and providing the energy needed for survival (1,2). This response operates through three main interconnected axes: endocrine, metabolic, and immunological.</w:t>
      </w:r>
      <w:r w:rsidR="00584049">
        <w:rPr>
          <w:rFonts w:ascii="Arial" w:hAnsi="Arial" w:cs="Arial"/>
          <w:sz w:val="20"/>
          <w:szCs w:val="20"/>
        </w:rPr>
        <w:t xml:space="preserve"> </w:t>
      </w:r>
      <w:r w:rsidR="00584049" w:rsidRPr="006C2B37">
        <w:rPr>
          <w:rFonts w:ascii="Arial" w:hAnsi="Arial" w:cs="Arial"/>
          <w:sz w:val="20"/>
          <w:szCs w:val="20"/>
          <w:highlight w:val="yellow"/>
        </w:rPr>
        <w:t xml:space="preserve">Any trauma to the body inflicts a barrier breach in </w:t>
      </w:r>
      <w:r w:rsidR="00584049" w:rsidRPr="006C2B37">
        <w:rPr>
          <w:rFonts w:ascii="Arial" w:hAnsi="Arial" w:cs="Arial"/>
          <w:sz w:val="20"/>
          <w:szCs w:val="20"/>
          <w:highlight w:val="yellow"/>
        </w:rPr>
        <w:t xml:space="preserve">three-dimensional </w:t>
      </w:r>
      <w:r w:rsidR="00584049" w:rsidRPr="006C2B37">
        <w:rPr>
          <w:rFonts w:ascii="Arial" w:hAnsi="Arial" w:cs="Arial"/>
          <w:sz w:val="20"/>
          <w:szCs w:val="20"/>
          <w:highlight w:val="yellow"/>
        </w:rPr>
        <w:t>space and one in time. Damage signals from</w:t>
      </w:r>
      <w:r w:rsidR="00584049" w:rsidRPr="006C2B37">
        <w:rPr>
          <w:rFonts w:ascii="Arial" w:hAnsi="Arial" w:cs="Arial"/>
          <w:sz w:val="20"/>
          <w:szCs w:val="20"/>
          <w:highlight w:val="yellow"/>
        </w:rPr>
        <w:t xml:space="preserve"> </w:t>
      </w:r>
      <w:r w:rsidR="00584049" w:rsidRPr="006C2B37">
        <w:rPr>
          <w:rFonts w:ascii="Arial" w:hAnsi="Arial" w:cs="Arial"/>
          <w:sz w:val="20"/>
          <w:szCs w:val="20"/>
          <w:highlight w:val="yellow"/>
        </w:rPr>
        <w:t>cellular, vascular and nerve injury are sent around the body,</w:t>
      </w:r>
      <w:r w:rsidR="00584049" w:rsidRPr="006C2B37">
        <w:rPr>
          <w:rFonts w:ascii="Arial" w:hAnsi="Arial" w:cs="Arial"/>
          <w:sz w:val="20"/>
          <w:szCs w:val="20"/>
          <w:highlight w:val="yellow"/>
        </w:rPr>
        <w:t xml:space="preserve"> </w:t>
      </w:r>
      <w:r w:rsidR="00584049" w:rsidRPr="006C2B37">
        <w:rPr>
          <w:rFonts w:ascii="Arial" w:hAnsi="Arial" w:cs="Arial"/>
          <w:sz w:val="20"/>
          <w:szCs w:val="20"/>
          <w:highlight w:val="yellow"/>
        </w:rPr>
        <w:t xml:space="preserve">and to the </w:t>
      </w:r>
      <w:r w:rsidR="00150B57">
        <w:rPr>
          <w:rFonts w:ascii="Arial" w:hAnsi="Arial" w:cs="Arial"/>
          <w:sz w:val="20"/>
          <w:szCs w:val="20"/>
          <w:highlight w:val="yellow"/>
        </w:rPr>
        <w:t>Central Nervous System (</w:t>
      </w:r>
      <w:r w:rsidR="00584049" w:rsidRPr="006C2B37">
        <w:rPr>
          <w:rFonts w:ascii="Arial" w:hAnsi="Arial" w:cs="Arial"/>
          <w:sz w:val="20"/>
          <w:szCs w:val="20"/>
          <w:highlight w:val="yellow"/>
        </w:rPr>
        <w:t>CNS</w:t>
      </w:r>
      <w:r w:rsidR="00150B57">
        <w:rPr>
          <w:rFonts w:ascii="Arial" w:hAnsi="Arial" w:cs="Arial"/>
          <w:sz w:val="20"/>
          <w:szCs w:val="20"/>
          <w:highlight w:val="yellow"/>
        </w:rPr>
        <w:t>)</w:t>
      </w:r>
      <w:r w:rsidR="00584049" w:rsidRPr="006C2B37">
        <w:rPr>
          <w:rFonts w:ascii="Arial" w:hAnsi="Arial" w:cs="Arial"/>
          <w:sz w:val="20"/>
          <w:szCs w:val="20"/>
          <w:highlight w:val="yellow"/>
        </w:rPr>
        <w:t xml:space="preserve"> via nerve afferents and resident damage</w:t>
      </w:r>
      <w:r w:rsidR="00584049" w:rsidRPr="006C2B37">
        <w:rPr>
          <w:rFonts w:ascii="Arial" w:hAnsi="Arial" w:cs="Arial"/>
          <w:sz w:val="20"/>
          <w:szCs w:val="20"/>
          <w:highlight w:val="yellow"/>
        </w:rPr>
        <w:t xml:space="preserve"> </w:t>
      </w:r>
      <w:r w:rsidR="00584049" w:rsidRPr="006C2B37">
        <w:rPr>
          <w:rFonts w:ascii="Arial" w:hAnsi="Arial" w:cs="Arial"/>
          <w:sz w:val="20"/>
          <w:szCs w:val="20"/>
          <w:highlight w:val="yellow"/>
        </w:rPr>
        <w:t>control mechanisms to begin the process of tissue repair and</w:t>
      </w:r>
      <w:r w:rsidR="00584049" w:rsidRPr="006C2B37">
        <w:rPr>
          <w:rFonts w:ascii="Arial" w:hAnsi="Arial" w:cs="Arial"/>
          <w:sz w:val="20"/>
          <w:szCs w:val="20"/>
          <w:highlight w:val="yellow"/>
        </w:rPr>
        <w:t xml:space="preserve"> </w:t>
      </w:r>
      <w:r w:rsidR="00584049">
        <w:rPr>
          <w:rFonts w:ascii="Arial" w:hAnsi="Arial" w:cs="Arial"/>
          <w:sz w:val="20"/>
          <w:szCs w:val="20"/>
          <w:highlight w:val="yellow"/>
        </w:rPr>
        <w:t>remodelling</w:t>
      </w:r>
      <w:r w:rsidR="00584049">
        <w:rPr>
          <w:rFonts w:ascii="Arial" w:hAnsi="Arial" w:cs="Arial"/>
          <w:sz w:val="20"/>
          <w:szCs w:val="20"/>
        </w:rPr>
        <w:t xml:space="preserve"> </w:t>
      </w:r>
      <w:r w:rsidR="00584049" w:rsidRPr="006C2B37">
        <w:rPr>
          <w:rFonts w:ascii="Arial" w:hAnsi="Arial" w:cs="Arial"/>
          <w:sz w:val="20"/>
          <w:szCs w:val="20"/>
          <w:highlight w:val="yellow"/>
        </w:rPr>
        <w:t>(</w:t>
      </w:r>
      <w:r w:rsidR="0027714E" w:rsidRPr="00365810">
        <w:rPr>
          <w:rFonts w:ascii="Arial" w:eastAsia="Times New Roman" w:hAnsi="Arial" w:cs="Arial"/>
          <w:bCs/>
          <w:sz w:val="20"/>
          <w:szCs w:val="20"/>
          <w:highlight w:val="yellow"/>
          <w:lang w:eastAsia="pt-BR"/>
        </w:rPr>
        <w:t>Dobson</w:t>
      </w:r>
      <w:r w:rsidR="0027714E" w:rsidRPr="006C2B37">
        <w:rPr>
          <w:rFonts w:ascii="Arial" w:eastAsia="Times New Roman" w:hAnsi="Arial" w:cs="Arial"/>
          <w:bCs/>
          <w:sz w:val="20"/>
          <w:szCs w:val="20"/>
          <w:highlight w:val="yellow"/>
          <w:lang w:eastAsia="pt-BR"/>
        </w:rPr>
        <w:t xml:space="preserve"> et al., 2022; </w:t>
      </w:r>
      <w:r w:rsidR="00365810" w:rsidRPr="006C2B37">
        <w:rPr>
          <w:rFonts w:ascii="Arial" w:eastAsia="Times New Roman" w:hAnsi="Arial" w:cs="Arial"/>
          <w:bCs/>
          <w:sz w:val="20"/>
          <w:szCs w:val="20"/>
          <w:highlight w:val="yellow"/>
          <w:lang w:eastAsia="pt-BR"/>
        </w:rPr>
        <w:t>Guha et al., 2023</w:t>
      </w:r>
      <w:r w:rsidR="00584049" w:rsidRPr="006C2B37">
        <w:rPr>
          <w:rFonts w:ascii="Arial" w:hAnsi="Arial" w:cs="Arial"/>
          <w:sz w:val="20"/>
          <w:szCs w:val="20"/>
          <w:highlight w:val="yellow"/>
        </w:rPr>
        <w:t>).</w:t>
      </w:r>
      <w:r w:rsidR="00584049">
        <w:rPr>
          <w:rFonts w:ascii="Arial" w:hAnsi="Arial" w:cs="Arial"/>
          <w:sz w:val="20"/>
          <w:szCs w:val="20"/>
        </w:rPr>
        <w:t xml:space="preserve"> </w:t>
      </w:r>
    </w:p>
    <w:p w14:paraId="5F9901BF" w14:textId="2CA009F7" w:rsidR="00023427" w:rsidRP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 xml:space="preserve">The endocrine axis is rapidly activated through the hypothalamic-pituitary-adrenal (HPA) axis and sympathetic nervous system, leading to the release of cortisol, catecholamines (adrenaline and noradrenaline), glucagon, ADH, and other hormones (1,3). These mediators promote vasoconstriction, blood pressure maintenance, energy </w:t>
      </w:r>
      <w:r w:rsidR="0079775F" w:rsidRPr="006C2B37">
        <w:rPr>
          <w:rFonts w:ascii="Arial" w:hAnsi="Arial" w:cs="Arial"/>
          <w:sz w:val="20"/>
          <w:szCs w:val="20"/>
          <w:highlight w:val="yellow"/>
        </w:rPr>
        <w:t>mobilisation</w:t>
      </w:r>
      <w:r w:rsidRPr="006C2B37">
        <w:rPr>
          <w:rFonts w:ascii="Arial" w:hAnsi="Arial" w:cs="Arial"/>
          <w:sz w:val="20"/>
          <w:szCs w:val="20"/>
          <w:highlight w:val="yellow"/>
        </w:rPr>
        <w:t>,</w:t>
      </w:r>
      <w:r w:rsidRPr="00023427">
        <w:rPr>
          <w:rFonts w:ascii="Arial" w:hAnsi="Arial" w:cs="Arial"/>
          <w:sz w:val="20"/>
          <w:szCs w:val="20"/>
        </w:rPr>
        <w:t xml:space="preserve"> and insulin resistance (1,3,4).</w:t>
      </w:r>
    </w:p>
    <w:p w14:paraId="657F7ACB" w14:textId="77777777" w:rsidR="00023427" w:rsidRP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In the metabolic axis, hyperglycemia, gluconeogenesis, insulin resistance, protein catabolism, and lipolysis are observed. Free fatty acids may meet up to 50–80% of energy demands during acute stress (1,3,5). While these responses ensure rapid energy supply, they can also cause lean mass degradation and prolonged metabolic dysfunction (2,3).</w:t>
      </w:r>
    </w:p>
    <w:p w14:paraId="6FD91F7A" w14:textId="12AB056D"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 xml:space="preserve">The immunological axis involves the release of pro-inflammatory cytokines (IL-1, IL-6, TNF-α), activation of leukocytes and the complement system as </w:t>
      </w:r>
      <w:r w:rsidRPr="006C2B37">
        <w:rPr>
          <w:rFonts w:ascii="Arial" w:hAnsi="Arial" w:cs="Arial"/>
          <w:sz w:val="20"/>
          <w:szCs w:val="20"/>
          <w:highlight w:val="yellow"/>
        </w:rPr>
        <w:t xml:space="preserve">central </w:t>
      </w:r>
      <w:r w:rsidR="0079775F" w:rsidRPr="006C2B37">
        <w:rPr>
          <w:rFonts w:ascii="Arial" w:hAnsi="Arial" w:cs="Arial"/>
          <w:sz w:val="20"/>
          <w:szCs w:val="20"/>
          <w:highlight w:val="yellow"/>
        </w:rPr>
        <w:t>defence</w:t>
      </w:r>
      <w:r w:rsidR="0079775F" w:rsidRPr="006C2B37">
        <w:rPr>
          <w:rFonts w:ascii="Arial" w:hAnsi="Arial" w:cs="Arial"/>
          <w:sz w:val="20"/>
          <w:szCs w:val="20"/>
          <w:highlight w:val="yellow"/>
        </w:rPr>
        <w:t xml:space="preserve"> </w:t>
      </w:r>
      <w:r w:rsidRPr="006C2B37">
        <w:rPr>
          <w:rFonts w:ascii="Arial" w:hAnsi="Arial" w:cs="Arial"/>
          <w:sz w:val="20"/>
          <w:szCs w:val="20"/>
          <w:highlight w:val="yellow"/>
        </w:rPr>
        <w:t>mechanisms</w:t>
      </w:r>
      <w:r w:rsidRPr="00023427">
        <w:rPr>
          <w:rFonts w:ascii="Arial" w:hAnsi="Arial" w:cs="Arial"/>
          <w:sz w:val="20"/>
          <w:szCs w:val="20"/>
        </w:rPr>
        <w:t>. However, this response can escalate into systemic inflammation and organ dysfunction (1,4,6).</w:t>
      </w:r>
    </w:p>
    <w:p w14:paraId="21C39CA5" w14:textId="77777777"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These axes interact intricately: cortisol and catecholamines amplify catabolism and modulate inflammation, while pro-inflammatory cytokines stimulate HPA axis activation, forming an adaptive feedback loop (1,4,7). While vital for immediate survival, this coordination can become dysregulated, resulting in systemic inflammatory response syndrome (SIRS), sepsis, and multiple organ failure (1,4,6,7).</w:t>
      </w:r>
    </w:p>
    <w:p w14:paraId="748FC7D0" w14:textId="26766282"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Proper management of REMIT is therefore crucial for improving outcomes in polytraumatized or critically ill patients</w:t>
      </w:r>
      <w:r w:rsidR="00612A60">
        <w:rPr>
          <w:rFonts w:ascii="Arial" w:hAnsi="Arial" w:cs="Arial"/>
          <w:sz w:val="20"/>
          <w:szCs w:val="20"/>
        </w:rPr>
        <w:t xml:space="preserve"> </w:t>
      </w:r>
      <w:r w:rsidR="00612A60" w:rsidRPr="006C2B37">
        <w:rPr>
          <w:rFonts w:ascii="Arial" w:hAnsi="Arial" w:cs="Arial"/>
          <w:sz w:val="20"/>
          <w:szCs w:val="20"/>
          <w:highlight w:val="yellow"/>
        </w:rPr>
        <w:t>(</w:t>
      </w:r>
      <w:r w:rsidR="00612A60" w:rsidRPr="00612A60">
        <w:rPr>
          <w:rFonts w:ascii="Arial" w:eastAsia="Times New Roman" w:hAnsi="Arial" w:cs="Arial"/>
          <w:bCs/>
          <w:sz w:val="20"/>
          <w:szCs w:val="20"/>
          <w:highlight w:val="yellow"/>
          <w:lang w:eastAsia="pt-BR"/>
        </w:rPr>
        <w:t>Salvo</w:t>
      </w:r>
      <w:r w:rsidR="00612A60" w:rsidRPr="006C2B37">
        <w:rPr>
          <w:rFonts w:ascii="Arial" w:eastAsia="Times New Roman" w:hAnsi="Arial" w:cs="Arial"/>
          <w:bCs/>
          <w:sz w:val="20"/>
          <w:szCs w:val="20"/>
          <w:highlight w:val="yellow"/>
          <w:lang w:eastAsia="pt-BR"/>
        </w:rPr>
        <w:t xml:space="preserve"> et al., 2025)</w:t>
      </w:r>
      <w:r w:rsidRPr="006C2B37">
        <w:rPr>
          <w:rFonts w:ascii="Arial" w:hAnsi="Arial" w:cs="Arial"/>
          <w:sz w:val="20"/>
          <w:szCs w:val="20"/>
          <w:highlight w:val="yellow"/>
        </w:rPr>
        <w:t>.</w:t>
      </w:r>
      <w:r w:rsidRPr="00023427">
        <w:rPr>
          <w:rFonts w:ascii="Arial" w:hAnsi="Arial" w:cs="Arial"/>
          <w:sz w:val="20"/>
          <w:szCs w:val="20"/>
        </w:rPr>
        <w:t xml:space="preserve"> Without modulation, the persistent stress response may lead to muscle catabolism, immune dysfunction, increased sepsis risk, and mortality (8). </w:t>
      </w:r>
      <w:r w:rsidRPr="00023427">
        <w:rPr>
          <w:rFonts w:ascii="Arial" w:hAnsi="Arial" w:cs="Arial"/>
          <w:sz w:val="20"/>
          <w:szCs w:val="20"/>
        </w:rPr>
        <w:lastRenderedPageBreak/>
        <w:t>Therapeutic strategies—such as glycemic control, early nutritional support, cautious corticosteroid use, and immunonutrition—have been associated with reduced complications and better functional recovery (9,10).</w:t>
      </w:r>
    </w:p>
    <w:p w14:paraId="783D1631" w14:textId="6AA79409"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 xml:space="preserve">Nevertheless, there are still important gaps in </w:t>
      </w:r>
      <w:r w:rsidR="007E200C" w:rsidRPr="006C2B37">
        <w:rPr>
          <w:rFonts w:ascii="Arial" w:hAnsi="Arial" w:cs="Arial"/>
          <w:sz w:val="20"/>
          <w:szCs w:val="20"/>
          <w:highlight w:val="yellow"/>
        </w:rPr>
        <w:t xml:space="preserve">the </w:t>
      </w:r>
      <w:r w:rsidRPr="006C2B37">
        <w:rPr>
          <w:rFonts w:ascii="Arial" w:hAnsi="Arial" w:cs="Arial"/>
          <w:sz w:val="20"/>
          <w:szCs w:val="20"/>
          <w:highlight w:val="yellow"/>
        </w:rPr>
        <w:t>clinical</w:t>
      </w:r>
      <w:r w:rsidRPr="00023427">
        <w:rPr>
          <w:rFonts w:ascii="Arial" w:hAnsi="Arial" w:cs="Arial"/>
          <w:sz w:val="20"/>
          <w:szCs w:val="20"/>
        </w:rPr>
        <w:t xml:space="preserve"> management of REMIT. These include the lack of </w:t>
      </w:r>
      <w:r w:rsidR="007E200C" w:rsidRPr="006C2B37">
        <w:rPr>
          <w:rFonts w:ascii="Arial" w:hAnsi="Arial" w:cs="Arial"/>
          <w:sz w:val="20"/>
          <w:szCs w:val="20"/>
          <w:highlight w:val="yellow"/>
        </w:rPr>
        <w:t>standardised</w:t>
      </w:r>
      <w:r w:rsidR="007E200C" w:rsidRPr="006C2B37">
        <w:rPr>
          <w:rFonts w:ascii="Arial" w:hAnsi="Arial" w:cs="Arial"/>
          <w:sz w:val="20"/>
          <w:szCs w:val="20"/>
          <w:highlight w:val="yellow"/>
        </w:rPr>
        <w:t xml:space="preserve"> </w:t>
      </w:r>
      <w:r w:rsidRPr="006C2B37">
        <w:rPr>
          <w:rFonts w:ascii="Arial" w:hAnsi="Arial" w:cs="Arial"/>
          <w:sz w:val="20"/>
          <w:szCs w:val="20"/>
          <w:highlight w:val="yellow"/>
        </w:rPr>
        <w:t>protocols</w:t>
      </w:r>
      <w:r w:rsidRPr="00023427">
        <w:rPr>
          <w:rFonts w:ascii="Arial" w:hAnsi="Arial" w:cs="Arial"/>
          <w:sz w:val="20"/>
          <w:szCs w:val="20"/>
        </w:rPr>
        <w:t xml:space="preserve"> integrating all three axes, uncertainties regarding optimal metabolic targets (e.g., glycemic thresholds or route of nutrition), and limited, conflicting evidence for immunomodulatory therapies (9,11,12). Additionally, few studies address </w:t>
      </w:r>
      <w:r w:rsidR="007E200C" w:rsidRPr="006C2B37">
        <w:rPr>
          <w:rFonts w:ascii="Arial" w:hAnsi="Arial" w:cs="Arial"/>
          <w:sz w:val="20"/>
          <w:szCs w:val="20"/>
          <w:highlight w:val="yellow"/>
        </w:rPr>
        <w:t>personalised</w:t>
      </w:r>
      <w:r w:rsidR="007E200C" w:rsidRPr="006C2B37">
        <w:rPr>
          <w:rFonts w:ascii="Arial" w:hAnsi="Arial" w:cs="Arial"/>
          <w:sz w:val="20"/>
          <w:szCs w:val="20"/>
          <w:highlight w:val="yellow"/>
        </w:rPr>
        <w:t xml:space="preserve"> </w:t>
      </w:r>
      <w:r w:rsidRPr="006C2B37">
        <w:rPr>
          <w:rFonts w:ascii="Arial" w:hAnsi="Arial" w:cs="Arial"/>
          <w:sz w:val="20"/>
          <w:szCs w:val="20"/>
          <w:highlight w:val="yellow"/>
        </w:rPr>
        <w:t>treatment</w:t>
      </w:r>
      <w:r w:rsidRPr="00023427">
        <w:rPr>
          <w:rFonts w:ascii="Arial" w:hAnsi="Arial" w:cs="Arial"/>
          <w:sz w:val="20"/>
          <w:szCs w:val="20"/>
        </w:rPr>
        <w:t xml:space="preserve"> approaches based on trauma type, age, comorbidities, or the evolving phase of the stress response (9,12).</w:t>
      </w:r>
    </w:p>
    <w:p w14:paraId="1C8C71B1" w14:textId="39E71994" w:rsidR="00023427" w:rsidRPr="00914DDB"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 xml:space="preserve">This context highlights the urgent need to </w:t>
      </w:r>
      <w:r w:rsidR="007E200C" w:rsidRPr="006C2B37">
        <w:rPr>
          <w:rFonts w:ascii="Arial" w:hAnsi="Arial" w:cs="Arial"/>
          <w:sz w:val="20"/>
          <w:szCs w:val="20"/>
          <w:highlight w:val="yellow"/>
        </w:rPr>
        <w:t>synthesise</w:t>
      </w:r>
      <w:r w:rsidR="007E200C" w:rsidRPr="006C2B37">
        <w:rPr>
          <w:rFonts w:ascii="Arial" w:hAnsi="Arial" w:cs="Arial"/>
          <w:sz w:val="20"/>
          <w:szCs w:val="20"/>
          <w:highlight w:val="yellow"/>
        </w:rPr>
        <w:t xml:space="preserve"> </w:t>
      </w:r>
      <w:r w:rsidRPr="006C2B37">
        <w:rPr>
          <w:rFonts w:ascii="Arial" w:hAnsi="Arial" w:cs="Arial"/>
          <w:sz w:val="20"/>
          <w:szCs w:val="20"/>
          <w:highlight w:val="yellow"/>
        </w:rPr>
        <w:t>available</w:t>
      </w:r>
      <w:r w:rsidRPr="00023427">
        <w:rPr>
          <w:rFonts w:ascii="Arial" w:hAnsi="Arial" w:cs="Arial"/>
          <w:sz w:val="20"/>
          <w:szCs w:val="20"/>
        </w:rPr>
        <w:t xml:space="preserve"> evidence through a comprehensive systematic review.</w:t>
      </w:r>
    </w:p>
    <w:p w14:paraId="52F25670" w14:textId="03D1294F" w:rsidR="00023427" w:rsidRDefault="00023427" w:rsidP="00023427">
      <w:pPr>
        <w:pStyle w:val="ListParagraph"/>
        <w:numPr>
          <w:ilvl w:val="0"/>
          <w:numId w:val="1"/>
        </w:numPr>
        <w:spacing w:line="360" w:lineRule="auto"/>
        <w:rPr>
          <w:rFonts w:ascii="Arial" w:hAnsi="Arial" w:cs="Arial"/>
          <w:b/>
          <w:bCs/>
          <w:lang w:val="en-US"/>
        </w:rPr>
      </w:pPr>
      <w:r w:rsidRPr="003175A8">
        <w:rPr>
          <w:rFonts w:ascii="Arial" w:hAnsi="Arial" w:cs="Arial"/>
          <w:b/>
          <w:bCs/>
          <w:lang w:val="en-US"/>
        </w:rPr>
        <w:t>MATERIAL AND METHODS</w:t>
      </w:r>
    </w:p>
    <w:p w14:paraId="08939088" w14:textId="71CD035A" w:rsidR="00023427" w:rsidRP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 xml:space="preserve">This systematic review was conducted following the PRISMA (Preferred Reporting Items for Systematic Reviews and Meta-Analyses) guidelines to ensure transparency and methodological </w:t>
      </w:r>
      <w:r w:rsidR="00E55030" w:rsidRPr="006C2B37">
        <w:rPr>
          <w:rFonts w:ascii="Arial" w:hAnsi="Arial" w:cs="Arial"/>
          <w:sz w:val="20"/>
          <w:szCs w:val="20"/>
          <w:highlight w:val="yellow"/>
        </w:rPr>
        <w:t>rigour</w:t>
      </w:r>
      <w:r w:rsidR="00E55030" w:rsidRPr="006C2B37">
        <w:rPr>
          <w:rFonts w:ascii="Arial" w:hAnsi="Arial" w:cs="Arial"/>
          <w:sz w:val="20"/>
          <w:szCs w:val="20"/>
          <w:highlight w:val="yellow"/>
        </w:rPr>
        <w:t xml:space="preserve"> </w:t>
      </w:r>
      <w:r w:rsidRPr="006C2B37">
        <w:rPr>
          <w:rFonts w:ascii="Arial" w:hAnsi="Arial" w:cs="Arial"/>
          <w:sz w:val="20"/>
          <w:szCs w:val="20"/>
          <w:highlight w:val="yellow"/>
        </w:rPr>
        <w:t>throughout</w:t>
      </w:r>
      <w:r w:rsidRPr="00023427">
        <w:rPr>
          <w:rFonts w:ascii="Arial" w:hAnsi="Arial" w:cs="Arial"/>
          <w:sz w:val="20"/>
          <w:szCs w:val="20"/>
        </w:rPr>
        <w:t xml:space="preserve"> the process.</w:t>
      </w:r>
    </w:p>
    <w:p w14:paraId="4A2D534C"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Databases and Search Strategy</w:t>
      </w:r>
    </w:p>
    <w:p w14:paraId="37CCB05A" w14:textId="77777777" w:rsidR="00023427" w:rsidRDefault="00023427" w:rsidP="00023427">
      <w:pPr>
        <w:spacing w:line="360" w:lineRule="auto"/>
        <w:ind w:firstLine="708"/>
        <w:jc w:val="both"/>
        <w:rPr>
          <w:rFonts w:ascii="Arial" w:hAnsi="Arial" w:cs="Arial"/>
          <w:sz w:val="20"/>
          <w:szCs w:val="20"/>
        </w:rPr>
      </w:pPr>
      <w:r w:rsidRPr="00023427">
        <w:rPr>
          <w:rFonts w:ascii="Arial" w:hAnsi="Arial" w:cs="Arial"/>
          <w:sz w:val="20"/>
          <w:szCs w:val="20"/>
        </w:rPr>
        <w:t>The literature search was carried out between January 2014 and April 2024 across the following databases: PubMed, SciELO, LILACS, BVS, and MEDLINE. The search strategy combined descriptors related to trauma and systemic physiological response using Boolean operators:</w:t>
      </w:r>
      <w:r>
        <w:rPr>
          <w:rFonts w:ascii="Arial" w:hAnsi="Arial" w:cs="Arial"/>
          <w:sz w:val="20"/>
          <w:szCs w:val="20"/>
        </w:rPr>
        <w:t xml:space="preserve"> </w:t>
      </w:r>
      <w:r w:rsidRPr="00023427">
        <w:rPr>
          <w:rFonts w:ascii="Arial" w:hAnsi="Arial" w:cs="Arial"/>
          <w:sz w:val="20"/>
          <w:szCs w:val="20"/>
        </w:rPr>
        <w:t>(“trauma” OR “injury” OR “burn” OR “surgical trauma”) AND (“stress response” OR “metabolic response” OR “immune response” OR “endocrine response”) AND (“therapeutic strategies” OR “interventions” OR “modulation”).</w:t>
      </w:r>
    </w:p>
    <w:p w14:paraId="201C59DF" w14:textId="301BDBD1" w:rsidR="00023427" w:rsidRPr="00023427" w:rsidRDefault="00023427" w:rsidP="00023427">
      <w:pPr>
        <w:spacing w:line="360" w:lineRule="auto"/>
        <w:ind w:firstLine="708"/>
        <w:jc w:val="both"/>
        <w:rPr>
          <w:rFonts w:ascii="Arial" w:hAnsi="Arial" w:cs="Arial"/>
          <w:sz w:val="20"/>
          <w:szCs w:val="20"/>
        </w:rPr>
      </w:pPr>
      <w:r w:rsidRPr="00023427">
        <w:rPr>
          <w:rFonts w:ascii="Arial" w:hAnsi="Arial" w:cs="Arial"/>
          <w:sz w:val="20"/>
          <w:szCs w:val="20"/>
        </w:rPr>
        <w:t>Filters were applied to include only full-text studies published in Portuguese, English, or Spanish, involving human adults (≥18 years). Duplicates were removed using Mendeley reference manager.</w:t>
      </w:r>
    </w:p>
    <w:p w14:paraId="379D4CE2"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Eligibility Criteria</w:t>
      </w:r>
    </w:p>
    <w:p w14:paraId="7AB076C8" w14:textId="0EA3A929"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Studies were included if they met the following criteria:</w:t>
      </w:r>
    </w:p>
    <w:p w14:paraId="5EC9CE64" w14:textId="61068390" w:rsidR="00023427" w:rsidRPr="00023427" w:rsidRDefault="00023427" w:rsidP="00023427">
      <w:pPr>
        <w:numPr>
          <w:ilvl w:val="0"/>
          <w:numId w:val="7"/>
        </w:numPr>
        <w:spacing w:line="360" w:lineRule="auto"/>
        <w:jc w:val="both"/>
        <w:rPr>
          <w:rFonts w:ascii="Arial" w:hAnsi="Arial" w:cs="Arial"/>
          <w:sz w:val="20"/>
          <w:szCs w:val="20"/>
        </w:rPr>
      </w:pPr>
      <w:r w:rsidRPr="00023427">
        <w:rPr>
          <w:rFonts w:ascii="Arial" w:hAnsi="Arial" w:cs="Arial"/>
          <w:sz w:val="20"/>
          <w:szCs w:val="20"/>
        </w:rPr>
        <w:t>Original studies (</w:t>
      </w:r>
      <w:r w:rsidR="00E55030" w:rsidRPr="006C2B37">
        <w:rPr>
          <w:rFonts w:ascii="Arial" w:hAnsi="Arial" w:cs="Arial"/>
          <w:sz w:val="20"/>
          <w:szCs w:val="20"/>
          <w:highlight w:val="yellow"/>
        </w:rPr>
        <w:t>randomised</w:t>
      </w:r>
      <w:r w:rsidR="00E55030" w:rsidRPr="00023427">
        <w:rPr>
          <w:rFonts w:ascii="Arial" w:hAnsi="Arial" w:cs="Arial"/>
          <w:sz w:val="20"/>
          <w:szCs w:val="20"/>
        </w:rPr>
        <w:t xml:space="preserve"> </w:t>
      </w:r>
      <w:r w:rsidRPr="00023427">
        <w:rPr>
          <w:rFonts w:ascii="Arial" w:hAnsi="Arial" w:cs="Arial"/>
          <w:sz w:val="20"/>
          <w:szCs w:val="20"/>
        </w:rPr>
        <w:t>clinical trials, cohort studies, experimental models, or systematic reviews).</w:t>
      </w:r>
    </w:p>
    <w:p w14:paraId="7EFFB65B" w14:textId="77777777" w:rsidR="00023427" w:rsidRPr="00023427" w:rsidRDefault="00023427" w:rsidP="00023427">
      <w:pPr>
        <w:numPr>
          <w:ilvl w:val="0"/>
          <w:numId w:val="7"/>
        </w:numPr>
        <w:spacing w:line="360" w:lineRule="auto"/>
        <w:jc w:val="both"/>
        <w:rPr>
          <w:rFonts w:ascii="Arial" w:hAnsi="Arial" w:cs="Arial"/>
          <w:sz w:val="20"/>
          <w:szCs w:val="20"/>
        </w:rPr>
      </w:pPr>
      <w:r w:rsidRPr="00023427">
        <w:rPr>
          <w:rFonts w:ascii="Arial" w:hAnsi="Arial" w:cs="Arial"/>
          <w:sz w:val="20"/>
          <w:szCs w:val="20"/>
        </w:rPr>
        <w:t>Published between 2014 and 2024.</w:t>
      </w:r>
    </w:p>
    <w:p w14:paraId="3303ADB5" w14:textId="51F20C7E" w:rsidR="00023427" w:rsidRPr="006C2B37" w:rsidRDefault="00023427" w:rsidP="00023427">
      <w:pPr>
        <w:numPr>
          <w:ilvl w:val="0"/>
          <w:numId w:val="7"/>
        </w:numPr>
        <w:spacing w:line="360" w:lineRule="auto"/>
        <w:jc w:val="both"/>
        <w:rPr>
          <w:rFonts w:ascii="Arial" w:hAnsi="Arial" w:cs="Arial"/>
          <w:sz w:val="20"/>
          <w:szCs w:val="20"/>
          <w:highlight w:val="yellow"/>
        </w:rPr>
      </w:pPr>
      <w:r w:rsidRPr="00023427">
        <w:rPr>
          <w:rFonts w:ascii="Arial" w:hAnsi="Arial" w:cs="Arial"/>
          <w:sz w:val="20"/>
          <w:szCs w:val="20"/>
        </w:rPr>
        <w:t xml:space="preserve">Investigated therapeutic interventions targeting the endocrine, metabolic, or immune axes in adult trauma patients (e.g., physical trauma, burns, surgical trauma, </w:t>
      </w:r>
      <w:r w:rsidR="00E55030" w:rsidRPr="006C2B37">
        <w:rPr>
          <w:rFonts w:ascii="Arial" w:hAnsi="Arial" w:cs="Arial"/>
          <w:sz w:val="20"/>
          <w:szCs w:val="20"/>
          <w:highlight w:val="yellow"/>
        </w:rPr>
        <w:t>haemorrhage</w:t>
      </w:r>
      <w:r w:rsidRPr="006C2B37">
        <w:rPr>
          <w:rFonts w:ascii="Arial" w:hAnsi="Arial" w:cs="Arial"/>
          <w:sz w:val="20"/>
          <w:szCs w:val="20"/>
          <w:highlight w:val="yellow"/>
        </w:rPr>
        <w:t>).</w:t>
      </w:r>
    </w:p>
    <w:p w14:paraId="2F2BBAEB" w14:textId="77777777" w:rsidR="00023427" w:rsidRPr="00023427" w:rsidRDefault="00023427" w:rsidP="00023427">
      <w:pPr>
        <w:numPr>
          <w:ilvl w:val="0"/>
          <w:numId w:val="7"/>
        </w:numPr>
        <w:spacing w:line="360" w:lineRule="auto"/>
        <w:jc w:val="both"/>
        <w:rPr>
          <w:rFonts w:ascii="Arial" w:hAnsi="Arial" w:cs="Arial"/>
          <w:sz w:val="20"/>
          <w:szCs w:val="20"/>
        </w:rPr>
      </w:pPr>
      <w:r w:rsidRPr="00023427">
        <w:rPr>
          <w:rFonts w:ascii="Arial" w:hAnsi="Arial" w:cs="Arial"/>
          <w:sz w:val="20"/>
          <w:szCs w:val="20"/>
        </w:rPr>
        <w:lastRenderedPageBreak/>
        <w:t>Assessed clinical outcomes such as infection rate, inflammatory markers, metabolic control, organ dysfunction, or mortality.</w:t>
      </w:r>
    </w:p>
    <w:p w14:paraId="3BAE8BC2" w14:textId="77777777"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Exclusion criteria:</w:t>
      </w:r>
    </w:p>
    <w:p w14:paraId="323468C5" w14:textId="77777777" w:rsidR="00023427" w:rsidRPr="00023427" w:rsidRDefault="00023427" w:rsidP="00023427">
      <w:pPr>
        <w:numPr>
          <w:ilvl w:val="0"/>
          <w:numId w:val="8"/>
        </w:numPr>
        <w:spacing w:line="360" w:lineRule="auto"/>
        <w:jc w:val="both"/>
        <w:rPr>
          <w:rFonts w:ascii="Arial" w:hAnsi="Arial" w:cs="Arial"/>
          <w:sz w:val="20"/>
          <w:szCs w:val="20"/>
        </w:rPr>
      </w:pPr>
      <w:r w:rsidRPr="00023427">
        <w:rPr>
          <w:rFonts w:ascii="Arial" w:hAnsi="Arial" w:cs="Arial"/>
          <w:sz w:val="20"/>
          <w:szCs w:val="20"/>
        </w:rPr>
        <w:t>Case reports, expert opinions, and narrative reviews without critical analysis.</w:t>
      </w:r>
    </w:p>
    <w:p w14:paraId="1FA4187F" w14:textId="77777777" w:rsidR="00023427" w:rsidRPr="00023427" w:rsidRDefault="00023427" w:rsidP="00023427">
      <w:pPr>
        <w:numPr>
          <w:ilvl w:val="0"/>
          <w:numId w:val="8"/>
        </w:numPr>
        <w:spacing w:line="360" w:lineRule="auto"/>
        <w:jc w:val="both"/>
        <w:rPr>
          <w:rFonts w:ascii="Arial" w:hAnsi="Arial" w:cs="Arial"/>
          <w:sz w:val="20"/>
          <w:szCs w:val="20"/>
        </w:rPr>
      </w:pPr>
      <w:r w:rsidRPr="00023427">
        <w:rPr>
          <w:rFonts w:ascii="Arial" w:hAnsi="Arial" w:cs="Arial"/>
          <w:sz w:val="20"/>
          <w:szCs w:val="20"/>
        </w:rPr>
        <w:t>Pediatric populations or patients with trauma secondary to obstetric or iatrogenic causes.</w:t>
      </w:r>
    </w:p>
    <w:p w14:paraId="754C8C30" w14:textId="77777777" w:rsidR="00023427" w:rsidRPr="00023427" w:rsidRDefault="00023427" w:rsidP="00023427">
      <w:pPr>
        <w:numPr>
          <w:ilvl w:val="0"/>
          <w:numId w:val="8"/>
        </w:numPr>
        <w:spacing w:line="360" w:lineRule="auto"/>
        <w:jc w:val="both"/>
        <w:rPr>
          <w:rFonts w:ascii="Arial" w:hAnsi="Arial" w:cs="Arial"/>
          <w:sz w:val="20"/>
          <w:szCs w:val="20"/>
        </w:rPr>
      </w:pPr>
      <w:r w:rsidRPr="00023427">
        <w:rPr>
          <w:rFonts w:ascii="Arial" w:hAnsi="Arial" w:cs="Arial"/>
          <w:sz w:val="20"/>
          <w:szCs w:val="20"/>
        </w:rPr>
        <w:t>Studies not evaluating the effects of interventions on REMIT-related outcomes.</w:t>
      </w:r>
    </w:p>
    <w:p w14:paraId="12F8C928"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Study Selection and Data Extraction</w:t>
      </w:r>
    </w:p>
    <w:p w14:paraId="14AAF54B" w14:textId="4DD62E2A"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 xml:space="preserve">Two independent reviewers screened the titles and abstracts according to the inclusion criteria. Eligible full texts were </w:t>
      </w:r>
      <w:r w:rsidR="002227F0" w:rsidRPr="006C2B37">
        <w:rPr>
          <w:rFonts w:ascii="Arial" w:hAnsi="Arial" w:cs="Arial"/>
          <w:sz w:val="20"/>
          <w:szCs w:val="20"/>
          <w:highlight w:val="yellow"/>
        </w:rPr>
        <w:t>analysed</w:t>
      </w:r>
      <w:r w:rsidR="002227F0" w:rsidRPr="00023427">
        <w:rPr>
          <w:rFonts w:ascii="Arial" w:hAnsi="Arial" w:cs="Arial"/>
          <w:sz w:val="20"/>
          <w:szCs w:val="20"/>
        </w:rPr>
        <w:t xml:space="preserve"> </w:t>
      </w:r>
      <w:r w:rsidRPr="00023427">
        <w:rPr>
          <w:rFonts w:ascii="Arial" w:hAnsi="Arial" w:cs="Arial"/>
          <w:sz w:val="20"/>
          <w:szCs w:val="20"/>
        </w:rPr>
        <w:t>in detail to extract data related to study design, sample characteristics, type of trauma, intervention applied, and clinical outcomes. Discrepancies between reviewers were resolved by consensus or consultation with a third reviewer.</w:t>
      </w:r>
    </w:p>
    <w:p w14:paraId="7833564F"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Quality Assessment</w:t>
      </w:r>
    </w:p>
    <w:p w14:paraId="7D90E86D" w14:textId="3341A3BD"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The methodological quality of the included studies was evaluated using appropriate tools:</w:t>
      </w:r>
    </w:p>
    <w:p w14:paraId="3B31A7EA" w14:textId="77777777" w:rsidR="00023427" w:rsidRPr="00023427" w:rsidRDefault="00023427" w:rsidP="00023427">
      <w:pPr>
        <w:numPr>
          <w:ilvl w:val="0"/>
          <w:numId w:val="9"/>
        </w:numPr>
        <w:spacing w:line="360" w:lineRule="auto"/>
        <w:jc w:val="both"/>
        <w:rPr>
          <w:rFonts w:ascii="Arial" w:hAnsi="Arial" w:cs="Arial"/>
          <w:sz w:val="20"/>
          <w:szCs w:val="20"/>
        </w:rPr>
      </w:pPr>
      <w:r w:rsidRPr="00023427">
        <w:rPr>
          <w:rFonts w:ascii="Arial" w:hAnsi="Arial" w:cs="Arial"/>
          <w:sz w:val="20"/>
          <w:szCs w:val="20"/>
        </w:rPr>
        <w:t>ROBIS (Risk Of Bias In Systematic reviews) for included systematic reviews.</w:t>
      </w:r>
    </w:p>
    <w:p w14:paraId="7B03A1D5" w14:textId="2CB5ECC8" w:rsidR="00023427" w:rsidRPr="00023427" w:rsidRDefault="00023427" w:rsidP="00023427">
      <w:pPr>
        <w:numPr>
          <w:ilvl w:val="0"/>
          <w:numId w:val="9"/>
        </w:numPr>
        <w:spacing w:line="360" w:lineRule="auto"/>
        <w:jc w:val="both"/>
        <w:rPr>
          <w:rFonts w:ascii="Arial" w:hAnsi="Arial" w:cs="Arial"/>
          <w:sz w:val="20"/>
          <w:szCs w:val="20"/>
        </w:rPr>
      </w:pPr>
      <w:r w:rsidRPr="00023427">
        <w:rPr>
          <w:rFonts w:ascii="Arial" w:hAnsi="Arial" w:cs="Arial"/>
          <w:sz w:val="20"/>
          <w:szCs w:val="20"/>
        </w:rPr>
        <w:t xml:space="preserve">Jadad scale for </w:t>
      </w:r>
      <w:r w:rsidR="002227F0" w:rsidRPr="006C2B37">
        <w:rPr>
          <w:rFonts w:ascii="Arial" w:hAnsi="Arial" w:cs="Arial"/>
          <w:sz w:val="20"/>
          <w:szCs w:val="20"/>
          <w:highlight w:val="yellow"/>
        </w:rPr>
        <w:t>randomised</w:t>
      </w:r>
      <w:r w:rsidR="002227F0" w:rsidRPr="006C2B37">
        <w:rPr>
          <w:rFonts w:ascii="Arial" w:hAnsi="Arial" w:cs="Arial"/>
          <w:sz w:val="20"/>
          <w:szCs w:val="20"/>
          <w:highlight w:val="yellow"/>
        </w:rPr>
        <w:t xml:space="preserve"> </w:t>
      </w:r>
      <w:r w:rsidRPr="006C2B37">
        <w:rPr>
          <w:rFonts w:ascii="Arial" w:hAnsi="Arial" w:cs="Arial"/>
          <w:sz w:val="20"/>
          <w:szCs w:val="20"/>
          <w:highlight w:val="yellow"/>
        </w:rPr>
        <w:t>clinical</w:t>
      </w:r>
      <w:r w:rsidRPr="00023427">
        <w:rPr>
          <w:rFonts w:ascii="Arial" w:hAnsi="Arial" w:cs="Arial"/>
          <w:sz w:val="20"/>
          <w:szCs w:val="20"/>
        </w:rPr>
        <w:t xml:space="preserve"> trials.</w:t>
      </w:r>
    </w:p>
    <w:p w14:paraId="556462D0" w14:textId="77777777" w:rsidR="00023427" w:rsidRPr="00023427" w:rsidRDefault="00023427" w:rsidP="00023427">
      <w:pPr>
        <w:numPr>
          <w:ilvl w:val="0"/>
          <w:numId w:val="9"/>
        </w:numPr>
        <w:spacing w:line="360" w:lineRule="auto"/>
        <w:jc w:val="both"/>
        <w:rPr>
          <w:rFonts w:ascii="Arial" w:hAnsi="Arial" w:cs="Arial"/>
          <w:sz w:val="20"/>
          <w:szCs w:val="20"/>
        </w:rPr>
      </w:pPr>
      <w:r w:rsidRPr="00023427">
        <w:rPr>
          <w:rFonts w:ascii="Arial" w:hAnsi="Arial" w:cs="Arial"/>
          <w:sz w:val="20"/>
          <w:szCs w:val="20"/>
        </w:rPr>
        <w:t>Newcastle-Ottawa Scale (NOS) for observational studies.</w:t>
      </w:r>
    </w:p>
    <w:p w14:paraId="0A2A697C" w14:textId="7833806D"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The risk of bias, study limitations, and heterogeneity of interventions were also considered during synthesis and interpretation of results.</w:t>
      </w:r>
    </w:p>
    <w:p w14:paraId="177665F7" w14:textId="1244D15E" w:rsidR="00023427" w:rsidRPr="00256975" w:rsidRDefault="00023427" w:rsidP="00023427">
      <w:pPr>
        <w:pStyle w:val="ListParagraph"/>
        <w:numPr>
          <w:ilvl w:val="0"/>
          <w:numId w:val="1"/>
        </w:numPr>
        <w:spacing w:before="100" w:beforeAutospacing="1" w:after="100" w:afterAutospacing="1" w:line="360" w:lineRule="auto"/>
        <w:jc w:val="both"/>
        <w:rPr>
          <w:rFonts w:ascii="Arial" w:eastAsia="Times New Roman" w:hAnsi="Arial" w:cs="Arial"/>
          <w:b/>
          <w:bCs/>
          <w:lang w:eastAsia="pt-BR"/>
        </w:rPr>
      </w:pPr>
      <w:r w:rsidRPr="003175A8">
        <w:rPr>
          <w:rFonts w:ascii="Arial" w:hAnsi="Arial" w:cs="Arial"/>
          <w:b/>
          <w:bCs/>
        </w:rPr>
        <w:t xml:space="preserve">RESULTS </w:t>
      </w:r>
    </w:p>
    <w:p w14:paraId="2C0D11D6" w14:textId="134EED94"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Table 1. Studies Included in the Systematic Review</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1272"/>
        <w:gridCol w:w="2033"/>
        <w:gridCol w:w="2066"/>
        <w:gridCol w:w="2079"/>
      </w:tblGrid>
      <w:tr w:rsidR="00023427" w:rsidRPr="00023427" w14:paraId="41F0140C" w14:textId="77777777" w:rsidTr="00023427">
        <w:trPr>
          <w:tblHeader/>
          <w:tblCellSpacing w:w="15" w:type="dxa"/>
        </w:trPr>
        <w:tc>
          <w:tcPr>
            <w:tcW w:w="0" w:type="auto"/>
            <w:vAlign w:val="center"/>
            <w:hideMark/>
          </w:tcPr>
          <w:p w14:paraId="78D725BD"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Author (Year)</w:t>
            </w:r>
          </w:p>
        </w:tc>
        <w:tc>
          <w:tcPr>
            <w:tcW w:w="0" w:type="auto"/>
            <w:vAlign w:val="center"/>
            <w:hideMark/>
          </w:tcPr>
          <w:p w14:paraId="70CFC955"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Study Type</w:t>
            </w:r>
          </w:p>
        </w:tc>
        <w:tc>
          <w:tcPr>
            <w:tcW w:w="0" w:type="auto"/>
            <w:vAlign w:val="center"/>
            <w:hideMark/>
          </w:tcPr>
          <w:p w14:paraId="6E6BA90D"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Population</w:t>
            </w:r>
          </w:p>
        </w:tc>
        <w:tc>
          <w:tcPr>
            <w:tcW w:w="0" w:type="auto"/>
            <w:vAlign w:val="center"/>
            <w:hideMark/>
          </w:tcPr>
          <w:p w14:paraId="33415C92"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Intervention</w:t>
            </w:r>
          </w:p>
        </w:tc>
        <w:tc>
          <w:tcPr>
            <w:tcW w:w="0" w:type="auto"/>
            <w:vAlign w:val="center"/>
            <w:hideMark/>
          </w:tcPr>
          <w:p w14:paraId="6D8928D3"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Main Findings</w:t>
            </w:r>
          </w:p>
        </w:tc>
      </w:tr>
      <w:tr w:rsidR="00023427" w:rsidRPr="00023427" w14:paraId="42475CDD" w14:textId="77777777" w:rsidTr="00023427">
        <w:trPr>
          <w:tblCellSpacing w:w="15" w:type="dxa"/>
        </w:trPr>
        <w:tc>
          <w:tcPr>
            <w:tcW w:w="0" w:type="auto"/>
            <w:vAlign w:val="center"/>
            <w:hideMark/>
          </w:tcPr>
          <w:p w14:paraId="323DF1B1"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MacColl et al. (2024)</w:t>
            </w:r>
          </w:p>
        </w:tc>
        <w:tc>
          <w:tcPr>
            <w:tcW w:w="0" w:type="auto"/>
            <w:vAlign w:val="center"/>
            <w:hideMark/>
          </w:tcPr>
          <w:p w14:paraId="0D6DEB45"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Physiological review</w:t>
            </w:r>
          </w:p>
        </w:tc>
        <w:tc>
          <w:tcPr>
            <w:tcW w:w="0" w:type="auto"/>
            <w:vAlign w:val="center"/>
            <w:hideMark/>
          </w:tcPr>
          <w:p w14:paraId="4CE772F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acute trauma</w:t>
            </w:r>
          </w:p>
        </w:tc>
        <w:tc>
          <w:tcPr>
            <w:tcW w:w="0" w:type="auto"/>
            <w:vAlign w:val="center"/>
            <w:hideMark/>
          </w:tcPr>
          <w:p w14:paraId="6632FAD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Discussion of metabolic cascade and clinical strategies</w:t>
            </w:r>
          </w:p>
        </w:tc>
        <w:tc>
          <w:tcPr>
            <w:tcW w:w="0" w:type="auto"/>
            <w:vAlign w:val="center"/>
            <w:hideMark/>
          </w:tcPr>
          <w:p w14:paraId="4CCF283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Highlights hypermetabolism; recommends aggressive glycemic and thermal control</w:t>
            </w:r>
          </w:p>
        </w:tc>
      </w:tr>
      <w:tr w:rsidR="00023427" w:rsidRPr="00023427" w14:paraId="6C2F0972" w14:textId="77777777" w:rsidTr="00023427">
        <w:trPr>
          <w:tblCellSpacing w:w="15" w:type="dxa"/>
        </w:trPr>
        <w:tc>
          <w:tcPr>
            <w:tcW w:w="0" w:type="auto"/>
            <w:vAlign w:val="center"/>
            <w:hideMark/>
          </w:tcPr>
          <w:p w14:paraId="46C266A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Bouras et al. (2022)</w:t>
            </w:r>
          </w:p>
        </w:tc>
        <w:tc>
          <w:tcPr>
            <w:tcW w:w="0" w:type="auto"/>
            <w:vAlign w:val="center"/>
            <w:hideMark/>
          </w:tcPr>
          <w:p w14:paraId="2AE9ACE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619ADA48"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TBI</w:t>
            </w:r>
          </w:p>
        </w:tc>
        <w:tc>
          <w:tcPr>
            <w:tcW w:w="0" w:type="auto"/>
            <w:vAlign w:val="center"/>
            <w:hideMark/>
          </w:tcPr>
          <w:p w14:paraId="0CB4D71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Immunomodulatory therapies post-TBI</w:t>
            </w:r>
          </w:p>
        </w:tc>
        <w:tc>
          <w:tcPr>
            <w:tcW w:w="0" w:type="auto"/>
            <w:vAlign w:val="center"/>
            <w:hideMark/>
          </w:tcPr>
          <w:p w14:paraId="10AD875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Neuroimmune regulation may prevent infection and late dysfunction</w:t>
            </w:r>
          </w:p>
        </w:tc>
      </w:tr>
      <w:tr w:rsidR="00023427" w:rsidRPr="00023427" w14:paraId="3B0DD022" w14:textId="77777777" w:rsidTr="00023427">
        <w:trPr>
          <w:tblCellSpacing w:w="15" w:type="dxa"/>
        </w:trPr>
        <w:tc>
          <w:tcPr>
            <w:tcW w:w="0" w:type="auto"/>
            <w:vAlign w:val="center"/>
            <w:hideMark/>
          </w:tcPr>
          <w:p w14:paraId="638A549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lastRenderedPageBreak/>
              <w:t>Skelton &amp; Purcell (2020)</w:t>
            </w:r>
          </w:p>
        </w:tc>
        <w:tc>
          <w:tcPr>
            <w:tcW w:w="0" w:type="auto"/>
            <w:vAlign w:val="center"/>
            <w:hideMark/>
          </w:tcPr>
          <w:p w14:paraId="4CDD3B7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Experimental review</w:t>
            </w:r>
          </w:p>
        </w:tc>
        <w:tc>
          <w:tcPr>
            <w:tcW w:w="0" w:type="auto"/>
            <w:vAlign w:val="center"/>
            <w:hideMark/>
          </w:tcPr>
          <w:p w14:paraId="5E40218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Animal trauma models</w:t>
            </w:r>
          </w:p>
        </w:tc>
        <w:tc>
          <w:tcPr>
            <w:tcW w:w="0" w:type="auto"/>
            <w:vAlign w:val="center"/>
            <w:hideMark/>
          </w:tcPr>
          <w:p w14:paraId="5D53CA5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Preclinical models for immune regulation</w:t>
            </w:r>
          </w:p>
        </w:tc>
        <w:tc>
          <w:tcPr>
            <w:tcW w:w="0" w:type="auto"/>
            <w:vAlign w:val="center"/>
            <w:hideMark/>
          </w:tcPr>
          <w:p w14:paraId="7286DE5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Models replicate inflammatory response and are useful for testing interventions</w:t>
            </w:r>
          </w:p>
        </w:tc>
      </w:tr>
      <w:tr w:rsidR="00023427" w:rsidRPr="00023427" w14:paraId="61C1F8B7" w14:textId="77777777" w:rsidTr="00023427">
        <w:trPr>
          <w:tblCellSpacing w:w="15" w:type="dxa"/>
        </w:trPr>
        <w:tc>
          <w:tcPr>
            <w:tcW w:w="0" w:type="auto"/>
            <w:vAlign w:val="center"/>
            <w:hideMark/>
          </w:tcPr>
          <w:p w14:paraId="1BF6784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Aswani et al. (2018)</w:t>
            </w:r>
          </w:p>
        </w:tc>
        <w:tc>
          <w:tcPr>
            <w:tcW w:w="0" w:type="auto"/>
            <w:vAlign w:val="center"/>
            <w:hideMark/>
          </w:tcPr>
          <w:p w14:paraId="5971F48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Experimental study</w:t>
            </w:r>
          </w:p>
        </w:tc>
        <w:tc>
          <w:tcPr>
            <w:tcW w:w="0" w:type="auto"/>
            <w:vAlign w:val="center"/>
            <w:hideMark/>
          </w:tcPr>
          <w:p w14:paraId="03BF58C8" w14:textId="5A49813B" w:rsidR="00023427" w:rsidRPr="006C2B37" w:rsidRDefault="00023427" w:rsidP="00023427">
            <w:pPr>
              <w:spacing w:before="100" w:beforeAutospacing="1" w:after="100" w:afterAutospacing="1" w:line="360" w:lineRule="auto"/>
              <w:jc w:val="both"/>
              <w:rPr>
                <w:rFonts w:ascii="Arial" w:eastAsia="Times New Roman" w:hAnsi="Arial" w:cs="Arial"/>
                <w:sz w:val="20"/>
                <w:szCs w:val="20"/>
                <w:highlight w:val="yellow"/>
                <w:lang w:eastAsia="pt-BR"/>
              </w:rPr>
            </w:pPr>
            <w:r w:rsidRPr="006C2B37">
              <w:rPr>
                <w:rFonts w:ascii="Arial" w:eastAsia="Times New Roman" w:hAnsi="Arial" w:cs="Arial"/>
                <w:sz w:val="20"/>
                <w:szCs w:val="20"/>
                <w:highlight w:val="yellow"/>
                <w:lang w:eastAsia="pt-BR"/>
              </w:rPr>
              <w:t>Animal model of trauma/</w:t>
            </w:r>
            <w:r w:rsidR="00D9738A" w:rsidRPr="006C2B37">
              <w:rPr>
                <w:rFonts w:ascii="Arial" w:eastAsia="Times New Roman" w:hAnsi="Arial" w:cs="Arial"/>
                <w:sz w:val="20"/>
                <w:szCs w:val="20"/>
                <w:highlight w:val="yellow"/>
                <w:lang w:eastAsia="pt-BR"/>
              </w:rPr>
              <w:t>haemorrhage</w:t>
            </w:r>
          </w:p>
        </w:tc>
        <w:tc>
          <w:tcPr>
            <w:tcW w:w="0" w:type="auto"/>
            <w:vAlign w:val="center"/>
            <w:hideMark/>
          </w:tcPr>
          <w:p w14:paraId="5EBDB3CA" w14:textId="77777777" w:rsidR="00023427" w:rsidRPr="006C2B37" w:rsidRDefault="00023427" w:rsidP="00023427">
            <w:pPr>
              <w:spacing w:before="100" w:beforeAutospacing="1" w:after="100" w:afterAutospacing="1" w:line="360" w:lineRule="auto"/>
              <w:jc w:val="both"/>
              <w:rPr>
                <w:rFonts w:ascii="Arial" w:eastAsia="Times New Roman" w:hAnsi="Arial" w:cs="Arial"/>
                <w:sz w:val="20"/>
                <w:szCs w:val="20"/>
                <w:highlight w:val="yellow"/>
                <w:lang w:eastAsia="pt-BR"/>
              </w:rPr>
            </w:pPr>
            <w:r w:rsidRPr="006C2B37">
              <w:rPr>
                <w:rFonts w:ascii="Arial" w:eastAsia="Times New Roman" w:hAnsi="Arial" w:cs="Arial"/>
                <w:sz w:val="20"/>
                <w:szCs w:val="20"/>
                <w:highlight w:val="yellow"/>
                <w:lang w:eastAsia="pt-BR"/>
              </w:rPr>
              <w:t>Circulating mitochondrial DNA blockade</w:t>
            </w:r>
          </w:p>
        </w:tc>
        <w:tc>
          <w:tcPr>
            <w:tcW w:w="0" w:type="auto"/>
            <w:vAlign w:val="center"/>
            <w:hideMark/>
          </w:tcPr>
          <w:p w14:paraId="2EA742F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Reduced organ failure and inflammation via DAMP inhibition</w:t>
            </w:r>
          </w:p>
        </w:tc>
      </w:tr>
      <w:tr w:rsidR="00023427" w:rsidRPr="00023427" w14:paraId="05BBB373" w14:textId="77777777" w:rsidTr="00023427">
        <w:trPr>
          <w:tblCellSpacing w:w="15" w:type="dxa"/>
        </w:trPr>
        <w:tc>
          <w:tcPr>
            <w:tcW w:w="0" w:type="auto"/>
            <w:vAlign w:val="center"/>
            <w:hideMark/>
          </w:tcPr>
          <w:p w14:paraId="696F7AA4"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Lederer (2014)</w:t>
            </w:r>
          </w:p>
        </w:tc>
        <w:tc>
          <w:tcPr>
            <w:tcW w:w="0" w:type="auto"/>
            <w:vAlign w:val="center"/>
            <w:hideMark/>
          </w:tcPr>
          <w:p w14:paraId="74C0D093"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Theoretical review</w:t>
            </w:r>
          </w:p>
        </w:tc>
        <w:tc>
          <w:tcPr>
            <w:tcW w:w="0" w:type="auto"/>
            <w:vAlign w:val="center"/>
            <w:hideMark/>
          </w:tcPr>
          <w:p w14:paraId="240E7FE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Polytraumatized patients</w:t>
            </w:r>
          </w:p>
        </w:tc>
        <w:tc>
          <w:tcPr>
            <w:tcW w:w="0" w:type="auto"/>
            <w:vAlign w:val="center"/>
            <w:hideMark/>
          </w:tcPr>
          <w:p w14:paraId="5B4E8FE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Discussion of trauma as an inflammatory disease</w:t>
            </w:r>
          </w:p>
        </w:tc>
        <w:tc>
          <w:tcPr>
            <w:tcW w:w="0" w:type="auto"/>
            <w:vAlign w:val="center"/>
            <w:hideMark/>
          </w:tcPr>
          <w:p w14:paraId="6FF42EFE" w14:textId="42EF46C0"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 xml:space="preserve">Suggests </w:t>
            </w:r>
            <w:r w:rsidR="00D9738A">
              <w:rPr>
                <w:rFonts w:ascii="Arial" w:eastAsia="Times New Roman" w:hAnsi="Arial" w:cs="Arial"/>
                <w:sz w:val="20"/>
                <w:szCs w:val="20"/>
                <w:lang w:eastAsia="pt-BR"/>
              </w:rPr>
              <w:t xml:space="preserve">the </w:t>
            </w:r>
            <w:r w:rsidRPr="00023427">
              <w:rPr>
                <w:rFonts w:ascii="Arial" w:eastAsia="Times New Roman" w:hAnsi="Arial" w:cs="Arial"/>
                <w:sz w:val="20"/>
                <w:szCs w:val="20"/>
                <w:lang w:eastAsia="pt-BR"/>
              </w:rPr>
              <w:t>need for specific immunoregulatory therapies</w:t>
            </w:r>
          </w:p>
        </w:tc>
      </w:tr>
      <w:tr w:rsidR="00023427" w:rsidRPr="00023427" w14:paraId="4B9E25D5" w14:textId="77777777" w:rsidTr="00023427">
        <w:trPr>
          <w:tblCellSpacing w:w="15" w:type="dxa"/>
        </w:trPr>
        <w:tc>
          <w:tcPr>
            <w:tcW w:w="0" w:type="auto"/>
            <w:vAlign w:val="center"/>
            <w:hideMark/>
          </w:tcPr>
          <w:p w14:paraId="0CDFE8E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Li &amp; Shen (2017)</w:t>
            </w:r>
          </w:p>
        </w:tc>
        <w:tc>
          <w:tcPr>
            <w:tcW w:w="0" w:type="auto"/>
            <w:vAlign w:val="center"/>
            <w:hideMark/>
          </w:tcPr>
          <w:p w14:paraId="04F7444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1D044260"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Critically ill/trauma patients</w:t>
            </w:r>
          </w:p>
        </w:tc>
        <w:tc>
          <w:tcPr>
            <w:tcW w:w="0" w:type="auto"/>
            <w:vAlign w:val="center"/>
            <w:hideMark/>
          </w:tcPr>
          <w:p w14:paraId="47730EC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Early enteral nutrition</w:t>
            </w:r>
          </w:p>
        </w:tc>
        <w:tc>
          <w:tcPr>
            <w:tcW w:w="0" w:type="auto"/>
            <w:vAlign w:val="center"/>
            <w:hideMark/>
          </w:tcPr>
          <w:p w14:paraId="240AC11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Fewer complications and better immunometabolic response</w:t>
            </w:r>
          </w:p>
        </w:tc>
      </w:tr>
      <w:tr w:rsidR="00023427" w:rsidRPr="00023427" w14:paraId="08DF2346" w14:textId="77777777" w:rsidTr="00023427">
        <w:trPr>
          <w:tblCellSpacing w:w="15" w:type="dxa"/>
        </w:trPr>
        <w:tc>
          <w:tcPr>
            <w:tcW w:w="0" w:type="auto"/>
            <w:vAlign w:val="center"/>
            <w:hideMark/>
          </w:tcPr>
          <w:p w14:paraId="0D1E491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Chignalia et al. (2015)</w:t>
            </w:r>
          </w:p>
        </w:tc>
        <w:tc>
          <w:tcPr>
            <w:tcW w:w="0" w:type="auto"/>
            <w:vAlign w:val="center"/>
            <w:hideMark/>
          </w:tcPr>
          <w:p w14:paraId="5DE7336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Thematic review</w:t>
            </w:r>
          </w:p>
        </w:tc>
        <w:tc>
          <w:tcPr>
            <w:tcW w:w="0" w:type="auto"/>
            <w:vAlign w:val="center"/>
            <w:hideMark/>
          </w:tcPr>
          <w:p w14:paraId="09ACB34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pulmonary trauma</w:t>
            </w:r>
          </w:p>
        </w:tc>
        <w:tc>
          <w:tcPr>
            <w:tcW w:w="0" w:type="auto"/>
            <w:vAlign w:val="center"/>
            <w:hideMark/>
          </w:tcPr>
          <w:p w14:paraId="4166FDC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Study of endothelial glycocalyx</w:t>
            </w:r>
          </w:p>
        </w:tc>
        <w:tc>
          <w:tcPr>
            <w:tcW w:w="0" w:type="auto"/>
            <w:vAlign w:val="center"/>
            <w:hideMark/>
          </w:tcPr>
          <w:p w14:paraId="27231B68"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Glycocalyx as a therapeutic target for inflammation and endothelial dysfunction</w:t>
            </w:r>
          </w:p>
        </w:tc>
      </w:tr>
      <w:tr w:rsidR="00023427" w:rsidRPr="00023427" w14:paraId="2C865D66" w14:textId="77777777" w:rsidTr="00023427">
        <w:trPr>
          <w:tblCellSpacing w:w="15" w:type="dxa"/>
        </w:trPr>
        <w:tc>
          <w:tcPr>
            <w:tcW w:w="0" w:type="auto"/>
            <w:vAlign w:val="center"/>
            <w:hideMark/>
          </w:tcPr>
          <w:p w14:paraId="7358FAA2"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Palmer et al. (2019)</w:t>
            </w:r>
          </w:p>
        </w:tc>
        <w:tc>
          <w:tcPr>
            <w:tcW w:w="0" w:type="auto"/>
            <w:vAlign w:val="center"/>
            <w:hideMark/>
          </w:tcPr>
          <w:p w14:paraId="3794209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Cohort study</w:t>
            </w:r>
          </w:p>
        </w:tc>
        <w:tc>
          <w:tcPr>
            <w:tcW w:w="0" w:type="auto"/>
            <w:vAlign w:val="center"/>
            <w:hideMark/>
          </w:tcPr>
          <w:p w14:paraId="48B452B2"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Elderly polytraumatized patients</w:t>
            </w:r>
          </w:p>
        </w:tc>
        <w:tc>
          <w:tcPr>
            <w:tcW w:w="0" w:type="auto"/>
            <w:vAlign w:val="center"/>
            <w:hideMark/>
          </w:tcPr>
          <w:p w14:paraId="48D555D3"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Inflammatory and hormonal biomarker analysis</w:t>
            </w:r>
          </w:p>
        </w:tc>
        <w:tc>
          <w:tcPr>
            <w:tcW w:w="0" w:type="auto"/>
            <w:vAlign w:val="center"/>
            <w:hideMark/>
          </w:tcPr>
          <w:p w14:paraId="3B4A4D5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Frailty associated with ↑ TNF-α, IL-6 and ↓ IGF-1</w:t>
            </w:r>
          </w:p>
        </w:tc>
      </w:tr>
      <w:tr w:rsidR="00023427" w:rsidRPr="00023427" w14:paraId="15BBF934" w14:textId="77777777" w:rsidTr="00023427">
        <w:trPr>
          <w:tblCellSpacing w:w="15" w:type="dxa"/>
        </w:trPr>
        <w:tc>
          <w:tcPr>
            <w:tcW w:w="0" w:type="auto"/>
            <w:vAlign w:val="center"/>
            <w:hideMark/>
          </w:tcPr>
          <w:p w14:paraId="39B9D484"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Al-Tarrah et al. (2017)</w:t>
            </w:r>
          </w:p>
        </w:tc>
        <w:tc>
          <w:tcPr>
            <w:tcW w:w="0" w:type="auto"/>
            <w:vAlign w:val="center"/>
            <w:hideMark/>
          </w:tcPr>
          <w:p w14:paraId="291AAA3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7F00C6C9"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Burn patients</w:t>
            </w:r>
          </w:p>
        </w:tc>
        <w:tc>
          <w:tcPr>
            <w:tcW w:w="0" w:type="auto"/>
            <w:vAlign w:val="center"/>
            <w:hideMark/>
          </w:tcPr>
          <w:p w14:paraId="5BD6FFC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Influence of sex hormones</w:t>
            </w:r>
          </w:p>
        </w:tc>
        <w:tc>
          <w:tcPr>
            <w:tcW w:w="0" w:type="auto"/>
            <w:vAlign w:val="center"/>
            <w:hideMark/>
          </w:tcPr>
          <w:p w14:paraId="62208C8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Immunological and inflammatory effects mediated by estrogen and testosterone</w:t>
            </w:r>
          </w:p>
        </w:tc>
      </w:tr>
      <w:tr w:rsidR="00023427" w:rsidRPr="00023427" w14:paraId="1A4E7F77" w14:textId="77777777" w:rsidTr="00023427">
        <w:trPr>
          <w:tblCellSpacing w:w="15" w:type="dxa"/>
        </w:trPr>
        <w:tc>
          <w:tcPr>
            <w:tcW w:w="0" w:type="auto"/>
            <w:vAlign w:val="center"/>
            <w:hideMark/>
          </w:tcPr>
          <w:p w14:paraId="6753F16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Horner et al. (2023)</w:t>
            </w:r>
          </w:p>
        </w:tc>
        <w:tc>
          <w:tcPr>
            <w:tcW w:w="0" w:type="auto"/>
            <w:vAlign w:val="center"/>
            <w:hideMark/>
          </w:tcPr>
          <w:p w14:paraId="1A61722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2766468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severe trauma</w:t>
            </w:r>
          </w:p>
        </w:tc>
        <w:tc>
          <w:tcPr>
            <w:tcW w:w="0" w:type="auto"/>
            <w:vAlign w:val="center"/>
            <w:hideMark/>
          </w:tcPr>
          <w:p w14:paraId="19AC472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Blockade of immunosuppressive DAMPs</w:t>
            </w:r>
          </w:p>
        </w:tc>
        <w:tc>
          <w:tcPr>
            <w:tcW w:w="0" w:type="auto"/>
            <w:vAlign w:val="center"/>
            <w:hideMark/>
          </w:tcPr>
          <w:p w14:paraId="0132F0D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Reduced post-trauma immune dysfunction via DAMP inhibition</w:t>
            </w:r>
          </w:p>
        </w:tc>
      </w:tr>
      <w:tr w:rsidR="00023427" w:rsidRPr="00023427" w14:paraId="5F1D52BA" w14:textId="77777777" w:rsidTr="00023427">
        <w:trPr>
          <w:tblCellSpacing w:w="15" w:type="dxa"/>
        </w:trPr>
        <w:tc>
          <w:tcPr>
            <w:tcW w:w="0" w:type="auto"/>
            <w:vAlign w:val="center"/>
            <w:hideMark/>
          </w:tcPr>
          <w:p w14:paraId="507CA869"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Hazeldine et al. (2015)</w:t>
            </w:r>
          </w:p>
        </w:tc>
        <w:tc>
          <w:tcPr>
            <w:tcW w:w="0" w:type="auto"/>
            <w:vAlign w:val="center"/>
            <w:hideMark/>
          </w:tcPr>
          <w:p w14:paraId="5955A19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Critical review</w:t>
            </w:r>
          </w:p>
        </w:tc>
        <w:tc>
          <w:tcPr>
            <w:tcW w:w="0" w:type="auto"/>
            <w:vAlign w:val="center"/>
            <w:hideMark/>
          </w:tcPr>
          <w:p w14:paraId="452607E9"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Elderly trauma patients</w:t>
            </w:r>
          </w:p>
        </w:tc>
        <w:tc>
          <w:tcPr>
            <w:tcW w:w="0" w:type="auto"/>
            <w:vAlign w:val="center"/>
            <w:hideMark/>
          </w:tcPr>
          <w:p w14:paraId="5F0A437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Immunosenescence and chronic inflammation</w:t>
            </w:r>
          </w:p>
        </w:tc>
        <w:tc>
          <w:tcPr>
            <w:tcW w:w="0" w:type="auto"/>
            <w:vAlign w:val="center"/>
            <w:hideMark/>
          </w:tcPr>
          <w:p w14:paraId="27CC2E6A" w14:textId="040C9819"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 xml:space="preserve">Immune frailty in </w:t>
            </w:r>
            <w:r w:rsidR="00D9738A">
              <w:rPr>
                <w:rFonts w:ascii="Arial" w:eastAsia="Times New Roman" w:hAnsi="Arial" w:cs="Arial"/>
                <w:sz w:val="20"/>
                <w:szCs w:val="20"/>
                <w:lang w:eastAsia="pt-BR"/>
              </w:rPr>
              <w:t xml:space="preserve">the </w:t>
            </w:r>
            <w:r w:rsidRPr="00023427">
              <w:rPr>
                <w:rFonts w:ascii="Arial" w:eastAsia="Times New Roman" w:hAnsi="Arial" w:cs="Arial"/>
                <w:sz w:val="20"/>
                <w:szCs w:val="20"/>
                <w:lang w:eastAsia="pt-BR"/>
              </w:rPr>
              <w:t>elderly worsens prognosis</w:t>
            </w:r>
          </w:p>
        </w:tc>
      </w:tr>
      <w:tr w:rsidR="00023427" w:rsidRPr="00023427" w14:paraId="034C4CF2" w14:textId="77777777" w:rsidTr="00023427">
        <w:trPr>
          <w:tblCellSpacing w:w="15" w:type="dxa"/>
        </w:trPr>
        <w:tc>
          <w:tcPr>
            <w:tcW w:w="0" w:type="auto"/>
            <w:vAlign w:val="center"/>
            <w:hideMark/>
          </w:tcPr>
          <w:p w14:paraId="02FB8895"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lastRenderedPageBreak/>
              <w:t>Cabrera et al. (2017)</w:t>
            </w:r>
          </w:p>
        </w:tc>
        <w:tc>
          <w:tcPr>
            <w:tcW w:w="0" w:type="auto"/>
            <w:vAlign w:val="center"/>
            <w:hideMark/>
          </w:tcPr>
          <w:p w14:paraId="06B37BE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Molecular study</w:t>
            </w:r>
          </w:p>
        </w:tc>
        <w:tc>
          <w:tcPr>
            <w:tcW w:w="0" w:type="auto"/>
            <w:vAlign w:val="center"/>
            <w:hideMark/>
          </w:tcPr>
          <w:p w14:paraId="2EA4C9C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severe trauma</w:t>
            </w:r>
          </w:p>
        </w:tc>
        <w:tc>
          <w:tcPr>
            <w:tcW w:w="0" w:type="auto"/>
            <w:vAlign w:val="center"/>
            <w:hideMark/>
          </w:tcPr>
          <w:p w14:paraId="02DD89A4"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Identification of organ dysfunction biomarkers</w:t>
            </w:r>
          </w:p>
        </w:tc>
        <w:tc>
          <w:tcPr>
            <w:tcW w:w="0" w:type="auto"/>
            <w:vAlign w:val="center"/>
            <w:hideMark/>
          </w:tcPr>
          <w:p w14:paraId="07F5FF35"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Inflammatory signatures predict early multi-organ failure</w:t>
            </w:r>
          </w:p>
        </w:tc>
      </w:tr>
      <w:tr w:rsidR="00023427" w:rsidRPr="00023427" w14:paraId="507D8560" w14:textId="77777777" w:rsidTr="00023427">
        <w:trPr>
          <w:tblCellSpacing w:w="15" w:type="dxa"/>
        </w:trPr>
        <w:tc>
          <w:tcPr>
            <w:tcW w:w="0" w:type="auto"/>
            <w:vAlign w:val="center"/>
            <w:hideMark/>
          </w:tcPr>
          <w:p w14:paraId="2130809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Bonaroti et al. (2021)</w:t>
            </w:r>
          </w:p>
        </w:tc>
        <w:tc>
          <w:tcPr>
            <w:tcW w:w="0" w:type="auto"/>
            <w:vAlign w:val="center"/>
            <w:hideMark/>
          </w:tcPr>
          <w:p w14:paraId="5CC2C96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Multiplexing study</w:t>
            </w:r>
          </w:p>
        </w:tc>
        <w:tc>
          <w:tcPr>
            <w:tcW w:w="0" w:type="auto"/>
            <w:vAlign w:val="center"/>
            <w:hideMark/>
          </w:tcPr>
          <w:p w14:paraId="37B5C68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Trauma and sepsis patients</w:t>
            </w:r>
          </w:p>
        </w:tc>
        <w:tc>
          <w:tcPr>
            <w:tcW w:w="0" w:type="auto"/>
            <w:vAlign w:val="center"/>
            <w:hideMark/>
          </w:tcPr>
          <w:p w14:paraId="538F0C0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Cytokine analysis via multiplex technology</w:t>
            </w:r>
          </w:p>
        </w:tc>
        <w:tc>
          <w:tcPr>
            <w:tcW w:w="0" w:type="auto"/>
            <w:vAlign w:val="center"/>
            <w:hideMark/>
          </w:tcPr>
          <w:p w14:paraId="31CE401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Inflammatory network mapping to guide therapy</w:t>
            </w:r>
          </w:p>
        </w:tc>
      </w:tr>
      <w:tr w:rsidR="00023427" w:rsidRPr="00023427" w14:paraId="7E30AB7A" w14:textId="77777777" w:rsidTr="00023427">
        <w:trPr>
          <w:tblCellSpacing w:w="15" w:type="dxa"/>
        </w:trPr>
        <w:tc>
          <w:tcPr>
            <w:tcW w:w="0" w:type="auto"/>
            <w:vAlign w:val="center"/>
            <w:hideMark/>
          </w:tcPr>
          <w:p w14:paraId="7A72979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Valade et al. (2021)</w:t>
            </w:r>
          </w:p>
        </w:tc>
        <w:tc>
          <w:tcPr>
            <w:tcW w:w="0" w:type="auto"/>
            <w:vAlign w:val="center"/>
            <w:hideMark/>
          </w:tcPr>
          <w:p w14:paraId="192EE61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Experimental study</w:t>
            </w:r>
          </w:p>
        </w:tc>
        <w:tc>
          <w:tcPr>
            <w:tcW w:w="0" w:type="auto"/>
            <w:vAlign w:val="center"/>
            <w:hideMark/>
          </w:tcPr>
          <w:p w14:paraId="373D864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Trauma models</w:t>
            </w:r>
          </w:p>
        </w:tc>
        <w:tc>
          <w:tcPr>
            <w:tcW w:w="0" w:type="auto"/>
            <w:vAlign w:val="center"/>
            <w:hideMark/>
          </w:tcPr>
          <w:p w14:paraId="4E5512A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Stem cell-derived extracellular vesicles</w:t>
            </w:r>
          </w:p>
        </w:tc>
        <w:tc>
          <w:tcPr>
            <w:tcW w:w="0" w:type="auto"/>
            <w:vAlign w:val="center"/>
            <w:hideMark/>
          </w:tcPr>
          <w:p w14:paraId="30BA829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Reduced inflammation and organ dysfunction in experimental models</w:t>
            </w:r>
          </w:p>
        </w:tc>
      </w:tr>
      <w:tr w:rsidR="00023427" w:rsidRPr="00023427" w14:paraId="2D87D200" w14:textId="77777777" w:rsidTr="00023427">
        <w:trPr>
          <w:tblCellSpacing w:w="15" w:type="dxa"/>
        </w:trPr>
        <w:tc>
          <w:tcPr>
            <w:tcW w:w="0" w:type="auto"/>
            <w:vAlign w:val="center"/>
            <w:hideMark/>
          </w:tcPr>
          <w:p w14:paraId="2C2F523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McBride et al. (2020)</w:t>
            </w:r>
          </w:p>
        </w:tc>
        <w:tc>
          <w:tcPr>
            <w:tcW w:w="0" w:type="auto"/>
            <w:vAlign w:val="center"/>
            <w:hideMark/>
          </w:tcPr>
          <w:p w14:paraId="2E72F628"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0B5A2A03"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Immunosuppressed post-trauma</w:t>
            </w:r>
          </w:p>
        </w:tc>
        <w:tc>
          <w:tcPr>
            <w:tcW w:w="0" w:type="auto"/>
            <w:vAlign w:val="center"/>
            <w:hideMark/>
          </w:tcPr>
          <w:p w14:paraId="1D0A618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Mitochondrial modulation</w:t>
            </w:r>
          </w:p>
        </w:tc>
        <w:tc>
          <w:tcPr>
            <w:tcW w:w="0" w:type="auto"/>
            <w:vAlign w:val="center"/>
            <w:hideMark/>
          </w:tcPr>
          <w:p w14:paraId="324C2081"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Mitochondrial dysfunction as a therapeutic target in immune suppression</w:t>
            </w:r>
          </w:p>
        </w:tc>
      </w:tr>
    </w:tbl>
    <w:p w14:paraId="1A6AC732"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15820938" w14:textId="77843705" w:rsidR="00023427" w:rsidRDefault="00256975" w:rsidP="00023427">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Table 2. Main therapeutic interventions by REMIT axis and related outcomes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29"/>
        <w:gridCol w:w="2368"/>
        <w:gridCol w:w="2035"/>
        <w:gridCol w:w="3072"/>
      </w:tblGrid>
      <w:tr w:rsidR="00256975" w:rsidRPr="00256975" w14:paraId="01B795EC" w14:textId="77777777" w:rsidTr="00256975">
        <w:trPr>
          <w:tblHeader/>
          <w:tblCellSpacing w:w="15" w:type="dxa"/>
        </w:trPr>
        <w:tc>
          <w:tcPr>
            <w:tcW w:w="0" w:type="auto"/>
            <w:vAlign w:val="center"/>
            <w:hideMark/>
          </w:tcPr>
          <w:p w14:paraId="301B345D"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REMIT Axis</w:t>
            </w:r>
          </w:p>
        </w:tc>
        <w:tc>
          <w:tcPr>
            <w:tcW w:w="0" w:type="auto"/>
            <w:vAlign w:val="center"/>
            <w:hideMark/>
          </w:tcPr>
          <w:p w14:paraId="1EB4925A"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Therapeutic Strategy</w:t>
            </w:r>
          </w:p>
        </w:tc>
        <w:tc>
          <w:tcPr>
            <w:tcW w:w="0" w:type="auto"/>
            <w:vAlign w:val="center"/>
            <w:hideMark/>
          </w:tcPr>
          <w:p w14:paraId="105F53E0"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Study</w:t>
            </w:r>
          </w:p>
        </w:tc>
        <w:tc>
          <w:tcPr>
            <w:tcW w:w="0" w:type="auto"/>
            <w:vAlign w:val="center"/>
            <w:hideMark/>
          </w:tcPr>
          <w:p w14:paraId="34216F4C"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Main Outcomes</w:t>
            </w:r>
          </w:p>
        </w:tc>
      </w:tr>
      <w:tr w:rsidR="00256975" w:rsidRPr="00256975" w14:paraId="756B9DF6" w14:textId="77777777" w:rsidTr="00256975">
        <w:trPr>
          <w:tblCellSpacing w:w="15" w:type="dxa"/>
        </w:trPr>
        <w:tc>
          <w:tcPr>
            <w:tcW w:w="0" w:type="auto"/>
            <w:vAlign w:val="center"/>
            <w:hideMark/>
          </w:tcPr>
          <w:p w14:paraId="7AFF3401"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Endocrine</w:t>
            </w:r>
          </w:p>
        </w:tc>
        <w:tc>
          <w:tcPr>
            <w:tcW w:w="0" w:type="auto"/>
            <w:vAlign w:val="center"/>
            <w:hideMark/>
          </w:tcPr>
          <w:p w14:paraId="2B7B103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Beta-blockers (e.g., propranolol)</w:t>
            </w:r>
          </w:p>
        </w:tc>
        <w:tc>
          <w:tcPr>
            <w:tcW w:w="0" w:type="auto"/>
            <w:vAlign w:val="center"/>
            <w:hideMark/>
          </w:tcPr>
          <w:p w14:paraId="2B28DBB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MacColl &amp; Morton (2024) </w:t>
            </w:r>
            <w:hyperlink r:id="rId7" w:history="1">
              <w:r w:rsidRPr="00256975">
                <w:rPr>
                  <w:rStyle w:val="Hyperlink"/>
                  <w:rFonts w:ascii="Arial" w:eastAsia="Times New Roman" w:hAnsi="Arial" w:cs="Arial"/>
                  <w:color w:val="auto"/>
                  <w:sz w:val="20"/>
                  <w:szCs w:val="20"/>
                  <w:u w:val="none"/>
                  <w:lang w:eastAsia="pt-BR"/>
                </w:rPr>
                <w:t>(13)</w:t>
              </w:r>
            </w:hyperlink>
          </w:p>
        </w:tc>
        <w:tc>
          <w:tcPr>
            <w:tcW w:w="0" w:type="auto"/>
            <w:vAlign w:val="center"/>
            <w:hideMark/>
          </w:tcPr>
          <w:p w14:paraId="598243B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Reduced cardiac stress and hypermetabolism in burn trauma</w:t>
            </w:r>
          </w:p>
        </w:tc>
      </w:tr>
      <w:tr w:rsidR="00256975" w:rsidRPr="00256975" w14:paraId="4B6BC12D" w14:textId="77777777" w:rsidTr="00256975">
        <w:trPr>
          <w:tblCellSpacing w:w="15" w:type="dxa"/>
        </w:trPr>
        <w:tc>
          <w:tcPr>
            <w:tcW w:w="0" w:type="auto"/>
            <w:vAlign w:val="center"/>
            <w:hideMark/>
          </w:tcPr>
          <w:p w14:paraId="3C97DD3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Endocrine</w:t>
            </w:r>
          </w:p>
        </w:tc>
        <w:tc>
          <w:tcPr>
            <w:tcW w:w="0" w:type="auto"/>
            <w:vAlign w:val="center"/>
            <w:hideMark/>
          </w:tcPr>
          <w:p w14:paraId="290DF10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Sex hormone modulation (estrogen, testosterone)</w:t>
            </w:r>
          </w:p>
        </w:tc>
        <w:tc>
          <w:tcPr>
            <w:tcW w:w="0" w:type="auto"/>
            <w:vAlign w:val="center"/>
            <w:hideMark/>
          </w:tcPr>
          <w:p w14:paraId="16E46AE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Al-Tarrah et al. (2017) </w:t>
            </w:r>
            <w:hyperlink r:id="rId8" w:history="1">
              <w:r w:rsidRPr="00256975">
                <w:rPr>
                  <w:rStyle w:val="Hyperlink"/>
                  <w:rFonts w:ascii="Arial" w:eastAsia="Times New Roman" w:hAnsi="Arial" w:cs="Arial"/>
                  <w:color w:val="auto"/>
                  <w:sz w:val="20"/>
                  <w:szCs w:val="20"/>
                  <w:u w:val="none"/>
                  <w:lang w:eastAsia="pt-BR"/>
                </w:rPr>
                <w:t>(21)</w:t>
              </w:r>
            </w:hyperlink>
          </w:p>
        </w:tc>
        <w:tc>
          <w:tcPr>
            <w:tcW w:w="0" w:type="auto"/>
            <w:vAlign w:val="center"/>
            <w:hideMark/>
          </w:tcPr>
          <w:p w14:paraId="53E676E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Modulated inflammatory and immune response</w:t>
            </w:r>
          </w:p>
        </w:tc>
      </w:tr>
      <w:tr w:rsidR="00256975" w:rsidRPr="00256975" w14:paraId="57EA61EA" w14:textId="77777777" w:rsidTr="00256975">
        <w:trPr>
          <w:tblCellSpacing w:w="15" w:type="dxa"/>
        </w:trPr>
        <w:tc>
          <w:tcPr>
            <w:tcW w:w="0" w:type="auto"/>
            <w:vAlign w:val="center"/>
            <w:hideMark/>
          </w:tcPr>
          <w:p w14:paraId="7FDEA59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Endocrine</w:t>
            </w:r>
          </w:p>
        </w:tc>
        <w:tc>
          <w:tcPr>
            <w:tcW w:w="0" w:type="auto"/>
            <w:vAlign w:val="center"/>
            <w:hideMark/>
          </w:tcPr>
          <w:p w14:paraId="1B83DF0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Corticosteroids</w:t>
            </w:r>
          </w:p>
        </w:tc>
        <w:tc>
          <w:tcPr>
            <w:tcW w:w="0" w:type="auto"/>
            <w:vAlign w:val="center"/>
            <w:hideMark/>
          </w:tcPr>
          <w:p w14:paraId="2D0F367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Lederer (2014) </w:t>
            </w:r>
            <w:hyperlink r:id="rId9" w:history="1">
              <w:r w:rsidRPr="00256975">
                <w:rPr>
                  <w:rStyle w:val="Hyperlink"/>
                  <w:rFonts w:ascii="Arial" w:eastAsia="Times New Roman" w:hAnsi="Arial" w:cs="Arial"/>
                  <w:color w:val="auto"/>
                  <w:sz w:val="20"/>
                  <w:szCs w:val="20"/>
                  <w:u w:val="none"/>
                  <w:lang w:eastAsia="pt-BR"/>
                </w:rPr>
                <w:t>(17)</w:t>
              </w:r>
            </w:hyperlink>
          </w:p>
        </w:tc>
        <w:tc>
          <w:tcPr>
            <w:tcW w:w="0" w:type="auto"/>
            <w:vAlign w:val="center"/>
            <w:hideMark/>
          </w:tcPr>
          <w:p w14:paraId="3BA8DB1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Discussed as potentially immunosuppressive if used chronically</w:t>
            </w:r>
          </w:p>
        </w:tc>
      </w:tr>
      <w:tr w:rsidR="00256975" w:rsidRPr="00256975" w14:paraId="2A0A8427" w14:textId="77777777" w:rsidTr="00256975">
        <w:trPr>
          <w:tblCellSpacing w:w="15" w:type="dxa"/>
        </w:trPr>
        <w:tc>
          <w:tcPr>
            <w:tcW w:w="0" w:type="auto"/>
            <w:vAlign w:val="center"/>
            <w:hideMark/>
          </w:tcPr>
          <w:p w14:paraId="55BB364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Metabolic</w:t>
            </w:r>
          </w:p>
        </w:tc>
        <w:tc>
          <w:tcPr>
            <w:tcW w:w="0" w:type="auto"/>
            <w:vAlign w:val="center"/>
            <w:hideMark/>
          </w:tcPr>
          <w:p w14:paraId="0A1F488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Early enteral nutrition</w:t>
            </w:r>
          </w:p>
        </w:tc>
        <w:tc>
          <w:tcPr>
            <w:tcW w:w="0" w:type="auto"/>
            <w:vAlign w:val="center"/>
            <w:hideMark/>
          </w:tcPr>
          <w:p w14:paraId="6D2EE02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Li &amp; Shen (2017) </w:t>
            </w:r>
            <w:hyperlink r:id="rId10" w:history="1">
              <w:r w:rsidRPr="00256975">
                <w:rPr>
                  <w:rStyle w:val="Hyperlink"/>
                  <w:rFonts w:ascii="Arial" w:eastAsia="Times New Roman" w:hAnsi="Arial" w:cs="Arial"/>
                  <w:color w:val="auto"/>
                  <w:sz w:val="20"/>
                  <w:szCs w:val="20"/>
                  <w:u w:val="none"/>
                  <w:lang w:eastAsia="pt-BR"/>
                </w:rPr>
                <w:t>(18)</w:t>
              </w:r>
            </w:hyperlink>
          </w:p>
        </w:tc>
        <w:tc>
          <w:tcPr>
            <w:tcW w:w="0" w:type="auto"/>
            <w:vAlign w:val="center"/>
            <w:hideMark/>
          </w:tcPr>
          <w:p w14:paraId="3A5A01F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Fewer infections, improved glycemic control, and reduced catabolism</w:t>
            </w:r>
          </w:p>
        </w:tc>
      </w:tr>
      <w:tr w:rsidR="00256975" w:rsidRPr="00256975" w14:paraId="53A15621" w14:textId="77777777" w:rsidTr="00256975">
        <w:trPr>
          <w:tblCellSpacing w:w="15" w:type="dxa"/>
        </w:trPr>
        <w:tc>
          <w:tcPr>
            <w:tcW w:w="0" w:type="auto"/>
            <w:vAlign w:val="center"/>
            <w:hideMark/>
          </w:tcPr>
          <w:p w14:paraId="707C85B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Metabolic</w:t>
            </w:r>
          </w:p>
        </w:tc>
        <w:tc>
          <w:tcPr>
            <w:tcW w:w="0" w:type="auto"/>
            <w:vAlign w:val="center"/>
            <w:hideMark/>
          </w:tcPr>
          <w:p w14:paraId="7422842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Immunonutrition (glutamine, omega-3)</w:t>
            </w:r>
          </w:p>
        </w:tc>
        <w:tc>
          <w:tcPr>
            <w:tcW w:w="0" w:type="auto"/>
            <w:vAlign w:val="center"/>
            <w:hideMark/>
          </w:tcPr>
          <w:p w14:paraId="6B3417A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Rahman et al. (2020) </w:t>
            </w:r>
            <w:hyperlink r:id="rId11" w:history="1">
              <w:r w:rsidRPr="00256975">
                <w:rPr>
                  <w:rStyle w:val="Hyperlink"/>
                  <w:rFonts w:ascii="Arial" w:eastAsia="Times New Roman" w:hAnsi="Arial" w:cs="Arial"/>
                  <w:color w:val="auto"/>
                  <w:sz w:val="20"/>
                  <w:szCs w:val="20"/>
                  <w:u w:val="none"/>
                  <w:lang w:eastAsia="pt-BR"/>
                </w:rPr>
                <w:t>(12)</w:t>
              </w:r>
            </w:hyperlink>
            <w:r w:rsidRPr="00256975">
              <w:rPr>
                <w:rFonts w:ascii="Arial" w:eastAsia="Times New Roman" w:hAnsi="Arial" w:cs="Arial"/>
                <w:sz w:val="20"/>
                <w:szCs w:val="20"/>
                <w:lang w:eastAsia="pt-BR"/>
              </w:rPr>
              <w:t xml:space="preserve">; Li &amp; Shen (2017) </w:t>
            </w:r>
            <w:hyperlink r:id="rId12" w:history="1">
              <w:r w:rsidRPr="00256975">
                <w:rPr>
                  <w:rStyle w:val="Hyperlink"/>
                  <w:rFonts w:ascii="Arial" w:eastAsia="Times New Roman" w:hAnsi="Arial" w:cs="Arial"/>
                  <w:color w:val="auto"/>
                  <w:sz w:val="20"/>
                  <w:szCs w:val="20"/>
                  <w:u w:val="none"/>
                  <w:lang w:eastAsia="pt-BR"/>
                </w:rPr>
                <w:t>(18)</w:t>
              </w:r>
            </w:hyperlink>
          </w:p>
        </w:tc>
        <w:tc>
          <w:tcPr>
            <w:tcW w:w="0" w:type="auto"/>
            <w:vAlign w:val="center"/>
            <w:hideMark/>
          </w:tcPr>
          <w:p w14:paraId="487BE231"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Anti-inflammatory effects, varied clinical efficacy</w:t>
            </w:r>
          </w:p>
        </w:tc>
      </w:tr>
      <w:tr w:rsidR="00256975" w:rsidRPr="00256975" w14:paraId="50E66CA0" w14:textId="77777777" w:rsidTr="00256975">
        <w:trPr>
          <w:tblCellSpacing w:w="15" w:type="dxa"/>
        </w:trPr>
        <w:tc>
          <w:tcPr>
            <w:tcW w:w="0" w:type="auto"/>
            <w:vAlign w:val="center"/>
            <w:hideMark/>
          </w:tcPr>
          <w:p w14:paraId="6F72122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lastRenderedPageBreak/>
              <w:t>Metabolic</w:t>
            </w:r>
          </w:p>
        </w:tc>
        <w:tc>
          <w:tcPr>
            <w:tcW w:w="0" w:type="auto"/>
            <w:vAlign w:val="center"/>
            <w:hideMark/>
          </w:tcPr>
          <w:p w14:paraId="062EED5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Mitochondrial modulation</w:t>
            </w:r>
          </w:p>
        </w:tc>
        <w:tc>
          <w:tcPr>
            <w:tcW w:w="0" w:type="auto"/>
            <w:vAlign w:val="center"/>
            <w:hideMark/>
          </w:tcPr>
          <w:p w14:paraId="5153B24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McBride et al. (2020) </w:t>
            </w:r>
            <w:hyperlink r:id="rId13" w:history="1">
              <w:r w:rsidRPr="00256975">
                <w:rPr>
                  <w:rStyle w:val="Hyperlink"/>
                  <w:rFonts w:ascii="Arial" w:eastAsia="Times New Roman" w:hAnsi="Arial" w:cs="Arial"/>
                  <w:color w:val="auto"/>
                  <w:sz w:val="20"/>
                  <w:szCs w:val="20"/>
                  <w:u w:val="none"/>
                  <w:lang w:eastAsia="pt-BR"/>
                </w:rPr>
                <w:t>(27)</w:t>
              </w:r>
            </w:hyperlink>
          </w:p>
        </w:tc>
        <w:tc>
          <w:tcPr>
            <w:tcW w:w="0" w:type="auto"/>
            <w:vAlign w:val="center"/>
            <w:hideMark/>
          </w:tcPr>
          <w:p w14:paraId="12EAB31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Targeted reversal of immunosuppression via mitochondrial support</w:t>
            </w:r>
          </w:p>
        </w:tc>
      </w:tr>
      <w:tr w:rsidR="00256975" w:rsidRPr="00256975" w14:paraId="251C56E3" w14:textId="77777777" w:rsidTr="00256975">
        <w:trPr>
          <w:tblCellSpacing w:w="15" w:type="dxa"/>
        </w:trPr>
        <w:tc>
          <w:tcPr>
            <w:tcW w:w="0" w:type="auto"/>
            <w:vAlign w:val="center"/>
            <w:hideMark/>
          </w:tcPr>
          <w:p w14:paraId="32E2111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25B6667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DAMP blockade (mitochondrial DNA scavenging, etc.)</w:t>
            </w:r>
          </w:p>
        </w:tc>
        <w:tc>
          <w:tcPr>
            <w:tcW w:w="0" w:type="auto"/>
            <w:vAlign w:val="center"/>
            <w:hideMark/>
          </w:tcPr>
          <w:p w14:paraId="6185A52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Aswani &amp; Manson (2018) </w:t>
            </w:r>
            <w:hyperlink r:id="rId14" w:history="1">
              <w:r w:rsidRPr="00256975">
                <w:rPr>
                  <w:rStyle w:val="Hyperlink"/>
                  <w:rFonts w:ascii="Arial" w:eastAsia="Times New Roman" w:hAnsi="Arial" w:cs="Arial"/>
                  <w:color w:val="auto"/>
                  <w:sz w:val="20"/>
                  <w:szCs w:val="20"/>
                  <w:u w:val="none"/>
                  <w:lang w:eastAsia="pt-BR"/>
                </w:rPr>
                <w:t>(16)</w:t>
              </w:r>
            </w:hyperlink>
            <w:r w:rsidRPr="00256975">
              <w:rPr>
                <w:rFonts w:ascii="Arial" w:eastAsia="Times New Roman" w:hAnsi="Arial" w:cs="Arial"/>
                <w:sz w:val="20"/>
                <w:szCs w:val="20"/>
                <w:lang w:eastAsia="pt-BR"/>
              </w:rPr>
              <w:t xml:space="preserve">; Horner &amp; Lord (2023) </w:t>
            </w:r>
            <w:hyperlink r:id="rId15" w:history="1">
              <w:r w:rsidRPr="00256975">
                <w:rPr>
                  <w:rStyle w:val="Hyperlink"/>
                  <w:rFonts w:ascii="Arial" w:eastAsia="Times New Roman" w:hAnsi="Arial" w:cs="Arial"/>
                  <w:color w:val="auto"/>
                  <w:sz w:val="20"/>
                  <w:szCs w:val="20"/>
                  <w:u w:val="none"/>
                  <w:lang w:eastAsia="pt-BR"/>
                </w:rPr>
                <w:t>(22)</w:t>
              </w:r>
            </w:hyperlink>
          </w:p>
        </w:tc>
        <w:tc>
          <w:tcPr>
            <w:tcW w:w="0" w:type="auto"/>
            <w:vAlign w:val="center"/>
            <w:hideMark/>
          </w:tcPr>
          <w:p w14:paraId="5F1E367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Reduced inflammation and organ dysfunction</w:t>
            </w:r>
          </w:p>
        </w:tc>
      </w:tr>
      <w:tr w:rsidR="00256975" w:rsidRPr="00256975" w14:paraId="01B8C36B" w14:textId="77777777" w:rsidTr="00256975">
        <w:trPr>
          <w:tblCellSpacing w:w="15" w:type="dxa"/>
        </w:trPr>
        <w:tc>
          <w:tcPr>
            <w:tcW w:w="0" w:type="auto"/>
            <w:vAlign w:val="center"/>
            <w:hideMark/>
          </w:tcPr>
          <w:p w14:paraId="4B3E0C45"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266989A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Mesenchymal stem cell-derived extracellular vesicles</w:t>
            </w:r>
          </w:p>
        </w:tc>
        <w:tc>
          <w:tcPr>
            <w:tcW w:w="0" w:type="auto"/>
            <w:vAlign w:val="center"/>
            <w:hideMark/>
          </w:tcPr>
          <w:p w14:paraId="39D3D78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Valade et al. (2021) </w:t>
            </w:r>
            <w:hyperlink r:id="rId16" w:history="1">
              <w:r w:rsidRPr="00256975">
                <w:rPr>
                  <w:rStyle w:val="Hyperlink"/>
                  <w:rFonts w:ascii="Arial" w:eastAsia="Times New Roman" w:hAnsi="Arial" w:cs="Arial"/>
                  <w:color w:val="auto"/>
                  <w:sz w:val="20"/>
                  <w:szCs w:val="20"/>
                  <w:u w:val="none"/>
                  <w:lang w:eastAsia="pt-BR"/>
                </w:rPr>
                <w:t>(26)</w:t>
              </w:r>
            </w:hyperlink>
          </w:p>
        </w:tc>
        <w:tc>
          <w:tcPr>
            <w:tcW w:w="0" w:type="auto"/>
            <w:vAlign w:val="center"/>
            <w:hideMark/>
          </w:tcPr>
          <w:p w14:paraId="0EFFADB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Reduced systemic inflammation and organ injury in experimental models</w:t>
            </w:r>
          </w:p>
        </w:tc>
      </w:tr>
      <w:tr w:rsidR="00256975" w:rsidRPr="00256975" w14:paraId="60D16554" w14:textId="77777777" w:rsidTr="00256975">
        <w:trPr>
          <w:tblCellSpacing w:w="15" w:type="dxa"/>
        </w:trPr>
        <w:tc>
          <w:tcPr>
            <w:tcW w:w="0" w:type="auto"/>
            <w:vAlign w:val="center"/>
            <w:hideMark/>
          </w:tcPr>
          <w:p w14:paraId="282D833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75108AC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 aging and frailty analysis</w:t>
            </w:r>
          </w:p>
        </w:tc>
        <w:tc>
          <w:tcPr>
            <w:tcW w:w="0" w:type="auto"/>
            <w:vAlign w:val="center"/>
            <w:hideMark/>
          </w:tcPr>
          <w:p w14:paraId="16AA1B4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Hazeldine &amp; Lord (2015) </w:t>
            </w:r>
            <w:hyperlink r:id="rId17" w:history="1">
              <w:r w:rsidRPr="00256975">
                <w:rPr>
                  <w:rStyle w:val="Hyperlink"/>
                  <w:rFonts w:ascii="Arial" w:eastAsia="Times New Roman" w:hAnsi="Arial" w:cs="Arial"/>
                  <w:color w:val="auto"/>
                  <w:sz w:val="20"/>
                  <w:szCs w:val="20"/>
                  <w:u w:val="none"/>
                  <w:lang w:eastAsia="pt-BR"/>
                </w:rPr>
                <w:t>(23)</w:t>
              </w:r>
            </w:hyperlink>
            <w:r w:rsidRPr="00256975">
              <w:rPr>
                <w:rFonts w:ascii="Arial" w:eastAsia="Times New Roman" w:hAnsi="Arial" w:cs="Arial"/>
                <w:sz w:val="20"/>
                <w:szCs w:val="20"/>
                <w:lang w:eastAsia="pt-BR"/>
              </w:rPr>
              <w:t xml:space="preserve">; Palmer et al. (2019) </w:t>
            </w:r>
            <w:hyperlink r:id="rId18" w:history="1">
              <w:r w:rsidRPr="00256975">
                <w:rPr>
                  <w:rStyle w:val="Hyperlink"/>
                  <w:rFonts w:ascii="Arial" w:eastAsia="Times New Roman" w:hAnsi="Arial" w:cs="Arial"/>
                  <w:color w:val="auto"/>
                  <w:sz w:val="20"/>
                  <w:szCs w:val="20"/>
                  <w:u w:val="none"/>
                  <w:lang w:eastAsia="pt-BR"/>
                </w:rPr>
                <w:t>(20)</w:t>
              </w:r>
            </w:hyperlink>
          </w:p>
        </w:tc>
        <w:tc>
          <w:tcPr>
            <w:tcW w:w="0" w:type="auto"/>
            <w:vAlign w:val="center"/>
            <w:hideMark/>
          </w:tcPr>
          <w:p w14:paraId="16E4C11E" w14:textId="6FE01C7D"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Inflammatory vulnerability in </w:t>
            </w:r>
            <w:r w:rsidR="0093473B">
              <w:rPr>
                <w:rFonts w:ascii="Arial" w:eastAsia="Times New Roman" w:hAnsi="Arial" w:cs="Arial"/>
                <w:sz w:val="20"/>
                <w:szCs w:val="20"/>
                <w:lang w:eastAsia="pt-BR"/>
              </w:rPr>
              <w:t xml:space="preserve">the </w:t>
            </w:r>
            <w:r w:rsidRPr="00256975">
              <w:rPr>
                <w:rFonts w:ascii="Arial" w:eastAsia="Times New Roman" w:hAnsi="Arial" w:cs="Arial"/>
                <w:sz w:val="20"/>
                <w:szCs w:val="20"/>
                <w:lang w:eastAsia="pt-BR"/>
              </w:rPr>
              <w:t>elderly worsens trauma outcomes</w:t>
            </w:r>
          </w:p>
        </w:tc>
      </w:tr>
      <w:tr w:rsidR="00256975" w:rsidRPr="00256975" w14:paraId="65B78477" w14:textId="77777777" w:rsidTr="00256975">
        <w:trPr>
          <w:tblCellSpacing w:w="15" w:type="dxa"/>
        </w:trPr>
        <w:tc>
          <w:tcPr>
            <w:tcW w:w="0" w:type="auto"/>
            <w:vAlign w:val="center"/>
            <w:hideMark/>
          </w:tcPr>
          <w:p w14:paraId="5C2921A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30FCF13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Multiplex cytokine mapping</w:t>
            </w:r>
          </w:p>
        </w:tc>
        <w:tc>
          <w:tcPr>
            <w:tcW w:w="0" w:type="auto"/>
            <w:vAlign w:val="center"/>
            <w:hideMark/>
          </w:tcPr>
          <w:p w14:paraId="72BE93E2"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Bonaroti et al. (2021) </w:t>
            </w:r>
            <w:hyperlink r:id="rId19" w:history="1">
              <w:r w:rsidRPr="00256975">
                <w:rPr>
                  <w:rStyle w:val="Hyperlink"/>
                  <w:rFonts w:ascii="Arial" w:eastAsia="Times New Roman" w:hAnsi="Arial" w:cs="Arial"/>
                  <w:color w:val="auto"/>
                  <w:sz w:val="20"/>
                  <w:szCs w:val="20"/>
                  <w:u w:val="none"/>
                  <w:lang w:eastAsia="pt-BR"/>
                </w:rPr>
                <w:t>(25)</w:t>
              </w:r>
            </w:hyperlink>
          </w:p>
        </w:tc>
        <w:tc>
          <w:tcPr>
            <w:tcW w:w="0" w:type="auto"/>
            <w:vAlign w:val="center"/>
            <w:hideMark/>
          </w:tcPr>
          <w:p w14:paraId="143C3B31" w14:textId="50EFA6B3"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Biomarker network analysis to guide </w:t>
            </w:r>
            <w:r w:rsidR="0093473B" w:rsidRPr="006C2B37">
              <w:rPr>
                <w:rFonts w:ascii="Arial" w:eastAsia="Times New Roman" w:hAnsi="Arial" w:cs="Arial"/>
                <w:sz w:val="20"/>
                <w:szCs w:val="20"/>
                <w:highlight w:val="yellow"/>
                <w:lang w:eastAsia="pt-BR"/>
              </w:rPr>
              <w:t>personalised</w:t>
            </w:r>
            <w:r w:rsidR="0093473B" w:rsidRPr="00256975">
              <w:rPr>
                <w:rFonts w:ascii="Arial" w:eastAsia="Times New Roman" w:hAnsi="Arial" w:cs="Arial"/>
                <w:sz w:val="20"/>
                <w:szCs w:val="20"/>
                <w:lang w:eastAsia="pt-BR"/>
              </w:rPr>
              <w:t xml:space="preserve"> </w:t>
            </w:r>
            <w:r w:rsidRPr="00256975">
              <w:rPr>
                <w:rFonts w:ascii="Arial" w:eastAsia="Times New Roman" w:hAnsi="Arial" w:cs="Arial"/>
                <w:sz w:val="20"/>
                <w:szCs w:val="20"/>
                <w:lang w:eastAsia="pt-BR"/>
              </w:rPr>
              <w:t>immune therapy</w:t>
            </w:r>
          </w:p>
        </w:tc>
      </w:tr>
    </w:tbl>
    <w:p w14:paraId="119F8058" w14:textId="5F7083FC" w:rsidR="0083123D" w:rsidRPr="0083123D" w:rsidRDefault="0083123D" w:rsidP="00023427">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263FAA3D" w14:textId="03E55FF9" w:rsidR="00256975" w:rsidRDefault="00256975" w:rsidP="00023427">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Table 3. Summary of clinical benefit and evidence consistency across included studies</w:t>
      </w:r>
    </w:p>
    <w:tbl>
      <w:tblPr>
        <w:tblW w:w="0" w:type="auto"/>
        <w:tblCellSpacing w:w="15" w:type="dxa"/>
        <w:tblBorders>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365"/>
        <w:gridCol w:w="2163"/>
        <w:gridCol w:w="3976"/>
      </w:tblGrid>
      <w:tr w:rsidR="00256975" w:rsidRPr="00256975" w14:paraId="58DC9B65" w14:textId="77777777" w:rsidTr="00256975">
        <w:trPr>
          <w:tblHeader/>
          <w:tblCellSpacing w:w="15" w:type="dxa"/>
        </w:trPr>
        <w:tc>
          <w:tcPr>
            <w:tcW w:w="0" w:type="auto"/>
            <w:vAlign w:val="center"/>
            <w:hideMark/>
          </w:tcPr>
          <w:p w14:paraId="615EC2FB"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Study</w:t>
            </w:r>
          </w:p>
        </w:tc>
        <w:tc>
          <w:tcPr>
            <w:tcW w:w="0" w:type="auto"/>
            <w:vAlign w:val="center"/>
            <w:hideMark/>
          </w:tcPr>
          <w:p w14:paraId="0B6B0E9F"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Clear Clinical Benefits</w:t>
            </w:r>
          </w:p>
        </w:tc>
        <w:tc>
          <w:tcPr>
            <w:tcW w:w="0" w:type="auto"/>
            <w:vAlign w:val="center"/>
            <w:hideMark/>
          </w:tcPr>
          <w:p w14:paraId="251CB1C5"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Contradictory Results / Limitations</w:t>
            </w:r>
          </w:p>
        </w:tc>
      </w:tr>
      <w:tr w:rsidR="00256975" w:rsidRPr="00256975" w14:paraId="163BEED8" w14:textId="77777777" w:rsidTr="00256975">
        <w:trPr>
          <w:tblCellSpacing w:w="15" w:type="dxa"/>
        </w:trPr>
        <w:tc>
          <w:tcPr>
            <w:tcW w:w="0" w:type="auto"/>
            <w:vAlign w:val="center"/>
            <w:hideMark/>
          </w:tcPr>
          <w:p w14:paraId="224260D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MacColl &amp; Morton (2024) </w:t>
            </w:r>
            <w:hyperlink r:id="rId20" w:history="1">
              <w:r w:rsidRPr="00256975">
                <w:rPr>
                  <w:rStyle w:val="Hyperlink"/>
                  <w:rFonts w:ascii="Arial" w:eastAsia="Times New Roman" w:hAnsi="Arial" w:cs="Arial"/>
                  <w:color w:val="auto"/>
                  <w:sz w:val="20"/>
                  <w:szCs w:val="20"/>
                  <w:u w:val="none"/>
                  <w:lang w:eastAsia="pt-BR"/>
                </w:rPr>
                <w:t>(13)</w:t>
              </w:r>
            </w:hyperlink>
          </w:p>
        </w:tc>
        <w:tc>
          <w:tcPr>
            <w:tcW w:w="0" w:type="auto"/>
            <w:vAlign w:val="center"/>
            <w:hideMark/>
          </w:tcPr>
          <w:p w14:paraId="6788CD5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w:t>
            </w:r>
          </w:p>
        </w:tc>
        <w:tc>
          <w:tcPr>
            <w:tcW w:w="0" w:type="auto"/>
            <w:vAlign w:val="center"/>
            <w:hideMark/>
          </w:tcPr>
          <w:p w14:paraId="063ABB9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Review only; lacks original clinical data</w:t>
            </w:r>
          </w:p>
        </w:tc>
      </w:tr>
      <w:tr w:rsidR="00256975" w:rsidRPr="00256975" w14:paraId="70132DCC" w14:textId="77777777" w:rsidTr="00256975">
        <w:trPr>
          <w:tblCellSpacing w:w="15" w:type="dxa"/>
        </w:trPr>
        <w:tc>
          <w:tcPr>
            <w:tcW w:w="0" w:type="auto"/>
            <w:vAlign w:val="center"/>
            <w:hideMark/>
          </w:tcPr>
          <w:p w14:paraId="14469D8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Bouras &amp; Asehnoune (2022) </w:t>
            </w:r>
            <w:hyperlink r:id="rId21" w:history="1">
              <w:r w:rsidRPr="00256975">
                <w:rPr>
                  <w:rStyle w:val="Hyperlink"/>
                  <w:rFonts w:ascii="Arial" w:eastAsia="Times New Roman" w:hAnsi="Arial" w:cs="Arial"/>
                  <w:color w:val="auto"/>
                  <w:sz w:val="20"/>
                  <w:szCs w:val="20"/>
                  <w:u w:val="none"/>
                  <w:lang w:eastAsia="pt-BR"/>
                </w:rPr>
                <w:t>(14)</w:t>
              </w:r>
            </w:hyperlink>
          </w:p>
        </w:tc>
        <w:tc>
          <w:tcPr>
            <w:tcW w:w="0" w:type="auto"/>
            <w:vAlign w:val="center"/>
            <w:hideMark/>
          </w:tcPr>
          <w:p w14:paraId="7415FB5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w:t>
            </w:r>
          </w:p>
        </w:tc>
        <w:tc>
          <w:tcPr>
            <w:tcW w:w="0" w:type="auto"/>
            <w:vAlign w:val="center"/>
            <w:hideMark/>
          </w:tcPr>
          <w:p w14:paraId="0A581465" w14:textId="14DAFAF2"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Specific to TBI</w:t>
            </w:r>
            <w:r w:rsidR="0093473B">
              <w:rPr>
                <w:rFonts w:ascii="Arial" w:eastAsia="Times New Roman" w:hAnsi="Arial" w:cs="Arial"/>
                <w:sz w:val="20"/>
                <w:szCs w:val="20"/>
                <w:lang w:eastAsia="pt-BR"/>
              </w:rPr>
              <w:t>,</w:t>
            </w:r>
            <w:r w:rsidR="0093473B" w:rsidRPr="00256975">
              <w:rPr>
                <w:rFonts w:ascii="Arial" w:eastAsia="Times New Roman" w:hAnsi="Arial" w:cs="Arial"/>
                <w:sz w:val="20"/>
                <w:szCs w:val="20"/>
                <w:lang w:eastAsia="pt-BR"/>
              </w:rPr>
              <w:t xml:space="preserve"> </w:t>
            </w:r>
            <w:r w:rsidRPr="00256975">
              <w:rPr>
                <w:rFonts w:ascii="Arial" w:eastAsia="Times New Roman" w:hAnsi="Arial" w:cs="Arial"/>
                <w:sz w:val="20"/>
                <w:szCs w:val="20"/>
                <w:lang w:eastAsia="pt-BR"/>
              </w:rPr>
              <w:t>limited generalizability</w:t>
            </w:r>
          </w:p>
        </w:tc>
      </w:tr>
      <w:tr w:rsidR="00256975" w:rsidRPr="00256975" w14:paraId="7AF0637A" w14:textId="77777777" w:rsidTr="00256975">
        <w:trPr>
          <w:tblCellSpacing w:w="15" w:type="dxa"/>
        </w:trPr>
        <w:tc>
          <w:tcPr>
            <w:tcW w:w="0" w:type="auto"/>
            <w:vAlign w:val="center"/>
            <w:hideMark/>
          </w:tcPr>
          <w:p w14:paraId="2AD0D36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Li &amp; Shen (2017) </w:t>
            </w:r>
            <w:hyperlink r:id="rId22" w:history="1">
              <w:r w:rsidRPr="00256975">
                <w:rPr>
                  <w:rStyle w:val="Hyperlink"/>
                  <w:rFonts w:ascii="Arial" w:eastAsia="Times New Roman" w:hAnsi="Arial" w:cs="Arial"/>
                  <w:color w:val="auto"/>
                  <w:sz w:val="20"/>
                  <w:szCs w:val="20"/>
                  <w:u w:val="none"/>
                  <w:lang w:eastAsia="pt-BR"/>
                </w:rPr>
                <w:t>(18)</w:t>
              </w:r>
            </w:hyperlink>
          </w:p>
        </w:tc>
        <w:tc>
          <w:tcPr>
            <w:tcW w:w="0" w:type="auto"/>
            <w:vAlign w:val="center"/>
            <w:hideMark/>
          </w:tcPr>
          <w:p w14:paraId="284B36FE"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w:t>
            </w:r>
          </w:p>
        </w:tc>
        <w:tc>
          <w:tcPr>
            <w:tcW w:w="0" w:type="auto"/>
            <w:vAlign w:val="center"/>
            <w:hideMark/>
          </w:tcPr>
          <w:p w14:paraId="68896B9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Mostly observational data; moderate level of evidence</w:t>
            </w:r>
          </w:p>
        </w:tc>
      </w:tr>
      <w:tr w:rsidR="00256975" w:rsidRPr="00256975" w14:paraId="452B9072" w14:textId="77777777" w:rsidTr="00256975">
        <w:trPr>
          <w:tblCellSpacing w:w="15" w:type="dxa"/>
        </w:trPr>
        <w:tc>
          <w:tcPr>
            <w:tcW w:w="0" w:type="auto"/>
            <w:vAlign w:val="center"/>
            <w:hideMark/>
          </w:tcPr>
          <w:p w14:paraId="73253C4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Rahman et al. (2020) </w:t>
            </w:r>
            <w:hyperlink r:id="rId23" w:history="1">
              <w:r w:rsidRPr="00256975">
                <w:rPr>
                  <w:rStyle w:val="Hyperlink"/>
                  <w:rFonts w:ascii="Arial" w:eastAsia="Times New Roman" w:hAnsi="Arial" w:cs="Arial"/>
                  <w:color w:val="auto"/>
                  <w:sz w:val="20"/>
                  <w:szCs w:val="20"/>
                  <w:u w:val="none"/>
                  <w:lang w:eastAsia="pt-BR"/>
                </w:rPr>
                <w:t>(12)</w:t>
              </w:r>
            </w:hyperlink>
          </w:p>
        </w:tc>
        <w:tc>
          <w:tcPr>
            <w:tcW w:w="0" w:type="auto"/>
            <w:vAlign w:val="center"/>
            <w:hideMark/>
          </w:tcPr>
          <w:p w14:paraId="76872EE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 (for immunonutrition)</w:t>
            </w:r>
          </w:p>
        </w:tc>
        <w:tc>
          <w:tcPr>
            <w:tcW w:w="0" w:type="auto"/>
            <w:vAlign w:val="center"/>
            <w:hideMark/>
          </w:tcPr>
          <w:p w14:paraId="3B1F91D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Heterogeneity between trials and small sample sizes</w:t>
            </w:r>
          </w:p>
        </w:tc>
      </w:tr>
      <w:tr w:rsidR="00256975" w:rsidRPr="00256975" w14:paraId="36FDCBFB" w14:textId="77777777" w:rsidTr="00256975">
        <w:trPr>
          <w:tblCellSpacing w:w="15" w:type="dxa"/>
        </w:trPr>
        <w:tc>
          <w:tcPr>
            <w:tcW w:w="0" w:type="auto"/>
            <w:vAlign w:val="center"/>
            <w:hideMark/>
          </w:tcPr>
          <w:p w14:paraId="335131FE"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Valade et al. (2021) </w:t>
            </w:r>
            <w:hyperlink r:id="rId24" w:history="1">
              <w:r w:rsidRPr="00256975">
                <w:rPr>
                  <w:rStyle w:val="Hyperlink"/>
                  <w:rFonts w:ascii="Arial" w:eastAsia="Times New Roman" w:hAnsi="Arial" w:cs="Arial"/>
                  <w:color w:val="auto"/>
                  <w:sz w:val="20"/>
                  <w:szCs w:val="20"/>
                  <w:u w:val="none"/>
                  <w:lang w:eastAsia="pt-BR"/>
                </w:rPr>
                <w:t>(26)</w:t>
              </w:r>
            </w:hyperlink>
          </w:p>
        </w:tc>
        <w:tc>
          <w:tcPr>
            <w:tcW w:w="0" w:type="auto"/>
            <w:vAlign w:val="center"/>
            <w:hideMark/>
          </w:tcPr>
          <w:p w14:paraId="4CF7A92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(experimental)</w:t>
            </w:r>
          </w:p>
        </w:tc>
        <w:tc>
          <w:tcPr>
            <w:tcW w:w="0" w:type="auto"/>
            <w:vAlign w:val="center"/>
            <w:hideMark/>
          </w:tcPr>
          <w:p w14:paraId="5421FD4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Preclinical only; not yet validated in humans</w:t>
            </w:r>
          </w:p>
        </w:tc>
      </w:tr>
      <w:tr w:rsidR="00256975" w:rsidRPr="00256975" w14:paraId="45C8DD59" w14:textId="77777777" w:rsidTr="00256975">
        <w:trPr>
          <w:tblCellSpacing w:w="15" w:type="dxa"/>
        </w:trPr>
        <w:tc>
          <w:tcPr>
            <w:tcW w:w="0" w:type="auto"/>
            <w:vAlign w:val="center"/>
            <w:hideMark/>
          </w:tcPr>
          <w:p w14:paraId="4187317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Aswani &amp; Manson (2018) </w:t>
            </w:r>
            <w:hyperlink r:id="rId25" w:history="1">
              <w:r w:rsidRPr="00256975">
                <w:rPr>
                  <w:rStyle w:val="Hyperlink"/>
                  <w:rFonts w:ascii="Arial" w:eastAsia="Times New Roman" w:hAnsi="Arial" w:cs="Arial"/>
                  <w:color w:val="auto"/>
                  <w:sz w:val="20"/>
                  <w:szCs w:val="20"/>
                  <w:u w:val="none"/>
                  <w:lang w:eastAsia="pt-BR"/>
                </w:rPr>
                <w:t>(16)</w:t>
              </w:r>
            </w:hyperlink>
          </w:p>
        </w:tc>
        <w:tc>
          <w:tcPr>
            <w:tcW w:w="0" w:type="auto"/>
            <w:vAlign w:val="center"/>
            <w:hideMark/>
          </w:tcPr>
          <w:p w14:paraId="7A80FDB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(experimental)</w:t>
            </w:r>
          </w:p>
        </w:tc>
        <w:tc>
          <w:tcPr>
            <w:tcW w:w="0" w:type="auto"/>
            <w:vAlign w:val="center"/>
            <w:hideMark/>
          </w:tcPr>
          <w:p w14:paraId="41932A41"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Experimental model only; translation to clinical use needed</w:t>
            </w:r>
          </w:p>
        </w:tc>
      </w:tr>
      <w:tr w:rsidR="00256975" w:rsidRPr="00256975" w14:paraId="09F74198" w14:textId="77777777" w:rsidTr="00256975">
        <w:trPr>
          <w:tblCellSpacing w:w="15" w:type="dxa"/>
        </w:trPr>
        <w:tc>
          <w:tcPr>
            <w:tcW w:w="0" w:type="auto"/>
            <w:vAlign w:val="center"/>
            <w:hideMark/>
          </w:tcPr>
          <w:p w14:paraId="45E0821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Palmer et al. (2019) </w:t>
            </w:r>
            <w:hyperlink r:id="rId26" w:history="1">
              <w:r w:rsidRPr="00256975">
                <w:rPr>
                  <w:rStyle w:val="Hyperlink"/>
                  <w:rFonts w:ascii="Arial" w:eastAsia="Times New Roman" w:hAnsi="Arial" w:cs="Arial"/>
                  <w:color w:val="auto"/>
                  <w:sz w:val="20"/>
                  <w:szCs w:val="20"/>
                  <w:u w:val="none"/>
                  <w:lang w:eastAsia="pt-BR"/>
                </w:rPr>
                <w:t>(20)</w:t>
              </w:r>
            </w:hyperlink>
          </w:p>
        </w:tc>
        <w:tc>
          <w:tcPr>
            <w:tcW w:w="0" w:type="auto"/>
            <w:vAlign w:val="center"/>
            <w:hideMark/>
          </w:tcPr>
          <w:p w14:paraId="50EB6F4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 (biomarker correlation)</w:t>
            </w:r>
          </w:p>
        </w:tc>
        <w:tc>
          <w:tcPr>
            <w:tcW w:w="0" w:type="auto"/>
            <w:vAlign w:val="center"/>
            <w:hideMark/>
          </w:tcPr>
          <w:p w14:paraId="73186568"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No intervention evaluated; observational design</w:t>
            </w:r>
          </w:p>
        </w:tc>
      </w:tr>
      <w:tr w:rsidR="00256975" w:rsidRPr="00256975" w14:paraId="645A23CF" w14:textId="77777777" w:rsidTr="00256975">
        <w:trPr>
          <w:tblCellSpacing w:w="15" w:type="dxa"/>
        </w:trPr>
        <w:tc>
          <w:tcPr>
            <w:tcW w:w="0" w:type="auto"/>
            <w:vAlign w:val="center"/>
            <w:hideMark/>
          </w:tcPr>
          <w:p w14:paraId="6D9C0C9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lastRenderedPageBreak/>
              <w:t xml:space="preserve">Hazeldine &amp; Lord (2015) </w:t>
            </w:r>
            <w:hyperlink r:id="rId27" w:history="1">
              <w:r w:rsidRPr="00256975">
                <w:rPr>
                  <w:rStyle w:val="Hyperlink"/>
                  <w:rFonts w:ascii="Arial" w:eastAsia="Times New Roman" w:hAnsi="Arial" w:cs="Arial"/>
                  <w:color w:val="auto"/>
                  <w:sz w:val="20"/>
                  <w:szCs w:val="20"/>
                  <w:u w:val="none"/>
                  <w:lang w:eastAsia="pt-BR"/>
                </w:rPr>
                <w:t>(23)</w:t>
              </w:r>
            </w:hyperlink>
          </w:p>
        </w:tc>
        <w:tc>
          <w:tcPr>
            <w:tcW w:w="0" w:type="auto"/>
            <w:vAlign w:val="center"/>
            <w:hideMark/>
          </w:tcPr>
          <w:p w14:paraId="169C6C7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 (conceptual analysis)</w:t>
            </w:r>
          </w:p>
        </w:tc>
        <w:tc>
          <w:tcPr>
            <w:tcW w:w="0" w:type="auto"/>
            <w:vAlign w:val="center"/>
            <w:hideMark/>
          </w:tcPr>
          <w:p w14:paraId="09FA59F8" w14:textId="2FD9C831"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Theoretical basis</w:t>
            </w:r>
            <w:r w:rsidR="00D44A6B">
              <w:rPr>
                <w:rFonts w:ascii="Arial" w:eastAsia="Times New Roman" w:hAnsi="Arial" w:cs="Arial"/>
                <w:sz w:val="20"/>
                <w:szCs w:val="20"/>
                <w:lang w:eastAsia="pt-BR"/>
              </w:rPr>
              <w:t>:</w:t>
            </w:r>
            <w:r w:rsidR="00D44A6B" w:rsidRPr="00256975">
              <w:rPr>
                <w:rFonts w:ascii="Arial" w:eastAsia="Times New Roman" w:hAnsi="Arial" w:cs="Arial"/>
                <w:sz w:val="20"/>
                <w:szCs w:val="20"/>
                <w:lang w:eastAsia="pt-BR"/>
              </w:rPr>
              <w:t xml:space="preserve"> </w:t>
            </w:r>
            <w:r w:rsidRPr="00256975">
              <w:rPr>
                <w:rFonts w:ascii="Arial" w:eastAsia="Times New Roman" w:hAnsi="Arial" w:cs="Arial"/>
                <w:sz w:val="20"/>
                <w:szCs w:val="20"/>
                <w:lang w:eastAsia="pt-BR"/>
              </w:rPr>
              <w:t>lacks direct therapeutic application</w:t>
            </w:r>
          </w:p>
        </w:tc>
      </w:tr>
      <w:tr w:rsidR="00256975" w:rsidRPr="00256975" w14:paraId="09CA9A48" w14:textId="77777777" w:rsidTr="00256975">
        <w:trPr>
          <w:tblCellSpacing w:w="15" w:type="dxa"/>
        </w:trPr>
        <w:tc>
          <w:tcPr>
            <w:tcW w:w="0" w:type="auto"/>
            <w:vAlign w:val="center"/>
            <w:hideMark/>
          </w:tcPr>
          <w:p w14:paraId="711C962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McBride et al. (2020) </w:t>
            </w:r>
            <w:hyperlink r:id="rId28" w:history="1">
              <w:r w:rsidRPr="00256975">
                <w:rPr>
                  <w:rStyle w:val="Hyperlink"/>
                  <w:rFonts w:ascii="Arial" w:eastAsia="Times New Roman" w:hAnsi="Arial" w:cs="Arial"/>
                  <w:color w:val="auto"/>
                  <w:sz w:val="20"/>
                  <w:szCs w:val="20"/>
                  <w:u w:val="none"/>
                  <w:lang w:eastAsia="pt-BR"/>
                </w:rPr>
                <w:t>(27)</w:t>
              </w:r>
            </w:hyperlink>
          </w:p>
        </w:tc>
        <w:tc>
          <w:tcPr>
            <w:tcW w:w="0" w:type="auto"/>
            <w:vAlign w:val="center"/>
            <w:hideMark/>
          </w:tcPr>
          <w:p w14:paraId="70BA8F0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(mitochondrial)</w:t>
            </w:r>
          </w:p>
        </w:tc>
        <w:tc>
          <w:tcPr>
            <w:tcW w:w="0" w:type="auto"/>
            <w:vAlign w:val="center"/>
            <w:hideMark/>
          </w:tcPr>
          <w:p w14:paraId="400E9082"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Needs clinical testing in trauma populations</w:t>
            </w:r>
          </w:p>
        </w:tc>
      </w:tr>
      <w:tr w:rsidR="00256975" w:rsidRPr="00256975" w14:paraId="2F55C371" w14:textId="77777777" w:rsidTr="00256975">
        <w:trPr>
          <w:tblCellSpacing w:w="15" w:type="dxa"/>
        </w:trPr>
        <w:tc>
          <w:tcPr>
            <w:tcW w:w="0" w:type="auto"/>
            <w:vAlign w:val="center"/>
            <w:hideMark/>
          </w:tcPr>
          <w:p w14:paraId="3C8D617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Bonaroti et al. (2021) </w:t>
            </w:r>
            <w:hyperlink r:id="rId29" w:history="1">
              <w:r w:rsidRPr="00256975">
                <w:rPr>
                  <w:rStyle w:val="Hyperlink"/>
                  <w:rFonts w:ascii="Arial" w:eastAsia="Times New Roman" w:hAnsi="Arial" w:cs="Arial"/>
                  <w:color w:val="auto"/>
                  <w:sz w:val="20"/>
                  <w:szCs w:val="20"/>
                  <w:u w:val="none"/>
                  <w:lang w:eastAsia="pt-BR"/>
                </w:rPr>
                <w:t>(25)</w:t>
              </w:r>
            </w:hyperlink>
          </w:p>
        </w:tc>
        <w:tc>
          <w:tcPr>
            <w:tcW w:w="0" w:type="auto"/>
            <w:vAlign w:val="center"/>
            <w:hideMark/>
          </w:tcPr>
          <w:p w14:paraId="16E123F8"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Informative for stratification</w:t>
            </w:r>
          </w:p>
        </w:tc>
        <w:tc>
          <w:tcPr>
            <w:tcW w:w="0" w:type="auto"/>
            <w:vAlign w:val="center"/>
            <w:hideMark/>
          </w:tcPr>
          <w:p w14:paraId="562D9FB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Diagnostic only; does not test interventions</w:t>
            </w:r>
          </w:p>
        </w:tc>
      </w:tr>
      <w:tr w:rsidR="00256975" w:rsidRPr="00256975" w14:paraId="4F6AA93A" w14:textId="77777777" w:rsidTr="00256975">
        <w:trPr>
          <w:tblCellSpacing w:w="15" w:type="dxa"/>
        </w:trPr>
        <w:tc>
          <w:tcPr>
            <w:tcW w:w="0" w:type="auto"/>
            <w:vAlign w:val="center"/>
            <w:hideMark/>
          </w:tcPr>
          <w:p w14:paraId="08379F38"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Horner &amp; Lord (2023) </w:t>
            </w:r>
            <w:hyperlink r:id="rId30" w:history="1">
              <w:r w:rsidRPr="00256975">
                <w:rPr>
                  <w:rStyle w:val="Hyperlink"/>
                  <w:rFonts w:ascii="Arial" w:eastAsia="Times New Roman" w:hAnsi="Arial" w:cs="Arial"/>
                  <w:color w:val="auto"/>
                  <w:sz w:val="20"/>
                  <w:szCs w:val="20"/>
                  <w:u w:val="none"/>
                  <w:lang w:eastAsia="pt-BR"/>
                </w:rPr>
                <w:t>(22)</w:t>
              </w:r>
            </w:hyperlink>
          </w:p>
        </w:tc>
        <w:tc>
          <w:tcPr>
            <w:tcW w:w="0" w:type="auto"/>
            <w:vAlign w:val="center"/>
            <w:hideMark/>
          </w:tcPr>
          <w:p w14:paraId="58E3E0A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(anti-DAMPs)</w:t>
            </w:r>
          </w:p>
        </w:tc>
        <w:tc>
          <w:tcPr>
            <w:tcW w:w="0" w:type="auto"/>
            <w:vAlign w:val="center"/>
            <w:hideMark/>
          </w:tcPr>
          <w:p w14:paraId="392EB1E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Preclinical evidence; no clinical trial available</w:t>
            </w:r>
          </w:p>
        </w:tc>
      </w:tr>
    </w:tbl>
    <w:p w14:paraId="37AE3DC0" w14:textId="7B463633" w:rsidR="0083123D" w:rsidRPr="0083123D" w:rsidRDefault="0083123D" w:rsidP="00023427">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32A3EF6F" w14:textId="064AAEDE" w:rsidR="00256975" w:rsidRDefault="0083123D" w:rsidP="00023427">
      <w:pPr>
        <w:spacing w:before="100" w:beforeAutospacing="1" w:after="100" w:afterAutospacing="1" w:line="360" w:lineRule="auto"/>
        <w:jc w:val="both"/>
        <w:rPr>
          <w:rFonts w:ascii="Arial" w:eastAsia="Times New Roman" w:hAnsi="Arial" w:cs="Arial"/>
          <w:b/>
          <w:bCs/>
          <w:sz w:val="20"/>
          <w:szCs w:val="20"/>
          <w:lang w:eastAsia="pt-BR"/>
        </w:rPr>
      </w:pPr>
      <w:r w:rsidRPr="0083123D">
        <w:rPr>
          <w:rFonts w:ascii="Arial" w:eastAsia="Times New Roman" w:hAnsi="Arial" w:cs="Arial"/>
          <w:b/>
          <w:bCs/>
          <w:sz w:val="20"/>
          <w:szCs w:val="20"/>
          <w:lang w:eastAsia="pt-BR"/>
        </w:rPr>
        <w:t>Table 4. Variation of therapeutic strategies according to trauma type or severity</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4722"/>
        <w:gridCol w:w="2297"/>
      </w:tblGrid>
      <w:tr w:rsidR="0083123D" w:rsidRPr="0083123D" w14:paraId="06C90A6E" w14:textId="77777777" w:rsidTr="0083123D">
        <w:trPr>
          <w:tblHeader/>
          <w:tblCellSpacing w:w="15" w:type="dxa"/>
        </w:trPr>
        <w:tc>
          <w:tcPr>
            <w:tcW w:w="0" w:type="auto"/>
            <w:vAlign w:val="center"/>
            <w:hideMark/>
          </w:tcPr>
          <w:p w14:paraId="00C1C5A4"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Trauma Type</w:t>
            </w:r>
          </w:p>
        </w:tc>
        <w:tc>
          <w:tcPr>
            <w:tcW w:w="0" w:type="auto"/>
            <w:vAlign w:val="center"/>
            <w:hideMark/>
          </w:tcPr>
          <w:p w14:paraId="24C7CC5E"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Preferred or Studied Strategies</w:t>
            </w:r>
          </w:p>
        </w:tc>
        <w:tc>
          <w:tcPr>
            <w:tcW w:w="0" w:type="auto"/>
            <w:vAlign w:val="center"/>
            <w:hideMark/>
          </w:tcPr>
          <w:p w14:paraId="1FF7F6F0"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Studies</w:t>
            </w:r>
          </w:p>
        </w:tc>
      </w:tr>
      <w:tr w:rsidR="0083123D" w:rsidRPr="0083123D" w14:paraId="02F5FCBF" w14:textId="77777777" w:rsidTr="0083123D">
        <w:trPr>
          <w:tblCellSpacing w:w="15" w:type="dxa"/>
        </w:trPr>
        <w:tc>
          <w:tcPr>
            <w:tcW w:w="0" w:type="auto"/>
            <w:vAlign w:val="center"/>
            <w:hideMark/>
          </w:tcPr>
          <w:p w14:paraId="69A1C063"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Blunt Trauma</w:t>
            </w:r>
          </w:p>
        </w:tc>
        <w:tc>
          <w:tcPr>
            <w:tcW w:w="0" w:type="auto"/>
            <w:vAlign w:val="center"/>
            <w:hideMark/>
          </w:tcPr>
          <w:p w14:paraId="7D5E94C7"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Beta-blockers to attenuate adrenergic response; immunonutrition; early enteral nutrition</w:t>
            </w:r>
          </w:p>
        </w:tc>
        <w:tc>
          <w:tcPr>
            <w:tcW w:w="0" w:type="auto"/>
            <w:vAlign w:val="center"/>
            <w:hideMark/>
          </w:tcPr>
          <w:p w14:paraId="307E93B9"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MacColl &amp; Morton (2024) </w:t>
            </w:r>
            <w:hyperlink r:id="rId31" w:history="1">
              <w:r w:rsidRPr="0083123D">
                <w:rPr>
                  <w:rStyle w:val="Hyperlink"/>
                  <w:rFonts w:ascii="Arial" w:eastAsia="Times New Roman" w:hAnsi="Arial" w:cs="Arial"/>
                  <w:color w:val="auto"/>
                  <w:sz w:val="20"/>
                  <w:szCs w:val="20"/>
                  <w:u w:val="none"/>
                  <w:lang w:eastAsia="pt-BR"/>
                </w:rPr>
                <w:t>(13)</w:t>
              </w:r>
            </w:hyperlink>
            <w:r w:rsidRPr="0083123D">
              <w:rPr>
                <w:rFonts w:ascii="Arial" w:eastAsia="Times New Roman" w:hAnsi="Arial" w:cs="Arial"/>
                <w:sz w:val="20"/>
                <w:szCs w:val="20"/>
                <w:lang w:eastAsia="pt-BR"/>
              </w:rPr>
              <w:t xml:space="preserve">; Li &amp; Shen (2017) </w:t>
            </w:r>
            <w:hyperlink r:id="rId32" w:history="1">
              <w:r w:rsidRPr="0083123D">
                <w:rPr>
                  <w:rStyle w:val="Hyperlink"/>
                  <w:rFonts w:ascii="Arial" w:eastAsia="Times New Roman" w:hAnsi="Arial" w:cs="Arial"/>
                  <w:color w:val="auto"/>
                  <w:sz w:val="20"/>
                  <w:szCs w:val="20"/>
                  <w:u w:val="none"/>
                  <w:lang w:eastAsia="pt-BR"/>
                </w:rPr>
                <w:t>(18)</w:t>
              </w:r>
            </w:hyperlink>
          </w:p>
        </w:tc>
      </w:tr>
      <w:tr w:rsidR="0083123D" w:rsidRPr="0083123D" w14:paraId="5C510813" w14:textId="77777777" w:rsidTr="0083123D">
        <w:trPr>
          <w:tblCellSpacing w:w="15" w:type="dxa"/>
        </w:trPr>
        <w:tc>
          <w:tcPr>
            <w:tcW w:w="0" w:type="auto"/>
            <w:vAlign w:val="center"/>
            <w:hideMark/>
          </w:tcPr>
          <w:p w14:paraId="31EDEB60"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Burns</w:t>
            </w:r>
          </w:p>
        </w:tc>
        <w:tc>
          <w:tcPr>
            <w:tcW w:w="0" w:type="auto"/>
            <w:vAlign w:val="center"/>
            <w:hideMark/>
          </w:tcPr>
          <w:p w14:paraId="0F6BA05D"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Beta-blockers to reduce hypermetabolism; hormone modulation (estrogen/testosterone); antioxidant and mitochondrial therapies</w:t>
            </w:r>
          </w:p>
        </w:tc>
        <w:tc>
          <w:tcPr>
            <w:tcW w:w="0" w:type="auto"/>
            <w:vAlign w:val="center"/>
            <w:hideMark/>
          </w:tcPr>
          <w:p w14:paraId="2EF3DC23"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Al-Tarrah et al. (2017) </w:t>
            </w:r>
            <w:hyperlink r:id="rId33" w:history="1">
              <w:r w:rsidRPr="0083123D">
                <w:rPr>
                  <w:rStyle w:val="Hyperlink"/>
                  <w:rFonts w:ascii="Arial" w:eastAsia="Times New Roman" w:hAnsi="Arial" w:cs="Arial"/>
                  <w:color w:val="auto"/>
                  <w:sz w:val="20"/>
                  <w:szCs w:val="20"/>
                  <w:u w:val="none"/>
                  <w:lang w:eastAsia="pt-BR"/>
                </w:rPr>
                <w:t>(21)</w:t>
              </w:r>
            </w:hyperlink>
            <w:r w:rsidRPr="0083123D">
              <w:rPr>
                <w:rFonts w:ascii="Arial" w:eastAsia="Times New Roman" w:hAnsi="Arial" w:cs="Arial"/>
                <w:sz w:val="20"/>
                <w:szCs w:val="20"/>
                <w:lang w:eastAsia="pt-BR"/>
              </w:rPr>
              <w:t xml:space="preserve">; McBride et al. (2020) </w:t>
            </w:r>
            <w:hyperlink r:id="rId34" w:history="1">
              <w:r w:rsidRPr="0083123D">
                <w:rPr>
                  <w:rStyle w:val="Hyperlink"/>
                  <w:rFonts w:ascii="Arial" w:eastAsia="Times New Roman" w:hAnsi="Arial" w:cs="Arial"/>
                  <w:color w:val="auto"/>
                  <w:sz w:val="20"/>
                  <w:szCs w:val="20"/>
                  <w:u w:val="none"/>
                  <w:lang w:eastAsia="pt-BR"/>
                </w:rPr>
                <w:t>(27)</w:t>
              </w:r>
            </w:hyperlink>
          </w:p>
        </w:tc>
      </w:tr>
      <w:tr w:rsidR="0083123D" w:rsidRPr="0083123D" w14:paraId="7795B2F8" w14:textId="77777777" w:rsidTr="0083123D">
        <w:trPr>
          <w:tblCellSpacing w:w="15" w:type="dxa"/>
        </w:trPr>
        <w:tc>
          <w:tcPr>
            <w:tcW w:w="0" w:type="auto"/>
            <w:vAlign w:val="center"/>
            <w:hideMark/>
          </w:tcPr>
          <w:p w14:paraId="2BAFA72E"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Surgical Trauma</w:t>
            </w:r>
          </w:p>
        </w:tc>
        <w:tc>
          <w:tcPr>
            <w:tcW w:w="0" w:type="auto"/>
            <w:vAlign w:val="center"/>
            <w:hideMark/>
          </w:tcPr>
          <w:p w14:paraId="0CAD673B"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Early enteral nutrition; glycemic control; reduction of inflammatory complications</w:t>
            </w:r>
          </w:p>
        </w:tc>
        <w:tc>
          <w:tcPr>
            <w:tcW w:w="0" w:type="auto"/>
            <w:vAlign w:val="center"/>
            <w:hideMark/>
          </w:tcPr>
          <w:p w14:paraId="735DFBE7"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Li &amp; Shen (2017) </w:t>
            </w:r>
            <w:hyperlink r:id="rId35" w:history="1">
              <w:r w:rsidRPr="0083123D">
                <w:rPr>
                  <w:rStyle w:val="Hyperlink"/>
                  <w:rFonts w:ascii="Arial" w:eastAsia="Times New Roman" w:hAnsi="Arial" w:cs="Arial"/>
                  <w:color w:val="auto"/>
                  <w:sz w:val="20"/>
                  <w:szCs w:val="20"/>
                  <w:u w:val="none"/>
                  <w:lang w:eastAsia="pt-BR"/>
                </w:rPr>
                <w:t>(18)</w:t>
              </w:r>
            </w:hyperlink>
            <w:r w:rsidRPr="0083123D">
              <w:rPr>
                <w:rFonts w:ascii="Arial" w:eastAsia="Times New Roman" w:hAnsi="Arial" w:cs="Arial"/>
                <w:sz w:val="20"/>
                <w:szCs w:val="20"/>
                <w:lang w:eastAsia="pt-BR"/>
              </w:rPr>
              <w:t xml:space="preserve">; Casaer &amp; Van den Berghe (2014) </w:t>
            </w:r>
            <w:hyperlink r:id="rId36" w:history="1">
              <w:r w:rsidRPr="0083123D">
                <w:rPr>
                  <w:rStyle w:val="Hyperlink"/>
                  <w:rFonts w:ascii="Arial" w:eastAsia="Times New Roman" w:hAnsi="Arial" w:cs="Arial"/>
                  <w:color w:val="auto"/>
                  <w:sz w:val="20"/>
                  <w:szCs w:val="20"/>
                  <w:u w:val="none"/>
                  <w:lang w:eastAsia="pt-BR"/>
                </w:rPr>
                <w:t>(10)</w:t>
              </w:r>
            </w:hyperlink>
          </w:p>
        </w:tc>
      </w:tr>
      <w:tr w:rsidR="0083123D" w:rsidRPr="0083123D" w14:paraId="0E21AC87" w14:textId="77777777" w:rsidTr="0083123D">
        <w:trPr>
          <w:tblCellSpacing w:w="15" w:type="dxa"/>
        </w:trPr>
        <w:tc>
          <w:tcPr>
            <w:tcW w:w="0" w:type="auto"/>
            <w:vAlign w:val="center"/>
            <w:hideMark/>
          </w:tcPr>
          <w:p w14:paraId="44FFBD38"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Traumatic Brain Injury (TBI)</w:t>
            </w:r>
          </w:p>
        </w:tc>
        <w:tc>
          <w:tcPr>
            <w:tcW w:w="0" w:type="auto"/>
            <w:vAlign w:val="center"/>
            <w:hideMark/>
          </w:tcPr>
          <w:p w14:paraId="220AE131"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Immunomodulators to prevent late immune suppression; cytokine regulation; modulation of blood-brain barrier inflammation</w:t>
            </w:r>
          </w:p>
        </w:tc>
        <w:tc>
          <w:tcPr>
            <w:tcW w:w="0" w:type="auto"/>
            <w:vAlign w:val="center"/>
            <w:hideMark/>
          </w:tcPr>
          <w:p w14:paraId="166DD218"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Bouras &amp; Asehnoune (2022) </w:t>
            </w:r>
            <w:hyperlink r:id="rId37" w:history="1">
              <w:r w:rsidRPr="0083123D">
                <w:rPr>
                  <w:rStyle w:val="Hyperlink"/>
                  <w:rFonts w:ascii="Arial" w:eastAsia="Times New Roman" w:hAnsi="Arial" w:cs="Arial"/>
                  <w:color w:val="auto"/>
                  <w:sz w:val="20"/>
                  <w:szCs w:val="20"/>
                  <w:u w:val="none"/>
                  <w:lang w:eastAsia="pt-BR"/>
                </w:rPr>
                <w:t>(14)</w:t>
              </w:r>
            </w:hyperlink>
          </w:p>
        </w:tc>
      </w:tr>
      <w:tr w:rsidR="0083123D" w:rsidRPr="0083123D" w14:paraId="73A8BF7A" w14:textId="77777777" w:rsidTr="0083123D">
        <w:trPr>
          <w:tblCellSpacing w:w="15" w:type="dxa"/>
        </w:trPr>
        <w:tc>
          <w:tcPr>
            <w:tcW w:w="0" w:type="auto"/>
            <w:vAlign w:val="center"/>
            <w:hideMark/>
          </w:tcPr>
          <w:p w14:paraId="3CE4674C"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Polytrauma in the Elderly</w:t>
            </w:r>
          </w:p>
        </w:tc>
        <w:tc>
          <w:tcPr>
            <w:tcW w:w="0" w:type="auto"/>
            <w:vAlign w:val="center"/>
            <w:hideMark/>
          </w:tcPr>
          <w:p w14:paraId="215BA78D"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Inflammatory biomarker monitoring; focus on immunosenescence; limited tolerance to metabolic therapies</w:t>
            </w:r>
          </w:p>
        </w:tc>
        <w:tc>
          <w:tcPr>
            <w:tcW w:w="0" w:type="auto"/>
            <w:vAlign w:val="center"/>
            <w:hideMark/>
          </w:tcPr>
          <w:p w14:paraId="54379700"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Palmer et al. (2019) </w:t>
            </w:r>
            <w:hyperlink r:id="rId38" w:history="1">
              <w:r w:rsidRPr="0083123D">
                <w:rPr>
                  <w:rStyle w:val="Hyperlink"/>
                  <w:rFonts w:ascii="Arial" w:eastAsia="Times New Roman" w:hAnsi="Arial" w:cs="Arial"/>
                  <w:color w:val="auto"/>
                  <w:sz w:val="20"/>
                  <w:szCs w:val="20"/>
                  <w:u w:val="none"/>
                  <w:lang w:eastAsia="pt-BR"/>
                </w:rPr>
                <w:t>(20)</w:t>
              </w:r>
            </w:hyperlink>
            <w:r w:rsidRPr="0083123D">
              <w:rPr>
                <w:rFonts w:ascii="Arial" w:eastAsia="Times New Roman" w:hAnsi="Arial" w:cs="Arial"/>
                <w:sz w:val="20"/>
                <w:szCs w:val="20"/>
                <w:lang w:eastAsia="pt-BR"/>
              </w:rPr>
              <w:t xml:space="preserve">; Hazeldine &amp; Lord (2015) </w:t>
            </w:r>
            <w:hyperlink r:id="rId39" w:history="1">
              <w:r w:rsidRPr="0083123D">
                <w:rPr>
                  <w:rStyle w:val="Hyperlink"/>
                  <w:rFonts w:ascii="Arial" w:eastAsia="Times New Roman" w:hAnsi="Arial" w:cs="Arial"/>
                  <w:color w:val="auto"/>
                  <w:sz w:val="20"/>
                  <w:szCs w:val="20"/>
                  <w:u w:val="none"/>
                  <w:lang w:eastAsia="pt-BR"/>
                </w:rPr>
                <w:t>(23)</w:t>
              </w:r>
            </w:hyperlink>
          </w:p>
        </w:tc>
      </w:tr>
    </w:tbl>
    <w:p w14:paraId="51EB17A3" w14:textId="0A6C80FA" w:rsidR="0083123D" w:rsidRPr="0083123D" w:rsidRDefault="0083123D" w:rsidP="00023427">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5D31798A" w14:textId="36AA32A9" w:rsidR="00023427" w:rsidRDefault="00023427" w:rsidP="00023427">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256975">
        <w:rPr>
          <w:rFonts w:ascii="Arial" w:eastAsia="Times New Roman" w:hAnsi="Arial" w:cs="Arial"/>
          <w:b/>
          <w:bCs/>
          <w:lang w:eastAsia="pt-BR"/>
        </w:rPr>
        <w:t>DISCUSSION</w:t>
      </w:r>
    </w:p>
    <w:p w14:paraId="631E8EF6"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The results of this systematic review indicate that therapeutic modulation of the endocrine-metabolic-immunological response to trauma (REMIT) offers clinical benefits when based on integrated and targeted approaches. Among the interventions studied, those with the highest level </w:t>
      </w:r>
      <w:r w:rsidRPr="0083123D">
        <w:rPr>
          <w:rFonts w:ascii="Arial" w:eastAsia="Times New Roman" w:hAnsi="Arial" w:cs="Arial"/>
          <w:sz w:val="20"/>
          <w:szCs w:val="20"/>
          <w:lang w:eastAsia="pt-BR"/>
        </w:rPr>
        <w:lastRenderedPageBreak/>
        <w:t>of evidence and clearest clinical impact were early enteral nutrition, beta-blockers, and immunonutrition.</w:t>
      </w:r>
    </w:p>
    <w:p w14:paraId="5E67B2DD"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Early enteral nutrition demonstrated consistent efficacy in reducing infectious complications, improving glycemic and metabolic control, and preserving intestinal and immunological barrier integrity [(10,18)]. These benefits are attributed to the physiological stimulation of the gastrointestinal tract, prevention of bacterial translocation, and attenuation of catabolic processes triggered by trauma.</w:t>
      </w:r>
    </w:p>
    <w:p w14:paraId="45D9A954"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Beta-blockers, particularly propranolol, were highlighted in patients with severe trauma and burns due to their ability to mitigate adrenergic hyperactivation, reduce resting energy expenditure, and limit cardiac and metabolic overload [(13,21)]. Their effectiveness is supported by the understanding that trauma triggers an exaggerated sympathetic response, which, if prolonged, worsens metabolic and immune imbalance</w:t>
      </w:r>
      <w:r>
        <w:rPr>
          <w:rFonts w:ascii="Arial" w:eastAsia="Times New Roman" w:hAnsi="Arial" w:cs="Arial"/>
          <w:sz w:val="20"/>
          <w:szCs w:val="20"/>
          <w:lang w:eastAsia="pt-BR"/>
        </w:rPr>
        <w:t>.</w:t>
      </w:r>
    </w:p>
    <w:p w14:paraId="19AB1304"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Immunonutrients, such as omega-3 fatty acids, glutamine, and arginine, also showed benefits in certain contexts by modulating the immune response, reducing oxidative stress, and improving nitrogen balance [(12,18)]. However, their effectiveness depends on timing, composition, and individual patient factors</w:t>
      </w:r>
      <w:r>
        <w:rPr>
          <w:rFonts w:ascii="Arial" w:eastAsia="Times New Roman" w:hAnsi="Arial" w:cs="Arial"/>
          <w:sz w:val="20"/>
          <w:szCs w:val="20"/>
          <w:lang w:eastAsia="pt-BR"/>
        </w:rPr>
        <w:t>.</w:t>
      </w:r>
    </w:p>
    <w:p w14:paraId="27016DF3"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Mechanistically, the success of these therapies is supported by their action on key pathophysiological pathways. For example, the inhibition of DAMPs (Damage-Associated Molecular Patterns) and mitochondrial dysfunction aims to reduce the release of pro-inflammatory mediators and prevent immune exhaustion, a process demonstrated in experimental models [(16,22,26)]. Similarly, the role of hormonal modulation (e.g., estrogens) in burn trauma suggests that sex hormones influence post-trauma inflammation, with evidence pointing to immunoregulatory effects [(21)].</w:t>
      </w:r>
    </w:p>
    <w:p w14:paraId="3A664613" w14:textId="0AF65401" w:rsidR="0083123D" w:rsidRP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Despite these promising findings, several interventions—such as corticosteroids and intensive glycemic control—have shown inconsistent or even deleterious results. Corticosteroids, although anti-inflammatory, are associated with immune suppression and increased infection risk when used indiscriminately [(17)]. Similarly, tight glycemic control may result in hypoglycemia and adverse outcomes in critically ill patients [(10)].</w:t>
      </w:r>
    </w:p>
    <w:p w14:paraId="193C612B" w14:textId="77777777" w:rsidR="00023427" w:rsidRPr="002B257F" w:rsidRDefault="00023427" w:rsidP="00023427">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D73877">
        <w:rPr>
          <w:rFonts w:ascii="Arial" w:hAnsi="Arial" w:cs="Arial"/>
          <w:b/>
          <w:bCs/>
        </w:rPr>
        <w:t>CONCLUSION</w:t>
      </w:r>
    </w:p>
    <w:p w14:paraId="6AB8990C"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The modulation of the endocrine-metabolic-immunological response to trauma (REMIT) is essential for improving clinical outcomes in critically ill or polytraumatized patients. Although this physiological response initially plays an adaptive role, its prolonged or exacerbated activation can lead to severe complications such as sepsis, organ dysfunction, and increased mortality.</w:t>
      </w:r>
    </w:p>
    <w:p w14:paraId="47EE725C" w14:textId="02B7E225"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lastRenderedPageBreak/>
        <w:t xml:space="preserve">This systematic review identified that early enteral nutrition, beta-blockers, and immunonutrition represent the most evidence-based and effective strategies for positively influencing REMIT. These interventions act on different physiological axes and help restore homeostasis while </w:t>
      </w:r>
      <w:r w:rsidR="00F26FE7" w:rsidRPr="006C2B37">
        <w:rPr>
          <w:rFonts w:ascii="Arial" w:eastAsia="Times New Roman" w:hAnsi="Arial" w:cs="Arial"/>
          <w:sz w:val="20"/>
          <w:szCs w:val="20"/>
          <w:highlight w:val="yellow"/>
          <w:lang w:eastAsia="pt-BR"/>
        </w:rPr>
        <w:t>minimising</w:t>
      </w:r>
      <w:r w:rsidR="00F26FE7" w:rsidRPr="0083123D">
        <w:rPr>
          <w:rFonts w:ascii="Arial" w:eastAsia="Times New Roman" w:hAnsi="Arial" w:cs="Arial"/>
          <w:sz w:val="20"/>
          <w:szCs w:val="20"/>
          <w:lang w:eastAsia="pt-BR"/>
        </w:rPr>
        <w:t xml:space="preserve"> </w:t>
      </w:r>
      <w:r w:rsidRPr="0083123D">
        <w:rPr>
          <w:rFonts w:ascii="Arial" w:eastAsia="Times New Roman" w:hAnsi="Arial" w:cs="Arial"/>
          <w:sz w:val="20"/>
          <w:szCs w:val="20"/>
          <w:lang w:eastAsia="pt-BR"/>
        </w:rPr>
        <w:t xml:space="preserve">adverse effects. In contrast, therapies such as corticosteroids or tight glycemic control showed limited or conflicting results and require cautious, </w:t>
      </w:r>
      <w:r w:rsidR="00F26FE7" w:rsidRPr="006C2B37">
        <w:rPr>
          <w:rFonts w:ascii="Arial" w:eastAsia="Times New Roman" w:hAnsi="Arial" w:cs="Arial"/>
          <w:sz w:val="20"/>
          <w:szCs w:val="20"/>
          <w:highlight w:val="yellow"/>
          <w:lang w:eastAsia="pt-BR"/>
        </w:rPr>
        <w:t>individualised</w:t>
      </w:r>
      <w:r w:rsidR="00F26FE7" w:rsidRPr="0083123D">
        <w:rPr>
          <w:rFonts w:ascii="Arial" w:eastAsia="Times New Roman" w:hAnsi="Arial" w:cs="Arial"/>
          <w:sz w:val="20"/>
          <w:szCs w:val="20"/>
          <w:lang w:eastAsia="pt-BR"/>
        </w:rPr>
        <w:t xml:space="preserve"> </w:t>
      </w:r>
      <w:r w:rsidRPr="0083123D">
        <w:rPr>
          <w:rFonts w:ascii="Arial" w:eastAsia="Times New Roman" w:hAnsi="Arial" w:cs="Arial"/>
          <w:sz w:val="20"/>
          <w:szCs w:val="20"/>
          <w:lang w:eastAsia="pt-BR"/>
        </w:rPr>
        <w:t>use.</w:t>
      </w:r>
    </w:p>
    <w:p w14:paraId="7D6851B4" w14:textId="259B7F70"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Nonetheless, the literature still presents significant gaps, particularly regarding the integration of therapeutic strategies across REMIT’s three axes and the </w:t>
      </w:r>
      <w:r w:rsidR="00F26FE7" w:rsidRPr="006C2B37">
        <w:rPr>
          <w:rFonts w:ascii="Arial" w:eastAsia="Times New Roman" w:hAnsi="Arial" w:cs="Arial"/>
          <w:sz w:val="20"/>
          <w:szCs w:val="20"/>
          <w:highlight w:val="yellow"/>
          <w:lang w:eastAsia="pt-BR"/>
        </w:rPr>
        <w:t>personalisation</w:t>
      </w:r>
      <w:r w:rsidR="00F26FE7" w:rsidRPr="0083123D">
        <w:rPr>
          <w:rFonts w:ascii="Arial" w:eastAsia="Times New Roman" w:hAnsi="Arial" w:cs="Arial"/>
          <w:sz w:val="20"/>
          <w:szCs w:val="20"/>
          <w:lang w:eastAsia="pt-BR"/>
        </w:rPr>
        <w:t xml:space="preserve"> </w:t>
      </w:r>
      <w:r w:rsidRPr="0083123D">
        <w:rPr>
          <w:rFonts w:ascii="Arial" w:eastAsia="Times New Roman" w:hAnsi="Arial" w:cs="Arial"/>
          <w:sz w:val="20"/>
          <w:szCs w:val="20"/>
          <w:lang w:eastAsia="pt-BR"/>
        </w:rPr>
        <w:t xml:space="preserve">of treatment based on trauma type, patient frailty, and biological markers. Therefore, future studies—especially multicenter </w:t>
      </w:r>
      <w:r w:rsidR="00F26FE7" w:rsidRPr="006C2B37">
        <w:rPr>
          <w:rFonts w:ascii="Arial" w:eastAsia="Times New Roman" w:hAnsi="Arial" w:cs="Arial"/>
          <w:sz w:val="20"/>
          <w:szCs w:val="20"/>
          <w:highlight w:val="yellow"/>
          <w:lang w:eastAsia="pt-BR"/>
        </w:rPr>
        <w:t>randomised</w:t>
      </w:r>
      <w:r w:rsidR="00F26FE7" w:rsidRPr="006C2B37">
        <w:rPr>
          <w:rFonts w:ascii="Arial" w:eastAsia="Times New Roman" w:hAnsi="Arial" w:cs="Arial"/>
          <w:sz w:val="20"/>
          <w:szCs w:val="20"/>
          <w:highlight w:val="yellow"/>
          <w:lang w:eastAsia="pt-BR"/>
        </w:rPr>
        <w:t xml:space="preserve"> </w:t>
      </w:r>
      <w:r w:rsidRPr="006C2B37">
        <w:rPr>
          <w:rFonts w:ascii="Arial" w:eastAsia="Times New Roman" w:hAnsi="Arial" w:cs="Arial"/>
          <w:sz w:val="20"/>
          <w:szCs w:val="20"/>
          <w:highlight w:val="yellow"/>
          <w:lang w:eastAsia="pt-BR"/>
        </w:rPr>
        <w:t>clinical</w:t>
      </w:r>
      <w:r w:rsidRPr="0083123D">
        <w:rPr>
          <w:rFonts w:ascii="Arial" w:eastAsia="Times New Roman" w:hAnsi="Arial" w:cs="Arial"/>
          <w:sz w:val="20"/>
          <w:szCs w:val="20"/>
          <w:lang w:eastAsia="pt-BR"/>
        </w:rPr>
        <w:t xml:space="preserve"> trials—are essential to guide safe and effective implementation of these strategies in routine clinical practice.</w:t>
      </w:r>
    </w:p>
    <w:p w14:paraId="2BE6778C" w14:textId="4384EFB4" w:rsidR="0084211A" w:rsidRDefault="0084211A" w:rsidP="0083123D">
      <w:pPr>
        <w:spacing w:before="100" w:beforeAutospacing="1" w:after="100" w:afterAutospacing="1" w:line="360" w:lineRule="auto"/>
        <w:ind w:firstLine="360"/>
        <w:jc w:val="both"/>
        <w:rPr>
          <w:rFonts w:ascii="Arial" w:eastAsia="Times New Roman" w:hAnsi="Arial" w:cs="Arial"/>
          <w:sz w:val="20"/>
          <w:szCs w:val="20"/>
          <w:lang w:eastAsia="pt-BR"/>
        </w:rPr>
      </w:pPr>
    </w:p>
    <w:p w14:paraId="5BFF681A" w14:textId="77777777" w:rsidR="0084211A" w:rsidRPr="00346C4C" w:rsidRDefault="0084211A" w:rsidP="0084211A">
      <w:pPr>
        <w:rPr>
          <w:highlight w:val="yellow"/>
        </w:rPr>
      </w:pPr>
      <w:r w:rsidRPr="00346C4C">
        <w:rPr>
          <w:highlight w:val="yellow"/>
        </w:rPr>
        <w:t>Disclaimer (Artificial intelligence)</w:t>
      </w:r>
    </w:p>
    <w:p w14:paraId="70499B83" w14:textId="77777777" w:rsidR="0084211A" w:rsidRPr="00346C4C" w:rsidRDefault="0084211A" w:rsidP="0084211A">
      <w:pPr>
        <w:rPr>
          <w:highlight w:val="yellow"/>
        </w:rPr>
      </w:pPr>
    </w:p>
    <w:p w14:paraId="52DFEA46" w14:textId="77777777" w:rsidR="0084211A" w:rsidRPr="00346C4C" w:rsidRDefault="0084211A" w:rsidP="0084211A">
      <w:pPr>
        <w:rPr>
          <w:highlight w:val="yellow"/>
        </w:rPr>
      </w:pPr>
      <w:r w:rsidRPr="00346C4C">
        <w:rPr>
          <w:highlight w:val="yellow"/>
        </w:rPr>
        <w:t xml:space="preserve">Option 1: </w:t>
      </w:r>
    </w:p>
    <w:p w14:paraId="732B58AB" w14:textId="77777777" w:rsidR="0084211A" w:rsidRPr="00346C4C" w:rsidRDefault="0084211A" w:rsidP="0084211A">
      <w:pPr>
        <w:rPr>
          <w:highlight w:val="yellow"/>
        </w:rPr>
      </w:pPr>
    </w:p>
    <w:p w14:paraId="60F57EC5" w14:textId="77777777" w:rsidR="0084211A" w:rsidRPr="00346C4C" w:rsidRDefault="0084211A" w:rsidP="0084211A">
      <w:pPr>
        <w:rPr>
          <w:highlight w:val="yellow"/>
        </w:rPr>
      </w:pPr>
      <w:r w:rsidRPr="00346C4C">
        <w:rPr>
          <w:highlight w:val="yellow"/>
        </w:rPr>
        <w:t xml:space="preserve">Author(s) hereby declare that NO generative AI technologies such as Large Language Models (ChatGPT, COPILOT, etc.) and text-to-image generators have been used during the writing or editing of this manuscript. </w:t>
      </w:r>
    </w:p>
    <w:p w14:paraId="450D4613" w14:textId="77777777" w:rsidR="0084211A" w:rsidRPr="00346C4C" w:rsidRDefault="0084211A" w:rsidP="0084211A">
      <w:pPr>
        <w:rPr>
          <w:highlight w:val="yellow"/>
        </w:rPr>
      </w:pPr>
    </w:p>
    <w:p w14:paraId="29462012" w14:textId="77777777" w:rsidR="0084211A" w:rsidRPr="00346C4C" w:rsidRDefault="0084211A" w:rsidP="0084211A">
      <w:pPr>
        <w:rPr>
          <w:highlight w:val="yellow"/>
        </w:rPr>
      </w:pPr>
      <w:r w:rsidRPr="00346C4C">
        <w:rPr>
          <w:highlight w:val="yellow"/>
        </w:rPr>
        <w:t xml:space="preserve">Option 2: </w:t>
      </w:r>
    </w:p>
    <w:p w14:paraId="02490BDD" w14:textId="77777777" w:rsidR="0084211A" w:rsidRPr="00346C4C" w:rsidRDefault="0084211A" w:rsidP="0084211A">
      <w:pPr>
        <w:rPr>
          <w:highlight w:val="yellow"/>
        </w:rPr>
      </w:pPr>
    </w:p>
    <w:p w14:paraId="4758CF0A" w14:textId="77777777" w:rsidR="0084211A" w:rsidRPr="00346C4C" w:rsidRDefault="0084211A" w:rsidP="0084211A">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0B7D7D" w14:textId="77777777" w:rsidR="0084211A" w:rsidRPr="00346C4C" w:rsidRDefault="0084211A" w:rsidP="0084211A">
      <w:pPr>
        <w:rPr>
          <w:highlight w:val="yellow"/>
        </w:rPr>
      </w:pPr>
    </w:p>
    <w:p w14:paraId="14DA0080" w14:textId="77777777" w:rsidR="0084211A" w:rsidRPr="00346C4C" w:rsidRDefault="0084211A" w:rsidP="0084211A">
      <w:pPr>
        <w:rPr>
          <w:highlight w:val="yellow"/>
        </w:rPr>
      </w:pPr>
      <w:r w:rsidRPr="00346C4C">
        <w:rPr>
          <w:highlight w:val="yellow"/>
        </w:rPr>
        <w:t>Details of the AI usage are given below:</w:t>
      </w:r>
    </w:p>
    <w:p w14:paraId="0A51EB0C" w14:textId="77777777" w:rsidR="0084211A" w:rsidRPr="00346C4C" w:rsidRDefault="0084211A" w:rsidP="0084211A">
      <w:pPr>
        <w:rPr>
          <w:highlight w:val="yellow"/>
        </w:rPr>
      </w:pPr>
      <w:r w:rsidRPr="00346C4C">
        <w:rPr>
          <w:highlight w:val="yellow"/>
        </w:rPr>
        <w:t>1.</w:t>
      </w:r>
    </w:p>
    <w:p w14:paraId="03B2D5D9" w14:textId="77777777" w:rsidR="0084211A" w:rsidRPr="00346C4C" w:rsidRDefault="0084211A" w:rsidP="0084211A">
      <w:pPr>
        <w:rPr>
          <w:highlight w:val="yellow"/>
        </w:rPr>
      </w:pPr>
      <w:r w:rsidRPr="00346C4C">
        <w:rPr>
          <w:highlight w:val="yellow"/>
        </w:rPr>
        <w:t>2.</w:t>
      </w:r>
    </w:p>
    <w:p w14:paraId="7EC298EE" w14:textId="77777777" w:rsidR="0084211A" w:rsidRPr="00346C4C" w:rsidRDefault="0084211A" w:rsidP="0084211A">
      <w:r w:rsidRPr="00346C4C">
        <w:rPr>
          <w:highlight w:val="yellow"/>
        </w:rPr>
        <w:t>3.</w:t>
      </w:r>
    </w:p>
    <w:p w14:paraId="5DECAEEB" w14:textId="77777777" w:rsidR="0084211A" w:rsidRDefault="0084211A" w:rsidP="0083123D">
      <w:pPr>
        <w:spacing w:before="100" w:beforeAutospacing="1" w:after="100" w:afterAutospacing="1" w:line="360" w:lineRule="auto"/>
        <w:ind w:firstLine="360"/>
        <w:jc w:val="both"/>
        <w:rPr>
          <w:rFonts w:ascii="Arial" w:eastAsia="Times New Roman" w:hAnsi="Arial" w:cs="Arial"/>
          <w:sz w:val="20"/>
          <w:szCs w:val="20"/>
          <w:lang w:eastAsia="pt-BR"/>
        </w:rPr>
      </w:pPr>
    </w:p>
    <w:p w14:paraId="0DDB75AE" w14:textId="77777777" w:rsidR="00023427" w:rsidRDefault="00023427" w:rsidP="00023427">
      <w:pPr>
        <w:spacing w:before="100" w:beforeAutospacing="1" w:after="100" w:afterAutospacing="1" w:line="360" w:lineRule="auto"/>
        <w:jc w:val="both"/>
        <w:rPr>
          <w:rFonts w:ascii="Arial" w:eastAsia="Times New Roman" w:hAnsi="Arial" w:cs="Arial"/>
          <w:b/>
          <w:lang w:val="en-US" w:eastAsia="pt-BR"/>
        </w:rPr>
      </w:pPr>
      <w:r w:rsidRPr="009D0805">
        <w:rPr>
          <w:rFonts w:ascii="Arial" w:eastAsia="Times New Roman" w:hAnsi="Arial" w:cs="Arial"/>
          <w:b/>
          <w:lang w:val="en-US" w:eastAsia="pt-BR"/>
        </w:rPr>
        <w:t>REFERENCES</w:t>
      </w:r>
    </w:p>
    <w:p w14:paraId="45D30ED0"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lastRenderedPageBreak/>
        <w:t xml:space="preserve">Akinci S, Cakir O. Response to trauma includes various endocrine, metabolic and immunological changes. </w:t>
      </w:r>
      <w:r w:rsidRPr="0083123D">
        <w:rPr>
          <w:rFonts w:ascii="Arial" w:eastAsia="Times New Roman" w:hAnsi="Arial" w:cs="Arial"/>
          <w:bCs/>
          <w:i/>
          <w:iCs/>
          <w:sz w:val="20"/>
          <w:szCs w:val="20"/>
          <w:lang w:eastAsia="pt-BR"/>
        </w:rPr>
        <w:t>Int J Surg</w:t>
      </w:r>
      <w:r w:rsidRPr="0083123D">
        <w:rPr>
          <w:rFonts w:ascii="Arial" w:eastAsia="Times New Roman" w:hAnsi="Arial" w:cs="Arial"/>
          <w:bCs/>
          <w:sz w:val="20"/>
          <w:szCs w:val="20"/>
          <w:lang w:eastAsia="pt-BR"/>
        </w:rPr>
        <w:t>. 2014;12(3):e112–8.</w:t>
      </w:r>
    </w:p>
    <w:p w14:paraId="061A549B"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Mehdi SF, Qureshi MH, Pervaiz S, Kumari K. Endocrine and metabolic alterations in response to systemic inflammation and sepsis: a review. </w:t>
      </w:r>
      <w:r w:rsidRPr="0083123D">
        <w:rPr>
          <w:rFonts w:ascii="Arial" w:eastAsia="Times New Roman" w:hAnsi="Arial" w:cs="Arial"/>
          <w:bCs/>
          <w:i/>
          <w:iCs/>
          <w:sz w:val="20"/>
          <w:szCs w:val="20"/>
          <w:lang w:eastAsia="pt-BR"/>
        </w:rPr>
        <w:t>Mol Med</w:t>
      </w:r>
      <w:r w:rsidRPr="0083123D">
        <w:rPr>
          <w:rFonts w:ascii="Arial" w:eastAsia="Times New Roman" w:hAnsi="Arial" w:cs="Arial"/>
          <w:bCs/>
          <w:sz w:val="20"/>
          <w:szCs w:val="20"/>
          <w:lang w:eastAsia="pt-BR"/>
        </w:rPr>
        <w:t>. 2025;31:16.</w:t>
      </w:r>
    </w:p>
    <w:p w14:paraId="71F46C7C"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Silva FN, Souza DP, Medeiros MM. Endocrine, neurological and immunological interactions in the metabolic response to trauma. </w:t>
      </w:r>
      <w:r w:rsidRPr="0083123D">
        <w:rPr>
          <w:rFonts w:ascii="Arial" w:eastAsia="Times New Roman" w:hAnsi="Arial" w:cs="Arial"/>
          <w:bCs/>
          <w:i/>
          <w:iCs/>
          <w:sz w:val="20"/>
          <w:szCs w:val="20"/>
          <w:lang w:eastAsia="pt-BR"/>
        </w:rPr>
        <w:t>Rev Bras Ter Intensiva</w:t>
      </w:r>
      <w:r w:rsidRPr="0083123D">
        <w:rPr>
          <w:rFonts w:ascii="Arial" w:eastAsia="Times New Roman" w:hAnsi="Arial" w:cs="Arial"/>
          <w:bCs/>
          <w:sz w:val="20"/>
          <w:szCs w:val="20"/>
          <w:lang w:eastAsia="pt-BR"/>
        </w:rPr>
        <w:t>. 2023;35(2):123–30.</w:t>
      </w:r>
    </w:p>
    <w:p w14:paraId="7861BA5F"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Smith J, et al. Immunology of stress: pathways linking HPA axis and immunity. </w:t>
      </w:r>
      <w:r w:rsidRPr="0083123D">
        <w:rPr>
          <w:rFonts w:ascii="Arial" w:eastAsia="Times New Roman" w:hAnsi="Arial" w:cs="Arial"/>
          <w:bCs/>
          <w:i/>
          <w:iCs/>
          <w:sz w:val="20"/>
          <w:szCs w:val="20"/>
          <w:lang w:eastAsia="pt-BR"/>
        </w:rPr>
        <w:t>J Clin Immunol</w:t>
      </w:r>
      <w:r w:rsidRPr="0083123D">
        <w:rPr>
          <w:rFonts w:ascii="Arial" w:eastAsia="Times New Roman" w:hAnsi="Arial" w:cs="Arial"/>
          <w:bCs/>
          <w:sz w:val="20"/>
          <w:szCs w:val="20"/>
          <w:lang w:eastAsia="pt-BR"/>
        </w:rPr>
        <w:t>. 2024;44(4):567–77.</w:t>
      </w:r>
    </w:p>
    <w:p w14:paraId="363C41FC"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Cuthbertson DP. The metabolic response to surgical trauma: 70 years later. </w:t>
      </w:r>
      <w:r w:rsidRPr="0083123D">
        <w:rPr>
          <w:rFonts w:ascii="Arial" w:eastAsia="Times New Roman" w:hAnsi="Arial" w:cs="Arial"/>
          <w:bCs/>
          <w:i/>
          <w:iCs/>
          <w:sz w:val="20"/>
          <w:szCs w:val="20"/>
          <w:lang w:eastAsia="pt-BR"/>
        </w:rPr>
        <w:t>Surg Today</w:t>
      </w:r>
      <w:r w:rsidRPr="0083123D">
        <w:rPr>
          <w:rFonts w:ascii="Arial" w:eastAsia="Times New Roman" w:hAnsi="Arial" w:cs="Arial"/>
          <w:bCs/>
          <w:sz w:val="20"/>
          <w:szCs w:val="20"/>
          <w:lang w:eastAsia="pt-BR"/>
        </w:rPr>
        <w:t>. 2024;54(1):14–22.</w:t>
      </w:r>
    </w:p>
    <w:p w14:paraId="2853B7D2"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Jones RL, et al. The systemic immune response to trauma: overview of biological mechanisms. </w:t>
      </w:r>
      <w:r w:rsidRPr="0083123D">
        <w:rPr>
          <w:rFonts w:ascii="Arial" w:eastAsia="Times New Roman" w:hAnsi="Arial" w:cs="Arial"/>
          <w:bCs/>
          <w:i/>
          <w:iCs/>
          <w:sz w:val="20"/>
          <w:szCs w:val="20"/>
          <w:lang w:eastAsia="pt-BR"/>
        </w:rPr>
        <w:t>J Trauma Acute Care Surg</w:t>
      </w:r>
      <w:r w:rsidRPr="0083123D">
        <w:rPr>
          <w:rFonts w:ascii="Arial" w:eastAsia="Times New Roman" w:hAnsi="Arial" w:cs="Arial"/>
          <w:bCs/>
          <w:sz w:val="20"/>
          <w:szCs w:val="20"/>
          <w:lang w:eastAsia="pt-BR"/>
        </w:rPr>
        <w:t>. 2016;81(1):S19–29.</w:t>
      </w:r>
    </w:p>
    <w:p w14:paraId="71E8BC18"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Liu H, et al. Stress on immune and endocrine cross-talk: Endotext. </w:t>
      </w:r>
      <w:r w:rsidRPr="000650D8">
        <w:rPr>
          <w:rFonts w:ascii="Arial" w:eastAsia="Times New Roman" w:hAnsi="Arial" w:cs="Arial"/>
          <w:bCs/>
          <w:i/>
          <w:iCs/>
          <w:sz w:val="20"/>
          <w:szCs w:val="20"/>
          <w:lang w:eastAsia="pt-BR"/>
        </w:rPr>
        <w:t>NCBI Bookshelf</w:t>
      </w:r>
      <w:r w:rsidRPr="000650D8">
        <w:rPr>
          <w:rFonts w:ascii="Arial" w:eastAsia="Times New Roman" w:hAnsi="Arial" w:cs="Arial"/>
          <w:bCs/>
          <w:sz w:val="20"/>
          <w:szCs w:val="20"/>
          <w:lang w:eastAsia="pt-BR"/>
        </w:rPr>
        <w:t xml:space="preserve"> [Internet]. 2020.</w:t>
      </w:r>
    </w:p>
    <w:p w14:paraId="660359F9"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Hotchkiss RS, Moldawer LL. Parallels between cancer and infectious disease. </w:t>
      </w:r>
      <w:r w:rsidRPr="000650D8">
        <w:rPr>
          <w:rFonts w:ascii="Arial" w:eastAsia="Times New Roman" w:hAnsi="Arial" w:cs="Arial"/>
          <w:bCs/>
          <w:i/>
          <w:iCs/>
          <w:sz w:val="20"/>
          <w:szCs w:val="20"/>
          <w:lang w:eastAsia="pt-BR"/>
        </w:rPr>
        <w:t>N Engl J Med</w:t>
      </w:r>
      <w:r w:rsidRPr="000650D8">
        <w:rPr>
          <w:rFonts w:ascii="Arial" w:eastAsia="Times New Roman" w:hAnsi="Arial" w:cs="Arial"/>
          <w:bCs/>
          <w:sz w:val="20"/>
          <w:szCs w:val="20"/>
          <w:lang w:eastAsia="pt-BR"/>
        </w:rPr>
        <w:t>. 2014;371(4):380–3.</w:t>
      </w:r>
    </w:p>
    <w:p w14:paraId="6052081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Preiser JC, Ichai C, Orban JC, Groeneveld ABJ. Metabolic response to the stress of critical illness. </w:t>
      </w:r>
      <w:r w:rsidRPr="000650D8">
        <w:rPr>
          <w:rFonts w:ascii="Arial" w:eastAsia="Times New Roman" w:hAnsi="Arial" w:cs="Arial"/>
          <w:bCs/>
          <w:i/>
          <w:iCs/>
          <w:sz w:val="20"/>
          <w:szCs w:val="20"/>
          <w:lang w:eastAsia="pt-BR"/>
        </w:rPr>
        <w:t>Br J Anaesth</w:t>
      </w:r>
      <w:r w:rsidRPr="000650D8">
        <w:rPr>
          <w:rFonts w:ascii="Arial" w:eastAsia="Times New Roman" w:hAnsi="Arial" w:cs="Arial"/>
          <w:bCs/>
          <w:sz w:val="20"/>
          <w:szCs w:val="20"/>
          <w:lang w:eastAsia="pt-BR"/>
        </w:rPr>
        <w:t>. 2014;113(6):945–54.</w:t>
      </w:r>
    </w:p>
    <w:p w14:paraId="1594440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Casaer MP, Van den Berghe G. Nutrition in the acute phase of critical illness. </w:t>
      </w:r>
      <w:r w:rsidRPr="000650D8">
        <w:rPr>
          <w:rFonts w:ascii="Arial" w:eastAsia="Times New Roman" w:hAnsi="Arial" w:cs="Arial"/>
          <w:bCs/>
          <w:i/>
          <w:iCs/>
          <w:sz w:val="20"/>
          <w:szCs w:val="20"/>
          <w:lang w:eastAsia="pt-BR"/>
        </w:rPr>
        <w:t>N Engl J Med</w:t>
      </w:r>
      <w:r w:rsidRPr="000650D8">
        <w:rPr>
          <w:rFonts w:ascii="Arial" w:eastAsia="Times New Roman" w:hAnsi="Arial" w:cs="Arial"/>
          <w:bCs/>
          <w:sz w:val="20"/>
          <w:szCs w:val="20"/>
          <w:lang w:eastAsia="pt-BR"/>
        </w:rPr>
        <w:t>. 2014;370(13):1227–36.</w:t>
      </w:r>
    </w:p>
    <w:p w14:paraId="03DE5DBD"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Singer M, et al. The third international consensus definitions for sepsis and septic shock (Sepsis-3). </w:t>
      </w:r>
      <w:r w:rsidRPr="000650D8">
        <w:rPr>
          <w:rFonts w:ascii="Arial" w:eastAsia="Times New Roman" w:hAnsi="Arial" w:cs="Arial"/>
          <w:bCs/>
          <w:i/>
          <w:iCs/>
          <w:sz w:val="20"/>
          <w:szCs w:val="20"/>
          <w:lang w:eastAsia="pt-BR"/>
        </w:rPr>
        <w:t>JAMA</w:t>
      </w:r>
      <w:r w:rsidRPr="000650D8">
        <w:rPr>
          <w:rFonts w:ascii="Arial" w:eastAsia="Times New Roman" w:hAnsi="Arial" w:cs="Arial"/>
          <w:bCs/>
          <w:sz w:val="20"/>
          <w:szCs w:val="20"/>
          <w:lang w:eastAsia="pt-BR"/>
        </w:rPr>
        <w:t>. 2016;315(8):801–10.</w:t>
      </w:r>
    </w:p>
    <w:p w14:paraId="72C732B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Rahman A, et al. Immunonutrition in critical illness: a systematic review of recent literature. </w:t>
      </w:r>
      <w:r w:rsidRPr="000650D8">
        <w:rPr>
          <w:rFonts w:ascii="Arial" w:eastAsia="Times New Roman" w:hAnsi="Arial" w:cs="Arial"/>
          <w:bCs/>
          <w:i/>
          <w:iCs/>
          <w:sz w:val="20"/>
          <w:szCs w:val="20"/>
          <w:lang w:eastAsia="pt-BR"/>
        </w:rPr>
        <w:t>Clin Nutr ESPEN</w:t>
      </w:r>
      <w:r w:rsidRPr="000650D8">
        <w:rPr>
          <w:rFonts w:ascii="Arial" w:eastAsia="Times New Roman" w:hAnsi="Arial" w:cs="Arial"/>
          <w:bCs/>
          <w:sz w:val="20"/>
          <w:szCs w:val="20"/>
          <w:lang w:eastAsia="pt-BR"/>
        </w:rPr>
        <w:t>. 2020;38:30–6.</w:t>
      </w:r>
    </w:p>
    <w:p w14:paraId="09CF3860"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MacColl E, Morton J. The metabolic response to trauma. </w:t>
      </w:r>
      <w:r w:rsidRPr="000650D8">
        <w:rPr>
          <w:rFonts w:ascii="Arial" w:eastAsia="Times New Roman" w:hAnsi="Arial" w:cs="Arial"/>
          <w:bCs/>
          <w:i/>
          <w:iCs/>
          <w:sz w:val="20"/>
          <w:szCs w:val="20"/>
          <w:lang w:eastAsia="pt-BR"/>
        </w:rPr>
        <w:t>Br J Anaesth</w:t>
      </w:r>
      <w:r w:rsidRPr="000650D8">
        <w:rPr>
          <w:rFonts w:ascii="Arial" w:eastAsia="Times New Roman" w:hAnsi="Arial" w:cs="Arial"/>
          <w:bCs/>
          <w:sz w:val="20"/>
          <w:szCs w:val="20"/>
          <w:lang w:eastAsia="pt-BR"/>
        </w:rPr>
        <w:t>. 2024;132(4):559–69.</w:t>
      </w:r>
    </w:p>
    <w:p w14:paraId="6B691A4F"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Bouras M, Asehnoune K. Immune modulation after traumatic brain injury. </w:t>
      </w:r>
      <w:r w:rsidRPr="000650D8">
        <w:rPr>
          <w:rFonts w:ascii="Arial" w:eastAsia="Times New Roman" w:hAnsi="Arial" w:cs="Arial"/>
          <w:bCs/>
          <w:i/>
          <w:iCs/>
          <w:sz w:val="20"/>
          <w:szCs w:val="20"/>
          <w:lang w:eastAsia="pt-BR"/>
        </w:rPr>
        <w:t>J Neuroinflammation</w:t>
      </w:r>
      <w:r w:rsidRPr="000650D8">
        <w:rPr>
          <w:rFonts w:ascii="Arial" w:eastAsia="Times New Roman" w:hAnsi="Arial" w:cs="Arial"/>
          <w:bCs/>
          <w:sz w:val="20"/>
          <w:szCs w:val="20"/>
          <w:lang w:eastAsia="pt-BR"/>
        </w:rPr>
        <w:t>. 2022;19(1):119.</w:t>
      </w:r>
    </w:p>
    <w:p w14:paraId="0F2019A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Skelton RJ, Purcell LN. Preclinical models for studying immune responses to trauma. </w:t>
      </w:r>
      <w:r w:rsidRPr="000650D8">
        <w:rPr>
          <w:rFonts w:ascii="Arial" w:eastAsia="Times New Roman" w:hAnsi="Arial" w:cs="Arial"/>
          <w:bCs/>
          <w:i/>
          <w:iCs/>
          <w:sz w:val="20"/>
          <w:szCs w:val="20"/>
          <w:lang w:eastAsia="pt-BR"/>
        </w:rPr>
        <w:t>Shock</w:t>
      </w:r>
      <w:r w:rsidRPr="000650D8">
        <w:rPr>
          <w:rFonts w:ascii="Arial" w:eastAsia="Times New Roman" w:hAnsi="Arial" w:cs="Arial"/>
          <w:bCs/>
          <w:sz w:val="20"/>
          <w:szCs w:val="20"/>
          <w:lang w:eastAsia="pt-BR"/>
        </w:rPr>
        <w:t>. 2020;54(4):424–32.</w:t>
      </w:r>
    </w:p>
    <w:p w14:paraId="032D7A0A"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Aswani A, Manson J. Scavenging circulating mitochondrial DNA as a potential therapeutic option for multiple organ failure. </w:t>
      </w:r>
      <w:r w:rsidRPr="000650D8">
        <w:rPr>
          <w:rFonts w:ascii="Arial" w:eastAsia="Times New Roman" w:hAnsi="Arial" w:cs="Arial"/>
          <w:bCs/>
          <w:i/>
          <w:iCs/>
          <w:sz w:val="20"/>
          <w:szCs w:val="20"/>
          <w:lang w:eastAsia="pt-BR"/>
        </w:rPr>
        <w:t>Crit Care</w:t>
      </w:r>
      <w:r w:rsidRPr="000650D8">
        <w:rPr>
          <w:rFonts w:ascii="Arial" w:eastAsia="Times New Roman" w:hAnsi="Arial" w:cs="Arial"/>
          <w:bCs/>
          <w:sz w:val="20"/>
          <w:szCs w:val="20"/>
          <w:lang w:eastAsia="pt-BR"/>
        </w:rPr>
        <w:t>. 2018;22(1):120.</w:t>
      </w:r>
    </w:p>
    <w:p w14:paraId="3A7E952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Lederer JA. Defining traumatic injury as a disease. </w:t>
      </w:r>
      <w:r w:rsidRPr="000650D8">
        <w:rPr>
          <w:rFonts w:ascii="Arial" w:eastAsia="Times New Roman" w:hAnsi="Arial" w:cs="Arial"/>
          <w:bCs/>
          <w:i/>
          <w:iCs/>
          <w:sz w:val="20"/>
          <w:szCs w:val="20"/>
          <w:lang w:eastAsia="pt-BR"/>
        </w:rPr>
        <w:t>J Trauma Acute Care Surg</w:t>
      </w:r>
      <w:r w:rsidRPr="000650D8">
        <w:rPr>
          <w:rFonts w:ascii="Arial" w:eastAsia="Times New Roman" w:hAnsi="Arial" w:cs="Arial"/>
          <w:bCs/>
          <w:sz w:val="20"/>
          <w:szCs w:val="20"/>
          <w:lang w:eastAsia="pt-BR"/>
        </w:rPr>
        <w:t>. 2014;77(6):1139–45.</w:t>
      </w:r>
    </w:p>
    <w:p w14:paraId="393C9BF5"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Li Y, Shen Y. Research progress in trauma metabolism and nutrition. </w:t>
      </w:r>
      <w:r w:rsidRPr="000650D8">
        <w:rPr>
          <w:rFonts w:ascii="Arial" w:eastAsia="Times New Roman" w:hAnsi="Arial" w:cs="Arial"/>
          <w:bCs/>
          <w:i/>
          <w:iCs/>
          <w:sz w:val="20"/>
          <w:szCs w:val="20"/>
          <w:lang w:eastAsia="pt-BR"/>
        </w:rPr>
        <w:t>Chin J Traumatol</w:t>
      </w:r>
      <w:r w:rsidRPr="000650D8">
        <w:rPr>
          <w:rFonts w:ascii="Arial" w:eastAsia="Times New Roman" w:hAnsi="Arial" w:cs="Arial"/>
          <w:bCs/>
          <w:sz w:val="20"/>
          <w:szCs w:val="20"/>
          <w:lang w:eastAsia="pt-BR"/>
        </w:rPr>
        <w:t>. 2017;20(3):129–34.</w:t>
      </w:r>
    </w:p>
    <w:p w14:paraId="418D342C"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Chignalia AZ, Yetimakman F, et al. The endothelial glycocalyx and trauma. </w:t>
      </w:r>
      <w:r w:rsidRPr="000650D8">
        <w:rPr>
          <w:rFonts w:ascii="Arial" w:eastAsia="Times New Roman" w:hAnsi="Arial" w:cs="Arial"/>
          <w:bCs/>
          <w:i/>
          <w:iCs/>
          <w:sz w:val="20"/>
          <w:szCs w:val="20"/>
          <w:lang w:eastAsia="pt-BR"/>
        </w:rPr>
        <w:t>Vascul Pharmacol</w:t>
      </w:r>
      <w:r w:rsidRPr="000650D8">
        <w:rPr>
          <w:rFonts w:ascii="Arial" w:eastAsia="Times New Roman" w:hAnsi="Arial" w:cs="Arial"/>
          <w:bCs/>
          <w:sz w:val="20"/>
          <w:szCs w:val="20"/>
          <w:lang w:eastAsia="pt-BR"/>
        </w:rPr>
        <w:t>. 2015;71:110–20.</w:t>
      </w:r>
    </w:p>
    <w:p w14:paraId="1536419D"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lastRenderedPageBreak/>
        <w:t xml:space="preserve">Palmer J, Pandit V, et al. The acute inflammatory response after trauma is influenced by patient frailty. </w:t>
      </w:r>
      <w:r w:rsidRPr="000650D8">
        <w:rPr>
          <w:rFonts w:ascii="Arial" w:eastAsia="Times New Roman" w:hAnsi="Arial" w:cs="Arial"/>
          <w:bCs/>
          <w:i/>
          <w:iCs/>
          <w:sz w:val="20"/>
          <w:szCs w:val="20"/>
          <w:lang w:eastAsia="pt-BR"/>
        </w:rPr>
        <w:t>Injury</w:t>
      </w:r>
      <w:r w:rsidRPr="000650D8">
        <w:rPr>
          <w:rFonts w:ascii="Arial" w:eastAsia="Times New Roman" w:hAnsi="Arial" w:cs="Arial"/>
          <w:bCs/>
          <w:sz w:val="20"/>
          <w:szCs w:val="20"/>
          <w:lang w:eastAsia="pt-BR"/>
        </w:rPr>
        <w:t>. 2019;50(9):1537–44.</w:t>
      </w:r>
    </w:p>
    <w:p w14:paraId="628DFFFA"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Al-Tarrah K, Moiemen NS, et al. The influence of sex steroid hormones on the response to burn injury. </w:t>
      </w:r>
      <w:r w:rsidRPr="000650D8">
        <w:rPr>
          <w:rFonts w:ascii="Arial" w:eastAsia="Times New Roman" w:hAnsi="Arial" w:cs="Arial"/>
          <w:bCs/>
          <w:i/>
          <w:iCs/>
          <w:sz w:val="20"/>
          <w:szCs w:val="20"/>
          <w:lang w:eastAsia="pt-BR"/>
        </w:rPr>
        <w:t>Burns</w:t>
      </w:r>
      <w:r w:rsidRPr="000650D8">
        <w:rPr>
          <w:rFonts w:ascii="Arial" w:eastAsia="Times New Roman" w:hAnsi="Arial" w:cs="Arial"/>
          <w:bCs/>
          <w:sz w:val="20"/>
          <w:szCs w:val="20"/>
          <w:lang w:eastAsia="pt-BR"/>
        </w:rPr>
        <w:t>. 2017;43(4):894–901.</w:t>
      </w:r>
    </w:p>
    <w:p w14:paraId="7CFA1832"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Horner F, Lord JM. The immune-suppressive properties of DAMPs after trauma. </w:t>
      </w:r>
      <w:r w:rsidRPr="000650D8">
        <w:rPr>
          <w:rFonts w:ascii="Arial" w:eastAsia="Times New Roman" w:hAnsi="Arial" w:cs="Arial"/>
          <w:bCs/>
          <w:i/>
          <w:iCs/>
          <w:sz w:val="20"/>
          <w:szCs w:val="20"/>
          <w:lang w:eastAsia="pt-BR"/>
        </w:rPr>
        <w:t>J Leukoc Biol</w:t>
      </w:r>
      <w:r w:rsidRPr="000650D8">
        <w:rPr>
          <w:rFonts w:ascii="Arial" w:eastAsia="Times New Roman" w:hAnsi="Arial" w:cs="Arial"/>
          <w:bCs/>
          <w:sz w:val="20"/>
          <w:szCs w:val="20"/>
          <w:lang w:eastAsia="pt-BR"/>
        </w:rPr>
        <w:t>. 2023;114(3):499–510.</w:t>
      </w:r>
    </w:p>
    <w:p w14:paraId="19550470"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Hazeldine J, Lord JM. Immunosenescence and inflammaging: a contributory factor in the poor outcome of the older patient with trauma. </w:t>
      </w:r>
      <w:r w:rsidRPr="000650D8">
        <w:rPr>
          <w:rFonts w:ascii="Arial" w:eastAsia="Times New Roman" w:hAnsi="Arial" w:cs="Arial"/>
          <w:bCs/>
          <w:i/>
          <w:iCs/>
          <w:sz w:val="20"/>
          <w:szCs w:val="20"/>
          <w:lang w:eastAsia="pt-BR"/>
        </w:rPr>
        <w:t>Immun Ageing</w:t>
      </w:r>
      <w:r w:rsidRPr="000650D8">
        <w:rPr>
          <w:rFonts w:ascii="Arial" w:eastAsia="Times New Roman" w:hAnsi="Arial" w:cs="Arial"/>
          <w:bCs/>
          <w:sz w:val="20"/>
          <w:szCs w:val="20"/>
          <w:lang w:eastAsia="pt-BR"/>
        </w:rPr>
        <w:t>. 2015;12:20.</w:t>
      </w:r>
    </w:p>
    <w:p w14:paraId="5A83F819"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Cabrera CP, Manson J, et al. Signatures of inflammation and impending multiple organ dysfunction in trauma patients. </w:t>
      </w:r>
      <w:r w:rsidRPr="000650D8">
        <w:rPr>
          <w:rFonts w:ascii="Arial" w:eastAsia="Times New Roman" w:hAnsi="Arial" w:cs="Arial"/>
          <w:bCs/>
          <w:i/>
          <w:iCs/>
          <w:sz w:val="20"/>
          <w:szCs w:val="20"/>
          <w:lang w:eastAsia="pt-BR"/>
        </w:rPr>
        <w:t>Crit Care</w:t>
      </w:r>
      <w:r w:rsidRPr="000650D8">
        <w:rPr>
          <w:rFonts w:ascii="Arial" w:eastAsia="Times New Roman" w:hAnsi="Arial" w:cs="Arial"/>
          <w:bCs/>
          <w:sz w:val="20"/>
          <w:szCs w:val="20"/>
          <w:lang w:eastAsia="pt-BR"/>
        </w:rPr>
        <w:t>. 2017;21(1):152.</w:t>
      </w:r>
    </w:p>
    <w:p w14:paraId="590315F7"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Bonaroti JR, Abdelhamid K, et al. The use of multiplexing to identify cytokine and chemokine profiles in trauma. </w:t>
      </w:r>
      <w:r w:rsidRPr="000650D8">
        <w:rPr>
          <w:rFonts w:ascii="Arial" w:eastAsia="Times New Roman" w:hAnsi="Arial" w:cs="Arial"/>
          <w:bCs/>
          <w:i/>
          <w:iCs/>
          <w:sz w:val="20"/>
          <w:szCs w:val="20"/>
          <w:lang w:eastAsia="pt-BR"/>
        </w:rPr>
        <w:t>J Trauma Acute Care Surg</w:t>
      </w:r>
      <w:r w:rsidRPr="000650D8">
        <w:rPr>
          <w:rFonts w:ascii="Arial" w:eastAsia="Times New Roman" w:hAnsi="Arial" w:cs="Arial"/>
          <w:bCs/>
          <w:sz w:val="20"/>
          <w:szCs w:val="20"/>
          <w:lang w:eastAsia="pt-BR"/>
        </w:rPr>
        <w:t>. 2021;91(5):842–50.</w:t>
      </w:r>
    </w:p>
    <w:p w14:paraId="31417870"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Valade D, Libert N, et al. Therapeutic potential of mesenchymal stromal cell-derived extracellular vesicles in trauma. </w:t>
      </w:r>
      <w:r w:rsidRPr="000650D8">
        <w:rPr>
          <w:rFonts w:ascii="Arial" w:eastAsia="Times New Roman" w:hAnsi="Arial" w:cs="Arial"/>
          <w:bCs/>
          <w:i/>
          <w:iCs/>
          <w:sz w:val="20"/>
          <w:szCs w:val="20"/>
          <w:lang w:eastAsia="pt-BR"/>
        </w:rPr>
        <w:t>Front Immunol</w:t>
      </w:r>
      <w:r w:rsidRPr="000650D8">
        <w:rPr>
          <w:rFonts w:ascii="Arial" w:eastAsia="Times New Roman" w:hAnsi="Arial" w:cs="Arial"/>
          <w:bCs/>
          <w:sz w:val="20"/>
          <w:szCs w:val="20"/>
          <w:lang w:eastAsia="pt-BR"/>
        </w:rPr>
        <w:t>. 2021;12:706438.</w:t>
      </w:r>
    </w:p>
    <w:p w14:paraId="0DD0FB1A" w14:textId="1073459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McBride MA, Owen AM, et al. The metabolic basis of immune dysfunction following sepsis and trauma. </w:t>
      </w:r>
      <w:r w:rsidRPr="000650D8">
        <w:rPr>
          <w:rFonts w:ascii="Arial" w:eastAsia="Times New Roman" w:hAnsi="Arial" w:cs="Arial"/>
          <w:bCs/>
          <w:i/>
          <w:iCs/>
          <w:sz w:val="20"/>
          <w:szCs w:val="20"/>
          <w:lang w:eastAsia="pt-BR"/>
        </w:rPr>
        <w:t>Front Immunol</w:t>
      </w:r>
      <w:r w:rsidRPr="000650D8">
        <w:rPr>
          <w:rFonts w:ascii="Arial" w:eastAsia="Times New Roman" w:hAnsi="Arial" w:cs="Arial"/>
          <w:bCs/>
          <w:sz w:val="20"/>
          <w:szCs w:val="20"/>
          <w:lang w:eastAsia="pt-BR"/>
        </w:rPr>
        <w:t>. 2020;11:1041.</w:t>
      </w:r>
    </w:p>
    <w:p w14:paraId="29A35A25" w14:textId="56F01095" w:rsidR="00B647EE" w:rsidRPr="006C2B37" w:rsidRDefault="00B647EE" w:rsidP="0083123D">
      <w:pPr>
        <w:pStyle w:val="ListParagraph"/>
        <w:numPr>
          <w:ilvl w:val="1"/>
          <w:numId w:val="9"/>
        </w:numPr>
        <w:spacing w:line="360" w:lineRule="auto"/>
        <w:jc w:val="both"/>
        <w:rPr>
          <w:rFonts w:ascii="Arial" w:eastAsia="Times New Roman" w:hAnsi="Arial" w:cs="Arial"/>
          <w:bCs/>
          <w:sz w:val="20"/>
          <w:szCs w:val="20"/>
          <w:highlight w:val="yellow"/>
          <w:lang w:eastAsia="pt-BR"/>
        </w:rPr>
      </w:pPr>
      <w:r w:rsidRPr="006C2B37">
        <w:rPr>
          <w:rFonts w:ascii="Arial" w:eastAsia="Times New Roman" w:hAnsi="Arial" w:cs="Arial"/>
          <w:bCs/>
          <w:sz w:val="20"/>
          <w:szCs w:val="20"/>
          <w:highlight w:val="yellow"/>
          <w:lang w:eastAsia="pt-BR"/>
        </w:rPr>
        <w:t>Al Jowf, G. I., Ahmed, Z. T., An, N., Reijnders, R. A., Ambrosino, E., Rutten, B. P. F., de Nijs, L., &amp; Eijssen, L. M. T. (2022). A Public Health Perspective of Post-Traumatic Stress Disorder. </w:t>
      </w:r>
      <w:r w:rsidRPr="006C2B37">
        <w:rPr>
          <w:rFonts w:ascii="Arial" w:eastAsia="Times New Roman" w:hAnsi="Arial" w:cs="Arial"/>
          <w:bCs/>
          <w:i/>
          <w:iCs/>
          <w:sz w:val="20"/>
          <w:szCs w:val="20"/>
          <w:highlight w:val="yellow"/>
          <w:lang w:eastAsia="pt-BR"/>
        </w:rPr>
        <w:t>International Journal of Environmental Research and Public Health</w:t>
      </w:r>
      <w:r w:rsidRPr="006C2B37">
        <w:rPr>
          <w:rFonts w:ascii="Arial" w:eastAsia="Times New Roman" w:hAnsi="Arial" w:cs="Arial"/>
          <w:bCs/>
          <w:sz w:val="20"/>
          <w:szCs w:val="20"/>
          <w:highlight w:val="yellow"/>
          <w:lang w:eastAsia="pt-BR"/>
        </w:rPr>
        <w:t>, </w:t>
      </w:r>
      <w:r w:rsidRPr="006C2B37">
        <w:rPr>
          <w:rFonts w:ascii="Arial" w:eastAsia="Times New Roman" w:hAnsi="Arial" w:cs="Arial"/>
          <w:bCs/>
          <w:i/>
          <w:iCs/>
          <w:sz w:val="20"/>
          <w:szCs w:val="20"/>
          <w:highlight w:val="yellow"/>
          <w:lang w:eastAsia="pt-BR"/>
        </w:rPr>
        <w:t>19</w:t>
      </w:r>
      <w:r w:rsidRPr="006C2B37">
        <w:rPr>
          <w:rFonts w:ascii="Arial" w:eastAsia="Times New Roman" w:hAnsi="Arial" w:cs="Arial"/>
          <w:bCs/>
          <w:sz w:val="20"/>
          <w:szCs w:val="20"/>
          <w:highlight w:val="yellow"/>
          <w:lang w:eastAsia="pt-BR"/>
        </w:rPr>
        <w:t>(11), 6474. </w:t>
      </w:r>
    </w:p>
    <w:p w14:paraId="5FCEC5F8" w14:textId="093FCCB8" w:rsidR="00B647EE" w:rsidRDefault="0027714E" w:rsidP="0083123D">
      <w:pPr>
        <w:pStyle w:val="ListParagraph"/>
        <w:numPr>
          <w:ilvl w:val="1"/>
          <w:numId w:val="9"/>
        </w:numPr>
        <w:spacing w:line="360" w:lineRule="auto"/>
        <w:jc w:val="both"/>
        <w:rPr>
          <w:rFonts w:ascii="Arial" w:eastAsia="Times New Roman" w:hAnsi="Arial" w:cs="Arial"/>
          <w:bCs/>
          <w:sz w:val="20"/>
          <w:szCs w:val="20"/>
          <w:highlight w:val="yellow"/>
          <w:lang w:eastAsia="pt-BR"/>
        </w:rPr>
      </w:pPr>
      <w:r w:rsidRPr="0027714E">
        <w:rPr>
          <w:rFonts w:ascii="Arial" w:eastAsia="Times New Roman" w:hAnsi="Arial" w:cs="Arial"/>
          <w:bCs/>
          <w:sz w:val="20"/>
          <w:szCs w:val="20"/>
          <w:highlight w:val="yellow"/>
          <w:lang w:eastAsia="pt-BR"/>
        </w:rPr>
        <w:t>Dobson, G. P., Morris, J. L., &amp; Letson, H. L. (2022). Immune dysfunction following severe trauma: A systems failure from the central nervous system to mitochondria. </w:t>
      </w:r>
      <w:r w:rsidRPr="0027714E">
        <w:rPr>
          <w:rFonts w:ascii="Arial" w:eastAsia="Times New Roman" w:hAnsi="Arial" w:cs="Arial"/>
          <w:bCs/>
          <w:i/>
          <w:iCs/>
          <w:sz w:val="20"/>
          <w:szCs w:val="20"/>
          <w:highlight w:val="yellow"/>
          <w:lang w:eastAsia="pt-BR"/>
        </w:rPr>
        <w:t>Frontiers in medicine</w:t>
      </w:r>
      <w:r w:rsidRPr="0027714E">
        <w:rPr>
          <w:rFonts w:ascii="Arial" w:eastAsia="Times New Roman" w:hAnsi="Arial" w:cs="Arial"/>
          <w:bCs/>
          <w:sz w:val="20"/>
          <w:szCs w:val="20"/>
          <w:highlight w:val="yellow"/>
          <w:lang w:eastAsia="pt-BR"/>
        </w:rPr>
        <w:t>, </w:t>
      </w:r>
      <w:r w:rsidRPr="0027714E">
        <w:rPr>
          <w:rFonts w:ascii="Arial" w:eastAsia="Times New Roman" w:hAnsi="Arial" w:cs="Arial"/>
          <w:bCs/>
          <w:i/>
          <w:iCs/>
          <w:sz w:val="20"/>
          <w:szCs w:val="20"/>
          <w:highlight w:val="yellow"/>
          <w:lang w:eastAsia="pt-BR"/>
        </w:rPr>
        <w:t>9</w:t>
      </w:r>
      <w:r w:rsidRPr="0027714E">
        <w:rPr>
          <w:rFonts w:ascii="Arial" w:eastAsia="Times New Roman" w:hAnsi="Arial" w:cs="Arial"/>
          <w:bCs/>
          <w:sz w:val="20"/>
          <w:szCs w:val="20"/>
          <w:highlight w:val="yellow"/>
          <w:lang w:eastAsia="pt-BR"/>
        </w:rPr>
        <w:t>, 968453.</w:t>
      </w:r>
    </w:p>
    <w:p w14:paraId="02A466AD" w14:textId="515883BC" w:rsidR="0027714E" w:rsidRDefault="00C56463" w:rsidP="0083123D">
      <w:pPr>
        <w:pStyle w:val="ListParagraph"/>
        <w:numPr>
          <w:ilvl w:val="1"/>
          <w:numId w:val="9"/>
        </w:numPr>
        <w:spacing w:line="360" w:lineRule="auto"/>
        <w:jc w:val="both"/>
        <w:rPr>
          <w:rFonts w:ascii="Arial" w:eastAsia="Times New Roman" w:hAnsi="Arial" w:cs="Arial"/>
          <w:bCs/>
          <w:sz w:val="20"/>
          <w:szCs w:val="20"/>
          <w:highlight w:val="yellow"/>
          <w:lang w:eastAsia="pt-BR"/>
        </w:rPr>
      </w:pPr>
      <w:r w:rsidRPr="00C56463">
        <w:rPr>
          <w:rFonts w:ascii="Arial" w:eastAsia="Times New Roman" w:hAnsi="Arial" w:cs="Arial"/>
          <w:bCs/>
          <w:sz w:val="20"/>
          <w:szCs w:val="20"/>
          <w:highlight w:val="yellow"/>
          <w:lang w:eastAsia="pt-BR"/>
        </w:rPr>
        <w:t>Guha, L., Agnihotri, T. G., Jain, A., &amp; Kumar, H. (2023). Gut microbiota and traumatic central nervous system injuries: insights into pathophysiology and therapeutic approaches. </w:t>
      </w:r>
      <w:r w:rsidRPr="00C56463">
        <w:rPr>
          <w:rFonts w:ascii="Arial" w:eastAsia="Times New Roman" w:hAnsi="Arial" w:cs="Arial"/>
          <w:bCs/>
          <w:i/>
          <w:iCs/>
          <w:sz w:val="20"/>
          <w:szCs w:val="20"/>
          <w:highlight w:val="yellow"/>
          <w:lang w:eastAsia="pt-BR"/>
        </w:rPr>
        <w:t>Life sciences</w:t>
      </w:r>
      <w:r w:rsidRPr="00C56463">
        <w:rPr>
          <w:rFonts w:ascii="Arial" w:eastAsia="Times New Roman" w:hAnsi="Arial" w:cs="Arial"/>
          <w:bCs/>
          <w:sz w:val="20"/>
          <w:szCs w:val="20"/>
          <w:highlight w:val="yellow"/>
          <w:lang w:eastAsia="pt-BR"/>
        </w:rPr>
        <w:t>, </w:t>
      </w:r>
      <w:r w:rsidRPr="00C56463">
        <w:rPr>
          <w:rFonts w:ascii="Arial" w:eastAsia="Times New Roman" w:hAnsi="Arial" w:cs="Arial"/>
          <w:bCs/>
          <w:i/>
          <w:iCs/>
          <w:sz w:val="20"/>
          <w:szCs w:val="20"/>
          <w:highlight w:val="yellow"/>
          <w:lang w:eastAsia="pt-BR"/>
        </w:rPr>
        <w:t>334</w:t>
      </w:r>
      <w:r w:rsidRPr="00C56463">
        <w:rPr>
          <w:rFonts w:ascii="Arial" w:eastAsia="Times New Roman" w:hAnsi="Arial" w:cs="Arial"/>
          <w:bCs/>
          <w:sz w:val="20"/>
          <w:szCs w:val="20"/>
          <w:highlight w:val="yellow"/>
          <w:lang w:eastAsia="pt-BR"/>
        </w:rPr>
        <w:t>, 122193.</w:t>
      </w:r>
    </w:p>
    <w:p w14:paraId="6C81E383" w14:textId="524B492F" w:rsidR="00380DF7" w:rsidRPr="006C2B37" w:rsidRDefault="00612A60" w:rsidP="0083123D">
      <w:pPr>
        <w:pStyle w:val="ListParagraph"/>
        <w:numPr>
          <w:ilvl w:val="1"/>
          <w:numId w:val="9"/>
        </w:numPr>
        <w:spacing w:line="360" w:lineRule="auto"/>
        <w:jc w:val="both"/>
        <w:rPr>
          <w:rFonts w:ascii="Arial" w:eastAsia="Times New Roman" w:hAnsi="Arial" w:cs="Arial"/>
          <w:bCs/>
          <w:sz w:val="20"/>
          <w:szCs w:val="20"/>
          <w:highlight w:val="yellow"/>
          <w:lang w:eastAsia="pt-BR"/>
        </w:rPr>
      </w:pPr>
      <w:r w:rsidRPr="00612A60">
        <w:rPr>
          <w:rFonts w:ascii="Arial" w:eastAsia="Times New Roman" w:hAnsi="Arial" w:cs="Arial"/>
          <w:bCs/>
          <w:sz w:val="20"/>
          <w:szCs w:val="20"/>
          <w:highlight w:val="yellow"/>
          <w:lang w:eastAsia="pt-BR"/>
        </w:rPr>
        <w:t>Salvo, N., Charles, A. M., &amp; Mohr, A. M. (2024). The Intersection of Trauma and Immunity: Immune Dysfunction Following Hemorrhage. </w:t>
      </w:r>
      <w:r w:rsidRPr="00612A60">
        <w:rPr>
          <w:rFonts w:ascii="Arial" w:eastAsia="Times New Roman" w:hAnsi="Arial" w:cs="Arial"/>
          <w:bCs/>
          <w:i/>
          <w:iCs/>
          <w:sz w:val="20"/>
          <w:szCs w:val="20"/>
          <w:highlight w:val="yellow"/>
          <w:lang w:eastAsia="pt-BR"/>
        </w:rPr>
        <w:t>Biomedicines</w:t>
      </w:r>
      <w:r w:rsidRPr="00612A60">
        <w:rPr>
          <w:rFonts w:ascii="Arial" w:eastAsia="Times New Roman" w:hAnsi="Arial" w:cs="Arial"/>
          <w:bCs/>
          <w:sz w:val="20"/>
          <w:szCs w:val="20"/>
          <w:highlight w:val="yellow"/>
          <w:lang w:eastAsia="pt-BR"/>
        </w:rPr>
        <w:t>, </w:t>
      </w:r>
      <w:r w:rsidRPr="00612A60">
        <w:rPr>
          <w:rFonts w:ascii="Arial" w:eastAsia="Times New Roman" w:hAnsi="Arial" w:cs="Arial"/>
          <w:bCs/>
          <w:i/>
          <w:iCs/>
          <w:sz w:val="20"/>
          <w:szCs w:val="20"/>
          <w:highlight w:val="yellow"/>
          <w:lang w:eastAsia="pt-BR"/>
        </w:rPr>
        <w:t>12</w:t>
      </w:r>
      <w:r w:rsidRPr="00612A60">
        <w:rPr>
          <w:rFonts w:ascii="Arial" w:eastAsia="Times New Roman" w:hAnsi="Arial" w:cs="Arial"/>
          <w:bCs/>
          <w:sz w:val="20"/>
          <w:szCs w:val="20"/>
          <w:highlight w:val="yellow"/>
          <w:lang w:eastAsia="pt-BR"/>
        </w:rPr>
        <w:t>(12), 2889. </w:t>
      </w:r>
    </w:p>
    <w:p w14:paraId="7FDE33B8" w14:textId="77777777" w:rsidR="00023427" w:rsidRPr="000F73A3" w:rsidRDefault="00023427" w:rsidP="00023427">
      <w:pPr>
        <w:spacing w:line="360" w:lineRule="auto"/>
        <w:jc w:val="both"/>
        <w:rPr>
          <w:rFonts w:ascii="Times New Roman" w:hAnsi="Times New Roman" w:cs="Times New Roman"/>
          <w:b/>
          <w:bCs/>
          <w:sz w:val="24"/>
          <w:szCs w:val="24"/>
        </w:rPr>
      </w:pPr>
    </w:p>
    <w:p w14:paraId="0A730D29" w14:textId="77777777" w:rsidR="00023427" w:rsidRDefault="00023427" w:rsidP="00023427">
      <w:pPr>
        <w:spacing w:line="360" w:lineRule="auto"/>
      </w:pPr>
    </w:p>
    <w:p w14:paraId="7ACCA659" w14:textId="77777777" w:rsidR="00023427" w:rsidRDefault="00023427" w:rsidP="00023427">
      <w:pPr>
        <w:spacing w:line="360" w:lineRule="auto"/>
      </w:pPr>
    </w:p>
    <w:p w14:paraId="181696FA" w14:textId="77777777" w:rsidR="00023427" w:rsidRDefault="00023427" w:rsidP="00023427">
      <w:pPr>
        <w:spacing w:line="360" w:lineRule="auto"/>
      </w:pPr>
    </w:p>
    <w:p w14:paraId="35AAA500" w14:textId="77777777" w:rsidR="00023427" w:rsidRDefault="00023427" w:rsidP="00023427">
      <w:pPr>
        <w:spacing w:line="360" w:lineRule="auto"/>
      </w:pPr>
    </w:p>
    <w:p w14:paraId="6E88C2F8" w14:textId="77777777" w:rsidR="00023427" w:rsidRDefault="00023427" w:rsidP="00023427"/>
    <w:p w14:paraId="273EE56D" w14:textId="77777777" w:rsidR="00F36420" w:rsidRDefault="00F36420"/>
    <w:sectPr w:rsidR="00F36420">
      <w:headerReference w:type="even" r:id="rId40"/>
      <w:headerReference w:type="default" r:id="rId41"/>
      <w:footerReference w:type="even" r:id="rId42"/>
      <w:footerReference w:type="default" r:id="rId43"/>
      <w:headerReference w:type="first" r:id="rId44"/>
      <w:footerReference w:type="first" r:id="rId4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C94B" w14:textId="77777777" w:rsidR="00EE681D" w:rsidRDefault="00EE681D" w:rsidP="003929F9">
      <w:pPr>
        <w:spacing w:after="0" w:line="240" w:lineRule="auto"/>
      </w:pPr>
      <w:r>
        <w:separator/>
      </w:r>
    </w:p>
  </w:endnote>
  <w:endnote w:type="continuationSeparator" w:id="0">
    <w:p w14:paraId="65F1934A" w14:textId="77777777" w:rsidR="00EE681D" w:rsidRDefault="00EE681D" w:rsidP="0039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11C6" w14:textId="77777777" w:rsidR="003929F9" w:rsidRDefault="00392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7431" w14:textId="77777777" w:rsidR="003929F9" w:rsidRDefault="00392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3F3F" w14:textId="77777777" w:rsidR="003929F9" w:rsidRDefault="0039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E0DD" w14:textId="77777777" w:rsidR="00EE681D" w:rsidRDefault="00EE681D" w:rsidP="003929F9">
      <w:pPr>
        <w:spacing w:after="0" w:line="240" w:lineRule="auto"/>
      </w:pPr>
      <w:r>
        <w:separator/>
      </w:r>
    </w:p>
  </w:footnote>
  <w:footnote w:type="continuationSeparator" w:id="0">
    <w:p w14:paraId="1F597211" w14:textId="77777777" w:rsidR="00EE681D" w:rsidRDefault="00EE681D" w:rsidP="00392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FD57" w14:textId="479FE379" w:rsidR="003929F9" w:rsidRDefault="00000000">
    <w:pPr>
      <w:pStyle w:val="Header"/>
    </w:pPr>
    <w:r>
      <w:rPr>
        <w:noProof/>
      </w:rPr>
      <w:pict w14:anchorId="2212D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841251"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39DE" w14:textId="266372FF" w:rsidR="003929F9" w:rsidRDefault="00000000">
    <w:pPr>
      <w:pStyle w:val="Header"/>
    </w:pPr>
    <w:r>
      <w:rPr>
        <w:noProof/>
      </w:rPr>
      <w:pict w14:anchorId="1B18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841252"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318E" w14:textId="783379F4" w:rsidR="003929F9" w:rsidRDefault="00000000">
    <w:pPr>
      <w:pStyle w:val="Header"/>
    </w:pPr>
    <w:r>
      <w:rPr>
        <w:noProof/>
      </w:rPr>
      <w:pict w14:anchorId="5F090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841250"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EE5"/>
    <w:multiLevelType w:val="hybridMultilevel"/>
    <w:tmpl w:val="C9F8B3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CD3657"/>
    <w:multiLevelType w:val="hybridMultilevel"/>
    <w:tmpl w:val="E5AEC2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817EE"/>
    <w:multiLevelType w:val="multilevel"/>
    <w:tmpl w:val="8A00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E5948"/>
    <w:multiLevelType w:val="hybridMultilevel"/>
    <w:tmpl w:val="DDAE1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A15BFD"/>
    <w:multiLevelType w:val="multilevel"/>
    <w:tmpl w:val="7CECF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B81404"/>
    <w:multiLevelType w:val="multilevel"/>
    <w:tmpl w:val="30545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823C1"/>
    <w:multiLevelType w:val="hybridMultilevel"/>
    <w:tmpl w:val="D9B0C4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A6611A"/>
    <w:multiLevelType w:val="multilevel"/>
    <w:tmpl w:val="CC5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703264">
    <w:abstractNumId w:val="5"/>
  </w:num>
  <w:num w:numId="2" w16cid:durableId="628321883">
    <w:abstractNumId w:val="3"/>
  </w:num>
  <w:num w:numId="3" w16cid:durableId="920531031">
    <w:abstractNumId w:val="7"/>
  </w:num>
  <w:num w:numId="4" w16cid:durableId="1431851625">
    <w:abstractNumId w:val="0"/>
  </w:num>
  <w:num w:numId="5" w16cid:durableId="458109584">
    <w:abstractNumId w:val="1"/>
  </w:num>
  <w:num w:numId="6" w16cid:durableId="17780904">
    <w:abstractNumId w:val="4"/>
  </w:num>
  <w:num w:numId="7" w16cid:durableId="1857159191">
    <w:abstractNumId w:val="8"/>
  </w:num>
  <w:num w:numId="8" w16cid:durableId="1558324433">
    <w:abstractNumId w:val="2"/>
  </w:num>
  <w:num w:numId="9" w16cid:durableId="1593859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tTSzNDUwsDAzNDBT0lEKTi0uzszPAykwrAUAdE8vNCwAAAA="/>
  </w:docVars>
  <w:rsids>
    <w:rsidRoot w:val="00F36420"/>
    <w:rsid w:val="00023427"/>
    <w:rsid w:val="00060C46"/>
    <w:rsid w:val="000650D8"/>
    <w:rsid w:val="000B2FDC"/>
    <w:rsid w:val="000F02D8"/>
    <w:rsid w:val="00150B57"/>
    <w:rsid w:val="001762A7"/>
    <w:rsid w:val="001F7104"/>
    <w:rsid w:val="002227F0"/>
    <w:rsid w:val="00255868"/>
    <w:rsid w:val="00256975"/>
    <w:rsid w:val="0027714E"/>
    <w:rsid w:val="00350B66"/>
    <w:rsid w:val="00365810"/>
    <w:rsid w:val="00380DF7"/>
    <w:rsid w:val="003929F9"/>
    <w:rsid w:val="00491B04"/>
    <w:rsid w:val="004C034F"/>
    <w:rsid w:val="005771B1"/>
    <w:rsid w:val="00584049"/>
    <w:rsid w:val="005857E8"/>
    <w:rsid w:val="00612A60"/>
    <w:rsid w:val="006C2B37"/>
    <w:rsid w:val="006C55A8"/>
    <w:rsid w:val="00745043"/>
    <w:rsid w:val="0079775F"/>
    <w:rsid w:val="007A3BEE"/>
    <w:rsid w:val="007E200C"/>
    <w:rsid w:val="0083123D"/>
    <w:rsid w:val="0084211A"/>
    <w:rsid w:val="008B0F7C"/>
    <w:rsid w:val="0093473B"/>
    <w:rsid w:val="009564C8"/>
    <w:rsid w:val="009B5D20"/>
    <w:rsid w:val="00A314D3"/>
    <w:rsid w:val="00B647EE"/>
    <w:rsid w:val="00BD6DD9"/>
    <w:rsid w:val="00C25D47"/>
    <w:rsid w:val="00C56463"/>
    <w:rsid w:val="00CA7A08"/>
    <w:rsid w:val="00CC0D2A"/>
    <w:rsid w:val="00D44A6B"/>
    <w:rsid w:val="00D9738A"/>
    <w:rsid w:val="00DC0FE9"/>
    <w:rsid w:val="00DE2E1B"/>
    <w:rsid w:val="00E55030"/>
    <w:rsid w:val="00E82708"/>
    <w:rsid w:val="00EE681D"/>
    <w:rsid w:val="00F11FE8"/>
    <w:rsid w:val="00F13C49"/>
    <w:rsid w:val="00F26FE7"/>
    <w:rsid w:val="00F364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937D4"/>
  <w15:chartTrackingRefBased/>
  <w15:docId w15:val="{14B7FEFD-3100-4B99-A72F-5BAA30E4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427"/>
    <w:pPr>
      <w:ind w:left="720"/>
      <w:contextualSpacing/>
    </w:pPr>
  </w:style>
  <w:style w:type="character" w:styleId="Hyperlink">
    <w:name w:val="Hyperlink"/>
    <w:basedOn w:val="DefaultParagraphFont"/>
    <w:uiPriority w:val="99"/>
    <w:unhideWhenUsed/>
    <w:rsid w:val="00256975"/>
    <w:rPr>
      <w:color w:val="0563C1" w:themeColor="hyperlink"/>
      <w:u w:val="single"/>
    </w:rPr>
  </w:style>
  <w:style w:type="character" w:customStyle="1" w:styleId="UnresolvedMention1">
    <w:name w:val="Unresolved Mention1"/>
    <w:basedOn w:val="DefaultParagraphFont"/>
    <w:uiPriority w:val="99"/>
    <w:semiHidden/>
    <w:unhideWhenUsed/>
    <w:rsid w:val="00256975"/>
    <w:rPr>
      <w:color w:val="605E5C"/>
      <w:shd w:val="clear" w:color="auto" w:fill="E1DFDD"/>
    </w:rPr>
  </w:style>
  <w:style w:type="paragraph" w:styleId="Header">
    <w:name w:val="header"/>
    <w:basedOn w:val="Normal"/>
    <w:link w:val="HeaderChar"/>
    <w:uiPriority w:val="99"/>
    <w:unhideWhenUsed/>
    <w:rsid w:val="0039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F9"/>
  </w:style>
  <w:style w:type="paragraph" w:styleId="Footer">
    <w:name w:val="footer"/>
    <w:basedOn w:val="Normal"/>
    <w:link w:val="FooterChar"/>
    <w:uiPriority w:val="99"/>
    <w:unhideWhenUsed/>
    <w:rsid w:val="0039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9F9"/>
  </w:style>
  <w:style w:type="paragraph" w:styleId="Revision">
    <w:name w:val="Revision"/>
    <w:hidden/>
    <w:uiPriority w:val="99"/>
    <w:semiHidden/>
    <w:rsid w:val="00BD6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190">
      <w:bodyDiv w:val="1"/>
      <w:marLeft w:val="0"/>
      <w:marRight w:val="0"/>
      <w:marTop w:val="0"/>
      <w:marBottom w:val="0"/>
      <w:divBdr>
        <w:top w:val="none" w:sz="0" w:space="0" w:color="auto"/>
        <w:left w:val="none" w:sz="0" w:space="0" w:color="auto"/>
        <w:bottom w:val="none" w:sz="0" w:space="0" w:color="auto"/>
        <w:right w:val="none" w:sz="0" w:space="0" w:color="auto"/>
      </w:divBdr>
    </w:div>
    <w:div w:id="120343179">
      <w:bodyDiv w:val="1"/>
      <w:marLeft w:val="0"/>
      <w:marRight w:val="0"/>
      <w:marTop w:val="0"/>
      <w:marBottom w:val="0"/>
      <w:divBdr>
        <w:top w:val="none" w:sz="0" w:space="0" w:color="auto"/>
        <w:left w:val="none" w:sz="0" w:space="0" w:color="auto"/>
        <w:bottom w:val="none" w:sz="0" w:space="0" w:color="auto"/>
        <w:right w:val="none" w:sz="0" w:space="0" w:color="auto"/>
      </w:divBdr>
    </w:div>
    <w:div w:id="149715191">
      <w:bodyDiv w:val="1"/>
      <w:marLeft w:val="0"/>
      <w:marRight w:val="0"/>
      <w:marTop w:val="0"/>
      <w:marBottom w:val="0"/>
      <w:divBdr>
        <w:top w:val="none" w:sz="0" w:space="0" w:color="auto"/>
        <w:left w:val="none" w:sz="0" w:space="0" w:color="auto"/>
        <w:bottom w:val="none" w:sz="0" w:space="0" w:color="auto"/>
        <w:right w:val="none" w:sz="0" w:space="0" w:color="auto"/>
      </w:divBdr>
    </w:div>
    <w:div w:id="256793453">
      <w:bodyDiv w:val="1"/>
      <w:marLeft w:val="0"/>
      <w:marRight w:val="0"/>
      <w:marTop w:val="0"/>
      <w:marBottom w:val="0"/>
      <w:divBdr>
        <w:top w:val="none" w:sz="0" w:space="0" w:color="auto"/>
        <w:left w:val="none" w:sz="0" w:space="0" w:color="auto"/>
        <w:bottom w:val="none" w:sz="0" w:space="0" w:color="auto"/>
        <w:right w:val="none" w:sz="0" w:space="0" w:color="auto"/>
      </w:divBdr>
    </w:div>
    <w:div w:id="595021861">
      <w:bodyDiv w:val="1"/>
      <w:marLeft w:val="0"/>
      <w:marRight w:val="0"/>
      <w:marTop w:val="0"/>
      <w:marBottom w:val="0"/>
      <w:divBdr>
        <w:top w:val="none" w:sz="0" w:space="0" w:color="auto"/>
        <w:left w:val="none" w:sz="0" w:space="0" w:color="auto"/>
        <w:bottom w:val="none" w:sz="0" w:space="0" w:color="auto"/>
        <w:right w:val="none" w:sz="0" w:space="0" w:color="auto"/>
      </w:divBdr>
    </w:div>
    <w:div w:id="598099823">
      <w:bodyDiv w:val="1"/>
      <w:marLeft w:val="0"/>
      <w:marRight w:val="0"/>
      <w:marTop w:val="0"/>
      <w:marBottom w:val="0"/>
      <w:divBdr>
        <w:top w:val="none" w:sz="0" w:space="0" w:color="auto"/>
        <w:left w:val="none" w:sz="0" w:space="0" w:color="auto"/>
        <w:bottom w:val="none" w:sz="0" w:space="0" w:color="auto"/>
        <w:right w:val="none" w:sz="0" w:space="0" w:color="auto"/>
      </w:divBdr>
    </w:div>
    <w:div w:id="805243068">
      <w:bodyDiv w:val="1"/>
      <w:marLeft w:val="0"/>
      <w:marRight w:val="0"/>
      <w:marTop w:val="0"/>
      <w:marBottom w:val="0"/>
      <w:divBdr>
        <w:top w:val="none" w:sz="0" w:space="0" w:color="auto"/>
        <w:left w:val="none" w:sz="0" w:space="0" w:color="auto"/>
        <w:bottom w:val="none" w:sz="0" w:space="0" w:color="auto"/>
        <w:right w:val="none" w:sz="0" w:space="0" w:color="auto"/>
      </w:divBdr>
    </w:div>
    <w:div w:id="2007777476">
      <w:bodyDiv w:val="1"/>
      <w:marLeft w:val="0"/>
      <w:marRight w:val="0"/>
      <w:marTop w:val="0"/>
      <w:marBottom w:val="0"/>
      <w:divBdr>
        <w:top w:val="none" w:sz="0" w:space="0" w:color="auto"/>
        <w:left w:val="none" w:sz="0" w:space="0" w:color="auto"/>
        <w:bottom w:val="none" w:sz="0" w:space="0" w:color="auto"/>
        <w:right w:val="none" w:sz="0" w:space="0" w:color="auto"/>
      </w:divBdr>
    </w:div>
    <w:div w:id="21129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rns.2017.01.024" TargetMode="External"/><Relationship Id="rId13" Type="http://schemas.openxmlformats.org/officeDocument/2006/relationships/hyperlink" Target="https://doi.org/10.3389/fimmu.2020.01041" TargetMode="External"/><Relationship Id="rId18" Type="http://schemas.openxmlformats.org/officeDocument/2006/relationships/hyperlink" Target="https://doi.org/10.1016/j.injury.2019.05.041" TargetMode="External"/><Relationship Id="rId26" Type="http://schemas.openxmlformats.org/officeDocument/2006/relationships/hyperlink" Target="https://doi.org/10.1016/j.injury.2019.05.041" TargetMode="External"/><Relationship Id="rId39" Type="http://schemas.openxmlformats.org/officeDocument/2006/relationships/hyperlink" Target="https://doi.org/10.1186/s12979-015-0046-4" TargetMode="External"/><Relationship Id="rId3" Type="http://schemas.openxmlformats.org/officeDocument/2006/relationships/settings" Target="settings.xml"/><Relationship Id="rId21" Type="http://schemas.openxmlformats.org/officeDocument/2006/relationships/hyperlink" Target="https://doi.org/10.1186/s12974-022-02430-3" TargetMode="External"/><Relationship Id="rId34" Type="http://schemas.openxmlformats.org/officeDocument/2006/relationships/hyperlink" Target="https://doi.org/10.3389/fimmu.2020.0104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bja.2024.01.012" TargetMode="External"/><Relationship Id="rId12" Type="http://schemas.openxmlformats.org/officeDocument/2006/relationships/hyperlink" Target="https://doi.org/10.1016/j.cjtee.2017.03.003" TargetMode="External"/><Relationship Id="rId17" Type="http://schemas.openxmlformats.org/officeDocument/2006/relationships/hyperlink" Target="https://doi.org/10.1186/s12979-015-0046-4" TargetMode="External"/><Relationship Id="rId25" Type="http://schemas.openxmlformats.org/officeDocument/2006/relationships/hyperlink" Target="https://doi.org/10.1186/s13054-018-2044-0" TargetMode="External"/><Relationship Id="rId33" Type="http://schemas.openxmlformats.org/officeDocument/2006/relationships/hyperlink" Target="https://doi.org/10.1016/j.burns.2017.01.024" TargetMode="External"/><Relationship Id="rId38" Type="http://schemas.openxmlformats.org/officeDocument/2006/relationships/hyperlink" Target="https://doi.org/10.1016/j.injury.2019.05.04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immu.2021.706438" TargetMode="External"/><Relationship Id="rId20" Type="http://schemas.openxmlformats.org/officeDocument/2006/relationships/hyperlink" Target="https://doi.org/10.1016/j.bja.2024.01.012" TargetMode="External"/><Relationship Id="rId29" Type="http://schemas.openxmlformats.org/officeDocument/2006/relationships/hyperlink" Target="https://doi.org/10.1097/TA.0000000000003304"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lnesp.2020.03.003" TargetMode="External"/><Relationship Id="rId24" Type="http://schemas.openxmlformats.org/officeDocument/2006/relationships/hyperlink" Target="https://doi.org/10.3389/fimmu.2021.706438" TargetMode="External"/><Relationship Id="rId32" Type="http://schemas.openxmlformats.org/officeDocument/2006/relationships/hyperlink" Target="https://doi.org/10.1016/j.cjtee.2017.03.003" TargetMode="External"/><Relationship Id="rId37" Type="http://schemas.openxmlformats.org/officeDocument/2006/relationships/hyperlink" Target="https://doi.org/10.1186/s12974-022-02430-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93/leukbio/liq116" TargetMode="External"/><Relationship Id="rId23" Type="http://schemas.openxmlformats.org/officeDocument/2006/relationships/hyperlink" Target="https://doi.org/10.1016/j.clnesp.2020.03.003" TargetMode="External"/><Relationship Id="rId28" Type="http://schemas.openxmlformats.org/officeDocument/2006/relationships/hyperlink" Target="https://doi.org/10.3389/fimmu.2020.01041" TargetMode="External"/><Relationship Id="rId36" Type="http://schemas.openxmlformats.org/officeDocument/2006/relationships/hyperlink" Target="https://doi.org/10.1056/NEJMra1204869" TargetMode="External"/><Relationship Id="rId10" Type="http://schemas.openxmlformats.org/officeDocument/2006/relationships/hyperlink" Target="https://doi.org/10.1016/j.cjtee.2017.03.003" TargetMode="External"/><Relationship Id="rId19" Type="http://schemas.openxmlformats.org/officeDocument/2006/relationships/hyperlink" Target="https://doi.org/10.1097/TA.0000000000003304" TargetMode="External"/><Relationship Id="rId31" Type="http://schemas.openxmlformats.org/officeDocument/2006/relationships/hyperlink" Target="https://doi.org/10.1016/j.bja.2024.01.01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97/TA.0000000000000463" TargetMode="External"/><Relationship Id="rId14" Type="http://schemas.openxmlformats.org/officeDocument/2006/relationships/hyperlink" Target="https://doi.org/10.1186/s13054-018-2044-0" TargetMode="External"/><Relationship Id="rId22" Type="http://schemas.openxmlformats.org/officeDocument/2006/relationships/hyperlink" Target="https://doi.org/10.1016/j.cjtee.2017.03.003" TargetMode="External"/><Relationship Id="rId27" Type="http://schemas.openxmlformats.org/officeDocument/2006/relationships/hyperlink" Target="https://doi.org/10.1186/s12979-015-0046-4" TargetMode="External"/><Relationship Id="rId30" Type="http://schemas.openxmlformats.org/officeDocument/2006/relationships/hyperlink" Target="https://doi.org/10.1093/leukbio/liq116" TargetMode="External"/><Relationship Id="rId35" Type="http://schemas.openxmlformats.org/officeDocument/2006/relationships/hyperlink" Target="https://doi.org/10.1016/j.cjtee.2017.03.003" TargetMode="External"/><Relationship Id="rId43"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3482</Words>
  <Characters>22707</Characters>
  <Application>Microsoft Office Word</Application>
  <DocSecurity>0</DocSecurity>
  <Lines>709</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Editor-17</cp:lastModifiedBy>
  <cp:revision>50</cp:revision>
  <dcterms:created xsi:type="dcterms:W3CDTF">2025-07-01T16:06:00Z</dcterms:created>
  <dcterms:modified xsi:type="dcterms:W3CDTF">2025-08-12T08:34:00Z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e6062c4c-b7ed-494b-8774-09b8142f8400</vt:lpwstr>
  </property>
</Properties>
</file>