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54C9A" w:rsidRDefault="00754C9A" w:rsidP="00441B6F">
      <w:pPr>
        <w:pStyle w:val="Title"/>
        <w:spacing w:after="0"/>
        <w:jc w:val="both"/>
        <w:rPr>
          <w:rFonts w:ascii="Arial" w:hAnsi="Arial" w:cs="Arial"/>
        </w:rPr>
      </w:pPr>
    </w:p>
    <w:p w14:paraId="54E75822" w14:textId="77777777" w:rsidR="000F11E9" w:rsidRDefault="000F11E9" w:rsidP="14A9C1D5">
      <w:pPr>
        <w:pStyle w:val="Author"/>
        <w:spacing w:line="240" w:lineRule="auto"/>
        <w:rPr>
          <w:rFonts w:ascii="Arial" w:hAnsi="Arial" w:cs="Arial"/>
          <w:kern w:val="28"/>
          <w:sz w:val="36"/>
          <w:szCs w:val="36"/>
        </w:rPr>
      </w:pPr>
      <w:r w:rsidRPr="000F11E9">
        <w:rPr>
          <w:rFonts w:ascii="Arial" w:hAnsi="Arial" w:cs="Arial"/>
          <w:kern w:val="28"/>
          <w:sz w:val="36"/>
          <w:szCs w:val="36"/>
        </w:rPr>
        <w:t xml:space="preserve">Case report </w:t>
      </w:r>
    </w:p>
    <w:p w14:paraId="703F6029" w14:textId="74FCE7AB" w:rsidR="00163BC4" w:rsidRPr="00163BC4" w:rsidRDefault="59F3E827" w:rsidP="14A9C1D5">
      <w:pPr>
        <w:pStyle w:val="Author"/>
        <w:spacing w:line="240" w:lineRule="auto"/>
        <w:rPr>
          <w:rFonts w:ascii="Arial" w:hAnsi="Arial" w:cs="Arial"/>
          <w:kern w:val="28"/>
          <w:sz w:val="36"/>
          <w:szCs w:val="36"/>
        </w:rPr>
      </w:pPr>
      <w:r w:rsidRPr="14A9C1D5">
        <w:rPr>
          <w:rFonts w:ascii="Arial" w:hAnsi="Arial" w:cs="Arial"/>
          <w:kern w:val="28"/>
          <w:sz w:val="36"/>
          <w:szCs w:val="36"/>
        </w:rPr>
        <w:t>Extramedullary Jaw Mass</w:t>
      </w:r>
      <w:r w:rsidR="00D903E6">
        <w:rPr>
          <w:rFonts w:ascii="Arial" w:hAnsi="Arial" w:cs="Arial"/>
          <w:kern w:val="28"/>
          <w:sz w:val="36"/>
          <w:szCs w:val="36"/>
        </w:rPr>
        <w:t>es</w:t>
      </w:r>
      <w:r w:rsidRPr="14A9C1D5">
        <w:rPr>
          <w:rFonts w:ascii="Arial" w:hAnsi="Arial" w:cs="Arial"/>
          <w:kern w:val="28"/>
          <w:sz w:val="36"/>
          <w:szCs w:val="36"/>
        </w:rPr>
        <w:t xml:space="preserve"> </w:t>
      </w:r>
      <w:r w:rsidR="00D903E6">
        <w:rPr>
          <w:rFonts w:ascii="Arial" w:hAnsi="Arial" w:cs="Arial"/>
          <w:kern w:val="28"/>
          <w:sz w:val="36"/>
          <w:szCs w:val="36"/>
        </w:rPr>
        <w:t>in</w:t>
      </w:r>
      <w:r w:rsidRPr="14A9C1D5">
        <w:rPr>
          <w:rFonts w:ascii="Arial" w:hAnsi="Arial" w:cs="Arial"/>
          <w:kern w:val="28"/>
          <w:sz w:val="36"/>
          <w:szCs w:val="36"/>
        </w:rPr>
        <w:t xml:space="preserve"> Multiple Myeloma: </w:t>
      </w:r>
      <w:r w:rsidR="00CC37B4">
        <w:rPr>
          <w:rFonts w:ascii="Arial" w:hAnsi="Arial" w:cs="Arial"/>
          <w:kern w:val="28"/>
          <w:sz w:val="36"/>
          <w:szCs w:val="36"/>
        </w:rPr>
        <w:t>The</w:t>
      </w:r>
      <w:r w:rsidR="00D903E6">
        <w:rPr>
          <w:rFonts w:ascii="Arial" w:hAnsi="Arial" w:cs="Arial"/>
          <w:kern w:val="28"/>
          <w:sz w:val="36"/>
          <w:szCs w:val="36"/>
        </w:rPr>
        <w:t xml:space="preserve"> Critical Impact of </w:t>
      </w:r>
      <w:r w:rsidRPr="14A9C1D5">
        <w:rPr>
          <w:rFonts w:ascii="Arial" w:hAnsi="Arial" w:cs="Arial"/>
          <w:kern w:val="28"/>
          <w:sz w:val="36"/>
          <w:szCs w:val="36"/>
        </w:rPr>
        <w:t>Resource Limitatio</w:t>
      </w:r>
      <w:r w:rsidR="00D903E6">
        <w:rPr>
          <w:rFonts w:ascii="Arial" w:hAnsi="Arial" w:cs="Arial"/>
          <w:kern w:val="28"/>
          <w:sz w:val="36"/>
          <w:szCs w:val="36"/>
        </w:rPr>
        <w:t>ns</w:t>
      </w:r>
      <w:r w:rsidRPr="14A9C1D5">
        <w:rPr>
          <w:rFonts w:ascii="Arial" w:hAnsi="Arial" w:cs="Arial"/>
          <w:kern w:val="28"/>
          <w:sz w:val="36"/>
          <w:szCs w:val="36"/>
        </w:rPr>
        <w:t xml:space="preserve"> on Diagnostic and Therapeutic </w:t>
      </w:r>
      <w:r w:rsidR="00D903E6">
        <w:rPr>
          <w:rFonts w:ascii="Arial" w:hAnsi="Arial" w:cs="Arial"/>
          <w:kern w:val="28"/>
          <w:sz w:val="36"/>
          <w:szCs w:val="36"/>
        </w:rPr>
        <w:t>Outcomes</w:t>
      </w:r>
      <w:r w:rsidRPr="14A9C1D5">
        <w:rPr>
          <w:rFonts w:ascii="Arial" w:hAnsi="Arial" w:cs="Arial"/>
          <w:kern w:val="28"/>
          <w:sz w:val="36"/>
          <w:szCs w:val="36"/>
        </w:rPr>
        <w:t xml:space="preserve"> </w:t>
      </w:r>
      <w:r w:rsidR="00231920" w:rsidRPr="14A9C1D5">
        <w:rPr>
          <w:rFonts w:ascii="Arial" w:hAnsi="Arial" w:cs="Arial"/>
          <w:kern w:val="28"/>
          <w:sz w:val="36"/>
          <w:szCs w:val="36"/>
        </w:rPr>
        <w:t xml:space="preserve"> </w:t>
      </w:r>
    </w:p>
    <w:p w14:paraId="0A37501D" w14:textId="77777777" w:rsidR="00A258C3" w:rsidRPr="00790ADA" w:rsidRDefault="00A258C3" w:rsidP="00441B6F">
      <w:pPr>
        <w:pStyle w:val="Author"/>
        <w:spacing w:line="240" w:lineRule="auto"/>
        <w:jc w:val="both"/>
        <w:rPr>
          <w:rFonts w:ascii="Arial" w:hAnsi="Arial" w:cs="Arial"/>
          <w:sz w:val="36"/>
        </w:rPr>
      </w:pPr>
    </w:p>
    <w:p w14:paraId="390549F8" w14:textId="7627BE4F" w:rsidR="14A9C1D5" w:rsidRDefault="14A9C1D5" w:rsidP="14A9C1D5">
      <w:pPr>
        <w:pStyle w:val="Affiliation"/>
        <w:spacing w:after="0" w:line="240" w:lineRule="auto"/>
        <w:rPr>
          <w:rFonts w:ascii="Arial" w:hAnsi="Arial" w:cs="Arial"/>
          <w:i/>
          <w:iCs/>
        </w:rPr>
      </w:pPr>
    </w:p>
    <w:p w14:paraId="02EB378F" w14:textId="77777777" w:rsidR="00790ADA" w:rsidRDefault="00790ADA" w:rsidP="00441B6F">
      <w:pPr>
        <w:pStyle w:val="Affiliation"/>
        <w:spacing w:after="0" w:line="240" w:lineRule="auto"/>
        <w:jc w:val="both"/>
        <w:rPr>
          <w:rFonts w:ascii="Arial" w:hAnsi="Arial" w:cs="Arial"/>
        </w:rPr>
      </w:pPr>
    </w:p>
    <w:p w14:paraId="6A05A809" w14:textId="77777777" w:rsidR="002C57D2" w:rsidRPr="00FB3A86" w:rsidRDefault="002C57D2" w:rsidP="00441B6F">
      <w:pPr>
        <w:pStyle w:val="Affiliation"/>
        <w:spacing w:after="0" w:line="240" w:lineRule="auto"/>
        <w:jc w:val="both"/>
        <w:rPr>
          <w:rFonts w:ascii="Arial" w:hAnsi="Arial" w:cs="Arial"/>
        </w:rPr>
      </w:pPr>
    </w:p>
    <w:p w14:paraId="02614873" w14:textId="77777777" w:rsidR="00B01FCD" w:rsidRPr="00FB3A86" w:rsidRDefault="00000000" w:rsidP="00441B6F">
      <w:pPr>
        <w:pStyle w:val="Copyright"/>
        <w:spacing w:after="0" w:line="240" w:lineRule="auto"/>
        <w:jc w:val="both"/>
        <w:rPr>
          <w:rFonts w:ascii="Arial" w:hAnsi="Arial" w:cs="Arial"/>
        </w:rPr>
        <w:sectPr w:rsidR="00B01FCD" w:rsidRPr="00FB3A86" w:rsidSect="005219D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B16A136">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12CC7E8" w14:textId="2F433C25" w:rsidR="00B01FCD" w:rsidRDefault="00B01FCD" w:rsidP="00441B6F">
      <w:pPr>
        <w:pStyle w:val="AbstHead"/>
        <w:spacing w:after="0"/>
        <w:jc w:val="both"/>
        <w:rPr>
          <w:rFonts w:ascii="Arial" w:hAnsi="Arial" w:cs="Arial"/>
        </w:rPr>
      </w:pPr>
      <w:r w:rsidRPr="14A9C1D5">
        <w:rPr>
          <w:rFonts w:ascii="Arial" w:hAnsi="Arial" w:cs="Arial"/>
        </w:rPr>
        <w:t>ABSTRACT</w:t>
      </w:r>
    </w:p>
    <w:p w14:paraId="5A39BBE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AD60C3F" w14:textId="77777777" w:rsidTr="14A9C1D5">
        <w:tc>
          <w:tcPr>
            <w:tcW w:w="9576" w:type="dxa"/>
            <w:shd w:val="clear" w:color="auto" w:fill="F2F2F2" w:themeFill="background1" w:themeFillShade="F2"/>
          </w:tcPr>
          <w:p w14:paraId="1E594AC4" w14:textId="21B5F3FA" w:rsidR="00505F06" w:rsidRPr="00BA1B01" w:rsidRDefault="01FD02C1" w:rsidP="14A9C1D5">
            <w:pPr>
              <w:pStyle w:val="Body"/>
              <w:spacing w:after="0" w:line="259" w:lineRule="auto"/>
              <w:rPr>
                <w:rFonts w:ascii="Arial" w:eastAsia="Calibri" w:hAnsi="Arial" w:cs="Arial"/>
              </w:rPr>
            </w:pPr>
            <w:bookmarkStart w:id="0" w:name="_Hlk205822053"/>
            <w:bookmarkStart w:id="1" w:name="_Hlk205822604"/>
            <w:bookmarkStart w:id="2" w:name="_Hlk205822935"/>
            <w:r w:rsidRPr="14A9C1D5">
              <w:rPr>
                <w:rFonts w:ascii="Arial" w:eastAsia="Calibri" w:hAnsi="Arial" w:cs="Arial"/>
              </w:rPr>
              <w:t xml:space="preserve">Non-Hodgkin lymphoma and </w:t>
            </w:r>
            <w:r w:rsidR="59D8D380" w:rsidRPr="14A9C1D5">
              <w:rPr>
                <w:rFonts w:ascii="Arial" w:eastAsia="Calibri" w:hAnsi="Arial" w:cs="Arial"/>
              </w:rPr>
              <w:t>extramedullary plasmacytoma</w:t>
            </w:r>
            <w:r w:rsidR="113CEBEA" w:rsidRPr="14A9C1D5">
              <w:rPr>
                <w:rFonts w:ascii="Arial" w:eastAsia="Calibri" w:hAnsi="Arial" w:cs="Arial"/>
              </w:rPr>
              <w:t xml:space="preserve"> a</w:t>
            </w:r>
            <w:r w:rsidR="4CF6FF0A" w:rsidRPr="14A9C1D5">
              <w:rPr>
                <w:rFonts w:ascii="Arial" w:eastAsia="Calibri" w:hAnsi="Arial" w:cs="Arial"/>
              </w:rPr>
              <w:t xml:space="preserve">re some diseases which are known to cause swellings in the head and neck region of the body. Making diagnosis </w:t>
            </w:r>
            <w:r w:rsidR="08487397" w:rsidRPr="14A9C1D5">
              <w:rPr>
                <w:rFonts w:ascii="Arial" w:eastAsia="Calibri" w:hAnsi="Arial" w:cs="Arial"/>
              </w:rPr>
              <w:t>and distinguishing</w:t>
            </w:r>
            <w:r w:rsidR="4CF6FF0A" w:rsidRPr="14A9C1D5">
              <w:rPr>
                <w:rFonts w:ascii="Arial" w:eastAsia="Calibri" w:hAnsi="Arial" w:cs="Arial"/>
              </w:rPr>
              <w:t xml:space="preserve"> </w:t>
            </w:r>
            <w:r w:rsidR="0AFEECAF" w:rsidRPr="14A9C1D5">
              <w:rPr>
                <w:rFonts w:ascii="Arial" w:eastAsia="Calibri" w:hAnsi="Arial" w:cs="Arial"/>
              </w:rPr>
              <w:t>both</w:t>
            </w:r>
            <w:r w:rsidR="4CF6FF0A" w:rsidRPr="14A9C1D5">
              <w:rPr>
                <w:rFonts w:ascii="Arial" w:eastAsia="Calibri" w:hAnsi="Arial" w:cs="Arial"/>
              </w:rPr>
              <w:t xml:space="preserve"> conditions requir</w:t>
            </w:r>
            <w:r w:rsidR="6C3AE362" w:rsidRPr="14A9C1D5">
              <w:rPr>
                <w:rFonts w:ascii="Arial" w:eastAsia="Calibri" w:hAnsi="Arial" w:cs="Arial"/>
              </w:rPr>
              <w:t xml:space="preserve">e biopsy of the </w:t>
            </w:r>
            <w:r w:rsidR="31E01D5E" w:rsidRPr="14A9C1D5">
              <w:rPr>
                <w:rFonts w:ascii="Arial" w:eastAsia="Calibri" w:hAnsi="Arial" w:cs="Arial"/>
              </w:rPr>
              <w:t>tissue for</w:t>
            </w:r>
            <w:r w:rsidR="7FCD6CB2" w:rsidRPr="14A9C1D5">
              <w:rPr>
                <w:rFonts w:ascii="Arial" w:eastAsia="Calibri" w:hAnsi="Arial" w:cs="Arial"/>
              </w:rPr>
              <w:t xml:space="preserve"> immunohistochemistry, and where immunohistochemistry is unavailable</w:t>
            </w:r>
            <w:r w:rsidR="68BE80E8" w:rsidRPr="14A9C1D5">
              <w:rPr>
                <w:rFonts w:ascii="Arial" w:eastAsia="Calibri" w:hAnsi="Arial" w:cs="Arial"/>
              </w:rPr>
              <w:t xml:space="preserve">, it presents a diagnostic </w:t>
            </w:r>
            <w:r w:rsidR="00B01BCE">
              <w:rPr>
                <w:rFonts w:ascii="Arial" w:eastAsia="Calibri" w:hAnsi="Arial" w:cs="Arial"/>
              </w:rPr>
              <w:t>a</w:t>
            </w:r>
            <w:r w:rsidR="00207163">
              <w:rPr>
                <w:rFonts w:ascii="Arial" w:eastAsia="Calibri" w:hAnsi="Arial" w:cs="Arial"/>
              </w:rPr>
              <w:t>s well as</w:t>
            </w:r>
            <w:r w:rsidR="00B01BCE">
              <w:rPr>
                <w:rFonts w:ascii="Arial" w:eastAsia="Calibri" w:hAnsi="Arial" w:cs="Arial"/>
              </w:rPr>
              <w:t xml:space="preserve"> therapeutic challenge</w:t>
            </w:r>
            <w:r w:rsidR="00207163">
              <w:rPr>
                <w:rFonts w:ascii="Arial" w:eastAsia="Calibri" w:hAnsi="Arial" w:cs="Arial"/>
              </w:rPr>
              <w:t>,</w:t>
            </w:r>
            <w:r w:rsidR="000F5D09">
              <w:rPr>
                <w:rFonts w:ascii="Arial" w:eastAsia="Calibri" w:hAnsi="Arial" w:cs="Arial"/>
              </w:rPr>
              <w:t xml:space="preserve"> as treatment for both diseases differ significantly.</w:t>
            </w:r>
          </w:p>
          <w:p w14:paraId="40B9CE03" w14:textId="77777777" w:rsidR="00505F06" w:rsidRDefault="68BE80E8" w:rsidP="14A9C1D5">
            <w:pPr>
              <w:pStyle w:val="Body"/>
              <w:spacing w:after="0" w:line="259" w:lineRule="auto"/>
              <w:rPr>
                <w:rFonts w:ascii="Arial" w:eastAsia="Calibri" w:hAnsi="Arial" w:cs="Arial"/>
              </w:rPr>
            </w:pPr>
            <w:r w:rsidRPr="14A9C1D5">
              <w:rPr>
                <w:rFonts w:ascii="Arial" w:eastAsia="Calibri" w:hAnsi="Arial" w:cs="Arial"/>
              </w:rPr>
              <w:t xml:space="preserve">We report the case of jaw swelling </w:t>
            </w:r>
            <w:r w:rsidR="6D4C3AC8" w:rsidRPr="14A9C1D5">
              <w:rPr>
                <w:rFonts w:ascii="Arial" w:eastAsia="Calibri" w:hAnsi="Arial" w:cs="Arial"/>
              </w:rPr>
              <w:t>in an elderly man; swelling</w:t>
            </w:r>
            <w:r w:rsidRPr="14A9C1D5">
              <w:rPr>
                <w:rFonts w:ascii="Arial" w:eastAsia="Calibri" w:hAnsi="Arial" w:cs="Arial"/>
              </w:rPr>
              <w:t xml:space="preserve"> was thought</w:t>
            </w:r>
            <w:r w:rsidR="14A88FDA" w:rsidRPr="14A9C1D5">
              <w:rPr>
                <w:rFonts w:ascii="Arial" w:eastAsia="Calibri" w:hAnsi="Arial" w:cs="Arial"/>
              </w:rPr>
              <w:t xml:space="preserve"> to be non-Hodgkin </w:t>
            </w:r>
            <w:r w:rsidR="35EB0577" w:rsidRPr="14A9C1D5">
              <w:rPr>
                <w:rFonts w:ascii="Arial" w:eastAsia="Calibri" w:hAnsi="Arial" w:cs="Arial"/>
              </w:rPr>
              <w:t>lymphoma,</w:t>
            </w:r>
            <w:r w:rsidR="37EEE6E7" w:rsidRPr="14A9C1D5">
              <w:rPr>
                <w:rFonts w:ascii="Arial" w:eastAsia="Calibri" w:hAnsi="Arial" w:cs="Arial"/>
              </w:rPr>
              <w:t xml:space="preserve"> </w:t>
            </w:r>
            <w:r w:rsidR="49865432" w:rsidRPr="14A9C1D5">
              <w:rPr>
                <w:rFonts w:ascii="Arial" w:eastAsia="Calibri" w:hAnsi="Arial" w:cs="Arial"/>
              </w:rPr>
              <w:t xml:space="preserve">but patient </w:t>
            </w:r>
            <w:r w:rsidR="37EEE6E7" w:rsidRPr="14A9C1D5">
              <w:rPr>
                <w:rFonts w:ascii="Arial" w:eastAsia="Calibri" w:hAnsi="Arial" w:cs="Arial"/>
              </w:rPr>
              <w:t>subsequently had bone marrow aspiration showing multiple myeloma</w:t>
            </w:r>
            <w:r w:rsidR="00207163">
              <w:rPr>
                <w:rFonts w:ascii="Arial" w:eastAsia="Calibri" w:hAnsi="Arial" w:cs="Arial"/>
              </w:rPr>
              <w:t>. This</w:t>
            </w:r>
            <w:r w:rsidR="12C5DBE3" w:rsidRPr="14A9C1D5">
              <w:rPr>
                <w:rFonts w:ascii="Arial" w:eastAsia="Calibri" w:hAnsi="Arial" w:cs="Arial"/>
              </w:rPr>
              <w:t xml:space="preserve"> suggest</w:t>
            </w:r>
            <w:r w:rsidR="00207163">
              <w:rPr>
                <w:rFonts w:ascii="Arial" w:eastAsia="Calibri" w:hAnsi="Arial" w:cs="Arial"/>
              </w:rPr>
              <w:t>ed</w:t>
            </w:r>
            <w:r w:rsidR="12C5DBE3" w:rsidRPr="14A9C1D5">
              <w:rPr>
                <w:rFonts w:ascii="Arial" w:eastAsia="Calibri" w:hAnsi="Arial" w:cs="Arial"/>
              </w:rPr>
              <w:t xml:space="preserve"> the possibility that the jaw swelling was an extramedullary plasmacytoma</w:t>
            </w:r>
            <w:r w:rsidR="66E5A6A9" w:rsidRPr="14A9C1D5">
              <w:rPr>
                <w:rFonts w:ascii="Arial" w:eastAsia="Calibri" w:hAnsi="Arial" w:cs="Arial"/>
              </w:rPr>
              <w:t xml:space="preserve">. The histologic composition of the swelling </w:t>
            </w:r>
            <w:r w:rsidR="7D5F6F46" w:rsidRPr="14A9C1D5">
              <w:rPr>
                <w:rFonts w:ascii="Arial" w:eastAsia="Calibri" w:hAnsi="Arial" w:cs="Arial"/>
              </w:rPr>
              <w:t xml:space="preserve">was not confirmed due to </w:t>
            </w:r>
            <w:r w:rsidR="00B14F35">
              <w:rPr>
                <w:rFonts w:ascii="Arial" w:eastAsia="Calibri" w:hAnsi="Arial" w:cs="Arial"/>
              </w:rPr>
              <w:t>financial and logistical difficulties</w:t>
            </w:r>
            <w:r w:rsidR="7D5F6F46" w:rsidRPr="14A9C1D5">
              <w:rPr>
                <w:rFonts w:ascii="Arial" w:eastAsia="Calibri" w:hAnsi="Arial" w:cs="Arial"/>
              </w:rPr>
              <w:t xml:space="preserve"> to have immunohistochemistry done</w:t>
            </w:r>
            <w:r w:rsidR="00B14F35">
              <w:rPr>
                <w:rFonts w:ascii="Arial" w:eastAsia="Calibri" w:hAnsi="Arial" w:cs="Arial"/>
              </w:rPr>
              <w:t>.</w:t>
            </w:r>
            <w:r w:rsidR="003C404F">
              <w:rPr>
                <w:rFonts w:ascii="Arial" w:eastAsia="Calibri" w:hAnsi="Arial" w:cs="Arial"/>
              </w:rPr>
              <w:t xml:space="preserve"> P</w:t>
            </w:r>
            <w:r w:rsidR="7D5F6F46" w:rsidRPr="14A9C1D5">
              <w:rPr>
                <w:rFonts w:ascii="Arial" w:eastAsia="Calibri" w:hAnsi="Arial" w:cs="Arial"/>
              </w:rPr>
              <w:t>atient’s swelling reduced following treatment</w:t>
            </w:r>
            <w:r w:rsidR="00B14A2E">
              <w:rPr>
                <w:rFonts w:ascii="Arial" w:eastAsia="Calibri" w:hAnsi="Arial" w:cs="Arial"/>
              </w:rPr>
              <w:t xml:space="preserve"> with Velcade, Revlimid, and Dexamethasone</w:t>
            </w:r>
            <w:r w:rsidR="009E2B8D">
              <w:rPr>
                <w:rFonts w:ascii="Arial" w:eastAsia="Calibri" w:hAnsi="Arial" w:cs="Arial"/>
              </w:rPr>
              <w:t xml:space="preserve"> from 10cm x 16cm x 16cm to 7cm x 5cm. T</w:t>
            </w:r>
            <w:r w:rsidR="002E1C1E">
              <w:rPr>
                <w:rFonts w:ascii="Arial" w:eastAsia="Calibri" w:hAnsi="Arial" w:cs="Arial"/>
              </w:rPr>
              <w:t xml:space="preserve">here was also reduction in the </w:t>
            </w:r>
            <w:r w:rsidR="006A5256" w:rsidRPr="006A5256">
              <w:rPr>
                <w:rFonts w:ascii="Arial" w:eastAsia="Calibri" w:hAnsi="Arial" w:cs="Arial"/>
              </w:rPr>
              <w:t>κ/λ ratio</w:t>
            </w:r>
            <w:r w:rsidR="006A5256">
              <w:rPr>
                <w:rFonts w:ascii="Arial" w:eastAsia="Calibri" w:hAnsi="Arial" w:cs="Arial"/>
              </w:rPr>
              <w:t xml:space="preserve"> from 38.36 to 1.9</w:t>
            </w:r>
            <w:r w:rsidR="00904C71">
              <w:rPr>
                <w:rFonts w:ascii="Arial" w:eastAsia="Calibri" w:hAnsi="Arial" w:cs="Arial"/>
              </w:rPr>
              <w:t>, as well as improvement in his overall clinical state.</w:t>
            </w:r>
            <w:bookmarkEnd w:id="0"/>
          </w:p>
          <w:p w14:paraId="3BC5D997" w14:textId="0727A65F" w:rsidR="003B7592" w:rsidRPr="00BA1B01" w:rsidRDefault="003B7592" w:rsidP="14A9C1D5">
            <w:pPr>
              <w:pStyle w:val="Body"/>
              <w:spacing w:after="0" w:line="259" w:lineRule="auto"/>
              <w:rPr>
                <w:rFonts w:ascii="Arial" w:eastAsia="Calibri" w:hAnsi="Arial" w:cs="Arial"/>
              </w:rPr>
            </w:pPr>
            <w:r>
              <w:rPr>
                <w:rFonts w:ascii="Arial" w:eastAsia="Calibri" w:hAnsi="Arial" w:cs="Arial"/>
              </w:rPr>
              <w:t xml:space="preserve">This report </w:t>
            </w:r>
            <w:r w:rsidR="00776F69">
              <w:rPr>
                <w:rFonts w:ascii="Arial" w:eastAsia="Calibri" w:hAnsi="Arial" w:cs="Arial"/>
              </w:rPr>
              <w:t xml:space="preserve">demonstrates the need for </w:t>
            </w:r>
            <w:r w:rsidR="005534A1">
              <w:rPr>
                <w:rFonts w:ascii="Arial" w:eastAsia="Calibri" w:hAnsi="Arial" w:cs="Arial"/>
              </w:rPr>
              <w:t xml:space="preserve">a </w:t>
            </w:r>
            <w:r w:rsidR="00776F69">
              <w:rPr>
                <w:rFonts w:ascii="Arial" w:eastAsia="Calibri" w:hAnsi="Arial" w:cs="Arial"/>
              </w:rPr>
              <w:t>high index of suspicion</w:t>
            </w:r>
            <w:r w:rsidR="00FA25E0">
              <w:rPr>
                <w:rFonts w:ascii="Arial" w:eastAsia="Calibri" w:hAnsi="Arial" w:cs="Arial"/>
              </w:rPr>
              <w:t xml:space="preserve"> </w:t>
            </w:r>
            <w:r w:rsidR="00776F69">
              <w:rPr>
                <w:rFonts w:ascii="Arial" w:eastAsia="Calibri" w:hAnsi="Arial" w:cs="Arial"/>
              </w:rPr>
              <w:t xml:space="preserve">when approaching elderly patients with </w:t>
            </w:r>
            <w:r w:rsidR="00745E58">
              <w:rPr>
                <w:rFonts w:ascii="Arial" w:eastAsia="Calibri" w:hAnsi="Arial" w:cs="Arial"/>
              </w:rPr>
              <w:t xml:space="preserve">head and neck </w:t>
            </w:r>
            <w:r w:rsidR="005534A1">
              <w:rPr>
                <w:rFonts w:ascii="Arial" w:eastAsia="Calibri" w:hAnsi="Arial" w:cs="Arial"/>
              </w:rPr>
              <w:t>masses</w:t>
            </w:r>
            <w:r w:rsidR="004F739C">
              <w:rPr>
                <w:rFonts w:ascii="Arial" w:eastAsia="Calibri" w:hAnsi="Arial" w:cs="Arial"/>
              </w:rPr>
              <w:t>.</w:t>
            </w:r>
            <w:bookmarkEnd w:id="1"/>
            <w:r w:rsidR="00FA25E0">
              <w:rPr>
                <w:rFonts w:ascii="Arial" w:eastAsia="Calibri" w:hAnsi="Arial" w:cs="Arial"/>
              </w:rPr>
              <w:t xml:space="preserve"> It also emphasizes the </w:t>
            </w:r>
            <w:r w:rsidR="00084260">
              <w:rPr>
                <w:rFonts w:ascii="Arial" w:eastAsia="Calibri" w:hAnsi="Arial" w:cs="Arial"/>
              </w:rPr>
              <w:t>central role of immunohistochemistry in</w:t>
            </w:r>
            <w:r w:rsidR="00FA25E0">
              <w:rPr>
                <w:rFonts w:ascii="Arial" w:eastAsia="Calibri" w:hAnsi="Arial" w:cs="Arial"/>
              </w:rPr>
              <w:t xml:space="preserve"> diagnos</w:t>
            </w:r>
            <w:r w:rsidR="00084260">
              <w:rPr>
                <w:rFonts w:ascii="Arial" w:eastAsia="Calibri" w:hAnsi="Arial" w:cs="Arial"/>
              </w:rPr>
              <w:t>i</w:t>
            </w:r>
            <w:r w:rsidR="00DF6B53">
              <w:rPr>
                <w:rFonts w:ascii="Arial" w:eastAsia="Calibri" w:hAnsi="Arial" w:cs="Arial"/>
              </w:rPr>
              <w:t>s of tumours, and in their distinction.</w:t>
            </w:r>
            <w:bookmarkEnd w:id="2"/>
          </w:p>
        </w:tc>
      </w:tr>
    </w:tbl>
    <w:p w14:paraId="0E27B00A" w14:textId="77777777" w:rsidR="00636EB2" w:rsidRDefault="00636EB2" w:rsidP="00441B6F">
      <w:pPr>
        <w:pStyle w:val="Body"/>
        <w:spacing w:after="0"/>
        <w:rPr>
          <w:rFonts w:ascii="Arial" w:hAnsi="Arial" w:cs="Arial"/>
          <w:i/>
        </w:rPr>
      </w:pPr>
    </w:p>
    <w:p w14:paraId="44EAFD9C" w14:textId="4898D00B" w:rsidR="0024282C" w:rsidRDefault="00A24E7E" w:rsidP="14A9C1D5">
      <w:pPr>
        <w:pStyle w:val="Body"/>
        <w:spacing w:after="0"/>
        <w:rPr>
          <w:rFonts w:ascii="Arial" w:hAnsi="Arial" w:cs="Arial"/>
          <w:i/>
          <w:iCs/>
        </w:rPr>
      </w:pPr>
      <w:r w:rsidRPr="14A9C1D5">
        <w:rPr>
          <w:rFonts w:ascii="Arial" w:hAnsi="Arial" w:cs="Arial"/>
          <w:i/>
          <w:iCs/>
        </w:rPr>
        <w:t xml:space="preserve">Keywords: </w:t>
      </w:r>
      <w:r w:rsidR="0DA607A4" w:rsidRPr="14A9C1D5">
        <w:rPr>
          <w:rFonts w:ascii="Arial" w:hAnsi="Arial" w:cs="Arial"/>
          <w:i/>
          <w:iCs/>
        </w:rPr>
        <w:t>Multiple myeloma, non-Hodgkin lymphoma, immunohistochemistry, extramedullary plasmacy</w:t>
      </w:r>
      <w:r w:rsidR="284A3A32" w:rsidRPr="14A9C1D5">
        <w:rPr>
          <w:rFonts w:ascii="Arial" w:hAnsi="Arial" w:cs="Arial"/>
          <w:i/>
          <w:iCs/>
        </w:rPr>
        <w:t>toma, jaw swelling</w:t>
      </w:r>
    </w:p>
    <w:p w14:paraId="4B94D5A5" w14:textId="77777777" w:rsidR="00505F06" w:rsidRPr="00A24E7E" w:rsidRDefault="00505F06" w:rsidP="00441B6F">
      <w:pPr>
        <w:pStyle w:val="Body"/>
        <w:spacing w:after="0"/>
        <w:rPr>
          <w:rFonts w:ascii="Arial" w:hAnsi="Arial" w:cs="Arial"/>
          <w:i/>
        </w:rPr>
      </w:pPr>
    </w:p>
    <w:p w14:paraId="6EABAC78" w14:textId="03CEC896" w:rsidR="007F7B32" w:rsidRDefault="00902823" w:rsidP="00441B6F">
      <w:pPr>
        <w:pStyle w:val="AbstHead"/>
        <w:spacing w:after="0"/>
        <w:jc w:val="both"/>
        <w:rPr>
          <w:rFonts w:ascii="Arial" w:hAnsi="Arial" w:cs="Arial"/>
        </w:rPr>
      </w:pPr>
      <w:r w:rsidRPr="14A9C1D5">
        <w:rPr>
          <w:rFonts w:ascii="Arial" w:hAnsi="Arial" w:cs="Arial"/>
        </w:rPr>
        <w:t xml:space="preserve">1. </w:t>
      </w:r>
      <w:r w:rsidR="00B01FCD" w:rsidRPr="14A9C1D5">
        <w:rPr>
          <w:rFonts w:ascii="Arial" w:hAnsi="Arial" w:cs="Arial"/>
        </w:rPr>
        <w:t>INTRODUCTION</w:t>
      </w:r>
    </w:p>
    <w:p w14:paraId="3DEEC669" w14:textId="77777777" w:rsidR="00790ADA" w:rsidRPr="00FB3A86" w:rsidRDefault="00790ADA" w:rsidP="00441B6F">
      <w:pPr>
        <w:pStyle w:val="AbstHead"/>
        <w:spacing w:after="0"/>
        <w:jc w:val="both"/>
        <w:rPr>
          <w:rFonts w:ascii="Arial" w:hAnsi="Arial" w:cs="Arial"/>
        </w:rPr>
      </w:pPr>
    </w:p>
    <w:p w14:paraId="098C7BA7" w14:textId="5C195CB5" w:rsidR="00790ADA" w:rsidRPr="00FB3A86" w:rsidRDefault="0AA614A2" w:rsidP="14A9C1D5">
      <w:pPr>
        <w:pStyle w:val="Body"/>
        <w:spacing w:after="0"/>
        <w:rPr>
          <w:rFonts w:ascii="Arial" w:hAnsi="Arial" w:cs="Arial"/>
        </w:rPr>
      </w:pPr>
      <w:r w:rsidRPr="14A9C1D5">
        <w:rPr>
          <w:rFonts w:ascii="Arial" w:hAnsi="Arial" w:cs="Arial"/>
        </w:rPr>
        <w:t>Plasma cells, which are the primary population of cells that produce immunoglobulins, are terminally differentiated lymphocytes;</w:t>
      </w:r>
      <w:r w:rsidRPr="14A9C1D5">
        <w:rPr>
          <w:rFonts w:ascii="Arial" w:hAnsi="Arial" w:cs="Arial"/>
          <w:vertAlign w:val="superscript"/>
        </w:rPr>
        <w:t>1</w:t>
      </w:r>
      <w:r w:rsidRPr="14A9C1D5">
        <w:rPr>
          <w:rFonts w:ascii="Arial" w:hAnsi="Arial" w:cs="Arial"/>
        </w:rPr>
        <w:t xml:space="preserve"> they arise from lymphocytes after the processes of somatic hypermutation and/or perhaps class-switch recombination.</w:t>
      </w:r>
      <w:r w:rsidRPr="14A9C1D5">
        <w:rPr>
          <w:rFonts w:ascii="Arial" w:hAnsi="Arial" w:cs="Arial"/>
          <w:vertAlign w:val="superscript"/>
        </w:rPr>
        <w:t>2</w:t>
      </w:r>
      <w:r w:rsidRPr="14A9C1D5">
        <w:rPr>
          <w:rFonts w:ascii="Arial" w:hAnsi="Arial" w:cs="Arial"/>
        </w:rPr>
        <w:t xml:space="preserve"> Due to this singularity in progeny of the plasma cells and lymphocytes, diseases of both cells could be described phenotypically as lymphoplasmacytic, with entities like lymphomas and plasma cell dyscrasias making up this category, and this may cause for confusion in their morphologic diagnosis under light microscopy;</w:t>
      </w:r>
      <w:r w:rsidRPr="14A9C1D5">
        <w:rPr>
          <w:rFonts w:ascii="Arial" w:hAnsi="Arial" w:cs="Arial"/>
          <w:vertAlign w:val="superscript"/>
        </w:rPr>
        <w:t>3</w:t>
      </w:r>
      <w:r w:rsidRPr="14A9C1D5">
        <w:rPr>
          <w:rFonts w:ascii="Arial" w:hAnsi="Arial" w:cs="Arial"/>
        </w:rPr>
        <w:t xml:space="preserve"> this is especially true for oral lesions</w:t>
      </w:r>
      <w:r w:rsidRPr="14A9C1D5">
        <w:rPr>
          <w:rFonts w:ascii="Arial" w:hAnsi="Arial" w:cs="Arial"/>
          <w:vertAlign w:val="superscript"/>
        </w:rPr>
        <w:t xml:space="preserve">4 </w:t>
      </w:r>
      <w:r w:rsidRPr="14A9C1D5">
        <w:rPr>
          <w:rFonts w:ascii="Arial" w:hAnsi="Arial" w:cs="Arial"/>
        </w:rPr>
        <w:t>in which even immunohistochemistry may not be able to clearly distinguish them.</w:t>
      </w:r>
    </w:p>
    <w:p w14:paraId="6D2D5774" w14:textId="6ADDE8E7" w:rsidR="00790ADA" w:rsidRPr="00FB3A86" w:rsidRDefault="0AA614A2" w:rsidP="14A9C1D5">
      <w:pPr>
        <w:pStyle w:val="Body"/>
        <w:spacing w:after="0"/>
        <w:rPr>
          <w:rFonts w:ascii="Arial" w:hAnsi="Arial" w:cs="Arial"/>
        </w:rPr>
      </w:pPr>
      <w:r w:rsidRPr="14A9C1D5">
        <w:rPr>
          <w:rFonts w:ascii="Arial" w:hAnsi="Arial" w:cs="Arial"/>
        </w:rPr>
        <w:t>Multiple myeloma is quite common to haematology practice in this part of the world and predominantly affects elderly patients.</w:t>
      </w:r>
      <w:r w:rsidRPr="14A9C1D5">
        <w:rPr>
          <w:rFonts w:ascii="Arial" w:hAnsi="Arial" w:cs="Arial"/>
          <w:vertAlign w:val="superscript"/>
        </w:rPr>
        <w:t xml:space="preserve">5 </w:t>
      </w:r>
      <w:r w:rsidRPr="14A9C1D5">
        <w:rPr>
          <w:rFonts w:ascii="Arial" w:hAnsi="Arial" w:cs="Arial"/>
        </w:rPr>
        <w:t xml:space="preserve">It belongs in the spectrum of diseases referred to as plasma cell dyscrasias and can be defined by established criteria of biopsy-proven </w:t>
      </w:r>
      <w:r w:rsidRPr="14A9C1D5">
        <w:rPr>
          <w:rFonts w:ascii="Arial" w:hAnsi="Arial" w:cs="Arial"/>
        </w:rPr>
        <w:lastRenderedPageBreak/>
        <w:t>plasmacytoma of bone or soft tissue. Plasmacytoma could be solitary plasmacytoma of bone, SPB or extramedullary plasmacytoma, EMP; though EMPs are quite rare,</w:t>
      </w:r>
      <w:r w:rsidRPr="14A9C1D5">
        <w:rPr>
          <w:rFonts w:ascii="Arial" w:hAnsi="Arial" w:cs="Arial"/>
          <w:vertAlign w:val="superscript"/>
        </w:rPr>
        <w:t>6</w:t>
      </w:r>
      <w:r w:rsidRPr="14A9C1D5">
        <w:rPr>
          <w:rFonts w:ascii="Arial" w:hAnsi="Arial" w:cs="Arial"/>
        </w:rPr>
        <w:t xml:space="preserve"> they have been known to mimic lymphomas and it has demonstrated that they involve lymph nodes in 10 – 15% of cases.</w:t>
      </w:r>
      <w:r w:rsidRPr="14A9C1D5">
        <w:rPr>
          <w:rFonts w:ascii="Arial" w:hAnsi="Arial" w:cs="Arial"/>
          <w:vertAlign w:val="superscript"/>
        </w:rPr>
        <w:t xml:space="preserve">7 </w:t>
      </w:r>
      <w:r w:rsidRPr="14A9C1D5">
        <w:rPr>
          <w:rFonts w:ascii="Arial" w:hAnsi="Arial" w:cs="Arial"/>
        </w:rPr>
        <w:t xml:space="preserve">Other criteria for diagnosing MM include monoclonal marrow plasmacytosis of at least 60%, or monoclonal plasmacytosis of at least 10% in the presence of at least 1 of CRAB or </w:t>
      </w:r>
      <w:proofErr w:type="spellStart"/>
      <w:r w:rsidRPr="14A9C1D5">
        <w:rPr>
          <w:rFonts w:ascii="Arial" w:hAnsi="Arial" w:cs="Arial"/>
        </w:rPr>
        <w:t>SLiM</w:t>
      </w:r>
      <w:proofErr w:type="spellEnd"/>
      <w:r w:rsidRPr="14A9C1D5">
        <w:rPr>
          <w:rFonts w:ascii="Arial" w:hAnsi="Arial" w:cs="Arial"/>
        </w:rPr>
        <w:t xml:space="preserve"> parameters.</w:t>
      </w:r>
    </w:p>
    <w:p w14:paraId="45FB0818" w14:textId="00EABB8E" w:rsidR="00790ADA" w:rsidRPr="00FB3A86" w:rsidRDefault="00790ADA" w:rsidP="00441B6F">
      <w:pPr>
        <w:pStyle w:val="Body"/>
        <w:spacing w:after="0"/>
        <w:rPr>
          <w:rFonts w:ascii="Arial" w:hAnsi="Arial" w:cs="Arial"/>
        </w:rPr>
      </w:pPr>
    </w:p>
    <w:p w14:paraId="2FF81B59" w14:textId="6F83B413" w:rsidR="007F7B32" w:rsidRDefault="00902823" w:rsidP="00441B6F">
      <w:pPr>
        <w:pStyle w:val="AbstHead"/>
        <w:spacing w:after="0"/>
        <w:jc w:val="both"/>
        <w:rPr>
          <w:rFonts w:ascii="Arial" w:hAnsi="Arial" w:cs="Arial"/>
        </w:rPr>
      </w:pPr>
      <w:r w:rsidRPr="14A9C1D5">
        <w:rPr>
          <w:rFonts w:ascii="Arial" w:hAnsi="Arial" w:cs="Arial"/>
        </w:rPr>
        <w:t xml:space="preserve">2. </w:t>
      </w:r>
      <w:r w:rsidR="2F21609C" w:rsidRPr="14A9C1D5">
        <w:rPr>
          <w:rFonts w:ascii="Arial" w:hAnsi="Arial" w:cs="Arial"/>
        </w:rPr>
        <w:t>case report</w:t>
      </w:r>
    </w:p>
    <w:p w14:paraId="049F31CB" w14:textId="77777777" w:rsidR="00790ADA" w:rsidRPr="00FB3A86" w:rsidRDefault="00790ADA" w:rsidP="00441B6F">
      <w:pPr>
        <w:pStyle w:val="AbstHead"/>
        <w:spacing w:after="0"/>
        <w:jc w:val="both"/>
        <w:rPr>
          <w:rFonts w:ascii="Arial" w:hAnsi="Arial" w:cs="Arial"/>
        </w:rPr>
      </w:pPr>
    </w:p>
    <w:p w14:paraId="33542124" w14:textId="364EF450" w:rsidR="00E66E10" w:rsidRDefault="006B57D0" w:rsidP="14A9C1D5">
      <w:pPr>
        <w:pStyle w:val="Body"/>
        <w:spacing w:after="0"/>
        <w:rPr>
          <w:rFonts w:ascii="Arial" w:hAnsi="Arial" w:cs="Arial"/>
        </w:rPr>
      </w:pPr>
      <w:r w:rsidRPr="14A9C1D5">
        <w:rPr>
          <w:rFonts w:ascii="Arial" w:hAnsi="Arial" w:cs="Arial"/>
        </w:rPr>
        <w:t>[</w:t>
      </w:r>
      <w:r w:rsidR="0066510A" w:rsidRPr="14A9C1D5">
        <w:rPr>
          <w:rFonts w:ascii="Arial" w:eastAsia="Calibri" w:hAnsi="Arial" w:cs="Arial"/>
        </w:rPr>
        <w:t>(Arial, normal, 10 font, justified)</w:t>
      </w:r>
      <w:r w:rsidR="0066510A" w:rsidRPr="14A9C1D5">
        <w:rPr>
          <w:rFonts w:ascii="Arial" w:hAnsi="Arial" w:cs="Arial"/>
        </w:rPr>
        <w:t xml:space="preserve"> </w:t>
      </w:r>
      <w:r w:rsidR="65EC58AA" w:rsidRPr="14A9C1D5">
        <w:rPr>
          <w:rFonts w:ascii="Arial" w:hAnsi="Arial" w:cs="Arial"/>
        </w:rPr>
        <w:t xml:space="preserve">Our patient is a 72 years old retired civil servant who presented to the dental centre of our facility on account of left jaw swelling of 6 months duration; there was also history of episodes of body weakness which necessitated blood transfusions in peripheral facilities, and waist pains. Patient first noticed pain in a tooth in the lower jaw, however, pain resolved followed by swelling, increasing in size in a few months. Histological examination of sections of the mass by the oral pathologists showed proliferating typical lymphocytes arranged in sheets, with sparse intervening fibrous connective tissue; tumour cells were pleomorphic and showed hyperchromic nuclei, increased nucleo-cytoplasmic ratio and frequent mitotic figures. A diagnosis of diffuse non-Hodgkin lymphoma (NHL) was </w:t>
      </w:r>
      <w:r w:rsidR="0DD3EA57" w:rsidRPr="14A9C1D5">
        <w:rPr>
          <w:rFonts w:ascii="Arial" w:hAnsi="Arial" w:cs="Arial"/>
        </w:rPr>
        <w:t>made,</w:t>
      </w:r>
      <w:r w:rsidR="65EC58AA" w:rsidRPr="14A9C1D5">
        <w:rPr>
          <w:rFonts w:ascii="Arial" w:hAnsi="Arial" w:cs="Arial"/>
        </w:rPr>
        <w:t xml:space="preserve"> and the </w:t>
      </w:r>
      <w:proofErr w:type="spellStart"/>
      <w:r w:rsidR="65EC58AA" w:rsidRPr="14A9C1D5">
        <w:rPr>
          <w:rFonts w:ascii="Arial" w:hAnsi="Arial" w:cs="Arial"/>
        </w:rPr>
        <w:t>haematologists</w:t>
      </w:r>
      <w:proofErr w:type="spellEnd"/>
      <w:r w:rsidR="65EC58AA" w:rsidRPr="14A9C1D5">
        <w:rPr>
          <w:rFonts w:ascii="Arial" w:hAnsi="Arial" w:cs="Arial"/>
        </w:rPr>
        <w:t xml:space="preserve"> were invited. On examination, he was an elderly man who was not in distress, afebrile, not pale, had no palpable peripheral lymphadenopathy, and no pedal oedema; patient however had a firm to soft, nontender, left jaw mass, measuring 10cm x 16cm x 16cm in the widest diameters, with the superior border provided by the lower lips and an imaginary line extending from the angle of the mouth to the lobe of the ear, and the inferior border made by the mass as it extends below the lower edge of the mandible. He was to commence chemotherapy with CHOP pending the result of requested immunohistochemistry to confirm NHL; however, he was unable to provide chemotherapy at this </w:t>
      </w:r>
      <w:r w:rsidR="35590FC8" w:rsidRPr="14A9C1D5">
        <w:rPr>
          <w:rFonts w:ascii="Arial" w:hAnsi="Arial" w:cs="Arial"/>
        </w:rPr>
        <w:t>time and</w:t>
      </w:r>
      <w:r w:rsidR="65EC58AA" w:rsidRPr="14A9C1D5">
        <w:rPr>
          <w:rFonts w:ascii="Arial" w:hAnsi="Arial" w:cs="Arial"/>
        </w:rPr>
        <w:t xml:space="preserve"> also could not have IHC</w:t>
      </w:r>
      <w:r w:rsidR="7EA6B916" w:rsidRPr="14A9C1D5">
        <w:rPr>
          <w:rFonts w:ascii="Arial" w:hAnsi="Arial" w:cs="Arial"/>
        </w:rPr>
        <w:t xml:space="preserve"> done</w:t>
      </w:r>
      <w:r w:rsidR="65EC58AA" w:rsidRPr="14A9C1D5">
        <w:rPr>
          <w:rFonts w:ascii="Arial" w:hAnsi="Arial" w:cs="Arial"/>
        </w:rPr>
        <w:t>. Ten days later, he presented with weakness and waist pains, and had urgent full blood count (FBC) which showed Hb of 6.8g/dL; other parameters were within range but platelet count was 96 x 10</w:t>
      </w:r>
      <w:r w:rsidR="65EC58AA" w:rsidRPr="14A9C1D5">
        <w:rPr>
          <w:rFonts w:ascii="Arial" w:hAnsi="Arial" w:cs="Arial"/>
          <w:vertAlign w:val="superscript"/>
        </w:rPr>
        <w:t>9</w:t>
      </w:r>
      <w:r w:rsidR="65EC58AA" w:rsidRPr="14A9C1D5">
        <w:rPr>
          <w:rFonts w:ascii="Arial" w:hAnsi="Arial" w:cs="Arial"/>
        </w:rPr>
        <w:t>/L. Peripheral blood film (PBF) findings were significant for microcytic and hypochromic cells which were markedly sparsely distributed. Plan was to optimize the Hb to ≥ 10g/dL and to commence chemotherapy, but patient declined admission, only to represent four days after with complaints of episodes of bleeding per mouth and history of having received 3 units of blood transfusion in a peripheral facility. Urgent FBC done showed Hb of 10.5g/dL and platelets of 27 x 10</w:t>
      </w:r>
      <w:r w:rsidR="65EC58AA" w:rsidRPr="14A9C1D5">
        <w:rPr>
          <w:rFonts w:ascii="Arial" w:hAnsi="Arial" w:cs="Arial"/>
          <w:vertAlign w:val="superscript"/>
        </w:rPr>
        <w:t>9</w:t>
      </w:r>
      <w:r w:rsidR="65EC58AA" w:rsidRPr="14A9C1D5">
        <w:rPr>
          <w:rFonts w:ascii="Arial" w:hAnsi="Arial" w:cs="Arial"/>
        </w:rPr>
        <w:t>/L; kidney function test, liver function test plus lactate dehydrogenase measurement were within normal limits; patient was admitted and transfused on two separate days with platelet-rich plasma extracted from 3 donors. He also had a bone marrow aspiration done which showed plasmacytosis making &gt; 90% of marrow nucleated cells, binucleated plasma cells, and mott cells as shown in the figures below.</w:t>
      </w:r>
    </w:p>
    <w:p w14:paraId="14BC1D62" w14:textId="460C254A" w:rsidR="00E66E10" w:rsidRDefault="65EC58AA" w:rsidP="14A9C1D5">
      <w:pPr>
        <w:pStyle w:val="Body"/>
        <w:spacing w:after="0"/>
        <w:rPr>
          <w:rFonts w:ascii="Arial" w:hAnsi="Arial" w:cs="Arial"/>
        </w:rPr>
      </w:pPr>
      <w:r>
        <w:rPr>
          <w:noProof/>
        </w:rPr>
        <w:drawing>
          <wp:inline distT="0" distB="0" distL="0" distR="0" wp14:anchorId="48528281" wp14:editId="74847E70">
            <wp:extent cx="2371725" cy="1781175"/>
            <wp:effectExtent l="0" t="0" r="0" b="0"/>
            <wp:docPr id="155009092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90928" name=""/>
                    <pic:cNvPicPr/>
                  </pic:nvPicPr>
                  <pic:blipFill>
                    <a:blip r:embed="rId14">
                      <a:extLst>
                        <a:ext uri="{28A0092B-C50C-407E-A947-70E740481C1C}">
                          <a14:useLocalDpi xmlns:a14="http://schemas.microsoft.com/office/drawing/2010/main" val="0"/>
                        </a:ext>
                      </a:extLst>
                    </a:blip>
                    <a:stretch>
                      <a:fillRect/>
                    </a:stretch>
                  </pic:blipFill>
                  <pic:spPr>
                    <a:xfrm>
                      <a:off x="0" y="0"/>
                      <a:ext cx="2371725" cy="1781175"/>
                    </a:xfrm>
                    <a:prstGeom prst="rect">
                      <a:avLst/>
                    </a:prstGeom>
                  </pic:spPr>
                </pic:pic>
              </a:graphicData>
            </a:graphic>
          </wp:inline>
        </w:drawing>
      </w:r>
    </w:p>
    <w:p w14:paraId="3826F76D" w14:textId="26FDDE6C" w:rsidR="00E66E10" w:rsidRDefault="65EC58AA" w:rsidP="14A9C1D5">
      <w:pPr>
        <w:pStyle w:val="Body"/>
        <w:spacing w:after="0"/>
        <w:rPr>
          <w:rFonts w:ascii="Arial" w:hAnsi="Arial" w:cs="Arial"/>
        </w:rPr>
      </w:pPr>
      <w:r w:rsidRPr="14A9C1D5">
        <w:rPr>
          <w:rFonts w:ascii="Arial" w:hAnsi="Arial" w:cs="Arial"/>
        </w:rPr>
        <w:t>Figure 1: Wright/Giemsa-stained marrow BMA slide of patient on oil immersion showing numerous plasma cells making &gt;90% marrow nucleated elements</w:t>
      </w:r>
    </w:p>
    <w:p w14:paraId="0B6F41AB" w14:textId="38BD04D6" w:rsidR="00E66E10" w:rsidRDefault="65EC58AA" w:rsidP="14A9C1D5">
      <w:pPr>
        <w:pStyle w:val="Body"/>
        <w:spacing w:after="0"/>
        <w:rPr>
          <w:rFonts w:ascii="Arial" w:hAnsi="Arial" w:cs="Arial"/>
        </w:rPr>
      </w:pPr>
      <w:r>
        <w:rPr>
          <w:noProof/>
        </w:rPr>
        <w:lastRenderedPageBreak/>
        <w:drawing>
          <wp:inline distT="0" distB="0" distL="0" distR="0" wp14:anchorId="40D6E67E" wp14:editId="5490EDCF">
            <wp:extent cx="2409825" cy="1809750"/>
            <wp:effectExtent l="0" t="0" r="0" b="0"/>
            <wp:docPr id="204446080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60805" name=""/>
                    <pic:cNvPicPr/>
                  </pic:nvPicPr>
                  <pic:blipFill>
                    <a:blip r:embed="rId15">
                      <a:extLst>
                        <a:ext uri="{28A0092B-C50C-407E-A947-70E740481C1C}">
                          <a14:useLocalDpi xmlns:a14="http://schemas.microsoft.com/office/drawing/2010/main" val="0"/>
                        </a:ext>
                      </a:extLst>
                    </a:blip>
                    <a:stretch>
                      <a:fillRect/>
                    </a:stretch>
                  </pic:blipFill>
                  <pic:spPr>
                    <a:xfrm>
                      <a:off x="0" y="0"/>
                      <a:ext cx="2409825" cy="1809750"/>
                    </a:xfrm>
                    <a:prstGeom prst="rect">
                      <a:avLst/>
                    </a:prstGeom>
                  </pic:spPr>
                </pic:pic>
              </a:graphicData>
            </a:graphic>
          </wp:inline>
        </w:drawing>
      </w:r>
    </w:p>
    <w:p w14:paraId="605D1B30" w14:textId="2B2D140D" w:rsidR="00E66E10" w:rsidRDefault="65EC58AA" w:rsidP="14A9C1D5">
      <w:pPr>
        <w:pStyle w:val="Body"/>
        <w:spacing w:after="0"/>
        <w:rPr>
          <w:rFonts w:ascii="Arial" w:hAnsi="Arial" w:cs="Arial"/>
        </w:rPr>
      </w:pPr>
      <w:r w:rsidRPr="14A9C1D5">
        <w:rPr>
          <w:rFonts w:ascii="Arial" w:hAnsi="Arial" w:cs="Arial"/>
        </w:rPr>
        <w:t>Figure 2: Wright/Giemsa-stained BMA slide of patient on oil immersion showing a binucleated and other plasma cell</w:t>
      </w:r>
    </w:p>
    <w:p w14:paraId="5B71207F" w14:textId="1A34BDA3" w:rsidR="00E66E10" w:rsidRDefault="65EC58AA" w:rsidP="14A9C1D5">
      <w:pPr>
        <w:pStyle w:val="Body"/>
        <w:spacing w:after="0"/>
        <w:rPr>
          <w:rFonts w:ascii="Arial" w:hAnsi="Arial" w:cs="Arial"/>
        </w:rPr>
      </w:pPr>
      <w:r>
        <w:rPr>
          <w:noProof/>
        </w:rPr>
        <w:drawing>
          <wp:inline distT="0" distB="0" distL="0" distR="0" wp14:anchorId="2F599CDC" wp14:editId="36E291F4">
            <wp:extent cx="2428875" cy="1819275"/>
            <wp:effectExtent l="0" t="0" r="0" b="0"/>
            <wp:docPr id="148113898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138986" name=""/>
                    <pic:cNvPicPr/>
                  </pic:nvPicPr>
                  <pic:blipFill>
                    <a:blip r:embed="rId16">
                      <a:extLst>
                        <a:ext uri="{28A0092B-C50C-407E-A947-70E740481C1C}">
                          <a14:useLocalDpi xmlns:a14="http://schemas.microsoft.com/office/drawing/2010/main" val="0"/>
                        </a:ext>
                      </a:extLst>
                    </a:blip>
                    <a:stretch>
                      <a:fillRect/>
                    </a:stretch>
                  </pic:blipFill>
                  <pic:spPr>
                    <a:xfrm>
                      <a:off x="0" y="0"/>
                      <a:ext cx="2428875" cy="1819275"/>
                    </a:xfrm>
                    <a:prstGeom prst="rect">
                      <a:avLst/>
                    </a:prstGeom>
                  </pic:spPr>
                </pic:pic>
              </a:graphicData>
            </a:graphic>
          </wp:inline>
        </w:drawing>
      </w:r>
    </w:p>
    <w:p w14:paraId="38F7971B" w14:textId="6D6F0B87" w:rsidR="00E66E10" w:rsidRDefault="65EC58AA" w:rsidP="14A9C1D5">
      <w:pPr>
        <w:pStyle w:val="Body"/>
        <w:spacing w:after="0"/>
        <w:rPr>
          <w:rFonts w:ascii="Arial" w:hAnsi="Arial" w:cs="Arial"/>
        </w:rPr>
      </w:pPr>
      <w:r w:rsidRPr="14A9C1D5">
        <w:rPr>
          <w:rFonts w:ascii="Arial" w:hAnsi="Arial" w:cs="Arial"/>
        </w:rPr>
        <w:t>Figure 3: Wright/Giemsa-stained BMA slide of patient on oil immersion showing a Mott cell at the 3 o’clock position.</w:t>
      </w:r>
    </w:p>
    <w:p w14:paraId="6AA2CFFE" w14:textId="5E2DF06D" w:rsidR="00E66E10" w:rsidRDefault="65EC58AA" w:rsidP="14A9C1D5">
      <w:pPr>
        <w:pStyle w:val="Body"/>
        <w:spacing w:after="0"/>
        <w:rPr>
          <w:rFonts w:ascii="Arial" w:hAnsi="Arial" w:cs="Arial"/>
        </w:rPr>
      </w:pPr>
      <w:r w:rsidRPr="14A9C1D5">
        <w:rPr>
          <w:rFonts w:ascii="Arial" w:hAnsi="Arial" w:cs="Arial"/>
        </w:rPr>
        <w:t xml:space="preserve">Baseline </w:t>
      </w:r>
      <w:r w:rsidR="006469CD">
        <w:rPr>
          <w:rFonts w:ascii="Arial" w:hAnsi="Arial" w:cs="Arial"/>
        </w:rPr>
        <w:t xml:space="preserve">free light chains, </w:t>
      </w:r>
      <w:r w:rsidRPr="14A9C1D5">
        <w:rPr>
          <w:rFonts w:ascii="Arial" w:hAnsi="Arial" w:cs="Arial"/>
        </w:rPr>
        <w:t xml:space="preserve">FLC showed elevated kappa (κ) light chains at 2800mg/L, </w:t>
      </w:r>
      <w:r w:rsidR="001813B9">
        <w:rPr>
          <w:rFonts w:ascii="Arial" w:hAnsi="Arial" w:cs="Arial"/>
        </w:rPr>
        <w:t xml:space="preserve">and </w:t>
      </w:r>
      <w:r w:rsidRPr="14A9C1D5">
        <w:rPr>
          <w:rFonts w:ascii="Arial" w:hAnsi="Arial" w:cs="Arial"/>
        </w:rPr>
        <w:t xml:space="preserve">lambda (λ) chains of 73.2mg/L, with κ/λ </w:t>
      </w:r>
      <w:r w:rsidR="001813B9">
        <w:rPr>
          <w:rFonts w:ascii="Arial" w:hAnsi="Arial" w:cs="Arial"/>
        </w:rPr>
        <w:t xml:space="preserve">ratio </w:t>
      </w:r>
      <w:r w:rsidRPr="14A9C1D5">
        <w:rPr>
          <w:rFonts w:ascii="Arial" w:hAnsi="Arial" w:cs="Arial"/>
        </w:rPr>
        <w:t>of 38.36</w:t>
      </w:r>
      <w:r w:rsidR="00237E9C">
        <w:rPr>
          <w:rFonts w:ascii="Arial" w:hAnsi="Arial" w:cs="Arial"/>
        </w:rPr>
        <w:t xml:space="preserve">. serum protein electrophoresis, </w:t>
      </w:r>
      <w:r w:rsidRPr="14A9C1D5">
        <w:rPr>
          <w:rFonts w:ascii="Arial" w:hAnsi="Arial" w:cs="Arial"/>
        </w:rPr>
        <w:t xml:space="preserve">SPE showed components within normal range but an M-protein at 32.4g/dL. Total protein was elevated at 95g/l and albumin was reduced at 28g/L. IHC on the jaw mass tissue for CD138 and CD38 was requested but the patient was also unable to have it done. ECG done showed sinus rhythm, and he was seronegative to HCV, HIV 1&amp;2, HBsAg, and VDRL. He commenced chemotherapy with VRD (Velcade at 2mg on days 1, 8, 15, 22; Revlimid at 25mg on days 1 – 21, Dexamethasone at 40mg on days 1 – 4) 6 days later due to inability to provide the meds earlier, along with tabs allopurinol 300mg daily, tabs Elthrombopag 50mg daily, and tabs Dabigatran 110mg daily. The clinical course of his disease was dotted with numerous episodes of thrombocytopaenia, anaemia, and </w:t>
      </w:r>
      <w:proofErr w:type="spellStart"/>
      <w:r w:rsidRPr="14A9C1D5">
        <w:rPr>
          <w:rFonts w:ascii="Arial" w:hAnsi="Arial" w:cs="Arial"/>
        </w:rPr>
        <w:t>neutropaenia</w:t>
      </w:r>
      <w:proofErr w:type="spellEnd"/>
      <w:r w:rsidRPr="14A9C1D5">
        <w:rPr>
          <w:rFonts w:ascii="Arial" w:hAnsi="Arial" w:cs="Arial"/>
        </w:rPr>
        <w:t xml:space="preserve"> which were treated at different times with fresh whole blood (FWB) transfusions, platelet-rich plasma (PRP), and </w:t>
      </w:r>
      <w:proofErr w:type="spellStart"/>
      <w:r w:rsidRPr="14A9C1D5">
        <w:rPr>
          <w:rFonts w:ascii="Arial" w:hAnsi="Arial" w:cs="Arial"/>
        </w:rPr>
        <w:t>neupogen</w:t>
      </w:r>
      <w:proofErr w:type="spellEnd"/>
      <w:r w:rsidRPr="14A9C1D5">
        <w:rPr>
          <w:rFonts w:ascii="Arial" w:hAnsi="Arial" w:cs="Arial"/>
        </w:rPr>
        <w:t xml:space="preserve"> 300mcg daily; he also had intermittent doses of subcutaneous Dabopoietin 65mcg together with iron sucrose 200mg in 250mls of normal saline. He defaulted severally on his chemotherapy and other medications because of financial difficulties; at the time of this report, 2 years since the diagnosis of MM, he has only been able to complete 10 cycles of VRD but with a lot of missed doses of Velcade and Revlimid. Serial FLC in th</w:t>
      </w:r>
      <w:r w:rsidR="00BD65A3">
        <w:rPr>
          <w:rFonts w:ascii="Arial" w:hAnsi="Arial" w:cs="Arial"/>
        </w:rPr>
        <w:t>e course of treatment</w:t>
      </w:r>
      <w:r w:rsidRPr="14A9C1D5">
        <w:rPr>
          <w:rFonts w:ascii="Arial" w:hAnsi="Arial" w:cs="Arial"/>
        </w:rPr>
        <w:t xml:space="preserve"> </w:t>
      </w:r>
      <w:r w:rsidR="00BD65A3">
        <w:rPr>
          <w:rFonts w:ascii="Arial" w:hAnsi="Arial" w:cs="Arial"/>
        </w:rPr>
        <w:t>showed</w:t>
      </w:r>
      <w:r w:rsidRPr="14A9C1D5">
        <w:rPr>
          <w:rFonts w:ascii="Arial" w:hAnsi="Arial" w:cs="Arial"/>
        </w:rPr>
        <w:t xml:space="preserve"> </w:t>
      </w:r>
      <w:r w:rsidR="00BD65A3">
        <w:rPr>
          <w:rFonts w:ascii="Arial" w:hAnsi="Arial" w:cs="Arial"/>
        </w:rPr>
        <w:t>improvement, with</w:t>
      </w:r>
      <w:r w:rsidR="39F049F1" w:rsidRPr="14A9C1D5">
        <w:rPr>
          <w:rFonts w:ascii="Arial" w:hAnsi="Arial" w:cs="Arial"/>
        </w:rPr>
        <w:t xml:space="preserve"> κ/λ</w:t>
      </w:r>
      <w:r w:rsidR="00700B29">
        <w:rPr>
          <w:rFonts w:ascii="Arial" w:hAnsi="Arial" w:cs="Arial"/>
        </w:rPr>
        <w:t xml:space="preserve"> dropping to </w:t>
      </w:r>
      <w:r w:rsidRPr="14A9C1D5">
        <w:rPr>
          <w:rFonts w:ascii="Arial" w:hAnsi="Arial" w:cs="Arial"/>
        </w:rPr>
        <w:t>4.2</w:t>
      </w:r>
      <w:r w:rsidR="00700B29">
        <w:rPr>
          <w:rFonts w:ascii="Arial" w:hAnsi="Arial" w:cs="Arial"/>
        </w:rPr>
        <w:t>8 and</w:t>
      </w:r>
      <w:r w:rsidR="001F2745">
        <w:rPr>
          <w:rFonts w:ascii="Arial" w:hAnsi="Arial" w:cs="Arial"/>
        </w:rPr>
        <w:t xml:space="preserve"> </w:t>
      </w:r>
      <w:r w:rsidRPr="14A9C1D5">
        <w:rPr>
          <w:rFonts w:ascii="Arial" w:hAnsi="Arial" w:cs="Arial"/>
        </w:rPr>
        <w:t xml:space="preserve">1.9, </w:t>
      </w:r>
      <w:r w:rsidR="001F2745">
        <w:rPr>
          <w:rFonts w:ascii="Arial" w:hAnsi="Arial" w:cs="Arial"/>
        </w:rPr>
        <w:t xml:space="preserve">but latest measured </w:t>
      </w:r>
      <w:r w:rsidR="00B25A1E">
        <w:rPr>
          <w:rFonts w:ascii="Arial" w:hAnsi="Arial" w:cs="Arial"/>
        </w:rPr>
        <w:t>was</w:t>
      </w:r>
      <w:r w:rsidRPr="14A9C1D5">
        <w:rPr>
          <w:rFonts w:ascii="Arial" w:hAnsi="Arial" w:cs="Arial"/>
        </w:rPr>
        <w:t xml:space="preserve"> 3.3</w:t>
      </w:r>
      <w:r w:rsidR="001F2745">
        <w:rPr>
          <w:rFonts w:ascii="Arial" w:hAnsi="Arial" w:cs="Arial"/>
        </w:rPr>
        <w:t>;</w:t>
      </w:r>
      <w:r w:rsidRPr="14A9C1D5">
        <w:rPr>
          <w:rFonts w:ascii="Arial" w:hAnsi="Arial" w:cs="Arial"/>
        </w:rPr>
        <w:t xml:space="preserve"> the jaw mass </w:t>
      </w:r>
      <w:r w:rsidR="00B25A1E">
        <w:rPr>
          <w:rFonts w:ascii="Arial" w:hAnsi="Arial" w:cs="Arial"/>
        </w:rPr>
        <w:t>al</w:t>
      </w:r>
      <w:r w:rsidRPr="14A9C1D5">
        <w:rPr>
          <w:rFonts w:ascii="Arial" w:hAnsi="Arial" w:cs="Arial"/>
        </w:rPr>
        <w:t>s</w:t>
      </w:r>
      <w:r w:rsidR="00B25A1E">
        <w:rPr>
          <w:rFonts w:ascii="Arial" w:hAnsi="Arial" w:cs="Arial"/>
        </w:rPr>
        <w:t>o</w:t>
      </w:r>
      <w:r w:rsidRPr="14A9C1D5">
        <w:rPr>
          <w:rFonts w:ascii="Arial" w:hAnsi="Arial" w:cs="Arial"/>
        </w:rPr>
        <w:t xml:space="preserve"> reduced in size to 7cm x 5cm in the widest diameters.</w:t>
      </w:r>
    </w:p>
    <w:p w14:paraId="3461D779" w14:textId="77777777" w:rsidR="00790ADA" w:rsidRPr="00FB3A86" w:rsidRDefault="00790ADA" w:rsidP="00441B6F">
      <w:pPr>
        <w:pStyle w:val="Body"/>
        <w:spacing w:after="0"/>
        <w:rPr>
          <w:rFonts w:ascii="Arial" w:hAnsi="Arial" w:cs="Arial"/>
        </w:rPr>
      </w:pPr>
    </w:p>
    <w:p w14:paraId="1FC39945" w14:textId="77777777" w:rsidR="00790ADA" w:rsidRPr="00FB3A86" w:rsidRDefault="00790ADA" w:rsidP="00441B6F">
      <w:pPr>
        <w:pStyle w:val="Body"/>
        <w:spacing w:after="0"/>
        <w:rPr>
          <w:rFonts w:ascii="Arial" w:hAnsi="Arial" w:cs="Arial"/>
        </w:rPr>
      </w:pPr>
    </w:p>
    <w:p w14:paraId="5B682AD6" w14:textId="78D6A706" w:rsidR="00902823" w:rsidRDefault="00000F8F" w:rsidP="00441B6F">
      <w:pPr>
        <w:pStyle w:val="Head1"/>
        <w:spacing w:after="0"/>
        <w:jc w:val="both"/>
        <w:rPr>
          <w:rFonts w:ascii="Arial" w:hAnsi="Arial" w:cs="Arial"/>
        </w:rPr>
      </w:pPr>
      <w:r w:rsidRPr="14A9C1D5">
        <w:rPr>
          <w:rFonts w:ascii="Arial" w:hAnsi="Arial" w:cs="Arial"/>
        </w:rPr>
        <w:lastRenderedPageBreak/>
        <w:t>3</w:t>
      </w:r>
      <w:r w:rsidR="00902823" w:rsidRPr="14A9C1D5">
        <w:rPr>
          <w:rFonts w:ascii="Arial" w:hAnsi="Arial" w:cs="Arial"/>
        </w:rPr>
        <w:t>.</w:t>
      </w:r>
      <w:r w:rsidRPr="14A9C1D5">
        <w:rPr>
          <w:rFonts w:ascii="Arial" w:hAnsi="Arial" w:cs="Arial"/>
        </w:rPr>
        <w:t xml:space="preserve"> discussion</w:t>
      </w:r>
    </w:p>
    <w:p w14:paraId="0562CB0E" w14:textId="77777777" w:rsidR="00790ADA" w:rsidRPr="00FB3A86" w:rsidRDefault="00790ADA" w:rsidP="00441B6F">
      <w:pPr>
        <w:pStyle w:val="Head1"/>
        <w:spacing w:after="0"/>
        <w:jc w:val="both"/>
        <w:rPr>
          <w:rFonts w:ascii="Arial" w:hAnsi="Arial" w:cs="Arial"/>
        </w:rPr>
      </w:pPr>
    </w:p>
    <w:p w14:paraId="647D162F" w14:textId="36C7518A" w:rsidR="00790ADA" w:rsidRPr="00FB3A86" w:rsidRDefault="00502516" w:rsidP="14A9C1D5">
      <w:pPr>
        <w:pStyle w:val="Body"/>
        <w:spacing w:after="0"/>
        <w:rPr>
          <w:rFonts w:ascii="Arial" w:hAnsi="Arial" w:cs="Arial"/>
        </w:rPr>
      </w:pPr>
      <w:r w:rsidRPr="14A9C1D5">
        <w:rPr>
          <w:rFonts w:ascii="Arial" w:hAnsi="Arial" w:cs="Arial"/>
        </w:rPr>
        <w:t>[</w:t>
      </w:r>
      <w:r w:rsidR="00B95236" w:rsidRPr="14A9C1D5">
        <w:rPr>
          <w:rFonts w:ascii="Arial" w:hAnsi="Arial" w:cs="Arial"/>
        </w:rPr>
        <w:t>(D</w:t>
      </w:r>
      <w:r w:rsidR="72B57466" w:rsidRPr="14A9C1D5">
        <w:rPr>
          <w:rFonts w:ascii="Arial" w:hAnsi="Arial" w:cs="Arial"/>
        </w:rPr>
        <w:t xml:space="preserve"> Most cases of MM occur in patients who are elderly, with the bulk of these patients being above 65 years of age at time of diagnosis.</w:t>
      </w:r>
      <w:r w:rsidR="72B57466" w:rsidRPr="14A9C1D5">
        <w:rPr>
          <w:rFonts w:ascii="Arial" w:hAnsi="Arial" w:cs="Arial"/>
          <w:vertAlign w:val="superscript"/>
        </w:rPr>
        <w:t xml:space="preserve">8 </w:t>
      </w:r>
      <w:r w:rsidR="72B57466" w:rsidRPr="14A9C1D5">
        <w:rPr>
          <w:rFonts w:ascii="Arial" w:hAnsi="Arial" w:cs="Arial"/>
        </w:rPr>
        <w:t>Patients with NHL also fall within this age range. Our patient was 72 at the time of diagnosis, and is the age for most of MM diagnoses. He was referred from anther dental clinic with history of left jaw mass, and also history of waist pains and recurrent blood transfusions for episodes of weakness. Anaemia and osteolytic bone disease are the most common presenting features of MM</w:t>
      </w:r>
      <w:r w:rsidR="72B57466" w:rsidRPr="14A9C1D5">
        <w:rPr>
          <w:rFonts w:ascii="Arial" w:hAnsi="Arial" w:cs="Arial"/>
          <w:vertAlign w:val="superscript"/>
        </w:rPr>
        <w:t>9</w:t>
      </w:r>
      <w:r w:rsidR="72B57466" w:rsidRPr="14A9C1D5">
        <w:rPr>
          <w:rFonts w:ascii="Arial" w:hAnsi="Arial" w:cs="Arial"/>
        </w:rPr>
        <w:t xml:space="preserve"> and though the history was not stated, it is likely that index patient had these episodes of weakness and pains in the lumbar region even before the onset of the jaw swelling. Although not quite common but EMP has been documented to be a presenting manifestation of MM in a sizable number of patients, with the incidence differing based on whether a PET/CT scan was done or not.</w:t>
      </w:r>
      <w:r w:rsidR="72B57466" w:rsidRPr="14A9C1D5">
        <w:rPr>
          <w:rFonts w:ascii="Arial" w:hAnsi="Arial" w:cs="Arial"/>
          <w:vertAlign w:val="superscript"/>
        </w:rPr>
        <w:t>10, 11</w:t>
      </w:r>
      <w:r w:rsidR="72B57466" w:rsidRPr="14A9C1D5">
        <w:rPr>
          <w:rFonts w:ascii="Arial" w:hAnsi="Arial" w:cs="Arial"/>
        </w:rPr>
        <w:t xml:space="preserve"> Because as many as 15% of cases of EMPs involve the lymph nodes,</w:t>
      </w:r>
      <w:r w:rsidR="72B57466" w:rsidRPr="14A9C1D5">
        <w:rPr>
          <w:rFonts w:ascii="Arial" w:hAnsi="Arial" w:cs="Arial"/>
          <w:vertAlign w:val="superscript"/>
        </w:rPr>
        <w:t>7</w:t>
      </w:r>
      <w:r w:rsidR="72B57466" w:rsidRPr="14A9C1D5">
        <w:rPr>
          <w:rFonts w:ascii="Arial" w:hAnsi="Arial" w:cs="Arial"/>
        </w:rPr>
        <w:t xml:space="preserve"> especially in the head, neck, face regions of the body,</w:t>
      </w:r>
      <w:r w:rsidR="72B57466" w:rsidRPr="14A9C1D5">
        <w:rPr>
          <w:rFonts w:ascii="Arial" w:hAnsi="Arial" w:cs="Arial"/>
          <w:vertAlign w:val="superscript"/>
        </w:rPr>
        <w:t>12</w:t>
      </w:r>
      <w:r w:rsidR="72B57466" w:rsidRPr="14A9C1D5">
        <w:rPr>
          <w:rFonts w:ascii="Arial" w:hAnsi="Arial" w:cs="Arial"/>
        </w:rPr>
        <w:t xml:space="preserve"> which is the part of the body the swelling was located in index case, there is high likelihood that the mass is an EMP; however, because IHC for CD138 and CD38 has not been done at the time of documentation, we can never be sure. </w:t>
      </w:r>
    </w:p>
    <w:p w14:paraId="386FE36C" w14:textId="01901D4C" w:rsidR="00790ADA" w:rsidRPr="00FB3A86" w:rsidRDefault="72B57466" w:rsidP="14A9C1D5">
      <w:pPr>
        <w:pStyle w:val="Body"/>
        <w:spacing w:after="0"/>
        <w:rPr>
          <w:rFonts w:ascii="Arial" w:hAnsi="Arial" w:cs="Arial"/>
        </w:rPr>
      </w:pPr>
      <w:r w:rsidRPr="14A9C1D5">
        <w:rPr>
          <w:rFonts w:ascii="Arial" w:hAnsi="Arial" w:cs="Arial"/>
        </w:rPr>
        <w:t>Lymphomas in the face, head and neck regions of the body are more common in males, and show highest incidence at over 65 years of age,</w:t>
      </w:r>
      <w:r w:rsidRPr="14A9C1D5">
        <w:rPr>
          <w:rFonts w:ascii="Arial" w:hAnsi="Arial" w:cs="Arial"/>
          <w:vertAlign w:val="superscript"/>
        </w:rPr>
        <w:t>13</w:t>
      </w:r>
      <w:r w:rsidRPr="14A9C1D5">
        <w:rPr>
          <w:rFonts w:ascii="Arial" w:hAnsi="Arial" w:cs="Arial"/>
        </w:rPr>
        <w:t xml:space="preserve"> as it is in this case. NHL makes about 5% of all tumours in the head and neck region;</w:t>
      </w:r>
      <w:r w:rsidRPr="14A9C1D5">
        <w:rPr>
          <w:rFonts w:ascii="Arial" w:hAnsi="Arial" w:cs="Arial"/>
          <w:vertAlign w:val="superscript"/>
        </w:rPr>
        <w:t>14</w:t>
      </w:r>
      <w:r w:rsidRPr="14A9C1D5">
        <w:rPr>
          <w:rFonts w:ascii="Arial" w:hAnsi="Arial" w:cs="Arial"/>
        </w:rPr>
        <w:t xml:space="preserve"> the rapid increase in size, as well as the absence of involvement of any groups of lymph nodes, also support this likelihood, as extranodal NHL makes about 25% of NHL.</w:t>
      </w:r>
      <w:r w:rsidRPr="14A9C1D5">
        <w:rPr>
          <w:rFonts w:ascii="Arial" w:hAnsi="Arial" w:cs="Arial"/>
          <w:vertAlign w:val="superscript"/>
        </w:rPr>
        <w:t>14</w:t>
      </w:r>
      <w:r w:rsidR="003308B0">
        <w:rPr>
          <w:rFonts w:ascii="Arial" w:hAnsi="Arial" w:cs="Arial"/>
          <w:vertAlign w:val="superscript"/>
        </w:rPr>
        <w:t>, 15</w:t>
      </w:r>
      <w:r w:rsidRPr="14A9C1D5">
        <w:rPr>
          <w:rFonts w:ascii="Arial" w:hAnsi="Arial" w:cs="Arial"/>
        </w:rPr>
        <w:t xml:space="preserve"> However, patient’s recurrent anaemia is highly unlikely in an individual with isolated extranodal NHL. Some mechanisms by which lymphomas cause anaemia are immune destruction of RBCs, infiltration of the bone marrow in advanced disease, and increase release of inflammatory mediators which cause disturbances in erythropoiesis.</w:t>
      </w:r>
      <w:r w:rsidRPr="14A9C1D5">
        <w:rPr>
          <w:rFonts w:ascii="Arial" w:hAnsi="Arial" w:cs="Arial"/>
          <w:vertAlign w:val="superscript"/>
        </w:rPr>
        <w:t>1</w:t>
      </w:r>
      <w:r w:rsidR="003308B0">
        <w:rPr>
          <w:rFonts w:ascii="Arial" w:hAnsi="Arial" w:cs="Arial"/>
          <w:vertAlign w:val="superscript"/>
        </w:rPr>
        <w:t>6</w:t>
      </w:r>
      <w:r w:rsidRPr="14A9C1D5">
        <w:rPr>
          <w:rFonts w:ascii="Arial" w:hAnsi="Arial" w:cs="Arial"/>
        </w:rPr>
        <w:t xml:space="preserve"> In this case in which PBF did not show microspherocytes or schistocytes, </w:t>
      </w:r>
      <w:proofErr w:type="spellStart"/>
      <w:r w:rsidRPr="14A9C1D5">
        <w:rPr>
          <w:rFonts w:ascii="Arial" w:hAnsi="Arial" w:cs="Arial"/>
        </w:rPr>
        <w:t>LDH</w:t>
      </w:r>
      <w:proofErr w:type="spellEnd"/>
      <w:r w:rsidRPr="14A9C1D5">
        <w:rPr>
          <w:rFonts w:ascii="Arial" w:hAnsi="Arial" w:cs="Arial"/>
        </w:rPr>
        <w:t xml:space="preserve"> which was within normal range, as well as the absence of splenomegaly or hepatomegaly, an immune-component to the anaemia is unlikely; we did not request a direct antiglobulin test as patient has been multiply transfused. Marrow infiltration as the cause of the anaemia was also unlikely in this patient who had isolated jaw mass and no organomegaly, if NHL were to be the cause of the marrow failure. However, marrow infiltration with plasma cells, as was confirmed by the BMA that showed plasmacytosis of over 90% of marrow cellular elements, is the plausible cause of failure of the marrow, manifesting as thrombocytopaenia, and anaemia, even before commencement of chemotherapy. Though spontaneous bleeding is unexpected at platelet count of 27 x 10</w:t>
      </w:r>
      <w:r w:rsidRPr="14A9C1D5">
        <w:rPr>
          <w:rFonts w:ascii="Arial" w:hAnsi="Arial" w:cs="Arial"/>
          <w:vertAlign w:val="superscript"/>
        </w:rPr>
        <w:t>9</w:t>
      </w:r>
      <w:r w:rsidRPr="14A9C1D5">
        <w:rPr>
          <w:rFonts w:ascii="Arial" w:hAnsi="Arial" w:cs="Arial"/>
        </w:rPr>
        <w:t>/l, it is most likely that the function of these platelets was disturbed by the paraproteins in his serum.</w:t>
      </w:r>
      <w:r w:rsidRPr="14A9C1D5">
        <w:rPr>
          <w:rFonts w:ascii="Arial" w:hAnsi="Arial" w:cs="Arial"/>
          <w:vertAlign w:val="superscript"/>
        </w:rPr>
        <w:t>1</w:t>
      </w:r>
      <w:r w:rsidR="003308B0">
        <w:rPr>
          <w:rFonts w:ascii="Arial" w:hAnsi="Arial" w:cs="Arial"/>
          <w:vertAlign w:val="superscript"/>
        </w:rPr>
        <w:t>7</w:t>
      </w:r>
      <w:r w:rsidRPr="14A9C1D5">
        <w:rPr>
          <w:rFonts w:ascii="Arial" w:hAnsi="Arial" w:cs="Arial"/>
          <w:vertAlign w:val="superscript"/>
        </w:rPr>
        <w:t xml:space="preserve"> </w:t>
      </w:r>
      <w:r w:rsidRPr="14A9C1D5">
        <w:rPr>
          <w:rFonts w:ascii="Arial" w:hAnsi="Arial" w:cs="Arial"/>
        </w:rPr>
        <w:t xml:space="preserve"> </w:t>
      </w:r>
    </w:p>
    <w:p w14:paraId="058D95CF" w14:textId="440B4B31" w:rsidR="00790ADA" w:rsidRPr="00FB3A86" w:rsidRDefault="72B57466" w:rsidP="14A9C1D5">
      <w:pPr>
        <w:pStyle w:val="Body"/>
        <w:spacing w:after="0"/>
        <w:rPr>
          <w:rFonts w:ascii="Arial" w:hAnsi="Arial" w:cs="Arial"/>
        </w:rPr>
      </w:pPr>
      <w:r w:rsidRPr="14A9C1D5">
        <w:rPr>
          <w:rFonts w:ascii="Arial" w:hAnsi="Arial" w:cs="Arial"/>
        </w:rPr>
        <w:t xml:space="preserve">Ordinarily, a history of recurrent anaemia necessitating multiple blood transfusions would warrant quick bone marrow aspiration and biopsy, however, this patient presented with histology report that suggested the mass was diffuse NHL, and this made the </w:t>
      </w:r>
      <w:proofErr w:type="spellStart"/>
      <w:r w:rsidRPr="14A9C1D5">
        <w:rPr>
          <w:rFonts w:ascii="Arial" w:hAnsi="Arial" w:cs="Arial"/>
        </w:rPr>
        <w:t>haematologist</w:t>
      </w:r>
      <w:proofErr w:type="spellEnd"/>
      <w:r w:rsidRPr="14A9C1D5">
        <w:rPr>
          <w:rFonts w:ascii="Arial" w:hAnsi="Arial" w:cs="Arial"/>
        </w:rPr>
        <w:t xml:space="preserve"> not to consider immediate BMA/BMB until there was the episode of mouth bleeds. While difficulty in distinguishing plasma cells from lymphocytes using light microscopy has been documented,</w:t>
      </w:r>
      <w:r w:rsidRPr="14A9C1D5">
        <w:rPr>
          <w:rFonts w:ascii="Arial" w:hAnsi="Arial" w:cs="Arial"/>
          <w:vertAlign w:val="superscript"/>
        </w:rPr>
        <w:t>3</w:t>
      </w:r>
      <w:r w:rsidRPr="14A9C1D5">
        <w:rPr>
          <w:rFonts w:ascii="Arial" w:hAnsi="Arial" w:cs="Arial"/>
        </w:rPr>
        <w:t xml:space="preserve"> especially for oral lesions, an IHC which would have made for easier distinction was not done. For same reason, he was only able to receive 10 cycles of VRD after about 20 months, what he should have received in about 10 months. In spite of these challenges, </w:t>
      </w:r>
      <w:r w:rsidR="6031588D" w:rsidRPr="14A9C1D5">
        <w:rPr>
          <w:rFonts w:ascii="Arial" w:hAnsi="Arial" w:cs="Arial"/>
        </w:rPr>
        <w:t>the patient</w:t>
      </w:r>
      <w:r w:rsidRPr="14A9C1D5">
        <w:rPr>
          <w:rFonts w:ascii="Arial" w:hAnsi="Arial" w:cs="Arial"/>
        </w:rPr>
        <w:t xml:space="preserve"> made significant improvement as evidenced by reduction in k/l ratio from 38.38, 4.8 to 1.9 before the 3.3 at the last check, and his less dependence on blood product support, and on </w:t>
      </w:r>
      <w:proofErr w:type="spellStart"/>
      <w:r w:rsidRPr="14A9C1D5">
        <w:rPr>
          <w:rFonts w:ascii="Arial" w:hAnsi="Arial" w:cs="Arial"/>
        </w:rPr>
        <w:t>neupogen</w:t>
      </w:r>
      <w:proofErr w:type="spellEnd"/>
      <w:r w:rsidRPr="14A9C1D5">
        <w:rPr>
          <w:rFonts w:ascii="Arial" w:hAnsi="Arial" w:cs="Arial"/>
        </w:rPr>
        <w:t xml:space="preserve"> use.</w:t>
      </w:r>
    </w:p>
    <w:p w14:paraId="11693475" w14:textId="4B3BFB25" w:rsidR="00790ADA" w:rsidRPr="00FB3A86" w:rsidRDefault="72B57466" w:rsidP="14A9C1D5">
      <w:pPr>
        <w:pStyle w:val="Body"/>
        <w:spacing w:after="0"/>
        <w:rPr>
          <w:rFonts w:ascii="Arial" w:hAnsi="Arial" w:cs="Arial"/>
        </w:rPr>
      </w:pPr>
      <w:r w:rsidRPr="14A9C1D5">
        <w:rPr>
          <w:rFonts w:ascii="Arial" w:hAnsi="Arial" w:cs="Arial"/>
        </w:rPr>
        <w:t>Although bortezomib has shown activity against some diffuse large B cell lymphomas, DLBCL, this activity is not significant enough to improve the survival of such patients when compared with standard R-CHOP regimen;</w:t>
      </w:r>
      <w:r w:rsidRPr="14A9C1D5">
        <w:rPr>
          <w:rFonts w:ascii="Arial" w:hAnsi="Arial" w:cs="Arial"/>
          <w:vertAlign w:val="superscript"/>
        </w:rPr>
        <w:t>1</w:t>
      </w:r>
      <w:r w:rsidR="003308B0">
        <w:rPr>
          <w:rFonts w:ascii="Arial" w:hAnsi="Arial" w:cs="Arial"/>
          <w:vertAlign w:val="superscript"/>
        </w:rPr>
        <w:t>8</w:t>
      </w:r>
      <w:r w:rsidRPr="14A9C1D5">
        <w:rPr>
          <w:rFonts w:ascii="Arial" w:hAnsi="Arial" w:cs="Arial"/>
        </w:rPr>
        <w:t xml:space="preserve"> similarly, lenalidomide has been demonstrated to have apoptotic activity against follicular lymphoma and mantle cell lymphoma cells,</w:t>
      </w:r>
      <w:r w:rsidRPr="14A9C1D5">
        <w:rPr>
          <w:rFonts w:ascii="Arial" w:hAnsi="Arial" w:cs="Arial"/>
          <w:vertAlign w:val="superscript"/>
        </w:rPr>
        <w:t>1</w:t>
      </w:r>
      <w:r w:rsidR="003308B0">
        <w:rPr>
          <w:rFonts w:ascii="Arial" w:hAnsi="Arial" w:cs="Arial"/>
          <w:vertAlign w:val="superscript"/>
        </w:rPr>
        <w:t>9</w:t>
      </w:r>
      <w:r w:rsidRPr="14A9C1D5">
        <w:rPr>
          <w:rFonts w:ascii="Arial" w:hAnsi="Arial" w:cs="Arial"/>
        </w:rPr>
        <w:t xml:space="preserve"> and this activity is improved when used in combination with other medications. It therefore follows that VRD regimen, which is traditionally used in the treatment of MM, may have </w:t>
      </w:r>
      <w:r w:rsidRPr="14A9C1D5">
        <w:rPr>
          <w:rFonts w:ascii="Arial" w:hAnsi="Arial" w:cs="Arial"/>
        </w:rPr>
        <w:lastRenderedPageBreak/>
        <w:t>some effect in reducing the size of NHL, however, the significant reduction in size of the swelling in this patient is more likely in a plasma cell-based tumour than in NHL.</w:t>
      </w:r>
    </w:p>
    <w:p w14:paraId="491EFA43" w14:textId="538234E0" w:rsidR="00790ADA" w:rsidRPr="00FB3A86" w:rsidRDefault="00790ADA" w:rsidP="14A9C1D5">
      <w:pPr>
        <w:pStyle w:val="Body"/>
        <w:spacing w:after="0"/>
        <w:rPr>
          <w:rFonts w:ascii="Arial" w:hAnsi="Arial" w:cs="Arial"/>
        </w:rPr>
      </w:pPr>
    </w:p>
    <w:p w14:paraId="637805D2" w14:textId="2A2E2599" w:rsidR="00790ADA" w:rsidRPr="00FB3A86" w:rsidRDefault="00790ADA" w:rsidP="00441B6F">
      <w:pPr>
        <w:pStyle w:val="Body"/>
        <w:spacing w:after="0"/>
        <w:rPr>
          <w:rFonts w:ascii="Arial" w:hAnsi="Arial" w:cs="Arial"/>
        </w:rPr>
      </w:pPr>
    </w:p>
    <w:p w14:paraId="584F9CB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63F29E8" w14:textId="77777777" w:rsidR="00790ADA" w:rsidRPr="00FB3A86" w:rsidRDefault="00790ADA" w:rsidP="00441B6F">
      <w:pPr>
        <w:pStyle w:val="ConcHead"/>
        <w:spacing w:after="0"/>
        <w:jc w:val="both"/>
        <w:rPr>
          <w:rFonts w:ascii="Arial" w:hAnsi="Arial" w:cs="Arial"/>
        </w:rPr>
      </w:pPr>
    </w:p>
    <w:p w14:paraId="6FD0B06D" w14:textId="60507900" w:rsidR="00790ADA" w:rsidRPr="00FB3A86" w:rsidRDefault="6BF3E9A2" w:rsidP="14A9C1D5">
      <w:pPr>
        <w:pStyle w:val="Body"/>
        <w:spacing w:after="0"/>
        <w:rPr>
          <w:rFonts w:ascii="Arial" w:hAnsi="Arial" w:cs="Arial"/>
        </w:rPr>
      </w:pPr>
      <w:r w:rsidRPr="14A9C1D5">
        <w:rPr>
          <w:rFonts w:ascii="Arial" w:hAnsi="Arial" w:cs="Arial"/>
        </w:rPr>
        <w:t>Extramedullary plasmacytoma (EMP) is a rare presentation of multiple myeloma and can be difficult to diagnose because of its similarities to other conditions like lymphomas. This report highlights the importance of a comprehensively diagnostic workup, including IHC, to differentiate EMP from other conditions. In a resource-limited setting, diagnosing EMP can be difficult, however, histopathological examination and BMA remain essential in making accurate diagnosis.</w:t>
      </w:r>
    </w:p>
    <w:p w14:paraId="3B7B4B86" w14:textId="556E1589" w:rsidR="00790ADA" w:rsidRPr="00FB3A86" w:rsidRDefault="00790ADA" w:rsidP="00441B6F">
      <w:pPr>
        <w:pStyle w:val="Body"/>
        <w:spacing w:after="0"/>
        <w:rPr>
          <w:rFonts w:ascii="Arial" w:hAnsi="Arial" w:cs="Arial"/>
        </w:rPr>
      </w:pPr>
    </w:p>
    <w:p w14:paraId="7194DBDC" w14:textId="77777777" w:rsidR="001A29D8" w:rsidRDefault="001A29D8" w:rsidP="00441B6F">
      <w:pPr>
        <w:pStyle w:val="ReferHead"/>
        <w:spacing w:after="0"/>
        <w:jc w:val="both"/>
        <w:rPr>
          <w:rFonts w:ascii="Arial" w:hAnsi="Arial" w:cs="Arial"/>
          <w:b w:val="0"/>
          <w:caps w:val="0"/>
          <w:sz w:val="20"/>
        </w:rPr>
      </w:pPr>
    </w:p>
    <w:p w14:paraId="769D0D3C" w14:textId="77777777" w:rsidR="005C784C" w:rsidRDefault="005C784C" w:rsidP="00441B6F">
      <w:pPr>
        <w:pStyle w:val="ReferHead"/>
        <w:spacing w:after="0"/>
        <w:jc w:val="both"/>
        <w:rPr>
          <w:rFonts w:ascii="Arial" w:hAnsi="Arial" w:cs="Arial"/>
          <w:b w:val="0"/>
          <w:caps w:val="0"/>
          <w:sz w:val="20"/>
        </w:rPr>
      </w:pPr>
    </w:p>
    <w:p w14:paraId="403B3549" w14:textId="7B4E2BDD" w:rsidR="005C784C" w:rsidRDefault="005C784C" w:rsidP="14A9C1D5">
      <w:pPr>
        <w:pStyle w:val="ReferHead"/>
        <w:spacing w:after="0"/>
        <w:jc w:val="both"/>
        <w:rPr>
          <w:rFonts w:ascii="Arial" w:hAnsi="Arial" w:cs="Arial"/>
        </w:rPr>
      </w:pPr>
      <w:r w:rsidRPr="14A9C1D5">
        <w:rPr>
          <w:rFonts w:ascii="Arial" w:hAnsi="Arial" w:cs="Arial"/>
        </w:rPr>
        <w:t>Ethical approval</w:t>
      </w:r>
    </w:p>
    <w:p w14:paraId="54CD245A" w14:textId="77777777" w:rsidR="005C784C" w:rsidRPr="002B685A" w:rsidRDefault="005C784C" w:rsidP="00441B6F">
      <w:pPr>
        <w:pStyle w:val="ReferHead"/>
        <w:spacing w:after="0"/>
        <w:jc w:val="both"/>
        <w:rPr>
          <w:rFonts w:ascii="Arial" w:hAnsi="Arial" w:cs="Arial"/>
          <w:bCs/>
        </w:rPr>
      </w:pPr>
    </w:p>
    <w:p w14:paraId="34FF1C98" w14:textId="34266174" w:rsidR="00860000" w:rsidRDefault="25AE26CA" w:rsidP="14A9C1D5">
      <w:pPr>
        <w:pStyle w:val="ReferHead"/>
        <w:spacing w:after="0"/>
        <w:jc w:val="both"/>
        <w:rPr>
          <w:rFonts w:ascii="Arial" w:hAnsi="Arial" w:cs="Arial"/>
          <w:b w:val="0"/>
          <w:caps w:val="0"/>
          <w:sz w:val="20"/>
        </w:rPr>
      </w:pPr>
      <w:r w:rsidRPr="14A9C1D5">
        <w:rPr>
          <w:rFonts w:ascii="Arial" w:hAnsi="Arial" w:cs="Arial"/>
          <w:b w:val="0"/>
          <w:caps w:val="0"/>
          <w:sz w:val="20"/>
        </w:rPr>
        <w:t xml:space="preserve">Patient details were treated with utmost confidentiality. </w:t>
      </w:r>
    </w:p>
    <w:p w14:paraId="3F7561C1" w14:textId="1533EEF3" w:rsidR="00661CE3" w:rsidRDefault="00661CE3" w:rsidP="14A9C1D5">
      <w:pPr>
        <w:pStyle w:val="ReferHead"/>
        <w:spacing w:after="0"/>
        <w:jc w:val="both"/>
        <w:rPr>
          <w:rFonts w:ascii="Arial" w:hAnsi="Arial" w:cs="Arial"/>
          <w:b w:val="0"/>
          <w:caps w:val="0"/>
          <w:sz w:val="20"/>
        </w:rPr>
      </w:pPr>
    </w:p>
    <w:p w14:paraId="2BBA4461" w14:textId="345E4CF8" w:rsidR="00661CE3" w:rsidRPr="00502860" w:rsidRDefault="00661CE3" w:rsidP="00661CE3">
      <w:r w:rsidRPr="00502860">
        <w:t>D</w:t>
      </w:r>
      <w:r w:rsidR="00502860">
        <w:t>ISCLAIMER</w:t>
      </w:r>
      <w:r w:rsidRPr="00502860">
        <w:t xml:space="preserve"> (Artificial intelligence)</w:t>
      </w:r>
    </w:p>
    <w:p w14:paraId="23DE18E1" w14:textId="77777777" w:rsidR="00661CE3" w:rsidRPr="00502860" w:rsidRDefault="00661CE3" w:rsidP="00661CE3"/>
    <w:p w14:paraId="1A6D28D6" w14:textId="77777777" w:rsidR="00661CE3" w:rsidRPr="00502860" w:rsidRDefault="00661CE3" w:rsidP="00661CE3">
      <w:r w:rsidRPr="00502860">
        <w:t xml:space="preserve">Author(s) hereby declare that NO generative AI technologies such as Large Language Models (ChatGPT, COPILOT, etc.) and text-to-image generators have been used during the writing or editing of this manuscript. </w:t>
      </w:r>
    </w:p>
    <w:p w14:paraId="04629ED9" w14:textId="77777777" w:rsidR="00661CE3" w:rsidRDefault="00661CE3" w:rsidP="14A9C1D5">
      <w:pPr>
        <w:pStyle w:val="ReferHead"/>
        <w:spacing w:after="0"/>
        <w:jc w:val="both"/>
        <w:rPr>
          <w:rFonts w:ascii="Arial" w:hAnsi="Arial" w:cs="Arial"/>
          <w:b w:val="0"/>
          <w:caps w:val="0"/>
          <w:sz w:val="20"/>
        </w:rPr>
      </w:pPr>
    </w:p>
    <w:p w14:paraId="4C1A16CD" w14:textId="394AF061" w:rsidR="14A9C1D5" w:rsidRDefault="14A9C1D5" w:rsidP="14A9C1D5">
      <w:pPr>
        <w:pStyle w:val="ReferHead"/>
        <w:spacing w:after="0"/>
        <w:jc w:val="both"/>
        <w:rPr>
          <w:rFonts w:ascii="Arial" w:hAnsi="Arial" w:cs="Arial"/>
          <w:b w:val="0"/>
          <w:caps w:val="0"/>
          <w:sz w:val="20"/>
        </w:rPr>
      </w:pPr>
    </w:p>
    <w:p w14:paraId="071E4E0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D072C0D" w14:textId="77777777" w:rsidR="00790ADA" w:rsidRPr="00FB3A86" w:rsidRDefault="00790ADA" w:rsidP="00441B6F">
      <w:pPr>
        <w:pStyle w:val="ReferHead"/>
        <w:spacing w:after="0"/>
        <w:jc w:val="both"/>
        <w:rPr>
          <w:rFonts w:ascii="Arial" w:hAnsi="Arial" w:cs="Arial"/>
        </w:rPr>
      </w:pPr>
    </w:p>
    <w:p w14:paraId="7F70DB6C" w14:textId="3232D2D1" w:rsidR="002C57D2" w:rsidRDefault="5CA6898D" w:rsidP="14A9C1D5">
      <w:pPr>
        <w:pStyle w:val="Body"/>
        <w:numPr>
          <w:ilvl w:val="0"/>
          <w:numId w:val="1"/>
        </w:numPr>
        <w:spacing w:after="0"/>
      </w:pPr>
      <w:r w:rsidRPr="14A9C1D5">
        <w:t xml:space="preserve">Allen HC, Sharma P. Histology, Plasma Cells. In: </w:t>
      </w:r>
      <w:proofErr w:type="spellStart"/>
      <w:r w:rsidRPr="14A9C1D5">
        <w:t>StatPearls</w:t>
      </w:r>
      <w:proofErr w:type="spellEnd"/>
      <w:r w:rsidRPr="14A9C1D5">
        <w:t xml:space="preserve">. </w:t>
      </w:r>
      <w:proofErr w:type="spellStart"/>
      <w:r w:rsidRPr="14A9C1D5">
        <w:t>StatPearls</w:t>
      </w:r>
      <w:proofErr w:type="spellEnd"/>
      <w:r w:rsidRPr="14A9C1D5">
        <w:t xml:space="preserve"> Publishing, Treasure Island (FL); 2025. PMID: 32310542.</w:t>
      </w:r>
    </w:p>
    <w:p w14:paraId="65DF94FC" w14:textId="11524F84" w:rsidR="002C57D2" w:rsidRDefault="5CA6898D" w:rsidP="14A9C1D5">
      <w:pPr>
        <w:pStyle w:val="Body"/>
        <w:numPr>
          <w:ilvl w:val="0"/>
          <w:numId w:val="1"/>
        </w:numPr>
        <w:spacing w:after="0"/>
      </w:pPr>
      <w:r w:rsidRPr="14A9C1D5">
        <w:t xml:space="preserve">Hübschmann D, Kleinheinz K, Wagener R, Bernhart SH, López C, Toprak UH, </w:t>
      </w:r>
      <w:proofErr w:type="spellStart"/>
      <w:r w:rsidRPr="14A9C1D5">
        <w:t>Sungalee</w:t>
      </w:r>
      <w:proofErr w:type="spellEnd"/>
      <w:r w:rsidRPr="14A9C1D5">
        <w:t xml:space="preserve"> S, Ishaque N, Kretzmer H, Kreuz M, Waszak SM. Mutational mechanisms shaping the coding and noncoding genome of germinal center derived B-cell lymphomas. Leukemia. 2021 Jul;35(7):2002-16.</w:t>
      </w:r>
    </w:p>
    <w:p w14:paraId="1E353457" w14:textId="516178A7" w:rsidR="002C57D2" w:rsidRDefault="5CA6898D" w:rsidP="14A9C1D5">
      <w:pPr>
        <w:pStyle w:val="Body"/>
        <w:numPr>
          <w:ilvl w:val="0"/>
          <w:numId w:val="1"/>
        </w:numPr>
        <w:spacing w:after="0"/>
      </w:pPr>
      <w:r w:rsidRPr="14A9C1D5">
        <w:t>GANESAMOORTHY VK, DAVE RG, SIGAMANI E, DEVASIA AJ, NAIR SC, MADDALI M, CHINNIAH PK. Atypical Morphological Presentation of Neoplastic Plasma Cells: A Series of Five Cases. Journal of Clinical &amp; Diagnostic Research. 2024 Jan 1;18(1).</w:t>
      </w:r>
    </w:p>
    <w:p w14:paraId="56D7CA16" w14:textId="406A946C" w:rsidR="002C57D2" w:rsidRDefault="5CA6898D" w:rsidP="14A9C1D5">
      <w:pPr>
        <w:pStyle w:val="Body"/>
        <w:numPr>
          <w:ilvl w:val="0"/>
          <w:numId w:val="1"/>
        </w:numPr>
        <w:spacing w:after="0"/>
      </w:pPr>
      <w:r w:rsidRPr="14A9C1D5">
        <w:t>Kaur H, Mishra D, Roychoudhury A, Bhalla AS, Ramteke PP, Kumar L. Plasma cells in oral lesion: a clue to diagnosis or a diagnostic dilemma. Journal of Oral and Maxillofacial Pathology. 2022 Oct 1;26(4):591.</w:t>
      </w:r>
    </w:p>
    <w:p w14:paraId="52FECDA0" w14:textId="5820BEF9" w:rsidR="002C57D2" w:rsidRDefault="5CA6898D" w:rsidP="14A9C1D5">
      <w:pPr>
        <w:pStyle w:val="Body"/>
        <w:numPr>
          <w:ilvl w:val="0"/>
          <w:numId w:val="1"/>
        </w:numPr>
        <w:spacing w:after="0"/>
      </w:pPr>
      <w:proofErr w:type="spellStart"/>
      <w:r w:rsidRPr="14A9C1D5">
        <w:t>Izuegbuna</w:t>
      </w:r>
      <w:proofErr w:type="spellEnd"/>
      <w:r w:rsidRPr="14A9C1D5">
        <w:t xml:space="preserve"> O. Multiple myeloma in Nigeria: are we diagnosing it </w:t>
      </w:r>
      <w:proofErr w:type="gramStart"/>
      <w:r w:rsidRPr="14A9C1D5">
        <w:t>enough?.</w:t>
      </w:r>
      <w:proofErr w:type="gramEnd"/>
      <w:r w:rsidRPr="14A9C1D5">
        <w:t xml:space="preserve"> Academia Oncology. 2025 Jun 13;2(2).</w:t>
      </w:r>
    </w:p>
    <w:p w14:paraId="08DAC8E7" w14:textId="31645581" w:rsidR="002C57D2" w:rsidRDefault="5CA6898D" w:rsidP="14A9C1D5">
      <w:pPr>
        <w:pStyle w:val="Body"/>
        <w:numPr>
          <w:ilvl w:val="0"/>
          <w:numId w:val="1"/>
        </w:numPr>
        <w:spacing w:after="0"/>
      </w:pPr>
      <w:r w:rsidRPr="14A9C1D5">
        <w:t>Ellington TD, Henley SJ, Wilson RJ, Wu M, Richardson LC. Trends in solitary plasmacytoma, extramedullary plasmacytoma, and plasma cell myeloma incidence and myeloma mortality by racial‐ethnic group, United States 2003‐2016. Cancer Medicine. 2021 Jan;10(1):386-95.</w:t>
      </w:r>
    </w:p>
    <w:p w14:paraId="24DAD83E" w14:textId="7E781342" w:rsidR="002C57D2" w:rsidRDefault="5CA6898D" w:rsidP="14A9C1D5">
      <w:pPr>
        <w:pStyle w:val="Body"/>
        <w:numPr>
          <w:ilvl w:val="0"/>
          <w:numId w:val="1"/>
        </w:numPr>
        <w:spacing w:after="0"/>
      </w:pPr>
      <w:r w:rsidRPr="14A9C1D5">
        <w:t xml:space="preserve">Holler A, Cicha I, Eckstein M, </w:t>
      </w:r>
      <w:proofErr w:type="spellStart"/>
      <w:r w:rsidRPr="14A9C1D5">
        <w:t>Haderlein</w:t>
      </w:r>
      <w:proofErr w:type="spellEnd"/>
      <w:r w:rsidRPr="14A9C1D5">
        <w:t xml:space="preserve"> M, </w:t>
      </w:r>
      <w:proofErr w:type="spellStart"/>
      <w:r w:rsidRPr="14A9C1D5">
        <w:t>Pöttler</w:t>
      </w:r>
      <w:proofErr w:type="spellEnd"/>
      <w:r w:rsidRPr="14A9C1D5">
        <w:t xml:space="preserve"> M, Rappl A, Iro H, Alexiou C. Extramedullary plasmacytoma: Tumor occurrence and therapeutic concepts—A follow‐up. Cancer medicine. 2022 Dec;11(24):4743-55.</w:t>
      </w:r>
    </w:p>
    <w:p w14:paraId="4800B9B2" w14:textId="32C40601" w:rsidR="002C57D2" w:rsidRDefault="5CA6898D" w:rsidP="14A9C1D5">
      <w:pPr>
        <w:pStyle w:val="Body"/>
        <w:numPr>
          <w:ilvl w:val="0"/>
          <w:numId w:val="1"/>
        </w:numPr>
        <w:spacing w:after="0"/>
      </w:pPr>
      <w:r w:rsidRPr="14A9C1D5">
        <w:t xml:space="preserve">Bonello F, </w:t>
      </w:r>
      <w:proofErr w:type="spellStart"/>
      <w:r w:rsidRPr="14A9C1D5">
        <w:t>Boccadoro</w:t>
      </w:r>
      <w:proofErr w:type="spellEnd"/>
      <w:r w:rsidRPr="14A9C1D5">
        <w:t xml:space="preserve"> M, Larocca A. Diagnostic and therapeutic challenges in the management of intermediate and frail elderly multiple myeloma patients. Cancers. 2020 Oct 24;12(11):3106.</w:t>
      </w:r>
    </w:p>
    <w:p w14:paraId="477DB35E" w14:textId="35E49C43" w:rsidR="002C57D2" w:rsidRDefault="5CA6898D" w:rsidP="14A9C1D5">
      <w:pPr>
        <w:pStyle w:val="Body"/>
        <w:numPr>
          <w:ilvl w:val="0"/>
          <w:numId w:val="1"/>
        </w:numPr>
        <w:spacing w:after="0"/>
      </w:pPr>
      <w:r w:rsidRPr="14A9C1D5">
        <w:lastRenderedPageBreak/>
        <w:t>Cowan AJ, Green DJ, Kwok M, Lee S, Coffey DG, Holmberg LA, Tuazon S, Gopal AK, Libby EN. Diagnosis and management of multiple myeloma: a review. Jama. 2022 Feb 1;327(5):464-77.</w:t>
      </w:r>
    </w:p>
    <w:p w14:paraId="32AF7E57" w14:textId="706B9C35" w:rsidR="002C57D2" w:rsidRDefault="5CA6898D" w:rsidP="14A9C1D5">
      <w:pPr>
        <w:pStyle w:val="Body"/>
        <w:numPr>
          <w:ilvl w:val="0"/>
          <w:numId w:val="1"/>
        </w:numPr>
        <w:spacing w:after="0"/>
      </w:pPr>
      <w:proofErr w:type="spellStart"/>
      <w:r w:rsidRPr="14A9C1D5">
        <w:t>Rosiñol</w:t>
      </w:r>
      <w:proofErr w:type="spellEnd"/>
      <w:r w:rsidRPr="14A9C1D5">
        <w:t xml:space="preserve"> L, </w:t>
      </w:r>
      <w:proofErr w:type="spellStart"/>
      <w:r w:rsidRPr="14A9C1D5">
        <w:t>Beksac</w:t>
      </w:r>
      <w:proofErr w:type="spellEnd"/>
      <w:r w:rsidRPr="14A9C1D5">
        <w:t xml:space="preserve"> M, Zamagni E, Van de Donk NW, Anderson KC, </w:t>
      </w:r>
      <w:proofErr w:type="spellStart"/>
      <w:r w:rsidRPr="14A9C1D5">
        <w:t>Badros</w:t>
      </w:r>
      <w:proofErr w:type="spellEnd"/>
      <w:r w:rsidRPr="14A9C1D5">
        <w:t xml:space="preserve"> A, </w:t>
      </w:r>
      <w:proofErr w:type="spellStart"/>
      <w:r w:rsidRPr="14A9C1D5">
        <w:t>Caers</w:t>
      </w:r>
      <w:proofErr w:type="spellEnd"/>
      <w:r w:rsidRPr="14A9C1D5">
        <w:t xml:space="preserve"> J, Cavo M, Dimopoulos MA, </w:t>
      </w:r>
      <w:proofErr w:type="spellStart"/>
      <w:r w:rsidRPr="14A9C1D5">
        <w:t>Dispenzieri</w:t>
      </w:r>
      <w:proofErr w:type="spellEnd"/>
      <w:r w:rsidRPr="14A9C1D5">
        <w:t xml:space="preserve"> A, </w:t>
      </w:r>
      <w:proofErr w:type="spellStart"/>
      <w:r w:rsidRPr="14A9C1D5">
        <w:t>Einsele</w:t>
      </w:r>
      <w:proofErr w:type="spellEnd"/>
      <w:r w:rsidRPr="14A9C1D5">
        <w:t xml:space="preserve"> H. Expert review on soft‐tissue plasmacytomas in multiple myeloma: definition, disease assessment and treatment considerations. British journal of haematology. 2021 Aug;194(3):496-507.</w:t>
      </w:r>
    </w:p>
    <w:p w14:paraId="5E8960C9" w14:textId="62F4487E" w:rsidR="002C57D2" w:rsidRDefault="5CA6898D" w:rsidP="14A9C1D5">
      <w:pPr>
        <w:pStyle w:val="Body"/>
        <w:numPr>
          <w:ilvl w:val="0"/>
          <w:numId w:val="1"/>
        </w:numPr>
        <w:spacing w:after="0"/>
      </w:pPr>
      <w:r w:rsidRPr="14A9C1D5">
        <w:t xml:space="preserve">Pour L, </w:t>
      </w:r>
      <w:proofErr w:type="spellStart"/>
      <w:r w:rsidRPr="14A9C1D5">
        <w:t>Sevcikova</w:t>
      </w:r>
      <w:proofErr w:type="spellEnd"/>
      <w:r w:rsidRPr="14A9C1D5">
        <w:t xml:space="preserve"> S, </w:t>
      </w:r>
      <w:proofErr w:type="spellStart"/>
      <w:r w:rsidRPr="14A9C1D5">
        <w:t>Greslikova</w:t>
      </w:r>
      <w:proofErr w:type="spellEnd"/>
      <w:r w:rsidRPr="14A9C1D5">
        <w:t xml:space="preserve"> H, </w:t>
      </w:r>
      <w:proofErr w:type="spellStart"/>
      <w:r w:rsidRPr="14A9C1D5">
        <w:t>Kupska</w:t>
      </w:r>
      <w:proofErr w:type="spellEnd"/>
      <w:r w:rsidRPr="14A9C1D5">
        <w:t xml:space="preserve"> R, </w:t>
      </w:r>
      <w:proofErr w:type="spellStart"/>
      <w:r w:rsidRPr="14A9C1D5">
        <w:t>Majkova</w:t>
      </w:r>
      <w:proofErr w:type="spellEnd"/>
      <w:r w:rsidRPr="14A9C1D5">
        <w:t xml:space="preserve"> P, </w:t>
      </w:r>
      <w:proofErr w:type="spellStart"/>
      <w:r w:rsidRPr="14A9C1D5">
        <w:t>Zahradova</w:t>
      </w:r>
      <w:proofErr w:type="spellEnd"/>
      <w:r w:rsidRPr="14A9C1D5">
        <w:t xml:space="preserve"> L, </w:t>
      </w:r>
      <w:proofErr w:type="spellStart"/>
      <w:r w:rsidRPr="14A9C1D5">
        <w:t>Sandecka</w:t>
      </w:r>
      <w:proofErr w:type="spellEnd"/>
      <w:r w:rsidRPr="14A9C1D5">
        <w:t xml:space="preserve"> V, Adam Z, Krejci M, </w:t>
      </w:r>
      <w:proofErr w:type="spellStart"/>
      <w:r w:rsidRPr="14A9C1D5">
        <w:t>Kuglik</w:t>
      </w:r>
      <w:proofErr w:type="spellEnd"/>
      <w:r w:rsidRPr="14A9C1D5">
        <w:t xml:space="preserve"> P, Hajek R. Soft-tissue extramedullary multiple myeloma prognosis is significantly worse in comparison to bone-related extramedullary relapse. </w:t>
      </w:r>
      <w:proofErr w:type="spellStart"/>
      <w:r w:rsidRPr="14A9C1D5">
        <w:t>Haematologica</w:t>
      </w:r>
      <w:proofErr w:type="spellEnd"/>
      <w:r w:rsidRPr="14A9C1D5">
        <w:t>. 2014 Feb;99(2):360.</w:t>
      </w:r>
    </w:p>
    <w:p w14:paraId="587F255F" w14:textId="15CE4652" w:rsidR="002C57D2" w:rsidRDefault="5CA6898D" w:rsidP="14A9C1D5">
      <w:pPr>
        <w:pStyle w:val="Body"/>
        <w:numPr>
          <w:ilvl w:val="0"/>
          <w:numId w:val="1"/>
        </w:numPr>
        <w:spacing w:after="0"/>
      </w:pPr>
      <w:r w:rsidRPr="14A9C1D5">
        <w:t xml:space="preserve">Bouziane J, </w:t>
      </w:r>
      <w:proofErr w:type="spellStart"/>
      <w:r w:rsidRPr="14A9C1D5">
        <w:t>Soussy</w:t>
      </w:r>
      <w:proofErr w:type="spellEnd"/>
      <w:r w:rsidRPr="14A9C1D5">
        <w:t xml:space="preserve"> K, Ayachi ZE, Sadiki EM, Kabbaj H, Khalfi S, Hassani W, Farhane FZ, Alami Z, </w:t>
      </w:r>
      <w:proofErr w:type="spellStart"/>
      <w:r w:rsidRPr="14A9C1D5">
        <w:t>Bouhafa</w:t>
      </w:r>
      <w:proofErr w:type="spellEnd"/>
      <w:r w:rsidRPr="14A9C1D5">
        <w:t xml:space="preserve"> T. Solitary extramedullary plasmacytoma of the nasopharynx: A case report and literature review. World Journal of Advanced Research and Reviews. 2025 Feb 28;25(2):2161-6.</w:t>
      </w:r>
    </w:p>
    <w:p w14:paraId="35644AB6" w14:textId="23ABF68D" w:rsidR="002C57D2" w:rsidRDefault="5CA6898D" w:rsidP="14A9C1D5">
      <w:pPr>
        <w:pStyle w:val="Body"/>
        <w:numPr>
          <w:ilvl w:val="0"/>
          <w:numId w:val="1"/>
        </w:numPr>
        <w:spacing w:after="0"/>
      </w:pPr>
      <w:r w:rsidRPr="14A9C1D5">
        <w:t xml:space="preserve">Sorrentino A, </w:t>
      </w:r>
      <w:proofErr w:type="spellStart"/>
      <w:r w:rsidRPr="14A9C1D5">
        <w:t>Ferragina</w:t>
      </w:r>
      <w:proofErr w:type="spellEnd"/>
      <w:r w:rsidRPr="14A9C1D5">
        <w:t xml:space="preserve"> F, Barca I, </w:t>
      </w:r>
      <w:proofErr w:type="spellStart"/>
      <w:r w:rsidRPr="14A9C1D5">
        <w:t>Arrotta</w:t>
      </w:r>
      <w:proofErr w:type="spellEnd"/>
      <w:r w:rsidRPr="14A9C1D5">
        <w:t xml:space="preserve"> A, Cristofaro MG. Extra-nodal lymphomas of the head and neck and oral cavity: a retrospective study. Current Oncology. 2022 Sep 29;29(10):7189-97.</w:t>
      </w:r>
    </w:p>
    <w:p w14:paraId="04112D3B" w14:textId="1910CA0D" w:rsidR="002C57D2" w:rsidRDefault="5CA6898D" w:rsidP="14A9C1D5">
      <w:pPr>
        <w:pStyle w:val="Body"/>
        <w:numPr>
          <w:ilvl w:val="0"/>
          <w:numId w:val="1"/>
        </w:numPr>
        <w:spacing w:after="0"/>
      </w:pPr>
      <w:r w:rsidRPr="14A9C1D5">
        <w:t>Singh R, Shaik S, Negi BS, Rajguru JP, Patil PB, Parihar AS, Sharma U. Non-Hodgkin's lymphoma: A review. Journal of family medicine and primary care. 2020 Apr 1;9(4):1834-40.</w:t>
      </w:r>
    </w:p>
    <w:p w14:paraId="4C33D3EE" w14:textId="73362444" w:rsidR="003308B0" w:rsidRDefault="0038689E" w:rsidP="14A9C1D5">
      <w:pPr>
        <w:pStyle w:val="Body"/>
        <w:numPr>
          <w:ilvl w:val="0"/>
          <w:numId w:val="1"/>
        </w:numPr>
        <w:spacing w:after="0"/>
      </w:pPr>
      <w:r>
        <w:rPr>
          <w:rFonts w:ascii="Arial" w:hAnsi="Arial" w:cs="Arial"/>
          <w:color w:val="222222"/>
          <w:shd w:val="clear" w:color="auto" w:fill="FFFFFF"/>
        </w:rPr>
        <w:t xml:space="preserve">Ansell SM. Non-Hodgkin lymphoma: diagnosis and treatment. </w:t>
      </w:r>
      <w:proofErr w:type="spellStart"/>
      <w:r>
        <w:rPr>
          <w:rFonts w:ascii="Arial" w:hAnsi="Arial" w:cs="Arial"/>
          <w:color w:val="222222"/>
          <w:shd w:val="clear" w:color="auto" w:fill="FFFFFF"/>
        </w:rPr>
        <w:t>InMayo</w:t>
      </w:r>
      <w:proofErr w:type="spellEnd"/>
      <w:r>
        <w:rPr>
          <w:rFonts w:ascii="Arial" w:hAnsi="Arial" w:cs="Arial"/>
          <w:color w:val="222222"/>
          <w:shd w:val="clear" w:color="auto" w:fill="FFFFFF"/>
        </w:rPr>
        <w:t xml:space="preserve"> Clinic Proceedings 2015 Aug 1 (Vol. 90, No. 8, pp. 1152-1163). Elsevier.</w:t>
      </w:r>
    </w:p>
    <w:p w14:paraId="4DF42213" w14:textId="571E9B2C" w:rsidR="002C57D2" w:rsidRDefault="5CA6898D" w:rsidP="14A9C1D5">
      <w:pPr>
        <w:pStyle w:val="Body"/>
        <w:numPr>
          <w:ilvl w:val="0"/>
          <w:numId w:val="1"/>
        </w:numPr>
        <w:spacing w:after="0"/>
      </w:pPr>
      <w:r w:rsidRPr="14A9C1D5">
        <w:t xml:space="preserve">Sincan G, Kılıç AF, Sincan S, Erdem F. Prevalence and prognostic significance of anemia in lymphoma. Medical Journal of </w:t>
      </w:r>
      <w:proofErr w:type="spellStart"/>
      <w:r w:rsidRPr="14A9C1D5">
        <w:t>Bakirkoy</w:t>
      </w:r>
      <w:proofErr w:type="spellEnd"/>
      <w:r w:rsidRPr="14A9C1D5">
        <w:t>. 2024 Mar 28.</w:t>
      </w:r>
    </w:p>
    <w:p w14:paraId="0DC09E7D" w14:textId="63592970" w:rsidR="002C57D2" w:rsidRDefault="5CA6898D" w:rsidP="14A9C1D5">
      <w:pPr>
        <w:pStyle w:val="Body"/>
        <w:numPr>
          <w:ilvl w:val="0"/>
          <w:numId w:val="1"/>
        </w:numPr>
        <w:spacing w:after="0"/>
      </w:pPr>
      <w:r w:rsidRPr="14A9C1D5">
        <w:t xml:space="preserve">Brennan Y, Levade M, Ward CM. Acquired platelet function disorders. Thrombosis Research. 2020 Dec </w:t>
      </w:r>
      <w:proofErr w:type="gramStart"/>
      <w:r w:rsidRPr="14A9C1D5">
        <w:t>1;196:561</w:t>
      </w:r>
      <w:proofErr w:type="gramEnd"/>
      <w:r w:rsidRPr="14A9C1D5">
        <w:t>-8.</w:t>
      </w:r>
    </w:p>
    <w:p w14:paraId="284F9E60" w14:textId="7928F948" w:rsidR="002C57D2" w:rsidRDefault="5CA6898D" w:rsidP="14A9C1D5">
      <w:pPr>
        <w:pStyle w:val="Body"/>
        <w:numPr>
          <w:ilvl w:val="0"/>
          <w:numId w:val="1"/>
        </w:numPr>
        <w:spacing w:after="0"/>
      </w:pPr>
      <w:r w:rsidRPr="14A9C1D5">
        <w:t>Lin Z, Chen X, Li Z, Zhou Y, Fang Z, Luo Y, Zhao J, Xu B. The role of bortezomib in newly diagnosed diffuse large B cell lymphoma: a meta-analysis. Annals of Hematology. 2018 Nov;97(11):2137-44.</w:t>
      </w:r>
    </w:p>
    <w:p w14:paraId="036D6467" w14:textId="4AA1FF03" w:rsidR="002C57D2" w:rsidRDefault="5CA6898D" w:rsidP="14A9C1D5">
      <w:pPr>
        <w:pStyle w:val="Body"/>
        <w:numPr>
          <w:ilvl w:val="0"/>
          <w:numId w:val="1"/>
        </w:numPr>
        <w:spacing w:after="0"/>
      </w:pPr>
      <w:r w:rsidRPr="14A9C1D5">
        <w:t xml:space="preserve">Cosenza M, </w:t>
      </w:r>
      <w:proofErr w:type="spellStart"/>
      <w:r w:rsidRPr="14A9C1D5">
        <w:t>Civallero</w:t>
      </w:r>
      <w:proofErr w:type="spellEnd"/>
      <w:r w:rsidRPr="14A9C1D5">
        <w:t xml:space="preserve"> M, Pozzi S, Bari A, </w:t>
      </w:r>
      <w:proofErr w:type="spellStart"/>
      <w:r w:rsidRPr="14A9C1D5">
        <w:t>Liardo</w:t>
      </w:r>
      <w:proofErr w:type="spellEnd"/>
      <w:r w:rsidRPr="14A9C1D5">
        <w:t xml:space="preserve"> EV, Sacchi S. In Vitro Combination of Bortezomib with </w:t>
      </w:r>
      <w:proofErr w:type="spellStart"/>
      <w:r w:rsidRPr="14A9C1D5">
        <w:t>Enzastaurin</w:t>
      </w:r>
      <w:proofErr w:type="spellEnd"/>
      <w:r w:rsidRPr="14A9C1D5">
        <w:t xml:space="preserve"> or Lenalidomide Enhances the Cytotoxicity in B-Cell Lymphoma Cell Lines. Blood. 2012 Nov 16;120(21):2754.</w:t>
      </w:r>
    </w:p>
    <w:p w14:paraId="4B4AFBD2" w14:textId="70325C64" w:rsidR="002C57D2" w:rsidRDefault="002C57D2" w:rsidP="14A9C1D5">
      <w:pPr>
        <w:pStyle w:val="Body"/>
        <w:spacing w:after="0"/>
        <w:sectPr w:rsidR="002C57D2" w:rsidSect="005219D8">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62431CDC" w14:textId="77777777" w:rsidR="00B01FCD" w:rsidRPr="00FB3A86" w:rsidRDefault="00B01FCD" w:rsidP="00441B6F">
      <w:pPr>
        <w:pStyle w:val="Appendix"/>
        <w:spacing w:after="0"/>
        <w:jc w:val="both"/>
        <w:rPr>
          <w:rFonts w:ascii="Arial" w:hAnsi="Arial" w:cs="Arial"/>
          <w:b w:val="0"/>
        </w:rPr>
      </w:pPr>
    </w:p>
    <w:sectPr w:rsidR="00B01FCD" w:rsidRPr="00FB3A86" w:rsidSect="005219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F60FB" w14:textId="77777777" w:rsidR="0011676E" w:rsidRDefault="0011676E" w:rsidP="00C37E61">
      <w:r>
        <w:separator/>
      </w:r>
    </w:p>
  </w:endnote>
  <w:endnote w:type="continuationSeparator" w:id="0">
    <w:p w14:paraId="1077676F" w14:textId="77777777" w:rsidR="0011676E" w:rsidRDefault="0011676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B8C7" w14:textId="77777777" w:rsidR="005219D8" w:rsidRDefault="00521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427F" w14:textId="77777777" w:rsidR="005219D8" w:rsidRDefault="00521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225B" w14:textId="1CBA3702" w:rsidR="00754C9A" w:rsidRPr="005219D8" w:rsidRDefault="00754C9A" w:rsidP="005219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020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E3072" w14:textId="77777777" w:rsidR="0011676E" w:rsidRDefault="0011676E" w:rsidP="00C37E61">
      <w:r>
        <w:separator/>
      </w:r>
    </w:p>
  </w:footnote>
  <w:footnote w:type="continuationSeparator" w:id="0">
    <w:p w14:paraId="0DD8674C" w14:textId="77777777" w:rsidR="0011676E" w:rsidRDefault="0011676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F37D" w14:textId="6293333C" w:rsidR="005219D8" w:rsidRDefault="00000000">
    <w:pPr>
      <w:pStyle w:val="Header"/>
    </w:pPr>
    <w:r>
      <w:rPr>
        <w:noProof/>
      </w:rPr>
      <w:pict w14:anchorId="478F6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195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8687" w14:textId="1B03C7A2" w:rsidR="005219D8" w:rsidRDefault="00000000">
    <w:pPr>
      <w:pStyle w:val="Header"/>
    </w:pPr>
    <w:r>
      <w:rPr>
        <w:noProof/>
      </w:rPr>
      <w:pict w14:anchorId="7600E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195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F5C7" w14:textId="1B9DCB37" w:rsidR="00296529" w:rsidRPr="00296529" w:rsidRDefault="00000000" w:rsidP="00296529">
    <w:pPr>
      <w:ind w:left="2160"/>
      <w:jc w:val="center"/>
      <w:rPr>
        <w:rFonts w:ascii="Times New Roman" w:eastAsia="Calibri" w:hAnsi="Times New Roman"/>
        <w:i/>
        <w:sz w:val="18"/>
        <w:szCs w:val="22"/>
      </w:rPr>
    </w:pPr>
    <w:r>
      <w:rPr>
        <w:noProof/>
      </w:rPr>
      <w:pict w14:anchorId="2BDB6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195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8995E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D63B4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E21A1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AD291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0FE4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45C1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F6507" w14:textId="3443CF10" w:rsidR="005219D8" w:rsidRDefault="00000000">
    <w:pPr>
      <w:pStyle w:val="Header"/>
    </w:pPr>
    <w:r>
      <w:rPr>
        <w:noProof/>
      </w:rPr>
      <w:pict w14:anchorId="4F3EB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195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0083C" w14:textId="0DEAB3E9" w:rsidR="005219D8" w:rsidRDefault="00000000">
    <w:pPr>
      <w:pStyle w:val="Header"/>
    </w:pPr>
    <w:r>
      <w:rPr>
        <w:noProof/>
      </w:rPr>
      <w:pict w14:anchorId="3BB79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195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15B2E" w14:textId="088325BB" w:rsidR="005219D8" w:rsidRDefault="00000000">
    <w:pPr>
      <w:pStyle w:val="Header"/>
    </w:pPr>
    <w:r>
      <w:rPr>
        <w:noProof/>
      </w:rPr>
      <w:pict w14:anchorId="7C0FE2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11195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B41196"/>
    <w:multiLevelType w:val="hybridMultilevel"/>
    <w:tmpl w:val="509495B4"/>
    <w:lvl w:ilvl="0" w:tplc="B8A66040">
      <w:start w:val="1"/>
      <w:numFmt w:val="decimal"/>
      <w:lvlText w:val="%1."/>
      <w:lvlJc w:val="left"/>
      <w:pPr>
        <w:ind w:left="720" w:hanging="360"/>
      </w:pPr>
    </w:lvl>
    <w:lvl w:ilvl="1" w:tplc="09F8D15A">
      <w:start w:val="1"/>
      <w:numFmt w:val="lowerLetter"/>
      <w:lvlText w:val="%2."/>
      <w:lvlJc w:val="left"/>
      <w:pPr>
        <w:ind w:left="1440" w:hanging="360"/>
      </w:pPr>
    </w:lvl>
    <w:lvl w:ilvl="2" w:tplc="DEB41866">
      <w:start w:val="1"/>
      <w:numFmt w:val="lowerRoman"/>
      <w:lvlText w:val="%3."/>
      <w:lvlJc w:val="right"/>
      <w:pPr>
        <w:ind w:left="2160" w:hanging="180"/>
      </w:pPr>
    </w:lvl>
    <w:lvl w:ilvl="3" w:tplc="8548ABEA">
      <w:start w:val="1"/>
      <w:numFmt w:val="decimal"/>
      <w:lvlText w:val="%4."/>
      <w:lvlJc w:val="left"/>
      <w:pPr>
        <w:ind w:left="2880" w:hanging="360"/>
      </w:pPr>
    </w:lvl>
    <w:lvl w:ilvl="4" w:tplc="A8DEF89C">
      <w:start w:val="1"/>
      <w:numFmt w:val="lowerLetter"/>
      <w:lvlText w:val="%5."/>
      <w:lvlJc w:val="left"/>
      <w:pPr>
        <w:ind w:left="3600" w:hanging="360"/>
      </w:pPr>
    </w:lvl>
    <w:lvl w:ilvl="5" w:tplc="14EC03EA">
      <w:start w:val="1"/>
      <w:numFmt w:val="lowerRoman"/>
      <w:lvlText w:val="%6."/>
      <w:lvlJc w:val="right"/>
      <w:pPr>
        <w:ind w:left="4320" w:hanging="180"/>
      </w:pPr>
    </w:lvl>
    <w:lvl w:ilvl="6" w:tplc="A9801E16">
      <w:start w:val="1"/>
      <w:numFmt w:val="decimal"/>
      <w:lvlText w:val="%7."/>
      <w:lvlJc w:val="left"/>
      <w:pPr>
        <w:ind w:left="5040" w:hanging="360"/>
      </w:pPr>
    </w:lvl>
    <w:lvl w:ilvl="7" w:tplc="A0489546">
      <w:start w:val="1"/>
      <w:numFmt w:val="lowerLetter"/>
      <w:lvlText w:val="%8."/>
      <w:lvlJc w:val="left"/>
      <w:pPr>
        <w:ind w:left="5760" w:hanging="360"/>
      </w:pPr>
    </w:lvl>
    <w:lvl w:ilvl="8" w:tplc="1770A868">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CF1189"/>
    <w:multiLevelType w:val="hybridMultilevel"/>
    <w:tmpl w:val="9B4890BC"/>
    <w:lvl w:ilvl="0" w:tplc="2942552C">
      <w:start w:val="1"/>
      <w:numFmt w:val="decimal"/>
      <w:lvlText w:val="%1."/>
      <w:lvlJc w:val="left"/>
      <w:pPr>
        <w:ind w:left="720" w:hanging="360"/>
      </w:pPr>
    </w:lvl>
    <w:lvl w:ilvl="1" w:tplc="E942258E">
      <w:start w:val="1"/>
      <w:numFmt w:val="lowerLetter"/>
      <w:lvlText w:val="%2."/>
      <w:lvlJc w:val="left"/>
      <w:pPr>
        <w:ind w:left="1440" w:hanging="360"/>
      </w:pPr>
    </w:lvl>
    <w:lvl w:ilvl="2" w:tplc="22324D78">
      <w:start w:val="1"/>
      <w:numFmt w:val="lowerRoman"/>
      <w:lvlText w:val="%3."/>
      <w:lvlJc w:val="right"/>
      <w:pPr>
        <w:ind w:left="2160" w:hanging="180"/>
      </w:pPr>
    </w:lvl>
    <w:lvl w:ilvl="3" w:tplc="4D843C48">
      <w:start w:val="1"/>
      <w:numFmt w:val="decimal"/>
      <w:lvlText w:val="%4."/>
      <w:lvlJc w:val="left"/>
      <w:pPr>
        <w:ind w:left="2880" w:hanging="360"/>
      </w:pPr>
    </w:lvl>
    <w:lvl w:ilvl="4" w:tplc="09345EB8">
      <w:start w:val="1"/>
      <w:numFmt w:val="lowerLetter"/>
      <w:lvlText w:val="%5."/>
      <w:lvlJc w:val="left"/>
      <w:pPr>
        <w:ind w:left="3600" w:hanging="360"/>
      </w:pPr>
    </w:lvl>
    <w:lvl w:ilvl="5" w:tplc="2DA2ED26">
      <w:start w:val="1"/>
      <w:numFmt w:val="lowerRoman"/>
      <w:lvlText w:val="%6."/>
      <w:lvlJc w:val="right"/>
      <w:pPr>
        <w:ind w:left="4320" w:hanging="180"/>
      </w:pPr>
    </w:lvl>
    <w:lvl w:ilvl="6" w:tplc="83ACD230">
      <w:start w:val="1"/>
      <w:numFmt w:val="decimal"/>
      <w:lvlText w:val="%7."/>
      <w:lvlJc w:val="left"/>
      <w:pPr>
        <w:ind w:left="5040" w:hanging="360"/>
      </w:pPr>
    </w:lvl>
    <w:lvl w:ilvl="7" w:tplc="11122DAE">
      <w:start w:val="1"/>
      <w:numFmt w:val="lowerLetter"/>
      <w:lvlText w:val="%8."/>
      <w:lvlJc w:val="left"/>
      <w:pPr>
        <w:ind w:left="5760" w:hanging="360"/>
      </w:pPr>
    </w:lvl>
    <w:lvl w:ilvl="8" w:tplc="C6DA1498">
      <w:start w:val="1"/>
      <w:numFmt w:val="lowerRoman"/>
      <w:lvlText w:val="%9."/>
      <w:lvlJc w:val="right"/>
      <w:pPr>
        <w:ind w:left="6480" w:hanging="180"/>
      </w:p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47764767">
    <w:abstractNumId w:val="14"/>
  </w:num>
  <w:num w:numId="2" w16cid:durableId="446001254">
    <w:abstractNumId w:val="6"/>
  </w:num>
  <w:num w:numId="3" w16cid:durableId="19571791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941716164">
    <w:abstractNumId w:val="17"/>
  </w:num>
  <w:num w:numId="5" w16cid:durableId="709496561">
    <w:abstractNumId w:val="25"/>
  </w:num>
  <w:num w:numId="6" w16cid:durableId="67772873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7" w16cid:durableId="1395734728">
    <w:abstractNumId w:val="8"/>
  </w:num>
  <w:num w:numId="8" w16cid:durableId="1147863642">
    <w:abstractNumId w:val="7"/>
  </w:num>
  <w:num w:numId="9" w16cid:durableId="767191647">
    <w:abstractNumId w:val="1"/>
  </w:num>
  <w:num w:numId="10" w16cid:durableId="888348117">
    <w:abstractNumId w:val="13"/>
  </w:num>
  <w:num w:numId="11" w16cid:durableId="782843988">
    <w:abstractNumId w:val="27"/>
  </w:num>
  <w:num w:numId="12" w16cid:durableId="982202383">
    <w:abstractNumId w:val="2"/>
  </w:num>
  <w:num w:numId="13" w16cid:durableId="1888372460">
    <w:abstractNumId w:val="20"/>
  </w:num>
  <w:num w:numId="14" w16cid:durableId="527834372">
    <w:abstractNumId w:val="3"/>
  </w:num>
  <w:num w:numId="15" w16cid:durableId="1927374624">
    <w:abstractNumId w:val="19"/>
  </w:num>
  <w:num w:numId="16" w16cid:durableId="694765848">
    <w:abstractNumId w:val="9"/>
  </w:num>
  <w:num w:numId="17" w16cid:durableId="321199164">
    <w:abstractNumId w:val="23"/>
  </w:num>
  <w:num w:numId="18" w16cid:durableId="1233656736">
    <w:abstractNumId w:val="5"/>
  </w:num>
  <w:num w:numId="19" w16cid:durableId="443234164">
    <w:abstractNumId w:val="24"/>
  </w:num>
  <w:num w:numId="20" w16cid:durableId="775029009">
    <w:abstractNumId w:val="16"/>
  </w:num>
  <w:num w:numId="21" w16cid:durableId="1526627965">
    <w:abstractNumId w:val="30"/>
  </w:num>
  <w:num w:numId="22" w16cid:durableId="1952593374">
    <w:abstractNumId w:val="12"/>
  </w:num>
  <w:num w:numId="23" w16cid:durableId="875461291">
    <w:abstractNumId w:val="10"/>
  </w:num>
  <w:num w:numId="24" w16cid:durableId="536939087">
    <w:abstractNumId w:val="15"/>
  </w:num>
  <w:num w:numId="25" w16cid:durableId="1187594532">
    <w:abstractNumId w:val="21"/>
  </w:num>
  <w:num w:numId="26" w16cid:durableId="1317877056">
    <w:abstractNumId w:val="28"/>
  </w:num>
  <w:num w:numId="27" w16cid:durableId="1362126589">
    <w:abstractNumId w:val="4"/>
  </w:num>
  <w:num w:numId="28" w16cid:durableId="2035422551">
    <w:abstractNumId w:val="18"/>
  </w:num>
  <w:num w:numId="29" w16cid:durableId="81219592">
    <w:abstractNumId w:val="22"/>
  </w:num>
  <w:num w:numId="30" w16cid:durableId="1375884542">
    <w:abstractNumId w:val="29"/>
  </w:num>
  <w:num w:numId="31" w16cid:durableId="750542943">
    <w:abstractNumId w:val="26"/>
  </w:num>
  <w:num w:numId="32" w16cid:durableId="825239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6CFE"/>
    <w:rsid w:val="00084260"/>
    <w:rsid w:val="000A47FA"/>
    <w:rsid w:val="000A65D3"/>
    <w:rsid w:val="000B1E33"/>
    <w:rsid w:val="000D689F"/>
    <w:rsid w:val="000E7B7B"/>
    <w:rsid w:val="000E7D62"/>
    <w:rsid w:val="000F11E9"/>
    <w:rsid w:val="000F304C"/>
    <w:rsid w:val="000F5D09"/>
    <w:rsid w:val="00103357"/>
    <w:rsid w:val="0011676E"/>
    <w:rsid w:val="00123C9F"/>
    <w:rsid w:val="00126190"/>
    <w:rsid w:val="00130F17"/>
    <w:rsid w:val="001320BF"/>
    <w:rsid w:val="00163BC4"/>
    <w:rsid w:val="001813B9"/>
    <w:rsid w:val="00191062"/>
    <w:rsid w:val="00192B72"/>
    <w:rsid w:val="001A29D8"/>
    <w:rsid w:val="001A5CAA"/>
    <w:rsid w:val="001B0427"/>
    <w:rsid w:val="001D3A51"/>
    <w:rsid w:val="001D3F3F"/>
    <w:rsid w:val="001D5CFA"/>
    <w:rsid w:val="001E10D2"/>
    <w:rsid w:val="001E25B4"/>
    <w:rsid w:val="001E44FE"/>
    <w:rsid w:val="001F2745"/>
    <w:rsid w:val="00200595"/>
    <w:rsid w:val="00204835"/>
    <w:rsid w:val="00207163"/>
    <w:rsid w:val="00211254"/>
    <w:rsid w:val="00231920"/>
    <w:rsid w:val="0023195C"/>
    <w:rsid w:val="00237E9C"/>
    <w:rsid w:val="0024282C"/>
    <w:rsid w:val="002460DC"/>
    <w:rsid w:val="00250985"/>
    <w:rsid w:val="002556F6"/>
    <w:rsid w:val="00283105"/>
    <w:rsid w:val="00284C4C"/>
    <w:rsid w:val="00287E68"/>
    <w:rsid w:val="00296529"/>
    <w:rsid w:val="002B27FB"/>
    <w:rsid w:val="002B685A"/>
    <w:rsid w:val="002C114D"/>
    <w:rsid w:val="002C57D2"/>
    <w:rsid w:val="002E0D56"/>
    <w:rsid w:val="002E1C1E"/>
    <w:rsid w:val="00310EF7"/>
    <w:rsid w:val="00315186"/>
    <w:rsid w:val="003308B0"/>
    <w:rsid w:val="0033343E"/>
    <w:rsid w:val="003512C2"/>
    <w:rsid w:val="00371FB6"/>
    <w:rsid w:val="003763C1"/>
    <w:rsid w:val="00376BBE"/>
    <w:rsid w:val="0038689E"/>
    <w:rsid w:val="0039224F"/>
    <w:rsid w:val="003A43A4"/>
    <w:rsid w:val="003A7E18"/>
    <w:rsid w:val="003B7592"/>
    <w:rsid w:val="003C404F"/>
    <w:rsid w:val="003C4C86"/>
    <w:rsid w:val="003C5F66"/>
    <w:rsid w:val="003C6258"/>
    <w:rsid w:val="003E2904"/>
    <w:rsid w:val="00401927"/>
    <w:rsid w:val="0041027F"/>
    <w:rsid w:val="00412475"/>
    <w:rsid w:val="00423789"/>
    <w:rsid w:val="00440F43"/>
    <w:rsid w:val="00441B6F"/>
    <w:rsid w:val="00446221"/>
    <w:rsid w:val="00450E62"/>
    <w:rsid w:val="004539DB"/>
    <w:rsid w:val="00463926"/>
    <w:rsid w:val="00471A80"/>
    <w:rsid w:val="004B6B48"/>
    <w:rsid w:val="004D305E"/>
    <w:rsid w:val="004D4277"/>
    <w:rsid w:val="004F739C"/>
    <w:rsid w:val="00502516"/>
    <w:rsid w:val="00502860"/>
    <w:rsid w:val="00505F06"/>
    <w:rsid w:val="00506828"/>
    <w:rsid w:val="005219D8"/>
    <w:rsid w:val="0053056E"/>
    <w:rsid w:val="005534A1"/>
    <w:rsid w:val="00553718"/>
    <w:rsid w:val="00554FDA"/>
    <w:rsid w:val="0056044F"/>
    <w:rsid w:val="005C784C"/>
    <w:rsid w:val="005D17F6"/>
    <w:rsid w:val="005E5539"/>
    <w:rsid w:val="00602BF5"/>
    <w:rsid w:val="00617FDD"/>
    <w:rsid w:val="00633614"/>
    <w:rsid w:val="00633F68"/>
    <w:rsid w:val="00636EB2"/>
    <w:rsid w:val="006375B8"/>
    <w:rsid w:val="006469CD"/>
    <w:rsid w:val="00661CE3"/>
    <w:rsid w:val="0066510A"/>
    <w:rsid w:val="00673F9F"/>
    <w:rsid w:val="00686953"/>
    <w:rsid w:val="00687DEA"/>
    <w:rsid w:val="00687E67"/>
    <w:rsid w:val="006967F7"/>
    <w:rsid w:val="006A250C"/>
    <w:rsid w:val="006A5256"/>
    <w:rsid w:val="006B21D3"/>
    <w:rsid w:val="006B57D0"/>
    <w:rsid w:val="006D30FF"/>
    <w:rsid w:val="006D6940"/>
    <w:rsid w:val="006F11EC"/>
    <w:rsid w:val="0070082C"/>
    <w:rsid w:val="00700B29"/>
    <w:rsid w:val="007369E6"/>
    <w:rsid w:val="00745E58"/>
    <w:rsid w:val="00746E59"/>
    <w:rsid w:val="00754C9A"/>
    <w:rsid w:val="0075599A"/>
    <w:rsid w:val="00761D52"/>
    <w:rsid w:val="00776F69"/>
    <w:rsid w:val="0077749E"/>
    <w:rsid w:val="00790ADA"/>
    <w:rsid w:val="007A5091"/>
    <w:rsid w:val="007C0B45"/>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04C71"/>
    <w:rsid w:val="00915CA6"/>
    <w:rsid w:val="009254C5"/>
    <w:rsid w:val="00927834"/>
    <w:rsid w:val="009500A6"/>
    <w:rsid w:val="00957C18"/>
    <w:rsid w:val="009659BA"/>
    <w:rsid w:val="00983040"/>
    <w:rsid w:val="009B3FB9"/>
    <w:rsid w:val="009C2465"/>
    <w:rsid w:val="009D35A0"/>
    <w:rsid w:val="009D7EB7"/>
    <w:rsid w:val="009E048A"/>
    <w:rsid w:val="009E08E9"/>
    <w:rsid w:val="009E2B8D"/>
    <w:rsid w:val="009E3DB9"/>
    <w:rsid w:val="009E6E35"/>
    <w:rsid w:val="009F0EDA"/>
    <w:rsid w:val="00A03B96"/>
    <w:rsid w:val="00A05B19"/>
    <w:rsid w:val="00A1134E"/>
    <w:rsid w:val="00A24E7E"/>
    <w:rsid w:val="00A258C3"/>
    <w:rsid w:val="00A347C0"/>
    <w:rsid w:val="00A51431"/>
    <w:rsid w:val="00A539AD"/>
    <w:rsid w:val="00A90C87"/>
    <w:rsid w:val="00A94063"/>
    <w:rsid w:val="00AA6219"/>
    <w:rsid w:val="00AA74E0"/>
    <w:rsid w:val="00AB703F"/>
    <w:rsid w:val="00AC6BB8"/>
    <w:rsid w:val="00AE008F"/>
    <w:rsid w:val="00AF3353"/>
    <w:rsid w:val="00B01BCE"/>
    <w:rsid w:val="00B01FCD"/>
    <w:rsid w:val="00B14A2E"/>
    <w:rsid w:val="00B14F35"/>
    <w:rsid w:val="00B14F63"/>
    <w:rsid w:val="00B1776C"/>
    <w:rsid w:val="00B25A1E"/>
    <w:rsid w:val="00B3BB00"/>
    <w:rsid w:val="00B52583"/>
    <w:rsid w:val="00B52896"/>
    <w:rsid w:val="00B95236"/>
    <w:rsid w:val="00B96BD9"/>
    <w:rsid w:val="00BA1B01"/>
    <w:rsid w:val="00BA2641"/>
    <w:rsid w:val="00BB37AA"/>
    <w:rsid w:val="00BC53A0"/>
    <w:rsid w:val="00BD65A3"/>
    <w:rsid w:val="00BE62AD"/>
    <w:rsid w:val="00BF121F"/>
    <w:rsid w:val="00BF1F80"/>
    <w:rsid w:val="00C166EF"/>
    <w:rsid w:val="00C17EB0"/>
    <w:rsid w:val="00C27F5F"/>
    <w:rsid w:val="00C30A0F"/>
    <w:rsid w:val="00C37E61"/>
    <w:rsid w:val="00C70F1B"/>
    <w:rsid w:val="00C71A47"/>
    <w:rsid w:val="00C7464C"/>
    <w:rsid w:val="00C85588"/>
    <w:rsid w:val="00CC37B4"/>
    <w:rsid w:val="00CD6755"/>
    <w:rsid w:val="00CD6856"/>
    <w:rsid w:val="00CE0089"/>
    <w:rsid w:val="00CE793C"/>
    <w:rsid w:val="00CF193C"/>
    <w:rsid w:val="00D074C7"/>
    <w:rsid w:val="00D173F1"/>
    <w:rsid w:val="00D62153"/>
    <w:rsid w:val="00D74CB0"/>
    <w:rsid w:val="00D8295D"/>
    <w:rsid w:val="00D903E6"/>
    <w:rsid w:val="00DC2A65"/>
    <w:rsid w:val="00DE15F0"/>
    <w:rsid w:val="00DE5663"/>
    <w:rsid w:val="00DE78AA"/>
    <w:rsid w:val="00DF6B53"/>
    <w:rsid w:val="00E00D0C"/>
    <w:rsid w:val="00E053D0"/>
    <w:rsid w:val="00E15994"/>
    <w:rsid w:val="00E3114E"/>
    <w:rsid w:val="00E31A70"/>
    <w:rsid w:val="00E35B02"/>
    <w:rsid w:val="00E66496"/>
    <w:rsid w:val="00E66B35"/>
    <w:rsid w:val="00E66E10"/>
    <w:rsid w:val="00E769F6"/>
    <w:rsid w:val="00E8407C"/>
    <w:rsid w:val="00E84F3C"/>
    <w:rsid w:val="00EA012C"/>
    <w:rsid w:val="00EC1876"/>
    <w:rsid w:val="00EC6A55"/>
    <w:rsid w:val="00ED0288"/>
    <w:rsid w:val="00EE52CB"/>
    <w:rsid w:val="00EF581D"/>
    <w:rsid w:val="00EF7FD8"/>
    <w:rsid w:val="00F06F59"/>
    <w:rsid w:val="00F17988"/>
    <w:rsid w:val="00F469F0"/>
    <w:rsid w:val="00F53273"/>
    <w:rsid w:val="00F64AD7"/>
    <w:rsid w:val="00F755E4"/>
    <w:rsid w:val="00F77D02"/>
    <w:rsid w:val="00FA25E0"/>
    <w:rsid w:val="00FB3A86"/>
    <w:rsid w:val="00FD36C8"/>
    <w:rsid w:val="0138FE2D"/>
    <w:rsid w:val="01FD02C1"/>
    <w:rsid w:val="02AB648B"/>
    <w:rsid w:val="047653E5"/>
    <w:rsid w:val="0713A8B0"/>
    <w:rsid w:val="081AFA0B"/>
    <w:rsid w:val="08487397"/>
    <w:rsid w:val="0951D141"/>
    <w:rsid w:val="0989CD64"/>
    <w:rsid w:val="09F54731"/>
    <w:rsid w:val="0A33AA1B"/>
    <w:rsid w:val="0A484B57"/>
    <w:rsid w:val="0A715A51"/>
    <w:rsid w:val="0AA614A2"/>
    <w:rsid w:val="0AFEECAF"/>
    <w:rsid w:val="0B89F223"/>
    <w:rsid w:val="0DA607A4"/>
    <w:rsid w:val="0DD3EA57"/>
    <w:rsid w:val="0FB79EB9"/>
    <w:rsid w:val="10B21704"/>
    <w:rsid w:val="113CEBEA"/>
    <w:rsid w:val="11735B28"/>
    <w:rsid w:val="12C5DBE3"/>
    <w:rsid w:val="13A08514"/>
    <w:rsid w:val="149F0956"/>
    <w:rsid w:val="14A88FDA"/>
    <w:rsid w:val="14A9C1D5"/>
    <w:rsid w:val="14E0EB8B"/>
    <w:rsid w:val="15BC4794"/>
    <w:rsid w:val="167AD34F"/>
    <w:rsid w:val="1747A16E"/>
    <w:rsid w:val="1880130B"/>
    <w:rsid w:val="18E1C9D9"/>
    <w:rsid w:val="19D1DA9B"/>
    <w:rsid w:val="1BE340FF"/>
    <w:rsid w:val="1F37BDA2"/>
    <w:rsid w:val="1F8B25FE"/>
    <w:rsid w:val="1FABBADD"/>
    <w:rsid w:val="21D92471"/>
    <w:rsid w:val="233A0D7E"/>
    <w:rsid w:val="23CF23FA"/>
    <w:rsid w:val="250FA573"/>
    <w:rsid w:val="25AE26CA"/>
    <w:rsid w:val="284A3A32"/>
    <w:rsid w:val="298621B0"/>
    <w:rsid w:val="2B57CBEB"/>
    <w:rsid w:val="2BBBA194"/>
    <w:rsid w:val="2E8FFEF7"/>
    <w:rsid w:val="2F0E92DA"/>
    <w:rsid w:val="2F21609C"/>
    <w:rsid w:val="31E01D5E"/>
    <w:rsid w:val="3413CF43"/>
    <w:rsid w:val="3454331D"/>
    <w:rsid w:val="34DDBB7C"/>
    <w:rsid w:val="34F46D22"/>
    <w:rsid w:val="35590FC8"/>
    <w:rsid w:val="35EB0577"/>
    <w:rsid w:val="364416E4"/>
    <w:rsid w:val="37EEE6E7"/>
    <w:rsid w:val="39F049F1"/>
    <w:rsid w:val="3B22E421"/>
    <w:rsid w:val="3CA381A8"/>
    <w:rsid w:val="3F30F93C"/>
    <w:rsid w:val="4041439E"/>
    <w:rsid w:val="41F6A1B0"/>
    <w:rsid w:val="42E76F26"/>
    <w:rsid w:val="44EF55EC"/>
    <w:rsid w:val="45796FFD"/>
    <w:rsid w:val="45A1CDD3"/>
    <w:rsid w:val="460F195A"/>
    <w:rsid w:val="476486F6"/>
    <w:rsid w:val="48C345C1"/>
    <w:rsid w:val="49865432"/>
    <w:rsid w:val="49CFF5BF"/>
    <w:rsid w:val="4C3CB39C"/>
    <w:rsid w:val="4C77312B"/>
    <w:rsid w:val="4CB76CB3"/>
    <w:rsid w:val="4CF6FF0A"/>
    <w:rsid w:val="4F498658"/>
    <w:rsid w:val="4FD1D5B3"/>
    <w:rsid w:val="50C8A2B3"/>
    <w:rsid w:val="50DC7AAF"/>
    <w:rsid w:val="53437B8E"/>
    <w:rsid w:val="53A6BBA1"/>
    <w:rsid w:val="56B2F912"/>
    <w:rsid w:val="56BB7ADD"/>
    <w:rsid w:val="58FC7DE9"/>
    <w:rsid w:val="59D8D380"/>
    <w:rsid w:val="59F3E827"/>
    <w:rsid w:val="5A2C742F"/>
    <w:rsid w:val="5B44C2AF"/>
    <w:rsid w:val="5BB5AE82"/>
    <w:rsid w:val="5CA6898D"/>
    <w:rsid w:val="5CCE65EB"/>
    <w:rsid w:val="5DF958B0"/>
    <w:rsid w:val="5F0BB163"/>
    <w:rsid w:val="5F810FB3"/>
    <w:rsid w:val="5F87FF62"/>
    <w:rsid w:val="6017D6BB"/>
    <w:rsid w:val="6031588D"/>
    <w:rsid w:val="643D180C"/>
    <w:rsid w:val="65EC58AA"/>
    <w:rsid w:val="66E5A6A9"/>
    <w:rsid w:val="679CA567"/>
    <w:rsid w:val="68BE80E8"/>
    <w:rsid w:val="6BECD959"/>
    <w:rsid w:val="6BF3E9A2"/>
    <w:rsid w:val="6C3AE362"/>
    <w:rsid w:val="6CAF92FF"/>
    <w:rsid w:val="6D1695A1"/>
    <w:rsid w:val="6D4C3AC8"/>
    <w:rsid w:val="6DB822DB"/>
    <w:rsid w:val="6E8BA4FF"/>
    <w:rsid w:val="6F7F597F"/>
    <w:rsid w:val="71EE91AE"/>
    <w:rsid w:val="71F89555"/>
    <w:rsid w:val="7277C655"/>
    <w:rsid w:val="72B57466"/>
    <w:rsid w:val="749784A5"/>
    <w:rsid w:val="7BA225AA"/>
    <w:rsid w:val="7C95979B"/>
    <w:rsid w:val="7D5F6F46"/>
    <w:rsid w:val="7EA6B916"/>
    <w:rsid w:val="7FCD6CB2"/>
    <w:rsid w:val="7FEDD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5"/>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8FC4-4748-4331-BA55-03FDFB38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TotalTime>
  <Pages>6</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Paxman Uku</cp:lastModifiedBy>
  <cp:revision>32</cp:revision>
  <cp:lastPrinted>1999-07-06T11:00:00Z</cp:lastPrinted>
  <dcterms:created xsi:type="dcterms:W3CDTF">2014-10-25T14:34:00Z</dcterms:created>
  <dcterms:modified xsi:type="dcterms:W3CDTF">2025-08-11T16:05:00Z</dcterms:modified>
</cp:coreProperties>
</file>