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D89C1" w14:textId="44F97E98" w:rsidR="009C21B6" w:rsidRPr="00F5433A" w:rsidRDefault="00183217" w:rsidP="005E7F8E">
      <w:pPr>
        <w:jc w:val="center"/>
        <w:rPr>
          <w:rFonts w:ascii="Arial" w:hAnsi="Arial" w:cs="Arial"/>
          <w:b/>
          <w:bCs/>
          <w:sz w:val="28"/>
          <w:szCs w:val="28"/>
        </w:rPr>
      </w:pPr>
      <w:r w:rsidRPr="00F6244B">
        <w:rPr>
          <w:rFonts w:ascii="Arial" w:hAnsi="Arial" w:cs="Arial"/>
          <w:b/>
          <w:bCs/>
          <w:sz w:val="28"/>
          <w:szCs w:val="28"/>
        </w:rPr>
        <w:t xml:space="preserve">Enhancing Paddy Yield in </w:t>
      </w:r>
      <w:proofErr w:type="spellStart"/>
      <w:r w:rsidRPr="00F6244B">
        <w:rPr>
          <w:rFonts w:ascii="Arial" w:hAnsi="Arial" w:cs="Arial"/>
          <w:b/>
          <w:bCs/>
          <w:sz w:val="28"/>
          <w:szCs w:val="28"/>
        </w:rPr>
        <w:t>Kole</w:t>
      </w:r>
      <w:proofErr w:type="spellEnd"/>
      <w:r w:rsidRPr="00F6244B">
        <w:rPr>
          <w:rFonts w:ascii="Arial" w:hAnsi="Arial" w:cs="Arial"/>
          <w:b/>
          <w:bCs/>
          <w:sz w:val="28"/>
          <w:szCs w:val="28"/>
        </w:rPr>
        <w:t xml:space="preserve"> Wetlands: </w:t>
      </w:r>
      <w:proofErr w:type="spellStart"/>
      <w:r w:rsidRPr="00F6244B">
        <w:rPr>
          <w:rFonts w:ascii="Arial" w:hAnsi="Arial" w:cs="Arial"/>
          <w:b/>
          <w:bCs/>
          <w:sz w:val="28"/>
          <w:szCs w:val="28"/>
        </w:rPr>
        <w:t>Padasekharam</w:t>
      </w:r>
      <w:proofErr w:type="spellEnd"/>
      <w:r w:rsidR="003205C8">
        <w:rPr>
          <w:rFonts w:ascii="Arial" w:hAnsi="Arial" w:cs="Arial"/>
          <w:b/>
          <w:bCs/>
          <w:sz w:val="28"/>
          <w:szCs w:val="28"/>
        </w:rPr>
        <w:t xml:space="preserve"> </w:t>
      </w:r>
      <w:r w:rsidRPr="00F6244B">
        <w:rPr>
          <w:rFonts w:ascii="Arial" w:hAnsi="Arial" w:cs="Arial"/>
          <w:b/>
          <w:bCs/>
          <w:sz w:val="28"/>
          <w:szCs w:val="28"/>
        </w:rPr>
        <w:t xml:space="preserve">Level Classification and Intervention Strategies </w:t>
      </w:r>
    </w:p>
    <w:p w14:paraId="6BDC04BE" w14:textId="77777777" w:rsidR="007E3C54" w:rsidRPr="00D211F0" w:rsidRDefault="007E3C54" w:rsidP="002A5D34">
      <w:pPr>
        <w:jc w:val="both"/>
        <w:rPr>
          <w:rFonts w:asciiTheme="majorHAnsi" w:hAnsiTheme="majorHAnsi"/>
          <w:sz w:val="24"/>
          <w:szCs w:val="24"/>
        </w:rPr>
      </w:pPr>
    </w:p>
    <w:p w14:paraId="7A7CE5F9" w14:textId="77777777" w:rsidR="009C21B6" w:rsidRPr="00F6244B" w:rsidRDefault="00183217" w:rsidP="002A5D34">
      <w:pPr>
        <w:pStyle w:val="Heading1"/>
        <w:jc w:val="both"/>
        <w:rPr>
          <w:rFonts w:ascii="Arial" w:hAnsi="Arial" w:cs="Arial"/>
          <w:color w:val="auto"/>
          <w:sz w:val="20"/>
          <w:szCs w:val="20"/>
        </w:rPr>
      </w:pPr>
      <w:r w:rsidRPr="00F6244B">
        <w:rPr>
          <w:rFonts w:ascii="Arial" w:hAnsi="Arial" w:cs="Arial"/>
          <w:color w:val="auto"/>
          <w:sz w:val="20"/>
          <w:szCs w:val="20"/>
        </w:rPr>
        <w:t>Abstract</w:t>
      </w:r>
    </w:p>
    <w:p w14:paraId="248F8CE7" w14:textId="422B2C0B" w:rsidR="009C21B6" w:rsidRDefault="00183217" w:rsidP="000F1821">
      <w:pPr>
        <w:jc w:val="both"/>
        <w:rPr>
          <w:rFonts w:ascii="Arial" w:hAnsi="Arial" w:cs="Arial"/>
          <w:sz w:val="20"/>
          <w:szCs w:val="20"/>
        </w:rPr>
      </w:pPr>
      <w:r w:rsidRPr="00F6244B">
        <w:rPr>
          <w:rFonts w:ascii="Arial" w:hAnsi="Arial" w:cs="Arial"/>
          <w:sz w:val="20"/>
          <w:szCs w:val="20"/>
        </w:rPr>
        <w:br/>
      </w:r>
      <w:r w:rsidR="00F5433A" w:rsidRPr="00F5433A">
        <w:rPr>
          <w:rFonts w:ascii="Arial" w:hAnsi="Arial" w:cs="Arial"/>
          <w:sz w:val="20"/>
          <w:szCs w:val="20"/>
        </w:rPr>
        <w:t xml:space="preserve">The Kole Wetlands of Kerala, a Ramsar-designated agroecosystem, play a vital role in regional food security, climate regulation, and rural livelihoods. This study presents a novel </w:t>
      </w:r>
      <w:proofErr w:type="spellStart"/>
      <w:r w:rsidR="00F5433A" w:rsidRPr="00F5433A">
        <w:rPr>
          <w:rFonts w:ascii="Arial" w:hAnsi="Arial" w:cs="Arial"/>
          <w:sz w:val="20"/>
          <w:szCs w:val="20"/>
        </w:rPr>
        <w:t>padasekharam</w:t>
      </w:r>
      <w:proofErr w:type="spellEnd"/>
      <w:r w:rsidR="00F5433A" w:rsidRPr="00F5433A">
        <w:rPr>
          <w:rFonts w:ascii="Arial" w:hAnsi="Arial" w:cs="Arial"/>
          <w:sz w:val="20"/>
          <w:szCs w:val="20"/>
        </w:rPr>
        <w:t xml:space="preserve">-level classification model that integrates five-year productivity data (2019–2023), cultivated area, and inter-annual yield stability (Coefficient of Variation, CV) to identify heterogeneity across 271 management units. </w:t>
      </w:r>
      <w:proofErr w:type="spellStart"/>
      <w:r w:rsidR="00F5433A" w:rsidRPr="00F5433A">
        <w:rPr>
          <w:rFonts w:ascii="Arial" w:hAnsi="Arial" w:cs="Arial"/>
          <w:sz w:val="20"/>
          <w:szCs w:val="20"/>
        </w:rPr>
        <w:t>Padasekharams</w:t>
      </w:r>
      <w:proofErr w:type="spellEnd"/>
      <w:r w:rsidR="00F5433A" w:rsidRPr="00F5433A">
        <w:rPr>
          <w:rFonts w:ascii="Arial" w:hAnsi="Arial" w:cs="Arial"/>
          <w:sz w:val="20"/>
          <w:szCs w:val="20"/>
        </w:rPr>
        <w:t xml:space="preserve"> were grouped into eight typologies (A–H) using a three-dimensional framework: size (large/small), yield level (high/low), and yield stability (stable/unstable; CV threshold: 20%). Results revealed stark contrasts: Groups A (Large–High–Stable) and E (Small</w:t>
      </w:r>
      <w:r w:rsidR="00F5433A" w:rsidRPr="0084362B">
        <w:rPr>
          <w:rFonts w:ascii="Arial" w:hAnsi="Arial" w:cs="Arial"/>
          <w:sz w:val="20"/>
          <w:szCs w:val="20"/>
        </w:rPr>
        <w:t xml:space="preserve">–High–Stable) demonstrated consistent performance due to robust infrastructure and climate-smart practices, while Groups D (Large–Low–Unstable) and H (Small–Low–Unstable) suffered from high volatility (CV &gt;75%), driven by bund degradation, drainage congestion, and agronomic lapses. A group-specific intervention matrix linked field performance to tailored strategies, emphasizing water infrastructure rehabilitation (e.g., sluice installation for Group H), risk mitigation (e.g., submergence-tolerant varieties for Group F), and precision agronomy </w:t>
      </w:r>
      <w:r w:rsidR="0084362B" w:rsidRPr="0084362B">
        <w:rPr>
          <w:rFonts w:ascii="Arial" w:hAnsi="Arial" w:cs="Arial"/>
          <w:sz w:val="20"/>
          <w:szCs w:val="20"/>
        </w:rPr>
        <w:t>(e.g., site-specific nutrient scheduling and Alternate Wetting and Drying</w:t>
      </w:r>
      <w:r w:rsidR="00F5433A" w:rsidRPr="0084362B">
        <w:rPr>
          <w:rFonts w:ascii="Arial" w:hAnsi="Arial" w:cs="Arial"/>
          <w:sz w:val="20"/>
          <w:szCs w:val="20"/>
        </w:rPr>
        <w:t xml:space="preserve"> for Group A). </w:t>
      </w:r>
      <w:r w:rsidR="0084362B" w:rsidRPr="0084362B">
        <w:rPr>
          <w:rFonts w:ascii="Arial" w:hAnsi="Arial" w:cs="Arial"/>
          <w:sz w:val="20"/>
          <w:szCs w:val="20"/>
        </w:rPr>
        <w:t xml:space="preserve">Beyond the Kole, the model has applicability for similar floodplain rice ecosystems in </w:t>
      </w:r>
      <w:proofErr w:type="spellStart"/>
      <w:r w:rsidR="0084362B" w:rsidRPr="0084362B">
        <w:rPr>
          <w:rFonts w:ascii="Arial" w:hAnsi="Arial" w:cs="Arial"/>
          <w:sz w:val="20"/>
          <w:szCs w:val="20"/>
        </w:rPr>
        <w:t>Kuttanad</w:t>
      </w:r>
      <w:proofErr w:type="spellEnd"/>
      <w:r w:rsidR="0084362B" w:rsidRPr="0084362B">
        <w:rPr>
          <w:rFonts w:ascii="Arial" w:hAnsi="Arial" w:cs="Arial"/>
          <w:sz w:val="20"/>
          <w:szCs w:val="20"/>
        </w:rPr>
        <w:t xml:space="preserve"> (India), the </w:t>
      </w:r>
      <w:proofErr w:type="spellStart"/>
      <w:r w:rsidR="0084362B" w:rsidRPr="0084362B">
        <w:rPr>
          <w:rFonts w:ascii="Arial" w:hAnsi="Arial" w:cs="Arial"/>
          <w:sz w:val="20"/>
          <w:szCs w:val="20"/>
        </w:rPr>
        <w:t>Haor</w:t>
      </w:r>
      <w:proofErr w:type="spellEnd"/>
      <w:r w:rsidR="0084362B" w:rsidRPr="0084362B">
        <w:rPr>
          <w:rFonts w:ascii="Arial" w:hAnsi="Arial" w:cs="Arial"/>
          <w:sz w:val="20"/>
          <w:szCs w:val="20"/>
        </w:rPr>
        <w:t xml:space="preserve"> basins (Bangladesh), and the Mekong Delta (Vietnam). By linking yield classification with actionable strategies, this framework shifts policy emphasis from blanket subsidies toward localized, climate-smart investments. The approach supports Kerala’s Climate-Resilient Agriculture Mission and contributes to Sustainable Development Goal 2 (Zero Hunger).</w:t>
      </w:r>
    </w:p>
    <w:p w14:paraId="1A3C3176" w14:textId="06DB62CE" w:rsidR="00C24273" w:rsidRPr="00F6244B" w:rsidRDefault="00C24273" w:rsidP="000F1821">
      <w:pPr>
        <w:jc w:val="both"/>
        <w:rPr>
          <w:rFonts w:ascii="Arial" w:hAnsi="Arial" w:cs="Arial"/>
          <w:sz w:val="20"/>
          <w:szCs w:val="20"/>
        </w:rPr>
      </w:pPr>
      <w:r>
        <w:rPr>
          <w:rFonts w:ascii="Arial" w:hAnsi="Arial" w:cs="Arial"/>
          <w:sz w:val="20"/>
          <w:szCs w:val="20"/>
        </w:rPr>
        <w:t xml:space="preserve">Key words: </w:t>
      </w:r>
      <w:r w:rsidR="0051212A" w:rsidRPr="0051212A">
        <w:rPr>
          <w:rFonts w:ascii="Arial" w:hAnsi="Arial" w:cs="Arial"/>
          <w:bCs/>
          <w:i/>
          <w:sz w:val="18"/>
          <w:szCs w:val="28"/>
        </w:rPr>
        <w:t xml:space="preserve">Paddy Yield, </w:t>
      </w:r>
      <w:proofErr w:type="spellStart"/>
      <w:r w:rsidR="0051212A" w:rsidRPr="0051212A">
        <w:rPr>
          <w:rFonts w:ascii="Arial" w:hAnsi="Arial" w:cs="Arial"/>
          <w:bCs/>
          <w:i/>
          <w:sz w:val="18"/>
          <w:szCs w:val="28"/>
        </w:rPr>
        <w:t>Kole</w:t>
      </w:r>
      <w:proofErr w:type="spellEnd"/>
      <w:r w:rsidR="0051212A" w:rsidRPr="0051212A">
        <w:rPr>
          <w:rFonts w:ascii="Arial" w:hAnsi="Arial" w:cs="Arial"/>
          <w:bCs/>
          <w:i/>
          <w:sz w:val="18"/>
          <w:szCs w:val="28"/>
        </w:rPr>
        <w:t xml:space="preserve"> Wetlands, Intervention Strategies, </w:t>
      </w:r>
      <w:proofErr w:type="spellStart"/>
      <w:r w:rsidR="0051212A" w:rsidRPr="0051212A">
        <w:rPr>
          <w:rFonts w:ascii="Arial" w:hAnsi="Arial" w:cs="Arial"/>
          <w:bCs/>
          <w:i/>
          <w:sz w:val="18"/>
          <w:szCs w:val="28"/>
        </w:rPr>
        <w:t>Padasekharam</w:t>
      </w:r>
      <w:proofErr w:type="spellEnd"/>
      <w:r w:rsidR="0051212A" w:rsidRPr="0051212A">
        <w:rPr>
          <w:rFonts w:ascii="Arial" w:hAnsi="Arial" w:cs="Arial"/>
          <w:bCs/>
          <w:i/>
          <w:sz w:val="18"/>
          <w:szCs w:val="28"/>
        </w:rPr>
        <w:t xml:space="preserve"> Level Classification</w:t>
      </w:r>
    </w:p>
    <w:p w14:paraId="321D2EBE"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1. Introduction</w:t>
      </w:r>
    </w:p>
    <w:p w14:paraId="24970B0A"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The Kole Wetlands of Kerala, extending across the Thrissur and Malappuram districts, represent one of India’s most unique paddy ecosystems. Recognized under the Ramsar Convention, these wetlands span over 13,600 hectares and support seasonal rice cultivation on alluvial floodplains using a bunded basin system. Paddy farming in the Kole is crucial not just for food security but also for rural employment, ecosystem services, and flood mitigation. Despite these benefits, the region faces growing stress due to climate variability, delays in water release, bund failure, and declining returns from rice cultivation. Local communities report falling productivity and increasing uncertainty in cropping decisions.</w:t>
      </w:r>
    </w:p>
    <w:p w14:paraId="518F3435" w14:textId="3DB0E807" w:rsidR="009C21B6" w:rsidRPr="00F6244B" w:rsidRDefault="00183217" w:rsidP="002A5D34">
      <w:pPr>
        <w:jc w:val="both"/>
        <w:rPr>
          <w:rFonts w:ascii="Arial" w:hAnsi="Arial" w:cs="Arial"/>
          <w:sz w:val="20"/>
          <w:szCs w:val="20"/>
        </w:rPr>
      </w:pPr>
      <w:r w:rsidRPr="00F6244B">
        <w:rPr>
          <w:rFonts w:ascii="Arial" w:hAnsi="Arial" w:cs="Arial"/>
          <w:sz w:val="20"/>
          <w:szCs w:val="20"/>
        </w:rPr>
        <w:t>Existing literature has highlighted several drivers behind stagnating paddy yields in Kerala, such as poor varietal replacement, low investment in irrigation modernization, and lack of site-specific advisory systems (</w:t>
      </w:r>
      <w:r w:rsidR="000F1821" w:rsidRPr="00F6244B">
        <w:rPr>
          <w:rFonts w:ascii="Arial" w:hAnsi="Arial" w:cs="Arial"/>
          <w:sz w:val="20"/>
          <w:szCs w:val="20"/>
        </w:rPr>
        <w:t xml:space="preserve">Sunil </w:t>
      </w:r>
      <w:r w:rsidR="00F6244B" w:rsidRPr="00F6244B">
        <w:rPr>
          <w:rFonts w:ascii="Arial" w:hAnsi="Arial" w:cs="Arial"/>
          <w:i/>
          <w:iCs/>
          <w:sz w:val="20"/>
          <w:szCs w:val="20"/>
        </w:rPr>
        <w:t>e</w:t>
      </w:r>
      <w:r w:rsidR="00AD51CB">
        <w:rPr>
          <w:rFonts w:ascii="Arial" w:hAnsi="Arial" w:cs="Arial"/>
          <w:i/>
          <w:iCs/>
          <w:sz w:val="20"/>
          <w:szCs w:val="20"/>
        </w:rPr>
        <w:t>t</w:t>
      </w:r>
      <w:r w:rsidR="00F6244B" w:rsidRPr="00F6244B">
        <w:rPr>
          <w:rFonts w:ascii="Arial" w:hAnsi="Arial" w:cs="Arial"/>
          <w:i/>
          <w:iCs/>
          <w:sz w:val="20"/>
          <w:szCs w:val="20"/>
        </w:rPr>
        <w:t xml:space="preserve"> al</w:t>
      </w:r>
      <w:r w:rsidR="000F1821" w:rsidRPr="00F6244B">
        <w:rPr>
          <w:rFonts w:ascii="Arial" w:hAnsi="Arial" w:cs="Arial"/>
          <w:sz w:val="20"/>
          <w:szCs w:val="20"/>
        </w:rPr>
        <w:t xml:space="preserve">., 2023; </w:t>
      </w:r>
      <w:r w:rsidRPr="00F6244B">
        <w:rPr>
          <w:rFonts w:ascii="Arial" w:hAnsi="Arial" w:cs="Arial"/>
          <w:sz w:val="20"/>
          <w:szCs w:val="20"/>
        </w:rPr>
        <w:t>Ka</w:t>
      </w:r>
      <w:r w:rsidR="00016C76" w:rsidRPr="00F6244B">
        <w:rPr>
          <w:rFonts w:ascii="Arial" w:hAnsi="Arial" w:cs="Arial"/>
          <w:sz w:val="20"/>
          <w:szCs w:val="20"/>
        </w:rPr>
        <w:t>runakaran</w:t>
      </w:r>
      <w:r w:rsidRPr="00F6244B">
        <w:rPr>
          <w:rFonts w:ascii="Arial" w:hAnsi="Arial" w:cs="Arial"/>
          <w:sz w:val="20"/>
          <w:szCs w:val="20"/>
        </w:rPr>
        <w:t>, 201</w:t>
      </w:r>
      <w:r w:rsidR="00016C76" w:rsidRPr="00F6244B">
        <w:rPr>
          <w:rFonts w:ascii="Arial" w:hAnsi="Arial" w:cs="Arial"/>
          <w:sz w:val="20"/>
          <w:szCs w:val="20"/>
        </w:rPr>
        <w:t>4</w:t>
      </w:r>
      <w:r w:rsidRPr="00F6244B">
        <w:rPr>
          <w:rFonts w:ascii="Arial" w:hAnsi="Arial" w:cs="Arial"/>
          <w:sz w:val="20"/>
          <w:szCs w:val="20"/>
        </w:rPr>
        <w:t>; Vivek &amp; Bonny, 2023). Many government interventions adopt a uniform approach, ignoring micro-variations in field conditions, landholding structures, and productivity zones. While studies have analyzed rainfall impact (</w:t>
      </w:r>
      <w:r w:rsidR="007A3DE7" w:rsidRPr="00F6244B">
        <w:rPr>
          <w:rFonts w:ascii="Arial" w:hAnsi="Arial" w:cs="Arial"/>
          <w:sz w:val="20"/>
          <w:szCs w:val="20"/>
        </w:rPr>
        <w:t xml:space="preserve">Riya </w:t>
      </w:r>
      <w:r w:rsidR="0062547C">
        <w:rPr>
          <w:rFonts w:ascii="Arial" w:hAnsi="Arial" w:cs="Arial"/>
          <w:sz w:val="20"/>
          <w:szCs w:val="20"/>
        </w:rPr>
        <w:t>&amp;</w:t>
      </w:r>
      <w:r w:rsidR="007A3DE7" w:rsidRPr="00F6244B">
        <w:rPr>
          <w:rFonts w:ascii="Arial" w:hAnsi="Arial" w:cs="Arial"/>
          <w:sz w:val="20"/>
          <w:szCs w:val="20"/>
        </w:rPr>
        <w:t xml:space="preserve"> Ajith Kumar</w:t>
      </w:r>
      <w:r w:rsidRPr="00F6244B">
        <w:rPr>
          <w:rFonts w:ascii="Arial" w:hAnsi="Arial" w:cs="Arial"/>
          <w:sz w:val="20"/>
          <w:szCs w:val="20"/>
        </w:rPr>
        <w:t>, 20</w:t>
      </w:r>
      <w:r w:rsidR="007A3DE7" w:rsidRPr="00F6244B">
        <w:rPr>
          <w:rFonts w:ascii="Arial" w:hAnsi="Arial" w:cs="Arial"/>
          <w:sz w:val="20"/>
          <w:szCs w:val="20"/>
        </w:rPr>
        <w:t>23</w:t>
      </w:r>
      <w:r w:rsidRPr="00F6244B">
        <w:rPr>
          <w:rFonts w:ascii="Arial" w:hAnsi="Arial" w:cs="Arial"/>
          <w:sz w:val="20"/>
          <w:szCs w:val="20"/>
        </w:rPr>
        <w:t xml:space="preserve">), varietal </w:t>
      </w:r>
      <w:r w:rsidR="000F1821" w:rsidRPr="00F6244B">
        <w:rPr>
          <w:rFonts w:ascii="Arial" w:hAnsi="Arial" w:cs="Arial"/>
          <w:sz w:val="20"/>
          <w:szCs w:val="20"/>
        </w:rPr>
        <w:t>response,</w:t>
      </w:r>
      <w:r w:rsidRPr="00F6244B">
        <w:rPr>
          <w:rFonts w:ascii="Arial" w:hAnsi="Arial" w:cs="Arial"/>
          <w:sz w:val="20"/>
          <w:szCs w:val="20"/>
        </w:rPr>
        <w:t xml:space="preserve"> and farmer adaptation (</w:t>
      </w:r>
      <w:proofErr w:type="spellStart"/>
      <w:r w:rsidR="009B0F96" w:rsidRPr="00F6244B">
        <w:rPr>
          <w:rFonts w:ascii="Arial" w:hAnsi="Arial" w:cs="Arial"/>
          <w:sz w:val="20"/>
          <w:szCs w:val="20"/>
        </w:rPr>
        <w:t>Lasithamol</w:t>
      </w:r>
      <w:proofErr w:type="spellEnd"/>
      <w:r w:rsidR="009B0F96" w:rsidRPr="00F6244B">
        <w:rPr>
          <w:rFonts w:ascii="Arial" w:hAnsi="Arial" w:cs="Arial"/>
          <w:sz w:val="20"/>
          <w:szCs w:val="20"/>
        </w:rPr>
        <w:t xml:space="preserve"> </w:t>
      </w:r>
      <w:r w:rsidR="00F6244B" w:rsidRPr="00F6244B">
        <w:rPr>
          <w:rFonts w:ascii="Arial" w:hAnsi="Arial" w:cs="Arial"/>
          <w:i/>
          <w:iCs/>
          <w:sz w:val="20"/>
          <w:szCs w:val="20"/>
        </w:rPr>
        <w:t>et al</w:t>
      </w:r>
      <w:r w:rsidR="009B0F96" w:rsidRPr="00F6244B">
        <w:rPr>
          <w:rFonts w:ascii="Arial" w:hAnsi="Arial" w:cs="Arial"/>
          <w:sz w:val="20"/>
          <w:szCs w:val="20"/>
        </w:rPr>
        <w:t>., 2025</w:t>
      </w:r>
      <w:r w:rsidRPr="00F6244B">
        <w:rPr>
          <w:rFonts w:ascii="Arial" w:hAnsi="Arial" w:cs="Arial"/>
          <w:sz w:val="20"/>
          <w:szCs w:val="20"/>
        </w:rPr>
        <w:t xml:space="preserve">), few have attempted spatially disaggregated analysis at the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level—i.e., the smallest management unit of Kole land. Moreover, limited research has examined inter-annual yield stability or tailored </w:t>
      </w:r>
      <w:r w:rsidRPr="00F6244B">
        <w:rPr>
          <w:rFonts w:ascii="Arial" w:hAnsi="Arial" w:cs="Arial"/>
          <w:sz w:val="20"/>
          <w:szCs w:val="20"/>
        </w:rPr>
        <w:lastRenderedPageBreak/>
        <w:t>interventions for low-performing or volatile zones.</w:t>
      </w:r>
      <w:r w:rsidR="0044597E">
        <w:rPr>
          <w:rFonts w:ascii="Arial" w:hAnsi="Arial" w:cs="Arial"/>
          <w:sz w:val="20"/>
          <w:szCs w:val="20"/>
        </w:rPr>
        <w:t xml:space="preserve"> </w:t>
      </w:r>
      <w:r w:rsidR="0044597E" w:rsidRPr="0044597E">
        <w:rPr>
          <w:rFonts w:ascii="Arial" w:hAnsi="Arial" w:cs="Arial"/>
          <w:sz w:val="20"/>
          <w:szCs w:val="20"/>
        </w:rPr>
        <w:t>Recent studies have highlighted that agricultural wetlands provide not only provisioning services such as rice and fisheries, but also regulating and cultural ecosystem services critical to climate resilience and community well-being (Asare et al., 2022; Wood et al., 2024; van Dam et al., 2025). These functions, however, are increasingly threatened by climate variability and altered hydrology (Zhang et al., 2021), underscoring the need for context-specific management strategies.</w:t>
      </w:r>
    </w:p>
    <w:p w14:paraId="7DD2AA38" w14:textId="21FD852A"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This paper addresses that gap by analyzing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-level data on area, productivity, and five-year yield trends (2019–2023) across 271 units in the Kole wetlands. Using a composite classification approach, </w:t>
      </w:r>
      <w:proofErr w:type="spellStart"/>
      <w:r w:rsidRPr="00F6244B">
        <w:rPr>
          <w:rFonts w:ascii="Arial" w:hAnsi="Arial" w:cs="Arial"/>
          <w:sz w:val="20"/>
          <w:szCs w:val="20"/>
        </w:rPr>
        <w:t>padasek</w:t>
      </w:r>
      <w:r w:rsidR="007E6C7F" w:rsidRPr="00F6244B">
        <w:rPr>
          <w:rFonts w:ascii="Arial" w:hAnsi="Arial" w:cs="Arial"/>
          <w:sz w:val="20"/>
          <w:szCs w:val="20"/>
        </w:rPr>
        <w:t>h</w:t>
      </w:r>
      <w:r w:rsidRPr="00F6244B">
        <w:rPr>
          <w:rFonts w:ascii="Arial" w:hAnsi="Arial" w:cs="Arial"/>
          <w:sz w:val="20"/>
          <w:szCs w:val="20"/>
        </w:rPr>
        <w:t>arams</w:t>
      </w:r>
      <w:proofErr w:type="spellEnd"/>
      <w:r w:rsidRPr="00F6244B">
        <w:rPr>
          <w:rFonts w:ascii="Arial" w:hAnsi="Arial" w:cs="Arial"/>
          <w:sz w:val="20"/>
          <w:szCs w:val="20"/>
        </w:rPr>
        <w:t xml:space="preserve"> are grouped into performance categories based on average yield, field size, and stability (coefficient of variation). The study aims to identify critical typologies of underperformance and recommend targeted agronomic, institutional, and infrastructural interventions. The results will help planners, extension officials, and farmer organizations to shift from blanket strategies to performance-driven, zone-specific solutions tailored to the ecological and social realities of the Kole ecosystem.</w:t>
      </w:r>
    </w:p>
    <w:p w14:paraId="15D925CD"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2. </w:t>
      </w:r>
      <w:r w:rsidR="00D211F0" w:rsidRPr="00F6244B">
        <w:rPr>
          <w:rFonts w:ascii="Arial" w:hAnsi="Arial" w:cs="Arial"/>
          <w:b/>
          <w:bCs/>
          <w:sz w:val="20"/>
          <w:szCs w:val="20"/>
        </w:rPr>
        <w:t xml:space="preserve">Research </w:t>
      </w:r>
      <w:r w:rsidRPr="00F6244B">
        <w:rPr>
          <w:rFonts w:ascii="Arial" w:hAnsi="Arial" w:cs="Arial"/>
          <w:b/>
          <w:bCs/>
          <w:sz w:val="20"/>
          <w:szCs w:val="20"/>
        </w:rPr>
        <w:t>Methodology</w:t>
      </w:r>
    </w:p>
    <w:p w14:paraId="468BDBE6"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2.1 Research Design and Objectives</w:t>
      </w:r>
    </w:p>
    <w:p w14:paraId="7E7FE9C2" w14:textId="5A43A27C"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This study adopted a quantitative, spatially disaggregated approach to classify and analyze the productivity performance of </w:t>
      </w:r>
      <w:proofErr w:type="spellStart"/>
      <w:r w:rsidRPr="00F6244B">
        <w:rPr>
          <w:rFonts w:ascii="Arial" w:hAnsi="Arial" w:cs="Arial"/>
          <w:sz w:val="20"/>
          <w:szCs w:val="20"/>
        </w:rPr>
        <w:t>padasek</w:t>
      </w:r>
      <w:r w:rsidR="007E6C7F" w:rsidRPr="00F6244B">
        <w:rPr>
          <w:rFonts w:ascii="Arial" w:hAnsi="Arial" w:cs="Arial"/>
          <w:sz w:val="20"/>
          <w:szCs w:val="20"/>
        </w:rPr>
        <w:t>h</w:t>
      </w:r>
      <w:r w:rsidRPr="00F6244B">
        <w:rPr>
          <w:rFonts w:ascii="Arial" w:hAnsi="Arial" w:cs="Arial"/>
          <w:sz w:val="20"/>
          <w:szCs w:val="20"/>
        </w:rPr>
        <w:t>arams</w:t>
      </w:r>
      <w:proofErr w:type="spellEnd"/>
      <w:r w:rsidRPr="00F6244B">
        <w:rPr>
          <w:rFonts w:ascii="Arial" w:hAnsi="Arial" w:cs="Arial"/>
          <w:sz w:val="20"/>
          <w:szCs w:val="20"/>
        </w:rPr>
        <w:t xml:space="preserve"> in the </w:t>
      </w:r>
      <w:proofErr w:type="spellStart"/>
      <w:r w:rsidRPr="00F6244B">
        <w:rPr>
          <w:rFonts w:ascii="Arial" w:hAnsi="Arial" w:cs="Arial"/>
          <w:sz w:val="20"/>
          <w:szCs w:val="20"/>
        </w:rPr>
        <w:t>Kole</w:t>
      </w:r>
      <w:proofErr w:type="spellEnd"/>
      <w:r w:rsidRPr="00F6244B">
        <w:rPr>
          <w:rFonts w:ascii="Arial" w:hAnsi="Arial" w:cs="Arial"/>
          <w:sz w:val="20"/>
          <w:szCs w:val="20"/>
        </w:rPr>
        <w:t xml:space="preserve"> Wetlands. The primary goal was to categorize </w:t>
      </w:r>
      <w:proofErr w:type="spellStart"/>
      <w:r w:rsidRPr="00F6244B">
        <w:rPr>
          <w:rFonts w:ascii="Arial" w:hAnsi="Arial" w:cs="Arial"/>
          <w:sz w:val="20"/>
          <w:szCs w:val="20"/>
        </w:rPr>
        <w:t>padasek</w:t>
      </w:r>
      <w:r w:rsidR="007E6C7F" w:rsidRPr="00F6244B">
        <w:rPr>
          <w:rFonts w:ascii="Arial" w:hAnsi="Arial" w:cs="Arial"/>
          <w:sz w:val="20"/>
          <w:szCs w:val="20"/>
        </w:rPr>
        <w:t>h</w:t>
      </w:r>
      <w:r w:rsidRPr="00F6244B">
        <w:rPr>
          <w:rFonts w:ascii="Arial" w:hAnsi="Arial" w:cs="Arial"/>
          <w:sz w:val="20"/>
          <w:szCs w:val="20"/>
        </w:rPr>
        <w:t>arams</w:t>
      </w:r>
      <w:proofErr w:type="spellEnd"/>
      <w:r w:rsidRPr="00F6244B">
        <w:rPr>
          <w:rFonts w:ascii="Arial" w:hAnsi="Arial" w:cs="Arial"/>
          <w:sz w:val="20"/>
          <w:szCs w:val="20"/>
        </w:rPr>
        <w:t xml:space="preserve"> based on three critical variables—net cultivated area, average paddy productivity, and yield consistency over time—and derive actionable intervention strategies tailored to each category.</w:t>
      </w:r>
    </w:p>
    <w:p w14:paraId="0C37A433"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2.2 Data Sources and Preparation</w:t>
      </w:r>
    </w:p>
    <w:p w14:paraId="4DA30195" w14:textId="44166758"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 dataset comprised </w:t>
      </w:r>
      <w:proofErr w:type="spellStart"/>
      <w:r w:rsidRPr="00F6244B">
        <w:rPr>
          <w:rFonts w:ascii="Arial" w:hAnsi="Arial" w:cs="Arial"/>
          <w:sz w:val="20"/>
          <w:szCs w:val="20"/>
        </w:rPr>
        <w:t>padasekharam</w:t>
      </w:r>
      <w:proofErr w:type="spellEnd"/>
      <w:r w:rsidRPr="00F6244B">
        <w:rPr>
          <w:rFonts w:ascii="Arial" w:hAnsi="Arial" w:cs="Arial"/>
          <w:sz w:val="20"/>
          <w:szCs w:val="20"/>
        </w:rPr>
        <w:t>-wise area, production, and productivity values for the period 2019–2023. These were extracted from the Atlas of Kole Lands of Kerala: Volume 2, published by Kerala Agricultural University, and validated against official panchayat records (Sunil</w:t>
      </w:r>
      <w:r w:rsidR="009B0F96" w:rsidRPr="00F6244B">
        <w:rPr>
          <w:rFonts w:ascii="Arial" w:hAnsi="Arial" w:cs="Arial"/>
          <w:sz w:val="20"/>
          <w:szCs w:val="20"/>
        </w:rPr>
        <w:t xml:space="preserve"> </w:t>
      </w:r>
      <w:r w:rsidR="009B0F96" w:rsidRPr="00AD51CB">
        <w:rPr>
          <w:rFonts w:ascii="Arial" w:hAnsi="Arial" w:cs="Arial"/>
          <w:i/>
          <w:iCs/>
          <w:sz w:val="20"/>
          <w:szCs w:val="20"/>
        </w:rPr>
        <w:t>et al.,</w:t>
      </w:r>
      <w:r w:rsidRPr="00F6244B">
        <w:rPr>
          <w:rFonts w:ascii="Arial" w:hAnsi="Arial" w:cs="Arial"/>
          <w:sz w:val="20"/>
          <w:szCs w:val="20"/>
        </w:rPr>
        <w:t xml:space="preserve"> 2024). Data fields included GIS-mapped net sown area (ha), total production (kg), and yield (kg/ha). Entries with missing or anomalous values were excluded after verification. A total of 271 </w:t>
      </w:r>
      <w:proofErr w:type="spellStart"/>
      <w:r w:rsidRPr="00F6244B">
        <w:rPr>
          <w:rFonts w:ascii="Arial" w:hAnsi="Arial" w:cs="Arial"/>
          <w:sz w:val="20"/>
          <w:szCs w:val="20"/>
        </w:rPr>
        <w:t>padasek</w:t>
      </w:r>
      <w:r w:rsidR="007E6C7F" w:rsidRPr="00F6244B">
        <w:rPr>
          <w:rFonts w:ascii="Arial" w:hAnsi="Arial" w:cs="Arial"/>
          <w:sz w:val="20"/>
          <w:szCs w:val="20"/>
        </w:rPr>
        <w:t>h</w:t>
      </w:r>
      <w:r w:rsidRPr="00F6244B">
        <w:rPr>
          <w:rFonts w:ascii="Arial" w:hAnsi="Arial" w:cs="Arial"/>
          <w:sz w:val="20"/>
          <w:szCs w:val="20"/>
        </w:rPr>
        <w:t>arams</w:t>
      </w:r>
      <w:proofErr w:type="spellEnd"/>
      <w:r w:rsidRPr="00F6244B">
        <w:rPr>
          <w:rFonts w:ascii="Arial" w:hAnsi="Arial" w:cs="Arial"/>
          <w:sz w:val="20"/>
          <w:szCs w:val="20"/>
        </w:rPr>
        <w:t xml:space="preserve"> across the Thrissur Kole and Ponnani Kole were retained for final analysis.</w:t>
      </w:r>
    </w:p>
    <w:p w14:paraId="01808ECB"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2.3 Classification Framework</w:t>
      </w:r>
    </w:p>
    <w:p w14:paraId="3BF2B72C"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 classification employed a three-dimensional typology to evaluate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performance in the Kole wetlands. First,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were categorized by area into ‘large’ and ‘small’ based on the median size of approximately 48 hectares. Second, productivity was assessed using the average yield over the five-year period from 2019 to 2023.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with an average yield above the median value of around 4.0 </w:t>
      </w:r>
      <w:proofErr w:type="spellStart"/>
      <w:r w:rsidRPr="00F6244B">
        <w:rPr>
          <w:rFonts w:ascii="Arial" w:hAnsi="Arial" w:cs="Arial"/>
          <w:sz w:val="20"/>
          <w:szCs w:val="20"/>
        </w:rPr>
        <w:t>tonnes</w:t>
      </w:r>
      <w:proofErr w:type="spellEnd"/>
      <w:r w:rsidRPr="00F6244B">
        <w:rPr>
          <w:rFonts w:ascii="Arial" w:hAnsi="Arial" w:cs="Arial"/>
          <w:sz w:val="20"/>
          <w:szCs w:val="20"/>
        </w:rPr>
        <w:t xml:space="preserve"> per hectare were designated as ‘high-yield’, while those below were marked as ‘low-yield’.</w:t>
      </w:r>
    </w:p>
    <w:p w14:paraId="6969DA04" w14:textId="63661AC3" w:rsidR="009C21B6" w:rsidRPr="00F6244B" w:rsidRDefault="00077030" w:rsidP="002A5D34">
      <w:pPr>
        <w:jc w:val="both"/>
        <w:rPr>
          <w:rFonts w:ascii="Arial" w:hAnsi="Arial" w:cs="Arial"/>
          <w:sz w:val="20"/>
          <w:szCs w:val="20"/>
        </w:rPr>
      </w:pPr>
      <w:r w:rsidRPr="00077030">
        <w:rPr>
          <w:rFonts w:ascii="Arial" w:hAnsi="Arial" w:cs="Arial"/>
          <w:sz w:val="20"/>
          <w:szCs w:val="20"/>
        </w:rPr>
        <w:t>The third dimension, yield stability, was determined using the Coefficient of Variation (CV), a widely adopted metric for agroecological risk assessment (Pandey &amp; Bhandari, 2009; FAO, 2020). A CV below 20% was classified as stable performance, based on established thresholds for rice systems in floodplain ecosystems (Nath &amp; Lal, 2017; IRRI, 2022), while CV ≥20% indicated unstable yield patterns. This threshold aligns with Kerala’s agroclimatic variability, where sub-20% CV reflects manageable risk under typical monsoon fluctuations</w:t>
      </w:r>
      <w:r w:rsidR="007956C5" w:rsidRPr="00F6244B">
        <w:rPr>
          <w:rFonts w:ascii="Arial" w:hAnsi="Arial" w:cs="Arial"/>
          <w:sz w:val="20"/>
          <w:szCs w:val="20"/>
        </w:rPr>
        <w:t>.</w:t>
      </w:r>
      <w:r w:rsidR="00183217" w:rsidRPr="00F6244B">
        <w:rPr>
          <w:rFonts w:ascii="Arial" w:hAnsi="Arial" w:cs="Arial"/>
          <w:sz w:val="20"/>
          <w:szCs w:val="20"/>
        </w:rPr>
        <w:t xml:space="preserve"> Combining these three dimensions resulted in eight final categories: A (Large–High–Stable), B (Large–High–Unstable), C (Large–Low–Stable), </w:t>
      </w:r>
      <w:r w:rsidR="00183217" w:rsidRPr="00F6244B">
        <w:rPr>
          <w:rFonts w:ascii="Arial" w:hAnsi="Arial" w:cs="Arial"/>
          <w:sz w:val="20"/>
          <w:szCs w:val="20"/>
        </w:rPr>
        <w:lastRenderedPageBreak/>
        <w:t xml:space="preserve">D (Large–Low–Unstable), E (Small–High–Stable), F (Small–High–Unstable), G (Small–Low–Stable), and H (Small–Low–Unstable). This multidimensional classification enabled a more nuanced understanding of performance dynamics and intervention needs across the </w:t>
      </w:r>
      <w:proofErr w:type="spellStart"/>
      <w:r w:rsidR="00183217" w:rsidRPr="00F6244B">
        <w:rPr>
          <w:rFonts w:ascii="Arial" w:hAnsi="Arial" w:cs="Arial"/>
          <w:sz w:val="20"/>
          <w:szCs w:val="20"/>
        </w:rPr>
        <w:t>padasekharams</w:t>
      </w:r>
      <w:proofErr w:type="spellEnd"/>
      <w:r w:rsidR="00183217" w:rsidRPr="00F6244B">
        <w:rPr>
          <w:rFonts w:ascii="Arial" w:hAnsi="Arial" w:cs="Arial"/>
          <w:sz w:val="20"/>
          <w:szCs w:val="20"/>
        </w:rPr>
        <w:t>.</w:t>
      </w:r>
    </w:p>
    <w:p w14:paraId="1CDDB840"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2.4 Statistical and Analytical Tools</w:t>
      </w:r>
    </w:p>
    <w:p w14:paraId="00F23F34" w14:textId="48B321D6"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All computations, including CV, averages, and frequency distribution, were performed in MS Excel and R. Trend lines were plotted for each group to visualize performance volatility. Results were cross-tabulated to identify intervention priority areas. </w:t>
      </w:r>
      <w:r w:rsidR="00077030" w:rsidRPr="00077030">
        <w:rPr>
          <w:rFonts w:ascii="Arial" w:hAnsi="Arial" w:cs="Arial"/>
          <w:sz w:val="20"/>
          <w:szCs w:val="20"/>
        </w:rPr>
        <w:t>Strategy recommendations for each group were validated through structured workshops with 42 members of the Kole Farmers’ Federation and technical experts from KAU’s Agronomic Advisory Wing. These workshops employed a Delphi method, iteratively refining interventions based on field realities (e.g., bund integrity, water access) and local feasibility. Participatory mapping exercises further cross-verified spatial trends in yield stability</w:t>
      </w:r>
      <w:r w:rsidRPr="00F6244B">
        <w:rPr>
          <w:rFonts w:ascii="Arial" w:hAnsi="Arial" w:cs="Arial"/>
          <w:sz w:val="20"/>
          <w:szCs w:val="20"/>
        </w:rPr>
        <w:t>.</w:t>
      </w:r>
    </w:p>
    <w:p w14:paraId="686F5A19"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This composite method allowed for granular diagnosis of stagnating, vulnerable, and outperforming zones. The grouping system thus served both analytical and policy planning purposes and enables targeted interventions responsive to actual field performance.</w:t>
      </w:r>
    </w:p>
    <w:p w14:paraId="12E0515E"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 Results and Discussion</w:t>
      </w:r>
    </w:p>
    <w:p w14:paraId="429E51C0"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3.1 Overview of </w:t>
      </w:r>
      <w:proofErr w:type="spellStart"/>
      <w:r w:rsidRPr="00F6244B">
        <w:rPr>
          <w:rFonts w:ascii="Arial" w:hAnsi="Arial" w:cs="Arial"/>
          <w:b/>
          <w:bCs/>
          <w:sz w:val="20"/>
          <w:szCs w:val="20"/>
        </w:rPr>
        <w:t>Padasekharam</w:t>
      </w:r>
      <w:proofErr w:type="spellEnd"/>
      <w:r w:rsidRPr="00F6244B">
        <w:rPr>
          <w:rFonts w:ascii="Arial" w:hAnsi="Arial" w:cs="Arial"/>
          <w:b/>
          <w:bCs/>
          <w:sz w:val="20"/>
          <w:szCs w:val="20"/>
        </w:rPr>
        <w:t xml:space="preserve"> Classification</w:t>
      </w:r>
    </w:p>
    <w:p w14:paraId="4EB2FAFB"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A total of 271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were classified into eight typological groups based on area, average yield, and inter-annual yield stability. The most common category was Group E (Small–High–Stable) with 68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(25.09%), indicating the success of small farms in maintaining high and consistent productivity. This was closely followed by Group F (Small–High–Unstable) with 67 units (24.72%), reflecting high output under unstable conditions, likely due to pest or weather sensitivity.</w:t>
      </w:r>
    </w:p>
    <w:p w14:paraId="43534CEB"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At the opposite end, Group A (Large–High–Stable) included 35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(12.92%), highlighting the limited distribution of optimal and resilient large-scale fields. Group H (Small–Low–Unstable) accounted for 65 fields (23.99%), pointing to the widespread presence of marginal, risk-prone production zones.</w:t>
      </w:r>
    </w:p>
    <w:p w14:paraId="6DBAB620" w14:textId="6C7D2982" w:rsidR="009C21B6" w:rsidRPr="00F6244B" w:rsidRDefault="00183217" w:rsidP="002A5D34">
      <w:pPr>
        <w:jc w:val="both"/>
        <w:rPr>
          <w:rFonts w:ascii="Arial" w:hAnsi="Arial" w:cs="Arial"/>
          <w:sz w:val="20"/>
          <w:szCs w:val="20"/>
        </w:rPr>
      </w:pPr>
      <w:r w:rsidRPr="00F6244B">
        <w:rPr>
          <w:rFonts w:ascii="Arial" w:hAnsi="Arial" w:cs="Arial"/>
          <w:sz w:val="20"/>
          <w:szCs w:val="20"/>
        </w:rPr>
        <w:t>Groups C (Large–Low–Stable) and G (Small–Low–Stable) had no representation, suggesting that low-yielding but stable systems are either rare or have shifted due to external pressures. Overall, the classification confirms high variability in productivity and climate resilience across the Kole wetlands, consistent with prior observations on infrastructure gaps and input mismanagement.</w:t>
      </w:r>
    </w:p>
    <w:p w14:paraId="2EE9D2E7"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Table 1. Distribution of </w:t>
      </w:r>
      <w:proofErr w:type="spellStart"/>
      <w:r w:rsidRPr="00F6244B">
        <w:rPr>
          <w:rFonts w:ascii="Arial" w:hAnsi="Arial" w:cs="Arial"/>
          <w:b/>
          <w:bCs/>
          <w:sz w:val="20"/>
          <w:szCs w:val="20"/>
        </w:rPr>
        <w:t>Padasekharams</w:t>
      </w:r>
      <w:proofErr w:type="spellEnd"/>
      <w:r w:rsidRPr="00F6244B">
        <w:rPr>
          <w:rFonts w:ascii="Arial" w:hAnsi="Arial" w:cs="Arial"/>
          <w:b/>
          <w:bCs/>
          <w:sz w:val="20"/>
          <w:szCs w:val="20"/>
        </w:rPr>
        <w:t xml:space="preserve"> by Final Classification</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47"/>
        <w:gridCol w:w="3919"/>
        <w:gridCol w:w="1260"/>
        <w:gridCol w:w="2104"/>
      </w:tblGrid>
      <w:tr w:rsidR="00877437" w:rsidRPr="00F6244B" w14:paraId="521DFC45" w14:textId="77777777">
        <w:trPr>
          <w:tblHeader/>
          <w:tblCellSpacing w:w="15" w:type="dxa"/>
        </w:trPr>
        <w:tc>
          <w:tcPr>
            <w:tcW w:w="755" w:type="pct"/>
            <w:vAlign w:val="center"/>
            <w:hideMark/>
          </w:tcPr>
          <w:p w14:paraId="5B4CA356"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Group</w:t>
            </w:r>
          </w:p>
        </w:tc>
        <w:tc>
          <w:tcPr>
            <w:tcW w:w="2255" w:type="pct"/>
            <w:vAlign w:val="center"/>
            <w:hideMark/>
          </w:tcPr>
          <w:p w14:paraId="2622F5A8"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Typology</w:t>
            </w:r>
          </w:p>
        </w:tc>
        <w:tc>
          <w:tcPr>
            <w:tcW w:w="713" w:type="pct"/>
            <w:vAlign w:val="center"/>
            <w:hideMark/>
          </w:tcPr>
          <w:p w14:paraId="2636F896"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Count</w:t>
            </w:r>
          </w:p>
        </w:tc>
        <w:tc>
          <w:tcPr>
            <w:tcW w:w="1194" w:type="pct"/>
            <w:vAlign w:val="center"/>
            <w:hideMark/>
          </w:tcPr>
          <w:p w14:paraId="25EB6211"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 of Total</w:t>
            </w:r>
          </w:p>
        </w:tc>
      </w:tr>
      <w:tr w:rsidR="00877437" w:rsidRPr="00F6244B" w14:paraId="4DE3EE63" w14:textId="77777777">
        <w:trPr>
          <w:tblCellSpacing w:w="15" w:type="dxa"/>
        </w:trPr>
        <w:tc>
          <w:tcPr>
            <w:tcW w:w="755" w:type="pct"/>
            <w:vAlign w:val="center"/>
            <w:hideMark/>
          </w:tcPr>
          <w:p w14:paraId="6363B197"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A</w:t>
            </w:r>
          </w:p>
        </w:tc>
        <w:tc>
          <w:tcPr>
            <w:tcW w:w="2255" w:type="pct"/>
            <w:vAlign w:val="center"/>
            <w:hideMark/>
          </w:tcPr>
          <w:p w14:paraId="02A0D57C"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Large–High–Stable</w:t>
            </w:r>
          </w:p>
        </w:tc>
        <w:tc>
          <w:tcPr>
            <w:tcW w:w="713" w:type="pct"/>
            <w:vAlign w:val="bottom"/>
          </w:tcPr>
          <w:p w14:paraId="6F2AB18A"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35</w:t>
            </w:r>
          </w:p>
        </w:tc>
        <w:tc>
          <w:tcPr>
            <w:tcW w:w="1194" w:type="pct"/>
            <w:vAlign w:val="bottom"/>
          </w:tcPr>
          <w:p w14:paraId="53E9DD84"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12.92</w:t>
            </w:r>
          </w:p>
        </w:tc>
      </w:tr>
      <w:tr w:rsidR="00877437" w:rsidRPr="00F6244B" w14:paraId="0DEFF273" w14:textId="77777777">
        <w:trPr>
          <w:tblCellSpacing w:w="15" w:type="dxa"/>
        </w:trPr>
        <w:tc>
          <w:tcPr>
            <w:tcW w:w="755" w:type="pct"/>
            <w:vAlign w:val="center"/>
            <w:hideMark/>
          </w:tcPr>
          <w:p w14:paraId="3C3D393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B</w:t>
            </w:r>
          </w:p>
        </w:tc>
        <w:tc>
          <w:tcPr>
            <w:tcW w:w="2255" w:type="pct"/>
            <w:vAlign w:val="center"/>
            <w:hideMark/>
          </w:tcPr>
          <w:p w14:paraId="13C8A00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Large–High–Unstable</w:t>
            </w:r>
          </w:p>
        </w:tc>
        <w:tc>
          <w:tcPr>
            <w:tcW w:w="713" w:type="pct"/>
            <w:vAlign w:val="bottom"/>
          </w:tcPr>
          <w:p w14:paraId="12AF734D"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27</w:t>
            </w:r>
          </w:p>
        </w:tc>
        <w:tc>
          <w:tcPr>
            <w:tcW w:w="1194" w:type="pct"/>
            <w:vAlign w:val="bottom"/>
          </w:tcPr>
          <w:p w14:paraId="6FE70D23"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9.96</w:t>
            </w:r>
          </w:p>
        </w:tc>
      </w:tr>
      <w:tr w:rsidR="00877437" w:rsidRPr="00F6244B" w14:paraId="1367A822" w14:textId="77777777">
        <w:trPr>
          <w:tblCellSpacing w:w="15" w:type="dxa"/>
        </w:trPr>
        <w:tc>
          <w:tcPr>
            <w:tcW w:w="755" w:type="pct"/>
            <w:vAlign w:val="center"/>
            <w:hideMark/>
          </w:tcPr>
          <w:p w14:paraId="4934EDA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C</w:t>
            </w:r>
          </w:p>
        </w:tc>
        <w:tc>
          <w:tcPr>
            <w:tcW w:w="2255" w:type="pct"/>
            <w:vAlign w:val="center"/>
            <w:hideMark/>
          </w:tcPr>
          <w:p w14:paraId="0E8D411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Large–Low–Stable</w:t>
            </w:r>
          </w:p>
        </w:tc>
        <w:tc>
          <w:tcPr>
            <w:tcW w:w="713" w:type="pct"/>
            <w:vAlign w:val="bottom"/>
          </w:tcPr>
          <w:p w14:paraId="5C07A02B"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0</w:t>
            </w:r>
          </w:p>
        </w:tc>
        <w:tc>
          <w:tcPr>
            <w:tcW w:w="1194" w:type="pct"/>
            <w:vAlign w:val="bottom"/>
          </w:tcPr>
          <w:p w14:paraId="2B987906"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0</w:t>
            </w:r>
          </w:p>
        </w:tc>
      </w:tr>
      <w:tr w:rsidR="00877437" w:rsidRPr="00F6244B" w14:paraId="26FF42CD" w14:textId="77777777">
        <w:trPr>
          <w:tblCellSpacing w:w="15" w:type="dxa"/>
        </w:trPr>
        <w:tc>
          <w:tcPr>
            <w:tcW w:w="755" w:type="pct"/>
            <w:vAlign w:val="center"/>
            <w:hideMark/>
          </w:tcPr>
          <w:p w14:paraId="0AA9E8BC"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lastRenderedPageBreak/>
              <w:t>D</w:t>
            </w:r>
          </w:p>
        </w:tc>
        <w:tc>
          <w:tcPr>
            <w:tcW w:w="2255" w:type="pct"/>
            <w:vAlign w:val="center"/>
            <w:hideMark/>
          </w:tcPr>
          <w:p w14:paraId="3352399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Large–Low–Unstable</w:t>
            </w:r>
          </w:p>
        </w:tc>
        <w:tc>
          <w:tcPr>
            <w:tcW w:w="713" w:type="pct"/>
            <w:vAlign w:val="bottom"/>
          </w:tcPr>
          <w:p w14:paraId="7478C9D2"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9</w:t>
            </w:r>
          </w:p>
        </w:tc>
        <w:tc>
          <w:tcPr>
            <w:tcW w:w="1194" w:type="pct"/>
            <w:vAlign w:val="bottom"/>
          </w:tcPr>
          <w:p w14:paraId="58E36750"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3.32</w:t>
            </w:r>
          </w:p>
        </w:tc>
      </w:tr>
      <w:tr w:rsidR="00877437" w:rsidRPr="00F6244B" w14:paraId="42DEBEBD" w14:textId="77777777">
        <w:trPr>
          <w:tblCellSpacing w:w="15" w:type="dxa"/>
        </w:trPr>
        <w:tc>
          <w:tcPr>
            <w:tcW w:w="755" w:type="pct"/>
            <w:vAlign w:val="center"/>
            <w:hideMark/>
          </w:tcPr>
          <w:p w14:paraId="29B28B0A"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E</w:t>
            </w:r>
          </w:p>
        </w:tc>
        <w:tc>
          <w:tcPr>
            <w:tcW w:w="2255" w:type="pct"/>
            <w:vAlign w:val="center"/>
            <w:hideMark/>
          </w:tcPr>
          <w:p w14:paraId="418CCCE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Small–High–Stable</w:t>
            </w:r>
          </w:p>
        </w:tc>
        <w:tc>
          <w:tcPr>
            <w:tcW w:w="713" w:type="pct"/>
            <w:vAlign w:val="bottom"/>
          </w:tcPr>
          <w:p w14:paraId="519EBF8B"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68</w:t>
            </w:r>
          </w:p>
        </w:tc>
        <w:tc>
          <w:tcPr>
            <w:tcW w:w="1194" w:type="pct"/>
            <w:vAlign w:val="bottom"/>
          </w:tcPr>
          <w:p w14:paraId="522725B7"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25.09</w:t>
            </w:r>
          </w:p>
        </w:tc>
      </w:tr>
      <w:tr w:rsidR="00877437" w:rsidRPr="00F6244B" w14:paraId="3F73C3A8" w14:textId="77777777">
        <w:trPr>
          <w:tblCellSpacing w:w="15" w:type="dxa"/>
        </w:trPr>
        <w:tc>
          <w:tcPr>
            <w:tcW w:w="755" w:type="pct"/>
            <w:vAlign w:val="center"/>
            <w:hideMark/>
          </w:tcPr>
          <w:p w14:paraId="764829A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F</w:t>
            </w:r>
          </w:p>
        </w:tc>
        <w:tc>
          <w:tcPr>
            <w:tcW w:w="2255" w:type="pct"/>
            <w:vAlign w:val="center"/>
            <w:hideMark/>
          </w:tcPr>
          <w:p w14:paraId="4972F96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Small–High–Unstable</w:t>
            </w:r>
          </w:p>
        </w:tc>
        <w:tc>
          <w:tcPr>
            <w:tcW w:w="713" w:type="pct"/>
            <w:vAlign w:val="bottom"/>
          </w:tcPr>
          <w:p w14:paraId="5AD7E446"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67</w:t>
            </w:r>
          </w:p>
        </w:tc>
        <w:tc>
          <w:tcPr>
            <w:tcW w:w="1194" w:type="pct"/>
            <w:vAlign w:val="bottom"/>
          </w:tcPr>
          <w:p w14:paraId="275D402D"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24.72</w:t>
            </w:r>
          </w:p>
        </w:tc>
      </w:tr>
      <w:tr w:rsidR="00877437" w:rsidRPr="00F6244B" w14:paraId="518ABD27" w14:textId="77777777">
        <w:trPr>
          <w:tblCellSpacing w:w="15" w:type="dxa"/>
        </w:trPr>
        <w:tc>
          <w:tcPr>
            <w:tcW w:w="755" w:type="pct"/>
            <w:vAlign w:val="center"/>
            <w:hideMark/>
          </w:tcPr>
          <w:p w14:paraId="5725DE8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G</w:t>
            </w:r>
          </w:p>
        </w:tc>
        <w:tc>
          <w:tcPr>
            <w:tcW w:w="2255" w:type="pct"/>
            <w:vAlign w:val="center"/>
            <w:hideMark/>
          </w:tcPr>
          <w:p w14:paraId="62D7648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Small–Low–Stable</w:t>
            </w:r>
          </w:p>
        </w:tc>
        <w:tc>
          <w:tcPr>
            <w:tcW w:w="713" w:type="pct"/>
            <w:vAlign w:val="bottom"/>
          </w:tcPr>
          <w:p w14:paraId="7C381CFA"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0</w:t>
            </w:r>
          </w:p>
        </w:tc>
        <w:tc>
          <w:tcPr>
            <w:tcW w:w="1194" w:type="pct"/>
            <w:vAlign w:val="bottom"/>
          </w:tcPr>
          <w:p w14:paraId="0FBC9AC9"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0</w:t>
            </w:r>
          </w:p>
        </w:tc>
      </w:tr>
      <w:tr w:rsidR="00877437" w:rsidRPr="00F6244B" w14:paraId="594D85D2" w14:textId="77777777">
        <w:trPr>
          <w:tblCellSpacing w:w="15" w:type="dxa"/>
        </w:trPr>
        <w:tc>
          <w:tcPr>
            <w:tcW w:w="755" w:type="pct"/>
            <w:vAlign w:val="center"/>
            <w:hideMark/>
          </w:tcPr>
          <w:p w14:paraId="52875A7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H</w:t>
            </w:r>
          </w:p>
        </w:tc>
        <w:tc>
          <w:tcPr>
            <w:tcW w:w="2255" w:type="pct"/>
            <w:vAlign w:val="center"/>
            <w:hideMark/>
          </w:tcPr>
          <w:p w14:paraId="2DA70E4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Small–Low–Unstable</w:t>
            </w:r>
          </w:p>
        </w:tc>
        <w:tc>
          <w:tcPr>
            <w:tcW w:w="713" w:type="pct"/>
            <w:vAlign w:val="bottom"/>
          </w:tcPr>
          <w:p w14:paraId="7CDC9635"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65</w:t>
            </w:r>
          </w:p>
        </w:tc>
        <w:tc>
          <w:tcPr>
            <w:tcW w:w="1194" w:type="pct"/>
            <w:vAlign w:val="bottom"/>
          </w:tcPr>
          <w:p w14:paraId="357B6139"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23.99</w:t>
            </w:r>
          </w:p>
        </w:tc>
      </w:tr>
      <w:tr w:rsidR="00877437" w:rsidRPr="00F6244B" w14:paraId="4238A03B" w14:textId="77777777">
        <w:trPr>
          <w:tblCellSpacing w:w="15" w:type="dxa"/>
        </w:trPr>
        <w:tc>
          <w:tcPr>
            <w:tcW w:w="755" w:type="pct"/>
            <w:vAlign w:val="center"/>
            <w:hideMark/>
          </w:tcPr>
          <w:p w14:paraId="0E13B963" w14:textId="77777777" w:rsidR="00183217" w:rsidRPr="00F6244B" w:rsidRDefault="00183217" w:rsidP="002A5D34">
            <w:pPr>
              <w:spacing w:after="0" w:line="240" w:lineRule="auto"/>
              <w:jc w:val="both"/>
              <w:rPr>
                <w:rFonts w:ascii="Arial" w:eastAsia="Times New Roman" w:hAnsi="Arial" w:cs="Arial"/>
                <w:sz w:val="20"/>
                <w:szCs w:val="20"/>
                <w:lang w:eastAsia="en-IN"/>
              </w:rPr>
            </w:pPr>
          </w:p>
        </w:tc>
        <w:tc>
          <w:tcPr>
            <w:tcW w:w="2255" w:type="pct"/>
            <w:vAlign w:val="center"/>
            <w:hideMark/>
          </w:tcPr>
          <w:p w14:paraId="25BBB441"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Total</w:t>
            </w:r>
          </w:p>
        </w:tc>
        <w:tc>
          <w:tcPr>
            <w:tcW w:w="713" w:type="pct"/>
            <w:vAlign w:val="bottom"/>
          </w:tcPr>
          <w:p w14:paraId="2CFED850"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271</w:t>
            </w:r>
          </w:p>
        </w:tc>
        <w:tc>
          <w:tcPr>
            <w:tcW w:w="1194" w:type="pct"/>
            <w:vAlign w:val="bottom"/>
          </w:tcPr>
          <w:p w14:paraId="47BD3F77" w14:textId="77777777" w:rsidR="00183217" w:rsidRPr="00F6244B" w:rsidRDefault="00183217" w:rsidP="002A5D34">
            <w:pPr>
              <w:jc w:val="both"/>
              <w:rPr>
                <w:rFonts w:ascii="Arial" w:hAnsi="Arial" w:cs="Arial"/>
                <w:sz w:val="20"/>
                <w:szCs w:val="20"/>
              </w:rPr>
            </w:pPr>
            <w:r w:rsidRPr="00F6244B">
              <w:rPr>
                <w:rFonts w:ascii="Arial" w:hAnsi="Arial" w:cs="Arial"/>
                <w:sz w:val="20"/>
                <w:szCs w:val="20"/>
              </w:rPr>
              <w:t>100</w:t>
            </w:r>
          </w:p>
        </w:tc>
      </w:tr>
    </w:tbl>
    <w:p w14:paraId="1167D5C5" w14:textId="77777777" w:rsidR="00183217" w:rsidRPr="00F6244B" w:rsidRDefault="00183217" w:rsidP="002A5D34">
      <w:pPr>
        <w:jc w:val="both"/>
        <w:rPr>
          <w:rFonts w:ascii="Arial" w:hAnsi="Arial" w:cs="Arial"/>
          <w:sz w:val="20"/>
          <w:szCs w:val="20"/>
        </w:rPr>
      </w:pPr>
    </w:p>
    <w:p w14:paraId="5780B457"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3.2 Spatial Distribution Patterns</w:t>
      </w:r>
    </w:p>
    <w:p w14:paraId="7F935C45"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Spatial analysis of the reclassified dataset revealed clear geographic clustering of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groups across the Kole wetlands. High-performing and stable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—notably those in Group A (Large–High–Stable) and Group E (Small–High–Stable)—were predominantly concentrated in regions such as </w:t>
      </w:r>
      <w:proofErr w:type="spellStart"/>
      <w:r w:rsidRPr="00F6244B">
        <w:rPr>
          <w:rFonts w:ascii="Arial" w:hAnsi="Arial" w:cs="Arial"/>
          <w:sz w:val="20"/>
          <w:szCs w:val="20"/>
        </w:rPr>
        <w:t>Arimpur</w:t>
      </w:r>
      <w:proofErr w:type="spellEnd"/>
      <w:r w:rsidRPr="00F6244B">
        <w:rPr>
          <w:rFonts w:ascii="Arial" w:hAnsi="Arial" w:cs="Arial"/>
          <w:sz w:val="20"/>
          <w:szCs w:val="20"/>
        </w:rPr>
        <w:t xml:space="preserve">, </w:t>
      </w:r>
      <w:proofErr w:type="spellStart"/>
      <w:r w:rsidRPr="00F6244B">
        <w:rPr>
          <w:rFonts w:ascii="Arial" w:hAnsi="Arial" w:cs="Arial"/>
          <w:sz w:val="20"/>
          <w:szCs w:val="20"/>
        </w:rPr>
        <w:t>Adat</w:t>
      </w:r>
      <w:proofErr w:type="spellEnd"/>
      <w:r w:rsidRPr="00F6244B">
        <w:rPr>
          <w:rFonts w:ascii="Arial" w:hAnsi="Arial" w:cs="Arial"/>
          <w:sz w:val="20"/>
          <w:szCs w:val="20"/>
        </w:rPr>
        <w:t xml:space="preserve">, </w:t>
      </w:r>
      <w:proofErr w:type="spellStart"/>
      <w:r w:rsidRPr="00F6244B">
        <w:rPr>
          <w:rFonts w:ascii="Arial" w:hAnsi="Arial" w:cs="Arial"/>
          <w:sz w:val="20"/>
          <w:szCs w:val="20"/>
        </w:rPr>
        <w:t>Puzhakkal</w:t>
      </w:r>
      <w:proofErr w:type="spellEnd"/>
      <w:r w:rsidRPr="00F6244B">
        <w:rPr>
          <w:rFonts w:ascii="Arial" w:hAnsi="Arial" w:cs="Arial"/>
          <w:sz w:val="20"/>
          <w:szCs w:val="20"/>
        </w:rPr>
        <w:t xml:space="preserve">, and parts of </w:t>
      </w:r>
      <w:proofErr w:type="spellStart"/>
      <w:r w:rsidRPr="00F6244B">
        <w:rPr>
          <w:rFonts w:ascii="Arial" w:hAnsi="Arial" w:cs="Arial"/>
          <w:sz w:val="20"/>
          <w:szCs w:val="20"/>
        </w:rPr>
        <w:t>Tholur</w:t>
      </w:r>
      <w:proofErr w:type="spellEnd"/>
      <w:r w:rsidRPr="00F6244B">
        <w:rPr>
          <w:rFonts w:ascii="Arial" w:hAnsi="Arial" w:cs="Arial"/>
          <w:sz w:val="20"/>
          <w:szCs w:val="20"/>
        </w:rPr>
        <w:t xml:space="preserve">. These areas benefit from early water release schedules, functional field bunds, and proximity to regulator-controlled irrigation canals like </w:t>
      </w:r>
      <w:proofErr w:type="spellStart"/>
      <w:r w:rsidRPr="00F6244B">
        <w:rPr>
          <w:rFonts w:ascii="Arial" w:hAnsi="Arial" w:cs="Arial"/>
          <w:sz w:val="20"/>
          <w:szCs w:val="20"/>
        </w:rPr>
        <w:t>Peechi</w:t>
      </w:r>
      <w:proofErr w:type="spellEnd"/>
      <w:r w:rsidRPr="00F6244B">
        <w:rPr>
          <w:rFonts w:ascii="Arial" w:hAnsi="Arial" w:cs="Arial"/>
          <w:sz w:val="20"/>
          <w:szCs w:val="20"/>
        </w:rPr>
        <w:t xml:space="preserve"> and </w:t>
      </w:r>
      <w:proofErr w:type="spellStart"/>
      <w:r w:rsidRPr="00F6244B">
        <w:rPr>
          <w:rFonts w:ascii="Arial" w:hAnsi="Arial" w:cs="Arial"/>
          <w:sz w:val="20"/>
          <w:szCs w:val="20"/>
        </w:rPr>
        <w:t>Chimoni</w:t>
      </w:r>
      <w:proofErr w:type="spellEnd"/>
      <w:r w:rsidRPr="00F6244B">
        <w:rPr>
          <w:rFonts w:ascii="Arial" w:hAnsi="Arial" w:cs="Arial"/>
          <w:sz w:val="20"/>
          <w:szCs w:val="20"/>
        </w:rPr>
        <w:t>, which enable timely sowing and reduce risks of prolonged waterlogging. The presence of cohesive farmer organizations in these panchayats further supports synchronized planting and adoption of recommended varieties.</w:t>
      </w:r>
    </w:p>
    <w:p w14:paraId="5347CE22"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In contrast, low-performing and unstable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especially those in Group D (Large–Low–Unstable) and Group H (Small–Low–Unstable), were mostly located in peripheral and low-lying panchayats such as </w:t>
      </w:r>
      <w:proofErr w:type="spellStart"/>
      <w:r w:rsidRPr="00F6244B">
        <w:rPr>
          <w:rFonts w:ascii="Arial" w:hAnsi="Arial" w:cs="Arial"/>
          <w:sz w:val="20"/>
          <w:szCs w:val="20"/>
        </w:rPr>
        <w:t>Anthikkad</w:t>
      </w:r>
      <w:proofErr w:type="spellEnd"/>
      <w:r w:rsidRPr="00F6244B">
        <w:rPr>
          <w:rFonts w:ascii="Arial" w:hAnsi="Arial" w:cs="Arial"/>
          <w:sz w:val="20"/>
          <w:szCs w:val="20"/>
        </w:rPr>
        <w:t xml:space="preserve">, </w:t>
      </w:r>
      <w:proofErr w:type="spellStart"/>
      <w:r w:rsidRPr="00F6244B">
        <w:rPr>
          <w:rFonts w:ascii="Arial" w:hAnsi="Arial" w:cs="Arial"/>
          <w:sz w:val="20"/>
          <w:szCs w:val="20"/>
        </w:rPr>
        <w:t>Chazhoor</w:t>
      </w:r>
      <w:proofErr w:type="spellEnd"/>
      <w:r w:rsidRPr="00F6244B">
        <w:rPr>
          <w:rFonts w:ascii="Arial" w:hAnsi="Arial" w:cs="Arial"/>
          <w:sz w:val="20"/>
          <w:szCs w:val="20"/>
        </w:rPr>
        <w:t xml:space="preserve">, and parts of </w:t>
      </w:r>
      <w:proofErr w:type="spellStart"/>
      <w:r w:rsidRPr="00F6244B">
        <w:rPr>
          <w:rFonts w:ascii="Arial" w:hAnsi="Arial" w:cs="Arial"/>
          <w:sz w:val="20"/>
          <w:szCs w:val="20"/>
        </w:rPr>
        <w:t>Thanniyam</w:t>
      </w:r>
      <w:proofErr w:type="spellEnd"/>
      <w:r w:rsidRPr="00F6244B">
        <w:rPr>
          <w:rFonts w:ascii="Arial" w:hAnsi="Arial" w:cs="Arial"/>
          <w:sz w:val="20"/>
          <w:szCs w:val="20"/>
        </w:rPr>
        <w:t>. These fields face chronic drainage congestion, breached or eroded bunds, and greater susceptibility to saline intrusion and prolonged flooding, especially during late monsoons. Infrastructural neglect and poor maintenance of internal canal networks further exacerbate inter-annual yield volatility.</w:t>
      </w:r>
    </w:p>
    <w:p w14:paraId="04BBCCFD" w14:textId="311736B2"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This spatial disparity aligns with broader wetland rice cultivation patterns globally, where micro-level differences in water governance, bunding integrity, and elevation gradients significantly determine both productivity and risk exposure </w:t>
      </w:r>
      <w:r w:rsidR="00C46259" w:rsidRPr="00F6244B">
        <w:rPr>
          <w:rFonts w:ascii="Arial" w:hAnsi="Arial" w:cs="Arial"/>
          <w:sz w:val="20"/>
          <w:szCs w:val="20"/>
        </w:rPr>
        <w:t xml:space="preserve">(Nath &amp; Lal, 2017). </w:t>
      </w:r>
      <w:r w:rsidRPr="00F6244B">
        <w:rPr>
          <w:rFonts w:ascii="Arial" w:hAnsi="Arial" w:cs="Arial"/>
          <w:sz w:val="20"/>
          <w:szCs w:val="20"/>
        </w:rPr>
        <w:t>Targeted interventions in vulnerable zones—especially Group H clusters—are essential for restoring production resilience and equity across the Kole system.</w:t>
      </w:r>
    </w:p>
    <w:p w14:paraId="33B3C932"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3.3 Yield Stability and CV Trends</w:t>
      </w:r>
    </w:p>
    <w:p w14:paraId="133A615A"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Updated analysis of the Coefficient of Variation (CV) across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groups reveals pronounced disparities in yield stability. The most consistent performance was observed in Group E (Small–High–Stable) with an average CV of 12.2%, followed closely by Group A (Large–High–Stable) at 12.8%. These low CV values reflect the success of well-managed systems with dependable irrigation, efficient bunding, and timely crop operations. Their stability confirms the role of both physical infrastructure and localized farm management in buffering climatic variability.</w:t>
      </w:r>
    </w:p>
    <w:p w14:paraId="41B57989" w14:textId="2EDE7931"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In contrast, yield fluctuations were severe in Group H (Small–Low–Unstable) with a CV of 81.6% and Group D (Large–Low–Unstable) at 75.3%, highlighting the vulnerability of these regions to </w:t>
      </w:r>
      <w:r w:rsidRPr="00F6244B">
        <w:rPr>
          <w:rFonts w:ascii="Arial" w:hAnsi="Arial" w:cs="Arial"/>
          <w:sz w:val="20"/>
          <w:szCs w:val="20"/>
        </w:rPr>
        <w:lastRenderedPageBreak/>
        <w:t>environmental stressors. Group F (Small–High–Unstable) and Group B (Large–High–Unstable) also showed elevated CVs of 38.3% and 37.0% respectively, despite having high average yields. The instability in these groups is commonly linked to flooding, pest incidence, bund breaches, and sowing delays, particularly during high rainfall years such as 2020 and 2022.</w:t>
      </w:r>
    </w:p>
    <w:p w14:paraId="6A044D51" w14:textId="24E3A24E"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These findings support the observations of </w:t>
      </w:r>
      <w:r w:rsidR="00757D6C" w:rsidRPr="00F6244B">
        <w:rPr>
          <w:rFonts w:ascii="Arial" w:hAnsi="Arial" w:cs="Arial"/>
          <w:sz w:val="20"/>
          <w:szCs w:val="20"/>
        </w:rPr>
        <w:t xml:space="preserve">Bowden </w:t>
      </w:r>
      <w:r w:rsidR="00757D6C" w:rsidRPr="00AD51CB">
        <w:rPr>
          <w:rFonts w:ascii="Arial" w:hAnsi="Arial" w:cs="Arial"/>
          <w:i/>
          <w:iCs/>
          <w:sz w:val="20"/>
          <w:szCs w:val="20"/>
        </w:rPr>
        <w:t>et al.</w:t>
      </w:r>
      <w:r w:rsidR="0062547C" w:rsidRPr="00AD51CB">
        <w:rPr>
          <w:rFonts w:ascii="Arial" w:hAnsi="Arial" w:cs="Arial"/>
          <w:i/>
          <w:iCs/>
          <w:sz w:val="20"/>
          <w:szCs w:val="20"/>
        </w:rPr>
        <w:t>,</w:t>
      </w:r>
      <w:r w:rsidR="00757D6C" w:rsidRPr="00F6244B">
        <w:rPr>
          <w:rFonts w:ascii="Arial" w:hAnsi="Arial" w:cs="Arial"/>
          <w:sz w:val="20"/>
          <w:szCs w:val="20"/>
        </w:rPr>
        <w:t xml:space="preserve"> </w:t>
      </w:r>
      <w:r w:rsidRPr="00F6244B">
        <w:rPr>
          <w:rFonts w:ascii="Arial" w:hAnsi="Arial" w:cs="Arial"/>
          <w:sz w:val="20"/>
          <w:szCs w:val="20"/>
        </w:rPr>
        <w:t>202</w:t>
      </w:r>
      <w:r w:rsidR="00757D6C" w:rsidRPr="00F6244B">
        <w:rPr>
          <w:rFonts w:ascii="Arial" w:hAnsi="Arial" w:cs="Arial"/>
          <w:sz w:val="20"/>
          <w:szCs w:val="20"/>
        </w:rPr>
        <w:t>3</w:t>
      </w:r>
      <w:r w:rsidRPr="00F6244B">
        <w:rPr>
          <w:rFonts w:ascii="Arial" w:hAnsi="Arial" w:cs="Arial"/>
          <w:sz w:val="20"/>
          <w:szCs w:val="20"/>
        </w:rPr>
        <w:t>, who reported a strong inverse relationship between monsoon onset variability and paddy yield stability in Kole wetlands.</w:t>
      </w:r>
      <w:r w:rsidR="00CD4F39" w:rsidRPr="00F6244B">
        <w:rPr>
          <w:rFonts w:ascii="Arial" w:hAnsi="Arial" w:cs="Arial"/>
          <w:sz w:val="20"/>
          <w:szCs w:val="20"/>
        </w:rPr>
        <w:t xml:space="preserve"> Similarly, Pandey and Bhandari (2009) highlight that drought and erratic rainfall exacerbate yield instability in Asian rice systems, underscoring the need for adaptive strategies in vulnerable zones.</w:t>
      </w:r>
      <w:r w:rsidRPr="00F6244B">
        <w:rPr>
          <w:rFonts w:ascii="Arial" w:hAnsi="Arial" w:cs="Arial"/>
          <w:sz w:val="20"/>
          <w:szCs w:val="20"/>
        </w:rPr>
        <w:t xml:space="preserve"> The data underscores the need for targeted risk-mitigation strategies, particularly in Groups D, F, and H, to address structural deficiencies and improve adaptive capacity.</w:t>
      </w:r>
    </w:p>
    <w:p w14:paraId="42170061"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Table 2. Coefficient of Variation (CV) by </w:t>
      </w:r>
      <w:proofErr w:type="spellStart"/>
      <w:r w:rsidRPr="00F6244B">
        <w:rPr>
          <w:rFonts w:ascii="Arial" w:hAnsi="Arial" w:cs="Arial"/>
          <w:b/>
          <w:bCs/>
          <w:sz w:val="20"/>
          <w:szCs w:val="20"/>
        </w:rPr>
        <w:t>Padasekharam</w:t>
      </w:r>
      <w:proofErr w:type="spellEnd"/>
      <w:r w:rsidRPr="00F6244B">
        <w:rPr>
          <w:rFonts w:ascii="Arial" w:hAnsi="Arial" w:cs="Arial"/>
          <w:b/>
          <w:bCs/>
          <w:sz w:val="20"/>
          <w:szCs w:val="20"/>
        </w:rPr>
        <w:t xml:space="preserve"> Group (2019–2023)</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2015"/>
        <w:gridCol w:w="1214"/>
        <w:gridCol w:w="870"/>
        <w:gridCol w:w="2898"/>
      </w:tblGrid>
      <w:tr w:rsidR="00877437" w:rsidRPr="00F6244B" w14:paraId="5173697A" w14:textId="77777777" w:rsidTr="00D211F0">
        <w:trPr>
          <w:tblHeader/>
          <w:tblCellSpacing w:w="15" w:type="dxa"/>
        </w:trPr>
        <w:tc>
          <w:tcPr>
            <w:tcW w:w="0" w:type="auto"/>
            <w:vAlign w:val="center"/>
            <w:hideMark/>
          </w:tcPr>
          <w:p w14:paraId="07766EEB"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Group</w:t>
            </w:r>
          </w:p>
        </w:tc>
        <w:tc>
          <w:tcPr>
            <w:tcW w:w="0" w:type="auto"/>
            <w:vAlign w:val="center"/>
            <w:hideMark/>
          </w:tcPr>
          <w:p w14:paraId="6589F381"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Typology</w:t>
            </w:r>
          </w:p>
        </w:tc>
        <w:tc>
          <w:tcPr>
            <w:tcW w:w="0" w:type="auto"/>
            <w:vAlign w:val="center"/>
            <w:hideMark/>
          </w:tcPr>
          <w:p w14:paraId="784F764C"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Avg. CV (%)</w:t>
            </w:r>
          </w:p>
        </w:tc>
        <w:tc>
          <w:tcPr>
            <w:tcW w:w="0" w:type="auto"/>
            <w:vAlign w:val="center"/>
            <w:hideMark/>
          </w:tcPr>
          <w:p w14:paraId="1B7A4B08"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Stability</w:t>
            </w:r>
          </w:p>
        </w:tc>
        <w:tc>
          <w:tcPr>
            <w:tcW w:w="0" w:type="auto"/>
            <w:vAlign w:val="center"/>
            <w:hideMark/>
          </w:tcPr>
          <w:p w14:paraId="3D9D2A7A"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Remarks</w:t>
            </w:r>
          </w:p>
        </w:tc>
      </w:tr>
      <w:tr w:rsidR="00877437" w:rsidRPr="00F6244B" w14:paraId="398D2AF5" w14:textId="77777777" w:rsidTr="00D211F0">
        <w:trPr>
          <w:tblCellSpacing w:w="15" w:type="dxa"/>
        </w:trPr>
        <w:tc>
          <w:tcPr>
            <w:tcW w:w="0" w:type="auto"/>
            <w:vAlign w:val="center"/>
            <w:hideMark/>
          </w:tcPr>
          <w:p w14:paraId="53A2616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A</w:t>
            </w:r>
          </w:p>
        </w:tc>
        <w:tc>
          <w:tcPr>
            <w:tcW w:w="0" w:type="auto"/>
            <w:vAlign w:val="center"/>
            <w:hideMark/>
          </w:tcPr>
          <w:p w14:paraId="177ED44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Large–High–Stable</w:t>
            </w:r>
          </w:p>
        </w:tc>
        <w:tc>
          <w:tcPr>
            <w:tcW w:w="0" w:type="auto"/>
            <w:vAlign w:val="center"/>
            <w:hideMark/>
          </w:tcPr>
          <w:p w14:paraId="77A376C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12.8</w:t>
            </w:r>
          </w:p>
        </w:tc>
        <w:tc>
          <w:tcPr>
            <w:tcW w:w="0" w:type="auto"/>
            <w:vAlign w:val="center"/>
            <w:hideMark/>
          </w:tcPr>
          <w:p w14:paraId="55114E5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Stable</w:t>
            </w:r>
          </w:p>
        </w:tc>
        <w:tc>
          <w:tcPr>
            <w:tcW w:w="0" w:type="auto"/>
            <w:vAlign w:val="center"/>
            <w:hideMark/>
          </w:tcPr>
          <w:p w14:paraId="13F85979"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Excellent bunding and drainage</w:t>
            </w:r>
          </w:p>
        </w:tc>
      </w:tr>
      <w:tr w:rsidR="00877437" w:rsidRPr="00F6244B" w14:paraId="5A529E2A" w14:textId="77777777" w:rsidTr="00D211F0">
        <w:trPr>
          <w:tblCellSpacing w:w="15" w:type="dxa"/>
        </w:trPr>
        <w:tc>
          <w:tcPr>
            <w:tcW w:w="0" w:type="auto"/>
            <w:vAlign w:val="center"/>
            <w:hideMark/>
          </w:tcPr>
          <w:p w14:paraId="77B5D51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B</w:t>
            </w:r>
          </w:p>
        </w:tc>
        <w:tc>
          <w:tcPr>
            <w:tcW w:w="0" w:type="auto"/>
            <w:vAlign w:val="center"/>
            <w:hideMark/>
          </w:tcPr>
          <w:p w14:paraId="15BCB64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Large–High–Unstable</w:t>
            </w:r>
          </w:p>
        </w:tc>
        <w:tc>
          <w:tcPr>
            <w:tcW w:w="0" w:type="auto"/>
            <w:vAlign w:val="center"/>
            <w:hideMark/>
          </w:tcPr>
          <w:p w14:paraId="03A8F931"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37.0</w:t>
            </w:r>
          </w:p>
        </w:tc>
        <w:tc>
          <w:tcPr>
            <w:tcW w:w="0" w:type="auto"/>
            <w:vAlign w:val="center"/>
            <w:hideMark/>
          </w:tcPr>
          <w:p w14:paraId="046C7FE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Unstable</w:t>
            </w:r>
          </w:p>
        </w:tc>
        <w:tc>
          <w:tcPr>
            <w:tcW w:w="0" w:type="auto"/>
            <w:vAlign w:val="center"/>
            <w:hideMark/>
          </w:tcPr>
          <w:p w14:paraId="5173961C"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Volatile under rainfall stress</w:t>
            </w:r>
          </w:p>
        </w:tc>
      </w:tr>
      <w:tr w:rsidR="00877437" w:rsidRPr="00F6244B" w14:paraId="7A61DC16" w14:textId="77777777" w:rsidTr="00D211F0">
        <w:trPr>
          <w:tblCellSpacing w:w="15" w:type="dxa"/>
        </w:trPr>
        <w:tc>
          <w:tcPr>
            <w:tcW w:w="0" w:type="auto"/>
            <w:vAlign w:val="center"/>
            <w:hideMark/>
          </w:tcPr>
          <w:p w14:paraId="2E8AA3F9"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C</w:t>
            </w:r>
          </w:p>
        </w:tc>
        <w:tc>
          <w:tcPr>
            <w:tcW w:w="0" w:type="auto"/>
            <w:vAlign w:val="center"/>
            <w:hideMark/>
          </w:tcPr>
          <w:p w14:paraId="17C164D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Large–Low–Stable</w:t>
            </w:r>
          </w:p>
        </w:tc>
        <w:tc>
          <w:tcPr>
            <w:tcW w:w="0" w:type="auto"/>
            <w:vAlign w:val="center"/>
            <w:hideMark/>
          </w:tcPr>
          <w:p w14:paraId="71458C33"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0.0</w:t>
            </w:r>
          </w:p>
        </w:tc>
        <w:tc>
          <w:tcPr>
            <w:tcW w:w="0" w:type="auto"/>
            <w:vAlign w:val="center"/>
            <w:hideMark/>
          </w:tcPr>
          <w:p w14:paraId="14207E69"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Stable</w:t>
            </w:r>
          </w:p>
        </w:tc>
        <w:tc>
          <w:tcPr>
            <w:tcW w:w="0" w:type="auto"/>
            <w:vAlign w:val="center"/>
            <w:hideMark/>
          </w:tcPr>
          <w:p w14:paraId="3D9E3B9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Predictable but low yield</w:t>
            </w:r>
          </w:p>
        </w:tc>
      </w:tr>
      <w:tr w:rsidR="00877437" w:rsidRPr="00F6244B" w14:paraId="7C7D85D0" w14:textId="77777777" w:rsidTr="00D211F0">
        <w:trPr>
          <w:tblCellSpacing w:w="15" w:type="dxa"/>
        </w:trPr>
        <w:tc>
          <w:tcPr>
            <w:tcW w:w="0" w:type="auto"/>
            <w:vAlign w:val="center"/>
            <w:hideMark/>
          </w:tcPr>
          <w:p w14:paraId="174520F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D</w:t>
            </w:r>
          </w:p>
        </w:tc>
        <w:tc>
          <w:tcPr>
            <w:tcW w:w="0" w:type="auto"/>
            <w:vAlign w:val="center"/>
            <w:hideMark/>
          </w:tcPr>
          <w:p w14:paraId="520E9000"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Large–Low–Unstable</w:t>
            </w:r>
          </w:p>
        </w:tc>
        <w:tc>
          <w:tcPr>
            <w:tcW w:w="0" w:type="auto"/>
            <w:vAlign w:val="center"/>
            <w:hideMark/>
          </w:tcPr>
          <w:p w14:paraId="13B73BE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75.3</w:t>
            </w:r>
          </w:p>
        </w:tc>
        <w:tc>
          <w:tcPr>
            <w:tcW w:w="0" w:type="auto"/>
            <w:vAlign w:val="center"/>
            <w:hideMark/>
          </w:tcPr>
          <w:p w14:paraId="7781AF9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Unstable</w:t>
            </w:r>
          </w:p>
        </w:tc>
        <w:tc>
          <w:tcPr>
            <w:tcW w:w="0" w:type="auto"/>
            <w:vAlign w:val="center"/>
            <w:hideMark/>
          </w:tcPr>
          <w:p w14:paraId="453AD15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Structural degradation</w:t>
            </w:r>
          </w:p>
        </w:tc>
      </w:tr>
      <w:tr w:rsidR="00877437" w:rsidRPr="00F6244B" w14:paraId="6485688E" w14:textId="77777777" w:rsidTr="00D211F0">
        <w:trPr>
          <w:tblCellSpacing w:w="15" w:type="dxa"/>
        </w:trPr>
        <w:tc>
          <w:tcPr>
            <w:tcW w:w="0" w:type="auto"/>
            <w:vAlign w:val="center"/>
            <w:hideMark/>
          </w:tcPr>
          <w:p w14:paraId="768377E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E</w:t>
            </w:r>
          </w:p>
        </w:tc>
        <w:tc>
          <w:tcPr>
            <w:tcW w:w="0" w:type="auto"/>
            <w:vAlign w:val="center"/>
            <w:hideMark/>
          </w:tcPr>
          <w:p w14:paraId="2C9B656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Small–High–Stable</w:t>
            </w:r>
          </w:p>
        </w:tc>
        <w:tc>
          <w:tcPr>
            <w:tcW w:w="0" w:type="auto"/>
            <w:vAlign w:val="center"/>
            <w:hideMark/>
          </w:tcPr>
          <w:p w14:paraId="608F13B0"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12.2</w:t>
            </w:r>
          </w:p>
        </w:tc>
        <w:tc>
          <w:tcPr>
            <w:tcW w:w="0" w:type="auto"/>
            <w:vAlign w:val="center"/>
            <w:hideMark/>
          </w:tcPr>
          <w:p w14:paraId="6BF321E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Stable</w:t>
            </w:r>
          </w:p>
        </w:tc>
        <w:tc>
          <w:tcPr>
            <w:tcW w:w="0" w:type="auto"/>
            <w:vAlign w:val="center"/>
            <w:hideMark/>
          </w:tcPr>
          <w:p w14:paraId="6968620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Good drainage and varietal fit</w:t>
            </w:r>
          </w:p>
        </w:tc>
      </w:tr>
      <w:tr w:rsidR="00877437" w:rsidRPr="00F6244B" w14:paraId="5F9BD0E6" w14:textId="77777777" w:rsidTr="00D211F0">
        <w:trPr>
          <w:tblCellSpacing w:w="15" w:type="dxa"/>
        </w:trPr>
        <w:tc>
          <w:tcPr>
            <w:tcW w:w="0" w:type="auto"/>
            <w:vAlign w:val="center"/>
            <w:hideMark/>
          </w:tcPr>
          <w:p w14:paraId="6D08EA6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F</w:t>
            </w:r>
          </w:p>
        </w:tc>
        <w:tc>
          <w:tcPr>
            <w:tcW w:w="0" w:type="auto"/>
            <w:vAlign w:val="center"/>
            <w:hideMark/>
          </w:tcPr>
          <w:p w14:paraId="0A152A9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Small–High–Unstable</w:t>
            </w:r>
          </w:p>
        </w:tc>
        <w:tc>
          <w:tcPr>
            <w:tcW w:w="0" w:type="auto"/>
            <w:vAlign w:val="center"/>
            <w:hideMark/>
          </w:tcPr>
          <w:p w14:paraId="690FAD1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38.3</w:t>
            </w:r>
          </w:p>
        </w:tc>
        <w:tc>
          <w:tcPr>
            <w:tcW w:w="0" w:type="auto"/>
            <w:vAlign w:val="center"/>
            <w:hideMark/>
          </w:tcPr>
          <w:p w14:paraId="1970E53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Unstable</w:t>
            </w:r>
          </w:p>
        </w:tc>
        <w:tc>
          <w:tcPr>
            <w:tcW w:w="0" w:type="auto"/>
            <w:vAlign w:val="center"/>
            <w:hideMark/>
          </w:tcPr>
          <w:p w14:paraId="1B171560"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High pest and climate risk</w:t>
            </w:r>
          </w:p>
        </w:tc>
      </w:tr>
      <w:tr w:rsidR="00877437" w:rsidRPr="00F6244B" w14:paraId="79FFA51B" w14:textId="77777777" w:rsidTr="00D211F0">
        <w:trPr>
          <w:tblCellSpacing w:w="15" w:type="dxa"/>
        </w:trPr>
        <w:tc>
          <w:tcPr>
            <w:tcW w:w="0" w:type="auto"/>
            <w:vAlign w:val="center"/>
            <w:hideMark/>
          </w:tcPr>
          <w:p w14:paraId="77A9FD4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G</w:t>
            </w:r>
          </w:p>
        </w:tc>
        <w:tc>
          <w:tcPr>
            <w:tcW w:w="0" w:type="auto"/>
            <w:vAlign w:val="center"/>
            <w:hideMark/>
          </w:tcPr>
          <w:p w14:paraId="4F660141"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Small–Low–Stable</w:t>
            </w:r>
          </w:p>
        </w:tc>
        <w:tc>
          <w:tcPr>
            <w:tcW w:w="0" w:type="auto"/>
            <w:vAlign w:val="center"/>
            <w:hideMark/>
          </w:tcPr>
          <w:p w14:paraId="174AF5A7"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0.0</w:t>
            </w:r>
          </w:p>
        </w:tc>
        <w:tc>
          <w:tcPr>
            <w:tcW w:w="0" w:type="auto"/>
            <w:vAlign w:val="center"/>
            <w:hideMark/>
          </w:tcPr>
          <w:p w14:paraId="31BED5B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Stable</w:t>
            </w:r>
          </w:p>
        </w:tc>
        <w:tc>
          <w:tcPr>
            <w:tcW w:w="0" w:type="auto"/>
            <w:vAlign w:val="center"/>
            <w:hideMark/>
          </w:tcPr>
          <w:p w14:paraId="011ABE3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Low but steady yields</w:t>
            </w:r>
          </w:p>
        </w:tc>
      </w:tr>
      <w:tr w:rsidR="00877437" w:rsidRPr="00F6244B" w14:paraId="7BFA9EFC" w14:textId="77777777" w:rsidTr="00D211F0">
        <w:trPr>
          <w:tblCellSpacing w:w="15" w:type="dxa"/>
        </w:trPr>
        <w:tc>
          <w:tcPr>
            <w:tcW w:w="0" w:type="auto"/>
            <w:vAlign w:val="center"/>
            <w:hideMark/>
          </w:tcPr>
          <w:p w14:paraId="5F6E034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H</w:t>
            </w:r>
          </w:p>
        </w:tc>
        <w:tc>
          <w:tcPr>
            <w:tcW w:w="0" w:type="auto"/>
            <w:vAlign w:val="center"/>
            <w:hideMark/>
          </w:tcPr>
          <w:p w14:paraId="1A81AE8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Small–Low–Unstable</w:t>
            </w:r>
          </w:p>
        </w:tc>
        <w:tc>
          <w:tcPr>
            <w:tcW w:w="0" w:type="auto"/>
            <w:vAlign w:val="center"/>
            <w:hideMark/>
          </w:tcPr>
          <w:p w14:paraId="7C10B5F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81.6</w:t>
            </w:r>
          </w:p>
        </w:tc>
        <w:tc>
          <w:tcPr>
            <w:tcW w:w="0" w:type="auto"/>
            <w:vAlign w:val="center"/>
            <w:hideMark/>
          </w:tcPr>
          <w:p w14:paraId="2822F2BF"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Unstable</w:t>
            </w:r>
          </w:p>
        </w:tc>
        <w:tc>
          <w:tcPr>
            <w:tcW w:w="0" w:type="auto"/>
            <w:vAlign w:val="center"/>
            <w:hideMark/>
          </w:tcPr>
          <w:p w14:paraId="5FC74DA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Severely affected by flooding</w:t>
            </w:r>
          </w:p>
        </w:tc>
      </w:tr>
    </w:tbl>
    <w:p w14:paraId="58B226E7" w14:textId="77777777" w:rsidR="00183217" w:rsidRPr="00F6244B" w:rsidRDefault="00183217" w:rsidP="002A5D34">
      <w:pPr>
        <w:jc w:val="both"/>
        <w:rPr>
          <w:rFonts w:ascii="Arial" w:hAnsi="Arial" w:cs="Arial"/>
          <w:b/>
          <w:bCs/>
          <w:sz w:val="20"/>
          <w:szCs w:val="20"/>
        </w:rPr>
      </w:pPr>
    </w:p>
    <w:p w14:paraId="458B4169"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3.4 Infrastructure–Performance Linkages</w:t>
      </w:r>
    </w:p>
    <w:p w14:paraId="0A593CA7"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 updated classification reinforces a clear relationship between infrastructure quality and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performance.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Group A (Large–High–Stable) and Group E (Small–High–Stable) consistently benefitted from robust infrastructure—well-maintained bunds, efficient drainage channels, and routine desilting of canals. These areas, especially in panchayats like </w:t>
      </w:r>
      <w:proofErr w:type="spellStart"/>
      <w:r w:rsidRPr="00F6244B">
        <w:rPr>
          <w:rFonts w:ascii="Arial" w:hAnsi="Arial" w:cs="Arial"/>
          <w:sz w:val="20"/>
          <w:szCs w:val="20"/>
        </w:rPr>
        <w:t>Adat</w:t>
      </w:r>
      <w:proofErr w:type="spellEnd"/>
      <w:r w:rsidRPr="00F6244B">
        <w:rPr>
          <w:rFonts w:ascii="Arial" w:hAnsi="Arial" w:cs="Arial"/>
          <w:sz w:val="20"/>
          <w:szCs w:val="20"/>
        </w:rPr>
        <w:t xml:space="preserve">, </w:t>
      </w:r>
      <w:proofErr w:type="spellStart"/>
      <w:r w:rsidRPr="00F6244B">
        <w:rPr>
          <w:rFonts w:ascii="Arial" w:hAnsi="Arial" w:cs="Arial"/>
          <w:sz w:val="20"/>
          <w:szCs w:val="20"/>
        </w:rPr>
        <w:t>Arimpur</w:t>
      </w:r>
      <w:proofErr w:type="spellEnd"/>
      <w:r w:rsidRPr="00F6244B">
        <w:rPr>
          <w:rFonts w:ascii="Arial" w:hAnsi="Arial" w:cs="Arial"/>
          <w:sz w:val="20"/>
          <w:szCs w:val="20"/>
        </w:rPr>
        <w:t xml:space="preserve">, and </w:t>
      </w:r>
      <w:proofErr w:type="spellStart"/>
      <w:r w:rsidRPr="00F6244B">
        <w:rPr>
          <w:rFonts w:ascii="Arial" w:hAnsi="Arial" w:cs="Arial"/>
          <w:sz w:val="20"/>
          <w:szCs w:val="20"/>
        </w:rPr>
        <w:t>Puzhakkal</w:t>
      </w:r>
      <w:proofErr w:type="spellEnd"/>
      <w:r w:rsidRPr="00F6244B">
        <w:rPr>
          <w:rFonts w:ascii="Arial" w:hAnsi="Arial" w:cs="Arial"/>
          <w:sz w:val="20"/>
          <w:szCs w:val="20"/>
        </w:rPr>
        <w:t>, also featured active local institutions that oversaw sluice gate management and collective irrigation planning, enabling timely sowing and harvest cycles with minimal climate-induced disruption.</w:t>
      </w:r>
    </w:p>
    <w:p w14:paraId="1C788E8A"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In contrast,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Group D (Large–Low–Unstable) and Group H (Small–Low–Unstable)—notably in </w:t>
      </w:r>
      <w:proofErr w:type="spellStart"/>
      <w:r w:rsidRPr="00F6244B">
        <w:rPr>
          <w:rFonts w:ascii="Arial" w:hAnsi="Arial" w:cs="Arial"/>
          <w:sz w:val="20"/>
          <w:szCs w:val="20"/>
        </w:rPr>
        <w:t>Anthikkad</w:t>
      </w:r>
      <w:proofErr w:type="spellEnd"/>
      <w:r w:rsidRPr="00F6244B">
        <w:rPr>
          <w:rFonts w:ascii="Arial" w:hAnsi="Arial" w:cs="Arial"/>
          <w:sz w:val="20"/>
          <w:szCs w:val="20"/>
        </w:rPr>
        <w:t xml:space="preserve">, </w:t>
      </w:r>
      <w:proofErr w:type="spellStart"/>
      <w:r w:rsidRPr="00F6244B">
        <w:rPr>
          <w:rFonts w:ascii="Arial" w:hAnsi="Arial" w:cs="Arial"/>
          <w:sz w:val="20"/>
          <w:szCs w:val="20"/>
        </w:rPr>
        <w:t>Chazhoor</w:t>
      </w:r>
      <w:proofErr w:type="spellEnd"/>
      <w:r w:rsidRPr="00F6244B">
        <w:rPr>
          <w:rFonts w:ascii="Arial" w:hAnsi="Arial" w:cs="Arial"/>
          <w:sz w:val="20"/>
          <w:szCs w:val="20"/>
        </w:rPr>
        <w:t xml:space="preserve">, and </w:t>
      </w:r>
      <w:proofErr w:type="spellStart"/>
      <w:r w:rsidRPr="00F6244B">
        <w:rPr>
          <w:rFonts w:ascii="Arial" w:hAnsi="Arial" w:cs="Arial"/>
          <w:sz w:val="20"/>
          <w:szCs w:val="20"/>
        </w:rPr>
        <w:t>Thanniyam</w:t>
      </w:r>
      <w:proofErr w:type="spellEnd"/>
      <w:r w:rsidRPr="00F6244B">
        <w:rPr>
          <w:rFonts w:ascii="Arial" w:hAnsi="Arial" w:cs="Arial"/>
          <w:sz w:val="20"/>
          <w:szCs w:val="20"/>
        </w:rPr>
        <w:t>—suffered from deteriorated bunds, silted feeder canals, and non-functional sluices. These structural deficiencies exacerbated the impacts of heavy rainfall, leading to prolonged submergence, delayed transplanting, and higher yield losses. In several cases, fields in these groups recorded CVs above 70%, indicating extreme yield volatility despite comparable soil and varietal conditions.</w:t>
      </w:r>
    </w:p>
    <w:p w14:paraId="5800FCA1" w14:textId="2E85D4B1" w:rsidR="009C21B6" w:rsidRPr="00F6244B" w:rsidRDefault="00C110EC" w:rsidP="002A5D34">
      <w:pPr>
        <w:jc w:val="both"/>
        <w:rPr>
          <w:rFonts w:ascii="Arial" w:hAnsi="Arial" w:cs="Arial"/>
          <w:sz w:val="20"/>
          <w:szCs w:val="20"/>
        </w:rPr>
      </w:pPr>
      <w:r w:rsidRPr="00F6244B">
        <w:rPr>
          <w:rFonts w:ascii="Arial" w:hAnsi="Arial" w:cs="Arial"/>
          <w:sz w:val="20"/>
          <w:szCs w:val="20"/>
        </w:rPr>
        <w:t xml:space="preserve">These observations align with findings by </w:t>
      </w:r>
      <w:r w:rsidRPr="00F6244B">
        <w:rPr>
          <w:rStyle w:val="Strong"/>
          <w:rFonts w:ascii="Arial" w:hAnsi="Arial" w:cs="Arial"/>
          <w:b w:val="0"/>
          <w:bCs w:val="0"/>
          <w:sz w:val="20"/>
          <w:szCs w:val="20"/>
        </w:rPr>
        <w:t>Srinivasan (2010)</w:t>
      </w:r>
      <w:r w:rsidRPr="00F6244B">
        <w:rPr>
          <w:rFonts w:ascii="Arial" w:hAnsi="Arial" w:cs="Arial"/>
          <w:b/>
          <w:bCs/>
          <w:sz w:val="20"/>
          <w:szCs w:val="20"/>
        </w:rPr>
        <w:t>,</w:t>
      </w:r>
      <w:r w:rsidRPr="00F6244B">
        <w:rPr>
          <w:rFonts w:ascii="Arial" w:hAnsi="Arial" w:cs="Arial"/>
          <w:sz w:val="20"/>
          <w:szCs w:val="20"/>
        </w:rPr>
        <w:t xml:space="preserve"> who documented degradation of bunds, silted canals, and poor sluice management in the Kole wetlands, particularly affecting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w:t>
      </w:r>
      <w:proofErr w:type="spellStart"/>
      <w:r w:rsidRPr="00F6244B">
        <w:rPr>
          <w:rFonts w:ascii="Arial" w:hAnsi="Arial" w:cs="Arial"/>
          <w:sz w:val="20"/>
          <w:szCs w:val="20"/>
        </w:rPr>
        <w:t>Anthikkad</w:t>
      </w:r>
      <w:proofErr w:type="spellEnd"/>
      <w:r w:rsidRPr="00F6244B">
        <w:rPr>
          <w:rFonts w:ascii="Arial" w:hAnsi="Arial" w:cs="Arial"/>
          <w:sz w:val="20"/>
          <w:szCs w:val="20"/>
        </w:rPr>
        <w:t xml:space="preserve"> and adjacent low-lying blocks. </w:t>
      </w:r>
      <w:r w:rsidR="00183217" w:rsidRPr="00F6244B">
        <w:rPr>
          <w:rFonts w:ascii="Arial" w:hAnsi="Arial" w:cs="Arial"/>
          <w:sz w:val="20"/>
          <w:szCs w:val="20"/>
        </w:rPr>
        <w:t xml:space="preserve">They also reinforce findings by </w:t>
      </w:r>
      <w:r w:rsidR="00757D6C" w:rsidRPr="00F6244B">
        <w:rPr>
          <w:rFonts w:ascii="Arial" w:hAnsi="Arial" w:cs="Arial"/>
          <w:sz w:val="20"/>
          <w:szCs w:val="20"/>
        </w:rPr>
        <w:t xml:space="preserve">Li </w:t>
      </w:r>
      <w:r w:rsidR="00757D6C" w:rsidRPr="00AD51CB">
        <w:rPr>
          <w:rFonts w:ascii="Arial" w:hAnsi="Arial" w:cs="Arial"/>
          <w:i/>
          <w:iCs/>
          <w:sz w:val="20"/>
          <w:szCs w:val="20"/>
        </w:rPr>
        <w:t>et al</w:t>
      </w:r>
      <w:r w:rsidR="00757D6C" w:rsidRPr="00F6244B">
        <w:rPr>
          <w:rFonts w:ascii="Arial" w:hAnsi="Arial" w:cs="Arial"/>
          <w:sz w:val="20"/>
          <w:szCs w:val="20"/>
        </w:rPr>
        <w:t>.,</w:t>
      </w:r>
      <w:r w:rsidR="00183217" w:rsidRPr="00F6244B">
        <w:rPr>
          <w:rFonts w:ascii="Arial" w:hAnsi="Arial" w:cs="Arial"/>
          <w:sz w:val="20"/>
          <w:szCs w:val="20"/>
        </w:rPr>
        <w:t xml:space="preserve"> (202</w:t>
      </w:r>
      <w:r w:rsidR="00757D6C" w:rsidRPr="00F6244B">
        <w:rPr>
          <w:rFonts w:ascii="Arial" w:hAnsi="Arial" w:cs="Arial"/>
          <w:sz w:val="20"/>
          <w:szCs w:val="20"/>
        </w:rPr>
        <w:t>3</w:t>
      </w:r>
      <w:r w:rsidR="00183217" w:rsidRPr="00F6244B">
        <w:rPr>
          <w:rFonts w:ascii="Arial" w:hAnsi="Arial" w:cs="Arial"/>
          <w:sz w:val="20"/>
          <w:szCs w:val="20"/>
        </w:rPr>
        <w:t xml:space="preserve">) who emphasize that infrastructure </w:t>
      </w:r>
      <w:r w:rsidR="00282E58" w:rsidRPr="00F6244B">
        <w:rPr>
          <w:rFonts w:ascii="Arial" w:hAnsi="Arial" w:cs="Arial"/>
          <w:sz w:val="20"/>
          <w:szCs w:val="20"/>
        </w:rPr>
        <w:t>resilienc</w:t>
      </w:r>
      <w:r w:rsidR="0062547C">
        <w:rPr>
          <w:rFonts w:ascii="Arial" w:hAnsi="Arial" w:cs="Arial"/>
          <w:sz w:val="20"/>
          <w:szCs w:val="20"/>
        </w:rPr>
        <w:t xml:space="preserve">e </w:t>
      </w:r>
      <w:r w:rsidR="00F726EF" w:rsidRPr="00F6244B">
        <w:rPr>
          <w:rFonts w:ascii="Arial" w:hAnsi="Arial" w:cs="Arial"/>
          <w:sz w:val="20"/>
          <w:szCs w:val="20"/>
        </w:rPr>
        <w:t xml:space="preserve">is </w:t>
      </w:r>
      <w:r w:rsidR="00183217" w:rsidRPr="00F6244B">
        <w:rPr>
          <w:rFonts w:ascii="Arial" w:hAnsi="Arial" w:cs="Arial"/>
          <w:sz w:val="20"/>
          <w:szCs w:val="20"/>
        </w:rPr>
        <w:t>the cornerstone of sustainable productivity in wetland-based rice systems</w:t>
      </w:r>
      <w:r w:rsidR="0044597E">
        <w:rPr>
          <w:rFonts w:ascii="Arial" w:hAnsi="Arial" w:cs="Arial"/>
          <w:sz w:val="20"/>
          <w:szCs w:val="20"/>
        </w:rPr>
        <w:t xml:space="preserve">. </w:t>
      </w:r>
      <w:r w:rsidR="0044597E" w:rsidRPr="0044597E">
        <w:rPr>
          <w:rFonts w:ascii="Arial" w:hAnsi="Arial" w:cs="Arial"/>
          <w:sz w:val="20"/>
          <w:szCs w:val="20"/>
        </w:rPr>
        <w:t xml:space="preserve">Economic assessments reinforce this perspective, showing that investments in wetland infrastructure rehabilitation and green water-management </w:t>
      </w:r>
      <w:r w:rsidR="0044597E" w:rsidRPr="0044597E">
        <w:rPr>
          <w:rFonts w:ascii="Arial" w:hAnsi="Arial" w:cs="Arial"/>
          <w:sz w:val="20"/>
          <w:szCs w:val="20"/>
        </w:rPr>
        <w:lastRenderedPageBreak/>
        <w:t>solutions generate substantial socio-ecological returns compared with input-based subsidies (Palafox-Juárez et al., 2025; Garcia-Herrero et al., 2023).</w:t>
      </w:r>
    </w:p>
    <w:p w14:paraId="38E884AE"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3.5 Agronomic Practices and Variety Suitability</w:t>
      </w:r>
    </w:p>
    <w:p w14:paraId="4B36D908"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Updated field-level data confirm that agronomic management played a critical role in differentiating </w:t>
      </w:r>
      <w:proofErr w:type="spellStart"/>
      <w:r w:rsidRPr="00F6244B">
        <w:rPr>
          <w:rFonts w:ascii="Arial" w:hAnsi="Arial" w:cs="Arial"/>
          <w:sz w:val="20"/>
          <w:szCs w:val="20"/>
        </w:rPr>
        <w:t>padasekharam</w:t>
      </w:r>
      <w:proofErr w:type="spellEnd"/>
      <w:r w:rsidRPr="00F6244B">
        <w:rPr>
          <w:rFonts w:ascii="Arial" w:hAnsi="Arial" w:cs="Arial"/>
          <w:sz w:val="20"/>
          <w:szCs w:val="20"/>
        </w:rPr>
        <w:t xml:space="preserve"> performance across groups. In Groups A (Large–High–Stable) and E (Small–High–Stable), farmers consistently adopted recommended rice varieties such as Uma, Jyothi, and Sreyas, which are well-suited to the Kole wetland agroecology. These groups also implemented Site-Specific Nutrient Management (SSNM) and Alternate Wetting and Drying (AWD) techniques—practices that not only improved nutrient uptake but also enhanced water use efficiency and root development. As a result, these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showed high yields with relatively low Coefficient of Variation (CV), indicating consistent performance even in moderately variable climate conditions.</w:t>
      </w:r>
    </w:p>
    <w:p w14:paraId="1230EF3C"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In contrast,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Groups D (Large–Low–Unstable) and H (Small–Low–Unstable) were characterized by poor agronomic planning. Farmers in these groups often relied on non-recommended or outdated seed varieties, lacked awareness or access to balanced fertilization protocols, and showed limited adoption of integrated pest and disease management. These shortcomings led to reduced crop vigor, delayed maturity, and increased susceptibility to both biotic (pests, pathogens) and abiotic (waterlogging, salinity) stressors. Many of these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recorded yield fluctuations of over 80%, despite being in similar agroclimatic zones as better-performing counterparts.</w:t>
      </w:r>
    </w:p>
    <w:p w14:paraId="7A5696C7" w14:textId="2D80C69E"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These patterns validate the findings </w:t>
      </w:r>
      <w:r w:rsidRPr="0028770F">
        <w:rPr>
          <w:rFonts w:ascii="Arial" w:hAnsi="Arial" w:cs="Arial"/>
          <w:sz w:val="20"/>
          <w:szCs w:val="20"/>
        </w:rPr>
        <w:t xml:space="preserve">of </w:t>
      </w:r>
      <w:r w:rsidR="0028770F" w:rsidRPr="0028770F">
        <w:rPr>
          <w:rFonts w:ascii="Arial" w:hAnsi="Arial" w:cs="Arial"/>
          <w:sz w:val="20"/>
          <w:szCs w:val="20"/>
        </w:rPr>
        <w:t>Bouman and Tuong (2001)</w:t>
      </w:r>
      <w:r w:rsidR="00077030">
        <w:rPr>
          <w:rFonts w:ascii="Arial" w:hAnsi="Arial" w:cs="Arial"/>
          <w:sz w:val="20"/>
          <w:szCs w:val="20"/>
        </w:rPr>
        <w:t xml:space="preserve"> and Li et al. (2023)</w:t>
      </w:r>
      <w:r w:rsidR="0028770F" w:rsidRPr="0028770F">
        <w:rPr>
          <w:rFonts w:ascii="Arial" w:hAnsi="Arial" w:cs="Arial"/>
          <w:sz w:val="20"/>
          <w:szCs w:val="20"/>
        </w:rPr>
        <w:t xml:space="preserve">, </w:t>
      </w:r>
      <w:r w:rsidRPr="00F6244B">
        <w:rPr>
          <w:rFonts w:ascii="Arial" w:hAnsi="Arial" w:cs="Arial"/>
          <w:sz w:val="20"/>
          <w:szCs w:val="20"/>
        </w:rPr>
        <w:t>who emphasized that knowledge-based interventions—including variety matching, nutrient scheduling, and water-smart practices—are far more effective than blanket input supply models in sustaining wetland rice productivity. Future extension efforts in the Kole region should therefore prioritize localized training, participatory variety selection, and real-time crop monitoring to improve resilience and close yield gaps.</w:t>
      </w:r>
    </w:p>
    <w:p w14:paraId="66E34328"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3.6 Group-wise Strategic Intervention Matrix</w:t>
      </w:r>
    </w:p>
    <w:p w14:paraId="379440E8"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 xml:space="preserve">Based on the updated classification of 271 </w:t>
      </w:r>
      <w:proofErr w:type="spellStart"/>
      <w:r w:rsidRPr="00F6244B">
        <w:rPr>
          <w:rFonts w:ascii="Arial" w:hAnsi="Arial" w:cs="Arial"/>
          <w:sz w:val="20"/>
          <w:szCs w:val="20"/>
        </w:rPr>
        <w:t>padasekharams</w:t>
      </w:r>
      <w:proofErr w:type="spellEnd"/>
      <w:r w:rsidRPr="00F6244B">
        <w:rPr>
          <w:rFonts w:ascii="Arial" w:hAnsi="Arial" w:cs="Arial"/>
          <w:sz w:val="20"/>
          <w:szCs w:val="20"/>
        </w:rPr>
        <w:t>, targeted interventions are proposed to align with the specific constraints and potential of each group. These strategies draw on ground-level observations, stakeholder feedback, and yield-CV profiles, and aim to enhance both productivity and resilience across the Kole ecosystem.</w:t>
      </w:r>
    </w:p>
    <w:p w14:paraId="4D8AC2EC"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 xml:space="preserve">Table 3: Group-wise Strategic Recommendations for </w:t>
      </w:r>
      <w:proofErr w:type="spellStart"/>
      <w:r w:rsidRPr="00F6244B">
        <w:rPr>
          <w:rFonts w:ascii="Arial" w:hAnsi="Arial" w:cs="Arial"/>
          <w:b/>
          <w:bCs/>
          <w:sz w:val="20"/>
          <w:szCs w:val="20"/>
        </w:rPr>
        <w:t>Kole</w:t>
      </w:r>
      <w:proofErr w:type="spellEnd"/>
      <w:r w:rsidRPr="00F6244B">
        <w:rPr>
          <w:rFonts w:ascii="Arial" w:hAnsi="Arial" w:cs="Arial"/>
          <w:b/>
          <w:bCs/>
          <w:sz w:val="20"/>
          <w:szCs w:val="20"/>
        </w:rPr>
        <w:t xml:space="preserve"> </w:t>
      </w:r>
      <w:proofErr w:type="spellStart"/>
      <w:r w:rsidRPr="00F6244B">
        <w:rPr>
          <w:rFonts w:ascii="Arial" w:hAnsi="Arial" w:cs="Arial"/>
          <w:b/>
          <w:bCs/>
          <w:sz w:val="20"/>
          <w:szCs w:val="20"/>
        </w:rPr>
        <w:t>Padasekharams</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5"/>
        <w:gridCol w:w="2001"/>
        <w:gridCol w:w="5934"/>
      </w:tblGrid>
      <w:tr w:rsidR="00877437" w:rsidRPr="00F6244B" w14:paraId="2360BC10" w14:textId="77777777" w:rsidTr="00325D03">
        <w:trPr>
          <w:tblHeader/>
          <w:tblCellSpacing w:w="15" w:type="dxa"/>
        </w:trPr>
        <w:tc>
          <w:tcPr>
            <w:tcW w:w="0" w:type="auto"/>
            <w:vAlign w:val="center"/>
            <w:hideMark/>
          </w:tcPr>
          <w:p w14:paraId="5F64ABE1"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Group</w:t>
            </w:r>
          </w:p>
        </w:tc>
        <w:tc>
          <w:tcPr>
            <w:tcW w:w="0" w:type="auto"/>
            <w:vAlign w:val="center"/>
            <w:hideMark/>
          </w:tcPr>
          <w:p w14:paraId="3422AFE7"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Strategic Focus Areas</w:t>
            </w:r>
          </w:p>
        </w:tc>
        <w:tc>
          <w:tcPr>
            <w:tcW w:w="0" w:type="auto"/>
            <w:vAlign w:val="center"/>
            <w:hideMark/>
          </w:tcPr>
          <w:p w14:paraId="31C3109A" w14:textId="77777777" w:rsidR="00183217" w:rsidRPr="00F6244B" w:rsidRDefault="00183217" w:rsidP="002A5D34">
            <w:pPr>
              <w:spacing w:after="0" w:line="240" w:lineRule="auto"/>
              <w:jc w:val="both"/>
              <w:rPr>
                <w:rFonts w:ascii="Arial" w:eastAsia="Times New Roman" w:hAnsi="Arial" w:cs="Arial"/>
                <w:b/>
                <w:bCs/>
                <w:sz w:val="20"/>
                <w:szCs w:val="20"/>
                <w:lang w:eastAsia="en-IN"/>
              </w:rPr>
            </w:pPr>
            <w:r w:rsidRPr="00F6244B">
              <w:rPr>
                <w:rFonts w:ascii="Arial" w:eastAsia="Times New Roman" w:hAnsi="Arial" w:cs="Arial"/>
                <w:b/>
                <w:bCs/>
                <w:sz w:val="20"/>
                <w:szCs w:val="20"/>
                <w:lang w:eastAsia="en-IN"/>
              </w:rPr>
              <w:t>Expanded Recommendations</w:t>
            </w:r>
          </w:p>
        </w:tc>
      </w:tr>
      <w:tr w:rsidR="00877437" w:rsidRPr="00F6244B" w14:paraId="4BD7C54F" w14:textId="77777777" w:rsidTr="00325D03">
        <w:trPr>
          <w:tblCellSpacing w:w="15" w:type="dxa"/>
        </w:trPr>
        <w:tc>
          <w:tcPr>
            <w:tcW w:w="0" w:type="auto"/>
            <w:vAlign w:val="center"/>
            <w:hideMark/>
          </w:tcPr>
          <w:p w14:paraId="511B7CAA"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A</w:t>
            </w:r>
          </w:p>
        </w:tc>
        <w:tc>
          <w:tcPr>
            <w:tcW w:w="0" w:type="auto"/>
            <w:vAlign w:val="center"/>
            <w:hideMark/>
          </w:tcPr>
          <w:p w14:paraId="268A713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Precision enhancement &amp; scaling</w:t>
            </w:r>
          </w:p>
        </w:tc>
        <w:tc>
          <w:tcPr>
            <w:tcW w:w="0" w:type="auto"/>
            <w:vAlign w:val="center"/>
            <w:hideMark/>
          </w:tcPr>
          <w:p w14:paraId="2825C3D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Integrate Alternate Wetting and Drying (AWD) with sensor-based field monitoring; promote mobile-based real-time advisory apps; scale precision nutrient delivery and IPM modules via cooperatives.</w:t>
            </w:r>
          </w:p>
        </w:tc>
      </w:tr>
      <w:tr w:rsidR="00877437" w:rsidRPr="00F6244B" w14:paraId="6F8C128F" w14:textId="77777777" w:rsidTr="00325D03">
        <w:trPr>
          <w:tblCellSpacing w:w="15" w:type="dxa"/>
        </w:trPr>
        <w:tc>
          <w:tcPr>
            <w:tcW w:w="0" w:type="auto"/>
            <w:vAlign w:val="center"/>
            <w:hideMark/>
          </w:tcPr>
          <w:p w14:paraId="2FB9413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B</w:t>
            </w:r>
          </w:p>
        </w:tc>
        <w:tc>
          <w:tcPr>
            <w:tcW w:w="0" w:type="auto"/>
            <w:vAlign w:val="center"/>
            <w:hideMark/>
          </w:tcPr>
          <w:p w14:paraId="71089D5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Infrastructure &amp; varietal resilience</w:t>
            </w:r>
          </w:p>
        </w:tc>
        <w:tc>
          <w:tcPr>
            <w:tcW w:w="0" w:type="auto"/>
            <w:vAlign w:val="center"/>
            <w:hideMark/>
          </w:tcPr>
          <w:p w14:paraId="72883CA9"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 xml:space="preserve">Reinforce main and lateral bunds using geotextiles or compacted soil; promote short-duration flood-tolerant varieties like </w:t>
            </w:r>
            <w:r w:rsidRPr="00F6244B">
              <w:rPr>
                <w:rFonts w:ascii="Arial" w:eastAsia="Times New Roman" w:hAnsi="Arial" w:cs="Arial"/>
                <w:i/>
                <w:iCs/>
                <w:sz w:val="20"/>
                <w:szCs w:val="20"/>
                <w:lang w:eastAsia="en-IN"/>
              </w:rPr>
              <w:t>Swarna Sub1</w:t>
            </w:r>
            <w:r w:rsidRPr="00F6244B">
              <w:rPr>
                <w:rFonts w:ascii="Arial" w:eastAsia="Times New Roman" w:hAnsi="Arial" w:cs="Arial"/>
                <w:sz w:val="20"/>
                <w:szCs w:val="20"/>
                <w:lang w:eastAsia="en-IN"/>
              </w:rPr>
              <w:t>; install field-level sluices and emergency drainage channels.</w:t>
            </w:r>
          </w:p>
        </w:tc>
      </w:tr>
      <w:tr w:rsidR="00877437" w:rsidRPr="00F6244B" w14:paraId="1A53E172" w14:textId="77777777" w:rsidTr="00325D03">
        <w:trPr>
          <w:tblCellSpacing w:w="15" w:type="dxa"/>
        </w:trPr>
        <w:tc>
          <w:tcPr>
            <w:tcW w:w="0" w:type="auto"/>
            <w:vAlign w:val="center"/>
            <w:hideMark/>
          </w:tcPr>
          <w:p w14:paraId="6BB0D8D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C</w:t>
            </w:r>
          </w:p>
        </w:tc>
        <w:tc>
          <w:tcPr>
            <w:tcW w:w="0" w:type="auto"/>
            <w:vAlign w:val="center"/>
            <w:hideMark/>
          </w:tcPr>
          <w:p w14:paraId="7A7B37F8"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Diversification &amp; mechanization</w:t>
            </w:r>
          </w:p>
        </w:tc>
        <w:tc>
          <w:tcPr>
            <w:tcW w:w="0" w:type="auto"/>
            <w:vAlign w:val="center"/>
            <w:hideMark/>
          </w:tcPr>
          <w:p w14:paraId="641F282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Support off-season cropping (short-duration pulses or leafy vegetables); facilitate mechanized sowing/harvesting tools via FPOs; explore reclaimed-bed rabi cropping pilots.</w:t>
            </w:r>
          </w:p>
        </w:tc>
      </w:tr>
      <w:tr w:rsidR="00877437" w:rsidRPr="00F6244B" w14:paraId="590C122D" w14:textId="77777777" w:rsidTr="00325D03">
        <w:trPr>
          <w:tblCellSpacing w:w="15" w:type="dxa"/>
        </w:trPr>
        <w:tc>
          <w:tcPr>
            <w:tcW w:w="0" w:type="auto"/>
            <w:vAlign w:val="center"/>
            <w:hideMark/>
          </w:tcPr>
          <w:p w14:paraId="1EFC894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lastRenderedPageBreak/>
              <w:t>D</w:t>
            </w:r>
          </w:p>
        </w:tc>
        <w:tc>
          <w:tcPr>
            <w:tcW w:w="0" w:type="auto"/>
            <w:vAlign w:val="center"/>
            <w:hideMark/>
          </w:tcPr>
          <w:p w14:paraId="592AA7AE"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Rehabilitation &amp; alternate livelihoods</w:t>
            </w:r>
          </w:p>
        </w:tc>
        <w:tc>
          <w:tcPr>
            <w:tcW w:w="0" w:type="auto"/>
            <w:vAlign w:val="center"/>
            <w:hideMark/>
          </w:tcPr>
          <w:p w14:paraId="546F9DF8" w14:textId="68C0DAD2"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 xml:space="preserve">Implement </w:t>
            </w:r>
            <w:proofErr w:type="spellStart"/>
            <w:r w:rsidRPr="00F6244B">
              <w:rPr>
                <w:rFonts w:ascii="Arial" w:eastAsia="Times New Roman" w:hAnsi="Arial" w:cs="Arial"/>
                <w:sz w:val="20"/>
                <w:szCs w:val="20"/>
                <w:lang w:eastAsia="en-IN"/>
              </w:rPr>
              <w:t>padasekharam</w:t>
            </w:r>
            <w:proofErr w:type="spellEnd"/>
            <w:r w:rsidRPr="00F6244B">
              <w:rPr>
                <w:rFonts w:ascii="Arial" w:eastAsia="Times New Roman" w:hAnsi="Arial" w:cs="Arial"/>
                <w:sz w:val="20"/>
                <w:szCs w:val="20"/>
                <w:lang w:eastAsia="en-IN"/>
              </w:rPr>
              <w:t>-specific restoration through bund re</w:t>
            </w:r>
            <w:r w:rsidR="00282E58" w:rsidRPr="00F6244B">
              <w:rPr>
                <w:rFonts w:ascii="Arial" w:eastAsia="Times New Roman" w:hAnsi="Arial" w:cs="Arial"/>
                <w:sz w:val="20"/>
                <w:szCs w:val="20"/>
                <w:lang w:eastAsia="en-IN"/>
              </w:rPr>
              <w:t>-</w:t>
            </w:r>
            <w:r w:rsidRPr="00F6244B">
              <w:rPr>
                <w:rFonts w:ascii="Arial" w:eastAsia="Times New Roman" w:hAnsi="Arial" w:cs="Arial"/>
                <w:sz w:val="20"/>
                <w:szCs w:val="20"/>
                <w:lang w:eastAsia="en-IN"/>
              </w:rPr>
              <w:t xml:space="preserve">sectioning, canal clearing, and sluice installation; engage </w:t>
            </w:r>
            <w:proofErr w:type="spellStart"/>
            <w:r w:rsidRPr="00F6244B">
              <w:rPr>
                <w:rFonts w:ascii="Arial" w:eastAsia="Times New Roman" w:hAnsi="Arial" w:cs="Arial"/>
                <w:sz w:val="20"/>
                <w:szCs w:val="20"/>
                <w:lang w:eastAsia="en-IN"/>
              </w:rPr>
              <w:t>Kudumbashree</w:t>
            </w:r>
            <w:proofErr w:type="spellEnd"/>
            <w:r w:rsidRPr="00F6244B">
              <w:rPr>
                <w:rFonts w:ascii="Arial" w:eastAsia="Times New Roman" w:hAnsi="Arial" w:cs="Arial"/>
                <w:sz w:val="20"/>
                <w:szCs w:val="20"/>
                <w:lang w:eastAsia="en-IN"/>
              </w:rPr>
              <w:t xml:space="preserve"> units in duck rearing, aquaculture, and mat weaving as alternative incomes.</w:t>
            </w:r>
          </w:p>
        </w:tc>
      </w:tr>
      <w:tr w:rsidR="00877437" w:rsidRPr="00F6244B" w14:paraId="79B9EAA5" w14:textId="77777777" w:rsidTr="00325D03">
        <w:trPr>
          <w:tblCellSpacing w:w="15" w:type="dxa"/>
        </w:trPr>
        <w:tc>
          <w:tcPr>
            <w:tcW w:w="0" w:type="auto"/>
            <w:vAlign w:val="center"/>
            <w:hideMark/>
          </w:tcPr>
          <w:p w14:paraId="3F223572"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E</w:t>
            </w:r>
          </w:p>
        </w:tc>
        <w:tc>
          <w:tcPr>
            <w:tcW w:w="0" w:type="auto"/>
            <w:vAlign w:val="center"/>
            <w:hideMark/>
          </w:tcPr>
          <w:p w14:paraId="1E691BE0"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Sustainable intensification</w:t>
            </w:r>
          </w:p>
        </w:tc>
        <w:tc>
          <w:tcPr>
            <w:tcW w:w="0" w:type="auto"/>
            <w:vAlign w:val="center"/>
            <w:hideMark/>
          </w:tcPr>
          <w:p w14:paraId="415F2276"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Expand ICT-enabled pest/nutrient advisory platforms; encourage climate-smart rice practices including low-emission fertilization; support organic matter recycling via compost pits and green manures.</w:t>
            </w:r>
          </w:p>
        </w:tc>
      </w:tr>
      <w:tr w:rsidR="00877437" w:rsidRPr="00F6244B" w14:paraId="33094487" w14:textId="77777777" w:rsidTr="00325D03">
        <w:trPr>
          <w:tblCellSpacing w:w="15" w:type="dxa"/>
        </w:trPr>
        <w:tc>
          <w:tcPr>
            <w:tcW w:w="0" w:type="auto"/>
            <w:vAlign w:val="center"/>
            <w:hideMark/>
          </w:tcPr>
          <w:p w14:paraId="6C6BBDB7"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F</w:t>
            </w:r>
          </w:p>
        </w:tc>
        <w:tc>
          <w:tcPr>
            <w:tcW w:w="0" w:type="auto"/>
            <w:vAlign w:val="center"/>
            <w:hideMark/>
          </w:tcPr>
          <w:p w14:paraId="7C5A066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Risk mitigation &amp; adaptation</w:t>
            </w:r>
          </w:p>
        </w:tc>
        <w:tc>
          <w:tcPr>
            <w:tcW w:w="0" w:type="auto"/>
            <w:vAlign w:val="center"/>
            <w:hideMark/>
          </w:tcPr>
          <w:p w14:paraId="24B446B5"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 xml:space="preserve">Introduce submergence-tolerant and BPH-resistant varieties; deploy community weather alert systems and emergency bund repair kits; strengthen </w:t>
            </w:r>
            <w:proofErr w:type="spellStart"/>
            <w:r w:rsidRPr="00F6244B">
              <w:rPr>
                <w:rFonts w:ascii="Arial" w:eastAsia="Times New Roman" w:hAnsi="Arial" w:cs="Arial"/>
                <w:sz w:val="20"/>
                <w:szCs w:val="20"/>
                <w:lang w:eastAsia="en-IN"/>
              </w:rPr>
              <w:t>agro</w:t>
            </w:r>
            <w:proofErr w:type="spellEnd"/>
            <w:r w:rsidRPr="00F6244B">
              <w:rPr>
                <w:rFonts w:ascii="Arial" w:eastAsia="Times New Roman" w:hAnsi="Arial" w:cs="Arial"/>
                <w:sz w:val="20"/>
                <w:szCs w:val="20"/>
                <w:lang w:eastAsia="en-IN"/>
              </w:rPr>
              <w:t>-advisory dissemination using farm radio and SMS.</w:t>
            </w:r>
          </w:p>
        </w:tc>
      </w:tr>
      <w:tr w:rsidR="00877437" w:rsidRPr="00F6244B" w14:paraId="74A65119" w14:textId="77777777" w:rsidTr="00325D03">
        <w:trPr>
          <w:tblCellSpacing w:w="15" w:type="dxa"/>
        </w:trPr>
        <w:tc>
          <w:tcPr>
            <w:tcW w:w="0" w:type="auto"/>
            <w:vAlign w:val="center"/>
            <w:hideMark/>
          </w:tcPr>
          <w:p w14:paraId="0596C06B"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G</w:t>
            </w:r>
          </w:p>
        </w:tc>
        <w:tc>
          <w:tcPr>
            <w:tcW w:w="0" w:type="auto"/>
            <w:vAlign w:val="center"/>
            <w:hideMark/>
          </w:tcPr>
          <w:p w14:paraId="0360866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Varietal trials &amp; community seed systems</w:t>
            </w:r>
          </w:p>
        </w:tc>
        <w:tc>
          <w:tcPr>
            <w:tcW w:w="0" w:type="auto"/>
            <w:vAlign w:val="center"/>
            <w:hideMark/>
          </w:tcPr>
          <w:p w14:paraId="291062AD"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Initiate participatory varietal trials with support from KVKs and research stations; develop community seed hubs and training on seed storage and purity checks; map micro-elevation to match germplasm.</w:t>
            </w:r>
          </w:p>
        </w:tc>
      </w:tr>
      <w:tr w:rsidR="00877437" w:rsidRPr="00F6244B" w14:paraId="34EDE56B" w14:textId="77777777" w:rsidTr="00325D03">
        <w:trPr>
          <w:tblCellSpacing w:w="15" w:type="dxa"/>
        </w:trPr>
        <w:tc>
          <w:tcPr>
            <w:tcW w:w="0" w:type="auto"/>
            <w:vAlign w:val="center"/>
            <w:hideMark/>
          </w:tcPr>
          <w:p w14:paraId="2B822C83"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b/>
                <w:bCs/>
                <w:sz w:val="20"/>
                <w:szCs w:val="20"/>
                <w:lang w:eastAsia="en-IN"/>
              </w:rPr>
              <w:t>H</w:t>
            </w:r>
          </w:p>
        </w:tc>
        <w:tc>
          <w:tcPr>
            <w:tcW w:w="0" w:type="auto"/>
            <w:vAlign w:val="center"/>
            <w:hideMark/>
          </w:tcPr>
          <w:p w14:paraId="3BF25DF4"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Infrastructure rebuilding &amp; water governance</w:t>
            </w:r>
          </w:p>
        </w:tc>
        <w:tc>
          <w:tcPr>
            <w:tcW w:w="0" w:type="auto"/>
            <w:vAlign w:val="center"/>
            <w:hideMark/>
          </w:tcPr>
          <w:p w14:paraId="5C0B349A" w14:textId="77777777" w:rsidR="00183217" w:rsidRPr="00F6244B" w:rsidRDefault="00183217" w:rsidP="002A5D34">
            <w:pPr>
              <w:spacing w:after="0" w:line="240" w:lineRule="auto"/>
              <w:jc w:val="both"/>
              <w:rPr>
                <w:rFonts w:ascii="Arial" w:eastAsia="Times New Roman" w:hAnsi="Arial" w:cs="Arial"/>
                <w:sz w:val="20"/>
                <w:szCs w:val="20"/>
                <w:lang w:eastAsia="en-IN"/>
              </w:rPr>
            </w:pPr>
            <w:r w:rsidRPr="00F6244B">
              <w:rPr>
                <w:rFonts w:ascii="Arial" w:eastAsia="Times New Roman" w:hAnsi="Arial" w:cs="Arial"/>
                <w:sz w:val="20"/>
                <w:szCs w:val="20"/>
                <w:lang w:eastAsia="en-IN"/>
              </w:rPr>
              <w:t>Launch ward-level bund restoration drives using MGNREGA convergence; install manual or solar-powered irrigation pumps; create local irrigation committees to regulate rotational flow and canal outlet scheduling.</w:t>
            </w:r>
          </w:p>
        </w:tc>
      </w:tr>
    </w:tbl>
    <w:p w14:paraId="2586FBCF" w14:textId="77777777" w:rsidR="00183217" w:rsidRPr="00F6244B" w:rsidRDefault="00183217" w:rsidP="002A5D34">
      <w:pPr>
        <w:jc w:val="both"/>
        <w:rPr>
          <w:rFonts w:ascii="Arial" w:hAnsi="Arial" w:cs="Arial"/>
          <w:sz w:val="20"/>
          <w:szCs w:val="20"/>
        </w:rPr>
      </w:pPr>
    </w:p>
    <w:p w14:paraId="4677080B" w14:textId="7D3BA5AD" w:rsidR="009C21B6" w:rsidRPr="00F6244B" w:rsidRDefault="00183217" w:rsidP="002A5D34">
      <w:pPr>
        <w:jc w:val="both"/>
        <w:rPr>
          <w:rFonts w:ascii="Arial" w:hAnsi="Arial" w:cs="Arial"/>
          <w:sz w:val="20"/>
          <w:szCs w:val="20"/>
        </w:rPr>
      </w:pPr>
      <w:r w:rsidRPr="00F6244B">
        <w:rPr>
          <w:rFonts w:ascii="Arial" w:hAnsi="Arial" w:cs="Arial"/>
          <w:sz w:val="20"/>
          <w:szCs w:val="20"/>
        </w:rPr>
        <w:t>These recommendations are in line with recent insights from IRRI (2022), and ongoing projects under Kerala Agricultural University’s Kole Agri-Resilience Initiative. They reflect the need to balance yield enhancement, infrastructure revival, and climate-smart transitions tailored to localized needs across the Kole wetlands.</w:t>
      </w:r>
    </w:p>
    <w:p w14:paraId="5F7C71A6" w14:textId="77777777" w:rsidR="009C21B6" w:rsidRPr="00F6244B" w:rsidRDefault="00183217" w:rsidP="002A5D34">
      <w:pPr>
        <w:jc w:val="both"/>
        <w:rPr>
          <w:rFonts w:ascii="Arial" w:hAnsi="Arial" w:cs="Arial"/>
          <w:b/>
          <w:bCs/>
          <w:sz w:val="20"/>
          <w:szCs w:val="20"/>
        </w:rPr>
      </w:pPr>
      <w:r w:rsidRPr="00F6244B">
        <w:rPr>
          <w:rFonts w:ascii="Arial" w:hAnsi="Arial" w:cs="Arial"/>
          <w:b/>
          <w:bCs/>
          <w:sz w:val="20"/>
          <w:szCs w:val="20"/>
        </w:rPr>
        <w:t>3.7 Policy Implications and Wider Applicability</w:t>
      </w:r>
    </w:p>
    <w:p w14:paraId="4420DD79" w14:textId="2D7E6C72" w:rsidR="009C21B6" w:rsidRPr="00F6244B" w:rsidRDefault="00183217" w:rsidP="00F95024">
      <w:pPr>
        <w:pStyle w:val="NormalWeb"/>
        <w:jc w:val="both"/>
        <w:rPr>
          <w:rFonts w:ascii="Arial" w:hAnsi="Arial" w:cs="Arial"/>
          <w:sz w:val="20"/>
          <w:szCs w:val="20"/>
        </w:rPr>
      </w:pPr>
      <w:r w:rsidRPr="00F6244B">
        <w:rPr>
          <w:rFonts w:ascii="Arial" w:hAnsi="Arial" w:cs="Arial"/>
          <w:sz w:val="20"/>
          <w:szCs w:val="20"/>
        </w:rPr>
        <w:t>The refined classification model—based on area, yield performance, and inter-annual yield stability (CV)—demonstrates strong potential for broader application beyond the Kole wetlands.</w:t>
      </w:r>
      <w:r w:rsidR="00F95024" w:rsidRPr="00F6244B">
        <w:rPr>
          <w:rFonts w:ascii="Arial" w:hAnsi="Arial" w:cs="Arial"/>
          <w:sz w:val="20"/>
          <w:szCs w:val="20"/>
        </w:rPr>
        <w:t xml:space="preserve"> This aligns with global insights on overcoming water challenges in wetland agriculture (FAO, 2020), emphasizing the need for localized water management strategies. </w:t>
      </w:r>
      <w:r w:rsidRPr="00F6244B">
        <w:rPr>
          <w:rFonts w:ascii="Arial" w:hAnsi="Arial" w:cs="Arial"/>
          <w:sz w:val="20"/>
          <w:szCs w:val="20"/>
        </w:rPr>
        <w:t xml:space="preserve">Its utility lies in its ability to pinpoint spatial and structural disparities across wetland agroecosystems, enabling evidence-based, group-specific interventions. The methodology, which combines multi-year productivity data with field-level attributes such as bund condition and crop management, can be replicated in other lowland paddy ecosystems like the </w:t>
      </w:r>
      <w:proofErr w:type="spellStart"/>
      <w:r w:rsidRPr="00F6244B">
        <w:rPr>
          <w:rFonts w:ascii="Arial" w:hAnsi="Arial" w:cs="Arial"/>
          <w:sz w:val="20"/>
          <w:szCs w:val="20"/>
        </w:rPr>
        <w:t>Kuttanad</w:t>
      </w:r>
      <w:proofErr w:type="spellEnd"/>
      <w:r w:rsidRPr="00F6244B">
        <w:rPr>
          <w:rFonts w:ascii="Arial" w:hAnsi="Arial" w:cs="Arial"/>
          <w:sz w:val="20"/>
          <w:szCs w:val="20"/>
        </w:rPr>
        <w:t xml:space="preserve"> wetlands (Kerala), the Haor basins (Bangladesh), or the Mekong Delta (Vietnam).</w:t>
      </w:r>
    </w:p>
    <w:p w14:paraId="3BDD4193" w14:textId="54492AFC" w:rsidR="009C21B6" w:rsidRPr="00F6244B" w:rsidRDefault="00183217" w:rsidP="002A5D34">
      <w:pPr>
        <w:jc w:val="both"/>
        <w:rPr>
          <w:rFonts w:ascii="Arial" w:hAnsi="Arial" w:cs="Arial"/>
          <w:sz w:val="20"/>
          <w:szCs w:val="20"/>
        </w:rPr>
      </w:pPr>
      <w:r w:rsidRPr="00F6244B">
        <w:rPr>
          <w:rFonts w:ascii="Arial" w:hAnsi="Arial" w:cs="Arial"/>
          <w:sz w:val="20"/>
          <w:szCs w:val="20"/>
        </w:rPr>
        <w:t>From a policy perspective, this model equips planners to prioritize investments under programs like MGNREGA, RKVY, and Rebuild Kerala</w:t>
      </w:r>
      <w:r w:rsidR="00DC25A4">
        <w:rPr>
          <w:rFonts w:ascii="Arial" w:hAnsi="Arial" w:cs="Arial"/>
          <w:sz w:val="20"/>
          <w:szCs w:val="20"/>
        </w:rPr>
        <w:t xml:space="preserve"> Initiative</w:t>
      </w:r>
      <w:r w:rsidRPr="00F6244B">
        <w:rPr>
          <w:rFonts w:ascii="Arial" w:hAnsi="Arial" w:cs="Arial"/>
          <w:sz w:val="20"/>
          <w:szCs w:val="20"/>
        </w:rPr>
        <w:t xml:space="preserve"> by directing resources toward unstable and marginal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(Groups D, F, and H). It also supports the strategic clustering of interventions—such as bund restoration, varietal dissemination, and digital </w:t>
      </w:r>
      <w:proofErr w:type="spellStart"/>
      <w:r w:rsidRPr="00F6244B">
        <w:rPr>
          <w:rFonts w:ascii="Arial" w:hAnsi="Arial" w:cs="Arial"/>
          <w:sz w:val="20"/>
          <w:szCs w:val="20"/>
        </w:rPr>
        <w:t>agro</w:t>
      </w:r>
      <w:proofErr w:type="spellEnd"/>
      <w:r w:rsidRPr="00F6244B">
        <w:rPr>
          <w:rFonts w:ascii="Arial" w:hAnsi="Arial" w:cs="Arial"/>
          <w:sz w:val="20"/>
          <w:szCs w:val="20"/>
        </w:rPr>
        <w:t>-advisory rollouts—based on group characteristics rather than administrative boundaries.</w:t>
      </w:r>
    </w:p>
    <w:p w14:paraId="32297D58" w14:textId="77777777" w:rsidR="009C21B6" w:rsidRPr="00F6244B" w:rsidRDefault="00183217" w:rsidP="002A5D34">
      <w:pPr>
        <w:jc w:val="both"/>
        <w:rPr>
          <w:rFonts w:ascii="Arial" w:hAnsi="Arial" w:cs="Arial"/>
          <w:sz w:val="20"/>
          <w:szCs w:val="20"/>
        </w:rPr>
      </w:pPr>
      <w:r w:rsidRPr="00F6244B">
        <w:rPr>
          <w:rFonts w:ascii="Arial" w:hAnsi="Arial" w:cs="Arial"/>
          <w:sz w:val="20"/>
          <w:szCs w:val="20"/>
        </w:rPr>
        <w:t>Furthermore, by linking field classification outputs with remote sensing platforms and farmer feedback via mobile apps or extension surveys, state departments can build dynamic intervention dashboards. This aligns directly with Sustainable Development Goal 2 (Zero Hunger) and Kerala’s Climate-Resilient Agriculture Mission, emphasizing a shift from uniform subsidy regimes to data-</w:t>
      </w:r>
      <w:r w:rsidRPr="00F6244B">
        <w:rPr>
          <w:rFonts w:ascii="Arial" w:hAnsi="Arial" w:cs="Arial"/>
          <w:sz w:val="20"/>
          <w:szCs w:val="20"/>
        </w:rPr>
        <w:lastRenderedPageBreak/>
        <w:t>driven, location-specific investments that maximize impact per unit of public spending.</w:t>
      </w:r>
      <w:r w:rsidR="000F0A97" w:rsidRPr="00F6244B">
        <w:rPr>
          <w:rFonts w:ascii="Arial" w:hAnsi="Arial" w:cs="Arial"/>
          <w:sz w:val="20"/>
          <w:szCs w:val="20"/>
        </w:rPr>
        <w:t xml:space="preserve"> </w:t>
      </w:r>
      <w:r w:rsidRPr="00F6244B">
        <w:rPr>
          <w:rFonts w:ascii="Arial" w:hAnsi="Arial" w:cs="Arial"/>
          <w:sz w:val="20"/>
          <w:szCs w:val="20"/>
        </w:rPr>
        <w:t>The model offers a replicable template for transforming how wetland paddy systems are understood, managed, and supported under climate uncertainty.</w:t>
      </w:r>
    </w:p>
    <w:p w14:paraId="7CBA63BE" w14:textId="77777777" w:rsidR="009C21B6" w:rsidRPr="00F6244B" w:rsidRDefault="00183217" w:rsidP="002A5D34">
      <w:pPr>
        <w:pStyle w:val="Heading1"/>
        <w:jc w:val="both"/>
        <w:rPr>
          <w:rFonts w:ascii="Arial" w:hAnsi="Arial" w:cs="Arial"/>
          <w:color w:val="auto"/>
          <w:sz w:val="20"/>
          <w:szCs w:val="20"/>
        </w:rPr>
      </w:pPr>
      <w:r w:rsidRPr="00F6244B">
        <w:rPr>
          <w:rFonts w:ascii="Arial" w:hAnsi="Arial" w:cs="Arial"/>
          <w:color w:val="auto"/>
          <w:sz w:val="20"/>
          <w:szCs w:val="20"/>
        </w:rPr>
        <w:t>4. Conclusion</w:t>
      </w:r>
    </w:p>
    <w:p w14:paraId="16BB7245" w14:textId="77777777" w:rsidR="00F726EF" w:rsidRPr="00F6244B" w:rsidRDefault="00183217" w:rsidP="002A5D34">
      <w:pPr>
        <w:jc w:val="both"/>
        <w:rPr>
          <w:rFonts w:ascii="Arial" w:hAnsi="Arial" w:cs="Arial"/>
          <w:sz w:val="20"/>
          <w:szCs w:val="20"/>
        </w:rPr>
      </w:pPr>
      <w:r w:rsidRPr="00F6244B">
        <w:rPr>
          <w:rFonts w:ascii="Arial" w:hAnsi="Arial" w:cs="Arial"/>
          <w:sz w:val="20"/>
          <w:szCs w:val="20"/>
        </w:rPr>
        <w:br/>
        <w:t xml:space="preserve">This study provides a detailed classification of 271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in the </w:t>
      </w:r>
      <w:proofErr w:type="spellStart"/>
      <w:r w:rsidRPr="00F6244B">
        <w:rPr>
          <w:rFonts w:ascii="Arial" w:hAnsi="Arial" w:cs="Arial"/>
          <w:sz w:val="20"/>
          <w:szCs w:val="20"/>
        </w:rPr>
        <w:t>Kole</w:t>
      </w:r>
      <w:proofErr w:type="spellEnd"/>
      <w:r w:rsidRPr="00F6244B">
        <w:rPr>
          <w:rFonts w:ascii="Arial" w:hAnsi="Arial" w:cs="Arial"/>
          <w:sz w:val="20"/>
          <w:szCs w:val="20"/>
        </w:rPr>
        <w:t xml:space="preserve"> Wetlands, using a multi-criteria framework based on cultivated area, five-year average yield, and coefficient of variation (CV) to assess inter-annual yield stability. The classification revealed distinct performance zones—where Groups A and E emerged as stable, high-yielding </w:t>
      </w:r>
      <w:proofErr w:type="spellStart"/>
      <w:r w:rsidRPr="00F6244B">
        <w:rPr>
          <w:rFonts w:ascii="Arial" w:hAnsi="Arial" w:cs="Arial"/>
          <w:sz w:val="20"/>
          <w:szCs w:val="20"/>
        </w:rPr>
        <w:t>padasekharams</w:t>
      </w:r>
      <w:proofErr w:type="spellEnd"/>
      <w:r w:rsidRPr="00F6244B">
        <w:rPr>
          <w:rFonts w:ascii="Arial" w:hAnsi="Arial" w:cs="Arial"/>
          <w:sz w:val="20"/>
          <w:szCs w:val="20"/>
        </w:rPr>
        <w:t xml:space="preserve"> due to robust infrastructure and informed agronomy, while Groups D and H reflected yield vulnerability due to bund failure and agronomic lapses.</w:t>
      </w:r>
    </w:p>
    <w:p w14:paraId="15917ADE" w14:textId="1FE1064D" w:rsidR="00DB38F6" w:rsidRPr="00F6244B" w:rsidRDefault="00183217" w:rsidP="002A5D34">
      <w:pPr>
        <w:jc w:val="both"/>
        <w:rPr>
          <w:rFonts w:ascii="Arial" w:hAnsi="Arial" w:cs="Arial"/>
          <w:sz w:val="20"/>
          <w:szCs w:val="20"/>
        </w:rPr>
      </w:pPr>
      <w:r w:rsidRPr="00F6244B">
        <w:rPr>
          <w:rFonts w:ascii="Arial" w:hAnsi="Arial" w:cs="Arial"/>
          <w:sz w:val="20"/>
          <w:szCs w:val="20"/>
        </w:rPr>
        <w:t>The findings underscore the inadequacy of blanket input-driven policies and highlight the value of a data-driven, spatially disaggregated framework for targeted public investment. The proposed intervention matrix offers actionable guidance for state departments, local governments, and farmer institutions to prioritize restoration, risk mitigation, and sustainable intensification.</w:t>
      </w:r>
    </w:p>
    <w:p w14:paraId="09236075" w14:textId="4C1ED308" w:rsidR="00DB38F6" w:rsidRDefault="00183217" w:rsidP="002A5D34">
      <w:pPr>
        <w:jc w:val="both"/>
        <w:rPr>
          <w:rFonts w:ascii="Arial" w:hAnsi="Arial" w:cs="Arial"/>
          <w:sz w:val="20"/>
          <w:szCs w:val="20"/>
        </w:rPr>
      </w:pPr>
      <w:r w:rsidRPr="00F6244B">
        <w:rPr>
          <w:rFonts w:ascii="Arial" w:hAnsi="Arial" w:cs="Arial"/>
          <w:sz w:val="20"/>
          <w:szCs w:val="20"/>
        </w:rPr>
        <w:t>Replicable across similar wetland ecosystems, this framework supports ongoing efforts under SDG 2 (Zero Hunger) and Kerala’s Climate-Resilient Agriculture initiatives.</w:t>
      </w:r>
      <w:r w:rsidR="00D56D79" w:rsidRPr="00F6244B">
        <w:rPr>
          <w:rFonts w:ascii="Arial" w:hAnsi="Arial" w:cs="Arial"/>
          <w:sz w:val="20"/>
          <w:szCs w:val="20"/>
        </w:rPr>
        <w:t xml:space="preserve"> It directly aligns with the Kerala State Action Plan on Climate Change (Government of Kerala, 2022), which prioritizes adaptive agricultural strategies for vulnerable ecosystems.</w:t>
      </w:r>
      <w:r w:rsidRPr="00F6244B">
        <w:rPr>
          <w:rFonts w:ascii="Arial" w:hAnsi="Arial" w:cs="Arial"/>
          <w:sz w:val="20"/>
          <w:szCs w:val="20"/>
        </w:rPr>
        <w:t xml:space="preserve"> </w:t>
      </w:r>
      <w:r w:rsidR="00D56D79" w:rsidRPr="00F6244B">
        <w:rPr>
          <w:rFonts w:ascii="Arial" w:hAnsi="Arial" w:cs="Arial"/>
          <w:sz w:val="20"/>
          <w:szCs w:val="20"/>
        </w:rPr>
        <w:t xml:space="preserve"> </w:t>
      </w:r>
      <w:r w:rsidRPr="00F6244B">
        <w:rPr>
          <w:rFonts w:ascii="Arial" w:hAnsi="Arial" w:cs="Arial"/>
          <w:sz w:val="20"/>
          <w:szCs w:val="20"/>
        </w:rPr>
        <w:t xml:space="preserve">Future work should incorporate income variability, water command data, and real-time farmer feedback. Empowering </w:t>
      </w:r>
      <w:proofErr w:type="spellStart"/>
      <w:r w:rsidRPr="00F6244B">
        <w:rPr>
          <w:rFonts w:ascii="Arial" w:hAnsi="Arial" w:cs="Arial"/>
          <w:sz w:val="20"/>
          <w:szCs w:val="20"/>
        </w:rPr>
        <w:t>padasekharam</w:t>
      </w:r>
      <w:proofErr w:type="spellEnd"/>
      <w:r w:rsidRPr="00F6244B">
        <w:rPr>
          <w:rFonts w:ascii="Arial" w:hAnsi="Arial" w:cs="Arial"/>
          <w:sz w:val="20"/>
          <w:szCs w:val="20"/>
        </w:rPr>
        <w:t>-level institutions with this diagnostic tool will be crucial in realizing productivity gains, ecological balance, and rural livelihood security across the Kole landscape.</w:t>
      </w:r>
    </w:p>
    <w:p w14:paraId="02AA0CB9" w14:textId="68C1EC95" w:rsidR="0084362B" w:rsidRDefault="0084362B" w:rsidP="002A5D34">
      <w:pPr>
        <w:jc w:val="both"/>
        <w:rPr>
          <w:rFonts w:ascii="Arial" w:hAnsi="Arial" w:cs="Arial"/>
          <w:sz w:val="20"/>
          <w:szCs w:val="20"/>
        </w:rPr>
      </w:pPr>
      <w:r w:rsidRPr="0084362B">
        <w:rPr>
          <w:rFonts w:ascii="Arial" w:hAnsi="Arial" w:cs="Arial"/>
          <w:sz w:val="20"/>
          <w:szCs w:val="20"/>
        </w:rPr>
        <w:t>While this study provides valuable insights, certain limitations should be acknowledged. The classification model is based primarily on historical yield and area data (2019–2023), which may not fully capture recent socio-economic or institutional changes influencing productivity. Socio-economic variables such as labor availability, input access, and farmer decision-making were not directly incorporated, though they are known to shape outcomes in wetland systems. Additionally, while expert validation workshops strengthened the intervention framework, further participatory trials at the farm level are necessary to confirm long-term effectiveness. Future research should therefore integrate socio-economic indicators, hydrological monitoring, and farmer feedback systems to refine and operationalize the model.</w:t>
      </w:r>
    </w:p>
    <w:p w14:paraId="3D9796B2" w14:textId="77777777" w:rsidR="00383B57" w:rsidRPr="008741E6" w:rsidRDefault="00383B57" w:rsidP="00383B57">
      <w:pPr>
        <w:jc w:val="both"/>
        <w:rPr>
          <w:rFonts w:ascii="Arial" w:hAnsi="Arial" w:cs="Arial"/>
          <w:b/>
          <w:bCs/>
          <w:sz w:val="20"/>
          <w:szCs w:val="20"/>
        </w:rPr>
      </w:pPr>
      <w:r w:rsidRPr="008741E6">
        <w:rPr>
          <w:rFonts w:ascii="Arial" w:hAnsi="Arial" w:cs="Arial"/>
          <w:b/>
          <w:bCs/>
          <w:sz w:val="20"/>
          <w:szCs w:val="20"/>
        </w:rPr>
        <w:t>ACKNOWLEDGEMENTS</w:t>
      </w:r>
    </w:p>
    <w:p w14:paraId="2E09809B" w14:textId="5E525AD8" w:rsidR="00383B57" w:rsidRDefault="00383B57" w:rsidP="002A5D34">
      <w:pPr>
        <w:jc w:val="both"/>
        <w:rPr>
          <w:rFonts w:ascii="Arial" w:hAnsi="Arial" w:cs="Arial"/>
          <w:sz w:val="20"/>
          <w:szCs w:val="20"/>
        </w:rPr>
      </w:pPr>
      <w:r w:rsidRPr="008741E6">
        <w:rPr>
          <w:rFonts w:ascii="Arial" w:hAnsi="Arial" w:cs="Arial"/>
          <w:sz w:val="20"/>
          <w:szCs w:val="20"/>
        </w:rPr>
        <w:t>Financial assistance for this project</w:t>
      </w:r>
      <w:r>
        <w:rPr>
          <w:rFonts w:ascii="Arial" w:hAnsi="Arial" w:cs="Arial"/>
          <w:sz w:val="20"/>
          <w:szCs w:val="20"/>
        </w:rPr>
        <w:t xml:space="preserve">, “Study of Kole Lands Ecosystem of Kerala and Development of a Comprehensive Management Strategy” </w:t>
      </w:r>
      <w:r w:rsidRPr="008741E6">
        <w:rPr>
          <w:rFonts w:ascii="Arial" w:hAnsi="Arial" w:cs="Arial"/>
          <w:sz w:val="20"/>
          <w:szCs w:val="20"/>
        </w:rPr>
        <w:t xml:space="preserve">was provided by </w:t>
      </w:r>
      <w:r>
        <w:rPr>
          <w:rFonts w:ascii="Arial" w:hAnsi="Arial" w:cs="Arial"/>
          <w:sz w:val="20"/>
          <w:szCs w:val="20"/>
        </w:rPr>
        <w:t>Kerala State Planning Board,</w:t>
      </w:r>
      <w:r w:rsidRPr="008741E6">
        <w:rPr>
          <w:rFonts w:ascii="Arial" w:hAnsi="Arial" w:cs="Arial"/>
          <w:sz w:val="20"/>
          <w:szCs w:val="20"/>
        </w:rPr>
        <w:t xml:space="preserve"> Ke</w:t>
      </w:r>
      <w:r>
        <w:rPr>
          <w:rFonts w:ascii="Arial" w:hAnsi="Arial" w:cs="Arial"/>
          <w:sz w:val="20"/>
          <w:szCs w:val="20"/>
        </w:rPr>
        <w:t>rala</w:t>
      </w:r>
      <w:r w:rsidRPr="008741E6">
        <w:rPr>
          <w:rFonts w:ascii="Arial" w:hAnsi="Arial" w:cs="Arial"/>
          <w:sz w:val="20"/>
          <w:szCs w:val="20"/>
        </w:rPr>
        <w:t>. The authors also express gratitude to the supporting farm participants and</w:t>
      </w:r>
      <w:r>
        <w:rPr>
          <w:rFonts w:ascii="Arial" w:hAnsi="Arial" w:cs="Arial"/>
          <w:sz w:val="20"/>
          <w:szCs w:val="20"/>
        </w:rPr>
        <w:t xml:space="preserve"> </w:t>
      </w:r>
      <w:r w:rsidRPr="008741E6">
        <w:rPr>
          <w:rFonts w:ascii="Arial" w:hAnsi="Arial" w:cs="Arial"/>
          <w:sz w:val="20"/>
          <w:szCs w:val="20"/>
        </w:rPr>
        <w:t>technical people involved in field trials and prototype validation.</w:t>
      </w:r>
    </w:p>
    <w:p w14:paraId="5DEBD77D" w14:textId="312645F2" w:rsidR="008741E6" w:rsidRPr="008741E6" w:rsidRDefault="008741E6" w:rsidP="008741E6">
      <w:pPr>
        <w:jc w:val="both"/>
        <w:rPr>
          <w:rFonts w:ascii="Arial" w:hAnsi="Arial" w:cs="Arial"/>
          <w:b/>
          <w:bCs/>
          <w:sz w:val="20"/>
          <w:szCs w:val="20"/>
        </w:rPr>
      </w:pPr>
      <w:r w:rsidRPr="008741E6">
        <w:rPr>
          <w:rFonts w:ascii="Arial" w:hAnsi="Arial" w:cs="Arial"/>
          <w:b/>
          <w:bCs/>
          <w:sz w:val="20"/>
          <w:szCs w:val="20"/>
        </w:rPr>
        <w:t>Disclaimer (Artificial intelligence)</w:t>
      </w:r>
    </w:p>
    <w:p w14:paraId="060F3E17" w14:textId="7D52795E" w:rsidR="008741E6" w:rsidRPr="008741E6" w:rsidRDefault="008741E6" w:rsidP="008741E6">
      <w:pPr>
        <w:jc w:val="both"/>
        <w:rPr>
          <w:rFonts w:ascii="Arial" w:hAnsi="Arial" w:cs="Arial"/>
          <w:sz w:val="20"/>
          <w:szCs w:val="20"/>
        </w:rPr>
      </w:pPr>
      <w:r w:rsidRPr="008741E6">
        <w:rPr>
          <w:rFonts w:ascii="Arial" w:hAnsi="Arial" w:cs="Arial"/>
          <w:sz w:val="20"/>
          <w:szCs w:val="20"/>
        </w:rPr>
        <w:t>Author(s) hereby declares that generative AI technologies such as Large Language Models, etc. have been</w:t>
      </w:r>
      <w:r>
        <w:rPr>
          <w:rFonts w:ascii="Arial" w:hAnsi="Arial" w:cs="Arial"/>
          <w:sz w:val="20"/>
          <w:szCs w:val="20"/>
        </w:rPr>
        <w:t xml:space="preserve"> </w:t>
      </w:r>
      <w:r w:rsidRPr="008741E6">
        <w:rPr>
          <w:rFonts w:ascii="Arial" w:hAnsi="Arial" w:cs="Arial"/>
          <w:sz w:val="20"/>
          <w:szCs w:val="20"/>
        </w:rPr>
        <w:t>used during the writing or editing of manuscripts. This explanation will include the name, version,</w:t>
      </w:r>
      <w:r>
        <w:rPr>
          <w:rFonts w:ascii="Arial" w:hAnsi="Arial" w:cs="Arial"/>
          <w:sz w:val="20"/>
          <w:szCs w:val="20"/>
        </w:rPr>
        <w:t xml:space="preserve"> </w:t>
      </w:r>
      <w:r w:rsidRPr="008741E6">
        <w:rPr>
          <w:rFonts w:ascii="Arial" w:hAnsi="Arial" w:cs="Arial"/>
          <w:sz w:val="20"/>
          <w:szCs w:val="20"/>
        </w:rPr>
        <w:t>model, and source of the generative AI technology and as well as all input prompts provided to the</w:t>
      </w:r>
      <w:r>
        <w:rPr>
          <w:rFonts w:ascii="Arial" w:hAnsi="Arial" w:cs="Arial"/>
          <w:sz w:val="20"/>
          <w:szCs w:val="20"/>
        </w:rPr>
        <w:t xml:space="preserve"> </w:t>
      </w:r>
      <w:r w:rsidRPr="008741E6">
        <w:rPr>
          <w:rFonts w:ascii="Arial" w:hAnsi="Arial" w:cs="Arial"/>
          <w:sz w:val="20"/>
          <w:szCs w:val="20"/>
        </w:rPr>
        <w:t>generative AI technology</w:t>
      </w:r>
    </w:p>
    <w:p w14:paraId="11CDA085" w14:textId="77777777" w:rsidR="008741E6" w:rsidRPr="008741E6" w:rsidRDefault="008741E6" w:rsidP="008741E6">
      <w:pPr>
        <w:jc w:val="both"/>
        <w:rPr>
          <w:rFonts w:ascii="Arial" w:hAnsi="Arial" w:cs="Arial"/>
          <w:sz w:val="20"/>
          <w:szCs w:val="20"/>
        </w:rPr>
      </w:pPr>
    </w:p>
    <w:p w14:paraId="1893CF95" w14:textId="77777777" w:rsidR="008741E6" w:rsidRPr="008741E6" w:rsidRDefault="008741E6" w:rsidP="008741E6">
      <w:pPr>
        <w:jc w:val="both"/>
        <w:rPr>
          <w:rFonts w:ascii="Arial" w:hAnsi="Arial" w:cs="Arial"/>
          <w:sz w:val="20"/>
          <w:szCs w:val="20"/>
        </w:rPr>
      </w:pPr>
      <w:r w:rsidRPr="008741E6">
        <w:rPr>
          <w:rFonts w:ascii="Arial" w:hAnsi="Arial" w:cs="Arial"/>
          <w:sz w:val="20"/>
          <w:szCs w:val="20"/>
        </w:rPr>
        <w:t>Details of the AI usage are given below:</w:t>
      </w:r>
    </w:p>
    <w:p w14:paraId="41DC0867" w14:textId="4193F91F" w:rsidR="008741E6" w:rsidRPr="00FC0791" w:rsidRDefault="008741E6" w:rsidP="00FC0791">
      <w:pPr>
        <w:pStyle w:val="ListParagraph"/>
        <w:numPr>
          <w:ilvl w:val="0"/>
          <w:numId w:val="10"/>
        </w:numPr>
        <w:jc w:val="both"/>
        <w:rPr>
          <w:rFonts w:ascii="Arial" w:hAnsi="Arial" w:cs="Arial"/>
          <w:sz w:val="20"/>
          <w:szCs w:val="20"/>
        </w:rPr>
      </w:pPr>
      <w:r w:rsidRPr="00FC0791">
        <w:rPr>
          <w:rFonts w:ascii="Arial" w:hAnsi="Arial" w:cs="Arial"/>
          <w:sz w:val="20"/>
          <w:szCs w:val="20"/>
        </w:rPr>
        <w:t>Chat GPT 4o (mini) has been used for editing and correcting of article.</w:t>
      </w:r>
    </w:p>
    <w:p w14:paraId="1232CA9F" w14:textId="77777777" w:rsidR="00FC0791" w:rsidRDefault="00FC0791" w:rsidP="00FC0791">
      <w:pPr>
        <w:jc w:val="both"/>
        <w:rPr>
          <w:rFonts w:ascii="Arial" w:hAnsi="Arial" w:cs="Arial"/>
          <w:sz w:val="20"/>
          <w:szCs w:val="20"/>
        </w:rPr>
      </w:pPr>
    </w:p>
    <w:p w14:paraId="2ACF959B" w14:textId="77777777" w:rsidR="00876909" w:rsidRPr="00F6244B" w:rsidRDefault="00183217" w:rsidP="00876909">
      <w:pPr>
        <w:pStyle w:val="NormalWeb"/>
        <w:jc w:val="both"/>
        <w:rPr>
          <w:rFonts w:ascii="Arial" w:hAnsi="Arial" w:cs="Arial"/>
          <w:sz w:val="20"/>
          <w:szCs w:val="20"/>
        </w:rPr>
      </w:pPr>
      <w:r w:rsidRPr="00F6244B">
        <w:rPr>
          <w:rStyle w:val="Strong"/>
          <w:rFonts w:ascii="Arial" w:hAnsi="Arial" w:cs="Arial"/>
          <w:sz w:val="20"/>
          <w:szCs w:val="20"/>
        </w:rPr>
        <w:t>References:</w:t>
      </w:r>
      <w:bookmarkStart w:id="0" w:name="_Hlk205128472"/>
    </w:p>
    <w:p w14:paraId="2AEB1CF0" w14:textId="77777777" w:rsidR="0044597E" w:rsidRPr="0044597E" w:rsidRDefault="0044597E" w:rsidP="007B742F">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t xml:space="preserve">Asare, E., </w:t>
      </w:r>
      <w:proofErr w:type="spellStart"/>
      <w:r w:rsidRPr="0044597E">
        <w:rPr>
          <w:rFonts w:ascii="Arial" w:hAnsi="Arial" w:cs="Arial"/>
          <w:sz w:val="20"/>
          <w:szCs w:val="20"/>
          <w:shd w:val="clear" w:color="auto" w:fill="FFFFFF"/>
        </w:rPr>
        <w:t>Mantyka</w:t>
      </w:r>
      <w:proofErr w:type="spellEnd"/>
      <w:r w:rsidRPr="0044597E">
        <w:rPr>
          <w:rFonts w:ascii="Arial" w:hAnsi="Arial" w:cs="Arial"/>
          <w:sz w:val="20"/>
          <w:szCs w:val="20"/>
          <w:shd w:val="clear" w:color="auto" w:fill="FFFFFF"/>
        </w:rPr>
        <w:t xml:space="preserve">-Pringle, C., Beever, E. A., Belcher, K., &amp; Clark, R. (2022). Evaluating ecosystem services for agricultural wetlands: A systematic review and meta-analysis. Wetlands Ecology and Management, 30(6), 1129–1149. </w:t>
      </w:r>
      <w:hyperlink r:id="rId8" w:history="1">
        <w:r w:rsidRPr="0044597E">
          <w:rPr>
            <w:rStyle w:val="Hyperlink"/>
            <w:rFonts w:ascii="Arial" w:hAnsi="Arial" w:cs="Arial"/>
            <w:color w:val="auto"/>
            <w:sz w:val="20"/>
            <w:szCs w:val="20"/>
            <w:u w:val="none"/>
            <w:shd w:val="clear" w:color="auto" w:fill="FFFFFF"/>
          </w:rPr>
          <w:t>https://doi.org/10.1007/s11273-022-09857-5</w:t>
        </w:r>
      </w:hyperlink>
      <w:r w:rsidRPr="0044597E">
        <w:rPr>
          <w:rFonts w:ascii="Arial" w:hAnsi="Arial" w:cs="Arial"/>
          <w:sz w:val="20"/>
          <w:szCs w:val="20"/>
          <w:shd w:val="clear" w:color="auto" w:fill="FFFFFF"/>
        </w:rPr>
        <w:t xml:space="preserve"> </w:t>
      </w:r>
    </w:p>
    <w:p w14:paraId="18C1E80D" w14:textId="77777777" w:rsidR="0044597E" w:rsidRPr="0044597E" w:rsidRDefault="0044597E" w:rsidP="00876909">
      <w:pPr>
        <w:pStyle w:val="NormalWeb"/>
        <w:jc w:val="both"/>
        <w:rPr>
          <w:rFonts w:ascii="Arial" w:hAnsi="Arial" w:cs="Arial"/>
          <w:sz w:val="20"/>
          <w:szCs w:val="20"/>
          <w:lang w:val="en-US"/>
        </w:rPr>
      </w:pPr>
      <w:r w:rsidRPr="0044597E">
        <w:rPr>
          <w:rFonts w:ascii="Arial" w:hAnsi="Arial" w:cs="Arial"/>
          <w:sz w:val="20"/>
          <w:szCs w:val="20"/>
        </w:rPr>
        <w:t xml:space="preserve">Bouman, B. A. M., &amp; Tuong, T. P. (2001). Field water management to save water and increase productivity in irrigated rice. Agricultural Water Management, 49(1), 11–30. </w:t>
      </w:r>
      <w:hyperlink r:id="rId9" w:history="1">
        <w:r w:rsidRPr="0044597E">
          <w:rPr>
            <w:rStyle w:val="Hyperlink"/>
            <w:rFonts w:ascii="Arial" w:hAnsi="Arial" w:cs="Arial"/>
            <w:color w:val="auto"/>
            <w:sz w:val="20"/>
            <w:szCs w:val="20"/>
            <w:u w:val="none"/>
            <w:lang w:val="en-US"/>
          </w:rPr>
          <w:t>https://doi.org/10.1016/S0378-3774(00)00128-1</w:t>
        </w:r>
      </w:hyperlink>
    </w:p>
    <w:p w14:paraId="61EFEB6D" w14:textId="77777777" w:rsidR="0044597E" w:rsidRPr="0044597E" w:rsidRDefault="0044597E" w:rsidP="00877437">
      <w:pPr>
        <w:pStyle w:val="NormalWeb"/>
        <w:jc w:val="both"/>
        <w:rPr>
          <w:rFonts w:ascii="Arial" w:hAnsi="Arial" w:cs="Arial"/>
          <w:sz w:val="20"/>
          <w:szCs w:val="20"/>
          <w:shd w:val="clear" w:color="auto" w:fill="FFFFFF"/>
          <w:lang w:val="en-US"/>
        </w:rPr>
      </w:pPr>
      <w:r w:rsidRPr="0044597E">
        <w:rPr>
          <w:rFonts w:ascii="Arial" w:hAnsi="Arial" w:cs="Arial"/>
          <w:sz w:val="20"/>
          <w:szCs w:val="20"/>
          <w:shd w:val="clear" w:color="auto" w:fill="FFFFFF"/>
          <w:lang w:val="da-DK"/>
        </w:rPr>
        <w:t xml:space="preserve">Bowden, C., Foster, T., &amp; Parkes, B. (2023). </w:t>
      </w:r>
      <w:r w:rsidRPr="0044597E">
        <w:rPr>
          <w:rFonts w:ascii="Arial" w:hAnsi="Arial" w:cs="Arial"/>
          <w:sz w:val="20"/>
          <w:szCs w:val="20"/>
          <w:shd w:val="clear" w:color="auto" w:fill="FFFFFF"/>
        </w:rPr>
        <w:t>Identifying links between monsoon variability and rice production in India through machine learning. </w:t>
      </w:r>
      <w:r w:rsidRPr="0044597E">
        <w:rPr>
          <w:rFonts w:ascii="Arial" w:hAnsi="Arial" w:cs="Arial"/>
          <w:i/>
          <w:iCs/>
          <w:sz w:val="20"/>
          <w:szCs w:val="20"/>
          <w:shd w:val="clear" w:color="auto" w:fill="FFFFFF"/>
        </w:rPr>
        <w:t>Scientific Reports</w:t>
      </w:r>
      <w:r w:rsidRPr="0044597E">
        <w:rPr>
          <w:rFonts w:ascii="Arial" w:hAnsi="Arial" w:cs="Arial"/>
          <w:sz w:val="20"/>
          <w:szCs w:val="20"/>
          <w:shd w:val="clear" w:color="auto" w:fill="FFFFFF"/>
        </w:rPr>
        <w:t>, </w:t>
      </w:r>
      <w:r w:rsidRPr="0044597E">
        <w:rPr>
          <w:rFonts w:ascii="Arial" w:hAnsi="Arial" w:cs="Arial"/>
          <w:i/>
          <w:iCs/>
          <w:sz w:val="20"/>
          <w:szCs w:val="20"/>
          <w:shd w:val="clear" w:color="auto" w:fill="FFFFFF"/>
        </w:rPr>
        <w:t>13</w:t>
      </w:r>
      <w:r w:rsidRPr="0044597E">
        <w:rPr>
          <w:rFonts w:ascii="Arial" w:hAnsi="Arial" w:cs="Arial"/>
          <w:sz w:val="20"/>
          <w:szCs w:val="20"/>
          <w:shd w:val="clear" w:color="auto" w:fill="FFFFFF"/>
        </w:rPr>
        <w:t>(1), 2446.</w:t>
      </w:r>
    </w:p>
    <w:p w14:paraId="4C2790FC" w14:textId="77777777" w:rsidR="0044597E" w:rsidRPr="0044597E" w:rsidRDefault="0044597E" w:rsidP="00876909">
      <w:pPr>
        <w:pStyle w:val="NormalWeb"/>
        <w:jc w:val="both"/>
        <w:rPr>
          <w:rStyle w:val="Strong"/>
          <w:rFonts w:ascii="Arial" w:hAnsi="Arial" w:cs="Arial"/>
          <w:b w:val="0"/>
          <w:bCs w:val="0"/>
          <w:sz w:val="20"/>
          <w:szCs w:val="20"/>
        </w:rPr>
      </w:pPr>
      <w:r w:rsidRPr="0044597E">
        <w:rPr>
          <w:rFonts w:ascii="Arial" w:hAnsi="Arial" w:cs="Arial"/>
          <w:sz w:val="20"/>
          <w:szCs w:val="20"/>
        </w:rPr>
        <w:t>FAO (Food and Agriculture Organization). (2020). The State of Food and Agriculture: Overcoming water challenges in agriculture. Rome: FAO, 210 p.</w:t>
      </w:r>
    </w:p>
    <w:p w14:paraId="24F1EBF7" w14:textId="77777777" w:rsidR="0044597E" w:rsidRPr="0044597E" w:rsidRDefault="0044597E" w:rsidP="007B742F">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t xml:space="preserve">Garcia-Herrero, L., </w:t>
      </w:r>
      <w:proofErr w:type="spellStart"/>
      <w:r w:rsidRPr="0044597E">
        <w:rPr>
          <w:rFonts w:ascii="Arial" w:hAnsi="Arial" w:cs="Arial"/>
          <w:sz w:val="20"/>
          <w:szCs w:val="20"/>
          <w:shd w:val="clear" w:color="auto" w:fill="FFFFFF"/>
        </w:rPr>
        <w:t>Lavrnić</w:t>
      </w:r>
      <w:proofErr w:type="spellEnd"/>
      <w:r w:rsidRPr="0044597E">
        <w:rPr>
          <w:rFonts w:ascii="Arial" w:hAnsi="Arial" w:cs="Arial"/>
          <w:sz w:val="20"/>
          <w:szCs w:val="20"/>
          <w:shd w:val="clear" w:color="auto" w:fill="FFFFFF"/>
        </w:rPr>
        <w:t xml:space="preserve">, S., Guerrieri, V., Toscano, A., Milani, M., Cirelli, G. L., &amp; </w:t>
      </w:r>
      <w:proofErr w:type="spellStart"/>
      <w:r w:rsidRPr="0044597E">
        <w:rPr>
          <w:rFonts w:ascii="Arial" w:hAnsi="Arial" w:cs="Arial"/>
          <w:sz w:val="20"/>
          <w:szCs w:val="20"/>
          <w:shd w:val="clear" w:color="auto" w:fill="FFFFFF"/>
        </w:rPr>
        <w:t>Vittuari</w:t>
      </w:r>
      <w:proofErr w:type="spellEnd"/>
      <w:r w:rsidRPr="0044597E">
        <w:rPr>
          <w:rFonts w:ascii="Arial" w:hAnsi="Arial" w:cs="Arial"/>
          <w:sz w:val="20"/>
          <w:szCs w:val="20"/>
          <w:shd w:val="clear" w:color="auto" w:fill="FFFFFF"/>
        </w:rPr>
        <w:t xml:space="preserve">, M. (2023). Cost-benefit of green infrastructures for water management: A sustainability assessment of full-scale constructed wetlands in Northern and Southern Italy. </w:t>
      </w:r>
      <w:proofErr w:type="spellStart"/>
      <w:r w:rsidRPr="0044597E">
        <w:rPr>
          <w:rFonts w:ascii="Arial" w:hAnsi="Arial" w:cs="Arial"/>
          <w:sz w:val="20"/>
          <w:szCs w:val="20"/>
          <w:shd w:val="clear" w:color="auto" w:fill="FFFFFF"/>
        </w:rPr>
        <w:t>arXiv</w:t>
      </w:r>
      <w:proofErr w:type="spellEnd"/>
      <w:r w:rsidRPr="0044597E">
        <w:rPr>
          <w:rFonts w:ascii="Arial" w:hAnsi="Arial" w:cs="Arial"/>
          <w:sz w:val="20"/>
          <w:szCs w:val="20"/>
          <w:shd w:val="clear" w:color="auto" w:fill="FFFFFF"/>
        </w:rPr>
        <w:t xml:space="preserve">. </w:t>
      </w:r>
      <w:hyperlink r:id="rId10" w:history="1">
        <w:r w:rsidRPr="0044597E">
          <w:rPr>
            <w:rStyle w:val="Hyperlink"/>
            <w:rFonts w:ascii="Arial" w:hAnsi="Arial" w:cs="Arial"/>
            <w:color w:val="auto"/>
            <w:sz w:val="20"/>
            <w:szCs w:val="20"/>
            <w:u w:val="none"/>
            <w:shd w:val="clear" w:color="auto" w:fill="FFFFFF"/>
          </w:rPr>
          <w:t>https://doi.org/10.48550/arXiv.2305.06284</w:t>
        </w:r>
      </w:hyperlink>
      <w:r w:rsidRPr="0044597E">
        <w:rPr>
          <w:rFonts w:ascii="Arial" w:hAnsi="Arial" w:cs="Arial"/>
          <w:sz w:val="20"/>
          <w:szCs w:val="20"/>
          <w:shd w:val="clear" w:color="auto" w:fill="FFFFFF"/>
        </w:rPr>
        <w:t xml:space="preserve"> </w:t>
      </w:r>
    </w:p>
    <w:p w14:paraId="6FF62317" w14:textId="77777777" w:rsidR="0044597E" w:rsidRPr="0044597E" w:rsidRDefault="0044597E" w:rsidP="00876909">
      <w:pPr>
        <w:pStyle w:val="NormalWeb"/>
        <w:jc w:val="both"/>
        <w:rPr>
          <w:rStyle w:val="Strong"/>
          <w:rFonts w:ascii="Arial" w:hAnsi="Arial" w:cs="Arial"/>
          <w:b w:val="0"/>
          <w:bCs w:val="0"/>
          <w:sz w:val="20"/>
          <w:szCs w:val="20"/>
        </w:rPr>
      </w:pPr>
      <w:r w:rsidRPr="0044597E">
        <w:rPr>
          <w:rFonts w:ascii="Arial" w:hAnsi="Arial" w:cs="Arial"/>
          <w:sz w:val="20"/>
          <w:szCs w:val="20"/>
        </w:rPr>
        <w:t>Government of Kerala</w:t>
      </w:r>
      <w:r w:rsidRPr="0044597E">
        <w:rPr>
          <w:rStyle w:val="Strong"/>
          <w:rFonts w:ascii="Arial" w:hAnsi="Arial" w:cs="Arial"/>
          <w:b w:val="0"/>
          <w:bCs w:val="0"/>
          <w:sz w:val="20"/>
          <w:szCs w:val="20"/>
        </w:rPr>
        <w:t xml:space="preserve"> (2022). Kerala State Action Plan on Climate Change 2.0 (2023-2030). Directorate of Environment and Climate Change, Department of Environment, Government of Kerala. 333p.</w:t>
      </w:r>
    </w:p>
    <w:p w14:paraId="1B7B0D37" w14:textId="1F9A70E1" w:rsidR="00383B57" w:rsidRPr="00383B57" w:rsidRDefault="00383B57" w:rsidP="00877437">
      <w:pPr>
        <w:pStyle w:val="NormalWeb"/>
        <w:jc w:val="both"/>
        <w:rPr>
          <w:rFonts w:ascii="Arial" w:hAnsi="Arial" w:cs="Arial"/>
          <w:sz w:val="20"/>
          <w:szCs w:val="20"/>
        </w:rPr>
      </w:pPr>
      <w:r w:rsidRPr="007734FF">
        <w:rPr>
          <w:rFonts w:ascii="Arial" w:hAnsi="Arial" w:cs="Arial"/>
          <w:sz w:val="20"/>
          <w:szCs w:val="20"/>
        </w:rPr>
        <w:t xml:space="preserve">Government of Kerala. (2024). Agriculture and allied sectors. In Economic Review 2023 (Chap. 3). Kerala State Planning Board, Planning &amp; Economic Affairs Department. </w:t>
      </w:r>
      <w:hyperlink r:id="rId11" w:history="1">
        <w:r w:rsidRPr="007734FF">
          <w:rPr>
            <w:rStyle w:val="Hyperlink"/>
            <w:rFonts w:ascii="Arial" w:hAnsi="Arial" w:cs="Arial"/>
            <w:color w:val="auto"/>
            <w:sz w:val="20"/>
            <w:szCs w:val="20"/>
            <w:u w:val="none"/>
          </w:rPr>
          <w:t>https://spb.kerala.gov.in/economic-review/ER2023/index.php</w:t>
        </w:r>
      </w:hyperlink>
      <w:bookmarkStart w:id="1" w:name="_GoBack"/>
      <w:bookmarkEnd w:id="1"/>
    </w:p>
    <w:p w14:paraId="1E4B42D5" w14:textId="26440B87" w:rsidR="0044597E" w:rsidRPr="0044597E" w:rsidRDefault="0044597E" w:rsidP="00877437">
      <w:pPr>
        <w:pStyle w:val="NormalWeb"/>
        <w:jc w:val="both"/>
        <w:rPr>
          <w:rFonts w:ascii="Arial" w:hAnsi="Arial" w:cs="Arial"/>
          <w:sz w:val="20"/>
          <w:szCs w:val="20"/>
        </w:rPr>
      </w:pPr>
      <w:r w:rsidRPr="0044597E">
        <w:rPr>
          <w:rFonts w:ascii="Arial" w:hAnsi="Arial" w:cs="Arial"/>
          <w:sz w:val="20"/>
          <w:szCs w:val="20"/>
        </w:rPr>
        <w:t>IRRI. (2022). Climate change strategy 2022–2027. International Rice Research Institute. http://books.irri.org/climate-change-strategy-2022-2027.pdf</w:t>
      </w:r>
    </w:p>
    <w:p w14:paraId="484FB541" w14:textId="77777777" w:rsidR="0044597E" w:rsidRPr="0044597E" w:rsidRDefault="0044597E" w:rsidP="00876909">
      <w:pPr>
        <w:pStyle w:val="NormalWeb"/>
        <w:jc w:val="both"/>
        <w:rPr>
          <w:rFonts w:ascii="Arial" w:hAnsi="Arial" w:cs="Arial"/>
          <w:sz w:val="20"/>
          <w:szCs w:val="20"/>
        </w:rPr>
      </w:pPr>
      <w:r w:rsidRPr="0044597E">
        <w:rPr>
          <w:rFonts w:ascii="Arial" w:hAnsi="Arial" w:cs="Arial"/>
          <w:sz w:val="20"/>
          <w:szCs w:val="20"/>
          <w:shd w:val="clear" w:color="auto" w:fill="FFFFFF"/>
        </w:rPr>
        <w:t>Karunakaran, N. (2014). Paddy cultivation in Kerala–trends, determinants and effects on food security. </w:t>
      </w:r>
      <w:r w:rsidRPr="0044597E">
        <w:rPr>
          <w:rFonts w:ascii="Arial" w:hAnsi="Arial" w:cs="Arial"/>
          <w:i/>
          <w:iCs/>
          <w:sz w:val="20"/>
          <w:szCs w:val="20"/>
          <w:shd w:val="clear" w:color="auto" w:fill="FFFFFF"/>
        </w:rPr>
        <w:t>Artha Journal of Social Sciences</w:t>
      </w:r>
      <w:r w:rsidRPr="0044597E">
        <w:rPr>
          <w:rFonts w:ascii="Arial" w:hAnsi="Arial" w:cs="Arial"/>
          <w:sz w:val="20"/>
          <w:szCs w:val="20"/>
          <w:shd w:val="clear" w:color="auto" w:fill="FFFFFF"/>
        </w:rPr>
        <w:t>, </w:t>
      </w:r>
      <w:r w:rsidRPr="0044597E">
        <w:rPr>
          <w:rFonts w:ascii="Arial" w:hAnsi="Arial" w:cs="Arial"/>
          <w:i/>
          <w:iCs/>
          <w:sz w:val="20"/>
          <w:szCs w:val="20"/>
          <w:shd w:val="clear" w:color="auto" w:fill="FFFFFF"/>
        </w:rPr>
        <w:t>13</w:t>
      </w:r>
      <w:r w:rsidRPr="0044597E">
        <w:rPr>
          <w:rFonts w:ascii="Arial" w:hAnsi="Arial" w:cs="Arial"/>
          <w:sz w:val="20"/>
          <w:szCs w:val="20"/>
          <w:shd w:val="clear" w:color="auto" w:fill="FFFFFF"/>
        </w:rPr>
        <w:t>(4), 21-35.</w:t>
      </w:r>
    </w:p>
    <w:p w14:paraId="34E94A38" w14:textId="77777777" w:rsidR="0044597E" w:rsidRPr="0044597E" w:rsidRDefault="0044597E" w:rsidP="00876909">
      <w:pPr>
        <w:pStyle w:val="NormalWeb"/>
        <w:jc w:val="both"/>
        <w:rPr>
          <w:rFonts w:ascii="Arial" w:hAnsi="Arial" w:cs="Arial"/>
          <w:sz w:val="20"/>
          <w:szCs w:val="20"/>
          <w:lang w:val="en-US"/>
        </w:rPr>
      </w:pPr>
      <w:proofErr w:type="spellStart"/>
      <w:r w:rsidRPr="0044597E">
        <w:rPr>
          <w:rFonts w:ascii="Arial" w:hAnsi="Arial" w:cs="Arial"/>
          <w:sz w:val="20"/>
          <w:szCs w:val="20"/>
          <w:shd w:val="clear" w:color="auto" w:fill="FFFFFF"/>
        </w:rPr>
        <w:t>Lasithamol</w:t>
      </w:r>
      <w:proofErr w:type="spellEnd"/>
      <w:r w:rsidRPr="0044597E">
        <w:rPr>
          <w:rFonts w:ascii="Arial" w:hAnsi="Arial" w:cs="Arial"/>
          <w:sz w:val="20"/>
          <w:szCs w:val="20"/>
          <w:shd w:val="clear" w:color="auto" w:fill="FFFFFF"/>
        </w:rPr>
        <w:t xml:space="preserve">, N., </w:t>
      </w:r>
      <w:proofErr w:type="spellStart"/>
      <w:r w:rsidRPr="0044597E">
        <w:rPr>
          <w:rFonts w:ascii="Arial" w:hAnsi="Arial" w:cs="Arial"/>
          <w:sz w:val="20"/>
          <w:szCs w:val="20"/>
          <w:shd w:val="clear" w:color="auto" w:fill="FFFFFF"/>
        </w:rPr>
        <w:t>Sadath</w:t>
      </w:r>
      <w:proofErr w:type="spellEnd"/>
      <w:r w:rsidRPr="0044597E">
        <w:rPr>
          <w:rFonts w:ascii="Arial" w:hAnsi="Arial" w:cs="Arial"/>
          <w:sz w:val="20"/>
          <w:szCs w:val="20"/>
          <w:shd w:val="clear" w:color="auto" w:fill="FFFFFF"/>
        </w:rPr>
        <w:t>, C. A., &amp; Prasanth, C. (2025). A Farm-Level Exploration of the Factors Influencing Climate Change Adaptation Strategies among Rice Farmers in Kerala, India. </w:t>
      </w:r>
      <w:r w:rsidRPr="0044597E">
        <w:rPr>
          <w:rFonts w:ascii="Arial" w:hAnsi="Arial" w:cs="Arial"/>
          <w:i/>
          <w:iCs/>
          <w:sz w:val="20"/>
          <w:szCs w:val="20"/>
          <w:shd w:val="clear" w:color="auto" w:fill="FFFFFF"/>
        </w:rPr>
        <w:t>AGRIS on-line Papers in Economics and Informatics</w:t>
      </w:r>
      <w:r w:rsidRPr="0044597E">
        <w:rPr>
          <w:rFonts w:ascii="Arial" w:hAnsi="Arial" w:cs="Arial"/>
          <w:sz w:val="20"/>
          <w:szCs w:val="20"/>
          <w:shd w:val="clear" w:color="auto" w:fill="FFFFFF"/>
        </w:rPr>
        <w:t>, </w:t>
      </w:r>
      <w:r w:rsidRPr="0044597E">
        <w:rPr>
          <w:rFonts w:ascii="Arial" w:hAnsi="Arial" w:cs="Arial"/>
          <w:i/>
          <w:iCs/>
          <w:sz w:val="20"/>
          <w:szCs w:val="20"/>
          <w:shd w:val="clear" w:color="auto" w:fill="FFFFFF"/>
        </w:rPr>
        <w:t>17</w:t>
      </w:r>
      <w:r w:rsidRPr="0044597E">
        <w:rPr>
          <w:rFonts w:ascii="Arial" w:hAnsi="Arial" w:cs="Arial"/>
          <w:sz w:val="20"/>
          <w:szCs w:val="20"/>
          <w:shd w:val="clear" w:color="auto" w:fill="FFFFFF"/>
        </w:rPr>
        <w:t>(1),51-66.</w:t>
      </w:r>
    </w:p>
    <w:p w14:paraId="74D10462" w14:textId="77777777" w:rsidR="0044597E" w:rsidRPr="0044597E" w:rsidRDefault="0044597E" w:rsidP="00877437">
      <w:pPr>
        <w:pStyle w:val="NormalWeb"/>
        <w:jc w:val="both"/>
        <w:rPr>
          <w:rFonts w:ascii="Arial" w:hAnsi="Arial" w:cs="Arial"/>
          <w:sz w:val="20"/>
          <w:szCs w:val="20"/>
        </w:rPr>
      </w:pPr>
      <w:r w:rsidRPr="0044597E">
        <w:rPr>
          <w:rFonts w:ascii="Arial" w:hAnsi="Arial" w:cs="Arial"/>
          <w:sz w:val="20"/>
          <w:szCs w:val="20"/>
          <w:shd w:val="clear" w:color="auto" w:fill="FFFFFF"/>
          <w:lang w:val="da-DK"/>
        </w:rPr>
        <w:t>Li, S., Zhuang, Y., Liu, H. </w:t>
      </w:r>
      <w:r w:rsidRPr="0044597E">
        <w:rPr>
          <w:rFonts w:ascii="Arial" w:hAnsi="Arial" w:cs="Arial"/>
          <w:i/>
          <w:iCs/>
          <w:sz w:val="20"/>
          <w:szCs w:val="20"/>
          <w:shd w:val="clear" w:color="auto" w:fill="FFFFFF"/>
          <w:lang w:val="da-DK"/>
        </w:rPr>
        <w:t>et al.</w:t>
      </w:r>
      <w:r w:rsidRPr="0044597E">
        <w:rPr>
          <w:rFonts w:ascii="Arial" w:hAnsi="Arial" w:cs="Arial"/>
          <w:sz w:val="20"/>
          <w:szCs w:val="20"/>
          <w:shd w:val="clear" w:color="auto" w:fill="FFFFFF"/>
          <w:lang w:val="da-DK"/>
        </w:rPr>
        <w:t> </w:t>
      </w:r>
      <w:r w:rsidRPr="0044597E">
        <w:rPr>
          <w:rFonts w:ascii="Arial" w:hAnsi="Arial" w:cs="Arial"/>
          <w:sz w:val="20"/>
          <w:szCs w:val="20"/>
          <w:shd w:val="clear" w:color="auto" w:fill="FFFFFF"/>
          <w:lang w:val="en-US"/>
        </w:rPr>
        <w:t>(2</w:t>
      </w:r>
      <w:r w:rsidRPr="0044597E">
        <w:rPr>
          <w:rFonts w:ascii="Arial" w:hAnsi="Arial" w:cs="Arial"/>
          <w:sz w:val="20"/>
          <w:szCs w:val="20"/>
          <w:shd w:val="clear" w:color="auto" w:fill="FFFFFF"/>
        </w:rPr>
        <w:t>023). Enhancing rice production sustainability and resilience via reactivating small water bodies for irrigation and drainage. </w:t>
      </w:r>
      <w:r w:rsidRPr="0044597E">
        <w:rPr>
          <w:rFonts w:ascii="Arial" w:hAnsi="Arial" w:cs="Arial"/>
          <w:i/>
          <w:iCs/>
          <w:sz w:val="20"/>
          <w:szCs w:val="20"/>
          <w:shd w:val="clear" w:color="auto" w:fill="FFFFFF"/>
        </w:rPr>
        <w:t>Nat Commun</w:t>
      </w:r>
      <w:r w:rsidRPr="0044597E">
        <w:rPr>
          <w:rFonts w:ascii="Arial" w:hAnsi="Arial" w:cs="Arial"/>
          <w:sz w:val="20"/>
          <w:szCs w:val="20"/>
          <w:shd w:val="clear" w:color="auto" w:fill="FFFFFF"/>
        </w:rPr>
        <w:t> 14, 3794.</w:t>
      </w:r>
    </w:p>
    <w:p w14:paraId="11A20CBB" w14:textId="77777777" w:rsidR="0044597E" w:rsidRPr="0044597E" w:rsidRDefault="0044597E" w:rsidP="00876909">
      <w:pPr>
        <w:pStyle w:val="NormalWeb"/>
        <w:jc w:val="both"/>
        <w:rPr>
          <w:rFonts w:ascii="Arial" w:hAnsi="Arial" w:cs="Arial"/>
          <w:sz w:val="20"/>
          <w:szCs w:val="20"/>
          <w:shd w:val="clear" w:color="auto" w:fill="FFFFFF"/>
        </w:rPr>
      </w:pPr>
      <w:r w:rsidRPr="0044597E">
        <w:rPr>
          <w:rStyle w:val="Strong"/>
          <w:rFonts w:ascii="Arial" w:hAnsi="Arial" w:cs="Arial"/>
          <w:b w:val="0"/>
          <w:bCs w:val="0"/>
          <w:sz w:val="20"/>
          <w:szCs w:val="20"/>
        </w:rPr>
        <w:t>Nath, A. J., &amp; Lal, R. (2017).</w:t>
      </w:r>
      <w:r w:rsidRPr="0044597E">
        <w:rPr>
          <w:rFonts w:ascii="Arial" w:hAnsi="Arial" w:cs="Arial"/>
          <w:sz w:val="20"/>
          <w:szCs w:val="20"/>
        </w:rPr>
        <w:t xml:space="preserve"> Managing tropical wetlands for advancing global rice production: Implications for land-use management. </w:t>
      </w:r>
      <w:r w:rsidRPr="0044597E">
        <w:rPr>
          <w:rStyle w:val="Emphasis"/>
          <w:rFonts w:ascii="Arial" w:hAnsi="Arial" w:cs="Arial"/>
          <w:sz w:val="20"/>
          <w:szCs w:val="20"/>
        </w:rPr>
        <w:t>Land Use Policy, 68</w:t>
      </w:r>
      <w:r w:rsidRPr="0044597E">
        <w:rPr>
          <w:rFonts w:ascii="Arial" w:hAnsi="Arial" w:cs="Arial"/>
          <w:sz w:val="20"/>
          <w:szCs w:val="20"/>
        </w:rPr>
        <w:t xml:space="preserve">, 681–685. </w:t>
      </w:r>
    </w:p>
    <w:p w14:paraId="10CF0F6B" w14:textId="77777777" w:rsidR="0044597E" w:rsidRPr="0044597E" w:rsidRDefault="0044597E" w:rsidP="007B742F">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lastRenderedPageBreak/>
        <w:t xml:space="preserve">Palafox-Juárez, E. B., Callejas-Jiménez, M. E., Herrera-Silveira, J. A., </w:t>
      </w:r>
      <w:proofErr w:type="spellStart"/>
      <w:r w:rsidRPr="0044597E">
        <w:rPr>
          <w:rFonts w:ascii="Arial" w:hAnsi="Arial" w:cs="Arial"/>
          <w:sz w:val="20"/>
          <w:szCs w:val="20"/>
          <w:shd w:val="clear" w:color="auto" w:fill="FFFFFF"/>
        </w:rPr>
        <w:t>Teutli</w:t>
      </w:r>
      <w:proofErr w:type="spellEnd"/>
      <w:r w:rsidRPr="0044597E">
        <w:rPr>
          <w:rFonts w:ascii="Arial" w:hAnsi="Arial" w:cs="Arial"/>
          <w:sz w:val="20"/>
          <w:szCs w:val="20"/>
          <w:shd w:val="clear" w:color="auto" w:fill="FFFFFF"/>
        </w:rPr>
        <w:t xml:space="preserve">-Hernández, C., Camacho-Valdez, V., &amp; López-Martínez, J. O. (2025). Effects of land use change on ecosystem services in freshwater wetlands in Bacalar, Mexico. </w:t>
      </w:r>
      <w:proofErr w:type="spellStart"/>
      <w:r w:rsidRPr="0044597E">
        <w:rPr>
          <w:rFonts w:ascii="Arial" w:hAnsi="Arial" w:cs="Arial"/>
          <w:sz w:val="20"/>
          <w:szCs w:val="20"/>
          <w:shd w:val="clear" w:color="auto" w:fill="FFFFFF"/>
        </w:rPr>
        <w:t>PeerJ</w:t>
      </w:r>
      <w:proofErr w:type="spellEnd"/>
      <w:r w:rsidRPr="0044597E">
        <w:rPr>
          <w:rFonts w:ascii="Arial" w:hAnsi="Arial" w:cs="Arial"/>
          <w:sz w:val="20"/>
          <w:szCs w:val="20"/>
          <w:shd w:val="clear" w:color="auto" w:fill="FFFFFF"/>
        </w:rPr>
        <w:t xml:space="preserve">, 13, e18954. </w:t>
      </w:r>
      <w:hyperlink r:id="rId12" w:history="1">
        <w:r w:rsidRPr="0044597E">
          <w:rPr>
            <w:rStyle w:val="Hyperlink"/>
            <w:rFonts w:ascii="Arial" w:hAnsi="Arial" w:cs="Arial"/>
            <w:color w:val="auto"/>
            <w:sz w:val="20"/>
            <w:szCs w:val="20"/>
            <w:u w:val="none"/>
            <w:shd w:val="clear" w:color="auto" w:fill="FFFFFF"/>
          </w:rPr>
          <w:t>https://doi.org/10.7717/peerj.18954</w:t>
        </w:r>
      </w:hyperlink>
      <w:r w:rsidRPr="0044597E">
        <w:rPr>
          <w:rFonts w:ascii="Arial" w:hAnsi="Arial" w:cs="Arial"/>
          <w:sz w:val="20"/>
          <w:szCs w:val="20"/>
          <w:shd w:val="clear" w:color="auto" w:fill="FFFFFF"/>
        </w:rPr>
        <w:t xml:space="preserve"> </w:t>
      </w:r>
    </w:p>
    <w:p w14:paraId="728F3929" w14:textId="77777777" w:rsidR="0044597E" w:rsidRPr="0044597E" w:rsidRDefault="0044597E" w:rsidP="00876909">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t>Pandey, S. and Bhandari, H., (2009). Drought, coping mechanisms and poverty: Insights from rainfed rice farming in Asia. Occasional Paper 7, 46 p.</w:t>
      </w:r>
    </w:p>
    <w:p w14:paraId="7B90CA0F" w14:textId="77777777" w:rsidR="0044597E" w:rsidRPr="0044597E" w:rsidRDefault="0044597E" w:rsidP="00876909">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t>Riya, K. R., &amp; Ajithkumar, B. (2023). Future changes in rice cultivation in the central zone of Kerala. </w:t>
      </w:r>
      <w:r w:rsidRPr="0044597E">
        <w:rPr>
          <w:rFonts w:ascii="Arial" w:hAnsi="Arial" w:cs="Arial"/>
          <w:i/>
          <w:iCs/>
          <w:sz w:val="20"/>
          <w:szCs w:val="20"/>
          <w:shd w:val="clear" w:color="auto" w:fill="FFFFFF"/>
        </w:rPr>
        <w:t>Annals of Agricultural Research</w:t>
      </w:r>
      <w:r w:rsidRPr="0044597E">
        <w:rPr>
          <w:rFonts w:ascii="Arial" w:hAnsi="Arial" w:cs="Arial"/>
          <w:sz w:val="20"/>
          <w:szCs w:val="20"/>
          <w:shd w:val="clear" w:color="auto" w:fill="FFFFFF"/>
        </w:rPr>
        <w:t>, </w:t>
      </w:r>
      <w:r w:rsidRPr="0044597E">
        <w:rPr>
          <w:rFonts w:ascii="Arial" w:hAnsi="Arial" w:cs="Arial"/>
          <w:i/>
          <w:iCs/>
          <w:sz w:val="20"/>
          <w:szCs w:val="20"/>
          <w:shd w:val="clear" w:color="auto" w:fill="FFFFFF"/>
        </w:rPr>
        <w:t>44</w:t>
      </w:r>
      <w:r w:rsidRPr="0044597E">
        <w:rPr>
          <w:rFonts w:ascii="Arial" w:hAnsi="Arial" w:cs="Arial"/>
          <w:sz w:val="20"/>
          <w:szCs w:val="20"/>
          <w:shd w:val="clear" w:color="auto" w:fill="FFFFFF"/>
        </w:rPr>
        <w:t>(3), 387-394.</w:t>
      </w:r>
    </w:p>
    <w:p w14:paraId="7CA49E80" w14:textId="77777777" w:rsidR="0044597E" w:rsidRPr="0044597E" w:rsidRDefault="0044597E" w:rsidP="00876909">
      <w:pPr>
        <w:pStyle w:val="NormalWeb"/>
        <w:jc w:val="both"/>
        <w:rPr>
          <w:rFonts w:ascii="Arial" w:hAnsi="Arial" w:cs="Arial"/>
          <w:sz w:val="20"/>
          <w:szCs w:val="20"/>
          <w:shd w:val="clear" w:color="auto" w:fill="FFFFFF"/>
        </w:rPr>
      </w:pPr>
      <w:proofErr w:type="spellStart"/>
      <w:r w:rsidRPr="0044597E">
        <w:rPr>
          <w:rFonts w:ascii="Arial" w:hAnsi="Arial" w:cs="Arial"/>
          <w:sz w:val="20"/>
          <w:szCs w:val="20"/>
          <w:shd w:val="clear" w:color="auto" w:fill="FFFFFF"/>
        </w:rPr>
        <w:t>Saseendran</w:t>
      </w:r>
      <w:proofErr w:type="spellEnd"/>
      <w:r w:rsidRPr="0044597E">
        <w:rPr>
          <w:rFonts w:ascii="Arial" w:hAnsi="Arial" w:cs="Arial"/>
          <w:sz w:val="20"/>
          <w:szCs w:val="20"/>
          <w:shd w:val="clear" w:color="auto" w:fill="FFFFFF"/>
        </w:rPr>
        <w:t>, S. A., Singh, K. K., Rathore, L. S., Singh, S. V., &amp; Sinha, S. K. (2000). Effects of climate change on rice production in the tropical humid climate of Kerala, India. </w:t>
      </w:r>
      <w:r w:rsidRPr="0044597E">
        <w:rPr>
          <w:rFonts w:ascii="Arial" w:hAnsi="Arial" w:cs="Arial"/>
          <w:i/>
          <w:iCs/>
          <w:sz w:val="20"/>
          <w:szCs w:val="20"/>
          <w:shd w:val="clear" w:color="auto" w:fill="FFFFFF"/>
        </w:rPr>
        <w:t>Climatic Change</w:t>
      </w:r>
      <w:r w:rsidRPr="0044597E">
        <w:rPr>
          <w:rFonts w:ascii="Arial" w:hAnsi="Arial" w:cs="Arial"/>
          <w:sz w:val="20"/>
          <w:szCs w:val="20"/>
          <w:shd w:val="clear" w:color="auto" w:fill="FFFFFF"/>
        </w:rPr>
        <w:t>, </w:t>
      </w:r>
      <w:r w:rsidRPr="0044597E">
        <w:rPr>
          <w:rFonts w:ascii="Arial" w:hAnsi="Arial" w:cs="Arial"/>
          <w:i/>
          <w:iCs/>
          <w:sz w:val="20"/>
          <w:szCs w:val="20"/>
          <w:shd w:val="clear" w:color="auto" w:fill="FFFFFF"/>
        </w:rPr>
        <w:t>44</w:t>
      </w:r>
      <w:r w:rsidRPr="0044597E">
        <w:rPr>
          <w:rFonts w:ascii="Arial" w:hAnsi="Arial" w:cs="Arial"/>
          <w:sz w:val="20"/>
          <w:szCs w:val="20"/>
          <w:shd w:val="clear" w:color="auto" w:fill="FFFFFF"/>
        </w:rPr>
        <w:t>(4), 495-514.</w:t>
      </w:r>
    </w:p>
    <w:p w14:paraId="52619AD8" w14:textId="77777777" w:rsidR="0044597E" w:rsidRPr="007734FF" w:rsidRDefault="0044597E" w:rsidP="00876909">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t>Srinivasan, J. T. (2010). </w:t>
      </w:r>
      <w:r w:rsidRPr="0044597E">
        <w:rPr>
          <w:rFonts w:ascii="Arial" w:hAnsi="Arial" w:cs="Arial"/>
          <w:i/>
          <w:iCs/>
          <w:sz w:val="20"/>
          <w:szCs w:val="20"/>
          <w:shd w:val="clear" w:color="auto" w:fill="FFFFFF"/>
        </w:rPr>
        <w:t xml:space="preserve">Understanding the Kole lands in Kerala as a multiple use wetland </w:t>
      </w:r>
      <w:r w:rsidRPr="007734FF">
        <w:rPr>
          <w:rFonts w:ascii="Arial" w:hAnsi="Arial" w:cs="Arial"/>
          <w:i/>
          <w:iCs/>
          <w:sz w:val="20"/>
          <w:szCs w:val="20"/>
          <w:shd w:val="clear" w:color="auto" w:fill="FFFFFF"/>
        </w:rPr>
        <w:t>ecosystem</w:t>
      </w:r>
      <w:r w:rsidRPr="007734FF">
        <w:rPr>
          <w:rFonts w:ascii="Arial" w:hAnsi="Arial" w:cs="Arial"/>
          <w:sz w:val="20"/>
          <w:szCs w:val="20"/>
          <w:shd w:val="clear" w:color="auto" w:fill="FFFFFF"/>
        </w:rPr>
        <w:t>. Hyderabad, India: Research Unit for Livelihoods and Natural Resources.</w:t>
      </w:r>
    </w:p>
    <w:p w14:paraId="057E4489" w14:textId="77777777" w:rsidR="0044597E" w:rsidRPr="0044597E" w:rsidRDefault="0044597E" w:rsidP="00877437">
      <w:pPr>
        <w:pStyle w:val="NormalWeb"/>
        <w:jc w:val="both"/>
        <w:rPr>
          <w:rFonts w:ascii="Arial" w:hAnsi="Arial" w:cs="Arial"/>
          <w:sz w:val="20"/>
          <w:szCs w:val="20"/>
          <w:shd w:val="clear" w:color="auto" w:fill="FFFFFF"/>
          <w:lang w:val="en-US"/>
        </w:rPr>
      </w:pPr>
      <w:r w:rsidRPr="007734FF">
        <w:rPr>
          <w:rFonts w:ascii="Arial" w:hAnsi="Arial" w:cs="Arial"/>
          <w:sz w:val="20"/>
          <w:szCs w:val="20"/>
          <w:lang w:val="da-DK"/>
        </w:rPr>
        <w:t xml:space="preserve">Sunil, V. G., Nandan, A., Benny, A., &amp; Balraj, R. (2024). </w:t>
      </w:r>
      <w:r w:rsidRPr="007734FF">
        <w:rPr>
          <w:rFonts w:ascii="Arial" w:hAnsi="Arial" w:cs="Arial"/>
          <w:sz w:val="20"/>
          <w:szCs w:val="20"/>
        </w:rPr>
        <w:t>Atlas of Kole Lands of Kerala: Volume 2. Kerala Agricultural University. ISBN 978-81-969121-1-6.</w:t>
      </w:r>
    </w:p>
    <w:p w14:paraId="5817FD1B" w14:textId="77777777" w:rsidR="0044597E" w:rsidRPr="0044597E" w:rsidRDefault="0044597E" w:rsidP="00876909">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t xml:space="preserve">Sunil, V.G., Nandan, A., Krishna, R.A., Benny, A., Suresh, K.S., Balraj, R., Pranav, V.P. and Sooraj, V., (2023). GIS Based Mapping for a Better Crop Planning for </w:t>
      </w:r>
      <w:proofErr w:type="spellStart"/>
      <w:r w:rsidRPr="0044597E">
        <w:rPr>
          <w:rFonts w:ascii="Arial" w:hAnsi="Arial" w:cs="Arial"/>
          <w:sz w:val="20"/>
          <w:szCs w:val="20"/>
          <w:shd w:val="clear" w:color="auto" w:fill="FFFFFF"/>
        </w:rPr>
        <w:t>Perumpadappu</w:t>
      </w:r>
      <w:proofErr w:type="spellEnd"/>
      <w:r w:rsidRPr="0044597E">
        <w:rPr>
          <w:rFonts w:ascii="Arial" w:hAnsi="Arial" w:cs="Arial"/>
          <w:sz w:val="20"/>
          <w:szCs w:val="20"/>
          <w:shd w:val="clear" w:color="auto" w:fill="FFFFFF"/>
        </w:rPr>
        <w:t xml:space="preserve"> Block of </w:t>
      </w:r>
      <w:proofErr w:type="spellStart"/>
      <w:r w:rsidRPr="0044597E">
        <w:rPr>
          <w:rFonts w:ascii="Arial" w:hAnsi="Arial" w:cs="Arial"/>
          <w:sz w:val="20"/>
          <w:szCs w:val="20"/>
          <w:shd w:val="clear" w:color="auto" w:fill="FFFFFF"/>
        </w:rPr>
        <w:t>Ponnani</w:t>
      </w:r>
      <w:proofErr w:type="spellEnd"/>
      <w:r w:rsidRPr="0044597E">
        <w:rPr>
          <w:rFonts w:ascii="Arial" w:hAnsi="Arial" w:cs="Arial"/>
          <w:sz w:val="20"/>
          <w:szCs w:val="20"/>
          <w:shd w:val="clear" w:color="auto" w:fill="FFFFFF"/>
        </w:rPr>
        <w:t xml:space="preserve"> Kole Lands in Kerala. Asian J. Agric. Ext. Econ. Soc, 41(7), pp.68-80.</w:t>
      </w:r>
    </w:p>
    <w:p w14:paraId="2B55DDA3" w14:textId="77777777" w:rsidR="0044597E" w:rsidRPr="0044597E" w:rsidRDefault="0044597E" w:rsidP="007B742F">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t xml:space="preserve">Van Dam, A. A., Robertson, H., </w:t>
      </w:r>
      <w:proofErr w:type="spellStart"/>
      <w:r w:rsidRPr="0044597E">
        <w:rPr>
          <w:rFonts w:ascii="Arial" w:hAnsi="Arial" w:cs="Arial"/>
          <w:sz w:val="20"/>
          <w:szCs w:val="20"/>
          <w:shd w:val="clear" w:color="auto" w:fill="FFFFFF"/>
        </w:rPr>
        <w:t>Prieler</w:t>
      </w:r>
      <w:proofErr w:type="spellEnd"/>
      <w:r w:rsidRPr="0044597E">
        <w:rPr>
          <w:rFonts w:ascii="Arial" w:hAnsi="Arial" w:cs="Arial"/>
          <w:sz w:val="20"/>
          <w:szCs w:val="20"/>
          <w:shd w:val="clear" w:color="auto" w:fill="FFFFFF"/>
        </w:rPr>
        <w:t xml:space="preserve">, R., Dubey, A., &amp; Finlayson, C. M. (2025). Recognising diversity in wetlands and farming systems to support sustainable agriculture and conserve wetlands. Marine and Freshwater Research, 76, MF24017. </w:t>
      </w:r>
      <w:hyperlink r:id="rId13" w:history="1">
        <w:r w:rsidRPr="0044597E">
          <w:rPr>
            <w:rStyle w:val="Hyperlink"/>
            <w:rFonts w:ascii="Arial" w:hAnsi="Arial" w:cs="Arial"/>
            <w:color w:val="auto"/>
            <w:sz w:val="20"/>
            <w:szCs w:val="20"/>
            <w:u w:val="none"/>
            <w:shd w:val="clear" w:color="auto" w:fill="FFFFFF"/>
          </w:rPr>
          <w:t>https://doi.org/10.1071/MF24017</w:t>
        </w:r>
      </w:hyperlink>
      <w:r w:rsidRPr="0044597E">
        <w:rPr>
          <w:rFonts w:ascii="Arial" w:hAnsi="Arial" w:cs="Arial"/>
          <w:sz w:val="20"/>
          <w:szCs w:val="20"/>
          <w:shd w:val="clear" w:color="auto" w:fill="FFFFFF"/>
        </w:rPr>
        <w:t xml:space="preserve"> </w:t>
      </w:r>
    </w:p>
    <w:p w14:paraId="18246E1D" w14:textId="77777777" w:rsidR="0044597E" w:rsidRPr="0044597E" w:rsidRDefault="0044597E" w:rsidP="00876909">
      <w:pPr>
        <w:pStyle w:val="NormalWeb"/>
        <w:jc w:val="both"/>
        <w:rPr>
          <w:rFonts w:ascii="Arial" w:hAnsi="Arial" w:cs="Arial"/>
          <w:sz w:val="20"/>
          <w:szCs w:val="20"/>
        </w:rPr>
      </w:pPr>
      <w:r w:rsidRPr="0044597E">
        <w:rPr>
          <w:rFonts w:ascii="Arial" w:hAnsi="Arial" w:cs="Arial"/>
          <w:sz w:val="20"/>
          <w:szCs w:val="20"/>
        </w:rPr>
        <w:t>Vivek, S. &amp; Bonny, B. P., (2023). Development of Scale to Measure the Attitude towards Innovation Use in Rice Farming. Asian J. Agric. Ext. Econ. Soc., vol. 41, no. 9, pp. 412-420.</w:t>
      </w:r>
    </w:p>
    <w:p w14:paraId="48A11558" w14:textId="77777777" w:rsidR="0044597E" w:rsidRPr="0044597E" w:rsidRDefault="0044597E" w:rsidP="007B742F">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t xml:space="preserve">Wood, K. A., Jupe, L. L., Aguiar, F. C., Collins, A. M., Davidson, S. J., Freeman, W., … Newth, J. L. (2024). A global systematic review of the cultural ecosystem services provided by wetlands. Ecosystem Services, 70, 101673. </w:t>
      </w:r>
      <w:hyperlink r:id="rId14" w:history="1">
        <w:r w:rsidRPr="0044597E">
          <w:rPr>
            <w:rStyle w:val="Hyperlink"/>
            <w:rFonts w:ascii="Arial" w:hAnsi="Arial" w:cs="Arial"/>
            <w:color w:val="auto"/>
            <w:sz w:val="20"/>
            <w:szCs w:val="20"/>
            <w:u w:val="none"/>
            <w:shd w:val="clear" w:color="auto" w:fill="FFFFFF"/>
          </w:rPr>
          <w:t>https://doi.org/10.1016/j.ecoser.2024.101673</w:t>
        </w:r>
      </w:hyperlink>
      <w:r w:rsidRPr="0044597E">
        <w:rPr>
          <w:rFonts w:ascii="Arial" w:hAnsi="Arial" w:cs="Arial"/>
          <w:sz w:val="20"/>
          <w:szCs w:val="20"/>
          <w:shd w:val="clear" w:color="auto" w:fill="FFFFFF"/>
        </w:rPr>
        <w:t xml:space="preserve"> </w:t>
      </w:r>
    </w:p>
    <w:p w14:paraId="66BC9D65" w14:textId="77777777" w:rsidR="0044597E" w:rsidRPr="0044597E" w:rsidRDefault="0044597E" w:rsidP="007B742F">
      <w:pPr>
        <w:pStyle w:val="NormalWeb"/>
        <w:jc w:val="both"/>
        <w:rPr>
          <w:rFonts w:ascii="Arial" w:hAnsi="Arial" w:cs="Arial"/>
          <w:sz w:val="20"/>
          <w:szCs w:val="20"/>
          <w:shd w:val="clear" w:color="auto" w:fill="FFFFFF"/>
        </w:rPr>
      </w:pPr>
      <w:r w:rsidRPr="0044597E">
        <w:rPr>
          <w:rFonts w:ascii="Arial" w:hAnsi="Arial" w:cs="Arial"/>
          <w:sz w:val="20"/>
          <w:szCs w:val="20"/>
          <w:shd w:val="clear" w:color="auto" w:fill="FFFFFF"/>
        </w:rPr>
        <w:t xml:space="preserve">Zhang, Y., et al. (2021). Impact of climate change on wetland ecosystems: A critical review of experimental wetlands. Journal of Environmental Management, 286, 112160. </w:t>
      </w:r>
      <w:hyperlink r:id="rId15" w:history="1">
        <w:r w:rsidRPr="0044597E">
          <w:rPr>
            <w:rStyle w:val="Hyperlink"/>
            <w:rFonts w:ascii="Arial" w:hAnsi="Arial" w:cs="Arial"/>
            <w:color w:val="auto"/>
            <w:sz w:val="20"/>
            <w:szCs w:val="20"/>
            <w:u w:val="none"/>
            <w:shd w:val="clear" w:color="auto" w:fill="FFFFFF"/>
          </w:rPr>
          <w:t>https://doi.org/10.1016/j.jenvman.2021.112160</w:t>
        </w:r>
      </w:hyperlink>
      <w:r w:rsidRPr="0044597E">
        <w:rPr>
          <w:rFonts w:ascii="Arial" w:hAnsi="Arial" w:cs="Arial"/>
          <w:sz w:val="20"/>
          <w:szCs w:val="20"/>
          <w:shd w:val="clear" w:color="auto" w:fill="FFFFFF"/>
        </w:rPr>
        <w:t xml:space="preserve"> </w:t>
      </w:r>
    </w:p>
    <w:p w14:paraId="0C8FE491" w14:textId="77777777" w:rsidR="009A2603" w:rsidRDefault="009A2603">
      <w:pPr>
        <w:rPr>
          <w:rFonts w:ascii="Arial" w:eastAsia="Times New Roman" w:hAnsi="Arial" w:cs="Arial"/>
          <w:sz w:val="20"/>
          <w:szCs w:val="20"/>
          <w:shd w:val="clear" w:color="auto" w:fill="FFFFFF"/>
          <w:lang w:val="en-IN" w:eastAsia="en-IN" w:bidi="ml-IN"/>
        </w:rPr>
      </w:pPr>
      <w:r>
        <w:rPr>
          <w:rFonts w:ascii="Arial" w:hAnsi="Arial" w:cs="Arial"/>
          <w:sz w:val="20"/>
          <w:szCs w:val="20"/>
          <w:shd w:val="clear" w:color="auto" w:fill="FFFFFF"/>
        </w:rPr>
        <w:br w:type="page"/>
      </w:r>
    </w:p>
    <w:tbl>
      <w:tblPr>
        <w:tblStyle w:val="TableGrid"/>
        <w:tblW w:w="9067" w:type="dxa"/>
        <w:tblLook w:val="04A0" w:firstRow="1" w:lastRow="0" w:firstColumn="1" w:lastColumn="0" w:noHBand="0" w:noVBand="1"/>
      </w:tblPr>
      <w:tblGrid>
        <w:gridCol w:w="936"/>
        <w:gridCol w:w="8131"/>
      </w:tblGrid>
      <w:tr w:rsidR="009A2603" w:rsidRPr="008A3759" w14:paraId="785C1F20" w14:textId="77777777" w:rsidTr="009A2603">
        <w:tc>
          <w:tcPr>
            <w:tcW w:w="936" w:type="dxa"/>
            <w:tcBorders>
              <w:top w:val="single" w:sz="4" w:space="0" w:color="auto"/>
              <w:left w:val="single" w:sz="4" w:space="0" w:color="auto"/>
              <w:bottom w:val="single" w:sz="4" w:space="0" w:color="auto"/>
              <w:right w:val="single" w:sz="4" w:space="0" w:color="auto"/>
            </w:tcBorders>
            <w:vAlign w:val="center"/>
          </w:tcPr>
          <w:p w14:paraId="0AD70B61" w14:textId="77777777" w:rsidR="009A2603" w:rsidRPr="008A3759" w:rsidRDefault="009A2603" w:rsidP="008A3759">
            <w:pPr>
              <w:pStyle w:val="Heading2"/>
              <w:jc w:val="center"/>
              <w:outlineLvl w:val="1"/>
              <w:rPr>
                <w:rStyle w:val="Strong"/>
                <w:rFonts w:ascii="Arial" w:hAnsi="Arial" w:cs="Arial"/>
                <w:b/>
                <w:bCs/>
                <w:color w:val="auto"/>
                <w:sz w:val="20"/>
                <w:szCs w:val="20"/>
              </w:rPr>
            </w:pPr>
          </w:p>
        </w:tc>
        <w:tc>
          <w:tcPr>
            <w:tcW w:w="8131" w:type="dxa"/>
            <w:tcBorders>
              <w:top w:val="single" w:sz="4" w:space="0" w:color="auto"/>
              <w:left w:val="single" w:sz="4" w:space="0" w:color="auto"/>
              <w:bottom w:val="single" w:sz="4" w:space="0" w:color="auto"/>
              <w:right w:val="single" w:sz="4" w:space="0" w:color="auto"/>
            </w:tcBorders>
            <w:vAlign w:val="center"/>
          </w:tcPr>
          <w:p w14:paraId="76DC314C" w14:textId="7929802A" w:rsidR="009A2603" w:rsidRPr="009A2603" w:rsidRDefault="009A2603" w:rsidP="009A2603">
            <w:pPr>
              <w:rPr>
                <w:rFonts w:ascii="Arial" w:hAnsi="Arial" w:cs="Arial"/>
                <w:b/>
                <w:bCs/>
                <w:sz w:val="20"/>
                <w:szCs w:val="20"/>
              </w:rPr>
            </w:pPr>
            <w:r w:rsidRPr="009A2603">
              <w:rPr>
                <w:rFonts w:ascii="Arial" w:hAnsi="Arial" w:cs="Arial"/>
                <w:b/>
                <w:bCs/>
                <w:sz w:val="20"/>
                <w:szCs w:val="20"/>
              </w:rPr>
              <w:t>Appendix 1:</w:t>
            </w:r>
            <w:r w:rsidRPr="009A2603">
              <w:rPr>
                <w:rFonts w:ascii="Arial" w:hAnsi="Arial" w:cs="Arial"/>
                <w:b/>
                <w:bCs/>
                <w:sz w:val="20"/>
                <w:szCs w:val="20"/>
                <w:shd w:val="clear" w:color="auto" w:fill="FFFFFF"/>
              </w:rPr>
              <w:t xml:space="preserve"> </w:t>
            </w:r>
            <w:r w:rsidRPr="009A2603">
              <w:rPr>
                <w:rFonts w:ascii="Arial" w:hAnsi="Arial" w:cs="Arial"/>
                <w:sz w:val="20"/>
                <w:szCs w:val="20"/>
                <w:shd w:val="clear" w:color="auto" w:fill="FFFFFF"/>
              </w:rPr>
              <w:t xml:space="preserve">List of </w:t>
            </w:r>
            <w:proofErr w:type="spellStart"/>
            <w:r w:rsidRPr="009A2603">
              <w:rPr>
                <w:rFonts w:ascii="Arial" w:hAnsi="Arial" w:cs="Arial"/>
                <w:sz w:val="20"/>
                <w:szCs w:val="20"/>
                <w:shd w:val="clear" w:color="auto" w:fill="FFFFFF"/>
              </w:rPr>
              <w:t>padasekharams</w:t>
            </w:r>
            <w:proofErr w:type="spellEnd"/>
            <w:r w:rsidRPr="009A2603">
              <w:rPr>
                <w:rFonts w:ascii="Arial" w:hAnsi="Arial" w:cs="Arial"/>
                <w:sz w:val="20"/>
                <w:szCs w:val="20"/>
                <w:shd w:val="clear" w:color="auto" w:fill="FFFFFF"/>
              </w:rPr>
              <w:t xml:space="preserve"> included in different groups</w:t>
            </w:r>
          </w:p>
        </w:tc>
      </w:tr>
      <w:tr w:rsidR="008A3759" w:rsidRPr="008A3759" w14:paraId="6A3F1263" w14:textId="77777777" w:rsidTr="009A2603">
        <w:tc>
          <w:tcPr>
            <w:tcW w:w="936" w:type="dxa"/>
            <w:tcBorders>
              <w:top w:val="single" w:sz="4" w:space="0" w:color="auto"/>
            </w:tcBorders>
            <w:vAlign w:val="center"/>
          </w:tcPr>
          <w:p w14:paraId="2998C760" w14:textId="5255B6E7" w:rsidR="008A3759" w:rsidRPr="008A3759" w:rsidRDefault="008A3759" w:rsidP="008A3759">
            <w:pPr>
              <w:pStyle w:val="Heading2"/>
              <w:jc w:val="center"/>
              <w:outlineLvl w:val="1"/>
              <w:rPr>
                <w:rStyle w:val="Strong"/>
                <w:rFonts w:ascii="Arial" w:hAnsi="Arial" w:cs="Arial"/>
                <w:b/>
                <w:bCs/>
                <w:color w:val="auto"/>
                <w:sz w:val="20"/>
                <w:szCs w:val="20"/>
              </w:rPr>
            </w:pPr>
            <w:r w:rsidRPr="008A3759">
              <w:rPr>
                <w:rStyle w:val="Strong"/>
                <w:rFonts w:ascii="Arial" w:hAnsi="Arial" w:cs="Arial"/>
                <w:b/>
                <w:bCs/>
                <w:color w:val="auto"/>
                <w:sz w:val="20"/>
                <w:szCs w:val="20"/>
              </w:rPr>
              <w:t>Group</w:t>
            </w:r>
          </w:p>
        </w:tc>
        <w:tc>
          <w:tcPr>
            <w:tcW w:w="8131" w:type="dxa"/>
            <w:tcBorders>
              <w:top w:val="single" w:sz="4" w:space="0" w:color="auto"/>
            </w:tcBorders>
            <w:vAlign w:val="center"/>
          </w:tcPr>
          <w:p w14:paraId="65257D26" w14:textId="1EEEB2B7" w:rsidR="008A3759" w:rsidRPr="008A3759" w:rsidRDefault="008A3759" w:rsidP="008A3759">
            <w:pPr>
              <w:jc w:val="center"/>
              <w:rPr>
                <w:rFonts w:ascii="Arial" w:hAnsi="Arial" w:cs="Arial"/>
                <w:b/>
                <w:bCs/>
                <w:sz w:val="20"/>
                <w:szCs w:val="20"/>
              </w:rPr>
            </w:pPr>
            <w:proofErr w:type="spellStart"/>
            <w:r w:rsidRPr="008A3759">
              <w:rPr>
                <w:rFonts w:ascii="Arial" w:hAnsi="Arial" w:cs="Arial"/>
                <w:b/>
                <w:bCs/>
                <w:sz w:val="20"/>
                <w:szCs w:val="20"/>
              </w:rPr>
              <w:t>Padasekharams</w:t>
            </w:r>
            <w:proofErr w:type="spellEnd"/>
          </w:p>
        </w:tc>
      </w:tr>
      <w:bookmarkEnd w:id="0"/>
      <w:tr w:rsidR="00877437" w:rsidRPr="008A3759" w14:paraId="601B1AFA" w14:textId="77777777" w:rsidTr="009A2603">
        <w:tc>
          <w:tcPr>
            <w:tcW w:w="936" w:type="dxa"/>
          </w:tcPr>
          <w:p w14:paraId="2225F956"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A </w:t>
            </w:r>
          </w:p>
        </w:tc>
        <w:tc>
          <w:tcPr>
            <w:tcW w:w="8131" w:type="dxa"/>
          </w:tcPr>
          <w:p w14:paraId="25DB10AA" w14:textId="77777777" w:rsidR="00183217" w:rsidRPr="008A3759" w:rsidRDefault="00183217" w:rsidP="002A5D34">
            <w:pPr>
              <w:jc w:val="both"/>
              <w:rPr>
                <w:rFonts w:ascii="Arial" w:hAnsi="Arial" w:cs="Arial"/>
                <w:sz w:val="20"/>
                <w:szCs w:val="20"/>
              </w:rPr>
            </w:pPr>
            <w:proofErr w:type="spellStart"/>
            <w:r w:rsidRPr="008A3759">
              <w:rPr>
                <w:rFonts w:ascii="Arial" w:hAnsi="Arial" w:cs="Arial"/>
                <w:sz w:val="20"/>
                <w:szCs w:val="20"/>
              </w:rPr>
              <w:t>Arumuri</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Chaladi</w:t>
            </w:r>
            <w:proofErr w:type="spellEnd"/>
            <w:r w:rsidRPr="008A3759">
              <w:rPr>
                <w:rFonts w:ascii="Arial" w:hAnsi="Arial" w:cs="Arial"/>
                <w:sz w:val="20"/>
                <w:szCs w:val="20"/>
              </w:rPr>
              <w:t xml:space="preserve"> </w:t>
            </w:r>
            <w:proofErr w:type="spellStart"/>
            <w:r w:rsidRPr="008A3759">
              <w:rPr>
                <w:rFonts w:ascii="Arial" w:hAnsi="Arial" w:cs="Arial"/>
                <w:sz w:val="20"/>
                <w:szCs w:val="20"/>
              </w:rPr>
              <w:t>Pazham</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Karotte</w:t>
            </w:r>
            <w:proofErr w:type="spellEnd"/>
            <w:r w:rsidRPr="008A3759">
              <w:rPr>
                <w:rFonts w:ascii="Arial" w:hAnsi="Arial" w:cs="Arial"/>
                <w:sz w:val="20"/>
                <w:szCs w:val="20"/>
              </w:rPr>
              <w:t xml:space="preserve"> </w:t>
            </w:r>
            <w:proofErr w:type="spellStart"/>
            <w:r w:rsidRPr="008A3759">
              <w:rPr>
                <w:rFonts w:ascii="Arial" w:hAnsi="Arial" w:cs="Arial"/>
                <w:sz w:val="20"/>
                <w:szCs w:val="20"/>
              </w:rPr>
              <w:t>Kolepadavu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Kodayatti</w:t>
            </w:r>
            <w:proofErr w:type="spellEnd"/>
            <w:r w:rsidRPr="008A3759">
              <w:rPr>
                <w:rFonts w:ascii="Arial" w:hAnsi="Arial" w:cs="Arial"/>
                <w:sz w:val="20"/>
                <w:szCs w:val="20"/>
              </w:rPr>
              <w:t xml:space="preserve"> </w:t>
            </w:r>
            <w:proofErr w:type="spellStart"/>
            <w:r w:rsidRPr="008A3759">
              <w:rPr>
                <w:rFonts w:ascii="Arial" w:hAnsi="Arial" w:cs="Arial"/>
                <w:sz w:val="20"/>
                <w:szCs w:val="20"/>
              </w:rPr>
              <w:t>Vazhikoran</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Krishnankotta</w:t>
            </w:r>
            <w:proofErr w:type="spellEnd"/>
            <w:r w:rsidRPr="008A3759">
              <w:rPr>
                <w:rFonts w:ascii="Arial" w:hAnsi="Arial" w:cs="Arial"/>
                <w:sz w:val="20"/>
                <w:szCs w:val="20"/>
              </w:rPr>
              <w:t xml:space="preserve">, </w:t>
            </w:r>
            <w:proofErr w:type="spellStart"/>
            <w:r w:rsidRPr="008A3759">
              <w:rPr>
                <w:rFonts w:ascii="Arial" w:hAnsi="Arial" w:cs="Arial"/>
                <w:sz w:val="20"/>
                <w:szCs w:val="20"/>
              </w:rPr>
              <w:t>Rejamuttu</w:t>
            </w:r>
            <w:proofErr w:type="spellEnd"/>
            <w:r w:rsidRPr="008A3759">
              <w:rPr>
                <w:rFonts w:ascii="Arial" w:hAnsi="Arial" w:cs="Arial"/>
                <w:sz w:val="20"/>
                <w:szCs w:val="20"/>
              </w:rPr>
              <w:t xml:space="preserve">, </w:t>
            </w:r>
            <w:proofErr w:type="spellStart"/>
            <w:r w:rsidRPr="008A3759">
              <w:rPr>
                <w:rFonts w:ascii="Arial" w:hAnsi="Arial" w:cs="Arial"/>
                <w:sz w:val="20"/>
                <w:szCs w:val="20"/>
              </w:rPr>
              <w:t>Vilakkumadam</w:t>
            </w:r>
            <w:proofErr w:type="spellEnd"/>
            <w:r w:rsidRPr="008A3759">
              <w:rPr>
                <w:rFonts w:ascii="Arial" w:hAnsi="Arial" w:cs="Arial"/>
                <w:sz w:val="20"/>
                <w:szCs w:val="20"/>
              </w:rPr>
              <w:t xml:space="preserve"> </w:t>
            </w:r>
            <w:proofErr w:type="spellStart"/>
            <w:r w:rsidRPr="008A3759">
              <w:rPr>
                <w:rFonts w:ascii="Arial" w:hAnsi="Arial" w:cs="Arial"/>
                <w:sz w:val="20"/>
                <w:szCs w:val="20"/>
              </w:rPr>
              <w:t>Karshaka</w:t>
            </w:r>
            <w:proofErr w:type="spellEnd"/>
            <w:r w:rsidRPr="008A3759">
              <w:rPr>
                <w:rFonts w:ascii="Arial" w:hAnsi="Arial" w:cs="Arial"/>
                <w:sz w:val="20"/>
                <w:szCs w:val="20"/>
              </w:rPr>
              <w:t xml:space="preserve"> </w:t>
            </w:r>
            <w:proofErr w:type="spellStart"/>
            <w:r w:rsidRPr="008A3759">
              <w:rPr>
                <w:rFonts w:ascii="Arial" w:hAnsi="Arial" w:cs="Arial"/>
                <w:sz w:val="20"/>
                <w:szCs w:val="20"/>
              </w:rPr>
              <w:t>Samithi</w:t>
            </w:r>
            <w:proofErr w:type="spellEnd"/>
            <w:r w:rsidRPr="008A3759">
              <w:rPr>
                <w:rFonts w:ascii="Arial" w:hAnsi="Arial" w:cs="Arial"/>
                <w:sz w:val="20"/>
                <w:szCs w:val="20"/>
              </w:rPr>
              <w:t xml:space="preserve">, </w:t>
            </w:r>
            <w:proofErr w:type="spellStart"/>
            <w:r w:rsidRPr="008A3759">
              <w:rPr>
                <w:rFonts w:ascii="Arial" w:hAnsi="Arial" w:cs="Arial"/>
                <w:sz w:val="20"/>
                <w:szCs w:val="20"/>
              </w:rPr>
              <w:t>Alappad</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Pullu</w:t>
            </w:r>
            <w:proofErr w:type="spellEnd"/>
            <w:r w:rsidRPr="008A3759">
              <w:rPr>
                <w:rFonts w:ascii="Arial" w:hAnsi="Arial" w:cs="Arial"/>
                <w:sz w:val="20"/>
                <w:szCs w:val="20"/>
              </w:rPr>
              <w:t xml:space="preserve">, </w:t>
            </w:r>
            <w:proofErr w:type="spellStart"/>
            <w:r w:rsidRPr="008A3759">
              <w:rPr>
                <w:rFonts w:ascii="Arial" w:hAnsi="Arial" w:cs="Arial"/>
                <w:sz w:val="20"/>
                <w:szCs w:val="20"/>
              </w:rPr>
              <w:t>Varyamkole</w:t>
            </w:r>
            <w:proofErr w:type="spellEnd"/>
            <w:r w:rsidRPr="008A3759">
              <w:rPr>
                <w:rFonts w:ascii="Arial" w:hAnsi="Arial" w:cs="Arial"/>
                <w:sz w:val="20"/>
                <w:szCs w:val="20"/>
              </w:rPr>
              <w:t xml:space="preserve">, </w:t>
            </w:r>
            <w:proofErr w:type="spellStart"/>
            <w:r w:rsidRPr="008A3759">
              <w:rPr>
                <w:rFonts w:ascii="Arial" w:hAnsi="Arial" w:cs="Arial"/>
                <w:sz w:val="20"/>
                <w:szCs w:val="20"/>
              </w:rPr>
              <w:t>Manalurthazham</w:t>
            </w:r>
            <w:proofErr w:type="spellEnd"/>
            <w:r w:rsidRPr="008A3759">
              <w:rPr>
                <w:rFonts w:ascii="Arial" w:hAnsi="Arial" w:cs="Arial"/>
                <w:sz w:val="20"/>
                <w:szCs w:val="20"/>
              </w:rPr>
              <w:t xml:space="preserve">, </w:t>
            </w:r>
            <w:proofErr w:type="spellStart"/>
            <w:r w:rsidRPr="008A3759">
              <w:rPr>
                <w:rFonts w:ascii="Arial" w:hAnsi="Arial" w:cs="Arial"/>
                <w:sz w:val="20"/>
                <w:szCs w:val="20"/>
              </w:rPr>
              <w:t>Uppungal</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Chenam</w:t>
            </w:r>
            <w:proofErr w:type="spellEnd"/>
            <w:r w:rsidRPr="008A3759">
              <w:rPr>
                <w:rFonts w:ascii="Arial" w:hAnsi="Arial" w:cs="Arial"/>
                <w:sz w:val="20"/>
                <w:szCs w:val="20"/>
              </w:rPr>
              <w:t xml:space="preserve"> </w:t>
            </w:r>
            <w:proofErr w:type="spellStart"/>
            <w:r w:rsidRPr="008A3759">
              <w:rPr>
                <w:rFonts w:ascii="Arial" w:hAnsi="Arial" w:cs="Arial"/>
                <w:sz w:val="20"/>
                <w:szCs w:val="20"/>
              </w:rPr>
              <w:t>Tharissu</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Jubilee </w:t>
            </w:r>
            <w:proofErr w:type="spellStart"/>
            <w:r w:rsidRPr="008A3759">
              <w:rPr>
                <w:rFonts w:ascii="Arial" w:hAnsi="Arial" w:cs="Arial"/>
                <w:sz w:val="20"/>
                <w:szCs w:val="20"/>
              </w:rPr>
              <w:t>Thevar</w:t>
            </w:r>
            <w:proofErr w:type="spellEnd"/>
            <w:r w:rsidRPr="008A3759">
              <w:rPr>
                <w:rFonts w:ascii="Arial" w:hAnsi="Arial" w:cs="Arial"/>
                <w:sz w:val="20"/>
                <w:szCs w:val="20"/>
              </w:rPr>
              <w:t xml:space="preserve"> </w:t>
            </w:r>
            <w:proofErr w:type="spellStart"/>
            <w:r w:rsidRPr="008A3759">
              <w:rPr>
                <w:rFonts w:ascii="Arial" w:hAnsi="Arial" w:cs="Arial"/>
                <w:sz w:val="20"/>
                <w:szCs w:val="20"/>
              </w:rPr>
              <w:t>Padasekaram</w:t>
            </w:r>
            <w:proofErr w:type="spellEnd"/>
            <w:r w:rsidRPr="008A3759">
              <w:rPr>
                <w:rFonts w:ascii="Arial" w:hAnsi="Arial" w:cs="Arial"/>
                <w:sz w:val="20"/>
                <w:szCs w:val="20"/>
              </w:rPr>
              <w:t xml:space="preserve">, Jubilee </w:t>
            </w:r>
            <w:proofErr w:type="spellStart"/>
            <w:r w:rsidRPr="008A3759">
              <w:rPr>
                <w:rFonts w:ascii="Arial" w:hAnsi="Arial" w:cs="Arial"/>
                <w:sz w:val="20"/>
                <w:szCs w:val="20"/>
              </w:rPr>
              <w:t>Thevar</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Kodannur</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 </w:t>
            </w:r>
            <w:proofErr w:type="spellStart"/>
            <w:r w:rsidRPr="008A3759">
              <w:rPr>
                <w:rFonts w:ascii="Arial" w:hAnsi="Arial" w:cs="Arial"/>
                <w:sz w:val="20"/>
                <w:szCs w:val="20"/>
              </w:rPr>
              <w:t>Chirakazhathazham</w:t>
            </w:r>
            <w:proofErr w:type="spellEnd"/>
            <w:r w:rsidRPr="008A3759">
              <w:rPr>
                <w:rFonts w:ascii="Arial" w:hAnsi="Arial" w:cs="Arial"/>
                <w:sz w:val="20"/>
                <w:szCs w:val="20"/>
              </w:rPr>
              <w:t xml:space="preserve">, </w:t>
            </w:r>
            <w:proofErr w:type="spellStart"/>
            <w:r w:rsidRPr="008A3759">
              <w:rPr>
                <w:rFonts w:ascii="Arial" w:hAnsi="Arial" w:cs="Arial"/>
                <w:sz w:val="20"/>
                <w:szCs w:val="20"/>
              </w:rPr>
              <w:t>Chittamthazham</w:t>
            </w:r>
            <w:proofErr w:type="spellEnd"/>
            <w:r w:rsidRPr="008A3759">
              <w:rPr>
                <w:rFonts w:ascii="Arial" w:hAnsi="Arial" w:cs="Arial"/>
                <w:sz w:val="20"/>
                <w:szCs w:val="20"/>
              </w:rPr>
              <w:t xml:space="preserve">, </w:t>
            </w:r>
            <w:proofErr w:type="spellStart"/>
            <w:r w:rsidRPr="008A3759">
              <w:rPr>
                <w:rFonts w:ascii="Arial" w:hAnsi="Arial" w:cs="Arial"/>
                <w:sz w:val="20"/>
                <w:szCs w:val="20"/>
              </w:rPr>
              <w:t>Pazhanji</w:t>
            </w:r>
            <w:proofErr w:type="spellEnd"/>
            <w:r w:rsidRPr="008A3759">
              <w:rPr>
                <w:rFonts w:ascii="Arial" w:hAnsi="Arial" w:cs="Arial"/>
                <w:sz w:val="20"/>
                <w:szCs w:val="20"/>
              </w:rPr>
              <w:t xml:space="preserve">, </w:t>
            </w:r>
            <w:proofErr w:type="spellStart"/>
            <w:r w:rsidRPr="008A3759">
              <w:rPr>
                <w:rFonts w:ascii="Arial" w:hAnsi="Arial" w:cs="Arial"/>
                <w:sz w:val="20"/>
                <w:szCs w:val="20"/>
              </w:rPr>
              <w:t>Valiyadam</w:t>
            </w:r>
            <w:proofErr w:type="spellEnd"/>
            <w:r w:rsidRPr="008A3759">
              <w:rPr>
                <w:rFonts w:ascii="Arial" w:hAnsi="Arial" w:cs="Arial"/>
                <w:sz w:val="20"/>
                <w:szCs w:val="20"/>
              </w:rPr>
              <w:t xml:space="preserve"> </w:t>
            </w:r>
            <w:proofErr w:type="spellStart"/>
            <w:r w:rsidRPr="008A3759">
              <w:rPr>
                <w:rFonts w:ascii="Arial" w:hAnsi="Arial" w:cs="Arial"/>
                <w:sz w:val="20"/>
                <w:szCs w:val="20"/>
              </w:rPr>
              <w:t>Vattakaayal</w:t>
            </w:r>
            <w:proofErr w:type="spellEnd"/>
            <w:r w:rsidRPr="008A3759">
              <w:rPr>
                <w:rFonts w:ascii="Arial" w:hAnsi="Arial" w:cs="Arial"/>
                <w:sz w:val="20"/>
                <w:szCs w:val="20"/>
              </w:rPr>
              <w:t xml:space="preserve">, </w:t>
            </w:r>
            <w:proofErr w:type="spellStart"/>
            <w:r w:rsidRPr="008A3759">
              <w:rPr>
                <w:rFonts w:ascii="Arial" w:hAnsi="Arial" w:cs="Arial"/>
                <w:sz w:val="20"/>
                <w:szCs w:val="20"/>
              </w:rPr>
              <w:t>Vettikadavu</w:t>
            </w:r>
            <w:proofErr w:type="spellEnd"/>
            <w:r w:rsidRPr="008A3759">
              <w:rPr>
                <w:rFonts w:ascii="Arial" w:hAnsi="Arial" w:cs="Arial"/>
                <w:sz w:val="20"/>
                <w:szCs w:val="20"/>
              </w:rPr>
              <w:t xml:space="preserve">, </w:t>
            </w:r>
            <w:proofErr w:type="spellStart"/>
            <w:r w:rsidRPr="008A3759">
              <w:rPr>
                <w:rFonts w:ascii="Arial" w:hAnsi="Arial" w:cs="Arial"/>
                <w:sz w:val="20"/>
                <w:szCs w:val="20"/>
              </w:rPr>
              <w:t>Kattoor</w:t>
            </w:r>
            <w:proofErr w:type="spellEnd"/>
            <w:r w:rsidRPr="008A3759">
              <w:rPr>
                <w:rFonts w:ascii="Arial" w:hAnsi="Arial" w:cs="Arial"/>
                <w:sz w:val="20"/>
                <w:szCs w:val="20"/>
              </w:rPr>
              <w:t xml:space="preserve"> </w:t>
            </w:r>
            <w:proofErr w:type="spellStart"/>
            <w:r w:rsidRPr="008A3759">
              <w:rPr>
                <w:rFonts w:ascii="Arial" w:hAnsi="Arial" w:cs="Arial"/>
                <w:sz w:val="20"/>
                <w:szCs w:val="20"/>
              </w:rPr>
              <w:t>Thekkumpadam</w:t>
            </w:r>
            <w:proofErr w:type="spellEnd"/>
            <w:r w:rsidRPr="008A3759">
              <w:rPr>
                <w:rFonts w:ascii="Arial" w:hAnsi="Arial" w:cs="Arial"/>
                <w:sz w:val="20"/>
                <w:szCs w:val="20"/>
              </w:rPr>
              <w:t xml:space="preserve"> </w:t>
            </w:r>
            <w:proofErr w:type="spellStart"/>
            <w:r w:rsidRPr="008A3759">
              <w:rPr>
                <w:rFonts w:ascii="Arial" w:hAnsi="Arial" w:cs="Arial"/>
                <w:sz w:val="20"/>
                <w:szCs w:val="20"/>
              </w:rPr>
              <w:t>Koottukrisi</w:t>
            </w:r>
            <w:proofErr w:type="spellEnd"/>
            <w:r w:rsidRPr="008A3759">
              <w:rPr>
                <w:rFonts w:ascii="Arial" w:hAnsi="Arial" w:cs="Arial"/>
                <w:sz w:val="20"/>
                <w:szCs w:val="20"/>
              </w:rPr>
              <w:t xml:space="preserve"> </w:t>
            </w:r>
            <w:proofErr w:type="spellStart"/>
            <w:r w:rsidRPr="008A3759">
              <w:rPr>
                <w:rFonts w:ascii="Arial" w:hAnsi="Arial" w:cs="Arial"/>
                <w:sz w:val="20"/>
                <w:szCs w:val="20"/>
              </w:rPr>
              <w:t>Sangham</w:t>
            </w:r>
            <w:proofErr w:type="spellEnd"/>
            <w:r w:rsidRPr="008A3759">
              <w:rPr>
                <w:rFonts w:ascii="Arial" w:hAnsi="Arial" w:cs="Arial"/>
                <w:sz w:val="20"/>
                <w:szCs w:val="20"/>
              </w:rPr>
              <w:t xml:space="preserve">, </w:t>
            </w:r>
            <w:proofErr w:type="spellStart"/>
            <w:r w:rsidRPr="008A3759">
              <w:rPr>
                <w:rFonts w:ascii="Arial" w:hAnsi="Arial" w:cs="Arial"/>
                <w:sz w:val="20"/>
                <w:szCs w:val="20"/>
              </w:rPr>
              <w:t>Karimpadam</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Karshaka</w:t>
            </w:r>
            <w:proofErr w:type="spellEnd"/>
            <w:r w:rsidRPr="008A3759">
              <w:rPr>
                <w:rFonts w:ascii="Arial" w:hAnsi="Arial" w:cs="Arial"/>
                <w:sz w:val="20"/>
                <w:szCs w:val="20"/>
              </w:rPr>
              <w:t xml:space="preserve"> </w:t>
            </w:r>
            <w:proofErr w:type="spellStart"/>
            <w:r w:rsidRPr="008A3759">
              <w:rPr>
                <w:rFonts w:ascii="Arial" w:hAnsi="Arial" w:cs="Arial"/>
                <w:sz w:val="20"/>
                <w:szCs w:val="20"/>
              </w:rPr>
              <w:t>Samathy</w:t>
            </w:r>
            <w:proofErr w:type="spellEnd"/>
            <w:r w:rsidRPr="008A3759">
              <w:rPr>
                <w:rFonts w:ascii="Arial" w:hAnsi="Arial" w:cs="Arial"/>
                <w:sz w:val="20"/>
                <w:szCs w:val="20"/>
              </w:rPr>
              <w:t xml:space="preserve">, </w:t>
            </w:r>
            <w:proofErr w:type="spellStart"/>
            <w:r w:rsidRPr="008A3759">
              <w:rPr>
                <w:rFonts w:ascii="Arial" w:hAnsi="Arial" w:cs="Arial"/>
                <w:sz w:val="20"/>
                <w:szCs w:val="20"/>
              </w:rPr>
              <w:t>Chemmanda</w:t>
            </w:r>
            <w:proofErr w:type="spellEnd"/>
            <w:r w:rsidRPr="008A3759">
              <w:rPr>
                <w:rFonts w:ascii="Arial" w:hAnsi="Arial" w:cs="Arial"/>
                <w:sz w:val="20"/>
                <w:szCs w:val="20"/>
              </w:rPr>
              <w:t xml:space="preserve"> </w:t>
            </w:r>
            <w:proofErr w:type="spellStart"/>
            <w:r w:rsidRPr="008A3759">
              <w:rPr>
                <w:rFonts w:ascii="Arial" w:hAnsi="Arial" w:cs="Arial"/>
                <w:sz w:val="20"/>
                <w:szCs w:val="20"/>
              </w:rPr>
              <w:t>Puliyapadam</w:t>
            </w:r>
            <w:proofErr w:type="spellEnd"/>
            <w:r w:rsidRPr="008A3759">
              <w:rPr>
                <w:rFonts w:ascii="Arial" w:hAnsi="Arial" w:cs="Arial"/>
                <w:sz w:val="20"/>
                <w:szCs w:val="20"/>
              </w:rPr>
              <w:t xml:space="preserve">, </w:t>
            </w:r>
            <w:proofErr w:type="spellStart"/>
            <w:r w:rsidRPr="008A3759">
              <w:rPr>
                <w:rFonts w:ascii="Arial" w:hAnsi="Arial" w:cs="Arial"/>
                <w:sz w:val="20"/>
                <w:szCs w:val="20"/>
              </w:rPr>
              <w:t>Kolothupadam</w:t>
            </w:r>
            <w:proofErr w:type="spellEnd"/>
            <w:r w:rsidRPr="008A3759">
              <w:rPr>
                <w:rFonts w:ascii="Arial" w:hAnsi="Arial" w:cs="Arial"/>
                <w:sz w:val="20"/>
                <w:szCs w:val="20"/>
              </w:rPr>
              <w:t xml:space="preserve">, </w:t>
            </w:r>
            <w:proofErr w:type="spellStart"/>
            <w:r w:rsidRPr="008A3759">
              <w:rPr>
                <w:rFonts w:ascii="Arial" w:hAnsi="Arial" w:cs="Arial"/>
                <w:sz w:val="20"/>
                <w:szCs w:val="20"/>
              </w:rPr>
              <w:t>Neelayil</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Noonakkadav</w:t>
            </w:r>
            <w:proofErr w:type="spellEnd"/>
            <w:r w:rsidRPr="008A3759">
              <w:rPr>
                <w:rFonts w:ascii="Arial" w:hAnsi="Arial" w:cs="Arial"/>
                <w:sz w:val="20"/>
                <w:szCs w:val="20"/>
              </w:rPr>
              <w:t xml:space="preserve">, </w:t>
            </w:r>
            <w:proofErr w:type="spellStart"/>
            <w:r w:rsidRPr="008A3759">
              <w:rPr>
                <w:rFonts w:ascii="Arial" w:hAnsi="Arial" w:cs="Arial"/>
                <w:sz w:val="20"/>
                <w:szCs w:val="20"/>
              </w:rPr>
              <w:t>Kolothumpadam</w:t>
            </w:r>
            <w:proofErr w:type="spellEnd"/>
            <w:r w:rsidRPr="008A3759">
              <w:rPr>
                <w:rFonts w:ascii="Arial" w:hAnsi="Arial" w:cs="Arial"/>
                <w:sz w:val="20"/>
                <w:szCs w:val="20"/>
              </w:rPr>
              <w:t xml:space="preserve">, </w:t>
            </w:r>
            <w:proofErr w:type="spellStart"/>
            <w:r w:rsidRPr="008A3759">
              <w:rPr>
                <w:rFonts w:ascii="Arial" w:hAnsi="Arial" w:cs="Arial"/>
                <w:sz w:val="20"/>
                <w:szCs w:val="20"/>
              </w:rPr>
              <w:t>Chathan</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Kurudan</w:t>
            </w:r>
            <w:proofErr w:type="spellEnd"/>
            <w:r w:rsidRPr="008A3759">
              <w:rPr>
                <w:rFonts w:ascii="Arial" w:hAnsi="Arial" w:cs="Arial"/>
                <w:sz w:val="20"/>
                <w:szCs w:val="20"/>
              </w:rPr>
              <w:t xml:space="preserve"> </w:t>
            </w:r>
            <w:proofErr w:type="spellStart"/>
            <w:r w:rsidRPr="008A3759">
              <w:rPr>
                <w:rFonts w:ascii="Arial" w:hAnsi="Arial" w:cs="Arial"/>
                <w:sz w:val="20"/>
                <w:szCs w:val="20"/>
              </w:rPr>
              <w:t>Akkatan</w:t>
            </w:r>
            <w:proofErr w:type="spellEnd"/>
            <w:r w:rsidRPr="008A3759">
              <w:rPr>
                <w:rFonts w:ascii="Arial" w:hAnsi="Arial" w:cs="Arial"/>
                <w:sz w:val="20"/>
                <w:szCs w:val="20"/>
              </w:rPr>
              <w:t xml:space="preserve">, </w:t>
            </w:r>
            <w:proofErr w:type="spellStart"/>
            <w:r w:rsidRPr="008A3759">
              <w:rPr>
                <w:rFonts w:ascii="Arial" w:hAnsi="Arial" w:cs="Arial"/>
                <w:sz w:val="20"/>
                <w:szCs w:val="20"/>
              </w:rPr>
              <w:t>Nalumuri</w:t>
            </w:r>
            <w:proofErr w:type="spellEnd"/>
            <w:r w:rsidRPr="008A3759">
              <w:rPr>
                <w:rFonts w:ascii="Arial" w:hAnsi="Arial" w:cs="Arial"/>
                <w:sz w:val="20"/>
                <w:szCs w:val="20"/>
              </w:rPr>
              <w:t xml:space="preserve"> </w:t>
            </w:r>
            <w:proofErr w:type="spellStart"/>
            <w:r w:rsidRPr="008A3759">
              <w:rPr>
                <w:rFonts w:ascii="Arial" w:hAnsi="Arial" w:cs="Arial"/>
                <w:sz w:val="20"/>
                <w:szCs w:val="20"/>
              </w:rPr>
              <w:t>Nadumuri</w:t>
            </w:r>
            <w:proofErr w:type="spellEnd"/>
            <w:r w:rsidRPr="008A3759">
              <w:rPr>
                <w:rFonts w:ascii="Arial" w:hAnsi="Arial" w:cs="Arial"/>
                <w:sz w:val="20"/>
                <w:szCs w:val="20"/>
              </w:rPr>
              <w:t xml:space="preserve">, Payee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Mundurthazham</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w:t>
            </w:r>
            <w:proofErr w:type="spellStart"/>
            <w:r w:rsidRPr="008A3759">
              <w:rPr>
                <w:rFonts w:ascii="Arial" w:hAnsi="Arial" w:cs="Arial"/>
                <w:sz w:val="20"/>
                <w:szCs w:val="20"/>
              </w:rPr>
              <w:t>Padavu</w:t>
            </w:r>
            <w:proofErr w:type="spellEnd"/>
            <w:r w:rsidRPr="008A3759">
              <w:rPr>
                <w:rFonts w:ascii="Arial" w:hAnsi="Arial" w:cs="Arial"/>
                <w:sz w:val="20"/>
                <w:szCs w:val="20"/>
              </w:rPr>
              <w:t xml:space="preserve">, </w:t>
            </w:r>
            <w:proofErr w:type="spellStart"/>
            <w:r w:rsidRPr="008A3759">
              <w:rPr>
                <w:rFonts w:ascii="Arial" w:hAnsi="Arial" w:cs="Arial"/>
                <w:sz w:val="20"/>
                <w:szCs w:val="20"/>
              </w:rPr>
              <w:t>Menchira</w:t>
            </w:r>
            <w:proofErr w:type="spellEnd"/>
            <w:r w:rsidRPr="008A3759">
              <w:rPr>
                <w:rFonts w:ascii="Arial" w:hAnsi="Arial" w:cs="Arial"/>
                <w:sz w:val="20"/>
                <w:szCs w:val="20"/>
              </w:rPr>
              <w:t xml:space="preserve"> </w:t>
            </w:r>
            <w:proofErr w:type="spellStart"/>
            <w:r w:rsidRPr="008A3759">
              <w:rPr>
                <w:rFonts w:ascii="Arial" w:hAnsi="Arial" w:cs="Arial"/>
                <w:sz w:val="20"/>
                <w:szCs w:val="20"/>
              </w:rPr>
              <w:t>Padav</w:t>
            </w:r>
            <w:proofErr w:type="spellEnd"/>
            <w:r w:rsidRPr="008A3759">
              <w:rPr>
                <w:rFonts w:ascii="Arial" w:hAnsi="Arial" w:cs="Arial"/>
                <w:sz w:val="20"/>
                <w:szCs w:val="20"/>
              </w:rPr>
              <w:t xml:space="preserve">, </w:t>
            </w:r>
            <w:proofErr w:type="spellStart"/>
            <w:r w:rsidRPr="008A3759">
              <w:rPr>
                <w:rFonts w:ascii="Arial" w:hAnsi="Arial" w:cs="Arial"/>
                <w:sz w:val="20"/>
                <w:szCs w:val="20"/>
              </w:rPr>
              <w:t>Sangham</w:t>
            </w:r>
            <w:proofErr w:type="spellEnd"/>
            <w:r w:rsidRPr="008A3759">
              <w:rPr>
                <w:rFonts w:ascii="Arial" w:hAnsi="Arial" w:cs="Arial"/>
                <w:sz w:val="20"/>
                <w:szCs w:val="20"/>
              </w:rPr>
              <w:t xml:space="preserve"> </w:t>
            </w:r>
            <w:proofErr w:type="spellStart"/>
            <w:r w:rsidRPr="008A3759">
              <w:rPr>
                <w:rFonts w:ascii="Arial" w:hAnsi="Arial" w:cs="Arial"/>
                <w:sz w:val="20"/>
                <w:szCs w:val="20"/>
              </w:rPr>
              <w:t>Kole</w:t>
            </w:r>
            <w:proofErr w:type="spellEnd"/>
            <w:r w:rsidRPr="008A3759">
              <w:rPr>
                <w:rFonts w:ascii="Arial" w:hAnsi="Arial" w:cs="Arial"/>
                <w:sz w:val="20"/>
                <w:szCs w:val="20"/>
              </w:rPr>
              <w:t xml:space="preserve"> North Padav</w:t>
            </w:r>
          </w:p>
        </w:tc>
      </w:tr>
      <w:tr w:rsidR="00877437" w:rsidRPr="008A3759" w14:paraId="72576E44" w14:textId="77777777" w:rsidTr="009A2603">
        <w:tc>
          <w:tcPr>
            <w:tcW w:w="936" w:type="dxa"/>
          </w:tcPr>
          <w:p w14:paraId="0AE6E521"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B </w:t>
            </w:r>
          </w:p>
        </w:tc>
        <w:tc>
          <w:tcPr>
            <w:tcW w:w="8131" w:type="dxa"/>
          </w:tcPr>
          <w:p w14:paraId="56F0E393"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Manakody-Veluthur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Ulppadam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Anthikad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Inchamudi</w:t>
            </w:r>
            <w:proofErr w:type="spellEnd"/>
            <w:r w:rsidRPr="008A3759">
              <w:rPr>
                <w:rStyle w:val="Strong"/>
                <w:rFonts w:ascii="Arial" w:hAnsi="Arial" w:cs="Arial"/>
                <w:color w:val="auto"/>
                <w:sz w:val="20"/>
                <w:szCs w:val="20"/>
              </w:rPr>
              <w:t xml:space="preserve">, , Jayanthi, </w:t>
            </w:r>
            <w:proofErr w:type="spellStart"/>
            <w:r w:rsidRPr="008A3759">
              <w:rPr>
                <w:rStyle w:val="Strong"/>
                <w:rFonts w:ascii="Arial" w:hAnsi="Arial" w:cs="Arial"/>
                <w:color w:val="auto"/>
                <w:sz w:val="20"/>
                <w:szCs w:val="20"/>
              </w:rPr>
              <w:t>Kanimangalam</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Pallipuram-Alappad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Mangad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Annakara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Vadakku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Madhukkara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Madhukkara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Vadakku</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Elamutha</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Kizhakke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Karimbadam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Padinjare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Karimbadam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Ponnamutha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Konjira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Wadakke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Konjira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Kollathupadam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Thiruthummal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Ayilakkad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Kannenkayal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Chirukandath</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Choorakatukara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Puthen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Karuthani-vally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Ponnorthazham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Sangham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South </w:t>
            </w:r>
            <w:proofErr w:type="spellStart"/>
            <w:r w:rsidRPr="008A3759">
              <w:rPr>
                <w:rStyle w:val="Strong"/>
                <w:rFonts w:ascii="Arial" w:hAnsi="Arial" w:cs="Arial"/>
                <w:color w:val="auto"/>
                <w:sz w:val="20"/>
                <w:szCs w:val="20"/>
              </w:rPr>
              <w:t>Padav</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Kattoor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Thekkumpadam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Koottukrisi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Sangham</w:t>
            </w:r>
            <w:proofErr w:type="spellEnd"/>
          </w:p>
        </w:tc>
      </w:tr>
      <w:tr w:rsidR="00877437" w:rsidRPr="008A3759" w14:paraId="3B90806D" w14:textId="77777777" w:rsidTr="009A2603">
        <w:tc>
          <w:tcPr>
            <w:tcW w:w="936" w:type="dxa"/>
          </w:tcPr>
          <w:p w14:paraId="1F2E2E2D"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C </w:t>
            </w:r>
          </w:p>
        </w:tc>
        <w:tc>
          <w:tcPr>
            <w:tcW w:w="8131" w:type="dxa"/>
          </w:tcPr>
          <w:p w14:paraId="49AE3769"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0</w:t>
            </w:r>
          </w:p>
        </w:tc>
      </w:tr>
      <w:tr w:rsidR="00877437" w:rsidRPr="008A3759" w14:paraId="6817B3B5" w14:textId="77777777" w:rsidTr="009A2603">
        <w:tc>
          <w:tcPr>
            <w:tcW w:w="936" w:type="dxa"/>
          </w:tcPr>
          <w:p w14:paraId="319BA1CD"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D </w:t>
            </w:r>
          </w:p>
        </w:tc>
        <w:tc>
          <w:tcPr>
            <w:tcW w:w="8131" w:type="dxa"/>
          </w:tcPr>
          <w:p w14:paraId="3A9B04E6"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Anthikkad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Padaseghara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Samithy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Kovilakam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Purathur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Pallipuram-Akampadam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Padashekharam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Chemmanda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Puliyam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Manalpuzha</w:t>
            </w:r>
            <w:proofErr w:type="spellEnd"/>
            <w:r w:rsidRPr="008A3759">
              <w:rPr>
                <w:rStyle w:val="Strong"/>
                <w:rFonts w:ascii="Arial" w:hAnsi="Arial" w:cs="Arial"/>
                <w:color w:val="auto"/>
                <w:sz w:val="20"/>
                <w:szCs w:val="20"/>
              </w:rPr>
              <w:t xml:space="preserve"> </w:t>
            </w:r>
            <w:proofErr w:type="spellStart"/>
            <w:proofErr w:type="gramStart"/>
            <w:r w:rsidRPr="008A3759">
              <w:rPr>
                <w:rStyle w:val="Strong"/>
                <w:rFonts w:ascii="Arial" w:hAnsi="Arial" w:cs="Arial"/>
                <w:color w:val="auto"/>
                <w:sz w:val="20"/>
                <w:szCs w:val="20"/>
              </w:rPr>
              <w:t>Kannoth</w:t>
            </w:r>
            <w:proofErr w:type="spellEnd"/>
            <w:r w:rsidRPr="008A3759">
              <w:rPr>
                <w:rStyle w:val="Strong"/>
                <w:rFonts w:ascii="Arial" w:hAnsi="Arial" w:cs="Arial"/>
                <w:color w:val="auto"/>
                <w:sz w:val="20"/>
                <w:szCs w:val="20"/>
              </w:rPr>
              <w:t xml:space="preserve"> ,</w:t>
            </w:r>
            <w:proofErr w:type="gram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Mullamad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Naranippuzha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Kummipalam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Pullazhi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p>
        </w:tc>
      </w:tr>
      <w:tr w:rsidR="00D211F0" w:rsidRPr="008A3759" w14:paraId="54C00ECB" w14:textId="77777777" w:rsidTr="009A2603">
        <w:tc>
          <w:tcPr>
            <w:tcW w:w="936" w:type="dxa"/>
          </w:tcPr>
          <w:p w14:paraId="705623E2"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E </w:t>
            </w:r>
          </w:p>
        </w:tc>
        <w:tc>
          <w:tcPr>
            <w:tcW w:w="8131" w:type="dxa"/>
          </w:tcPr>
          <w:p w14:paraId="33AB7BFB"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Valoor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Alappad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Pullu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West, </w:t>
            </w:r>
            <w:proofErr w:type="spellStart"/>
            <w:r w:rsidRPr="008A3759">
              <w:rPr>
                <w:rStyle w:val="Strong"/>
                <w:rFonts w:ascii="Arial" w:hAnsi="Arial" w:cs="Arial"/>
                <w:color w:val="auto"/>
                <w:sz w:val="20"/>
                <w:szCs w:val="20"/>
              </w:rPr>
              <w:t>Kaipilly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Veluthur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Akam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Kodannur</w:t>
            </w:r>
            <w:proofErr w:type="spellEnd"/>
            <w:r w:rsidRPr="008A3759">
              <w:rPr>
                <w:rStyle w:val="Strong"/>
                <w:rFonts w:ascii="Arial" w:hAnsi="Arial" w:cs="Arial"/>
                <w:color w:val="auto"/>
                <w:sz w:val="20"/>
                <w:szCs w:val="20"/>
              </w:rPr>
              <w:t xml:space="preserve">, Jubilee </w:t>
            </w:r>
            <w:proofErr w:type="spellStart"/>
            <w:r w:rsidRPr="008A3759">
              <w:rPr>
                <w:rStyle w:val="Strong"/>
                <w:rFonts w:ascii="Arial" w:hAnsi="Arial" w:cs="Arial"/>
                <w:color w:val="auto"/>
                <w:sz w:val="20"/>
                <w:szCs w:val="20"/>
              </w:rPr>
              <w:t>Thevar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Chathankulangara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Palissery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Avinissery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Chovur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Alukka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Perumkulam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Chiyyaram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Samajam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Kodannur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Farming society, </w:t>
            </w:r>
            <w:proofErr w:type="spellStart"/>
            <w:r w:rsidRPr="008A3759">
              <w:rPr>
                <w:rStyle w:val="Strong"/>
                <w:rFonts w:ascii="Arial" w:hAnsi="Arial" w:cs="Arial"/>
                <w:color w:val="auto"/>
                <w:sz w:val="20"/>
                <w:szCs w:val="20"/>
              </w:rPr>
              <w:t>Madammathope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Padinjarubhagam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Alappad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Chenam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Tharishu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Erumakkuzhy</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Kootaalapaadam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Kanimangalam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Pandaram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Muthuvammalthazham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Cheruvallipuzha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Nambarapadavu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Chiralipuzha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Thekkethodi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Kariyapaadam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Pappuruthy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Parakuzhi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Pullanichal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Kaipulithara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Kakkadu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Padasekharam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Vellani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Vellani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Pada </w:t>
            </w:r>
            <w:proofErr w:type="spellStart"/>
            <w:r w:rsidRPr="008A3759">
              <w:rPr>
                <w:rStyle w:val="Strong"/>
                <w:rFonts w:ascii="Arial" w:hAnsi="Arial" w:cs="Arial"/>
                <w:color w:val="auto"/>
                <w:sz w:val="20"/>
                <w:szCs w:val="20"/>
              </w:rPr>
              <w:t>Karshaka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Sangham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Anurauly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Harijan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Karshaka</w:t>
            </w:r>
            <w:proofErr w:type="spellEnd"/>
            <w:r w:rsidRPr="008A3759">
              <w:rPr>
                <w:rStyle w:val="Strong"/>
                <w:rFonts w:ascii="Arial" w:hAnsi="Arial" w:cs="Arial"/>
                <w:color w:val="auto"/>
                <w:sz w:val="20"/>
                <w:szCs w:val="20"/>
              </w:rPr>
              <w:t xml:space="preserve"> Sangam, </w:t>
            </w:r>
            <w:proofErr w:type="spellStart"/>
            <w:r w:rsidRPr="008A3759">
              <w:rPr>
                <w:rStyle w:val="Strong"/>
                <w:rFonts w:ascii="Arial" w:hAnsi="Arial" w:cs="Arial"/>
                <w:color w:val="auto"/>
                <w:sz w:val="20"/>
                <w:szCs w:val="20"/>
              </w:rPr>
              <w:t>Kannambilli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Koovapuzha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Kolathur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Manaparamban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Nellulpadaka</w:t>
            </w:r>
            <w:proofErr w:type="spellEnd"/>
            <w:r w:rsidRPr="008A3759">
              <w:rPr>
                <w:rStyle w:val="Strong"/>
                <w:rFonts w:ascii="Arial" w:hAnsi="Arial" w:cs="Arial"/>
                <w:color w:val="auto"/>
                <w:sz w:val="20"/>
                <w:szCs w:val="20"/>
              </w:rPr>
              <w:t xml:space="preserve"> Sangam,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Gramasree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Dhanukulam</w:t>
            </w:r>
            <w:proofErr w:type="spellEnd"/>
            <w:r w:rsidRPr="008A3759">
              <w:rPr>
                <w:rStyle w:val="Strong"/>
                <w:rFonts w:ascii="Arial" w:hAnsi="Arial" w:cs="Arial"/>
                <w:color w:val="auto"/>
                <w:sz w:val="20"/>
                <w:szCs w:val="20"/>
              </w:rPr>
              <w:t xml:space="preserve"> West, </w:t>
            </w:r>
            <w:proofErr w:type="spellStart"/>
            <w:r w:rsidRPr="008A3759">
              <w:rPr>
                <w:rStyle w:val="Strong"/>
                <w:rFonts w:ascii="Arial" w:hAnsi="Arial" w:cs="Arial"/>
                <w:color w:val="auto"/>
                <w:sz w:val="20"/>
                <w:szCs w:val="20"/>
              </w:rPr>
              <w:t>Konthipulam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Nadupadam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Mangandam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Parappukkara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Nedumbal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Thamarachal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Villichira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Karshaka</w:t>
            </w:r>
            <w:proofErr w:type="spellEnd"/>
            <w:r w:rsidRPr="008A3759">
              <w:rPr>
                <w:rStyle w:val="Strong"/>
                <w:rFonts w:ascii="Arial" w:hAnsi="Arial" w:cs="Arial"/>
                <w:color w:val="auto"/>
                <w:sz w:val="20"/>
                <w:szCs w:val="20"/>
              </w:rPr>
              <w:t xml:space="preserve"> Sangam, </w:t>
            </w:r>
            <w:proofErr w:type="spellStart"/>
            <w:r w:rsidRPr="008A3759">
              <w:rPr>
                <w:rStyle w:val="Strong"/>
                <w:rFonts w:ascii="Arial" w:hAnsi="Arial" w:cs="Arial"/>
                <w:color w:val="auto"/>
                <w:sz w:val="20"/>
                <w:szCs w:val="20"/>
              </w:rPr>
              <w:t>Chithravalli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Kadungadu</w:t>
            </w:r>
            <w:proofErr w:type="spellEnd"/>
            <w:r w:rsidRPr="008A3759">
              <w:rPr>
                <w:rStyle w:val="Strong"/>
                <w:rFonts w:ascii="Arial" w:hAnsi="Arial" w:cs="Arial"/>
                <w:color w:val="auto"/>
                <w:sz w:val="20"/>
                <w:szCs w:val="20"/>
              </w:rPr>
              <w:t xml:space="preserve">, Kochi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Kokkarachal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Painkili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Kaniyamthurathu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Elavathur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Penakkam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Peruvallor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Peruvallur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Nadupotta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Cherayam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Kadukuzhi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Kollenchery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Pazhanji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Cheruvallur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Thekkekkett</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Edampadam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Neelayil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Poramkole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Kadavil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Thiruthil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Porathy</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West, </w:t>
            </w:r>
            <w:proofErr w:type="spellStart"/>
            <w:r w:rsidRPr="008A3759">
              <w:rPr>
                <w:rStyle w:val="Strong"/>
                <w:rFonts w:ascii="Arial" w:hAnsi="Arial" w:cs="Arial"/>
                <w:color w:val="auto"/>
                <w:sz w:val="20"/>
                <w:szCs w:val="20"/>
              </w:rPr>
              <w:t>Karotte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Maninadan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Peramangalam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Karuka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Naikankole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Kalipadam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Tharisukarimpana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Valakulam</w:t>
            </w:r>
            <w:proofErr w:type="spellEnd"/>
          </w:p>
        </w:tc>
      </w:tr>
      <w:tr w:rsidR="00D211F0" w:rsidRPr="008A3759" w14:paraId="3C2B8ADC" w14:textId="77777777" w:rsidTr="009A2603">
        <w:tc>
          <w:tcPr>
            <w:tcW w:w="936" w:type="dxa"/>
          </w:tcPr>
          <w:p w14:paraId="67046DF1"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lastRenderedPageBreak/>
              <w:t xml:space="preserve">F </w:t>
            </w:r>
          </w:p>
        </w:tc>
        <w:tc>
          <w:tcPr>
            <w:tcW w:w="8131" w:type="dxa"/>
          </w:tcPr>
          <w:p w14:paraId="2FFA9B7B"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Parappanchal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Anjumuri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East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Eravu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Kaippilly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Akampadam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Manakody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Variyam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Thottupura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Chennamgiri</w:t>
            </w:r>
            <w:proofErr w:type="spellEnd"/>
            <w:r w:rsidRPr="008A3759">
              <w:rPr>
                <w:rStyle w:val="Strong"/>
                <w:rFonts w:ascii="Arial" w:hAnsi="Arial" w:cs="Arial"/>
                <w:color w:val="auto"/>
                <w:sz w:val="20"/>
                <w:szCs w:val="20"/>
              </w:rPr>
              <w:t xml:space="preserve">, Kila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Kurumbilam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Pallipuram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Alapattu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Thrikkapallam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Vendrapadam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Kundanikulam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Vendrapadam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Cheralipuzha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Thekkethod</w:t>
            </w:r>
            <w:proofErr w:type="spellEnd"/>
            <w:r w:rsidRPr="008A3759">
              <w:rPr>
                <w:rStyle w:val="Strong"/>
                <w:rFonts w:ascii="Arial" w:hAnsi="Arial" w:cs="Arial"/>
                <w:color w:val="auto"/>
                <w:sz w:val="20"/>
                <w:szCs w:val="20"/>
              </w:rPr>
              <w:t xml:space="preserve">, Kila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Perumkulam</w:t>
            </w:r>
            <w:proofErr w:type="spellEnd"/>
            <w:r w:rsidRPr="008A3759">
              <w:rPr>
                <w:rStyle w:val="Strong"/>
                <w:rFonts w:ascii="Arial" w:hAnsi="Arial" w:cs="Arial"/>
                <w:color w:val="auto"/>
                <w:sz w:val="20"/>
                <w:szCs w:val="20"/>
              </w:rPr>
              <w:t xml:space="preserve"> East,  </w:t>
            </w:r>
            <w:proofErr w:type="spellStart"/>
            <w:r w:rsidRPr="008A3759">
              <w:rPr>
                <w:rStyle w:val="Strong"/>
                <w:rFonts w:ascii="Arial" w:hAnsi="Arial" w:cs="Arial"/>
                <w:color w:val="auto"/>
                <w:sz w:val="20"/>
                <w:szCs w:val="20"/>
              </w:rPr>
              <w:t>Karimpatta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Olakkada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Akkarapatty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pore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Nelkhathir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Madamathope</w:t>
            </w:r>
            <w:proofErr w:type="spellEnd"/>
            <w:r w:rsidRPr="008A3759">
              <w:rPr>
                <w:rStyle w:val="Strong"/>
                <w:rFonts w:ascii="Arial" w:hAnsi="Arial" w:cs="Arial"/>
                <w:color w:val="auto"/>
                <w:sz w:val="20"/>
                <w:szCs w:val="20"/>
              </w:rPr>
              <w:t xml:space="preserve">, Narayanan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Padashekharam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Pullu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Changalipadam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Kattoor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Thekkumpadam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Akampadam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Purampadam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Padasekaram</w:t>
            </w:r>
            <w:proofErr w:type="spellEnd"/>
            <w:r w:rsidRPr="008A3759">
              <w:rPr>
                <w:rStyle w:val="Strong"/>
                <w:rFonts w:ascii="Arial" w:hAnsi="Arial" w:cs="Arial"/>
                <w:color w:val="auto"/>
                <w:sz w:val="20"/>
                <w:szCs w:val="20"/>
              </w:rPr>
              <w:t xml:space="preserve">, Haritha </w:t>
            </w:r>
            <w:proofErr w:type="spellStart"/>
            <w:r w:rsidRPr="008A3759">
              <w:rPr>
                <w:rStyle w:val="Strong"/>
                <w:rFonts w:ascii="Arial" w:hAnsi="Arial" w:cs="Arial"/>
                <w:color w:val="auto"/>
                <w:sz w:val="20"/>
                <w:szCs w:val="20"/>
              </w:rPr>
              <w:t>Sree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Karshaka</w:t>
            </w:r>
            <w:proofErr w:type="spellEnd"/>
            <w:r w:rsidRPr="008A3759">
              <w:rPr>
                <w:rStyle w:val="Strong"/>
                <w:rFonts w:ascii="Arial" w:hAnsi="Arial" w:cs="Arial"/>
                <w:color w:val="auto"/>
                <w:sz w:val="20"/>
                <w:szCs w:val="20"/>
              </w:rPr>
              <w:t xml:space="preserve"> Sangam, </w:t>
            </w:r>
            <w:proofErr w:type="spellStart"/>
            <w:r w:rsidRPr="008A3759">
              <w:rPr>
                <w:rStyle w:val="Strong"/>
                <w:rFonts w:ascii="Arial" w:hAnsi="Arial" w:cs="Arial"/>
                <w:color w:val="auto"/>
                <w:sz w:val="20"/>
                <w:szCs w:val="20"/>
              </w:rPr>
              <w:t>Kumbakeri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Chirakkappadam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Thuravankad</w:t>
            </w:r>
            <w:proofErr w:type="spellEnd"/>
            <w:r w:rsidRPr="008A3759">
              <w:rPr>
                <w:rStyle w:val="Strong"/>
                <w:rFonts w:ascii="Arial" w:hAnsi="Arial" w:cs="Arial"/>
                <w:color w:val="auto"/>
                <w:sz w:val="20"/>
                <w:szCs w:val="20"/>
              </w:rPr>
              <w:t xml:space="preserve"> Union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Puncha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Tharisu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Karuvannur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Punchappadam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Mayyar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Muthalakulam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Valiyakole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Parapadam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Vadakku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Alappuramkothode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Kizhikkara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Pattissery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Poozhikkole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Irumbayil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Kodanchery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Kundamkuzhi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Marady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Olambakkadavu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Alappuram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Pattissery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Kaithakole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Moochikkal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Vempuzha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Pazhanjira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Thuruthummal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Anthalichira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Madayil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Pudukole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Puzhayangadu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Karthani</w:t>
            </w:r>
            <w:proofErr w:type="spellEnd"/>
            <w:r w:rsidRPr="008A3759">
              <w:rPr>
                <w:rStyle w:val="Strong"/>
                <w:rFonts w:ascii="Arial" w:hAnsi="Arial" w:cs="Arial"/>
                <w:color w:val="auto"/>
                <w:sz w:val="20"/>
                <w:szCs w:val="20"/>
              </w:rPr>
              <w:t xml:space="preserve"> valley, </w:t>
            </w:r>
            <w:proofErr w:type="spellStart"/>
            <w:r w:rsidRPr="008A3759">
              <w:rPr>
                <w:rStyle w:val="Strong"/>
                <w:rFonts w:ascii="Arial" w:hAnsi="Arial" w:cs="Arial"/>
                <w:color w:val="auto"/>
                <w:sz w:val="20"/>
                <w:szCs w:val="20"/>
              </w:rPr>
              <w:t>Pandaram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Putoorkarika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Chettupuzha</w:t>
            </w:r>
            <w:proofErr w:type="spellEnd"/>
            <w:r w:rsidRPr="008A3759">
              <w:rPr>
                <w:rStyle w:val="Strong"/>
                <w:rFonts w:ascii="Arial" w:hAnsi="Arial" w:cs="Arial"/>
                <w:color w:val="auto"/>
                <w:sz w:val="20"/>
                <w:szCs w:val="20"/>
              </w:rPr>
              <w:t xml:space="preserve"> East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Elthuruth</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Marar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Pannikkara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Kini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Vadake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Ponnor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Chemeenchal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Thomana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Pothumbuchera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Poranchira</w:t>
            </w:r>
            <w:proofErr w:type="spellEnd"/>
          </w:p>
        </w:tc>
      </w:tr>
      <w:tr w:rsidR="00D211F0" w:rsidRPr="008A3759" w14:paraId="0F78EEF4" w14:textId="77777777" w:rsidTr="009A2603">
        <w:tc>
          <w:tcPr>
            <w:tcW w:w="936" w:type="dxa"/>
          </w:tcPr>
          <w:p w14:paraId="6D7AF735"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G </w:t>
            </w:r>
          </w:p>
        </w:tc>
        <w:tc>
          <w:tcPr>
            <w:tcW w:w="8131" w:type="dxa"/>
          </w:tcPr>
          <w:p w14:paraId="216A8B91"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0</w:t>
            </w:r>
          </w:p>
        </w:tc>
      </w:tr>
      <w:tr w:rsidR="00183217" w:rsidRPr="008A3759" w14:paraId="371CDA3B" w14:textId="77777777" w:rsidTr="009A2603">
        <w:tc>
          <w:tcPr>
            <w:tcW w:w="936" w:type="dxa"/>
          </w:tcPr>
          <w:p w14:paraId="2D73BFBD" w14:textId="77777777" w:rsidR="00183217" w:rsidRPr="008A3759" w:rsidRDefault="00183217" w:rsidP="002A5D34">
            <w:pPr>
              <w:pStyle w:val="Heading2"/>
              <w:jc w:val="both"/>
              <w:outlineLvl w:val="1"/>
              <w:rPr>
                <w:rStyle w:val="Strong"/>
                <w:rFonts w:ascii="Arial" w:hAnsi="Arial" w:cs="Arial"/>
                <w:color w:val="auto"/>
                <w:sz w:val="20"/>
                <w:szCs w:val="20"/>
              </w:rPr>
            </w:pPr>
            <w:r w:rsidRPr="008A3759">
              <w:rPr>
                <w:rStyle w:val="Strong"/>
                <w:rFonts w:ascii="Arial" w:hAnsi="Arial" w:cs="Arial"/>
                <w:color w:val="auto"/>
                <w:sz w:val="20"/>
                <w:szCs w:val="20"/>
              </w:rPr>
              <w:t xml:space="preserve">H </w:t>
            </w:r>
          </w:p>
        </w:tc>
        <w:tc>
          <w:tcPr>
            <w:tcW w:w="8131" w:type="dxa"/>
          </w:tcPr>
          <w:p w14:paraId="4C8F78DF" w14:textId="77777777" w:rsidR="00183217" w:rsidRPr="008A3759" w:rsidRDefault="00183217" w:rsidP="002A5D34">
            <w:pPr>
              <w:pStyle w:val="Heading2"/>
              <w:jc w:val="both"/>
              <w:outlineLvl w:val="1"/>
              <w:rPr>
                <w:rStyle w:val="Strong"/>
                <w:rFonts w:ascii="Arial" w:hAnsi="Arial" w:cs="Arial"/>
                <w:color w:val="auto"/>
                <w:sz w:val="20"/>
                <w:szCs w:val="20"/>
              </w:rPr>
            </w:pPr>
            <w:proofErr w:type="spellStart"/>
            <w:r w:rsidRPr="008A3759">
              <w:rPr>
                <w:rStyle w:val="Strong"/>
                <w:rFonts w:ascii="Arial" w:hAnsi="Arial" w:cs="Arial"/>
                <w:color w:val="auto"/>
                <w:sz w:val="20"/>
                <w:szCs w:val="20"/>
              </w:rPr>
              <w:t>Athichal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Bhagavathi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Cherukole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Kodappully</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Mambully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Vakkochira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Pazhuvil</w:t>
            </w:r>
            <w:proofErr w:type="spellEnd"/>
            <w:r w:rsidRPr="008A3759">
              <w:rPr>
                <w:rStyle w:val="Strong"/>
                <w:rFonts w:ascii="Arial" w:hAnsi="Arial" w:cs="Arial"/>
                <w:color w:val="auto"/>
                <w:sz w:val="20"/>
                <w:szCs w:val="20"/>
              </w:rPr>
              <w:t xml:space="preserve"> Bund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Vilakkumadam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Kanjankole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Maruthithazham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Thannapadam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Pazhuvil</w:t>
            </w:r>
            <w:proofErr w:type="spellEnd"/>
            <w:r w:rsidRPr="008A3759">
              <w:rPr>
                <w:rStyle w:val="Strong"/>
                <w:rFonts w:ascii="Arial" w:hAnsi="Arial" w:cs="Arial"/>
                <w:color w:val="auto"/>
                <w:sz w:val="20"/>
                <w:szCs w:val="20"/>
              </w:rPr>
              <w:t xml:space="preserve"> Bund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Mathikkayal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Muttil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Chammannur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Kaplinghat</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Thazheum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Ettumana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Ettumana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Parupadam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Urakam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Pallipuram-Paralam-Kodannur-Therpadavu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Vavekar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Madapatt</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Pulanichal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Moorikole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Samiti,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Pullur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Pothumbu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Nellulpadaka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Sangham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Villichira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Muriyad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Chepadam</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Karimpadam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Konthipulam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Naduppadam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Mankandam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Painkili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harijankole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Ashiad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Mulanchery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Parapadam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Kizhakethala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Thirunellur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Manalpuzha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Kannoth</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Pulipandy</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Thannerkayil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Maradi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Kizhakkekole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Marady-Chelakkadavu-Alparambu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Koolan</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Amayam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Kaithakkal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Valluvambayi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Arodi</w:t>
            </w:r>
            <w:proofErr w:type="spellEnd"/>
            <w:r w:rsidRPr="008A3759">
              <w:rPr>
                <w:rStyle w:val="Strong"/>
                <w:rFonts w:ascii="Arial" w:hAnsi="Arial" w:cs="Arial"/>
                <w:color w:val="auto"/>
                <w:sz w:val="20"/>
                <w:szCs w:val="20"/>
              </w:rPr>
              <w:t xml:space="preserve"> - </w:t>
            </w:r>
            <w:proofErr w:type="spellStart"/>
            <w:r w:rsidRPr="008A3759">
              <w:rPr>
                <w:rStyle w:val="Strong"/>
                <w:rFonts w:ascii="Arial" w:hAnsi="Arial" w:cs="Arial"/>
                <w:color w:val="auto"/>
                <w:sz w:val="20"/>
                <w:szCs w:val="20"/>
              </w:rPr>
              <w:t>Palakkathazham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Chelayi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Kurathikkad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Manathipadavu</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Manoor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Mullamad</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Ponukara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Pothodi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Therett</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Kayal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Onpathumuri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Kunjikole</w:t>
            </w:r>
            <w:proofErr w:type="spellEnd"/>
            <w:r w:rsidRPr="008A3759">
              <w:rPr>
                <w:rStyle w:val="Strong"/>
                <w:rFonts w:ascii="Arial" w:hAnsi="Arial" w:cs="Arial"/>
                <w:color w:val="auto"/>
                <w:sz w:val="20"/>
                <w:szCs w:val="20"/>
              </w:rPr>
              <w:t xml:space="preserve">, Mandan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Padiyur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Poomangalam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Pallithazham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Panchekkal</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Kakkulam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Paadam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Poomangalam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Padiyur</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Kole</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Kannukettichira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Vazhikalchira</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Irupoo</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Padashekaram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Kolothu</w:t>
            </w:r>
            <w:proofErr w:type="spellEnd"/>
            <w:r w:rsidRPr="008A3759">
              <w:rPr>
                <w:rStyle w:val="Strong"/>
                <w:rFonts w:ascii="Arial" w:hAnsi="Arial" w:cs="Arial"/>
                <w:color w:val="auto"/>
                <w:sz w:val="20"/>
                <w:szCs w:val="20"/>
              </w:rPr>
              <w:t xml:space="preserve"> Nadu </w:t>
            </w:r>
            <w:proofErr w:type="spellStart"/>
            <w:r w:rsidRPr="008A3759">
              <w:rPr>
                <w:rStyle w:val="Strong"/>
                <w:rFonts w:ascii="Arial" w:hAnsi="Arial" w:cs="Arial"/>
                <w:color w:val="auto"/>
                <w:sz w:val="20"/>
                <w:szCs w:val="20"/>
              </w:rPr>
              <w:t>Padasekharam</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Vazhikkili</w:t>
            </w:r>
            <w:proofErr w:type="spellEnd"/>
            <w:r w:rsidRPr="008A3759">
              <w:rPr>
                <w:rStyle w:val="Strong"/>
                <w:rFonts w:ascii="Arial" w:hAnsi="Arial" w:cs="Arial"/>
                <w:color w:val="auto"/>
                <w:sz w:val="20"/>
                <w:szCs w:val="20"/>
              </w:rPr>
              <w:t xml:space="preserve"> </w:t>
            </w:r>
            <w:proofErr w:type="spellStart"/>
            <w:r w:rsidRPr="008A3759">
              <w:rPr>
                <w:rStyle w:val="Strong"/>
                <w:rFonts w:ascii="Arial" w:hAnsi="Arial" w:cs="Arial"/>
                <w:color w:val="auto"/>
                <w:sz w:val="20"/>
                <w:szCs w:val="20"/>
              </w:rPr>
              <w:t>Padasekharam</w:t>
            </w:r>
            <w:proofErr w:type="spellEnd"/>
          </w:p>
        </w:tc>
      </w:tr>
    </w:tbl>
    <w:p w14:paraId="68ECCD64" w14:textId="77777777" w:rsidR="00183217" w:rsidRPr="008A3759" w:rsidRDefault="00183217" w:rsidP="002A5D34">
      <w:pPr>
        <w:pStyle w:val="Heading2"/>
        <w:jc w:val="both"/>
        <w:rPr>
          <w:rFonts w:ascii="Arial" w:hAnsi="Arial" w:cs="Arial"/>
          <w:color w:val="auto"/>
          <w:sz w:val="20"/>
          <w:szCs w:val="20"/>
        </w:rPr>
      </w:pPr>
    </w:p>
    <w:p w14:paraId="5F906BDD" w14:textId="77777777" w:rsidR="009C21B6" w:rsidRPr="008A3759" w:rsidRDefault="00183217" w:rsidP="002A5D34">
      <w:pPr>
        <w:jc w:val="both"/>
        <w:rPr>
          <w:rFonts w:ascii="Arial" w:hAnsi="Arial" w:cs="Arial"/>
          <w:sz w:val="20"/>
          <w:szCs w:val="20"/>
        </w:rPr>
      </w:pPr>
      <w:r w:rsidRPr="008A3759">
        <w:rPr>
          <w:rFonts w:ascii="Arial" w:hAnsi="Arial" w:cs="Arial"/>
          <w:sz w:val="20"/>
          <w:szCs w:val="20"/>
        </w:rPr>
        <w:t xml:space="preserve">        </w:t>
      </w:r>
    </w:p>
    <w:sectPr w:rsidR="009C21B6" w:rsidRPr="008A3759" w:rsidSect="00034616">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802FA" w14:textId="77777777" w:rsidR="00526DE9" w:rsidRDefault="00526DE9" w:rsidP="007E3C54">
      <w:pPr>
        <w:spacing w:after="0" w:line="240" w:lineRule="auto"/>
      </w:pPr>
      <w:r>
        <w:separator/>
      </w:r>
    </w:p>
  </w:endnote>
  <w:endnote w:type="continuationSeparator" w:id="0">
    <w:p w14:paraId="774D0524" w14:textId="77777777" w:rsidR="00526DE9" w:rsidRDefault="00526DE9" w:rsidP="007E3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1988" w14:textId="77777777" w:rsidR="007E3C54" w:rsidRDefault="007E3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404E9" w14:textId="77777777" w:rsidR="007E3C54" w:rsidRDefault="007E3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61A8F" w14:textId="77777777" w:rsidR="007E3C54" w:rsidRDefault="007E3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8F4F" w14:textId="77777777" w:rsidR="00526DE9" w:rsidRDefault="00526DE9" w:rsidP="007E3C54">
      <w:pPr>
        <w:spacing w:after="0" w:line="240" w:lineRule="auto"/>
      </w:pPr>
      <w:r>
        <w:separator/>
      </w:r>
    </w:p>
  </w:footnote>
  <w:footnote w:type="continuationSeparator" w:id="0">
    <w:p w14:paraId="5A14332F" w14:textId="77777777" w:rsidR="00526DE9" w:rsidRDefault="00526DE9" w:rsidP="007E3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8F73" w14:textId="5354EED3" w:rsidR="007E3C54" w:rsidRDefault="007734FF">
    <w:pPr>
      <w:pStyle w:val="Header"/>
    </w:pPr>
    <w:r>
      <w:rPr>
        <w:noProof/>
      </w:rPr>
      <w:pict w14:anchorId="33FED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7563"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5F01" w14:textId="553E35FB" w:rsidR="007E3C54" w:rsidRDefault="007734FF">
    <w:pPr>
      <w:pStyle w:val="Header"/>
    </w:pPr>
    <w:r>
      <w:rPr>
        <w:noProof/>
      </w:rPr>
      <w:pict w14:anchorId="4A706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7564"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5301" w14:textId="4BD7EEEA" w:rsidR="007E3C54" w:rsidRDefault="007734FF">
    <w:pPr>
      <w:pStyle w:val="Header"/>
    </w:pPr>
    <w:r>
      <w:rPr>
        <w:noProof/>
      </w:rPr>
      <w:pict w14:anchorId="5AD581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97562"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AD536EA"/>
    <w:multiLevelType w:val="hybridMultilevel"/>
    <w:tmpl w:val="3F68F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LewMDYwsjQwMTNW0lEKTi0uzszPAykwrgUAdcpCsiwAAAA="/>
  </w:docVars>
  <w:rsids>
    <w:rsidRoot w:val="00B47730"/>
    <w:rsid w:val="00016C5A"/>
    <w:rsid w:val="00016C76"/>
    <w:rsid w:val="00034616"/>
    <w:rsid w:val="00043E6C"/>
    <w:rsid w:val="0006063C"/>
    <w:rsid w:val="00077030"/>
    <w:rsid w:val="00081541"/>
    <w:rsid w:val="00083E55"/>
    <w:rsid w:val="00097D52"/>
    <w:rsid w:val="000D414C"/>
    <w:rsid w:val="000E7BBA"/>
    <w:rsid w:val="000F0A97"/>
    <w:rsid w:val="000F1821"/>
    <w:rsid w:val="0015074B"/>
    <w:rsid w:val="00163B9D"/>
    <w:rsid w:val="00183217"/>
    <w:rsid w:val="001E1DA6"/>
    <w:rsid w:val="001F35AC"/>
    <w:rsid w:val="001F57DA"/>
    <w:rsid w:val="0021346D"/>
    <w:rsid w:val="00217623"/>
    <w:rsid w:val="002612E1"/>
    <w:rsid w:val="00282E58"/>
    <w:rsid w:val="0028770F"/>
    <w:rsid w:val="0029639D"/>
    <w:rsid w:val="002A5D34"/>
    <w:rsid w:val="003075B1"/>
    <w:rsid w:val="003205C8"/>
    <w:rsid w:val="00325D03"/>
    <w:rsid w:val="00326F90"/>
    <w:rsid w:val="00383B57"/>
    <w:rsid w:val="0044597E"/>
    <w:rsid w:val="0051212A"/>
    <w:rsid w:val="00526DE9"/>
    <w:rsid w:val="005E7F8E"/>
    <w:rsid w:val="0062547C"/>
    <w:rsid w:val="006306CD"/>
    <w:rsid w:val="00693962"/>
    <w:rsid w:val="006C373B"/>
    <w:rsid w:val="006F6BCD"/>
    <w:rsid w:val="00757D6C"/>
    <w:rsid w:val="0076181C"/>
    <w:rsid w:val="007734FF"/>
    <w:rsid w:val="00794D3E"/>
    <w:rsid w:val="007956C5"/>
    <w:rsid w:val="007A3DE7"/>
    <w:rsid w:val="007B742F"/>
    <w:rsid w:val="007D39A2"/>
    <w:rsid w:val="007E04B7"/>
    <w:rsid w:val="007E28D7"/>
    <w:rsid w:val="007E3C54"/>
    <w:rsid w:val="007E6C7F"/>
    <w:rsid w:val="0084362B"/>
    <w:rsid w:val="00850956"/>
    <w:rsid w:val="008741E6"/>
    <w:rsid w:val="00876909"/>
    <w:rsid w:val="00877437"/>
    <w:rsid w:val="008A3759"/>
    <w:rsid w:val="008E6A93"/>
    <w:rsid w:val="00995502"/>
    <w:rsid w:val="009A0E0C"/>
    <w:rsid w:val="009A2603"/>
    <w:rsid w:val="009B0F96"/>
    <w:rsid w:val="009C21B6"/>
    <w:rsid w:val="009F3518"/>
    <w:rsid w:val="00A0788C"/>
    <w:rsid w:val="00A5084F"/>
    <w:rsid w:val="00A66D61"/>
    <w:rsid w:val="00AA1D8D"/>
    <w:rsid w:val="00AA2CB1"/>
    <w:rsid w:val="00AB13E4"/>
    <w:rsid w:val="00AB527B"/>
    <w:rsid w:val="00AD51CB"/>
    <w:rsid w:val="00B21D47"/>
    <w:rsid w:val="00B337D9"/>
    <w:rsid w:val="00B47730"/>
    <w:rsid w:val="00B6200D"/>
    <w:rsid w:val="00B74AEA"/>
    <w:rsid w:val="00B773E8"/>
    <w:rsid w:val="00BC4528"/>
    <w:rsid w:val="00BD1FB7"/>
    <w:rsid w:val="00C1069B"/>
    <w:rsid w:val="00C110EC"/>
    <w:rsid w:val="00C24273"/>
    <w:rsid w:val="00C46259"/>
    <w:rsid w:val="00CB0664"/>
    <w:rsid w:val="00CD2D90"/>
    <w:rsid w:val="00CD4F39"/>
    <w:rsid w:val="00D211F0"/>
    <w:rsid w:val="00D237E5"/>
    <w:rsid w:val="00D46B28"/>
    <w:rsid w:val="00D56D79"/>
    <w:rsid w:val="00DB38F6"/>
    <w:rsid w:val="00DC25A4"/>
    <w:rsid w:val="00E30604"/>
    <w:rsid w:val="00E40205"/>
    <w:rsid w:val="00EF69AF"/>
    <w:rsid w:val="00F5433A"/>
    <w:rsid w:val="00F6244B"/>
    <w:rsid w:val="00F726EF"/>
    <w:rsid w:val="00F95024"/>
    <w:rsid w:val="00FC0791"/>
    <w:rsid w:val="00FC0CB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2817421"/>
  <w14:defaultImageDpi w14:val="300"/>
  <w15:docId w15:val="{D2018CEB-B33C-4FFB-9A98-D71E3C72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83217"/>
    <w:pPr>
      <w:spacing w:before="100" w:beforeAutospacing="1" w:after="100" w:afterAutospacing="1" w:line="240" w:lineRule="auto"/>
    </w:pPr>
    <w:rPr>
      <w:rFonts w:ascii="Times New Roman" w:eastAsia="Times New Roman" w:hAnsi="Times New Roman" w:cs="Times New Roman"/>
      <w:sz w:val="24"/>
      <w:szCs w:val="24"/>
      <w:lang w:val="en-IN" w:eastAsia="en-IN" w:bidi="ml-IN"/>
    </w:rPr>
  </w:style>
  <w:style w:type="character" w:styleId="Hyperlink">
    <w:name w:val="Hyperlink"/>
    <w:basedOn w:val="DefaultParagraphFont"/>
    <w:uiPriority w:val="99"/>
    <w:unhideWhenUsed/>
    <w:rsid w:val="003075B1"/>
    <w:rPr>
      <w:color w:val="0000FF"/>
      <w:u w:val="single"/>
    </w:rPr>
  </w:style>
  <w:style w:type="character" w:styleId="UnresolvedMention">
    <w:name w:val="Unresolved Mention"/>
    <w:basedOn w:val="DefaultParagraphFont"/>
    <w:uiPriority w:val="99"/>
    <w:semiHidden/>
    <w:unhideWhenUsed/>
    <w:rsid w:val="00876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556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1273-022-09857-5" TargetMode="External"/><Relationship Id="rId13" Type="http://schemas.openxmlformats.org/officeDocument/2006/relationships/hyperlink" Target="https://doi.org/10.1071/MF2401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7717/peerj.1895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b.kerala.gov.in/economic-review/ER2023/index.php" TargetMode="External"/><Relationship Id="rId5" Type="http://schemas.openxmlformats.org/officeDocument/2006/relationships/webSettings" Target="webSettings.xml"/><Relationship Id="rId15" Type="http://schemas.openxmlformats.org/officeDocument/2006/relationships/hyperlink" Target="https://doi.org/10.1016/j.jenvman.2021.112160" TargetMode="External"/><Relationship Id="rId23" Type="http://schemas.openxmlformats.org/officeDocument/2006/relationships/theme" Target="theme/theme1.xml"/><Relationship Id="rId10" Type="http://schemas.openxmlformats.org/officeDocument/2006/relationships/hyperlink" Target="https://doi.org/10.48550/arXiv.2305.0628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S0378-3774(00)00128-1" TargetMode="External"/><Relationship Id="rId14" Type="http://schemas.openxmlformats.org/officeDocument/2006/relationships/hyperlink" Target="https://doi.org/10.1016/j.ecoser.2024.10167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AE74-B085-4F09-9BA8-6E4C91C72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12</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1183</cp:lastModifiedBy>
  <cp:revision>71</cp:revision>
  <dcterms:created xsi:type="dcterms:W3CDTF">2025-07-18T10:29:00Z</dcterms:created>
  <dcterms:modified xsi:type="dcterms:W3CDTF">2025-08-21T08:58:00Z</dcterms:modified>
  <cp:category/>
</cp:coreProperties>
</file>