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39C" w:rsidRPr="008F603E" w:rsidRDefault="008F603E" w:rsidP="0079339C">
      <w:pPr>
        <w:jc w:val="both"/>
        <w:rPr>
          <w:rFonts w:ascii="Times New Roman" w:hAnsi="Times New Roman" w:cs="Times New Roman"/>
          <w:b/>
          <w:bCs/>
          <w:sz w:val="24"/>
          <w:szCs w:val="24"/>
        </w:rPr>
      </w:pPr>
      <w:r w:rsidRPr="008F603E">
        <w:rPr>
          <w:rFonts w:ascii="Times New Roman" w:hAnsi="Times New Roman" w:cs="Times New Roman"/>
          <w:b/>
          <w:bCs/>
        </w:rPr>
        <w:t>Advances in Precision Agriculture: A Review of Technologies, Applications and Future Prospects</w:t>
      </w:r>
    </w:p>
    <w:p w:rsidR="005E72E8" w:rsidRDefault="005E72E8" w:rsidP="005E72E8">
      <w:pPr>
        <w:jc w:val="both"/>
        <w:rPr>
          <w:rFonts w:ascii="Times New Roman" w:hAnsi="Times New Roman" w:cs="Times New Roman"/>
          <w:b/>
          <w:bCs/>
          <w:sz w:val="24"/>
          <w:szCs w:val="24"/>
        </w:rPr>
      </w:pPr>
    </w:p>
    <w:p w:rsidR="007E0843" w:rsidRPr="00D65EFE" w:rsidRDefault="007E0843" w:rsidP="007E0843">
      <w:pPr>
        <w:ind w:firstLine="720"/>
        <w:jc w:val="both"/>
        <w:rPr>
          <w:rFonts w:ascii="Times New Roman" w:hAnsi="Times New Roman" w:cs="Times New Roman"/>
          <w:sz w:val="24"/>
          <w:szCs w:val="24"/>
        </w:rPr>
      </w:pPr>
    </w:p>
    <w:p w:rsidR="005E72E8" w:rsidRPr="00E22036" w:rsidRDefault="005E72E8" w:rsidP="005E72E8">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Abstract: </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Precision agriculture represents a transformative approach to modern farming that integrates advanced technologies to optimize crop production while minimizing environmental impact. This comprehensive review examines the current state of precision agriculture technologies, their practical applications, and future development prospects. Key technologies including Global Positioning Systems (GPS), Geographic Information Systems (GIS), remote sensing, Variable Rate Technology (VRT), Internet of Things (IoT), and artificial intelligence are analyzed for their contributions to agricultural efficiency. The review synthesizes findings from recent research demonstrating significant improvements in resource utilization, with water savings of 20-50% and fertilizer reduction of 15-30% while maintaining or increasing yields. Major applications span soil mapping, crop health monitoring, automated irrigation, and harvest optimization. Despite substantial benefits, challenges including high initial investment costs, technical complexity, and data management issues persist. Future prospects indicate continued growth driven by emerging technologies such as autonomous machinery, blockchain integration, and advanced machine learning algorithms. This review provides stakeholders with a comprehensive understanding of precision agriculture's current capabilities and future potential in addressing global food security challenges while promoting sustainable agricultural practices.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b/>
          <w:bCs/>
          <w:sz w:val="24"/>
          <w:szCs w:val="24"/>
        </w:rPr>
        <w:t>Keywords:</w:t>
      </w:r>
      <w:r w:rsidRPr="008F603E">
        <w:rPr>
          <w:rFonts w:ascii="Times New Roman" w:hAnsi="Times New Roman" w:cs="Times New Roman"/>
          <w:sz w:val="24"/>
          <w:szCs w:val="24"/>
        </w:rPr>
        <w:t xml:space="preserve"> </w:t>
      </w:r>
      <w:r w:rsidRPr="00D46E4D">
        <w:rPr>
          <w:rFonts w:ascii="Times New Roman" w:hAnsi="Times New Roman" w:cs="Times New Roman"/>
          <w:i/>
          <w:iCs/>
          <w:sz w:val="24"/>
          <w:szCs w:val="24"/>
        </w:rPr>
        <w:t xml:space="preserve">Precision </w:t>
      </w:r>
      <w:r w:rsidR="00D46E4D" w:rsidRPr="00D46E4D">
        <w:rPr>
          <w:rFonts w:ascii="Times New Roman" w:hAnsi="Times New Roman" w:cs="Times New Roman"/>
          <w:i/>
          <w:iCs/>
          <w:sz w:val="24"/>
          <w:szCs w:val="24"/>
        </w:rPr>
        <w:t xml:space="preserve">Agriculture, </w:t>
      </w:r>
      <w:r w:rsidRPr="00D46E4D">
        <w:rPr>
          <w:rFonts w:ascii="Times New Roman" w:hAnsi="Times New Roman" w:cs="Times New Roman"/>
          <w:i/>
          <w:iCs/>
          <w:sz w:val="24"/>
          <w:szCs w:val="24"/>
        </w:rPr>
        <w:t xml:space="preserve">Remote </w:t>
      </w:r>
      <w:r w:rsidR="00D46E4D" w:rsidRPr="00D46E4D">
        <w:rPr>
          <w:rFonts w:ascii="Times New Roman" w:hAnsi="Times New Roman" w:cs="Times New Roman"/>
          <w:i/>
          <w:iCs/>
          <w:sz w:val="24"/>
          <w:szCs w:val="24"/>
        </w:rPr>
        <w:t xml:space="preserve">Sensing, </w:t>
      </w:r>
      <w:proofErr w:type="spellStart"/>
      <w:r w:rsidR="00D46E4D" w:rsidRPr="00D46E4D">
        <w:rPr>
          <w:rFonts w:ascii="Times New Roman" w:hAnsi="Times New Roman" w:cs="Times New Roman"/>
          <w:i/>
          <w:iCs/>
          <w:sz w:val="24"/>
          <w:szCs w:val="24"/>
        </w:rPr>
        <w:t>Iot</w:t>
      </w:r>
      <w:proofErr w:type="spellEnd"/>
      <w:r w:rsidR="00D46E4D" w:rsidRPr="00D46E4D">
        <w:rPr>
          <w:rFonts w:ascii="Times New Roman" w:hAnsi="Times New Roman" w:cs="Times New Roman"/>
          <w:i/>
          <w:iCs/>
          <w:sz w:val="24"/>
          <w:szCs w:val="24"/>
        </w:rPr>
        <w:t xml:space="preserve">, </w:t>
      </w:r>
      <w:r w:rsidRPr="00D46E4D">
        <w:rPr>
          <w:rFonts w:ascii="Times New Roman" w:hAnsi="Times New Roman" w:cs="Times New Roman"/>
          <w:i/>
          <w:iCs/>
          <w:sz w:val="24"/>
          <w:szCs w:val="24"/>
        </w:rPr>
        <w:t xml:space="preserve">Variable </w:t>
      </w:r>
      <w:r w:rsidR="00D46E4D" w:rsidRPr="00D46E4D">
        <w:rPr>
          <w:rFonts w:ascii="Times New Roman" w:hAnsi="Times New Roman" w:cs="Times New Roman"/>
          <w:i/>
          <w:iCs/>
          <w:sz w:val="24"/>
          <w:szCs w:val="24"/>
        </w:rPr>
        <w:t xml:space="preserve">Rate Technology, </w:t>
      </w:r>
      <w:r w:rsidRPr="00D46E4D">
        <w:rPr>
          <w:rFonts w:ascii="Times New Roman" w:hAnsi="Times New Roman" w:cs="Times New Roman"/>
          <w:i/>
          <w:iCs/>
          <w:sz w:val="24"/>
          <w:szCs w:val="24"/>
        </w:rPr>
        <w:t xml:space="preserve">Sustainable </w:t>
      </w:r>
      <w:r w:rsidR="00D46E4D" w:rsidRPr="00D46E4D">
        <w:rPr>
          <w:rFonts w:ascii="Times New Roman" w:hAnsi="Times New Roman" w:cs="Times New Roman"/>
          <w:i/>
          <w:iCs/>
          <w:sz w:val="24"/>
          <w:szCs w:val="24"/>
        </w:rPr>
        <w:t xml:space="preserve">Farming, </w:t>
      </w:r>
      <w:r w:rsidRPr="00D46E4D">
        <w:rPr>
          <w:rFonts w:ascii="Times New Roman" w:hAnsi="Times New Roman" w:cs="Times New Roman"/>
          <w:i/>
          <w:iCs/>
          <w:sz w:val="24"/>
          <w:szCs w:val="24"/>
        </w:rPr>
        <w:t xml:space="preserve">GPS </w:t>
      </w:r>
      <w:r w:rsidR="00D46E4D" w:rsidRPr="00D46E4D">
        <w:rPr>
          <w:rFonts w:ascii="Times New Roman" w:hAnsi="Times New Roman" w:cs="Times New Roman"/>
          <w:i/>
          <w:iCs/>
          <w:sz w:val="24"/>
          <w:szCs w:val="24"/>
        </w:rPr>
        <w:t xml:space="preserve">Technology, </w:t>
      </w:r>
      <w:r w:rsidRPr="00D46E4D">
        <w:rPr>
          <w:rFonts w:ascii="Times New Roman" w:hAnsi="Times New Roman" w:cs="Times New Roman"/>
          <w:i/>
          <w:iCs/>
          <w:sz w:val="24"/>
          <w:szCs w:val="24"/>
        </w:rPr>
        <w:t xml:space="preserve">Smart </w:t>
      </w:r>
      <w:r w:rsidR="00D46E4D" w:rsidRPr="00D46E4D">
        <w:rPr>
          <w:rFonts w:ascii="Times New Roman" w:hAnsi="Times New Roman" w:cs="Times New Roman"/>
          <w:i/>
          <w:iCs/>
          <w:sz w:val="24"/>
          <w:szCs w:val="24"/>
        </w:rPr>
        <w:t>Farming</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Introduction</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global agricultural sector faces unprecedented challenges in the 21st century, with the world population projected to reach 9.7 billion by 2050, necessitating a 70% increase in food production [1]. Simultaneously, agriculture must address environmental concerns, resource scarcity, and climate change impacts while maintaining economic viability for farmers. Precision agriculture (PA) has emerged as a revolutionary approach that promises to address these multifaceted challenges through the strategic integration of advanced technologies and data-driven decision-making processes.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Precision agriculture, also known as site-specific crop management (SSCM), represents a farming management concept based on observing, measuring, and responding to inter and intra-field variability in crops [2]. This approach fundamentally differs from traditional farming methods by recognizing that agricultural fields are heterogeneous systems requiring spatially variable management strategies. The evolution of precision agriculture began in the 1980s with the advent of GPS technology for agricultural applications and has since expanded to encompass a diverse array of technologies including remote sensing, variable rate application systems, yield monitoring, and advanced data analytics [3].</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The Indian agricultural context presents unique opportunities and challenges for precision agriculture adoption. With approximately 146 million agricultural holdings covering 179.9 million hectares, India's agricultural landscape is characterized by small and fragmented landholdings, with an average farm size of 1.23 hectares [4]. This fragmentation, combined with diverse agro-climatic zones and varying levels of technological adoption, creates a complex environment for precision agriculture implementation. However, government initiatives such as the Digital India program and the National Mission on Agricultural Extension and Technology have created favorable conditions for technological advancement in agriculture.</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economic implications of precision agriculture are substantial. Studies indicate that precision agriculture technologies can reduce input costs by 10-20% while increasing yields by 5-15%, resulting in improved profit margins for farmers [5]. In the Indian context, where agriculture contributes approximately 18% to the GDP and employs nearly 44% of the workforce, even modest improvements in agricultural efficiency can have significant socioeconomic impacts. Furthermore, precision agriculture technologies offer pathways to address critical issues such as groundwater depletion, soil degradation, and excessive chemical use that threaten the long-term sustainability of Indian agriculture.</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Environmental benefits constitute another compelling argument for precision agriculture adoption. Traditional blanket application of fertilizers and pesticides often results in over-application in some areas and under-application in others, leading to environmental pollution and suboptimal crop performance. Precision agriculture enables site-specific management that optimizes input use, reducing environmental impact while maintaining or improving productivity. Research has demonstrated that precision nitrogen management can reduce nitrous oxide emissions by up to 40% while maintaining crop yields [6].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technological foundation of precision agriculture encompasses various interconnected components. GPS technology provides accurate positioning information essential for mapping field variability and guiding equipment. Remote sensing platforms, including satellites, drones, and ground-based sensors, enable continuous monitoring of crop health and environmental conditions. Variable rate technology allows for the precise application of inputs based on spatial variability data. The Internet of Things (IoT) facilitates real-time data collection and communication between various system components. Artificial intelligence and machine learning algorithms process vast amounts of data to generate actionable insights and predictions [7].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This comprehensive review aims to synthesize current knowledge on precision agriculture technologies, evaluate their practical applications, and explore future development prospects. By examining both technological capabilities and implementation challenges, this review provides stakeholders including researchers, policymakers, farmers, and technology developers with insights necessary for advancing precision agriculture adoption. The review specifically addresses the Indian agricultural context while maintaining global relevance, recognizing that successful precision agriculture implementation requires adaptation to local conditions and constraints.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Historical Development and Evolution</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Early Beginnings (1980s-1990s)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The conceptual foundation of precision agriculture emerged in the early 1980s when researchers began exploring spatial variability in agricultural fields [8]. The availability of civilian GPS signals in 1983 marked a pivotal moment, enabling accurate field positioning for the first time. Early adopters in the United States and Europe began experimenting with yield monitoring systems and variable rate fertilizer applications. The development of geographic information systems (GIS) for agricultural applications during this period provided tools for spatial data analysis and visualization [9].</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Technology Integration Phase (2000s)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new millennium witnessed rapid technological advancement and integration in precision agriculture. Yield monitors became standard equipment on harvesters, providing detailed spatial yield data. Remote sensing technologies, particularly satellite imagery from platforms like Landsat and SPOT, became more accessible to farmers [10]. The development of prescription maps for variable rate applications gained momentum, supported by improved software tools and application equipment. This period also saw the emergence of agricultural service providers offering precision agriculture services to farmers lacking technical expertise or equipment.</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Digital Revolution Era (2010s-Present)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current phase of precision agriculture evolution is characterized by digital transformation and convergence of multiple technologies. The proliferation of smartphones and tablets has democratized access to precision agriculture tools through mobile applications [11]. Drone technology has emerged as a game-changer, providing high-resolution imagery at temporal frequencies impossible with satellite platforms. The Internet of Things (IoT) has enabled deployment of extensive sensor networks for real-time monitoring of soil moisture, weather conditions, and crop health. Cloud computing platforms facilitate storage and processing of massive agricultural datasets, while artificial intelligence and machine learning algorithms extract actionable insights from complex data patterns [12].</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Core Technologies in Precision Agriculture</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Global Positioning System (GPS) and Navigation</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technology forms the spatial foundation of precision agriculture, providing accurate positioning information essential for all location-based agricultural operations [13]. Modern agricultural GPS systems achieve sub-meter accuracy through differential correction techniques, with Real-Time Kinematic (RTK) systems providing centimeter-level precision. GPS-guided tractors and implements enable precise field operations including planting, spraying, and harvesting, reducing overlap and skip patterns that waste inputs and time. Auto-steering systems utilizing GPS have become increasingly sophisticated, allowing operators to focus on implement performance rather than steering accuracy.</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Remote Sensing Technologies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Remote sensing encompasses various platforms and sensors for monitoring crop and soil conditions without physical contact [14]. Satellite-based remote sensing provides broad spatial </w:t>
      </w:r>
      <w:r w:rsidRPr="008F603E">
        <w:rPr>
          <w:rFonts w:ascii="Times New Roman" w:hAnsi="Times New Roman" w:cs="Times New Roman"/>
          <w:sz w:val="24"/>
          <w:szCs w:val="24"/>
        </w:rPr>
        <w:lastRenderedPageBreak/>
        <w:t>coverage and regular temporal revisits, with platforms like Sentinel-2 offering free multispectral imagery at 10-meter resolution every five days. Unmanned Aerial Vehicles (UAVs) or drones equipped with multispectral, hyperspectral, or thermal cameras provide very high-resolution imagery (centimeter-level) on demand, enabling detection of subtle crop stress patterns. Ground-based sensors including proximal sensors mounted on tractors or stationary sensors in fields provide continuous monitoring of specific locations.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Variable Rate Technology (VRT)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VRT enables site-specific application of agricultural inputs based on spatial variability within fields [15]. Map-based VRT uses prescription maps created from various data sources to control application rates, while sensor-based VRT adjusts rates in real-time based on crop or soil sensors. Modern VRT systems can simultaneously vary multiple inputs, such as seed population and starter fertilizer, based on soil productivity zones. The technology has evolved from simple on-off control to sophisticated systems capable of varying rates continuously across fields with high spatial resolution.</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Internet of Things (IoT) and Sensor Networks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IoT technology has revolutionized data collection in precision agriculture through deployment of interconnected sensor networks [16]. Soil sensors monitor moisture, temperature, pH, and nutrient levels at multiple depths and locations within fields. Weather stations provide micro-climate data essential for pest and disease modeling. Crop sensors measure plant health indicators including normalized difference vegetation index (NDVI), leaf area index, and canopy temperature. Wireless communication protocols enable real-time data transmission to cloud platforms for processing and analysis. Edge computing capabilities in modern IoT devices allow preliminary data processing at the sensor level, reducing bandwidth requirements and enabling faster response times.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Data Analytics and Artificial Intelligence</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massive data volumes generated by precision agriculture technologies require sophisticated analytics tools for interpretation and decision support [17]. Machine learning algorithms identify patterns in historical yield data to predict future performance and optimize input recommendations. Deep learning models trained on imagery data can detect and classify weeds, diseases, and nutrient deficiencies with accuracy exceeding human experts. Predictive analytics combine multiple data sources including weather forecasts, soil conditions, and crop models to forecast optimal timing for field operations. Decision support systems integrate analytics outputs with economic considerations to recommend management strategies that maximize profitability while meeting sustainability goals.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Applications of Precision Agriculture</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Soil Mapping and Management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Precision soil mapping represents a fundamental application of PA technologies, providing detailed understanding of soil spatial variability [18]. Electromagnetic induction sensors measure soil electrical conductivity, correlating with texture, moisture, and salinity variations. Grid soil </w:t>
      </w:r>
      <w:r w:rsidRPr="008F603E">
        <w:rPr>
          <w:rFonts w:ascii="Times New Roman" w:hAnsi="Times New Roman" w:cs="Times New Roman"/>
          <w:sz w:val="24"/>
          <w:szCs w:val="24"/>
        </w:rPr>
        <w:lastRenderedPageBreak/>
        <w:t>sampling combined with GPS positioning creates detailed nutrient maps revealing pH, organic matter, and macro/micronutrient distributions. Digital soil mapping techniques integrate multiple data layers including topography, remote sensing, and point samples to predict soil properties at unsampled locations. Management zones delineated from soil maps enable targeted amendments, with lime applications varied according to pH requirements and fertilizer rates adjusted based on soil test values and yield potential.</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Crop Health Monitoring and Management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Real-time crop health assessment through precision agriculture technologies enables proactive management decisions [19]. Multispectral imagery captures reflectance in visible and near-infrared wavelengths, calculating vegetation indices that correlate with crop biomass, chlorophyll content, and stress levels. Thermal imaging detects water stress before visible symptoms appear, enabling precision irrigation scheduling. Hyperspectral sensors with hundreds of narrow spectral bands can identify specific nutrient deficiencies and early disease symptoms. Integration of imagery with crop growth models enables yield prediction and identification of yield-limiting factors throughout the growing season.</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Precision Irrigation Management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Water scarcity and irrigation efficiency concerns have driven rapid adoption of precision irrigation technologies [20]. Soil moisture sensor networks provide real-time data on water availability at multiple depths, informing irrigation timing and amounts. Variable rate irrigation systems adjust water application based on soil texture, topography, and crop requirements within fields. Integration with weather data and evapotranspiration models optimizes irrigation scheduling to maximize water use efficiency. Drone thermal imagery maps showing crop water stress patterns guide targeted irrigation applications. Studies demonstrate water savings of 20-50% through precision irrigation while maintaining or improving yields.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Pest and Disease Management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Precision technologies enable targeted pest and disease control, reducing pesticide use and environmental impact [21]. High-resolution imagery combined with machine learning algorithms detects pest infestations and disease outbreaks in early stages. GPS-guided spot spraying systems apply pesticides only to affected areas, reducing chemical use by up to 80% compared to blanket applications. Predictive models incorporating weather data, crop growth stage, and historical pest pressure forecast outbreak risks, enabling preventive treatments when most effective. Pheromone trap networks with IoT connectivity provide real-time pest population monitoring across regions.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Harvest Optimization and Yield Monitoring</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Yield monitoring systems on harvesters create detailed spatial yield maps revealing productivity patterns within fields [22]. Integration of yield data with other spatial information identifies yield-limiting factors and evaluates management practice effectiveness. Protein and moisture sensors on combines enable quality-based grain segregation during harvest. Predictive models forecast optimal harvest timing based on crop maturity, weather conditions, and grain moisture. Post-</w:t>
      </w:r>
      <w:r w:rsidRPr="008F603E">
        <w:rPr>
          <w:rFonts w:ascii="Times New Roman" w:hAnsi="Times New Roman" w:cs="Times New Roman"/>
          <w:sz w:val="24"/>
          <w:szCs w:val="24"/>
        </w:rPr>
        <w:lastRenderedPageBreak/>
        <w:t>harvest analysis of yield maps guides future management decisions including variety selection, plant population, and input rates for different field zones.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1: Comparison of Precision Agriculture Technologies</w:t>
      </w:r>
    </w:p>
    <w:tbl>
      <w:tblPr>
        <w:tblStyle w:val="TableGrid"/>
        <w:tblW w:w="0" w:type="auto"/>
        <w:tblLook w:val="04A0" w:firstRow="1" w:lastRow="0" w:firstColumn="1" w:lastColumn="0" w:noHBand="0" w:noVBand="1"/>
      </w:tblPr>
      <w:tblGrid>
        <w:gridCol w:w="1417"/>
        <w:gridCol w:w="1196"/>
        <w:gridCol w:w="1485"/>
        <w:gridCol w:w="1523"/>
        <w:gridCol w:w="1184"/>
        <w:gridCol w:w="1416"/>
        <w:gridCol w:w="1129"/>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Technology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Accuracy Level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Cost Range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Primary Applications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Adoption Rate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Technical Complexity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ROI Timeline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GPS/GNSS Systems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2-100 cm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$5,000-$30,000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Field mapping, guidance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 (75%)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1-2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Satellite Remote Sensing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10-30 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Free-$500/image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Crop monitoring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 (40%)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2-3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UAV/Drone Systems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 cm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$1,000-$50,000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Detailed scouting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Growing (30%)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2-4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IoT Sensors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Variable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$100-$500/unit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Real-time monitoring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 (15%)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VRT Equipment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Sub-meter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$15,000-$60,000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Input application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 (35%)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2-3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Yield Monitors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1-3 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Harvest data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 (60%)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1-2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AI/ML Platforms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N/A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$1,000-$10,000/year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Data analytics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 (10%)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 years</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2: Precision Agriculture Benefits Across Different Crop Systems</w:t>
      </w:r>
    </w:p>
    <w:tbl>
      <w:tblPr>
        <w:tblStyle w:val="TableGrid"/>
        <w:tblW w:w="0" w:type="auto"/>
        <w:tblLook w:val="04A0" w:firstRow="1" w:lastRow="0" w:firstColumn="1" w:lastColumn="0" w:noHBand="0" w:noVBand="1"/>
      </w:tblPr>
      <w:tblGrid>
        <w:gridCol w:w="1285"/>
        <w:gridCol w:w="1095"/>
        <w:gridCol w:w="1283"/>
        <w:gridCol w:w="1018"/>
        <w:gridCol w:w="1257"/>
        <w:gridCol w:w="1633"/>
        <w:gridCol w:w="1779"/>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Crop Type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Yield Increase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Input Reduction</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Water Savings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Labor Efficiency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Quality Improvement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Environmental Impact</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Wheat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8-15%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Protein optimization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 emission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Rice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5-12%</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Reduced broken grains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 methane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Maize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10-18%</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Uniform moisture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 N₂O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Cotton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12-20%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35-45%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Fiber quality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 pesticide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Sugarcane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Higher sucrose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 runoff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Vegetables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40-50%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Size uniformity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45% chemical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Fruits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35-50%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Brix levels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 spray reduction</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Implementation Challenges and Barriers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Economic Constraints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The high initial investment required for precision agriculture technologies remains a primary adoption barrier, particularly for small and marginal farmers [23]. Equipment costs including GPS </w:t>
      </w:r>
      <w:r w:rsidRPr="008F603E">
        <w:rPr>
          <w:rFonts w:ascii="Times New Roman" w:hAnsi="Times New Roman" w:cs="Times New Roman"/>
          <w:sz w:val="24"/>
          <w:szCs w:val="24"/>
        </w:rPr>
        <w:lastRenderedPageBreak/>
        <w:t>systems, sensors, and variable rate applicators can exceed $100,000 for full implementation. Return on investment periods typically range from 3-5 years, creating cash flow challenges for resource-constrained farmers. Service provider models offering precision agriculture as a service partially address this challenge but add operational costs. Economic analysis must consider not only direct cost savings but also risk reduction and long-term sustainability benefits.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Technical Complexity and Skill Requirements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Successful precision agriculture implementation requires significant technical knowledge spanning agronomy, technology, and data analysis [24]. Many farmers lack skills in GIS software, data interpretation, and technology troubleshooting. Training programs often focus on technology operation rather than data-driven decision making. The rapid pace of technological change necessitates continuous learning and adaptation. Language barriers and limited local language support in software interfaces compound challenges in non-English speaking regions. Technical support infrastructure remains inadequate in many rural areas.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Data Management and Integration Issues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proliferation of precision agriculture technologies has created data management challenges [25]. Different equipment manufacturers use proprietary data formats, hindering integration across platforms. Data volume from high-resolution sensors and imagery quickly exceeds storage and processing capabilities of farm-level systems. Internet connectivity limitations in rural areas restrict cloud-based solutions. Data ownership, privacy, and sharing concerns create barriers to collaborative approaches. Standardization efforts through initiatives like ISOBUS have made progress but full interoperability remains elusive.</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Infrastructure Limitations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Inadequate rural infrastructure significantly constrains precision agriculture adoption in developing regions [26]. Unreliable electricity supply affects equipment operation and data processing. Limited internet bandwidth prevents real-time data transmission and cloud computing utilization. Lack of trained technicians for equipment maintenance and repair increases downtime risks. Absence of local dealer networks for precision agriculture equipment creates procurement and support challenges. Road infrastructure limitations affect timely access to fields for precision operations.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3: Regional Adoption Patterns of Precision Agriculture</w:t>
      </w:r>
    </w:p>
    <w:tbl>
      <w:tblPr>
        <w:tblStyle w:val="TableGrid"/>
        <w:tblW w:w="0" w:type="auto"/>
        <w:tblLook w:val="04A0" w:firstRow="1" w:lastRow="0" w:firstColumn="1" w:lastColumn="0" w:noHBand="0" w:noVBand="1"/>
      </w:tblPr>
      <w:tblGrid>
        <w:gridCol w:w="1045"/>
        <w:gridCol w:w="1121"/>
        <w:gridCol w:w="1472"/>
        <w:gridCol w:w="1158"/>
        <w:gridCol w:w="1673"/>
        <w:gridCol w:w="1446"/>
        <w:gridCol w:w="1435"/>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Region</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Adoption Rate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Primary Technologies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Key Crops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Main Drivers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Major Barriers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Government Support</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North America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60-80%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VRT, Yield monitoring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Corn, Soybean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Large farms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Data privacy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Moderate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Europe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40-60%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Remote sensing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Wheat, Barley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Environmental regulations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Small farms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South America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30-50%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Satellite imagery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Soybean, Sugarcane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Export competitiveness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Infrastructure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Low-Moderate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Asia-Pacific</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Drones, IoT sensors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Rice, Cotton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 shortage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Technical skills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Growing</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India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5-15%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Mobile apps, Drones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Rice, Wheat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Water scarcity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Farm size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Increasing</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Africa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2-10%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Mobile platforms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Maize, Cassava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Food security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Cost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Limited</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Australia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50-70%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VRT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Wheat, Cotton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Climate variability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Connectivity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Moderate</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Environmental Impact and Sustainability</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Resource Conservation Benefits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Precision agriculture technologies demonstrate significant potential for natural resource conservation [27]. Precision nutrient management reduces fertilizer application by 15-30% while maintaining yields, decreasing both input costs and environmental pollution. Variable rate irrigation systems achieve water savings of 20-50% compared to uniform application methods. Reduced chemical inputs through targeted pest management decrease pesticide loads in water bodies and soil. Conservation of resources extends equipment life through optimized field operations and reduced wear. Life cycle assessments indicate precision agriculture can reduce overall environmental footprint by 20-40%.</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Greenhouse Gas Emission Reduction</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Climate change mitigation through precision agriculture represents an important co-benefit [28]. Optimized nitrogen fertilization reduces nitrous oxide emissions, a potent greenhouse gas with 298 times the warming potential of CO₂. Precision tillage and controlled traffic farming decrease fuel consumption and associated CO₂ emissions by 15-25%. Improved irrigation efficiency reduces energy requirements for water pumping. Carbon sequestration increases through site-specific cover crop management and reduced soil disturbance. Remote sensing enables participation in carbon credit programs through verified emission reductions.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Biodiversity and Ecosystem Services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Precision agriculture practices support biodiversity conservation and ecosystem service provision [29]. Targeted pesticide applications preserve beneficial insects and natural pest predators. Variable rate seeding creates habitat heterogeneity supporting diverse species. Precision conservation practices including buffer strips and wetlands can be optimally placed using spatial data. Reduced chemical runoff protects aquatic ecosystems and drinking water quality. Integration of ecological principles with precision technologies enables sustainable intensification meeting production and conservation goals.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4: Economic Analysis of Precision Agriculture Implementation</w:t>
      </w:r>
    </w:p>
    <w:tbl>
      <w:tblPr>
        <w:tblStyle w:val="TableGrid"/>
        <w:tblW w:w="0" w:type="auto"/>
        <w:tblLook w:val="04A0" w:firstRow="1" w:lastRow="0" w:firstColumn="1" w:lastColumn="0" w:noHBand="0" w:noVBand="1"/>
      </w:tblPr>
      <w:tblGrid>
        <w:gridCol w:w="1623"/>
        <w:gridCol w:w="1467"/>
        <w:gridCol w:w="1473"/>
        <w:gridCol w:w="1208"/>
        <w:gridCol w:w="1189"/>
        <w:gridCol w:w="1041"/>
        <w:gridCol w:w="1349"/>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lastRenderedPageBreak/>
              <w:t>Technology Component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Initial Investment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Annual Operating Cost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Payback Period</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Annual Savings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Yield Impact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Risk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Basic GPS Guidance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$15,000-25,000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$500-1,000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2-3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$5,000-10,000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Variable Rate Fertilizer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$30,000-50,000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3-4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5-10%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Yield Monitoring System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$500-1,500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2-3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$3,000-7,000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2-4%</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Drone Scouting Service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$5,000-10,000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$3,000-6,000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2-4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$4,000-8,000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3-7%</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IoT Sensor Network</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$10,000-30,000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$1,000-3,000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4-5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$5,000-12,000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5-8%</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Integrated PA System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$80,000-150,000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4-6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$20,000-40,000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High</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AI/ML Analytics Platform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$5,000-20,000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$2,000-10,000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5-15%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Future Prospects and Emerging Technologies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Autonomous Agricultural Machinery</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development of autonomous agricultural machinery represents the next frontier in precision agriculture [30]. Fully autonomous tractors and implements equipped with advanced sensors, GPS, and AI navigate fields without human operators. Swarm robotics concepts enable multiple small robots to collaborate on tasks like planting, weeding, and harvesting. Machine vision systems identify and selectively harvest ripe produce, addressing labor shortages. Safety systems including obstacle detection and geofencing ensure safe autonomous operation. Commercial deployment of autonomous systems is expected to accelerate through the 2020s as technology matures and regulatory frameworks develop.</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Artificial Intelligence and Deep Learning</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Advanced AI applications in precision agriculture continue expanding beyond current capabilities [31]. Generative AI models create synthetic training data for rare pest and disease conditions, improving detection algorithms. Reinforcement learning optimizes multi-objective decisions balancing yield, profit, and environmental goals. Natural language processing enables conversational interfaces for farm management systems. Federated learning approaches allow model training on distributed farm data while preserving privacy. Explainable AI techniques provide transparency in recommendations, building farmer trust and enabling knowledge transfer.</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Blockchain and Digital Agriculture</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Blockchain technology promises to revolutionize agricultural supply chains and data management [32]. Immutable records of production practices enable traceability from farm to consumer. Smart </w:t>
      </w:r>
      <w:r w:rsidRPr="008F603E">
        <w:rPr>
          <w:rFonts w:ascii="Times New Roman" w:hAnsi="Times New Roman" w:cs="Times New Roman"/>
          <w:sz w:val="24"/>
          <w:szCs w:val="24"/>
        </w:rPr>
        <w:lastRenderedPageBreak/>
        <w:t>contracts automate payments based on quality parameters verified through IoT sensors. Decentralized data platforms give farmers control over their information while enabling secure sharing. Carbon credit verification and trading become transparent and efficient through blockchain systems. Integration with precision agriculture data creates trusted sustainability credentials for premium market access.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Advanced Biotechnology Integration</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The convergence of precision agriculture with biotechnology opens new possibilities [33]. Gene-edited crops optimized for specific field zones maximize precision agriculture benefits. Microbial sensors detect beneficial and pathogenic organisms in real-time. Precision application of biologicals including beneficial microbes and </w:t>
      </w:r>
      <w:proofErr w:type="spellStart"/>
      <w:r w:rsidRPr="008F603E">
        <w:rPr>
          <w:rFonts w:ascii="Times New Roman" w:hAnsi="Times New Roman" w:cs="Times New Roman"/>
          <w:sz w:val="24"/>
          <w:szCs w:val="24"/>
        </w:rPr>
        <w:t>biostimulants</w:t>
      </w:r>
      <w:proofErr w:type="spellEnd"/>
      <w:r w:rsidRPr="008F603E">
        <w:rPr>
          <w:rFonts w:ascii="Times New Roman" w:hAnsi="Times New Roman" w:cs="Times New Roman"/>
          <w:sz w:val="24"/>
          <w:szCs w:val="24"/>
        </w:rPr>
        <w:t xml:space="preserve"> enhances their effectiveness. Plant phenotyping platforms combine with genomic data to accelerate variety development for precision management. Synthetic biology approaches create novel bio-sensors for continuous crop monitoring.</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5: Emerging Technologies Timeline and Impact Potential</w:t>
      </w:r>
    </w:p>
    <w:tbl>
      <w:tblPr>
        <w:tblStyle w:val="TableGrid"/>
        <w:tblW w:w="0" w:type="auto"/>
        <w:tblLook w:val="04A0" w:firstRow="1" w:lastRow="0" w:firstColumn="1" w:lastColumn="0" w:noHBand="0" w:noVBand="1"/>
      </w:tblPr>
      <w:tblGrid>
        <w:gridCol w:w="1261"/>
        <w:gridCol w:w="1698"/>
        <w:gridCol w:w="1283"/>
        <w:gridCol w:w="991"/>
        <w:gridCol w:w="1383"/>
        <w:gridCol w:w="1485"/>
        <w:gridCol w:w="1249"/>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Technology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Current Status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Commercial Timeline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Impact Potential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Investment Required</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Technical Barriers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Adoption Factors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Autonomous Tractors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Prototype/Limited commercial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2025-2030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$200,000-500,000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Safety regulations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 costs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AI Crop Advisors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Early deployment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2023-2025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$10,000-50,000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Data quality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Ease of use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Blockchain Traceability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Pilot projects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2025-2028</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$20,000-100,000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Standardization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Market premiums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Quantum Sensors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Research phase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2030-2035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$100,000-1M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Miniaturization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Performance gains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Robotic Harvesters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Commercial for some crops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2024-2027</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$150,000-400,000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Crop damage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 shortage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5G Rural Networks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Infrastructure building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2025-2030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Infrastructure-level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Coverage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Government policy</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proofErr w:type="spellStart"/>
            <w:r w:rsidRPr="008F603E">
              <w:rPr>
                <w:rFonts w:ascii="Times New Roman" w:hAnsi="Times New Roman" w:cs="Times New Roman"/>
                <w:sz w:val="24"/>
                <w:szCs w:val="24"/>
              </w:rPr>
              <w:t>Nanosensors</w:t>
            </w:r>
            <w:proofErr w:type="spellEnd"/>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Laboratory testing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2028-2033</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$50,000-200,000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Manufacturing scale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Cost reduction</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Case Studies and Success Stories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Case Study 1: Precision Rice Cultivation in Punjab, India</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A 500-hectare rice farm in Punjab implemented integrated precision agriculture technologies starting in 2018 [34]. Deployment included GPS-guided laser land leveling, drone-based crop monitoring, and IoT-based water management systems. Results after three years showed 22% water savings through precision irrigation, 18% reduction in fertilizer use via variable rate application, and 15% yield increase through optimized management. Economic analysis revealed </w:t>
      </w:r>
      <w:r w:rsidRPr="008F603E">
        <w:rPr>
          <w:rFonts w:ascii="Times New Roman" w:hAnsi="Times New Roman" w:cs="Times New Roman"/>
          <w:sz w:val="24"/>
          <w:szCs w:val="24"/>
        </w:rPr>
        <w:lastRenderedPageBreak/>
        <w:t>35% improvement in net returns despite initial technology investments of ₹50 lakhs. The success led to formation of a farmer producer organization offering precision agriculture services to 50 neighboring farms.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Case Study 2: Variable Rate Technology in Australian Wheat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 5,000-hectare wheat operation in Western Australia adopted comprehensive precision agriculture systems focusing on variable rate technology [35]. Detailed soil mapping identified three distinct management zones based on soil texture and water holding capacity. Variable rate seeding adjusted plant populations from 60-100 kg/ha based on yield potential. Nitrogen applications varied from 40-120 kg/ha using real-time crop sensors. Five-year results demonstrated 12% yield increase, 25% reduction in seed costs, and 30% improvement in nitrogen use efficiency. Gross margins improved by AUD $85/ha average across the farm.</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Case Study 3: IoT-Enabled Vineyard Management in California</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 premium wine grape producer in Napa Valley deployed comprehensive IoT sensor networks across 200 hectares of vineyards [36]. Soil moisture sensors at 60 locations enabled precision deficit irrigation management. Microclimate stations captured temperature variations influencing grape phenology. Multispectral imagery from drones guided selective harvesting based on grape maturity. Integration with AI-powered disease prediction models reduced fungicide applications by 40%. Wine quality scores improved consistently while water use decreased by 35%. Return on technology investment of $500,000 was achieved within four years through premium wine prices and resource savings.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6: Comparative Analysis of PA Implementation Models</w:t>
      </w:r>
    </w:p>
    <w:tbl>
      <w:tblPr>
        <w:tblStyle w:val="TableGrid"/>
        <w:tblW w:w="0" w:type="auto"/>
        <w:tblLook w:val="04A0" w:firstRow="1" w:lastRow="0" w:firstColumn="1" w:lastColumn="0" w:noHBand="0" w:noVBand="1"/>
      </w:tblPr>
      <w:tblGrid>
        <w:gridCol w:w="1883"/>
        <w:gridCol w:w="1593"/>
        <w:gridCol w:w="1429"/>
        <w:gridCol w:w="1098"/>
        <w:gridCol w:w="1040"/>
        <w:gridCol w:w="1297"/>
        <w:gridCol w:w="1010"/>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Implementation Model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Capital Requirement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Technical Support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Suitable Farm Size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Risk Level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Scalability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Success Rate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Individual Ownership</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Self-managed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&gt;500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Limited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40-50%</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Cooperative Model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Shared expertise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50-500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Good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60-70%</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Service Provider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Professional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Any size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Excellent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70-80%</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Lease/Rental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Vendor support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&gt;100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Good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55-65%</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Government Subsidy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Extension support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&lt;100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Moderate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65-75%</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Corporate Farming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In-house team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&gt;1000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Limited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80-90%</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Custom Operators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Outsourced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Any size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Excellent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75-85%</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Policy Implications and Recommendations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Government Support Mechanisms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Effective government policies can accelerate precision agriculture adoption while addressing implementation barriers [37]. Subsidy programs for precision agriculture equipment reduce initial investment barriers for small farmers. Tax incentives for technology adoption and training encourage private sector investment. Public funding for rural broadband infrastructure enables cloud-based precision agriculture services. Research grants supporting local adaptation of global technologies ensure relevance to regional conditions. Extension services require restructuring to include precision agriculture training and support. Public-private partnerships can establish demonstration farms showcasing technology benefits.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Regulatory Framework Development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Comprehensive regulatory frameworks must balance innovation promotion with risk management [38]. Drone regulations should facilitate agricultural use while ensuring aviation safety. Data privacy laws must protect farmer information while enabling beneficial data sharing. Environmental regulations can incentivize precision agriculture adoption through reduced compliance burden for verified sustainable practices. Standardization of data formats and communication protocols ensures interoperability. Certification programs for precision agriculture service providers ensure quality and build farmer confidence. Insurance products recognizing precision agriculture risk reduction encourage adoption.</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Education and Capacity Building</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Human capital development remains critical for successful precision agriculture scaling [39]. Agricultural education curricula from secondary to university levels must integrate precision agriculture concepts. Practical training programs combining classroom and field experiences develop necessary skills. Multi-stakeholder partnerships between educational institutions, technology companies, and farmer organizations enhance training effectiveness. Online learning platforms provide accessible continuous education opportunities. Youth engagement programs attract tech-savvy generations to agriculture. International cooperation facilitates knowledge exchange and technology transfer.</w:t>
      </w:r>
    </w:p>
    <w:p w:rsidR="008F603E" w:rsidRPr="008F603E" w:rsidRDefault="008F603E" w:rsidP="008F603E">
      <w:pPr>
        <w:jc w:val="both"/>
        <w:rPr>
          <w:rFonts w:ascii="Times New Roman" w:hAnsi="Times New Roman" w:cs="Times New Roman"/>
          <w:b/>
          <w:bCs/>
          <w:sz w:val="24"/>
          <w:szCs w:val="24"/>
        </w:rPr>
      </w:pPr>
      <w:bookmarkStart w:id="0" w:name="_GoBack"/>
      <w:r w:rsidRPr="008F603E">
        <w:rPr>
          <w:rFonts w:ascii="Times New Roman" w:hAnsi="Times New Roman" w:cs="Times New Roman"/>
          <w:b/>
          <w:bCs/>
          <w:sz w:val="24"/>
          <w:szCs w:val="24"/>
        </w:rPr>
        <w:t>Table</w:t>
      </w:r>
      <w:bookmarkEnd w:id="0"/>
      <w:r w:rsidRPr="008F603E">
        <w:rPr>
          <w:rFonts w:ascii="Times New Roman" w:hAnsi="Times New Roman" w:cs="Times New Roman"/>
          <w:b/>
          <w:bCs/>
          <w:sz w:val="24"/>
          <w:szCs w:val="24"/>
        </w:rPr>
        <w:t xml:space="preserve"> 7: Global Policy Frameworks Supporting Precision Agriculture</w:t>
      </w:r>
    </w:p>
    <w:tbl>
      <w:tblPr>
        <w:tblStyle w:val="TableGrid"/>
        <w:tblW w:w="0" w:type="auto"/>
        <w:tblLook w:val="04A0" w:firstRow="1" w:lastRow="0" w:firstColumn="1" w:lastColumn="0" w:noHBand="0" w:noVBand="1"/>
      </w:tblPr>
      <w:tblGrid>
        <w:gridCol w:w="1625"/>
        <w:gridCol w:w="1306"/>
        <w:gridCol w:w="1159"/>
        <w:gridCol w:w="1431"/>
        <w:gridCol w:w="1613"/>
        <w:gridCol w:w="989"/>
        <w:gridCol w:w="1227"/>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Country/Region</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Key Policies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Funding Level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Focus Areas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Implementation Period</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Success Metrics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Challenges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European Union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CAP Eco-schemes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€270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Environmental sustainability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2023-2027</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 adoption target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Small farm integration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United States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USDA Conservation Programs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 billion/year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Resource conservation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Ongoing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 practice adoption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Data privacy concerns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China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Digital Agriculture Plan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Technology development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2021-2025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 large farm adoption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Technical standards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India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Digital Agriculture Mission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 crore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Infrastructure, training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2021-2026</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 PA hubs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Farmer awareness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Brazil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ABC+ Plan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R$5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Climate adaptation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2020-2030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72M ha coverage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Regional disparities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Japan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Smart Agriculture Initiative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Robotics, AI</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2020-2025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 reduction 50%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Aging farmers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Australia</w:t>
            </w:r>
          </w:p>
        </w:tc>
        <w:tc>
          <w:tcPr>
            <w:tcW w:w="0" w:type="auto"/>
            <w:hideMark/>
          </w:tcPr>
          <w:p w:rsidR="008F603E" w:rsidRPr="008F603E" w:rsidRDefault="008F603E" w:rsidP="008F603E">
            <w:pPr>
              <w:jc w:val="both"/>
              <w:rPr>
                <w:rFonts w:ascii="Times New Roman" w:hAnsi="Times New Roman" w:cs="Times New Roman"/>
                <w:sz w:val="24"/>
                <w:szCs w:val="24"/>
              </w:rPr>
            </w:pPr>
            <w:proofErr w:type="spellStart"/>
            <w:r w:rsidRPr="008F603E">
              <w:rPr>
                <w:rFonts w:ascii="Times New Roman" w:hAnsi="Times New Roman" w:cs="Times New Roman"/>
                <w:sz w:val="24"/>
                <w:szCs w:val="24"/>
              </w:rPr>
              <w:t>AgTech</w:t>
            </w:r>
            <w:proofErr w:type="spellEnd"/>
            <w:r w:rsidRPr="008F603E">
              <w:rPr>
                <w:rFonts w:ascii="Times New Roman" w:hAnsi="Times New Roman" w:cs="Times New Roman"/>
                <w:sz w:val="24"/>
                <w:szCs w:val="24"/>
              </w:rPr>
              <w:t xml:space="preserve"> Strategy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AUD 2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Innovation, adoption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2022-2030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Double PA usage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Rural connectivity</w:t>
            </w:r>
          </w:p>
        </w:tc>
      </w:tr>
    </w:tbl>
    <w:p w:rsidR="000A3FDC"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1: Evolution of Precision Agriculture Technologies</w:t>
      </w:r>
    </w:p>
    <w:p w:rsidR="00D46E4D" w:rsidRPr="00D46E4D" w:rsidRDefault="00D46E4D" w:rsidP="00D46E4D">
      <w:pPr>
        <w:spacing w:before="100" w:beforeAutospacing="1" w:after="100" w:afterAutospacing="1" w:line="240" w:lineRule="auto"/>
        <w:jc w:val="center"/>
        <w:rPr>
          <w:rFonts w:ascii="Times New Roman" w:eastAsia="Times New Roman" w:hAnsi="Times New Roman" w:cs="Times New Roman"/>
          <w:sz w:val="24"/>
          <w:szCs w:val="24"/>
          <w:lang w:bidi="hi-IN"/>
        </w:rPr>
      </w:pPr>
      <w:r w:rsidRPr="00D46E4D">
        <w:rPr>
          <w:rFonts w:ascii="Times New Roman" w:eastAsia="Times New Roman" w:hAnsi="Times New Roman" w:cs="Times New Roman"/>
          <w:noProof/>
          <w:sz w:val="24"/>
          <w:szCs w:val="24"/>
        </w:rPr>
        <w:drawing>
          <wp:inline distT="0" distB="0" distL="0" distR="0">
            <wp:extent cx="4962525" cy="2181330"/>
            <wp:effectExtent l="0" t="0" r="0" b="9525"/>
            <wp:docPr id="1" name="Picture 1" descr="C:\Users\Lenovo\AppData\Local\Temp\{1462426D-DECC-465B-A46C-EDD5000A6E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462426D-DECC-465B-A46C-EDD5000A6E8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3743" cy="2190656"/>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2: Precision Agriculture System Components</w:t>
      </w:r>
    </w:p>
    <w:p w:rsidR="00D46E4D" w:rsidRPr="00D46E4D" w:rsidRDefault="00D46E4D" w:rsidP="00D46E4D">
      <w:pPr>
        <w:spacing w:before="100" w:beforeAutospacing="1" w:after="100" w:afterAutospacing="1" w:line="240" w:lineRule="auto"/>
        <w:jc w:val="center"/>
        <w:rPr>
          <w:rFonts w:ascii="Times New Roman" w:eastAsia="Times New Roman" w:hAnsi="Times New Roman" w:cs="Times New Roman"/>
          <w:sz w:val="24"/>
          <w:szCs w:val="24"/>
          <w:lang w:bidi="hi-IN"/>
        </w:rPr>
      </w:pPr>
      <w:r w:rsidRPr="00D46E4D">
        <w:rPr>
          <w:rFonts w:ascii="Times New Roman" w:eastAsia="Times New Roman" w:hAnsi="Times New Roman" w:cs="Times New Roman"/>
          <w:noProof/>
          <w:sz w:val="24"/>
          <w:szCs w:val="24"/>
        </w:rPr>
        <w:lastRenderedPageBreak/>
        <w:drawing>
          <wp:inline distT="0" distB="0" distL="0" distR="0">
            <wp:extent cx="5486400" cy="2588290"/>
            <wp:effectExtent l="0" t="0" r="0" b="2540"/>
            <wp:docPr id="2" name="Picture 2" descr="C:\Users\Lenovo\Downloads\Components-of-Precision-Agricultural-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Components-of-Precision-Agricultural-Syste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69" cy="2594314"/>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3: Global PA Adoption Rates</w:t>
      </w:r>
    </w:p>
    <w:p w:rsidR="00D46E4D" w:rsidRPr="00D46E4D" w:rsidRDefault="00D46E4D" w:rsidP="00D46E4D">
      <w:pPr>
        <w:spacing w:before="100" w:beforeAutospacing="1" w:after="100" w:afterAutospacing="1" w:line="240" w:lineRule="auto"/>
        <w:jc w:val="center"/>
        <w:rPr>
          <w:rFonts w:ascii="Times New Roman" w:eastAsia="Times New Roman" w:hAnsi="Times New Roman" w:cs="Times New Roman"/>
          <w:sz w:val="24"/>
          <w:szCs w:val="24"/>
          <w:lang w:bidi="hi-IN"/>
        </w:rPr>
      </w:pPr>
      <w:r w:rsidRPr="00D46E4D">
        <w:rPr>
          <w:rFonts w:ascii="Times New Roman" w:eastAsia="Times New Roman" w:hAnsi="Times New Roman" w:cs="Times New Roman"/>
          <w:noProof/>
          <w:sz w:val="24"/>
          <w:szCs w:val="24"/>
        </w:rPr>
        <w:drawing>
          <wp:inline distT="0" distB="0" distL="0" distR="0">
            <wp:extent cx="4242411" cy="2343150"/>
            <wp:effectExtent l="0" t="0" r="6350" b="0"/>
            <wp:docPr id="3" name="Picture 3" descr="C:\Users\Lenovo\AppData\Local\Temp\{344AC860-7862-4239-8382-8012CD6861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Temp\{344AC860-7862-4239-8382-8012CD6861D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257" cy="2346379"/>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4: Economic Benefits Analysis</w:t>
      </w:r>
    </w:p>
    <w:p w:rsidR="00D46E4D" w:rsidRPr="00D46E4D" w:rsidRDefault="00D46E4D" w:rsidP="00EA342C">
      <w:pPr>
        <w:spacing w:before="100" w:beforeAutospacing="1" w:after="100" w:afterAutospacing="1" w:line="240" w:lineRule="auto"/>
        <w:jc w:val="center"/>
        <w:rPr>
          <w:rFonts w:ascii="Times New Roman" w:eastAsia="Times New Roman" w:hAnsi="Times New Roman" w:cs="Times New Roman"/>
          <w:sz w:val="24"/>
          <w:szCs w:val="24"/>
          <w:lang w:bidi="hi-IN"/>
        </w:rPr>
      </w:pPr>
      <w:r w:rsidRPr="00D46E4D">
        <w:rPr>
          <w:rFonts w:ascii="Times New Roman" w:eastAsia="Times New Roman" w:hAnsi="Times New Roman" w:cs="Times New Roman"/>
          <w:noProof/>
          <w:sz w:val="24"/>
          <w:szCs w:val="24"/>
        </w:rPr>
        <w:lastRenderedPageBreak/>
        <w:drawing>
          <wp:inline distT="0" distB="0" distL="0" distR="0">
            <wp:extent cx="4495800" cy="2444080"/>
            <wp:effectExtent l="0" t="0" r="0" b="0"/>
            <wp:docPr id="4" name="Picture 4" descr="C:\Users\Lenovo\Downloads\sustainability-16-00820-g001-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sustainability-16-00820-g001-5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1036" cy="2446927"/>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5: Environmental Impact Reduction</w:t>
      </w:r>
    </w:p>
    <w:p w:rsidR="00EA342C" w:rsidRPr="00EA342C" w:rsidRDefault="00EA342C" w:rsidP="00EA342C">
      <w:pPr>
        <w:spacing w:before="100" w:beforeAutospacing="1" w:after="100" w:afterAutospacing="1" w:line="240" w:lineRule="auto"/>
        <w:jc w:val="center"/>
        <w:rPr>
          <w:rFonts w:ascii="Times New Roman" w:eastAsia="Times New Roman" w:hAnsi="Times New Roman" w:cs="Times New Roman"/>
          <w:sz w:val="24"/>
          <w:szCs w:val="24"/>
          <w:lang w:bidi="hi-IN"/>
        </w:rPr>
      </w:pPr>
      <w:r w:rsidRPr="00EA342C">
        <w:rPr>
          <w:rFonts w:ascii="Times New Roman" w:eastAsia="Times New Roman" w:hAnsi="Times New Roman" w:cs="Times New Roman"/>
          <w:noProof/>
          <w:sz w:val="24"/>
          <w:szCs w:val="24"/>
        </w:rPr>
        <w:drawing>
          <wp:inline distT="0" distB="0" distL="0" distR="0">
            <wp:extent cx="4143375" cy="2767775"/>
            <wp:effectExtent l="0" t="0" r="0" b="0"/>
            <wp:docPr id="5" name="Picture 5" descr="C:\Users\Lenovo\Downloads\reduce-your-environmental-imp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reduce-your-environmental-impac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9891" cy="2772128"/>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6: Data Analytics Workflow</w:t>
      </w:r>
    </w:p>
    <w:p w:rsidR="00EA342C" w:rsidRPr="00EA342C" w:rsidRDefault="00EA342C" w:rsidP="00EA342C">
      <w:pPr>
        <w:spacing w:before="100" w:beforeAutospacing="1" w:after="100" w:afterAutospacing="1" w:line="240" w:lineRule="auto"/>
        <w:rPr>
          <w:rFonts w:ascii="Times New Roman" w:eastAsia="Times New Roman" w:hAnsi="Times New Roman" w:cs="Times New Roman"/>
          <w:sz w:val="24"/>
          <w:szCs w:val="24"/>
          <w:lang w:bidi="hi-IN"/>
        </w:rPr>
      </w:pPr>
      <w:r w:rsidRPr="00EA342C">
        <w:rPr>
          <w:rFonts w:ascii="Times New Roman" w:eastAsia="Times New Roman" w:hAnsi="Times New Roman" w:cs="Times New Roman"/>
          <w:noProof/>
          <w:sz w:val="24"/>
          <w:szCs w:val="24"/>
        </w:rPr>
        <w:drawing>
          <wp:inline distT="0" distB="0" distL="0" distR="0">
            <wp:extent cx="4733925" cy="1787753"/>
            <wp:effectExtent l="0" t="0" r="0" b="3175"/>
            <wp:docPr id="6" name="Picture 6" descr="C:\Users\Lenovo\Downloads\Workflow-of-Big-data-Analytics-Data-warehouses-store-massive-amounts-of-data-gener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Workflow-of-Big-data-Analytics-Data-warehouses-store-massive-amounts-of-data-generat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0713" cy="1794093"/>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lastRenderedPageBreak/>
        <w:t>Figure 7: Future Technology Roadmap</w:t>
      </w:r>
    </w:p>
    <w:p w:rsidR="00F6734E" w:rsidRPr="00F6734E" w:rsidRDefault="00F6734E" w:rsidP="00F6734E">
      <w:pPr>
        <w:spacing w:before="100" w:beforeAutospacing="1" w:after="100" w:afterAutospacing="1" w:line="240" w:lineRule="auto"/>
        <w:jc w:val="center"/>
        <w:rPr>
          <w:rFonts w:ascii="Times New Roman" w:eastAsia="Times New Roman" w:hAnsi="Times New Roman" w:cs="Times New Roman"/>
          <w:sz w:val="24"/>
          <w:szCs w:val="24"/>
          <w:lang w:bidi="hi-IN"/>
        </w:rPr>
      </w:pPr>
      <w:r w:rsidRPr="00F6734E">
        <w:rPr>
          <w:rFonts w:ascii="Times New Roman" w:eastAsia="Times New Roman" w:hAnsi="Times New Roman" w:cs="Times New Roman"/>
          <w:noProof/>
          <w:sz w:val="24"/>
          <w:szCs w:val="24"/>
        </w:rPr>
        <w:drawing>
          <wp:inline distT="0" distB="0" distL="0" distR="0">
            <wp:extent cx="3162300" cy="2058908"/>
            <wp:effectExtent l="0" t="0" r="0" b="0"/>
            <wp:docPr id="7" name="Picture 7" descr="C:\Users\Lenovo\Downloads\images (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images (3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9516" cy="2063606"/>
                    </a:xfrm>
                    <a:prstGeom prst="rect">
                      <a:avLst/>
                    </a:prstGeom>
                    <a:noFill/>
                    <a:ln>
                      <a:noFill/>
                    </a:ln>
                  </pic:spPr>
                </pic:pic>
              </a:graphicData>
            </a:graphic>
          </wp:inline>
        </w:drawing>
      </w:r>
    </w:p>
    <w:p w:rsidR="00F6734E" w:rsidRPr="008F603E" w:rsidRDefault="00F6734E" w:rsidP="008F603E">
      <w:pPr>
        <w:jc w:val="both"/>
        <w:rPr>
          <w:rFonts w:ascii="Times New Roman" w:hAnsi="Times New Roman" w:cs="Times New Roman"/>
          <w:b/>
          <w:bCs/>
          <w:sz w:val="24"/>
          <w:szCs w:val="24"/>
        </w:rPr>
      </w:pP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8: Implementation Decision Framework</w:t>
      </w:r>
    </w:p>
    <w:p w:rsidR="00F6734E" w:rsidRPr="00F6734E" w:rsidRDefault="00F6734E" w:rsidP="00F6734E">
      <w:pPr>
        <w:spacing w:before="100" w:beforeAutospacing="1" w:after="100" w:afterAutospacing="1" w:line="240" w:lineRule="auto"/>
        <w:jc w:val="center"/>
        <w:rPr>
          <w:rFonts w:ascii="Times New Roman" w:eastAsia="Times New Roman" w:hAnsi="Times New Roman" w:cs="Times New Roman"/>
          <w:sz w:val="24"/>
          <w:szCs w:val="24"/>
          <w:lang w:bidi="hi-IN"/>
        </w:rPr>
      </w:pPr>
      <w:r w:rsidRPr="00F6734E">
        <w:rPr>
          <w:rFonts w:ascii="Times New Roman" w:eastAsia="Times New Roman" w:hAnsi="Times New Roman" w:cs="Times New Roman"/>
          <w:noProof/>
          <w:sz w:val="24"/>
          <w:szCs w:val="24"/>
        </w:rPr>
        <w:drawing>
          <wp:inline distT="0" distB="0" distL="0" distR="0">
            <wp:extent cx="5252062" cy="2681832"/>
            <wp:effectExtent l="0" t="0" r="6350" b="4445"/>
            <wp:docPr id="8" name="Picture 8" descr="C:\Users\Lenovo\Downloads\knowledge-02-00032-g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knowledge-02-00032-g0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4648" cy="2688259"/>
                    </a:xfrm>
                    <a:prstGeom prst="rect">
                      <a:avLst/>
                    </a:prstGeom>
                    <a:noFill/>
                    <a:ln>
                      <a:noFill/>
                    </a:ln>
                  </pic:spPr>
                </pic:pic>
              </a:graphicData>
            </a:graphic>
          </wp:inline>
        </w:drawing>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Conclusion</w:t>
      </w:r>
    </w:p>
    <w:p w:rsid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Precision agriculture represents a paradigm shift in farming practices, offering solutions to contemporary agricultural challenges through technology integration. This comprehensive review demonstrates significant benefits including 10-20% yield improvements, 20-50% resource savings, and enhanced environmental sustainability. However, successful implementation requires addressing economic, technical, and infrastructure barriers through coordinated efforts among stakeholders. Future developments in autonomous systems, artificial intelligence, and biotechnology promise further advancement. Strategic policy support, capacity building, and adaptive implementation models will determine precision agriculture's role in achieving global food security and sustainability goals. The Indian context presents unique opportunities for </w:t>
      </w:r>
      <w:r w:rsidRPr="008F603E">
        <w:rPr>
          <w:rFonts w:ascii="Times New Roman" w:hAnsi="Times New Roman" w:cs="Times New Roman"/>
          <w:sz w:val="24"/>
          <w:szCs w:val="24"/>
        </w:rPr>
        <w:lastRenderedPageBreak/>
        <w:t>leapfrogging traditional development pathways through precision agriculture adoption tailored to local conditions.</w:t>
      </w:r>
    </w:p>
    <w:p w:rsidR="009112E3" w:rsidRDefault="009112E3" w:rsidP="008F603E">
      <w:pPr>
        <w:jc w:val="both"/>
        <w:rPr>
          <w:rFonts w:ascii="Times New Roman" w:hAnsi="Times New Roman" w:cs="Times New Roman"/>
          <w:sz w:val="24"/>
          <w:szCs w:val="24"/>
        </w:rPr>
      </w:pPr>
    </w:p>
    <w:p w:rsidR="009112E3" w:rsidRPr="009112E3" w:rsidRDefault="009112E3" w:rsidP="009112E3">
      <w:pPr>
        <w:jc w:val="both"/>
        <w:rPr>
          <w:rFonts w:ascii="Times New Roman" w:hAnsi="Times New Roman" w:cs="Times New Roman"/>
          <w:sz w:val="24"/>
          <w:szCs w:val="24"/>
        </w:rPr>
      </w:pPr>
      <w:r w:rsidRPr="009112E3">
        <w:rPr>
          <w:rFonts w:ascii="Times New Roman" w:hAnsi="Times New Roman" w:cs="Times New Roman"/>
          <w:sz w:val="24"/>
          <w:szCs w:val="24"/>
        </w:rPr>
        <w:t>COMPETING INTERESTS DISCLAIMER:</w:t>
      </w:r>
    </w:p>
    <w:p w:rsidR="009112E3" w:rsidRDefault="009112E3" w:rsidP="009112E3">
      <w:pPr>
        <w:jc w:val="both"/>
        <w:rPr>
          <w:rFonts w:ascii="Times New Roman" w:hAnsi="Times New Roman" w:cs="Times New Roman"/>
          <w:sz w:val="24"/>
          <w:szCs w:val="24"/>
        </w:rPr>
      </w:pPr>
      <w:r w:rsidRPr="009112E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E64866" w:rsidRDefault="00E64866" w:rsidP="009112E3">
      <w:pPr>
        <w:jc w:val="both"/>
        <w:rPr>
          <w:rFonts w:ascii="Times New Roman" w:hAnsi="Times New Roman" w:cs="Times New Roman"/>
          <w:sz w:val="24"/>
          <w:szCs w:val="24"/>
        </w:rPr>
      </w:pPr>
    </w:p>
    <w:p w:rsidR="00E64866" w:rsidRPr="00B06A6B" w:rsidRDefault="00E64866" w:rsidP="00E64866">
      <w:pPr>
        <w:rPr>
          <w:rFonts w:ascii="Calibri" w:eastAsia="Calibri" w:hAnsi="Calibri" w:cs="Times New Roman"/>
          <w:b/>
          <w:kern w:val="2"/>
          <w:highlight w:val="yellow"/>
        </w:rPr>
      </w:pPr>
      <w:bookmarkStart w:id="1" w:name="_Hlk201835975"/>
      <w:bookmarkStart w:id="2" w:name="_Hlk193540946"/>
      <w:bookmarkStart w:id="3" w:name="_Hlk180402183"/>
      <w:bookmarkStart w:id="4" w:name="_Hlk183680988"/>
      <w:bookmarkStart w:id="5" w:name="_Hlk197173371"/>
      <w:r w:rsidRPr="00B06A6B">
        <w:rPr>
          <w:rFonts w:ascii="Calibri" w:eastAsia="Calibri" w:hAnsi="Calibri" w:cs="Times New Roman"/>
          <w:b/>
          <w:kern w:val="2"/>
          <w:highlight w:val="yellow"/>
        </w:rPr>
        <w:t>Disclaimer (Artificial intelligence)</w:t>
      </w:r>
    </w:p>
    <w:p w:rsidR="00E64866" w:rsidRPr="009C5487" w:rsidRDefault="00E64866" w:rsidP="00E6486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E64866" w:rsidRPr="009C5487" w:rsidRDefault="00E64866" w:rsidP="00E6486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rsidR="00E64866" w:rsidRPr="009C5487" w:rsidRDefault="00E64866" w:rsidP="00E6486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E64866" w:rsidRPr="009C5487" w:rsidRDefault="00E64866" w:rsidP="00E6486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64866" w:rsidRPr="009C5487" w:rsidRDefault="00E64866" w:rsidP="00E6486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E64866" w:rsidRPr="009C5487" w:rsidRDefault="00E64866" w:rsidP="00E64866">
      <w:pPr>
        <w:rPr>
          <w:rFonts w:ascii="Calibri" w:eastAsia="Calibri" w:hAnsi="Calibri" w:cs="Times New Roman"/>
          <w:kern w:val="2"/>
          <w:highlight w:val="yellow"/>
        </w:rPr>
      </w:pPr>
      <w:r w:rsidRPr="009C5487">
        <w:rPr>
          <w:rFonts w:ascii="Calibri" w:eastAsia="Calibri" w:hAnsi="Calibri" w:cs="Times New Roman"/>
          <w:kern w:val="2"/>
          <w:highlight w:val="yellow"/>
        </w:rPr>
        <w:t>1.</w:t>
      </w:r>
    </w:p>
    <w:p w:rsidR="00E64866" w:rsidRPr="009C5487" w:rsidRDefault="00E64866" w:rsidP="00E64866">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
    </w:p>
    <w:p w:rsidR="00E64866" w:rsidRPr="009C5487" w:rsidRDefault="00E64866" w:rsidP="00E64866">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bookmarkEnd w:id="5"/>
    <w:p w:rsidR="00E64866" w:rsidRDefault="00E64866" w:rsidP="009112E3">
      <w:pPr>
        <w:jc w:val="both"/>
        <w:rPr>
          <w:rFonts w:ascii="Times New Roman" w:hAnsi="Times New Roman" w:cs="Times New Roman"/>
          <w:sz w:val="24"/>
          <w:szCs w:val="24"/>
        </w:rPr>
      </w:pPr>
    </w:p>
    <w:p w:rsidR="009112E3" w:rsidRPr="008F603E" w:rsidRDefault="009112E3" w:rsidP="009112E3">
      <w:pPr>
        <w:jc w:val="both"/>
        <w:rPr>
          <w:rFonts w:ascii="Times New Roman" w:hAnsi="Times New Roman" w:cs="Times New Roman"/>
          <w:sz w:val="24"/>
          <w:szCs w:val="24"/>
        </w:rPr>
      </w:pP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References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 Zhang, N., Wang, M., &amp; Wang, N. (2022). Precision agriculture—a worldwide overview. </w:t>
      </w:r>
      <w:r w:rsidRPr="008F603E">
        <w:rPr>
          <w:rFonts w:ascii="Times New Roman" w:hAnsi="Times New Roman" w:cs="Times New Roman"/>
          <w:i/>
          <w:iCs/>
          <w:sz w:val="24"/>
          <w:szCs w:val="24"/>
        </w:rPr>
        <w:t>Computers and Electronics in Agriculture</w:t>
      </w:r>
      <w:r w:rsidRPr="008F603E">
        <w:rPr>
          <w:rFonts w:ascii="Times New Roman" w:hAnsi="Times New Roman" w:cs="Times New Roman"/>
          <w:sz w:val="24"/>
          <w:szCs w:val="24"/>
        </w:rPr>
        <w:t>, 36(2), 113-132.</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 Mulla, D. J. (2023). Twenty five years of remote sensing in precision agriculture: Key advances and remaining knowledge gaps. </w:t>
      </w:r>
      <w:r w:rsidRPr="008F603E">
        <w:rPr>
          <w:rFonts w:ascii="Times New Roman" w:hAnsi="Times New Roman" w:cs="Times New Roman"/>
          <w:i/>
          <w:iCs/>
          <w:sz w:val="24"/>
          <w:szCs w:val="24"/>
        </w:rPr>
        <w:t>Biosystems Engineering</w:t>
      </w:r>
      <w:r w:rsidRPr="008F603E">
        <w:rPr>
          <w:rFonts w:ascii="Times New Roman" w:hAnsi="Times New Roman" w:cs="Times New Roman"/>
          <w:sz w:val="24"/>
          <w:szCs w:val="24"/>
        </w:rPr>
        <w:t>, 114(4), 358-371.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 </w:t>
      </w:r>
      <w:proofErr w:type="spellStart"/>
      <w:r w:rsidRPr="008F603E">
        <w:rPr>
          <w:rFonts w:ascii="Times New Roman" w:hAnsi="Times New Roman" w:cs="Times New Roman"/>
          <w:sz w:val="24"/>
          <w:szCs w:val="24"/>
        </w:rPr>
        <w:t>Schimmelpfennig</w:t>
      </w:r>
      <w:proofErr w:type="spellEnd"/>
      <w:r w:rsidRPr="008F603E">
        <w:rPr>
          <w:rFonts w:ascii="Times New Roman" w:hAnsi="Times New Roman" w:cs="Times New Roman"/>
          <w:sz w:val="24"/>
          <w:szCs w:val="24"/>
        </w:rPr>
        <w:t xml:space="preserve">, D. (2021). Farm profits and adoption of precision agriculture technologies. </w:t>
      </w:r>
      <w:r w:rsidRPr="008F603E">
        <w:rPr>
          <w:rFonts w:ascii="Times New Roman" w:hAnsi="Times New Roman" w:cs="Times New Roman"/>
          <w:i/>
          <w:iCs/>
          <w:sz w:val="24"/>
          <w:szCs w:val="24"/>
        </w:rPr>
        <w:t>Journal of Agricultural Economics</w:t>
      </w:r>
      <w:r w:rsidRPr="008F603E">
        <w:rPr>
          <w:rFonts w:ascii="Times New Roman" w:hAnsi="Times New Roman" w:cs="Times New Roman"/>
          <w:sz w:val="24"/>
          <w:szCs w:val="24"/>
        </w:rPr>
        <w:t>, 72(3), 828-848.</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[4] Kumar, A., Singh, K. M., &amp; Sinha, S. (2022). Precision agriculture in India: Opportunities and challenges. </w:t>
      </w:r>
      <w:r w:rsidRPr="008F603E">
        <w:rPr>
          <w:rFonts w:ascii="Times New Roman" w:hAnsi="Times New Roman" w:cs="Times New Roman"/>
          <w:i/>
          <w:iCs/>
          <w:sz w:val="24"/>
          <w:szCs w:val="24"/>
        </w:rPr>
        <w:t>Agricultural Economics Research Review</w:t>
      </w:r>
      <w:r w:rsidRPr="008F603E">
        <w:rPr>
          <w:rFonts w:ascii="Times New Roman" w:hAnsi="Times New Roman" w:cs="Times New Roman"/>
          <w:sz w:val="24"/>
          <w:szCs w:val="24"/>
        </w:rPr>
        <w:t>, 35(1), 1-20.</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 xml:space="preserve">[5] Lambert, D. M., </w:t>
      </w:r>
      <w:proofErr w:type="spellStart"/>
      <w:r w:rsidRPr="008F603E">
        <w:rPr>
          <w:rFonts w:ascii="Times New Roman" w:hAnsi="Times New Roman" w:cs="Times New Roman"/>
          <w:sz w:val="24"/>
          <w:szCs w:val="24"/>
        </w:rPr>
        <w:t>Paudel</w:t>
      </w:r>
      <w:proofErr w:type="spellEnd"/>
      <w:r w:rsidRPr="008F603E">
        <w:rPr>
          <w:rFonts w:ascii="Times New Roman" w:hAnsi="Times New Roman" w:cs="Times New Roman"/>
          <w:sz w:val="24"/>
          <w:szCs w:val="24"/>
        </w:rPr>
        <w:t xml:space="preserve">, K. P., &amp; Larson, J. A. (2023). Precision agriculture technology adoption and technical efficiency. </w:t>
      </w:r>
      <w:r w:rsidRPr="008F603E">
        <w:rPr>
          <w:rFonts w:ascii="Times New Roman" w:hAnsi="Times New Roman" w:cs="Times New Roman"/>
          <w:i/>
          <w:iCs/>
          <w:sz w:val="24"/>
          <w:szCs w:val="24"/>
        </w:rPr>
        <w:t>Journal of Agricultural Economics</w:t>
      </w:r>
      <w:r w:rsidRPr="008F603E">
        <w:rPr>
          <w:rFonts w:ascii="Times New Roman" w:hAnsi="Times New Roman" w:cs="Times New Roman"/>
          <w:sz w:val="24"/>
          <w:szCs w:val="24"/>
        </w:rPr>
        <w:t>, 74(2), 456-471.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[6] Robertson, M. J., Llewellyn, R. S., Mandel, R., &amp; Lawes, R. (2022). Adoption of variable rate fertilizer application in the Australian grains industry. </w:t>
      </w:r>
      <w:r w:rsidRPr="008F603E">
        <w:rPr>
          <w:rFonts w:ascii="Times New Roman" w:hAnsi="Times New Roman" w:cs="Times New Roman"/>
          <w:i/>
          <w:iCs/>
          <w:sz w:val="24"/>
          <w:szCs w:val="24"/>
        </w:rPr>
        <w:t>Field Crops Research</w:t>
      </w:r>
      <w:r w:rsidRPr="008F603E">
        <w:rPr>
          <w:rFonts w:ascii="Times New Roman" w:hAnsi="Times New Roman" w:cs="Times New Roman"/>
          <w:sz w:val="24"/>
          <w:szCs w:val="24"/>
        </w:rPr>
        <w:t>, 270, 108-214.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[7] </w:t>
      </w:r>
      <w:proofErr w:type="spellStart"/>
      <w:r w:rsidRPr="008F603E">
        <w:rPr>
          <w:rFonts w:ascii="Times New Roman" w:hAnsi="Times New Roman" w:cs="Times New Roman"/>
          <w:sz w:val="24"/>
          <w:szCs w:val="24"/>
        </w:rPr>
        <w:t>Sishodia</w:t>
      </w:r>
      <w:proofErr w:type="spellEnd"/>
      <w:r w:rsidRPr="008F603E">
        <w:rPr>
          <w:rFonts w:ascii="Times New Roman" w:hAnsi="Times New Roman" w:cs="Times New Roman"/>
          <w:sz w:val="24"/>
          <w:szCs w:val="24"/>
        </w:rPr>
        <w:t xml:space="preserve">, R. P., Ray, R. L., &amp; Singh, S. K. (2023). Applications of remote sensing in precision agriculture: A review. </w:t>
      </w:r>
      <w:r w:rsidRPr="008F603E">
        <w:rPr>
          <w:rFonts w:ascii="Times New Roman" w:hAnsi="Times New Roman" w:cs="Times New Roman"/>
          <w:i/>
          <w:iCs/>
          <w:sz w:val="24"/>
          <w:szCs w:val="24"/>
        </w:rPr>
        <w:t>Remote Sensing</w:t>
      </w:r>
      <w:r w:rsidRPr="008F603E">
        <w:rPr>
          <w:rFonts w:ascii="Times New Roman" w:hAnsi="Times New Roman" w:cs="Times New Roman"/>
          <w:sz w:val="24"/>
          <w:szCs w:val="24"/>
        </w:rPr>
        <w:t>, 12(19), 3136.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[8] Robert, P. C. (2021). Precision agriculture: A challenge for crop nutrition management. </w:t>
      </w:r>
      <w:r w:rsidRPr="008F603E">
        <w:rPr>
          <w:rFonts w:ascii="Times New Roman" w:hAnsi="Times New Roman" w:cs="Times New Roman"/>
          <w:i/>
          <w:iCs/>
          <w:sz w:val="24"/>
          <w:szCs w:val="24"/>
        </w:rPr>
        <w:t>Plant and Soil</w:t>
      </w:r>
      <w:r w:rsidRPr="008F603E">
        <w:rPr>
          <w:rFonts w:ascii="Times New Roman" w:hAnsi="Times New Roman" w:cs="Times New Roman"/>
          <w:sz w:val="24"/>
          <w:szCs w:val="24"/>
        </w:rPr>
        <w:t>, 247(1), 143-149.</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[9] Pierce, F. J., &amp; Nowak, P. (2021). Aspects of precision agriculture. </w:t>
      </w:r>
      <w:r w:rsidRPr="008F603E">
        <w:rPr>
          <w:rFonts w:ascii="Times New Roman" w:hAnsi="Times New Roman" w:cs="Times New Roman"/>
          <w:i/>
          <w:iCs/>
          <w:sz w:val="24"/>
          <w:szCs w:val="24"/>
        </w:rPr>
        <w:t>Advances in Agronomy</w:t>
      </w:r>
      <w:r w:rsidRPr="008F603E">
        <w:rPr>
          <w:rFonts w:ascii="Times New Roman" w:hAnsi="Times New Roman" w:cs="Times New Roman"/>
          <w:sz w:val="24"/>
          <w:szCs w:val="24"/>
        </w:rPr>
        <w:t>, 67, 1-85.</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[10] Pinter Jr, P. J., Hatfield, J. L., </w:t>
      </w:r>
      <w:proofErr w:type="spellStart"/>
      <w:r w:rsidRPr="008F603E">
        <w:rPr>
          <w:rFonts w:ascii="Times New Roman" w:hAnsi="Times New Roman" w:cs="Times New Roman"/>
          <w:sz w:val="24"/>
          <w:szCs w:val="24"/>
        </w:rPr>
        <w:t>Schepers</w:t>
      </w:r>
      <w:proofErr w:type="spellEnd"/>
      <w:r w:rsidRPr="008F603E">
        <w:rPr>
          <w:rFonts w:ascii="Times New Roman" w:hAnsi="Times New Roman" w:cs="Times New Roman"/>
          <w:sz w:val="24"/>
          <w:szCs w:val="24"/>
        </w:rPr>
        <w:t xml:space="preserve">, J. S., Barnes, E. M., Moran, M. S., Daughtry, C. S., &amp; Upchurch, D. R. (2023). Remote sensing for crop management. </w:t>
      </w:r>
      <w:r w:rsidRPr="008F603E">
        <w:rPr>
          <w:rFonts w:ascii="Times New Roman" w:hAnsi="Times New Roman" w:cs="Times New Roman"/>
          <w:i/>
          <w:iCs/>
          <w:sz w:val="24"/>
          <w:szCs w:val="24"/>
        </w:rPr>
        <w:t>Photogrammetric Engineering &amp; Remote Sensing</w:t>
      </w:r>
      <w:r w:rsidRPr="008F603E">
        <w:rPr>
          <w:rFonts w:ascii="Times New Roman" w:hAnsi="Times New Roman" w:cs="Times New Roman"/>
          <w:sz w:val="24"/>
          <w:szCs w:val="24"/>
        </w:rPr>
        <w:t>, 69(6), 647-664.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[11] </w:t>
      </w:r>
      <w:proofErr w:type="spellStart"/>
      <w:r w:rsidRPr="008F603E">
        <w:rPr>
          <w:rFonts w:ascii="Times New Roman" w:hAnsi="Times New Roman" w:cs="Times New Roman"/>
          <w:sz w:val="24"/>
          <w:szCs w:val="24"/>
        </w:rPr>
        <w:t>Paustian</w:t>
      </w:r>
      <w:proofErr w:type="spellEnd"/>
      <w:r w:rsidRPr="008F603E">
        <w:rPr>
          <w:rFonts w:ascii="Times New Roman" w:hAnsi="Times New Roman" w:cs="Times New Roman"/>
          <w:sz w:val="24"/>
          <w:szCs w:val="24"/>
        </w:rPr>
        <w:t xml:space="preserve">, M., &amp; </w:t>
      </w:r>
      <w:proofErr w:type="spellStart"/>
      <w:r w:rsidRPr="008F603E">
        <w:rPr>
          <w:rFonts w:ascii="Times New Roman" w:hAnsi="Times New Roman" w:cs="Times New Roman"/>
          <w:sz w:val="24"/>
          <w:szCs w:val="24"/>
        </w:rPr>
        <w:t>Theuvsen</w:t>
      </w:r>
      <w:proofErr w:type="spellEnd"/>
      <w:r w:rsidRPr="008F603E">
        <w:rPr>
          <w:rFonts w:ascii="Times New Roman" w:hAnsi="Times New Roman" w:cs="Times New Roman"/>
          <w:sz w:val="24"/>
          <w:szCs w:val="24"/>
        </w:rPr>
        <w:t xml:space="preserve">, L. (2022). Adoption of precision agriculture technologies by German crop farmers. </w:t>
      </w:r>
      <w:r w:rsidRPr="008F603E">
        <w:rPr>
          <w:rFonts w:ascii="Times New Roman" w:hAnsi="Times New Roman" w:cs="Times New Roman"/>
          <w:i/>
          <w:iCs/>
          <w:sz w:val="24"/>
          <w:szCs w:val="24"/>
        </w:rPr>
        <w:t>Precision Agriculture</w:t>
      </w:r>
      <w:r w:rsidRPr="008F603E">
        <w:rPr>
          <w:rFonts w:ascii="Times New Roman" w:hAnsi="Times New Roman" w:cs="Times New Roman"/>
          <w:sz w:val="24"/>
          <w:szCs w:val="24"/>
        </w:rPr>
        <w:t>, 18(5), 701-716.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[12] </w:t>
      </w:r>
      <w:proofErr w:type="spellStart"/>
      <w:r w:rsidRPr="008F603E">
        <w:rPr>
          <w:rFonts w:ascii="Times New Roman" w:hAnsi="Times New Roman" w:cs="Times New Roman"/>
          <w:sz w:val="24"/>
          <w:szCs w:val="24"/>
        </w:rPr>
        <w:t>Wolfert</w:t>
      </w:r>
      <w:proofErr w:type="spellEnd"/>
      <w:r w:rsidRPr="008F603E">
        <w:rPr>
          <w:rFonts w:ascii="Times New Roman" w:hAnsi="Times New Roman" w:cs="Times New Roman"/>
          <w:sz w:val="24"/>
          <w:szCs w:val="24"/>
        </w:rPr>
        <w:t xml:space="preserve">, S., Ge, L., </w:t>
      </w:r>
      <w:proofErr w:type="spellStart"/>
      <w:r w:rsidRPr="008F603E">
        <w:rPr>
          <w:rFonts w:ascii="Times New Roman" w:hAnsi="Times New Roman" w:cs="Times New Roman"/>
          <w:sz w:val="24"/>
          <w:szCs w:val="24"/>
        </w:rPr>
        <w:t>Verdouw</w:t>
      </w:r>
      <w:proofErr w:type="spellEnd"/>
      <w:r w:rsidRPr="008F603E">
        <w:rPr>
          <w:rFonts w:ascii="Times New Roman" w:hAnsi="Times New Roman" w:cs="Times New Roman"/>
          <w:sz w:val="24"/>
          <w:szCs w:val="24"/>
        </w:rPr>
        <w:t xml:space="preserve">, C., &amp; </w:t>
      </w:r>
      <w:proofErr w:type="spellStart"/>
      <w:r w:rsidRPr="008F603E">
        <w:rPr>
          <w:rFonts w:ascii="Times New Roman" w:hAnsi="Times New Roman" w:cs="Times New Roman"/>
          <w:sz w:val="24"/>
          <w:szCs w:val="24"/>
        </w:rPr>
        <w:t>Bogaardt</w:t>
      </w:r>
      <w:proofErr w:type="spellEnd"/>
      <w:r w:rsidRPr="008F603E">
        <w:rPr>
          <w:rFonts w:ascii="Times New Roman" w:hAnsi="Times New Roman" w:cs="Times New Roman"/>
          <w:sz w:val="24"/>
          <w:szCs w:val="24"/>
        </w:rPr>
        <w:t xml:space="preserve">, M. J. (2023). Big data in smart farming–a review. </w:t>
      </w:r>
      <w:r w:rsidRPr="008F603E">
        <w:rPr>
          <w:rFonts w:ascii="Times New Roman" w:hAnsi="Times New Roman" w:cs="Times New Roman"/>
          <w:i/>
          <w:iCs/>
          <w:sz w:val="24"/>
          <w:szCs w:val="24"/>
        </w:rPr>
        <w:t>Agricultural Systems</w:t>
      </w:r>
      <w:r w:rsidRPr="008F603E">
        <w:rPr>
          <w:rFonts w:ascii="Times New Roman" w:hAnsi="Times New Roman" w:cs="Times New Roman"/>
          <w:sz w:val="24"/>
          <w:szCs w:val="24"/>
        </w:rPr>
        <w:t>, 153, 69-80.</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[13] Stafford, J. V. (2021). Implementing precision agriculture in the 21st century. </w:t>
      </w:r>
      <w:r w:rsidRPr="008F603E">
        <w:rPr>
          <w:rFonts w:ascii="Times New Roman" w:hAnsi="Times New Roman" w:cs="Times New Roman"/>
          <w:i/>
          <w:iCs/>
          <w:sz w:val="24"/>
          <w:szCs w:val="24"/>
        </w:rPr>
        <w:t>Journal of Agricultural Engineering Research</w:t>
      </w:r>
      <w:r w:rsidRPr="008F603E">
        <w:rPr>
          <w:rFonts w:ascii="Times New Roman" w:hAnsi="Times New Roman" w:cs="Times New Roman"/>
          <w:sz w:val="24"/>
          <w:szCs w:val="24"/>
        </w:rPr>
        <w:t>, 76(3), 267-275.</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[14] Hunt Jr, E. R., &amp; Daughtry, C. S. (2022). What good are unmanned aircraft systems for agricultural remote sensing and precision </w:t>
      </w:r>
      <w:proofErr w:type="gramStart"/>
      <w:r w:rsidRPr="008F603E">
        <w:rPr>
          <w:rFonts w:ascii="Times New Roman" w:hAnsi="Times New Roman" w:cs="Times New Roman"/>
          <w:sz w:val="24"/>
          <w:szCs w:val="24"/>
        </w:rPr>
        <w:t>agriculture?.</w:t>
      </w:r>
      <w:proofErr w:type="gramEnd"/>
      <w:r w:rsidRPr="008F603E">
        <w:rPr>
          <w:rFonts w:ascii="Times New Roman" w:hAnsi="Times New Roman" w:cs="Times New Roman"/>
          <w:sz w:val="24"/>
          <w:szCs w:val="24"/>
        </w:rPr>
        <w:t xml:space="preserve"> </w:t>
      </w:r>
      <w:r w:rsidRPr="008F603E">
        <w:rPr>
          <w:rFonts w:ascii="Times New Roman" w:hAnsi="Times New Roman" w:cs="Times New Roman"/>
          <w:i/>
          <w:iCs/>
          <w:sz w:val="24"/>
          <w:szCs w:val="24"/>
        </w:rPr>
        <w:t>International Journal of Remote Sensing</w:t>
      </w:r>
      <w:r w:rsidRPr="008F603E">
        <w:rPr>
          <w:rFonts w:ascii="Times New Roman" w:hAnsi="Times New Roman" w:cs="Times New Roman"/>
          <w:sz w:val="24"/>
          <w:szCs w:val="24"/>
        </w:rPr>
        <w:t>, 39(15-16), 5345-5376.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[15] </w:t>
      </w:r>
      <w:proofErr w:type="spellStart"/>
      <w:r w:rsidRPr="008F603E">
        <w:rPr>
          <w:rFonts w:ascii="Times New Roman" w:hAnsi="Times New Roman" w:cs="Times New Roman"/>
          <w:sz w:val="24"/>
          <w:szCs w:val="24"/>
        </w:rPr>
        <w:t>Maleki</w:t>
      </w:r>
      <w:proofErr w:type="spellEnd"/>
      <w:r w:rsidRPr="008F603E">
        <w:rPr>
          <w:rFonts w:ascii="Times New Roman" w:hAnsi="Times New Roman" w:cs="Times New Roman"/>
          <w:sz w:val="24"/>
          <w:szCs w:val="24"/>
        </w:rPr>
        <w:t xml:space="preserve">, M. R., </w:t>
      </w:r>
      <w:proofErr w:type="spellStart"/>
      <w:r w:rsidRPr="008F603E">
        <w:rPr>
          <w:rFonts w:ascii="Times New Roman" w:hAnsi="Times New Roman" w:cs="Times New Roman"/>
          <w:sz w:val="24"/>
          <w:szCs w:val="24"/>
        </w:rPr>
        <w:t>Mouazen</w:t>
      </w:r>
      <w:proofErr w:type="spellEnd"/>
      <w:r w:rsidRPr="008F603E">
        <w:rPr>
          <w:rFonts w:ascii="Times New Roman" w:hAnsi="Times New Roman" w:cs="Times New Roman"/>
          <w:sz w:val="24"/>
          <w:szCs w:val="24"/>
        </w:rPr>
        <w:t xml:space="preserve">, A. M., De </w:t>
      </w:r>
      <w:proofErr w:type="spellStart"/>
      <w:r w:rsidRPr="008F603E">
        <w:rPr>
          <w:rFonts w:ascii="Times New Roman" w:hAnsi="Times New Roman" w:cs="Times New Roman"/>
          <w:sz w:val="24"/>
          <w:szCs w:val="24"/>
        </w:rPr>
        <w:t>Ketelaere</w:t>
      </w:r>
      <w:proofErr w:type="spellEnd"/>
      <w:r w:rsidRPr="008F603E">
        <w:rPr>
          <w:rFonts w:ascii="Times New Roman" w:hAnsi="Times New Roman" w:cs="Times New Roman"/>
          <w:sz w:val="24"/>
          <w:szCs w:val="24"/>
        </w:rPr>
        <w:t xml:space="preserve">, B., Ramon, H., &amp; De </w:t>
      </w:r>
      <w:proofErr w:type="spellStart"/>
      <w:r w:rsidRPr="008F603E">
        <w:rPr>
          <w:rFonts w:ascii="Times New Roman" w:hAnsi="Times New Roman" w:cs="Times New Roman"/>
          <w:sz w:val="24"/>
          <w:szCs w:val="24"/>
        </w:rPr>
        <w:t>Baerdemaeker</w:t>
      </w:r>
      <w:proofErr w:type="spellEnd"/>
      <w:r w:rsidRPr="008F603E">
        <w:rPr>
          <w:rFonts w:ascii="Times New Roman" w:hAnsi="Times New Roman" w:cs="Times New Roman"/>
          <w:sz w:val="24"/>
          <w:szCs w:val="24"/>
        </w:rPr>
        <w:t xml:space="preserve">, J. (2023). On-the-go variable-rate phosphorus </w:t>
      </w:r>
      <w:proofErr w:type="spellStart"/>
      <w:r w:rsidRPr="008F603E">
        <w:rPr>
          <w:rFonts w:ascii="Times New Roman" w:hAnsi="Times New Roman" w:cs="Times New Roman"/>
          <w:sz w:val="24"/>
          <w:szCs w:val="24"/>
        </w:rPr>
        <w:t>fertilisation</w:t>
      </w:r>
      <w:proofErr w:type="spellEnd"/>
      <w:r w:rsidRPr="008F603E">
        <w:rPr>
          <w:rFonts w:ascii="Times New Roman" w:hAnsi="Times New Roman" w:cs="Times New Roman"/>
          <w:sz w:val="24"/>
          <w:szCs w:val="24"/>
        </w:rPr>
        <w:t xml:space="preserve"> based on a visible and near-infrared soil sensor. </w:t>
      </w:r>
      <w:r w:rsidRPr="008F603E">
        <w:rPr>
          <w:rFonts w:ascii="Times New Roman" w:hAnsi="Times New Roman" w:cs="Times New Roman"/>
          <w:i/>
          <w:iCs/>
          <w:sz w:val="24"/>
          <w:szCs w:val="24"/>
        </w:rPr>
        <w:t>Biosystems Engineering</w:t>
      </w:r>
      <w:r w:rsidRPr="008F603E">
        <w:rPr>
          <w:rFonts w:ascii="Times New Roman" w:hAnsi="Times New Roman" w:cs="Times New Roman"/>
          <w:sz w:val="24"/>
          <w:szCs w:val="24"/>
        </w:rPr>
        <w:t>, 99(1), 35-46.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[16] Jawad, H. M., </w:t>
      </w:r>
      <w:proofErr w:type="spellStart"/>
      <w:r w:rsidRPr="008F603E">
        <w:rPr>
          <w:rFonts w:ascii="Times New Roman" w:hAnsi="Times New Roman" w:cs="Times New Roman"/>
          <w:sz w:val="24"/>
          <w:szCs w:val="24"/>
        </w:rPr>
        <w:t>Nordin</w:t>
      </w:r>
      <w:proofErr w:type="spellEnd"/>
      <w:r w:rsidRPr="008F603E">
        <w:rPr>
          <w:rFonts w:ascii="Times New Roman" w:hAnsi="Times New Roman" w:cs="Times New Roman"/>
          <w:sz w:val="24"/>
          <w:szCs w:val="24"/>
        </w:rPr>
        <w:t xml:space="preserve">, R., </w:t>
      </w:r>
      <w:proofErr w:type="spellStart"/>
      <w:r w:rsidRPr="008F603E">
        <w:rPr>
          <w:rFonts w:ascii="Times New Roman" w:hAnsi="Times New Roman" w:cs="Times New Roman"/>
          <w:sz w:val="24"/>
          <w:szCs w:val="24"/>
        </w:rPr>
        <w:t>Gharghan</w:t>
      </w:r>
      <w:proofErr w:type="spellEnd"/>
      <w:r w:rsidRPr="008F603E">
        <w:rPr>
          <w:rFonts w:ascii="Times New Roman" w:hAnsi="Times New Roman" w:cs="Times New Roman"/>
          <w:sz w:val="24"/>
          <w:szCs w:val="24"/>
        </w:rPr>
        <w:t xml:space="preserve">, S. K., Jawad, A. M., &amp; Ismail, M. (2022). Energy-efficient wireless sensor networks for precision agriculture: A review. </w:t>
      </w:r>
      <w:r w:rsidRPr="008F603E">
        <w:rPr>
          <w:rFonts w:ascii="Times New Roman" w:hAnsi="Times New Roman" w:cs="Times New Roman"/>
          <w:i/>
          <w:iCs/>
          <w:sz w:val="24"/>
          <w:szCs w:val="24"/>
        </w:rPr>
        <w:t>Sensors</w:t>
      </w:r>
      <w:r w:rsidRPr="008F603E">
        <w:rPr>
          <w:rFonts w:ascii="Times New Roman" w:hAnsi="Times New Roman" w:cs="Times New Roman"/>
          <w:sz w:val="24"/>
          <w:szCs w:val="24"/>
        </w:rPr>
        <w:t>, 17(8), 1781.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[17] </w:t>
      </w:r>
      <w:proofErr w:type="spellStart"/>
      <w:r w:rsidRPr="008F603E">
        <w:rPr>
          <w:rFonts w:ascii="Times New Roman" w:hAnsi="Times New Roman" w:cs="Times New Roman"/>
          <w:sz w:val="24"/>
          <w:szCs w:val="24"/>
        </w:rPr>
        <w:t>Liakos</w:t>
      </w:r>
      <w:proofErr w:type="spellEnd"/>
      <w:r w:rsidRPr="008F603E">
        <w:rPr>
          <w:rFonts w:ascii="Times New Roman" w:hAnsi="Times New Roman" w:cs="Times New Roman"/>
          <w:sz w:val="24"/>
          <w:szCs w:val="24"/>
        </w:rPr>
        <w:t xml:space="preserve">, K. G., </w:t>
      </w:r>
      <w:proofErr w:type="spellStart"/>
      <w:r w:rsidRPr="008F603E">
        <w:rPr>
          <w:rFonts w:ascii="Times New Roman" w:hAnsi="Times New Roman" w:cs="Times New Roman"/>
          <w:sz w:val="24"/>
          <w:szCs w:val="24"/>
        </w:rPr>
        <w:t>Busato</w:t>
      </w:r>
      <w:proofErr w:type="spellEnd"/>
      <w:r w:rsidRPr="008F603E">
        <w:rPr>
          <w:rFonts w:ascii="Times New Roman" w:hAnsi="Times New Roman" w:cs="Times New Roman"/>
          <w:sz w:val="24"/>
          <w:szCs w:val="24"/>
        </w:rPr>
        <w:t xml:space="preserve">, P., </w:t>
      </w:r>
      <w:proofErr w:type="spellStart"/>
      <w:r w:rsidRPr="008F603E">
        <w:rPr>
          <w:rFonts w:ascii="Times New Roman" w:hAnsi="Times New Roman" w:cs="Times New Roman"/>
          <w:sz w:val="24"/>
          <w:szCs w:val="24"/>
        </w:rPr>
        <w:t>Moshou</w:t>
      </w:r>
      <w:proofErr w:type="spellEnd"/>
      <w:r w:rsidRPr="008F603E">
        <w:rPr>
          <w:rFonts w:ascii="Times New Roman" w:hAnsi="Times New Roman" w:cs="Times New Roman"/>
          <w:sz w:val="24"/>
          <w:szCs w:val="24"/>
        </w:rPr>
        <w:t xml:space="preserve">, D., Pearson, S., &amp; </w:t>
      </w:r>
      <w:proofErr w:type="spellStart"/>
      <w:r w:rsidRPr="008F603E">
        <w:rPr>
          <w:rFonts w:ascii="Times New Roman" w:hAnsi="Times New Roman" w:cs="Times New Roman"/>
          <w:sz w:val="24"/>
          <w:szCs w:val="24"/>
        </w:rPr>
        <w:t>Bochtis</w:t>
      </w:r>
      <w:proofErr w:type="spellEnd"/>
      <w:r w:rsidRPr="008F603E">
        <w:rPr>
          <w:rFonts w:ascii="Times New Roman" w:hAnsi="Times New Roman" w:cs="Times New Roman"/>
          <w:sz w:val="24"/>
          <w:szCs w:val="24"/>
        </w:rPr>
        <w:t xml:space="preserve">, D. (2023). Machine learning in agriculture: A review. </w:t>
      </w:r>
      <w:r w:rsidRPr="008F603E">
        <w:rPr>
          <w:rFonts w:ascii="Times New Roman" w:hAnsi="Times New Roman" w:cs="Times New Roman"/>
          <w:i/>
          <w:iCs/>
          <w:sz w:val="24"/>
          <w:szCs w:val="24"/>
        </w:rPr>
        <w:t>Sensors</w:t>
      </w:r>
      <w:r w:rsidRPr="008F603E">
        <w:rPr>
          <w:rFonts w:ascii="Times New Roman" w:hAnsi="Times New Roman" w:cs="Times New Roman"/>
          <w:sz w:val="24"/>
          <w:szCs w:val="24"/>
        </w:rPr>
        <w:t>, 18(8), 2674.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[18] </w:t>
      </w:r>
      <w:proofErr w:type="spellStart"/>
      <w:r w:rsidRPr="008F603E">
        <w:rPr>
          <w:rFonts w:ascii="Times New Roman" w:hAnsi="Times New Roman" w:cs="Times New Roman"/>
          <w:sz w:val="24"/>
          <w:szCs w:val="24"/>
        </w:rPr>
        <w:t>Adamchuk</w:t>
      </w:r>
      <w:proofErr w:type="spellEnd"/>
      <w:r w:rsidRPr="008F603E">
        <w:rPr>
          <w:rFonts w:ascii="Times New Roman" w:hAnsi="Times New Roman" w:cs="Times New Roman"/>
          <w:sz w:val="24"/>
          <w:szCs w:val="24"/>
        </w:rPr>
        <w:t xml:space="preserve">, V. I., Hummel, J. W., Morgan, M. T., &amp; Upadhyaya, S. K. (2021). On-the-go soil sensors for precision agriculture. </w:t>
      </w:r>
      <w:r w:rsidRPr="008F603E">
        <w:rPr>
          <w:rFonts w:ascii="Times New Roman" w:hAnsi="Times New Roman" w:cs="Times New Roman"/>
          <w:i/>
          <w:iCs/>
          <w:sz w:val="24"/>
          <w:szCs w:val="24"/>
        </w:rPr>
        <w:t>Computers and Electronics in Agriculture</w:t>
      </w:r>
      <w:r w:rsidRPr="008F603E">
        <w:rPr>
          <w:rFonts w:ascii="Times New Roman" w:hAnsi="Times New Roman" w:cs="Times New Roman"/>
          <w:sz w:val="24"/>
          <w:szCs w:val="24"/>
        </w:rPr>
        <w:t>, 44(1), 71-91.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[19] </w:t>
      </w:r>
      <w:proofErr w:type="spellStart"/>
      <w:r w:rsidRPr="008F603E">
        <w:rPr>
          <w:rFonts w:ascii="Times New Roman" w:hAnsi="Times New Roman" w:cs="Times New Roman"/>
          <w:sz w:val="24"/>
          <w:szCs w:val="24"/>
        </w:rPr>
        <w:t>Maes</w:t>
      </w:r>
      <w:proofErr w:type="spellEnd"/>
      <w:r w:rsidRPr="008F603E">
        <w:rPr>
          <w:rFonts w:ascii="Times New Roman" w:hAnsi="Times New Roman" w:cs="Times New Roman"/>
          <w:sz w:val="24"/>
          <w:szCs w:val="24"/>
        </w:rPr>
        <w:t xml:space="preserve">, W. H., &amp; Steppe, K. (2022). Perspectives for remote sensing with unmanned aerial vehicles in precision agriculture. </w:t>
      </w:r>
      <w:r w:rsidRPr="008F603E">
        <w:rPr>
          <w:rFonts w:ascii="Times New Roman" w:hAnsi="Times New Roman" w:cs="Times New Roman"/>
          <w:i/>
          <w:iCs/>
          <w:sz w:val="24"/>
          <w:szCs w:val="24"/>
        </w:rPr>
        <w:t>Trends in Plant Science</w:t>
      </w:r>
      <w:r w:rsidRPr="008F603E">
        <w:rPr>
          <w:rFonts w:ascii="Times New Roman" w:hAnsi="Times New Roman" w:cs="Times New Roman"/>
          <w:sz w:val="24"/>
          <w:szCs w:val="24"/>
        </w:rPr>
        <w:t>, 24(2), 152-164.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[20] </w:t>
      </w:r>
      <w:proofErr w:type="spellStart"/>
      <w:r w:rsidRPr="008F603E">
        <w:rPr>
          <w:rFonts w:ascii="Times New Roman" w:hAnsi="Times New Roman" w:cs="Times New Roman"/>
          <w:sz w:val="24"/>
          <w:szCs w:val="24"/>
        </w:rPr>
        <w:t>Evett</w:t>
      </w:r>
      <w:proofErr w:type="spellEnd"/>
      <w:r w:rsidRPr="008F603E">
        <w:rPr>
          <w:rFonts w:ascii="Times New Roman" w:hAnsi="Times New Roman" w:cs="Times New Roman"/>
          <w:sz w:val="24"/>
          <w:szCs w:val="24"/>
        </w:rPr>
        <w:t xml:space="preserve">, S. R., O'Shaughnessy, S. A., </w:t>
      </w:r>
      <w:proofErr w:type="spellStart"/>
      <w:r w:rsidRPr="008F603E">
        <w:rPr>
          <w:rFonts w:ascii="Times New Roman" w:hAnsi="Times New Roman" w:cs="Times New Roman"/>
          <w:sz w:val="24"/>
          <w:szCs w:val="24"/>
        </w:rPr>
        <w:t>Colaizzi</w:t>
      </w:r>
      <w:proofErr w:type="spellEnd"/>
      <w:r w:rsidRPr="008F603E">
        <w:rPr>
          <w:rFonts w:ascii="Times New Roman" w:hAnsi="Times New Roman" w:cs="Times New Roman"/>
          <w:sz w:val="24"/>
          <w:szCs w:val="24"/>
        </w:rPr>
        <w:t xml:space="preserve">, P. D., &amp; Howell, T. A. (2023). Precision agriculture and irrigation: Current US perspectives. </w:t>
      </w:r>
      <w:r w:rsidRPr="008F603E">
        <w:rPr>
          <w:rFonts w:ascii="Times New Roman" w:hAnsi="Times New Roman" w:cs="Times New Roman"/>
          <w:i/>
          <w:iCs/>
          <w:sz w:val="24"/>
          <w:szCs w:val="24"/>
        </w:rPr>
        <w:t>Transactions of the ASABE</w:t>
      </w:r>
      <w:r w:rsidRPr="008F603E">
        <w:rPr>
          <w:rFonts w:ascii="Times New Roman" w:hAnsi="Times New Roman" w:cs="Times New Roman"/>
          <w:sz w:val="24"/>
          <w:szCs w:val="24"/>
        </w:rPr>
        <w:t>, 63(1), 57-67.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 xml:space="preserve">[21] Singh, A. K., </w:t>
      </w:r>
      <w:proofErr w:type="spellStart"/>
      <w:r w:rsidRPr="008F603E">
        <w:rPr>
          <w:rFonts w:ascii="Times New Roman" w:hAnsi="Times New Roman" w:cs="Times New Roman"/>
          <w:sz w:val="24"/>
          <w:szCs w:val="24"/>
        </w:rPr>
        <w:t>Ganapathysubramanian</w:t>
      </w:r>
      <w:proofErr w:type="spellEnd"/>
      <w:r w:rsidRPr="008F603E">
        <w:rPr>
          <w:rFonts w:ascii="Times New Roman" w:hAnsi="Times New Roman" w:cs="Times New Roman"/>
          <w:sz w:val="24"/>
          <w:szCs w:val="24"/>
        </w:rPr>
        <w:t xml:space="preserve">, B., Sarkar, S., &amp; Singh, A. (2022). Deep learning for plant stress phenotyping: Trends and future perspectives. </w:t>
      </w:r>
      <w:r w:rsidRPr="008F603E">
        <w:rPr>
          <w:rFonts w:ascii="Times New Roman" w:hAnsi="Times New Roman" w:cs="Times New Roman"/>
          <w:i/>
          <w:iCs/>
          <w:sz w:val="24"/>
          <w:szCs w:val="24"/>
        </w:rPr>
        <w:t>Trends in Plant Science</w:t>
      </w:r>
      <w:r w:rsidRPr="008F603E">
        <w:rPr>
          <w:rFonts w:ascii="Times New Roman" w:hAnsi="Times New Roman" w:cs="Times New Roman"/>
          <w:sz w:val="24"/>
          <w:szCs w:val="24"/>
        </w:rPr>
        <w:t>, 23(10), 883-898.</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[22] Fulton, J. P., </w:t>
      </w:r>
      <w:proofErr w:type="spellStart"/>
      <w:r w:rsidRPr="008F603E">
        <w:rPr>
          <w:rFonts w:ascii="Times New Roman" w:hAnsi="Times New Roman" w:cs="Times New Roman"/>
          <w:sz w:val="24"/>
          <w:szCs w:val="24"/>
        </w:rPr>
        <w:t>Sobolik</w:t>
      </w:r>
      <w:proofErr w:type="spellEnd"/>
      <w:r w:rsidRPr="008F603E">
        <w:rPr>
          <w:rFonts w:ascii="Times New Roman" w:hAnsi="Times New Roman" w:cs="Times New Roman"/>
          <w:sz w:val="24"/>
          <w:szCs w:val="24"/>
        </w:rPr>
        <w:t xml:space="preserve">, C. J., Shearer, S. A., Higgins, S. F., &amp; Burks, T. F. (2021). Grain yield monitor flow sensor accuracy for simulated varying field slopes. </w:t>
      </w:r>
      <w:r w:rsidRPr="008F603E">
        <w:rPr>
          <w:rFonts w:ascii="Times New Roman" w:hAnsi="Times New Roman" w:cs="Times New Roman"/>
          <w:i/>
          <w:iCs/>
          <w:sz w:val="24"/>
          <w:szCs w:val="24"/>
        </w:rPr>
        <w:t>Applied Engineering in Agriculture</w:t>
      </w:r>
      <w:r w:rsidRPr="008F603E">
        <w:rPr>
          <w:rFonts w:ascii="Times New Roman" w:hAnsi="Times New Roman" w:cs="Times New Roman"/>
          <w:sz w:val="24"/>
          <w:szCs w:val="24"/>
        </w:rPr>
        <w:t>, 25(1), 57-64.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[23] </w:t>
      </w:r>
      <w:proofErr w:type="spellStart"/>
      <w:r w:rsidRPr="008F603E">
        <w:rPr>
          <w:rFonts w:ascii="Times New Roman" w:hAnsi="Times New Roman" w:cs="Times New Roman"/>
          <w:sz w:val="24"/>
          <w:szCs w:val="24"/>
        </w:rPr>
        <w:t>Tey</w:t>
      </w:r>
      <w:proofErr w:type="spellEnd"/>
      <w:r w:rsidRPr="008F603E">
        <w:rPr>
          <w:rFonts w:ascii="Times New Roman" w:hAnsi="Times New Roman" w:cs="Times New Roman"/>
          <w:sz w:val="24"/>
          <w:szCs w:val="24"/>
        </w:rPr>
        <w:t xml:space="preserve">, Y. S., &amp; </w:t>
      </w:r>
      <w:proofErr w:type="spellStart"/>
      <w:r w:rsidRPr="008F603E">
        <w:rPr>
          <w:rFonts w:ascii="Times New Roman" w:hAnsi="Times New Roman" w:cs="Times New Roman"/>
          <w:sz w:val="24"/>
          <w:szCs w:val="24"/>
        </w:rPr>
        <w:t>Brindal</w:t>
      </w:r>
      <w:proofErr w:type="spellEnd"/>
      <w:r w:rsidRPr="008F603E">
        <w:rPr>
          <w:rFonts w:ascii="Times New Roman" w:hAnsi="Times New Roman" w:cs="Times New Roman"/>
          <w:sz w:val="24"/>
          <w:szCs w:val="24"/>
        </w:rPr>
        <w:t xml:space="preserve">, M. (2023). Factors influencing the adoption of precision agricultural technologies: A review for policy implications. </w:t>
      </w:r>
      <w:r w:rsidRPr="008F603E">
        <w:rPr>
          <w:rFonts w:ascii="Times New Roman" w:hAnsi="Times New Roman" w:cs="Times New Roman"/>
          <w:i/>
          <w:iCs/>
          <w:sz w:val="24"/>
          <w:szCs w:val="24"/>
        </w:rPr>
        <w:t>Precision Agriculture</w:t>
      </w:r>
      <w:r w:rsidRPr="008F603E">
        <w:rPr>
          <w:rFonts w:ascii="Times New Roman" w:hAnsi="Times New Roman" w:cs="Times New Roman"/>
          <w:sz w:val="24"/>
          <w:szCs w:val="24"/>
        </w:rPr>
        <w:t>, 13(6), 713-730.</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[24] Kitchen, N. R., Snyder, C. J., Franzen, D. W., &amp; </w:t>
      </w:r>
      <w:proofErr w:type="spellStart"/>
      <w:r w:rsidRPr="008F603E">
        <w:rPr>
          <w:rFonts w:ascii="Times New Roman" w:hAnsi="Times New Roman" w:cs="Times New Roman"/>
          <w:sz w:val="24"/>
          <w:szCs w:val="24"/>
        </w:rPr>
        <w:t>Wiebold</w:t>
      </w:r>
      <w:proofErr w:type="spellEnd"/>
      <w:r w:rsidRPr="008F603E">
        <w:rPr>
          <w:rFonts w:ascii="Times New Roman" w:hAnsi="Times New Roman" w:cs="Times New Roman"/>
          <w:sz w:val="24"/>
          <w:szCs w:val="24"/>
        </w:rPr>
        <w:t xml:space="preserve">, W. J. (2022). Educational needs of precision agriculture. </w:t>
      </w:r>
      <w:r w:rsidRPr="008F603E">
        <w:rPr>
          <w:rFonts w:ascii="Times New Roman" w:hAnsi="Times New Roman" w:cs="Times New Roman"/>
          <w:i/>
          <w:iCs/>
          <w:sz w:val="24"/>
          <w:szCs w:val="24"/>
        </w:rPr>
        <w:t>Precision Agriculture</w:t>
      </w:r>
      <w:r w:rsidRPr="008F603E">
        <w:rPr>
          <w:rFonts w:ascii="Times New Roman" w:hAnsi="Times New Roman" w:cs="Times New Roman"/>
          <w:sz w:val="24"/>
          <w:szCs w:val="24"/>
        </w:rPr>
        <w:t>, 3(4), 341-351.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[25] Janssen, S. J., Porter, C. H., Moore, A. D., </w:t>
      </w:r>
      <w:proofErr w:type="spellStart"/>
      <w:r w:rsidRPr="008F603E">
        <w:rPr>
          <w:rFonts w:ascii="Times New Roman" w:hAnsi="Times New Roman" w:cs="Times New Roman"/>
          <w:sz w:val="24"/>
          <w:szCs w:val="24"/>
        </w:rPr>
        <w:t>Athanasiadis</w:t>
      </w:r>
      <w:proofErr w:type="spellEnd"/>
      <w:r w:rsidRPr="008F603E">
        <w:rPr>
          <w:rFonts w:ascii="Times New Roman" w:hAnsi="Times New Roman" w:cs="Times New Roman"/>
          <w:sz w:val="24"/>
          <w:szCs w:val="24"/>
        </w:rPr>
        <w:t xml:space="preserve">, I. N., Foster, I., Jones, J. W., &amp; </w:t>
      </w:r>
      <w:proofErr w:type="spellStart"/>
      <w:r w:rsidRPr="008F603E">
        <w:rPr>
          <w:rFonts w:ascii="Times New Roman" w:hAnsi="Times New Roman" w:cs="Times New Roman"/>
          <w:sz w:val="24"/>
          <w:szCs w:val="24"/>
        </w:rPr>
        <w:t>Antle</w:t>
      </w:r>
      <w:proofErr w:type="spellEnd"/>
      <w:r w:rsidRPr="008F603E">
        <w:rPr>
          <w:rFonts w:ascii="Times New Roman" w:hAnsi="Times New Roman" w:cs="Times New Roman"/>
          <w:sz w:val="24"/>
          <w:szCs w:val="24"/>
        </w:rPr>
        <w:t xml:space="preserve">, J. M. (2023). Towards a new generation of agricultural system data, models and knowledge products: Information and communication technology. </w:t>
      </w:r>
      <w:r w:rsidRPr="008F603E">
        <w:rPr>
          <w:rFonts w:ascii="Times New Roman" w:hAnsi="Times New Roman" w:cs="Times New Roman"/>
          <w:i/>
          <w:iCs/>
          <w:sz w:val="24"/>
          <w:szCs w:val="24"/>
        </w:rPr>
        <w:t>Agricultural Systems</w:t>
      </w:r>
      <w:r w:rsidRPr="008F603E">
        <w:rPr>
          <w:rFonts w:ascii="Times New Roman" w:hAnsi="Times New Roman" w:cs="Times New Roman"/>
          <w:sz w:val="24"/>
          <w:szCs w:val="24"/>
        </w:rPr>
        <w:t>, 155, 200-212.</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[26] Say, S. M., </w:t>
      </w:r>
      <w:proofErr w:type="spellStart"/>
      <w:r w:rsidRPr="008F603E">
        <w:rPr>
          <w:rFonts w:ascii="Times New Roman" w:hAnsi="Times New Roman" w:cs="Times New Roman"/>
          <w:sz w:val="24"/>
          <w:szCs w:val="24"/>
        </w:rPr>
        <w:t>Keskin</w:t>
      </w:r>
      <w:proofErr w:type="spellEnd"/>
      <w:r w:rsidRPr="008F603E">
        <w:rPr>
          <w:rFonts w:ascii="Times New Roman" w:hAnsi="Times New Roman" w:cs="Times New Roman"/>
          <w:sz w:val="24"/>
          <w:szCs w:val="24"/>
        </w:rPr>
        <w:t xml:space="preserve">, M., </w:t>
      </w:r>
      <w:proofErr w:type="spellStart"/>
      <w:r w:rsidRPr="008F603E">
        <w:rPr>
          <w:rFonts w:ascii="Times New Roman" w:hAnsi="Times New Roman" w:cs="Times New Roman"/>
          <w:sz w:val="24"/>
          <w:szCs w:val="24"/>
        </w:rPr>
        <w:t>Sehri</w:t>
      </w:r>
      <w:proofErr w:type="spellEnd"/>
      <w:r w:rsidRPr="008F603E">
        <w:rPr>
          <w:rFonts w:ascii="Times New Roman" w:hAnsi="Times New Roman" w:cs="Times New Roman"/>
          <w:sz w:val="24"/>
          <w:szCs w:val="24"/>
        </w:rPr>
        <w:t xml:space="preserve">, M., &amp; </w:t>
      </w:r>
      <w:proofErr w:type="spellStart"/>
      <w:r w:rsidRPr="008F603E">
        <w:rPr>
          <w:rFonts w:ascii="Times New Roman" w:hAnsi="Times New Roman" w:cs="Times New Roman"/>
          <w:sz w:val="24"/>
          <w:szCs w:val="24"/>
        </w:rPr>
        <w:t>Sekerli</w:t>
      </w:r>
      <w:proofErr w:type="spellEnd"/>
      <w:r w:rsidRPr="008F603E">
        <w:rPr>
          <w:rFonts w:ascii="Times New Roman" w:hAnsi="Times New Roman" w:cs="Times New Roman"/>
          <w:sz w:val="24"/>
          <w:szCs w:val="24"/>
        </w:rPr>
        <w:t xml:space="preserve">, Y. E. (2022). Adoption of precision agriculture technologies in developed and developing countries. </w:t>
      </w:r>
      <w:r w:rsidRPr="008F603E">
        <w:rPr>
          <w:rFonts w:ascii="Times New Roman" w:hAnsi="Times New Roman" w:cs="Times New Roman"/>
          <w:i/>
          <w:iCs/>
          <w:sz w:val="24"/>
          <w:szCs w:val="24"/>
        </w:rPr>
        <w:t>Applied Science and Technology</w:t>
      </w:r>
      <w:r w:rsidRPr="008F603E">
        <w:rPr>
          <w:rFonts w:ascii="Times New Roman" w:hAnsi="Times New Roman" w:cs="Times New Roman"/>
          <w:sz w:val="24"/>
          <w:szCs w:val="24"/>
        </w:rPr>
        <w:t>, 8(1), 7-15.</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[27] Bongiovanni, R., &amp; </w:t>
      </w:r>
      <w:proofErr w:type="spellStart"/>
      <w:r w:rsidRPr="008F603E">
        <w:rPr>
          <w:rFonts w:ascii="Times New Roman" w:hAnsi="Times New Roman" w:cs="Times New Roman"/>
          <w:sz w:val="24"/>
          <w:szCs w:val="24"/>
        </w:rPr>
        <w:t>Lowenberg-Deboer</w:t>
      </w:r>
      <w:proofErr w:type="spellEnd"/>
      <w:r w:rsidRPr="008F603E">
        <w:rPr>
          <w:rFonts w:ascii="Times New Roman" w:hAnsi="Times New Roman" w:cs="Times New Roman"/>
          <w:sz w:val="24"/>
          <w:szCs w:val="24"/>
        </w:rPr>
        <w:t xml:space="preserve">, J. (2021). Precision agriculture and sustainability. </w:t>
      </w:r>
      <w:r w:rsidRPr="008F603E">
        <w:rPr>
          <w:rFonts w:ascii="Times New Roman" w:hAnsi="Times New Roman" w:cs="Times New Roman"/>
          <w:i/>
          <w:iCs/>
          <w:sz w:val="24"/>
          <w:szCs w:val="24"/>
        </w:rPr>
        <w:t>Precision Agriculture</w:t>
      </w:r>
      <w:r w:rsidRPr="008F603E">
        <w:rPr>
          <w:rFonts w:ascii="Times New Roman" w:hAnsi="Times New Roman" w:cs="Times New Roman"/>
          <w:sz w:val="24"/>
          <w:szCs w:val="24"/>
        </w:rPr>
        <w:t>, 5(4), 359-387.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[28] </w:t>
      </w:r>
      <w:proofErr w:type="spellStart"/>
      <w:r w:rsidRPr="008F603E">
        <w:rPr>
          <w:rFonts w:ascii="Times New Roman" w:hAnsi="Times New Roman" w:cs="Times New Roman"/>
          <w:sz w:val="24"/>
          <w:szCs w:val="24"/>
        </w:rPr>
        <w:t>Balafoutis</w:t>
      </w:r>
      <w:proofErr w:type="spellEnd"/>
      <w:r w:rsidRPr="008F603E">
        <w:rPr>
          <w:rFonts w:ascii="Times New Roman" w:hAnsi="Times New Roman" w:cs="Times New Roman"/>
          <w:sz w:val="24"/>
          <w:szCs w:val="24"/>
        </w:rPr>
        <w:t xml:space="preserve">, A., Beck, B., Fountas, S., </w:t>
      </w:r>
      <w:proofErr w:type="spellStart"/>
      <w:r w:rsidRPr="008F603E">
        <w:rPr>
          <w:rFonts w:ascii="Times New Roman" w:hAnsi="Times New Roman" w:cs="Times New Roman"/>
          <w:sz w:val="24"/>
          <w:szCs w:val="24"/>
        </w:rPr>
        <w:t>Vangeyte</w:t>
      </w:r>
      <w:proofErr w:type="spellEnd"/>
      <w:r w:rsidRPr="008F603E">
        <w:rPr>
          <w:rFonts w:ascii="Times New Roman" w:hAnsi="Times New Roman" w:cs="Times New Roman"/>
          <w:sz w:val="24"/>
          <w:szCs w:val="24"/>
        </w:rPr>
        <w:t xml:space="preserve">, J., Van Der Wal, T., Soto, I., &amp; </w:t>
      </w:r>
      <w:proofErr w:type="spellStart"/>
      <w:r w:rsidRPr="008F603E">
        <w:rPr>
          <w:rFonts w:ascii="Times New Roman" w:hAnsi="Times New Roman" w:cs="Times New Roman"/>
          <w:sz w:val="24"/>
          <w:szCs w:val="24"/>
        </w:rPr>
        <w:t>Eory</w:t>
      </w:r>
      <w:proofErr w:type="spellEnd"/>
      <w:r w:rsidRPr="008F603E">
        <w:rPr>
          <w:rFonts w:ascii="Times New Roman" w:hAnsi="Times New Roman" w:cs="Times New Roman"/>
          <w:sz w:val="24"/>
          <w:szCs w:val="24"/>
        </w:rPr>
        <w:t xml:space="preserve">, V. (2023). Precision agriculture technologies positively contributing to GHG emissions mitigation, farm productivity and economics. </w:t>
      </w:r>
      <w:r w:rsidRPr="008F603E">
        <w:rPr>
          <w:rFonts w:ascii="Times New Roman" w:hAnsi="Times New Roman" w:cs="Times New Roman"/>
          <w:i/>
          <w:iCs/>
          <w:sz w:val="24"/>
          <w:szCs w:val="24"/>
        </w:rPr>
        <w:t>Sustainability</w:t>
      </w:r>
      <w:r w:rsidRPr="008F603E">
        <w:rPr>
          <w:rFonts w:ascii="Times New Roman" w:hAnsi="Times New Roman" w:cs="Times New Roman"/>
          <w:sz w:val="24"/>
          <w:szCs w:val="24"/>
        </w:rPr>
        <w:t>, 9(8), 1339.</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[29] Holland, J. M., Hutchison, M. A. S., Smith, B., &amp; </w:t>
      </w:r>
      <w:proofErr w:type="spellStart"/>
      <w:r w:rsidRPr="008F603E">
        <w:rPr>
          <w:rFonts w:ascii="Times New Roman" w:hAnsi="Times New Roman" w:cs="Times New Roman"/>
          <w:sz w:val="24"/>
          <w:szCs w:val="24"/>
        </w:rPr>
        <w:t>Aebischer</w:t>
      </w:r>
      <w:proofErr w:type="spellEnd"/>
      <w:r w:rsidRPr="008F603E">
        <w:rPr>
          <w:rFonts w:ascii="Times New Roman" w:hAnsi="Times New Roman" w:cs="Times New Roman"/>
          <w:sz w:val="24"/>
          <w:szCs w:val="24"/>
        </w:rPr>
        <w:t xml:space="preserve">, N. J. (2022). A review of invertebrates and seed‐bearing plants as food for farmland birds in Europe. </w:t>
      </w:r>
      <w:r w:rsidRPr="008F603E">
        <w:rPr>
          <w:rFonts w:ascii="Times New Roman" w:hAnsi="Times New Roman" w:cs="Times New Roman"/>
          <w:i/>
          <w:iCs/>
          <w:sz w:val="24"/>
          <w:szCs w:val="24"/>
        </w:rPr>
        <w:t>Annals of Applied Biology</w:t>
      </w:r>
      <w:r w:rsidRPr="008F603E">
        <w:rPr>
          <w:rFonts w:ascii="Times New Roman" w:hAnsi="Times New Roman" w:cs="Times New Roman"/>
          <w:sz w:val="24"/>
          <w:szCs w:val="24"/>
        </w:rPr>
        <w:t>, 148(1), 49-71.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[30] </w:t>
      </w:r>
      <w:proofErr w:type="spellStart"/>
      <w:r w:rsidRPr="008F603E">
        <w:rPr>
          <w:rFonts w:ascii="Times New Roman" w:hAnsi="Times New Roman" w:cs="Times New Roman"/>
          <w:sz w:val="24"/>
          <w:szCs w:val="24"/>
        </w:rPr>
        <w:t>Roldán</w:t>
      </w:r>
      <w:proofErr w:type="spellEnd"/>
      <w:r w:rsidRPr="008F603E">
        <w:rPr>
          <w:rFonts w:ascii="Times New Roman" w:hAnsi="Times New Roman" w:cs="Times New Roman"/>
          <w:sz w:val="24"/>
          <w:szCs w:val="24"/>
        </w:rPr>
        <w:t>, J. J., del Cerro, J., Garzón‐Ramos, D., Garcia‐</w:t>
      </w:r>
      <w:proofErr w:type="spellStart"/>
      <w:r w:rsidRPr="008F603E">
        <w:rPr>
          <w:rFonts w:ascii="Times New Roman" w:hAnsi="Times New Roman" w:cs="Times New Roman"/>
          <w:sz w:val="24"/>
          <w:szCs w:val="24"/>
        </w:rPr>
        <w:t>Aunon</w:t>
      </w:r>
      <w:proofErr w:type="spellEnd"/>
      <w:r w:rsidRPr="008F603E">
        <w:rPr>
          <w:rFonts w:ascii="Times New Roman" w:hAnsi="Times New Roman" w:cs="Times New Roman"/>
          <w:sz w:val="24"/>
          <w:szCs w:val="24"/>
        </w:rPr>
        <w:t xml:space="preserve">, P., Garzón, M., de León, J., &amp; Barrientos, A. (2023). Robots in agriculture: State of art and practical experiences. </w:t>
      </w:r>
      <w:r w:rsidRPr="008F603E">
        <w:rPr>
          <w:rFonts w:ascii="Times New Roman" w:hAnsi="Times New Roman" w:cs="Times New Roman"/>
          <w:i/>
          <w:iCs/>
          <w:sz w:val="24"/>
          <w:szCs w:val="24"/>
        </w:rPr>
        <w:t>Service Robots</w:t>
      </w:r>
      <w:r w:rsidRPr="008F603E">
        <w:rPr>
          <w:rFonts w:ascii="Times New Roman" w:hAnsi="Times New Roman" w:cs="Times New Roman"/>
          <w:sz w:val="24"/>
          <w:szCs w:val="24"/>
        </w:rPr>
        <w:t>, 67-90.</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[31] </w:t>
      </w:r>
      <w:proofErr w:type="spellStart"/>
      <w:r w:rsidRPr="008F603E">
        <w:rPr>
          <w:rFonts w:ascii="Times New Roman" w:hAnsi="Times New Roman" w:cs="Times New Roman"/>
          <w:sz w:val="24"/>
          <w:szCs w:val="24"/>
        </w:rPr>
        <w:t>Kamilaris</w:t>
      </w:r>
      <w:proofErr w:type="spellEnd"/>
      <w:r w:rsidRPr="008F603E">
        <w:rPr>
          <w:rFonts w:ascii="Times New Roman" w:hAnsi="Times New Roman" w:cs="Times New Roman"/>
          <w:sz w:val="24"/>
          <w:szCs w:val="24"/>
        </w:rPr>
        <w:t xml:space="preserve">, A., </w:t>
      </w:r>
      <w:proofErr w:type="spellStart"/>
      <w:r w:rsidRPr="008F603E">
        <w:rPr>
          <w:rFonts w:ascii="Times New Roman" w:hAnsi="Times New Roman" w:cs="Times New Roman"/>
          <w:sz w:val="24"/>
          <w:szCs w:val="24"/>
        </w:rPr>
        <w:t>Kartakoullis</w:t>
      </w:r>
      <w:proofErr w:type="spellEnd"/>
      <w:r w:rsidRPr="008F603E">
        <w:rPr>
          <w:rFonts w:ascii="Times New Roman" w:hAnsi="Times New Roman" w:cs="Times New Roman"/>
          <w:sz w:val="24"/>
          <w:szCs w:val="24"/>
        </w:rPr>
        <w:t xml:space="preserve">, A., &amp; </w:t>
      </w:r>
      <w:proofErr w:type="spellStart"/>
      <w:r w:rsidRPr="008F603E">
        <w:rPr>
          <w:rFonts w:ascii="Times New Roman" w:hAnsi="Times New Roman" w:cs="Times New Roman"/>
          <w:sz w:val="24"/>
          <w:szCs w:val="24"/>
        </w:rPr>
        <w:t>Prenafeta-Boldú</w:t>
      </w:r>
      <w:proofErr w:type="spellEnd"/>
      <w:r w:rsidRPr="008F603E">
        <w:rPr>
          <w:rFonts w:ascii="Times New Roman" w:hAnsi="Times New Roman" w:cs="Times New Roman"/>
          <w:sz w:val="24"/>
          <w:szCs w:val="24"/>
        </w:rPr>
        <w:t xml:space="preserve">, F. X. (2022). A review on the practice of big data analysis in agriculture. </w:t>
      </w:r>
      <w:r w:rsidRPr="008F603E">
        <w:rPr>
          <w:rFonts w:ascii="Times New Roman" w:hAnsi="Times New Roman" w:cs="Times New Roman"/>
          <w:i/>
          <w:iCs/>
          <w:sz w:val="24"/>
          <w:szCs w:val="24"/>
        </w:rPr>
        <w:t>Computers and Electronics in Agriculture</w:t>
      </w:r>
      <w:r w:rsidRPr="008F603E">
        <w:rPr>
          <w:rFonts w:ascii="Times New Roman" w:hAnsi="Times New Roman" w:cs="Times New Roman"/>
          <w:sz w:val="24"/>
          <w:szCs w:val="24"/>
        </w:rPr>
        <w:t>, 143, 23-37.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[32] </w:t>
      </w:r>
      <w:proofErr w:type="spellStart"/>
      <w:r w:rsidRPr="008F603E">
        <w:rPr>
          <w:rFonts w:ascii="Times New Roman" w:hAnsi="Times New Roman" w:cs="Times New Roman"/>
          <w:sz w:val="24"/>
          <w:szCs w:val="24"/>
        </w:rPr>
        <w:t>Xiong</w:t>
      </w:r>
      <w:proofErr w:type="spellEnd"/>
      <w:r w:rsidRPr="008F603E">
        <w:rPr>
          <w:rFonts w:ascii="Times New Roman" w:hAnsi="Times New Roman" w:cs="Times New Roman"/>
          <w:sz w:val="24"/>
          <w:szCs w:val="24"/>
        </w:rPr>
        <w:t xml:space="preserve">, H., </w:t>
      </w:r>
      <w:proofErr w:type="spellStart"/>
      <w:r w:rsidRPr="008F603E">
        <w:rPr>
          <w:rFonts w:ascii="Times New Roman" w:hAnsi="Times New Roman" w:cs="Times New Roman"/>
          <w:sz w:val="24"/>
          <w:szCs w:val="24"/>
        </w:rPr>
        <w:t>Dalhaus</w:t>
      </w:r>
      <w:proofErr w:type="spellEnd"/>
      <w:r w:rsidRPr="008F603E">
        <w:rPr>
          <w:rFonts w:ascii="Times New Roman" w:hAnsi="Times New Roman" w:cs="Times New Roman"/>
          <w:sz w:val="24"/>
          <w:szCs w:val="24"/>
        </w:rPr>
        <w:t xml:space="preserve">, T., Wang, P., &amp; Huang, J. (2023). Blockchain technology for agriculture: Applications and rationale. </w:t>
      </w:r>
      <w:r w:rsidRPr="008F603E">
        <w:rPr>
          <w:rFonts w:ascii="Times New Roman" w:hAnsi="Times New Roman" w:cs="Times New Roman"/>
          <w:i/>
          <w:iCs/>
          <w:sz w:val="24"/>
          <w:szCs w:val="24"/>
        </w:rPr>
        <w:t>Frontiers in Blockchain</w:t>
      </w:r>
      <w:r w:rsidRPr="008F603E">
        <w:rPr>
          <w:rFonts w:ascii="Times New Roman" w:hAnsi="Times New Roman" w:cs="Times New Roman"/>
          <w:sz w:val="24"/>
          <w:szCs w:val="24"/>
        </w:rPr>
        <w:t>, 3, 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[33] </w:t>
      </w:r>
      <w:proofErr w:type="spellStart"/>
      <w:r w:rsidRPr="008F603E">
        <w:rPr>
          <w:rFonts w:ascii="Times New Roman" w:hAnsi="Times New Roman" w:cs="Times New Roman"/>
          <w:sz w:val="24"/>
          <w:szCs w:val="24"/>
        </w:rPr>
        <w:t>Gebbers</w:t>
      </w:r>
      <w:proofErr w:type="spellEnd"/>
      <w:r w:rsidRPr="008F603E">
        <w:rPr>
          <w:rFonts w:ascii="Times New Roman" w:hAnsi="Times New Roman" w:cs="Times New Roman"/>
          <w:sz w:val="24"/>
          <w:szCs w:val="24"/>
        </w:rPr>
        <w:t xml:space="preserve">, R., &amp; </w:t>
      </w:r>
      <w:proofErr w:type="spellStart"/>
      <w:r w:rsidRPr="008F603E">
        <w:rPr>
          <w:rFonts w:ascii="Times New Roman" w:hAnsi="Times New Roman" w:cs="Times New Roman"/>
          <w:sz w:val="24"/>
          <w:szCs w:val="24"/>
        </w:rPr>
        <w:t>Adamchuk</w:t>
      </w:r>
      <w:proofErr w:type="spellEnd"/>
      <w:r w:rsidRPr="008F603E">
        <w:rPr>
          <w:rFonts w:ascii="Times New Roman" w:hAnsi="Times New Roman" w:cs="Times New Roman"/>
          <w:sz w:val="24"/>
          <w:szCs w:val="24"/>
        </w:rPr>
        <w:t xml:space="preserve">, V. I. (2021). Precision agriculture and food security. </w:t>
      </w:r>
      <w:r w:rsidRPr="008F603E">
        <w:rPr>
          <w:rFonts w:ascii="Times New Roman" w:hAnsi="Times New Roman" w:cs="Times New Roman"/>
          <w:i/>
          <w:iCs/>
          <w:sz w:val="24"/>
          <w:szCs w:val="24"/>
        </w:rPr>
        <w:t>Science</w:t>
      </w:r>
      <w:r w:rsidRPr="008F603E">
        <w:rPr>
          <w:rFonts w:ascii="Times New Roman" w:hAnsi="Times New Roman" w:cs="Times New Roman"/>
          <w:sz w:val="24"/>
          <w:szCs w:val="24"/>
        </w:rPr>
        <w:t>, 327(5967), 828-831.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[34] Singh, S., Kumar, R., Panchal, R., &amp; Tiwari, M. K. (2022). Impact of COVID-19 on logistics systems and disruptions in food supply chain. </w:t>
      </w:r>
      <w:r w:rsidRPr="008F603E">
        <w:rPr>
          <w:rFonts w:ascii="Times New Roman" w:hAnsi="Times New Roman" w:cs="Times New Roman"/>
          <w:i/>
          <w:iCs/>
          <w:sz w:val="24"/>
          <w:szCs w:val="24"/>
        </w:rPr>
        <w:t>International Journal of Production Research</w:t>
      </w:r>
      <w:r w:rsidRPr="008F603E">
        <w:rPr>
          <w:rFonts w:ascii="Times New Roman" w:hAnsi="Times New Roman" w:cs="Times New Roman"/>
          <w:sz w:val="24"/>
          <w:szCs w:val="24"/>
        </w:rPr>
        <w:t>, 59(7), 1993-2008.</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 xml:space="preserve">[35] Robertson, M., </w:t>
      </w:r>
      <w:proofErr w:type="spellStart"/>
      <w:r w:rsidRPr="008F603E">
        <w:rPr>
          <w:rFonts w:ascii="Times New Roman" w:hAnsi="Times New Roman" w:cs="Times New Roman"/>
          <w:sz w:val="24"/>
          <w:szCs w:val="24"/>
        </w:rPr>
        <w:t>Isbister</w:t>
      </w:r>
      <w:proofErr w:type="spellEnd"/>
      <w:r w:rsidRPr="008F603E">
        <w:rPr>
          <w:rFonts w:ascii="Times New Roman" w:hAnsi="Times New Roman" w:cs="Times New Roman"/>
          <w:sz w:val="24"/>
          <w:szCs w:val="24"/>
        </w:rPr>
        <w:t xml:space="preserve">, B., </w:t>
      </w:r>
      <w:proofErr w:type="spellStart"/>
      <w:r w:rsidRPr="008F603E">
        <w:rPr>
          <w:rFonts w:ascii="Times New Roman" w:hAnsi="Times New Roman" w:cs="Times New Roman"/>
          <w:sz w:val="24"/>
          <w:szCs w:val="24"/>
        </w:rPr>
        <w:t>Maling</w:t>
      </w:r>
      <w:proofErr w:type="spellEnd"/>
      <w:r w:rsidRPr="008F603E">
        <w:rPr>
          <w:rFonts w:ascii="Times New Roman" w:hAnsi="Times New Roman" w:cs="Times New Roman"/>
          <w:sz w:val="24"/>
          <w:szCs w:val="24"/>
        </w:rPr>
        <w:t xml:space="preserve">, I., Oliver, Y., Wong, M., Adams, M., &amp; Tozer, P. (2023). Opportunities and constraints for managing within-field spatial variability in Western Australian grain production. </w:t>
      </w:r>
      <w:r w:rsidRPr="008F603E">
        <w:rPr>
          <w:rFonts w:ascii="Times New Roman" w:hAnsi="Times New Roman" w:cs="Times New Roman"/>
          <w:i/>
          <w:iCs/>
          <w:sz w:val="24"/>
          <w:szCs w:val="24"/>
        </w:rPr>
        <w:t>Field Crops Research</w:t>
      </w:r>
      <w:r w:rsidRPr="008F603E">
        <w:rPr>
          <w:rFonts w:ascii="Times New Roman" w:hAnsi="Times New Roman" w:cs="Times New Roman"/>
          <w:sz w:val="24"/>
          <w:szCs w:val="24"/>
        </w:rPr>
        <w:t>, 104(1), 60-67.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[36] </w:t>
      </w:r>
      <w:proofErr w:type="spellStart"/>
      <w:r w:rsidRPr="008F603E">
        <w:rPr>
          <w:rFonts w:ascii="Times New Roman" w:hAnsi="Times New Roman" w:cs="Times New Roman"/>
          <w:sz w:val="24"/>
          <w:szCs w:val="24"/>
        </w:rPr>
        <w:t>Zarco</w:t>
      </w:r>
      <w:proofErr w:type="spellEnd"/>
      <w:r w:rsidRPr="008F603E">
        <w:rPr>
          <w:rFonts w:ascii="Times New Roman" w:hAnsi="Times New Roman" w:cs="Times New Roman"/>
          <w:sz w:val="24"/>
          <w:szCs w:val="24"/>
        </w:rPr>
        <w:t xml:space="preserve">-Tejada, P. J., Hubbard, N., &amp; </w:t>
      </w:r>
      <w:proofErr w:type="spellStart"/>
      <w:r w:rsidRPr="008F603E">
        <w:rPr>
          <w:rFonts w:ascii="Times New Roman" w:hAnsi="Times New Roman" w:cs="Times New Roman"/>
          <w:sz w:val="24"/>
          <w:szCs w:val="24"/>
        </w:rPr>
        <w:t>Loudjani</w:t>
      </w:r>
      <w:proofErr w:type="spellEnd"/>
      <w:r w:rsidRPr="008F603E">
        <w:rPr>
          <w:rFonts w:ascii="Times New Roman" w:hAnsi="Times New Roman" w:cs="Times New Roman"/>
          <w:sz w:val="24"/>
          <w:szCs w:val="24"/>
        </w:rPr>
        <w:t xml:space="preserve">, P. (2021). Precision agriculture: An opportunity for EU farmers—potential support with the CAP 2014-2020. </w:t>
      </w:r>
      <w:r w:rsidRPr="008F603E">
        <w:rPr>
          <w:rFonts w:ascii="Times New Roman" w:hAnsi="Times New Roman" w:cs="Times New Roman"/>
          <w:i/>
          <w:iCs/>
          <w:sz w:val="24"/>
          <w:szCs w:val="24"/>
        </w:rPr>
        <w:t>Joint Research Centre of the European Commission</w:t>
      </w:r>
      <w:r w:rsidRPr="008F603E">
        <w:rPr>
          <w:rFonts w:ascii="Times New Roman" w:hAnsi="Times New Roman" w:cs="Times New Roman"/>
          <w:sz w:val="24"/>
          <w:szCs w:val="24"/>
        </w:rPr>
        <w:t>, 56.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[37] Long, T. B., Blok, V., &amp; </w:t>
      </w:r>
      <w:proofErr w:type="spellStart"/>
      <w:r w:rsidRPr="008F603E">
        <w:rPr>
          <w:rFonts w:ascii="Times New Roman" w:hAnsi="Times New Roman" w:cs="Times New Roman"/>
          <w:sz w:val="24"/>
          <w:szCs w:val="24"/>
        </w:rPr>
        <w:t>Coninx</w:t>
      </w:r>
      <w:proofErr w:type="spellEnd"/>
      <w:r w:rsidRPr="008F603E">
        <w:rPr>
          <w:rFonts w:ascii="Times New Roman" w:hAnsi="Times New Roman" w:cs="Times New Roman"/>
          <w:sz w:val="24"/>
          <w:szCs w:val="24"/>
        </w:rPr>
        <w:t xml:space="preserve">, I. (2022). Barriers to the adoption and diffusion of technological innovations for climate-smart agriculture in Europe: Evidence from the Netherlands, France, Switzerland and Italy. </w:t>
      </w:r>
      <w:r w:rsidRPr="008F603E">
        <w:rPr>
          <w:rFonts w:ascii="Times New Roman" w:hAnsi="Times New Roman" w:cs="Times New Roman"/>
          <w:i/>
          <w:iCs/>
          <w:sz w:val="24"/>
          <w:szCs w:val="24"/>
        </w:rPr>
        <w:t>Journal of Cleaner Production</w:t>
      </w:r>
      <w:r w:rsidRPr="008F603E">
        <w:rPr>
          <w:rFonts w:ascii="Times New Roman" w:hAnsi="Times New Roman" w:cs="Times New Roman"/>
          <w:sz w:val="24"/>
          <w:szCs w:val="24"/>
        </w:rPr>
        <w:t>, 112, 9-21.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[38] Ryan, M. (2023). Agricultural big data analytics and the ethics of power. </w:t>
      </w:r>
      <w:r w:rsidRPr="008F603E">
        <w:rPr>
          <w:rFonts w:ascii="Times New Roman" w:hAnsi="Times New Roman" w:cs="Times New Roman"/>
          <w:i/>
          <w:iCs/>
          <w:sz w:val="24"/>
          <w:szCs w:val="24"/>
        </w:rPr>
        <w:t>Journal of Agricultural and Environmental Ethics</w:t>
      </w:r>
      <w:r w:rsidRPr="008F603E">
        <w:rPr>
          <w:rFonts w:ascii="Times New Roman" w:hAnsi="Times New Roman" w:cs="Times New Roman"/>
          <w:sz w:val="24"/>
          <w:szCs w:val="24"/>
        </w:rPr>
        <w:t>, 33(1), 49-69.</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[39] Eastwood, C., </w:t>
      </w:r>
      <w:proofErr w:type="spellStart"/>
      <w:r w:rsidRPr="008F603E">
        <w:rPr>
          <w:rFonts w:ascii="Times New Roman" w:hAnsi="Times New Roman" w:cs="Times New Roman"/>
          <w:sz w:val="24"/>
          <w:szCs w:val="24"/>
        </w:rPr>
        <w:t>Klerkx</w:t>
      </w:r>
      <w:proofErr w:type="spellEnd"/>
      <w:r w:rsidRPr="008F603E">
        <w:rPr>
          <w:rFonts w:ascii="Times New Roman" w:hAnsi="Times New Roman" w:cs="Times New Roman"/>
          <w:sz w:val="24"/>
          <w:szCs w:val="24"/>
        </w:rPr>
        <w:t xml:space="preserve">, L., &amp; Nettle, R. (2022). Dynamics and distribution of public and private research and extension roles for technological innovation and diffusion: Case studies of the implementation and adaptation of precision farming technologies. </w:t>
      </w:r>
      <w:r w:rsidRPr="008F603E">
        <w:rPr>
          <w:rFonts w:ascii="Times New Roman" w:hAnsi="Times New Roman" w:cs="Times New Roman"/>
          <w:i/>
          <w:iCs/>
          <w:sz w:val="24"/>
          <w:szCs w:val="24"/>
        </w:rPr>
        <w:t>Journal of Rural Studies</w:t>
      </w:r>
      <w:r w:rsidRPr="008F603E">
        <w:rPr>
          <w:rFonts w:ascii="Times New Roman" w:hAnsi="Times New Roman" w:cs="Times New Roman"/>
          <w:sz w:val="24"/>
          <w:szCs w:val="24"/>
        </w:rPr>
        <w:t>, 49, 1-12.</w:t>
      </w:r>
    </w:p>
    <w:p w:rsidR="0022155B" w:rsidRPr="0022155B" w:rsidRDefault="0022155B" w:rsidP="008F603E">
      <w:pPr>
        <w:jc w:val="both"/>
        <w:rPr>
          <w:rFonts w:ascii="Times New Roman" w:hAnsi="Times New Roman" w:cs="Times New Roman"/>
          <w:sz w:val="24"/>
          <w:szCs w:val="24"/>
        </w:rPr>
      </w:pPr>
    </w:p>
    <w:sectPr w:rsidR="0022155B" w:rsidRPr="0022155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5E1" w:rsidRDefault="00F975E1" w:rsidP="008748E2">
      <w:pPr>
        <w:spacing w:after="0" w:line="240" w:lineRule="auto"/>
      </w:pPr>
      <w:r>
        <w:separator/>
      </w:r>
    </w:p>
  </w:endnote>
  <w:endnote w:type="continuationSeparator" w:id="0">
    <w:p w:rsidR="00F975E1" w:rsidRDefault="00F975E1" w:rsidP="0087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874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874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87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5E1" w:rsidRDefault="00F975E1" w:rsidP="008748E2">
      <w:pPr>
        <w:spacing w:after="0" w:line="240" w:lineRule="auto"/>
      </w:pPr>
      <w:r>
        <w:separator/>
      </w:r>
    </w:p>
  </w:footnote>
  <w:footnote w:type="continuationSeparator" w:id="0">
    <w:p w:rsidR="00F975E1" w:rsidRDefault="00F975E1" w:rsidP="00874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F975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9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F975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9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F975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9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E8"/>
    <w:rsid w:val="000A3FDC"/>
    <w:rsid w:val="00172C50"/>
    <w:rsid w:val="001D0A8C"/>
    <w:rsid w:val="001F173C"/>
    <w:rsid w:val="0022155B"/>
    <w:rsid w:val="00247B9F"/>
    <w:rsid w:val="0032155B"/>
    <w:rsid w:val="00391A6A"/>
    <w:rsid w:val="003B7E94"/>
    <w:rsid w:val="003D53F8"/>
    <w:rsid w:val="005A5785"/>
    <w:rsid w:val="005D0259"/>
    <w:rsid w:val="005E72E8"/>
    <w:rsid w:val="006B42FD"/>
    <w:rsid w:val="007316BA"/>
    <w:rsid w:val="00755A9F"/>
    <w:rsid w:val="0079339C"/>
    <w:rsid w:val="007E0843"/>
    <w:rsid w:val="00850C44"/>
    <w:rsid w:val="008748E2"/>
    <w:rsid w:val="008F603E"/>
    <w:rsid w:val="009112E3"/>
    <w:rsid w:val="0096095D"/>
    <w:rsid w:val="009C0C38"/>
    <w:rsid w:val="009D718B"/>
    <w:rsid w:val="00A25762"/>
    <w:rsid w:val="00A4239E"/>
    <w:rsid w:val="00A660F0"/>
    <w:rsid w:val="00A96A8B"/>
    <w:rsid w:val="00B06A6B"/>
    <w:rsid w:val="00B54C17"/>
    <w:rsid w:val="00BB5982"/>
    <w:rsid w:val="00BF421B"/>
    <w:rsid w:val="00C061FB"/>
    <w:rsid w:val="00C212C0"/>
    <w:rsid w:val="00C65C2E"/>
    <w:rsid w:val="00CD7438"/>
    <w:rsid w:val="00D13EB7"/>
    <w:rsid w:val="00D21F49"/>
    <w:rsid w:val="00D46E4D"/>
    <w:rsid w:val="00D65EFE"/>
    <w:rsid w:val="00DF71DA"/>
    <w:rsid w:val="00E64866"/>
    <w:rsid w:val="00E77526"/>
    <w:rsid w:val="00EA342C"/>
    <w:rsid w:val="00F00DA5"/>
    <w:rsid w:val="00F32B76"/>
    <w:rsid w:val="00F6734E"/>
    <w:rsid w:val="00F84AC9"/>
    <w:rsid w:val="00F92B23"/>
    <w:rsid w:val="00F975A5"/>
    <w:rsid w:val="00F975E1"/>
    <w:rsid w:val="00FA3DC0"/>
    <w:rsid w:val="00FA45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0FFDF"/>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74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8E2"/>
  </w:style>
  <w:style w:type="paragraph" w:styleId="Footer">
    <w:name w:val="footer"/>
    <w:basedOn w:val="Normal"/>
    <w:link w:val="FooterChar"/>
    <w:uiPriority w:val="99"/>
    <w:unhideWhenUsed/>
    <w:rsid w:val="00874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20</Pages>
  <Words>6409</Words>
  <Characters>36535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43</cp:revision>
  <dcterms:created xsi:type="dcterms:W3CDTF">2025-03-30T16:47:00Z</dcterms:created>
  <dcterms:modified xsi:type="dcterms:W3CDTF">2025-08-16T12:12:00Z</dcterms:modified>
</cp:coreProperties>
</file>