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6387D" w14:textId="77777777" w:rsidR="0097048F" w:rsidRPr="0097048F" w:rsidRDefault="0097048F" w:rsidP="0097048F">
      <w:pPr>
        <w:pStyle w:val="Title"/>
        <w:jc w:val="both"/>
        <w:rPr>
          <w:rFonts w:ascii="Arial" w:hAnsi="Arial" w:cs="Arial"/>
          <w:b/>
          <w:bCs/>
          <w:i/>
          <w:iCs/>
          <w:sz w:val="36"/>
          <w:szCs w:val="36"/>
          <w:u w:val="single"/>
          <w:lang w:val="en-US"/>
        </w:rPr>
      </w:pPr>
      <w:bookmarkStart w:id="0" w:name="_Hlk204684172"/>
      <w:r w:rsidRPr="0097048F">
        <w:rPr>
          <w:rFonts w:ascii="Arial" w:hAnsi="Arial" w:cs="Arial"/>
          <w:b/>
          <w:bCs/>
          <w:i/>
          <w:iCs/>
          <w:sz w:val="36"/>
          <w:szCs w:val="36"/>
          <w:u w:val="single"/>
          <w:lang w:val="en-US"/>
        </w:rPr>
        <w:t>Review Article</w:t>
      </w:r>
    </w:p>
    <w:p w14:paraId="5BFB7BCD" w14:textId="7D8AD424" w:rsidR="002C0873" w:rsidRPr="002914E7" w:rsidRDefault="002C0873" w:rsidP="002C0873">
      <w:pPr>
        <w:pStyle w:val="Title"/>
        <w:spacing w:after="0"/>
        <w:jc w:val="both"/>
        <w:rPr>
          <w:rFonts w:ascii="Arial" w:hAnsi="Arial" w:cs="Arial"/>
          <w:b/>
          <w:bCs/>
          <w:sz w:val="36"/>
          <w:szCs w:val="36"/>
        </w:rPr>
      </w:pPr>
      <w:r>
        <w:rPr>
          <w:rFonts w:ascii="Arial" w:hAnsi="Arial" w:cs="Arial"/>
          <w:b/>
          <w:bCs/>
          <w:sz w:val="36"/>
          <w:szCs w:val="36"/>
        </w:rPr>
        <w:t xml:space="preserve">Review </w:t>
      </w:r>
      <w:r w:rsidR="00444890">
        <w:rPr>
          <w:rFonts w:ascii="Arial" w:hAnsi="Arial" w:cs="Arial"/>
          <w:b/>
          <w:bCs/>
          <w:sz w:val="36"/>
          <w:szCs w:val="36"/>
        </w:rPr>
        <w:t>o</w:t>
      </w:r>
      <w:r>
        <w:rPr>
          <w:rFonts w:ascii="Arial" w:hAnsi="Arial" w:cs="Arial"/>
          <w:b/>
          <w:bCs/>
          <w:sz w:val="36"/>
          <w:szCs w:val="36"/>
        </w:rPr>
        <w:t>n</w:t>
      </w:r>
      <w:r w:rsidRPr="002914E7">
        <w:rPr>
          <w:rFonts w:ascii="Arial" w:hAnsi="Arial" w:cs="Arial"/>
          <w:b/>
          <w:bCs/>
          <w:sz w:val="36"/>
          <w:szCs w:val="36"/>
        </w:rPr>
        <w:t xml:space="preserve"> Energy Bar by </w:t>
      </w:r>
      <w:r w:rsidR="00444890">
        <w:rPr>
          <w:rFonts w:ascii="Arial" w:hAnsi="Arial" w:cs="Arial"/>
          <w:b/>
          <w:bCs/>
          <w:sz w:val="36"/>
          <w:szCs w:val="36"/>
        </w:rPr>
        <w:t>U</w:t>
      </w:r>
      <w:r>
        <w:rPr>
          <w:rFonts w:ascii="Arial" w:hAnsi="Arial" w:cs="Arial"/>
          <w:b/>
          <w:bCs/>
          <w:sz w:val="36"/>
          <w:szCs w:val="36"/>
        </w:rPr>
        <w:t>tilizing</w:t>
      </w:r>
      <w:r w:rsidRPr="002914E7">
        <w:rPr>
          <w:rFonts w:ascii="Arial" w:hAnsi="Arial" w:cs="Arial"/>
          <w:b/>
          <w:bCs/>
          <w:sz w:val="36"/>
          <w:szCs w:val="36"/>
        </w:rPr>
        <w:t xml:space="preserve"> Dates and Cantaloupe seeds</w:t>
      </w:r>
    </w:p>
    <w:p w14:paraId="4F809C30" w14:textId="77777777" w:rsidR="003D1A61" w:rsidRDefault="003D1A61" w:rsidP="002C0873">
      <w:pPr>
        <w:jc w:val="both"/>
        <w:rPr>
          <w:rFonts w:ascii="Arial" w:hAnsi="Arial" w:cs="Arial"/>
          <w:sz w:val="20"/>
          <w:szCs w:val="20"/>
          <w:lang w:val="en-US"/>
        </w:rPr>
      </w:pPr>
    </w:p>
    <w:p w14:paraId="01863BB1" w14:textId="1859FE61" w:rsidR="002C0873" w:rsidRPr="002914E7" w:rsidRDefault="002C0873" w:rsidP="002C0873">
      <w:pPr>
        <w:jc w:val="both"/>
        <w:rPr>
          <w:rFonts w:ascii="Arial" w:hAnsi="Arial" w:cs="Arial"/>
          <w:sz w:val="20"/>
          <w:szCs w:val="20"/>
          <w:lang w:val="en-US"/>
        </w:rPr>
      </w:pPr>
      <w:r>
        <w:rPr>
          <w:rFonts w:ascii="Arial" w:hAnsi="Arial" w:cs="Arial"/>
          <w:noProof/>
        </w:rPr>
        <mc:AlternateContent>
          <mc:Choice Requires="wps">
            <w:drawing>
              <wp:inline distT="0" distB="0" distL="0" distR="0" wp14:anchorId="74F9281F" wp14:editId="15853303">
                <wp:extent cx="5716905" cy="60960"/>
                <wp:effectExtent l="0" t="0" r="36195" b="34290"/>
                <wp:docPr id="130747132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609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095B26" id="_x0000_t32" coordsize="21600,21600" o:spt="32" o:oned="t" path="m,l21600,21600e" filled="f">
                <v:path arrowok="t" fillok="f" o:connecttype="none"/>
                <o:lock v:ext="edit" shapetype="t"/>
              </v:shapetype>
              <v:shape id="Straight Arrow Connector 1" o:spid="_x0000_s1026" type="#_x0000_t32" style="width:450.15pt;height:4.8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" strokeweight="1.5pt">
                <w10:anchorlock/>
              </v:shape>
            </w:pict>
          </mc:Fallback>
        </mc:AlternateContent>
      </w:r>
    </w:p>
    <w:p w14:paraId="15ACA58F" w14:textId="77777777" w:rsidR="002C0873" w:rsidRPr="002914E7" w:rsidRDefault="002C0873" w:rsidP="002C0873">
      <w:pPr>
        <w:tabs>
          <w:tab w:val="left" w:pos="1380"/>
        </w:tabs>
        <w:spacing w:line="276" w:lineRule="auto"/>
        <w:rPr>
          <w:rFonts w:ascii="Arial" w:hAnsi="Arial" w:cs="Arial"/>
          <w:b/>
          <w:bCs/>
          <w:sz w:val="22"/>
          <w:szCs w:val="22"/>
        </w:rPr>
      </w:pPr>
      <w:r w:rsidRPr="002914E7">
        <w:rPr>
          <w:rFonts w:ascii="Arial" w:hAnsi="Arial" w:cs="Arial"/>
          <w:b/>
          <w:bCs/>
          <w:sz w:val="22"/>
          <w:szCs w:val="22"/>
          <w:lang w:val="en-US"/>
        </w:rPr>
        <w:t>ABSTRACT</w:t>
      </w:r>
    </w:p>
    <w:p w14:paraId="1B581188" w14:textId="077B1A34" w:rsidR="002C0873" w:rsidRPr="002914E7" w:rsidRDefault="002A17F6" w:rsidP="002C0873">
      <w:pPr>
        <w:jc w:val="both"/>
        <w:rPr>
          <w:rFonts w:ascii="Arial" w:hAnsi="Arial" w:cs="Arial"/>
          <w:sz w:val="20"/>
          <w:szCs w:val="20"/>
          <w:lang w:val="en-US"/>
        </w:rPr>
      </w:pPr>
      <w:r w:rsidRPr="002A17F6">
        <w:rPr>
          <w:rFonts w:ascii="Arial" w:hAnsi="Arial" w:cs="Arial"/>
          <w:sz w:val="20"/>
          <w:szCs w:val="20"/>
        </w:rPr>
        <w:t>Energy bars are experiencing an increase in popularity attribu</w:t>
      </w:r>
      <w:bookmarkStart w:id="1" w:name="_GoBack"/>
      <w:bookmarkEnd w:id="1"/>
      <w:r w:rsidRPr="002A17F6">
        <w:rPr>
          <w:rFonts w:ascii="Arial" w:hAnsi="Arial" w:cs="Arial"/>
          <w:sz w:val="20"/>
          <w:szCs w:val="20"/>
        </w:rPr>
        <w:t>table to their convenience and associated health advantages, with a particular emphasis on natural and functional ingredients</w:t>
      </w:r>
      <w:r w:rsidR="002C0873" w:rsidRPr="002914E7">
        <w:rPr>
          <w:rFonts w:ascii="Arial" w:hAnsi="Arial" w:cs="Arial"/>
          <w:sz w:val="20"/>
          <w:szCs w:val="20"/>
          <w:lang w:val="en-US"/>
        </w:rPr>
        <w:t>. This study aimed to develops of energy bar by using dates (</w:t>
      </w:r>
      <w:r w:rsidR="002C0873" w:rsidRPr="00C96CC0">
        <w:rPr>
          <w:rFonts w:ascii="Arial" w:hAnsi="Arial" w:cs="Arial"/>
          <w:i/>
          <w:iCs/>
          <w:sz w:val="20"/>
          <w:szCs w:val="20"/>
          <w:lang w:val="en-US"/>
        </w:rPr>
        <w:t>Phoenix dactylifera</w:t>
      </w:r>
      <w:r w:rsidR="002C0873" w:rsidRPr="002914E7">
        <w:rPr>
          <w:rFonts w:ascii="Arial" w:hAnsi="Arial" w:cs="Arial"/>
          <w:sz w:val="20"/>
          <w:szCs w:val="20"/>
          <w:lang w:val="en-US"/>
        </w:rPr>
        <w:t>) and cantaloupe seeds (</w:t>
      </w:r>
      <w:r w:rsidR="002C0873" w:rsidRPr="00C96CC0">
        <w:rPr>
          <w:rFonts w:ascii="Arial" w:hAnsi="Arial" w:cs="Arial"/>
          <w:i/>
          <w:iCs/>
          <w:sz w:val="20"/>
          <w:szCs w:val="20"/>
          <w:lang w:val="en-US"/>
        </w:rPr>
        <w:t>Cucumis melon L</w:t>
      </w:r>
      <w:r w:rsidR="002C0873" w:rsidRPr="002914E7">
        <w:rPr>
          <w:rFonts w:ascii="Arial" w:hAnsi="Arial" w:cs="Arial"/>
          <w:sz w:val="20"/>
          <w:szCs w:val="20"/>
          <w:lang w:val="en-US"/>
        </w:rPr>
        <w:t>.) As primary constituents. Dates, known for their natural sweetness, high fiber content, and rich nutrient profile, give a quick and sustained energy release, making them an ideal base for energy bars.</w:t>
      </w:r>
    </w:p>
    <w:p w14:paraId="1CA53E53" w14:textId="77777777" w:rsidR="002C0873" w:rsidRPr="002914E7" w:rsidRDefault="002C0873" w:rsidP="002C0873">
      <w:pPr>
        <w:jc w:val="both"/>
        <w:rPr>
          <w:rFonts w:ascii="Arial" w:hAnsi="Arial" w:cs="Arial"/>
          <w:sz w:val="20"/>
          <w:szCs w:val="20"/>
          <w:lang w:val="en-US"/>
        </w:rPr>
      </w:pPr>
      <w:r w:rsidRPr="002914E7">
        <w:rPr>
          <w:rFonts w:ascii="Arial" w:hAnsi="Arial" w:cs="Arial"/>
          <w:sz w:val="20"/>
          <w:szCs w:val="20"/>
          <w:lang w:val="en-US"/>
        </w:rPr>
        <w:t>They're abundant in essential minerals like potassium and magnesium, which support muscle function and electrolyte balance, and are also packed with antioxidants that help combat oxidative stress. Cantaloupe seeds, frequently overlooked in nutrition products, are rich in protein, healthy fats, and salutary fiber, farther enhancing the bar’s nutritive value. This combination not only offers a natural and healthy source of energy but also supports digestive health, muscle recovery, and overall well- being. The bar is free from refined sugars and artificial complements, making it a wholesome, factory- grounded snack ideal for athletes and active individualities. This product provides a sustainable, functional volition to traditional energy bars, feeding to the growing demand for clean, nutrient- thick snacks in the health and heartiness request.</w:t>
      </w:r>
    </w:p>
    <w:p w14:paraId="0A54C2EC" w14:textId="77777777" w:rsidR="002C0873" w:rsidRPr="00FD1006" w:rsidRDefault="002C0873" w:rsidP="002C0873">
      <w:pPr>
        <w:pStyle w:val="Body"/>
        <w:rPr>
          <w:rFonts w:ascii="Arial" w:hAnsi="Arial" w:cs="Arial"/>
          <w:i/>
          <w:lang w:val="en-IN"/>
        </w:rPr>
      </w:pPr>
      <w:r>
        <w:rPr>
          <w:rFonts w:ascii="Arial" w:hAnsi="Arial" w:cs="Arial"/>
          <w:i/>
        </w:rPr>
        <w:t xml:space="preserve">Keywords: </w:t>
      </w:r>
      <w:r w:rsidRPr="00FD1006">
        <w:rPr>
          <w:rFonts w:ascii="Arial" w:hAnsi="Arial" w:cs="Arial"/>
          <w:i/>
          <w:lang w:val="en-IN"/>
        </w:rPr>
        <w:t xml:space="preserve">Energy bar, Dates, Cantaloupe seeds, Functional food, Dietary </w:t>
      </w:r>
      <w:proofErr w:type="spellStart"/>
      <w:r w:rsidRPr="00FD1006">
        <w:rPr>
          <w:rFonts w:ascii="Arial" w:hAnsi="Arial" w:cs="Arial"/>
          <w:i/>
          <w:lang w:val="en-IN"/>
        </w:rPr>
        <w:t>fiber</w:t>
      </w:r>
      <w:proofErr w:type="spellEnd"/>
    </w:p>
    <w:p w14:paraId="70C67B83" w14:textId="77777777" w:rsidR="002C0873" w:rsidRPr="000C358F" w:rsidRDefault="002C0873" w:rsidP="002C0873">
      <w:pPr>
        <w:rPr>
          <w:rFonts w:ascii="Arial" w:hAnsi="Arial" w:cs="Arial"/>
          <w:b/>
          <w:bCs/>
          <w:sz w:val="22"/>
          <w:szCs w:val="22"/>
          <w:lang w:val="en-US"/>
        </w:rPr>
      </w:pPr>
      <w:bookmarkStart w:id="2" w:name="_Hlk204684225"/>
      <w:bookmarkEnd w:id="0"/>
      <w:r>
        <w:rPr>
          <w:rFonts w:ascii="Arial" w:hAnsi="Arial" w:cs="Arial"/>
          <w:b/>
          <w:bCs/>
          <w:sz w:val="22"/>
          <w:szCs w:val="22"/>
          <w:lang w:val="en-US"/>
        </w:rPr>
        <w:t xml:space="preserve">1. </w:t>
      </w:r>
      <w:r w:rsidRPr="000C358F">
        <w:rPr>
          <w:rFonts w:ascii="Arial" w:hAnsi="Arial" w:cs="Arial"/>
          <w:b/>
          <w:bCs/>
          <w:sz w:val="22"/>
          <w:szCs w:val="22"/>
          <w:lang w:val="en-US"/>
        </w:rPr>
        <w:t>INTRODUCTION</w:t>
      </w:r>
    </w:p>
    <w:bookmarkEnd w:id="2"/>
    <w:p w14:paraId="097D3363" w14:textId="51CF0CE1" w:rsidR="002C0873" w:rsidRPr="002914E7" w:rsidRDefault="00B46BD3" w:rsidP="002C0873">
      <w:pPr>
        <w:jc w:val="both"/>
        <w:rPr>
          <w:rFonts w:ascii="Arial" w:hAnsi="Arial" w:cs="Arial"/>
          <w:sz w:val="20"/>
          <w:szCs w:val="20"/>
        </w:rPr>
      </w:pPr>
      <w:r w:rsidRPr="00780FAE">
        <w:rPr>
          <w:highlight w:val="yellow"/>
        </w:rPr>
        <w:t xml:space="preserve">Energy bars are an excellent option for breakfast or sports workouts. The variety of dry fruits, seeds, and soluble and insoluble dietary </w:t>
      </w:r>
      <w:proofErr w:type="spellStart"/>
      <w:r w:rsidRPr="00780FAE">
        <w:rPr>
          <w:highlight w:val="yellow"/>
        </w:rPr>
        <w:t>fiber</w:t>
      </w:r>
      <w:proofErr w:type="spellEnd"/>
      <w:r w:rsidRPr="00780FAE">
        <w:rPr>
          <w:highlight w:val="yellow"/>
        </w:rPr>
        <w:t xml:space="preserve"> in the bar, composition allows for their easy adoption into a diet as a source of slowly digestive carbohydrates, micro, and micronutrients</w:t>
      </w:r>
      <w:r w:rsidR="003219BC" w:rsidRPr="00780FAE">
        <w:rPr>
          <w:highlight w:val="yellow"/>
        </w:rPr>
        <w:t xml:space="preserve"> (Verma et al., 2022)</w:t>
      </w:r>
      <w:r w:rsidRPr="00780FAE">
        <w:rPr>
          <w:highlight w:val="yellow"/>
        </w:rPr>
        <w:t xml:space="preserve">. </w:t>
      </w:r>
      <w:r w:rsidR="002C0873" w:rsidRPr="002914E7">
        <w:rPr>
          <w:rFonts w:ascii="Arial" w:hAnsi="Arial" w:cs="Arial"/>
          <w:sz w:val="20"/>
          <w:szCs w:val="20"/>
        </w:rPr>
        <w:t>The development of energy bar by using dates as a core component, alongside the innovative application of cantaloupe seeds, presents a promising approach to meeting the nutritive requirements of athletes and active individualities</w:t>
      </w:r>
      <w:r w:rsidR="001643F2">
        <w:rPr>
          <w:rFonts w:ascii="Arial" w:hAnsi="Arial" w:cs="Arial"/>
          <w:sz w:val="20"/>
          <w:szCs w:val="20"/>
        </w:rPr>
        <w:t xml:space="preserve"> Energy bar are a growing food choice that help to replace lost energy and daily energy needs without compromising taste, as they are made by mixing various ingredients</w:t>
      </w:r>
      <w:r w:rsidR="002C0873" w:rsidRPr="002914E7">
        <w:rPr>
          <w:rFonts w:ascii="Arial" w:hAnsi="Arial" w:cs="Arial"/>
          <w:sz w:val="20"/>
          <w:szCs w:val="20"/>
        </w:rPr>
        <w:t xml:space="preserve">. </w:t>
      </w:r>
      <w:r w:rsidR="00685EC0" w:rsidRPr="00780FAE">
        <w:rPr>
          <w:highlight w:val="yellow"/>
        </w:rPr>
        <w:t>Energy bars provide the majority of their food energy in carbohydrates. Energy in food comes from all three main sources – fat, protein &amp; carbohydrates but mostly from carbohydrates. To provide energy quickly, most of the carbohydrates are various types of jaggery powder and dry dates powder like fructose, glucose, dextrose, and others in various ratio</w:t>
      </w:r>
      <w:r w:rsidR="00B871B4" w:rsidRPr="00780FAE">
        <w:rPr>
          <w:highlight w:val="yellow"/>
        </w:rPr>
        <w:t xml:space="preserve"> (Subhash et al., 2024)</w:t>
      </w:r>
      <w:r w:rsidR="00685EC0" w:rsidRPr="00780FAE">
        <w:rPr>
          <w:highlight w:val="yellow"/>
        </w:rPr>
        <w:t xml:space="preserve">. </w:t>
      </w:r>
      <w:r w:rsidR="002C0873" w:rsidRPr="002914E7">
        <w:rPr>
          <w:rFonts w:ascii="Arial" w:hAnsi="Arial" w:cs="Arial"/>
          <w:sz w:val="20"/>
          <w:szCs w:val="20"/>
        </w:rPr>
        <w:t xml:space="preserve">In terms of nutritional composition, the energy bar is characterized by a considerable quantity of carbohydrates, proteins, lipids, and essential minerals. They are affirmed as a significant source of nutrition with exemplary sensory attributes, nutrient energy bar provides rapid nourishment to individuals engaged in brisk activities, thereby gaining prominence and elevation in moment’s request and available under </w:t>
      </w:r>
      <w:proofErr w:type="spellStart"/>
      <w:r w:rsidR="002C0873" w:rsidRPr="002914E7">
        <w:rPr>
          <w:rFonts w:ascii="Arial" w:hAnsi="Arial" w:cs="Arial"/>
          <w:sz w:val="20"/>
          <w:szCs w:val="20"/>
        </w:rPr>
        <w:t>colorful</w:t>
      </w:r>
      <w:proofErr w:type="spellEnd"/>
      <w:r w:rsidR="002C0873" w:rsidRPr="002914E7">
        <w:rPr>
          <w:rFonts w:ascii="Arial" w:hAnsi="Arial" w:cs="Arial"/>
          <w:sz w:val="20"/>
          <w:szCs w:val="20"/>
        </w:rPr>
        <w:t xml:space="preserve"> names like granola bars, dry fruit bars, fruit bars, protein bars etc (Giri et al., 2016). Energy bars are emerging concepts designed to meet specific consumer demands, thereby necessitating the development of nutritionally balanced and convenient food bars (Izzo M. and Niness K., 2001). In the request wide kinds of bars are present these energy bars have different characteristic and gained </w:t>
      </w:r>
      <w:proofErr w:type="spellStart"/>
      <w:r w:rsidR="002C0873" w:rsidRPr="002914E7">
        <w:rPr>
          <w:rFonts w:ascii="Arial" w:hAnsi="Arial" w:cs="Arial"/>
          <w:sz w:val="20"/>
          <w:szCs w:val="20"/>
        </w:rPr>
        <w:t>fashionability</w:t>
      </w:r>
      <w:proofErr w:type="spellEnd"/>
      <w:r w:rsidR="002C0873" w:rsidRPr="002914E7">
        <w:rPr>
          <w:rFonts w:ascii="Arial" w:hAnsi="Arial" w:cs="Arial"/>
          <w:sz w:val="20"/>
          <w:szCs w:val="20"/>
        </w:rPr>
        <w:t xml:space="preserve"> in the global request with different purposes. The energy bar, commonly referred to as a snack bar, falls under the category of ready-to-eat (RTE) foods, </w:t>
      </w:r>
      <w:r w:rsidR="002C0873" w:rsidRPr="002914E7">
        <w:rPr>
          <w:rFonts w:ascii="Arial" w:hAnsi="Arial" w:cs="Arial"/>
          <w:sz w:val="20"/>
          <w:szCs w:val="20"/>
        </w:rPr>
        <w:lastRenderedPageBreak/>
        <w:t>thereby serving a significant role as a convenience food (</w:t>
      </w:r>
      <w:r w:rsidR="002C0873" w:rsidRPr="00E25BBE">
        <w:rPr>
          <w:rFonts w:ascii="Arial" w:hAnsi="Arial" w:cs="Arial"/>
          <w:sz w:val="20"/>
          <w:szCs w:val="20"/>
        </w:rPr>
        <w:t>Pablo da Silva et al. 2016</w:t>
      </w:r>
      <w:r w:rsidR="002C0873" w:rsidRPr="002914E7">
        <w:rPr>
          <w:rFonts w:ascii="Arial" w:hAnsi="Arial" w:cs="Arial"/>
          <w:sz w:val="20"/>
          <w:szCs w:val="20"/>
        </w:rPr>
        <w:t xml:space="preserve">). </w:t>
      </w:r>
      <w:r w:rsidR="00A24F65">
        <w:rPr>
          <w:rFonts w:ascii="Arial" w:hAnsi="Arial" w:cs="Arial"/>
          <w:sz w:val="20"/>
          <w:szCs w:val="20"/>
        </w:rPr>
        <w:t xml:space="preserve"> </w:t>
      </w:r>
      <w:r w:rsidR="00A24F65" w:rsidRPr="00780FAE">
        <w:rPr>
          <w:highlight w:val="yellow"/>
        </w:rPr>
        <w:t xml:space="preserve">The seeds of watermelon are generally considered as </w:t>
      </w:r>
      <w:proofErr w:type="spellStart"/>
      <w:r w:rsidR="00A24F65" w:rsidRPr="00780FAE">
        <w:rPr>
          <w:highlight w:val="yellow"/>
        </w:rPr>
        <w:t>agro</w:t>
      </w:r>
      <w:proofErr w:type="spellEnd"/>
      <w:r w:rsidR="00A24F65" w:rsidRPr="00780FAE">
        <w:rPr>
          <w:highlight w:val="yellow"/>
        </w:rPr>
        <w:t xml:space="preserve">-waste and are spitted out </w:t>
      </w:r>
      <w:proofErr w:type="spellStart"/>
      <w:r w:rsidR="00A24F65" w:rsidRPr="00780FAE">
        <w:rPr>
          <w:highlight w:val="yellow"/>
        </w:rPr>
        <w:t>inspite</w:t>
      </w:r>
      <w:proofErr w:type="spellEnd"/>
      <w:r w:rsidR="00A24F65" w:rsidRPr="00780FAE">
        <w:rPr>
          <w:highlight w:val="yellow"/>
        </w:rPr>
        <w:t xml:space="preserve"> of having its high nutritional value as well as therapeutic benefits. Watermelon seeds are a good source of low-molecular-weight polypeptides like globulin, glutenin and albumin. Seeds are also rich in aspartic acid, glutamic acid and serine. Nutritional or energy bars provide a convenient way to meet an individual’s nutritional needs on an occasional basis</w:t>
      </w:r>
      <w:r w:rsidR="00A24F65">
        <w:rPr>
          <w:highlight w:val="yellow"/>
        </w:rPr>
        <w:t xml:space="preserve"> (</w:t>
      </w:r>
      <w:proofErr w:type="spellStart"/>
      <w:r w:rsidR="00A24F65" w:rsidRPr="00780FAE">
        <w:rPr>
          <w:highlight w:val="yellow"/>
        </w:rPr>
        <w:t>Rameesa</w:t>
      </w:r>
      <w:proofErr w:type="spellEnd"/>
      <w:r w:rsidR="00A24F65" w:rsidRPr="00780FAE">
        <w:rPr>
          <w:highlight w:val="yellow"/>
        </w:rPr>
        <w:t xml:space="preserve"> and </w:t>
      </w:r>
      <w:proofErr w:type="spellStart"/>
      <w:r w:rsidR="00A24F65" w:rsidRPr="00780FAE">
        <w:rPr>
          <w:highlight w:val="yellow"/>
        </w:rPr>
        <w:t>Bushaira</w:t>
      </w:r>
      <w:proofErr w:type="spellEnd"/>
      <w:r w:rsidR="00A24F65" w:rsidRPr="00780FAE">
        <w:rPr>
          <w:highlight w:val="yellow"/>
        </w:rPr>
        <w:t>, 2023</w:t>
      </w:r>
      <w:r w:rsidR="00A24F65">
        <w:rPr>
          <w:highlight w:val="yellow"/>
        </w:rPr>
        <w:t>)</w:t>
      </w:r>
      <w:r w:rsidR="00A24F65" w:rsidRPr="00780FAE">
        <w:rPr>
          <w:highlight w:val="yellow"/>
        </w:rPr>
        <w:t>.</w:t>
      </w:r>
    </w:p>
    <w:p w14:paraId="2329104B" w14:textId="138ACF7C" w:rsidR="002C0873" w:rsidRPr="002914E7" w:rsidRDefault="002C0873" w:rsidP="002C0873">
      <w:pPr>
        <w:jc w:val="both"/>
        <w:rPr>
          <w:rFonts w:ascii="Arial" w:hAnsi="Arial" w:cs="Arial"/>
          <w:sz w:val="20"/>
          <w:szCs w:val="20"/>
        </w:rPr>
      </w:pPr>
      <w:r w:rsidRPr="002914E7">
        <w:rPr>
          <w:rFonts w:ascii="Arial" w:hAnsi="Arial" w:cs="Arial"/>
          <w:sz w:val="20"/>
          <w:szCs w:val="20"/>
        </w:rPr>
        <w:t>Dates (</w:t>
      </w:r>
      <w:r w:rsidRPr="00C96CC0">
        <w:rPr>
          <w:rFonts w:ascii="Arial" w:hAnsi="Arial" w:cs="Arial"/>
          <w:i/>
          <w:iCs/>
          <w:sz w:val="20"/>
          <w:szCs w:val="20"/>
        </w:rPr>
        <w:t xml:space="preserve">Phoenix </w:t>
      </w:r>
      <w:proofErr w:type="spellStart"/>
      <w:r w:rsidRPr="00C96CC0">
        <w:rPr>
          <w:rFonts w:ascii="Arial" w:hAnsi="Arial" w:cs="Arial"/>
          <w:i/>
          <w:iCs/>
          <w:sz w:val="20"/>
          <w:szCs w:val="20"/>
        </w:rPr>
        <w:t>dactylifera</w:t>
      </w:r>
      <w:proofErr w:type="spellEnd"/>
      <w:r w:rsidRPr="002914E7">
        <w:rPr>
          <w:rFonts w:ascii="Arial" w:hAnsi="Arial" w:cs="Arial"/>
          <w:sz w:val="20"/>
          <w:szCs w:val="20"/>
        </w:rPr>
        <w:t xml:space="preserve">), with their rich, nutrient- thick profile, serve as an ideal base for creating energy-rich bars. Known for their natural sweetness, high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content, and abundance of essential minerals, dates give both quick and sustained energy key for </w:t>
      </w:r>
      <w:proofErr w:type="spellStart"/>
      <w:r w:rsidRPr="002914E7">
        <w:rPr>
          <w:rFonts w:ascii="Arial" w:hAnsi="Arial" w:cs="Arial"/>
          <w:sz w:val="20"/>
          <w:szCs w:val="20"/>
        </w:rPr>
        <w:t>fueling</w:t>
      </w:r>
      <w:proofErr w:type="spellEnd"/>
      <w:r w:rsidRPr="002914E7">
        <w:rPr>
          <w:rFonts w:ascii="Arial" w:hAnsi="Arial" w:cs="Arial"/>
          <w:sz w:val="20"/>
          <w:szCs w:val="20"/>
        </w:rPr>
        <w:t xml:space="preserve"> performance and supporting recovery. They also offer fresh health benefits similar as promoting digestive health and reducing oxidative stress, thanks to their high antioxidant content (</w:t>
      </w:r>
      <w:proofErr w:type="spellStart"/>
      <w:r w:rsidR="00101044" w:rsidRPr="00101044">
        <w:rPr>
          <w:rFonts w:ascii="Arial" w:hAnsi="Arial" w:cs="Arial"/>
          <w:sz w:val="20"/>
          <w:szCs w:val="20"/>
        </w:rPr>
        <w:t>Vayal</w:t>
      </w:r>
      <w:r w:rsidR="00101044">
        <w:rPr>
          <w:rFonts w:ascii="Arial" w:hAnsi="Arial" w:cs="Arial"/>
          <w:sz w:val="20"/>
          <w:szCs w:val="20"/>
        </w:rPr>
        <w:t>il</w:t>
      </w:r>
      <w:proofErr w:type="spellEnd"/>
      <w:r w:rsidR="00101044" w:rsidRPr="00101044">
        <w:rPr>
          <w:rFonts w:ascii="Arial" w:hAnsi="Arial" w:cs="Arial"/>
          <w:sz w:val="20"/>
          <w:szCs w:val="20"/>
        </w:rPr>
        <w:t>, 2012; Tang et al.,</w:t>
      </w:r>
      <w:r w:rsidR="00101044">
        <w:rPr>
          <w:rFonts w:ascii="Arial" w:hAnsi="Arial" w:cs="Arial"/>
          <w:sz w:val="20"/>
          <w:szCs w:val="20"/>
        </w:rPr>
        <w:t xml:space="preserve"> 2013</w:t>
      </w:r>
      <w:r w:rsidRPr="002914E7">
        <w:rPr>
          <w:rFonts w:ascii="Arial" w:hAnsi="Arial" w:cs="Arial"/>
          <w:sz w:val="20"/>
          <w:szCs w:val="20"/>
        </w:rPr>
        <w:t xml:space="preserve">). Dates are particularly salutary energy bars aimed at athletes, as they deliver a combination of simple sugars like sucrose, glucose, and fructose that give an immediate boost, alongside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that ensures a slow, steady release of energy (Van Toan &amp; Vinh, 2018).</w:t>
      </w:r>
    </w:p>
    <w:p w14:paraId="7962D0FA" w14:textId="222AD715" w:rsidR="002C0873" w:rsidRPr="002914E7" w:rsidRDefault="002C0873" w:rsidP="002C0873">
      <w:pPr>
        <w:jc w:val="both"/>
        <w:rPr>
          <w:rFonts w:ascii="Arial" w:hAnsi="Arial" w:cs="Arial"/>
          <w:sz w:val="20"/>
          <w:szCs w:val="20"/>
        </w:rPr>
      </w:pPr>
      <w:r w:rsidRPr="002914E7">
        <w:rPr>
          <w:rFonts w:ascii="Arial" w:hAnsi="Arial" w:cs="Arial"/>
          <w:sz w:val="20"/>
          <w:szCs w:val="20"/>
        </w:rPr>
        <w:t>Incorporating cantaloupe seeds (</w:t>
      </w:r>
      <w:r w:rsidRPr="00C96CC0">
        <w:rPr>
          <w:rFonts w:ascii="Arial" w:hAnsi="Arial" w:cs="Arial"/>
          <w:i/>
          <w:iCs/>
          <w:sz w:val="20"/>
          <w:szCs w:val="20"/>
        </w:rPr>
        <w:t>Cucumis melo L</w:t>
      </w:r>
      <w:r w:rsidR="00101044">
        <w:rPr>
          <w:rFonts w:ascii="Arial" w:hAnsi="Arial" w:cs="Arial"/>
          <w:i/>
          <w:iCs/>
          <w:sz w:val="20"/>
          <w:szCs w:val="20"/>
        </w:rPr>
        <w:t>).</w:t>
      </w:r>
      <w:r w:rsidRPr="002914E7">
        <w:rPr>
          <w:rFonts w:ascii="Arial" w:hAnsi="Arial" w:cs="Arial"/>
          <w:sz w:val="20"/>
          <w:szCs w:val="20"/>
        </w:rPr>
        <w:t xml:space="preserve"> frequently</w:t>
      </w:r>
      <w:r w:rsidR="001643F2">
        <w:rPr>
          <w:rFonts w:ascii="Arial" w:hAnsi="Arial" w:cs="Arial"/>
          <w:sz w:val="20"/>
          <w:szCs w:val="20"/>
        </w:rPr>
        <w:t>-</w:t>
      </w:r>
      <w:r w:rsidRPr="002914E7">
        <w:rPr>
          <w:rFonts w:ascii="Arial" w:hAnsi="Arial" w:cs="Arial"/>
          <w:sz w:val="20"/>
          <w:szCs w:val="20"/>
        </w:rPr>
        <w:t>overlooked component, farther elevates the nutritive value of these bars. In terms of nutritional composition, the energy bar is characterized by a considerable quantity of carbohydrates, proteins, lipids, and essential minerals. Studies have shown that melon seeds aren't only nutritionally thick but also rich in minerals like potassium, magnesium, and iron, supporting electrolyte balance and muscle function during violent physical exertion (Kamble et al., 2022)</w:t>
      </w:r>
      <w:r w:rsidR="00F85EF6">
        <w:rPr>
          <w:rFonts w:ascii="Arial" w:hAnsi="Arial" w:cs="Arial"/>
          <w:sz w:val="20"/>
          <w:szCs w:val="20"/>
        </w:rPr>
        <w:t xml:space="preserve"> The combination of dates and cantaloupe seeds provides a nutritious eco-friendly alternative to traditional energy bar</w:t>
      </w:r>
      <w:r w:rsidRPr="002914E7">
        <w:rPr>
          <w:rFonts w:ascii="Arial" w:hAnsi="Arial" w:cs="Arial"/>
          <w:sz w:val="20"/>
          <w:szCs w:val="20"/>
        </w:rPr>
        <w:t xml:space="preserve">, appealing to health-conscious consumers and those seeking a natural, whole- food option for </w:t>
      </w:r>
      <w:proofErr w:type="spellStart"/>
      <w:r w:rsidRPr="002914E7">
        <w:rPr>
          <w:rFonts w:ascii="Arial" w:hAnsi="Arial" w:cs="Arial"/>
          <w:sz w:val="20"/>
          <w:szCs w:val="20"/>
        </w:rPr>
        <w:t>fueling</w:t>
      </w:r>
      <w:proofErr w:type="spellEnd"/>
      <w:r w:rsidRPr="002914E7">
        <w:rPr>
          <w:rFonts w:ascii="Arial" w:hAnsi="Arial" w:cs="Arial"/>
          <w:sz w:val="20"/>
          <w:szCs w:val="20"/>
        </w:rPr>
        <w:t xml:space="preserve"> their active cultures.</w:t>
      </w:r>
    </w:p>
    <w:p w14:paraId="28F50625" w14:textId="79CAE400" w:rsidR="002C0873" w:rsidRPr="00625749" w:rsidRDefault="0022220F" w:rsidP="002C0873">
      <w:pPr>
        <w:jc w:val="both"/>
        <w:rPr>
          <w:rFonts w:ascii="Arial" w:hAnsi="Arial" w:cs="Arial"/>
          <w:b/>
          <w:bCs/>
          <w:sz w:val="22"/>
          <w:szCs w:val="22"/>
        </w:rPr>
      </w:pPr>
      <w:r>
        <w:rPr>
          <w:rFonts w:ascii="Arial" w:hAnsi="Arial" w:cs="Arial"/>
          <w:b/>
          <w:bCs/>
          <w:sz w:val="22"/>
          <w:szCs w:val="22"/>
        </w:rPr>
        <w:t>2.</w:t>
      </w:r>
      <w:r w:rsidR="002C0873">
        <w:rPr>
          <w:rFonts w:ascii="Arial" w:hAnsi="Arial" w:cs="Arial"/>
          <w:b/>
          <w:bCs/>
          <w:sz w:val="22"/>
          <w:szCs w:val="22"/>
        </w:rPr>
        <w:t xml:space="preserve"> </w:t>
      </w:r>
      <w:r w:rsidR="002C0873" w:rsidRPr="00625749">
        <w:rPr>
          <w:rFonts w:ascii="Arial" w:hAnsi="Arial" w:cs="Arial"/>
          <w:b/>
          <w:bCs/>
          <w:sz w:val="22"/>
          <w:szCs w:val="22"/>
        </w:rPr>
        <w:t>RAW INGREDIENTS FOR ENERGY BAR</w:t>
      </w:r>
    </w:p>
    <w:p w14:paraId="6D5D3579" w14:textId="51F95E31" w:rsidR="002C0873" w:rsidRPr="00625749" w:rsidRDefault="0022220F" w:rsidP="002C0873">
      <w:pPr>
        <w:jc w:val="both"/>
        <w:rPr>
          <w:rFonts w:ascii="Arial" w:hAnsi="Arial" w:cs="Arial"/>
          <w:b/>
          <w:bCs/>
          <w:sz w:val="22"/>
          <w:szCs w:val="22"/>
        </w:rPr>
      </w:pPr>
      <w:r>
        <w:rPr>
          <w:rFonts w:ascii="Arial" w:hAnsi="Arial" w:cs="Arial"/>
          <w:b/>
          <w:bCs/>
          <w:sz w:val="22"/>
          <w:szCs w:val="22"/>
        </w:rPr>
        <w:t>2.</w:t>
      </w:r>
      <w:r w:rsidR="008C3135">
        <w:rPr>
          <w:rFonts w:ascii="Arial" w:hAnsi="Arial" w:cs="Arial"/>
          <w:b/>
          <w:bCs/>
          <w:sz w:val="22"/>
          <w:szCs w:val="22"/>
        </w:rPr>
        <w:t>1</w:t>
      </w:r>
      <w:r>
        <w:rPr>
          <w:rFonts w:ascii="Arial" w:hAnsi="Arial" w:cs="Arial"/>
          <w:b/>
          <w:bCs/>
          <w:sz w:val="22"/>
          <w:szCs w:val="22"/>
        </w:rPr>
        <w:t xml:space="preserve"> </w:t>
      </w:r>
      <w:r w:rsidR="002C0873" w:rsidRPr="00625749">
        <w:rPr>
          <w:rFonts w:ascii="Arial" w:hAnsi="Arial" w:cs="Arial"/>
          <w:b/>
          <w:bCs/>
          <w:sz w:val="22"/>
          <w:szCs w:val="22"/>
        </w:rPr>
        <w:t>Cantaloupe Seeds</w:t>
      </w:r>
    </w:p>
    <w:p w14:paraId="2BD96316" w14:textId="08FD7AE1" w:rsidR="002C0873" w:rsidRPr="002914E7" w:rsidRDefault="002C0873" w:rsidP="002C0873">
      <w:pPr>
        <w:jc w:val="both"/>
        <w:rPr>
          <w:rFonts w:ascii="Arial" w:hAnsi="Arial" w:cs="Arial"/>
          <w:sz w:val="20"/>
          <w:szCs w:val="20"/>
        </w:rPr>
      </w:pPr>
      <w:r w:rsidRPr="002914E7">
        <w:rPr>
          <w:rFonts w:ascii="Arial" w:hAnsi="Arial" w:cs="Arial"/>
          <w:sz w:val="20"/>
          <w:szCs w:val="20"/>
        </w:rPr>
        <w:t xml:space="preserve">The extract obtained from melon seeds acts as an excellent substitute for functional foods that enhance health, thanks to its high concentrations of proteins, fats, and dietary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w:t>
      </w:r>
      <w:proofErr w:type="spellStart"/>
      <w:r w:rsidRPr="002914E7">
        <w:rPr>
          <w:rFonts w:ascii="Arial" w:hAnsi="Arial" w:cs="Arial"/>
          <w:sz w:val="20"/>
          <w:szCs w:val="20"/>
        </w:rPr>
        <w:t>Mehra</w:t>
      </w:r>
      <w:proofErr w:type="spellEnd"/>
      <w:r w:rsidRPr="002914E7">
        <w:rPr>
          <w:rFonts w:ascii="Arial" w:hAnsi="Arial" w:cs="Arial"/>
          <w:sz w:val="20"/>
          <w:szCs w:val="20"/>
        </w:rPr>
        <w:t xml:space="preserve"> et al., 2015). </w:t>
      </w:r>
      <w:r w:rsidR="002A17F6" w:rsidRPr="002A17F6">
        <w:rPr>
          <w:rFonts w:ascii="Arial" w:hAnsi="Arial" w:cs="Arial"/>
          <w:sz w:val="20"/>
          <w:szCs w:val="20"/>
        </w:rPr>
        <w:t xml:space="preserve">The dry seeds of Cucumis melon were </w:t>
      </w:r>
      <w:r w:rsidR="00603668">
        <w:rPr>
          <w:rFonts w:ascii="Arial" w:hAnsi="Arial" w:cs="Arial"/>
          <w:sz w:val="20"/>
          <w:szCs w:val="20"/>
        </w:rPr>
        <w:t xml:space="preserve">examined </w:t>
      </w:r>
      <w:r w:rsidR="005B03A1">
        <w:rPr>
          <w:rFonts w:ascii="Arial" w:hAnsi="Arial" w:cs="Arial"/>
          <w:sz w:val="20"/>
          <w:szCs w:val="20"/>
        </w:rPr>
        <w:t>and</w:t>
      </w:r>
      <w:r w:rsidR="002A17F6" w:rsidRPr="002A17F6">
        <w:rPr>
          <w:rFonts w:ascii="Arial" w:hAnsi="Arial" w:cs="Arial"/>
          <w:sz w:val="20"/>
          <w:szCs w:val="20"/>
        </w:rPr>
        <w:t xml:space="preserve"> </w:t>
      </w:r>
      <w:r w:rsidR="00603668">
        <w:rPr>
          <w:rFonts w:ascii="Arial" w:hAnsi="Arial" w:cs="Arial"/>
          <w:sz w:val="20"/>
          <w:szCs w:val="20"/>
        </w:rPr>
        <w:t>exp</w:t>
      </w:r>
      <w:r w:rsidR="005B03A1">
        <w:rPr>
          <w:rFonts w:ascii="Arial" w:hAnsi="Arial" w:cs="Arial"/>
          <w:sz w:val="20"/>
          <w:szCs w:val="20"/>
        </w:rPr>
        <w:t xml:space="preserve">osed similar fat contain as found in this study, but they had lower dietary </w:t>
      </w:r>
      <w:proofErr w:type="spellStart"/>
      <w:r w:rsidR="005B03A1">
        <w:rPr>
          <w:rFonts w:ascii="Arial" w:hAnsi="Arial" w:cs="Arial"/>
          <w:sz w:val="20"/>
          <w:szCs w:val="20"/>
        </w:rPr>
        <w:t>fiber</w:t>
      </w:r>
      <w:proofErr w:type="spellEnd"/>
      <w:r w:rsidR="005B03A1">
        <w:rPr>
          <w:rFonts w:ascii="Arial" w:hAnsi="Arial" w:cs="Arial"/>
          <w:sz w:val="20"/>
          <w:szCs w:val="20"/>
        </w:rPr>
        <w:t>.</w:t>
      </w:r>
      <w:r w:rsidR="002A17F6" w:rsidRPr="002A17F6">
        <w:rPr>
          <w:rFonts w:ascii="Arial" w:hAnsi="Arial" w:cs="Arial"/>
          <w:sz w:val="20"/>
          <w:szCs w:val="20"/>
        </w:rPr>
        <w:t xml:space="preserve"> lipid</w:t>
      </w:r>
      <w:r w:rsidR="005B03A1">
        <w:rPr>
          <w:rFonts w:ascii="Arial" w:hAnsi="Arial" w:cs="Arial"/>
          <w:sz w:val="20"/>
          <w:szCs w:val="20"/>
        </w:rPr>
        <w:t xml:space="preserve"> </w:t>
      </w:r>
      <w:r w:rsidR="002A17F6" w:rsidRPr="002A17F6">
        <w:rPr>
          <w:rFonts w:ascii="Arial" w:hAnsi="Arial" w:cs="Arial"/>
          <w:sz w:val="20"/>
          <w:szCs w:val="20"/>
        </w:rPr>
        <w:t xml:space="preserve">values that align with those identified in the present investigation, although the dietary </w:t>
      </w:r>
      <w:proofErr w:type="spellStart"/>
      <w:r w:rsidR="002A17F6" w:rsidRPr="002A17F6">
        <w:rPr>
          <w:rFonts w:ascii="Arial" w:hAnsi="Arial" w:cs="Arial"/>
          <w:sz w:val="20"/>
          <w:szCs w:val="20"/>
        </w:rPr>
        <w:t>fiber</w:t>
      </w:r>
      <w:proofErr w:type="spellEnd"/>
      <w:r w:rsidR="002A17F6" w:rsidRPr="002A17F6">
        <w:rPr>
          <w:rFonts w:ascii="Arial" w:hAnsi="Arial" w:cs="Arial"/>
          <w:sz w:val="20"/>
          <w:szCs w:val="20"/>
        </w:rPr>
        <w:t xml:space="preserve"> content was found to be inferior</w:t>
      </w:r>
      <w:r>
        <w:rPr>
          <w:rFonts w:ascii="Arial" w:hAnsi="Arial" w:cs="Arial"/>
          <w:sz w:val="20"/>
          <w:szCs w:val="20"/>
        </w:rPr>
        <w:t xml:space="preserve">. </w:t>
      </w:r>
      <w:r w:rsidRPr="002914E7">
        <w:rPr>
          <w:rFonts w:ascii="Arial" w:hAnsi="Arial" w:cs="Arial"/>
          <w:sz w:val="20"/>
          <w:szCs w:val="20"/>
        </w:rPr>
        <w:t>A review study has demonstrated the protein concentrations present in Cucumis melo L. melon seeds ranged from 15% to 36%.</w:t>
      </w:r>
    </w:p>
    <w:p w14:paraId="4DBB0DD8" w14:textId="118D3572" w:rsidR="002C0873" w:rsidRPr="00625749" w:rsidRDefault="0022220F" w:rsidP="002C0873">
      <w:pPr>
        <w:jc w:val="both"/>
        <w:rPr>
          <w:rFonts w:ascii="Arial" w:hAnsi="Arial" w:cs="Arial"/>
          <w:b/>
          <w:bCs/>
          <w:sz w:val="22"/>
          <w:szCs w:val="22"/>
        </w:rPr>
      </w:pPr>
      <w:r>
        <w:rPr>
          <w:rFonts w:ascii="Arial" w:hAnsi="Arial" w:cs="Arial"/>
          <w:b/>
          <w:bCs/>
          <w:sz w:val="22"/>
          <w:szCs w:val="22"/>
        </w:rPr>
        <w:t>2</w:t>
      </w:r>
      <w:r w:rsidR="008C3135">
        <w:rPr>
          <w:rFonts w:ascii="Arial" w:hAnsi="Arial" w:cs="Arial"/>
          <w:b/>
          <w:bCs/>
          <w:sz w:val="22"/>
          <w:szCs w:val="22"/>
        </w:rPr>
        <w:t>.1</w:t>
      </w:r>
      <w:r>
        <w:rPr>
          <w:rFonts w:ascii="Arial" w:hAnsi="Arial" w:cs="Arial"/>
          <w:b/>
          <w:bCs/>
          <w:sz w:val="22"/>
          <w:szCs w:val="22"/>
        </w:rPr>
        <w:t>.1</w:t>
      </w:r>
      <w:r w:rsidR="008C3135">
        <w:rPr>
          <w:rFonts w:ascii="Arial" w:hAnsi="Arial" w:cs="Arial"/>
          <w:b/>
          <w:bCs/>
          <w:sz w:val="22"/>
          <w:szCs w:val="22"/>
        </w:rPr>
        <w:t xml:space="preserve"> </w:t>
      </w:r>
      <w:r w:rsidR="002C0873" w:rsidRPr="00625749">
        <w:rPr>
          <w:rFonts w:ascii="Arial" w:hAnsi="Arial" w:cs="Arial"/>
          <w:b/>
          <w:bCs/>
          <w:sz w:val="22"/>
          <w:szCs w:val="22"/>
        </w:rPr>
        <w:t>Botanical Description</w:t>
      </w:r>
    </w:p>
    <w:p w14:paraId="1C0F02EB" w14:textId="77777777" w:rsidR="002C0873" w:rsidRPr="002914E7" w:rsidRDefault="002C0873" w:rsidP="002C0873">
      <w:pPr>
        <w:jc w:val="both"/>
        <w:rPr>
          <w:rFonts w:ascii="Arial" w:hAnsi="Arial" w:cs="Arial"/>
          <w:sz w:val="20"/>
          <w:szCs w:val="20"/>
        </w:rPr>
      </w:pPr>
      <w:r w:rsidRPr="002914E7">
        <w:rPr>
          <w:rFonts w:ascii="Arial" w:hAnsi="Arial" w:cs="Arial"/>
          <w:sz w:val="20"/>
          <w:szCs w:val="20"/>
        </w:rPr>
        <w:t>Melon (</w:t>
      </w:r>
      <w:r w:rsidRPr="002914E7">
        <w:rPr>
          <w:rFonts w:ascii="Arial" w:hAnsi="Arial" w:cs="Arial"/>
          <w:i/>
          <w:iCs/>
          <w:sz w:val="20"/>
          <w:szCs w:val="20"/>
        </w:rPr>
        <w:t>Cucumis melo L.</w:t>
      </w:r>
      <w:r w:rsidRPr="002914E7">
        <w:rPr>
          <w:rFonts w:ascii="Arial" w:hAnsi="Arial" w:cs="Arial"/>
          <w:sz w:val="20"/>
          <w:szCs w:val="20"/>
        </w:rPr>
        <w:t xml:space="preserve">) belongs to the </w:t>
      </w:r>
      <w:r w:rsidRPr="002914E7">
        <w:rPr>
          <w:rFonts w:ascii="Arial" w:hAnsi="Arial" w:cs="Arial"/>
          <w:i/>
          <w:iCs/>
          <w:sz w:val="20"/>
          <w:szCs w:val="20"/>
        </w:rPr>
        <w:t>Cucurbitaceae</w:t>
      </w:r>
      <w:r w:rsidRPr="002914E7">
        <w:rPr>
          <w:rFonts w:ascii="Arial" w:hAnsi="Arial" w:cs="Arial"/>
          <w:sz w:val="20"/>
          <w:szCs w:val="20"/>
        </w:rPr>
        <w:t xml:space="preserve"> family, which also includes cucumbers, pumpkins, watermelons, and squash. This species is highly variable in terms of fruit characteristics, with a vast array of sizes, shapes, and </w:t>
      </w:r>
      <w:proofErr w:type="spellStart"/>
      <w:r w:rsidRPr="002914E7">
        <w:rPr>
          <w:rFonts w:ascii="Arial" w:hAnsi="Arial" w:cs="Arial"/>
          <w:sz w:val="20"/>
          <w:szCs w:val="20"/>
        </w:rPr>
        <w:t>flavors</w:t>
      </w:r>
      <w:proofErr w:type="spellEnd"/>
      <w:r w:rsidRPr="002914E7">
        <w:rPr>
          <w:rFonts w:ascii="Arial" w:hAnsi="Arial" w:cs="Arial"/>
          <w:sz w:val="20"/>
          <w:szCs w:val="20"/>
        </w:rPr>
        <w:t>. The fruit’s skin and flesh can vary greatly, often leading to confusion with watermelon (</w:t>
      </w:r>
      <w:r w:rsidRPr="002914E7">
        <w:rPr>
          <w:rFonts w:ascii="Arial" w:hAnsi="Arial" w:cs="Arial"/>
          <w:i/>
          <w:iCs/>
          <w:sz w:val="20"/>
          <w:szCs w:val="20"/>
        </w:rPr>
        <w:t>Citrullus lanatus</w:t>
      </w:r>
      <w:r w:rsidRPr="002914E7">
        <w:rPr>
          <w:rFonts w:ascii="Arial" w:hAnsi="Arial" w:cs="Arial"/>
          <w:sz w:val="20"/>
          <w:szCs w:val="20"/>
        </w:rPr>
        <w:t xml:space="preserve">) due to their similar size and sweet </w:t>
      </w:r>
      <w:proofErr w:type="spellStart"/>
      <w:r w:rsidRPr="002914E7">
        <w:rPr>
          <w:rFonts w:ascii="Arial" w:hAnsi="Arial" w:cs="Arial"/>
          <w:sz w:val="20"/>
          <w:szCs w:val="20"/>
        </w:rPr>
        <w:t>flavor</w:t>
      </w:r>
      <w:proofErr w:type="spellEnd"/>
      <w:r w:rsidRPr="002914E7">
        <w:rPr>
          <w:rFonts w:ascii="Arial" w:hAnsi="Arial" w:cs="Arial"/>
          <w:sz w:val="20"/>
          <w:szCs w:val="20"/>
        </w:rPr>
        <w:t xml:space="preserve"> (Petkova&amp;Antova,2015). </w:t>
      </w:r>
    </w:p>
    <w:p w14:paraId="06EFB6FC" w14:textId="77777777" w:rsidR="002C0873" w:rsidRPr="002914E7" w:rsidRDefault="002C0873" w:rsidP="002C0873">
      <w:pPr>
        <w:jc w:val="both"/>
        <w:rPr>
          <w:rFonts w:ascii="Arial" w:hAnsi="Arial" w:cs="Arial"/>
          <w:sz w:val="20"/>
          <w:szCs w:val="20"/>
        </w:rPr>
      </w:pPr>
      <w:r w:rsidRPr="002914E7">
        <w:rPr>
          <w:rFonts w:ascii="Arial" w:hAnsi="Arial" w:cs="Arial"/>
          <w:sz w:val="20"/>
          <w:szCs w:val="20"/>
        </w:rPr>
        <w:t xml:space="preserve">In 1859, Naudin proposed a classification system for </w:t>
      </w:r>
      <w:r w:rsidRPr="002914E7">
        <w:rPr>
          <w:rFonts w:ascii="Arial" w:hAnsi="Arial" w:cs="Arial"/>
          <w:i/>
          <w:iCs/>
          <w:sz w:val="20"/>
          <w:szCs w:val="20"/>
        </w:rPr>
        <w:t>Cucumis melo L.</w:t>
      </w:r>
      <w:r w:rsidRPr="002914E7">
        <w:rPr>
          <w:rFonts w:ascii="Arial" w:hAnsi="Arial" w:cs="Arial"/>
          <w:sz w:val="20"/>
          <w:szCs w:val="20"/>
        </w:rPr>
        <w:t>, categorizing it into ten distinct varieties based on their fruit characteristics, highlighting the significant morphological diversity within the species.</w:t>
      </w:r>
    </w:p>
    <w:p w14:paraId="16D83E90" w14:textId="5F89CD41" w:rsidR="002C0873" w:rsidRDefault="0022220F" w:rsidP="002C0873">
      <w:pPr>
        <w:jc w:val="both"/>
        <w:rPr>
          <w:rFonts w:ascii="Arial" w:hAnsi="Arial" w:cs="Arial"/>
          <w:b/>
          <w:bCs/>
          <w:sz w:val="22"/>
          <w:szCs w:val="22"/>
        </w:rPr>
      </w:pPr>
      <w:r>
        <w:rPr>
          <w:rFonts w:ascii="Arial" w:hAnsi="Arial" w:cs="Arial"/>
          <w:b/>
          <w:bCs/>
          <w:sz w:val="22"/>
          <w:szCs w:val="22"/>
        </w:rPr>
        <w:t>2.</w:t>
      </w:r>
      <w:r w:rsidR="008C3135">
        <w:rPr>
          <w:rFonts w:ascii="Arial" w:hAnsi="Arial" w:cs="Arial"/>
          <w:b/>
          <w:bCs/>
          <w:sz w:val="22"/>
          <w:szCs w:val="22"/>
        </w:rPr>
        <w:t xml:space="preserve">1.2 </w:t>
      </w:r>
      <w:r w:rsidR="002C0873" w:rsidRPr="00625749">
        <w:rPr>
          <w:rFonts w:ascii="Arial" w:hAnsi="Arial" w:cs="Arial"/>
          <w:b/>
          <w:bCs/>
          <w:sz w:val="22"/>
          <w:szCs w:val="22"/>
        </w:rPr>
        <w:t>Distribution and Cultivation Regions</w:t>
      </w:r>
    </w:p>
    <w:p w14:paraId="68C5415E" w14:textId="7F257B91" w:rsidR="002C0873" w:rsidRDefault="002C0873" w:rsidP="002C0873">
      <w:pPr>
        <w:jc w:val="both"/>
        <w:rPr>
          <w:rFonts w:ascii="Arial" w:hAnsi="Arial" w:cs="Arial"/>
          <w:sz w:val="20"/>
          <w:szCs w:val="20"/>
        </w:rPr>
      </w:pPr>
      <w:r w:rsidRPr="0077216E">
        <w:rPr>
          <w:rFonts w:ascii="Arial" w:hAnsi="Arial" w:cs="Arial"/>
          <w:sz w:val="20"/>
          <w:szCs w:val="20"/>
        </w:rPr>
        <w:t xml:space="preserve">The precise origin of the melon continues to be a contentious issue within the academic community. While some sources suggest Africa as the primary </w:t>
      </w:r>
      <w:proofErr w:type="spellStart"/>
      <w:r w:rsidRPr="0077216E">
        <w:rPr>
          <w:rFonts w:ascii="Arial" w:hAnsi="Arial" w:cs="Arial"/>
          <w:sz w:val="20"/>
          <w:szCs w:val="20"/>
        </w:rPr>
        <w:t>center</w:t>
      </w:r>
      <w:proofErr w:type="spellEnd"/>
      <w:r w:rsidRPr="0077216E">
        <w:rPr>
          <w:rFonts w:ascii="Arial" w:hAnsi="Arial" w:cs="Arial"/>
          <w:sz w:val="20"/>
          <w:szCs w:val="20"/>
        </w:rPr>
        <w:t xml:space="preserve"> of diversity, others argue that it originated in Asia, specifically from </w:t>
      </w:r>
      <w:r>
        <w:rPr>
          <w:rFonts w:ascii="Arial" w:hAnsi="Arial" w:cs="Arial"/>
          <w:sz w:val="20"/>
          <w:szCs w:val="20"/>
        </w:rPr>
        <w:t>(</w:t>
      </w:r>
      <w:r w:rsidRPr="0077216E">
        <w:rPr>
          <w:rFonts w:ascii="Arial" w:hAnsi="Arial" w:cs="Arial"/>
          <w:sz w:val="20"/>
          <w:szCs w:val="20"/>
        </w:rPr>
        <w:t>Turkey to Japan</w:t>
      </w:r>
      <w:r>
        <w:rPr>
          <w:rFonts w:ascii="Arial" w:hAnsi="Arial" w:cs="Arial"/>
          <w:sz w:val="20"/>
          <w:szCs w:val="20"/>
        </w:rPr>
        <w:t>)</w:t>
      </w:r>
      <w:r w:rsidRPr="0077216E">
        <w:rPr>
          <w:rFonts w:ascii="Arial" w:hAnsi="Arial" w:cs="Arial"/>
          <w:sz w:val="20"/>
          <w:szCs w:val="20"/>
        </w:rPr>
        <w:t xml:space="preserve"> (Garg et al., 2007). Despite the ongoing debate about its origin, melons are now widely cultivated in regions with temperate and arid climates, including Africa, where </w:t>
      </w:r>
      <w:r w:rsidRPr="0077216E">
        <w:rPr>
          <w:rFonts w:ascii="Arial" w:hAnsi="Arial" w:cs="Arial"/>
          <w:sz w:val="20"/>
          <w:szCs w:val="20"/>
        </w:rPr>
        <w:lastRenderedPageBreak/>
        <w:t xml:space="preserve">nations such as </w:t>
      </w:r>
      <w:r>
        <w:rPr>
          <w:rFonts w:ascii="Arial" w:hAnsi="Arial" w:cs="Arial"/>
          <w:sz w:val="20"/>
          <w:szCs w:val="20"/>
        </w:rPr>
        <w:t>(</w:t>
      </w:r>
      <w:r w:rsidRPr="0077216E">
        <w:rPr>
          <w:rFonts w:ascii="Arial" w:hAnsi="Arial" w:cs="Arial"/>
          <w:sz w:val="20"/>
          <w:szCs w:val="20"/>
        </w:rPr>
        <w:t>Angola, Cape Verde, and Egypt</w:t>
      </w:r>
      <w:r>
        <w:rPr>
          <w:rFonts w:ascii="Arial" w:hAnsi="Arial" w:cs="Arial"/>
          <w:sz w:val="20"/>
          <w:szCs w:val="20"/>
        </w:rPr>
        <w:t>)</w:t>
      </w:r>
      <w:r w:rsidRPr="0077216E">
        <w:rPr>
          <w:rFonts w:ascii="Arial" w:hAnsi="Arial" w:cs="Arial"/>
          <w:sz w:val="20"/>
          <w:szCs w:val="20"/>
        </w:rPr>
        <w:t xml:space="preserve"> exhibit optimal conditions for melon cultivation, </w:t>
      </w:r>
      <w:r w:rsidR="00DD3F6E">
        <w:rPr>
          <w:rFonts w:ascii="Arial" w:hAnsi="Arial" w:cs="Arial"/>
          <w:sz w:val="20"/>
          <w:szCs w:val="20"/>
        </w:rPr>
        <w:t xml:space="preserve">developing </w:t>
      </w:r>
      <w:r w:rsidRPr="0077216E">
        <w:rPr>
          <w:rFonts w:ascii="Arial" w:hAnsi="Arial" w:cs="Arial"/>
          <w:sz w:val="20"/>
          <w:szCs w:val="20"/>
        </w:rPr>
        <w:t>in both temperate and arid climates.</w:t>
      </w:r>
    </w:p>
    <w:p w14:paraId="72699501" w14:textId="77777777" w:rsidR="002C0873" w:rsidRPr="0077216E" w:rsidRDefault="002C0873" w:rsidP="002C0873">
      <w:pPr>
        <w:jc w:val="both"/>
        <w:rPr>
          <w:rFonts w:ascii="Arial" w:hAnsi="Arial" w:cs="Arial"/>
          <w:sz w:val="20"/>
          <w:szCs w:val="20"/>
        </w:rPr>
      </w:pPr>
      <w:r w:rsidRPr="0077216E">
        <w:rPr>
          <w:rFonts w:ascii="Arial" w:hAnsi="Arial" w:cs="Arial"/>
          <w:sz w:val="20"/>
          <w:szCs w:val="20"/>
        </w:rPr>
        <w:t xml:space="preserve"> In Asia, the various melon types found in </w:t>
      </w:r>
      <w:r>
        <w:rPr>
          <w:rFonts w:ascii="Arial" w:hAnsi="Arial" w:cs="Arial"/>
          <w:sz w:val="20"/>
          <w:szCs w:val="20"/>
        </w:rPr>
        <w:t>(</w:t>
      </w:r>
      <w:r w:rsidRPr="0077216E">
        <w:rPr>
          <w:rFonts w:ascii="Arial" w:hAnsi="Arial" w:cs="Arial"/>
          <w:sz w:val="20"/>
          <w:szCs w:val="20"/>
        </w:rPr>
        <w:t>China, India, Japan, Nepal, and Indonesia</w:t>
      </w:r>
      <w:r>
        <w:rPr>
          <w:rFonts w:ascii="Arial" w:hAnsi="Arial" w:cs="Arial"/>
          <w:sz w:val="20"/>
          <w:szCs w:val="20"/>
        </w:rPr>
        <w:t>)</w:t>
      </w:r>
      <w:r w:rsidRPr="0077216E">
        <w:rPr>
          <w:rFonts w:ascii="Arial" w:hAnsi="Arial" w:cs="Arial"/>
          <w:sz w:val="20"/>
          <w:szCs w:val="20"/>
        </w:rPr>
        <w:t xml:space="preserve"> are well-known. Europe, particularly Mediterranean countries, provides </w:t>
      </w:r>
      <w:proofErr w:type="spellStart"/>
      <w:r w:rsidRPr="0077216E">
        <w:rPr>
          <w:rFonts w:ascii="Arial" w:hAnsi="Arial" w:cs="Arial"/>
          <w:sz w:val="20"/>
          <w:szCs w:val="20"/>
        </w:rPr>
        <w:t>favorable</w:t>
      </w:r>
      <w:proofErr w:type="spellEnd"/>
      <w:r w:rsidRPr="0077216E">
        <w:rPr>
          <w:rFonts w:ascii="Arial" w:hAnsi="Arial" w:cs="Arial"/>
          <w:sz w:val="20"/>
          <w:szCs w:val="20"/>
        </w:rPr>
        <w:t xml:space="preserve"> growing conditions that make it a desirable location for melon cultivation. Australia is recognized for its successful cultivation of melons within arid and semi-arid environments, which are particularly conducive to melon production. Melons are highly adaptable, growing well in environments with both temperate and dry conditions, making them a staple crop across diverse climatic zones.</w:t>
      </w:r>
    </w:p>
    <w:p w14:paraId="49E2B56D" w14:textId="77777777" w:rsidR="002C0873" w:rsidRDefault="002C0873" w:rsidP="002C0873">
      <w:pPr>
        <w:jc w:val="both"/>
        <w:rPr>
          <w:rFonts w:ascii="Arial" w:hAnsi="Arial" w:cs="Arial"/>
          <w:sz w:val="20"/>
          <w:szCs w:val="20"/>
        </w:rPr>
      </w:pPr>
      <w:r w:rsidRPr="002914E7">
        <w:rPr>
          <w:rFonts w:ascii="Arial" w:hAnsi="Arial" w:cs="Arial"/>
          <w:sz w:val="20"/>
          <w:szCs w:val="20"/>
        </w:rPr>
        <w:t>Melon is known by a variety of common names depending on the region and language, further illustrating its global importance and widespread cultivation (Kamble et al., 2022)</w:t>
      </w:r>
      <w:r>
        <w:rPr>
          <w:rFonts w:ascii="Arial" w:hAnsi="Arial" w:cs="Arial"/>
          <w:sz w:val="20"/>
          <w:szCs w:val="20"/>
        </w:rPr>
        <w:t>.</w:t>
      </w:r>
    </w:p>
    <w:p w14:paraId="72D6B123" w14:textId="77777777" w:rsidR="00EF147B" w:rsidRDefault="00EF147B" w:rsidP="002C0873">
      <w:pPr>
        <w:jc w:val="both"/>
        <w:rPr>
          <w:rFonts w:ascii="Arial" w:hAnsi="Arial" w:cs="Arial"/>
          <w:sz w:val="20"/>
          <w:szCs w:val="20"/>
        </w:rPr>
      </w:pPr>
    </w:p>
    <w:p w14:paraId="60148A2F" w14:textId="474F7F46" w:rsidR="00EF147B" w:rsidRDefault="00EF147B" w:rsidP="002C0873">
      <w:pPr>
        <w:jc w:val="both"/>
        <w:rPr>
          <w:rFonts w:ascii="Arial" w:hAnsi="Arial" w:cs="Arial"/>
          <w:sz w:val="20"/>
          <w:szCs w:val="20"/>
        </w:rPr>
      </w:pPr>
      <w:r>
        <w:rPr>
          <w:rFonts w:ascii="Arial" w:hAnsi="Arial" w:cs="Arial"/>
          <w:sz w:val="20"/>
          <w:szCs w:val="20"/>
        </w:rPr>
        <w:t xml:space="preserve">List </w:t>
      </w:r>
      <w:proofErr w:type="gramStart"/>
      <w:r>
        <w:rPr>
          <w:rFonts w:ascii="Arial" w:hAnsi="Arial" w:cs="Arial"/>
          <w:sz w:val="20"/>
          <w:szCs w:val="20"/>
        </w:rPr>
        <w:t>1 :</w:t>
      </w:r>
      <w:proofErr w:type="gramEnd"/>
      <w:r>
        <w:rPr>
          <w:rFonts w:ascii="Arial" w:hAnsi="Arial" w:cs="Arial"/>
          <w:sz w:val="20"/>
          <w:szCs w:val="20"/>
        </w:rPr>
        <w:t xml:space="preserve"> </w:t>
      </w:r>
      <w:r w:rsidR="00BE6971" w:rsidRPr="00BE6971">
        <w:rPr>
          <w:rFonts w:ascii="Arial" w:hAnsi="Arial" w:cs="Arial"/>
          <w:b/>
          <w:bCs/>
          <w:sz w:val="20"/>
          <w:szCs w:val="20"/>
        </w:rPr>
        <w:t>Names of Melon in different languages</w:t>
      </w:r>
    </w:p>
    <w:p w14:paraId="233F3EE8" w14:textId="77777777" w:rsidR="00916BED" w:rsidRDefault="00916BED" w:rsidP="002C0873">
      <w:pPr>
        <w:jc w:val="both"/>
        <w:rPr>
          <w:rFonts w:ascii="Arial" w:hAnsi="Arial" w:cs="Arial"/>
          <w:sz w:val="20"/>
          <w:szCs w:val="20"/>
        </w:rPr>
      </w:pPr>
    </w:p>
    <w:p w14:paraId="1956F11D" w14:textId="4845CBAE" w:rsidR="002C0873" w:rsidRDefault="008C3135" w:rsidP="00741A55">
      <w:pPr>
        <w:spacing w:line="276" w:lineRule="auto"/>
        <w:jc w:val="both"/>
        <w:rPr>
          <w:rFonts w:ascii="Arial" w:hAnsi="Arial" w:cs="Arial"/>
          <w:sz w:val="20"/>
          <w:szCs w:val="20"/>
        </w:rPr>
      </w:pPr>
      <w:r>
        <w:rPr>
          <w:rFonts w:ascii="Arial" w:hAnsi="Arial" w:cs="Arial"/>
          <w:sz w:val="20"/>
          <w:szCs w:val="20"/>
        </w:rPr>
        <w:t>English                                Sweet melon, Muskmelon, Cantaloupe</w:t>
      </w:r>
    </w:p>
    <w:p w14:paraId="6B919D0E" w14:textId="6AC3B478" w:rsidR="008C3135" w:rsidRDefault="008C3135" w:rsidP="00741A55">
      <w:pPr>
        <w:spacing w:line="276" w:lineRule="auto"/>
        <w:jc w:val="both"/>
        <w:rPr>
          <w:rFonts w:ascii="Arial" w:hAnsi="Arial" w:cs="Arial"/>
          <w:sz w:val="20"/>
          <w:szCs w:val="20"/>
        </w:rPr>
      </w:pPr>
      <w:r>
        <w:rPr>
          <w:rFonts w:ascii="Arial" w:hAnsi="Arial" w:cs="Arial"/>
          <w:sz w:val="20"/>
          <w:szCs w:val="20"/>
        </w:rPr>
        <w:t xml:space="preserve">Hindi                                    </w:t>
      </w:r>
      <w:proofErr w:type="spellStart"/>
      <w:r>
        <w:rPr>
          <w:rFonts w:ascii="Arial" w:hAnsi="Arial" w:cs="Arial"/>
          <w:sz w:val="20"/>
          <w:szCs w:val="20"/>
        </w:rPr>
        <w:t>Khajur</w:t>
      </w:r>
      <w:proofErr w:type="spellEnd"/>
      <w:r>
        <w:rPr>
          <w:rFonts w:ascii="Arial" w:hAnsi="Arial" w:cs="Arial"/>
          <w:sz w:val="20"/>
          <w:szCs w:val="20"/>
        </w:rPr>
        <w:t xml:space="preserve">, </w:t>
      </w:r>
      <w:proofErr w:type="spellStart"/>
      <w:r>
        <w:rPr>
          <w:rFonts w:ascii="Arial" w:hAnsi="Arial" w:cs="Arial"/>
          <w:sz w:val="20"/>
          <w:szCs w:val="20"/>
        </w:rPr>
        <w:t>Chohara</w:t>
      </w:r>
      <w:proofErr w:type="spellEnd"/>
    </w:p>
    <w:p w14:paraId="294A9C2A" w14:textId="77777777" w:rsidR="00741A55" w:rsidRDefault="008C3135" w:rsidP="00741A55">
      <w:pPr>
        <w:spacing w:line="276" w:lineRule="auto"/>
        <w:rPr>
          <w:rFonts w:ascii="Arial" w:hAnsi="Arial" w:cs="Arial"/>
          <w:sz w:val="20"/>
          <w:szCs w:val="20"/>
        </w:rPr>
      </w:pPr>
      <w:r>
        <w:rPr>
          <w:rFonts w:ascii="Arial" w:hAnsi="Arial" w:cs="Arial"/>
          <w:sz w:val="20"/>
          <w:szCs w:val="20"/>
        </w:rPr>
        <w:t xml:space="preserve">Bengali                                </w:t>
      </w:r>
      <w:proofErr w:type="spellStart"/>
      <w:r>
        <w:rPr>
          <w:rFonts w:ascii="Arial" w:hAnsi="Arial" w:cs="Arial"/>
          <w:sz w:val="20"/>
          <w:szCs w:val="20"/>
        </w:rPr>
        <w:t>Sohar</w:t>
      </w:r>
      <w:r w:rsidR="00741A55">
        <w:rPr>
          <w:rFonts w:ascii="Arial" w:hAnsi="Arial" w:cs="Arial"/>
          <w:sz w:val="20"/>
          <w:szCs w:val="20"/>
        </w:rPr>
        <w:t>a</w:t>
      </w:r>
      <w:proofErr w:type="spellEnd"/>
      <w:r>
        <w:rPr>
          <w:rFonts w:ascii="Arial" w:hAnsi="Arial" w:cs="Arial"/>
          <w:sz w:val="20"/>
          <w:szCs w:val="20"/>
        </w:rPr>
        <w:br/>
      </w:r>
    </w:p>
    <w:p w14:paraId="7A4A73FA" w14:textId="76CC95E2" w:rsidR="00741A55" w:rsidRPr="00741A55" w:rsidRDefault="0022220F" w:rsidP="00741A55">
      <w:pPr>
        <w:spacing w:line="276" w:lineRule="auto"/>
        <w:rPr>
          <w:rFonts w:ascii="Arial" w:hAnsi="Arial" w:cs="Arial"/>
          <w:sz w:val="20"/>
          <w:szCs w:val="20"/>
        </w:rPr>
      </w:pPr>
      <w:r>
        <w:rPr>
          <w:rFonts w:ascii="Arial" w:hAnsi="Arial" w:cs="Arial"/>
          <w:b/>
          <w:bCs/>
          <w:sz w:val="22"/>
          <w:szCs w:val="22"/>
        </w:rPr>
        <w:t>2.2</w:t>
      </w:r>
      <w:r w:rsidR="00741A55" w:rsidRPr="0094711D">
        <w:rPr>
          <w:rFonts w:ascii="Arial" w:hAnsi="Arial" w:cs="Arial"/>
          <w:b/>
          <w:bCs/>
          <w:sz w:val="22"/>
          <w:szCs w:val="22"/>
        </w:rPr>
        <w:t xml:space="preserve"> DATES</w:t>
      </w:r>
      <w:r w:rsidR="00741A55" w:rsidRPr="0094711D">
        <w:rPr>
          <w:rFonts w:ascii="Arial" w:eastAsia="Times New Roman" w:hAnsi="Arial" w:cs="Arial"/>
          <w:kern w:val="0"/>
          <w:sz w:val="22"/>
          <w:szCs w:val="22"/>
          <w:lang w:eastAsia="en-IN"/>
          <w14:ligatures w14:val="none"/>
        </w:rPr>
        <w:t xml:space="preserve"> </w:t>
      </w:r>
    </w:p>
    <w:p w14:paraId="15503569" w14:textId="5983A760" w:rsidR="00741A55" w:rsidRPr="002914E7" w:rsidRDefault="00741A55" w:rsidP="00741A55">
      <w:pPr>
        <w:jc w:val="both"/>
        <w:rPr>
          <w:rFonts w:ascii="Arial" w:hAnsi="Arial" w:cs="Arial"/>
          <w:sz w:val="20"/>
          <w:szCs w:val="20"/>
        </w:rPr>
      </w:pPr>
      <w:r w:rsidRPr="002914E7">
        <w:rPr>
          <w:rFonts w:ascii="Arial" w:hAnsi="Arial" w:cs="Arial"/>
          <w:sz w:val="20"/>
          <w:szCs w:val="20"/>
        </w:rPr>
        <w:t xml:space="preserve">A review study has indicated that the protein content in </w:t>
      </w:r>
      <w:r w:rsidRPr="0022220F">
        <w:rPr>
          <w:rFonts w:ascii="Arial" w:hAnsi="Arial" w:cs="Arial"/>
          <w:i/>
          <w:iCs/>
          <w:sz w:val="20"/>
          <w:szCs w:val="20"/>
        </w:rPr>
        <w:t>Cucumis melo L</w:t>
      </w:r>
      <w:r w:rsidRPr="002914E7">
        <w:rPr>
          <w:rFonts w:ascii="Arial" w:hAnsi="Arial" w:cs="Arial"/>
          <w:sz w:val="20"/>
          <w:szCs w:val="20"/>
        </w:rPr>
        <w:t xml:space="preserve"> is noteworthy. </w:t>
      </w:r>
      <w:r w:rsidR="002A17F6" w:rsidRPr="002A17F6">
        <w:rPr>
          <w:rFonts w:ascii="Arial" w:hAnsi="Arial" w:cs="Arial"/>
          <w:sz w:val="20"/>
          <w:szCs w:val="20"/>
        </w:rPr>
        <w:t>The fundamental components of dates consist of carbohydrates, primarily in the form of saccharides, which may constitute as much as 78% of their overall composition (Makki et al., 1998).</w:t>
      </w:r>
      <w:r w:rsidR="002A17F6">
        <w:rPr>
          <w:rFonts w:ascii="Arial" w:hAnsi="Arial" w:cs="Arial"/>
          <w:sz w:val="20"/>
          <w:szCs w:val="20"/>
        </w:rPr>
        <w:t xml:space="preserve"> </w:t>
      </w:r>
      <w:r w:rsidRPr="002914E7">
        <w:rPr>
          <w:rFonts w:ascii="Arial" w:hAnsi="Arial" w:cs="Arial"/>
          <w:sz w:val="20"/>
          <w:szCs w:val="20"/>
        </w:rPr>
        <w:t>Fructose, which is twice as sweet as glucose and can produce a feeling of fullness while offering the human body an easily available source of energy, makes up over 50% of the dates' sugar content (Ali et al., 2009).</w:t>
      </w:r>
    </w:p>
    <w:p w14:paraId="7C9B47C8" w14:textId="222B71DC" w:rsidR="00741A55" w:rsidRPr="002914E7" w:rsidRDefault="00741A55" w:rsidP="00741A55">
      <w:pPr>
        <w:jc w:val="both"/>
        <w:rPr>
          <w:rFonts w:ascii="Arial" w:hAnsi="Arial" w:cs="Arial"/>
          <w:sz w:val="20"/>
          <w:szCs w:val="20"/>
        </w:rPr>
      </w:pPr>
      <w:r w:rsidRPr="002914E7">
        <w:rPr>
          <w:rFonts w:ascii="Arial" w:hAnsi="Arial" w:cs="Arial"/>
          <w:sz w:val="20"/>
          <w:szCs w:val="20"/>
        </w:rPr>
        <w:t xml:space="preserve">Dates contain both the soluble and insoluble </w:t>
      </w:r>
      <w:proofErr w:type="spellStart"/>
      <w:r w:rsidRPr="002914E7">
        <w:rPr>
          <w:rFonts w:ascii="Arial" w:hAnsi="Arial" w:cs="Arial"/>
          <w:sz w:val="20"/>
          <w:szCs w:val="20"/>
        </w:rPr>
        <w:t>fibers</w:t>
      </w:r>
      <w:proofErr w:type="spellEnd"/>
      <w:r w:rsidRPr="002914E7">
        <w:rPr>
          <w:rFonts w:ascii="Arial" w:hAnsi="Arial" w:cs="Arial"/>
          <w:sz w:val="20"/>
          <w:szCs w:val="20"/>
        </w:rPr>
        <w:t xml:space="preserve">. </w:t>
      </w:r>
      <w:r w:rsidR="002A17F6" w:rsidRPr="002A17F6">
        <w:rPr>
          <w:rFonts w:ascii="Arial" w:hAnsi="Arial" w:cs="Arial"/>
          <w:sz w:val="20"/>
          <w:szCs w:val="20"/>
        </w:rPr>
        <w:t>The primary constituents of dates include cellulose, hemicellulose, pectin, lignin, and non-digestible proteins</w:t>
      </w:r>
      <w:r w:rsidRPr="002914E7">
        <w:rPr>
          <w:rFonts w:ascii="Arial" w:hAnsi="Arial" w:cs="Arial"/>
          <w:sz w:val="20"/>
          <w:szCs w:val="20"/>
        </w:rPr>
        <w:t xml:space="preserve">. Notably, proteins and lipids are present in minimal quantities within dates. Both the flesh and seeds of dates encompass a diverse array of saturated and unsaturated fatty acid While palmitoleic, oleic, linoleic, and linolenic acids are examples of capric, lauric, myristic, palmitic, stearic, margaric, arachidic, </w:t>
      </w:r>
      <w:proofErr w:type="spellStart"/>
      <w:r w:rsidRPr="002914E7">
        <w:rPr>
          <w:rFonts w:ascii="Arial" w:hAnsi="Arial" w:cs="Arial"/>
          <w:sz w:val="20"/>
          <w:szCs w:val="20"/>
        </w:rPr>
        <w:t>heneicosanoic</w:t>
      </w:r>
      <w:proofErr w:type="spellEnd"/>
      <w:r w:rsidRPr="002914E7">
        <w:rPr>
          <w:rFonts w:ascii="Arial" w:hAnsi="Arial" w:cs="Arial"/>
          <w:sz w:val="20"/>
          <w:szCs w:val="20"/>
        </w:rPr>
        <w:t xml:space="preserve">, behenic, and </w:t>
      </w:r>
      <w:proofErr w:type="spellStart"/>
      <w:r w:rsidRPr="002914E7">
        <w:rPr>
          <w:rFonts w:ascii="Arial" w:hAnsi="Arial" w:cs="Arial"/>
          <w:sz w:val="20"/>
          <w:szCs w:val="20"/>
        </w:rPr>
        <w:t>tricosanoic</w:t>
      </w:r>
      <w:proofErr w:type="spellEnd"/>
      <w:r w:rsidRPr="002914E7">
        <w:rPr>
          <w:rFonts w:ascii="Arial" w:hAnsi="Arial" w:cs="Arial"/>
          <w:sz w:val="20"/>
          <w:szCs w:val="20"/>
        </w:rPr>
        <w:t xml:space="preserve"> acids are examples of saturated fatty acids, while unsaturated fatty acids are the opposite (Al-Shahib &amp; Marshall, 2002, 2003). High concentrations of selenium, copper, potassium, and magnesium, as well as moderate amounts of manganese, iron, phosphorus, and calcium, and trace amounts of boron, are characteristics of dates.</w:t>
      </w:r>
    </w:p>
    <w:p w14:paraId="6C1DB52C" w14:textId="219F0813" w:rsidR="00741A55" w:rsidRPr="0094711D" w:rsidRDefault="0022220F" w:rsidP="00741A55">
      <w:pPr>
        <w:jc w:val="both"/>
        <w:rPr>
          <w:rFonts w:ascii="Arial" w:hAnsi="Arial" w:cs="Arial"/>
          <w:sz w:val="22"/>
          <w:szCs w:val="22"/>
        </w:rPr>
      </w:pPr>
      <w:r>
        <w:rPr>
          <w:rFonts w:ascii="Arial" w:hAnsi="Arial" w:cs="Arial"/>
          <w:b/>
          <w:bCs/>
          <w:sz w:val="22"/>
          <w:szCs w:val="22"/>
        </w:rPr>
        <w:t>2.</w:t>
      </w:r>
      <w:r w:rsidR="00741A55">
        <w:rPr>
          <w:rFonts w:ascii="Arial" w:hAnsi="Arial" w:cs="Arial"/>
          <w:b/>
          <w:bCs/>
          <w:sz w:val="22"/>
          <w:szCs w:val="22"/>
        </w:rPr>
        <w:t xml:space="preserve">2.1 </w:t>
      </w:r>
      <w:r w:rsidR="00741A55" w:rsidRPr="0094711D">
        <w:rPr>
          <w:rFonts w:ascii="Arial" w:hAnsi="Arial" w:cs="Arial"/>
          <w:b/>
          <w:bCs/>
          <w:sz w:val="22"/>
          <w:szCs w:val="22"/>
        </w:rPr>
        <w:t>Botanical Description</w:t>
      </w:r>
    </w:p>
    <w:p w14:paraId="4ABC3A04" w14:textId="3AF5C21C" w:rsidR="00741A55" w:rsidRPr="002914E7" w:rsidRDefault="00741A55" w:rsidP="00741A55">
      <w:pPr>
        <w:jc w:val="both"/>
        <w:rPr>
          <w:rFonts w:ascii="Arial" w:eastAsia="Times New Roman" w:hAnsi="Arial" w:cs="Arial"/>
          <w:kern w:val="0"/>
          <w:sz w:val="20"/>
          <w:szCs w:val="20"/>
          <w:lang w:eastAsia="en-IN"/>
          <w14:ligatures w14:val="none"/>
        </w:rPr>
      </w:pPr>
      <w:r w:rsidRPr="002914E7">
        <w:rPr>
          <w:rFonts w:ascii="Arial" w:hAnsi="Arial" w:cs="Arial"/>
          <w:sz w:val="20"/>
          <w:szCs w:val="20"/>
        </w:rPr>
        <w:t xml:space="preserve">The date palm, or </w:t>
      </w:r>
      <w:r w:rsidR="001F1F25">
        <w:rPr>
          <w:rFonts w:ascii="Arial" w:hAnsi="Arial" w:cs="Arial"/>
          <w:sz w:val="20"/>
          <w:szCs w:val="20"/>
        </w:rPr>
        <w:t>(</w:t>
      </w:r>
      <w:r w:rsidRPr="001F1F25">
        <w:rPr>
          <w:rFonts w:ascii="Arial" w:hAnsi="Arial" w:cs="Arial"/>
          <w:i/>
          <w:iCs/>
          <w:sz w:val="20"/>
          <w:szCs w:val="20"/>
        </w:rPr>
        <w:t>Phoenix dactylifera L</w:t>
      </w:r>
      <w:r w:rsidR="001F1F25">
        <w:rPr>
          <w:rFonts w:ascii="Arial" w:hAnsi="Arial" w:cs="Arial"/>
          <w:sz w:val="20"/>
          <w:szCs w:val="20"/>
        </w:rPr>
        <w:t>)</w:t>
      </w:r>
      <w:r w:rsidRPr="002914E7">
        <w:rPr>
          <w:rFonts w:ascii="Arial" w:hAnsi="Arial" w:cs="Arial"/>
          <w:sz w:val="20"/>
          <w:szCs w:val="20"/>
        </w:rPr>
        <w:t xml:space="preserve">., belongs to the </w:t>
      </w:r>
      <w:proofErr w:type="spellStart"/>
      <w:r w:rsidRPr="002914E7">
        <w:rPr>
          <w:rFonts w:ascii="Arial" w:hAnsi="Arial" w:cs="Arial"/>
          <w:sz w:val="20"/>
          <w:szCs w:val="20"/>
        </w:rPr>
        <w:t>Arecaceae</w:t>
      </w:r>
      <w:proofErr w:type="spellEnd"/>
      <w:r w:rsidRPr="002914E7">
        <w:rPr>
          <w:rFonts w:ascii="Arial" w:hAnsi="Arial" w:cs="Arial"/>
          <w:sz w:val="20"/>
          <w:szCs w:val="20"/>
        </w:rPr>
        <w:t xml:space="preserve"> family</w:t>
      </w:r>
      <w:r w:rsidR="005359A4">
        <w:rPr>
          <w:rFonts w:ascii="Arial" w:hAnsi="Arial" w:cs="Arial"/>
          <w:sz w:val="20"/>
          <w:szCs w:val="20"/>
        </w:rPr>
        <w:t>,</w:t>
      </w:r>
      <w:r w:rsidRPr="002914E7">
        <w:rPr>
          <w:rFonts w:ascii="Arial" w:hAnsi="Arial" w:cs="Arial"/>
          <w:sz w:val="20"/>
          <w:szCs w:val="20"/>
        </w:rPr>
        <w:t xml:space="preserve"> and is a monocotyledonous plant. This dioecious plant features separate male and female trees, characterized by an unbranched trunk and a canopy of large, pinnate leaves (Chao &amp; Krueger, 2007). It is a perennial tree that can grow up to 15</w:t>
      </w:r>
      <w:r w:rsidR="001F1F25">
        <w:rPr>
          <w:rFonts w:ascii="Arial" w:hAnsi="Arial" w:cs="Arial"/>
          <w:sz w:val="20"/>
          <w:szCs w:val="20"/>
        </w:rPr>
        <w:t>-</w:t>
      </w:r>
      <w:r w:rsidRPr="002914E7">
        <w:rPr>
          <w:rFonts w:ascii="Arial" w:hAnsi="Arial" w:cs="Arial"/>
          <w:sz w:val="20"/>
          <w:szCs w:val="20"/>
        </w:rPr>
        <w:t>25 meters in height with a stout trunk covered by persistent leaf bases arranged in a spiral manner. The leaves are pinnately compound, measuring 3</w:t>
      </w:r>
      <w:r w:rsidR="001F1F25">
        <w:rPr>
          <w:rFonts w:ascii="Arial" w:hAnsi="Arial" w:cs="Arial"/>
          <w:sz w:val="20"/>
          <w:szCs w:val="20"/>
        </w:rPr>
        <w:t>-</w:t>
      </w:r>
      <w:r w:rsidRPr="002914E7">
        <w:rPr>
          <w:rFonts w:ascii="Arial" w:hAnsi="Arial" w:cs="Arial"/>
          <w:sz w:val="20"/>
          <w:szCs w:val="20"/>
        </w:rPr>
        <w:t>5 meters in length, and bear numerous narro</w:t>
      </w:r>
      <w:r w:rsidR="005359A4">
        <w:rPr>
          <w:rFonts w:ascii="Arial" w:hAnsi="Arial" w:cs="Arial"/>
          <w:sz w:val="20"/>
          <w:szCs w:val="20"/>
        </w:rPr>
        <w:t>w</w:t>
      </w:r>
      <w:r w:rsidRPr="002914E7">
        <w:rPr>
          <w:rFonts w:ascii="Arial" w:hAnsi="Arial" w:cs="Arial"/>
          <w:sz w:val="20"/>
          <w:szCs w:val="20"/>
        </w:rPr>
        <w:t>, linear-lanceolate leaflets</w:t>
      </w:r>
      <w:r w:rsidRPr="002914E7">
        <w:rPr>
          <w:rFonts w:ascii="Arial" w:eastAsia="Times New Roman" w:hAnsi="Arial" w:cs="Arial"/>
          <w:kern w:val="0"/>
          <w:sz w:val="20"/>
          <w:szCs w:val="20"/>
          <w:lang w:eastAsia="en-IN"/>
          <w14:ligatures w14:val="none"/>
        </w:rPr>
        <w:t xml:space="preserve">. The fruit is classified as a one-seeded drupe and has an oblong to cylindrical shape. The cultivar affects the fruit's size and </w:t>
      </w:r>
      <w:proofErr w:type="spellStart"/>
      <w:r w:rsidRPr="002914E7">
        <w:rPr>
          <w:rFonts w:ascii="Arial" w:eastAsia="Times New Roman" w:hAnsi="Arial" w:cs="Arial"/>
          <w:kern w:val="0"/>
          <w:sz w:val="20"/>
          <w:szCs w:val="20"/>
          <w:lang w:eastAsia="en-IN"/>
          <w14:ligatures w14:val="none"/>
        </w:rPr>
        <w:t>color</w:t>
      </w:r>
      <w:proofErr w:type="spellEnd"/>
      <w:r w:rsidRPr="002914E7">
        <w:rPr>
          <w:rFonts w:ascii="Arial" w:eastAsia="Times New Roman" w:hAnsi="Arial" w:cs="Arial"/>
          <w:kern w:val="0"/>
          <w:sz w:val="20"/>
          <w:szCs w:val="20"/>
          <w:lang w:eastAsia="en-IN"/>
          <w14:ligatures w14:val="none"/>
        </w:rPr>
        <w:t xml:space="preserve">. </w:t>
      </w:r>
      <w:r w:rsidRPr="002914E7">
        <w:rPr>
          <w:rFonts w:ascii="Arial" w:hAnsi="Arial" w:cs="Arial"/>
          <w:sz w:val="20"/>
          <w:szCs w:val="20"/>
        </w:rPr>
        <w:t>The ripening process occurs through four principal stages-</w:t>
      </w:r>
      <w:proofErr w:type="spellStart"/>
      <w:r w:rsidRPr="002914E7">
        <w:rPr>
          <w:rFonts w:ascii="Arial" w:hAnsi="Arial" w:cs="Arial"/>
          <w:sz w:val="20"/>
          <w:szCs w:val="20"/>
        </w:rPr>
        <w:t>kimri</w:t>
      </w:r>
      <w:proofErr w:type="spellEnd"/>
      <w:r w:rsidRPr="002914E7">
        <w:rPr>
          <w:rFonts w:ascii="Arial" w:hAnsi="Arial" w:cs="Arial"/>
          <w:sz w:val="20"/>
          <w:szCs w:val="20"/>
        </w:rPr>
        <w:t xml:space="preserve"> (unripe), </w:t>
      </w:r>
      <w:proofErr w:type="spellStart"/>
      <w:r w:rsidRPr="002914E7">
        <w:rPr>
          <w:rFonts w:ascii="Arial" w:hAnsi="Arial" w:cs="Arial"/>
          <w:sz w:val="20"/>
          <w:szCs w:val="20"/>
        </w:rPr>
        <w:t>khalal</w:t>
      </w:r>
      <w:proofErr w:type="spellEnd"/>
      <w:r w:rsidRPr="002914E7">
        <w:rPr>
          <w:rFonts w:ascii="Arial" w:hAnsi="Arial" w:cs="Arial"/>
          <w:sz w:val="20"/>
          <w:szCs w:val="20"/>
        </w:rPr>
        <w:t xml:space="preserve"> (crunchy and mature), rutab (soft and ripe), and </w:t>
      </w:r>
      <w:proofErr w:type="spellStart"/>
      <w:r w:rsidRPr="002914E7">
        <w:rPr>
          <w:rFonts w:ascii="Arial" w:hAnsi="Arial" w:cs="Arial"/>
          <w:sz w:val="20"/>
          <w:szCs w:val="20"/>
        </w:rPr>
        <w:t>tamr</w:t>
      </w:r>
      <w:proofErr w:type="spellEnd"/>
      <w:r w:rsidRPr="002914E7">
        <w:rPr>
          <w:rFonts w:ascii="Arial" w:hAnsi="Arial" w:cs="Arial"/>
          <w:sz w:val="20"/>
          <w:szCs w:val="20"/>
        </w:rPr>
        <w:t xml:space="preserve"> (fully ripe and desiccated).</w:t>
      </w:r>
    </w:p>
    <w:p w14:paraId="320A8DFC" w14:textId="6D0575E0" w:rsidR="00741A55" w:rsidRPr="0094711D" w:rsidRDefault="0022220F" w:rsidP="00741A55">
      <w:pPr>
        <w:jc w:val="both"/>
        <w:rPr>
          <w:rFonts w:ascii="Arial" w:hAnsi="Arial" w:cs="Arial"/>
          <w:sz w:val="22"/>
          <w:szCs w:val="22"/>
        </w:rPr>
      </w:pPr>
      <w:r>
        <w:rPr>
          <w:rFonts w:ascii="Arial" w:hAnsi="Arial" w:cs="Arial"/>
          <w:b/>
          <w:bCs/>
          <w:sz w:val="22"/>
          <w:szCs w:val="22"/>
        </w:rPr>
        <w:t>2.</w:t>
      </w:r>
      <w:r w:rsidR="00741A55" w:rsidRPr="0094711D">
        <w:rPr>
          <w:rFonts w:ascii="Arial" w:hAnsi="Arial" w:cs="Arial"/>
          <w:b/>
          <w:bCs/>
          <w:sz w:val="22"/>
          <w:szCs w:val="22"/>
        </w:rPr>
        <w:t>2.</w:t>
      </w:r>
      <w:r>
        <w:rPr>
          <w:rFonts w:ascii="Arial" w:hAnsi="Arial" w:cs="Arial"/>
          <w:b/>
          <w:bCs/>
          <w:sz w:val="22"/>
          <w:szCs w:val="22"/>
        </w:rPr>
        <w:t>2</w:t>
      </w:r>
      <w:r w:rsidR="00741A55" w:rsidRPr="0094711D">
        <w:rPr>
          <w:rFonts w:ascii="Arial" w:hAnsi="Arial" w:cs="Arial"/>
          <w:sz w:val="22"/>
          <w:szCs w:val="22"/>
        </w:rPr>
        <w:t> </w:t>
      </w:r>
      <w:r w:rsidR="00741A55" w:rsidRPr="0094711D">
        <w:rPr>
          <w:rFonts w:ascii="Arial" w:hAnsi="Arial" w:cs="Arial"/>
          <w:b/>
          <w:bCs/>
          <w:sz w:val="22"/>
          <w:szCs w:val="22"/>
        </w:rPr>
        <w:t>Distribution and Cultivation Regions</w:t>
      </w:r>
      <w:r w:rsidR="00741A55" w:rsidRPr="0094711D">
        <w:rPr>
          <w:rFonts w:ascii="Arial" w:hAnsi="Arial" w:cs="Arial"/>
          <w:sz w:val="22"/>
          <w:szCs w:val="22"/>
        </w:rPr>
        <w:t xml:space="preserve"> </w:t>
      </w:r>
    </w:p>
    <w:p w14:paraId="59F5D0EA" w14:textId="4AC58076" w:rsidR="00741A55" w:rsidRPr="002914E7" w:rsidRDefault="00741A55" w:rsidP="00741A55">
      <w:pPr>
        <w:jc w:val="both"/>
        <w:rPr>
          <w:rFonts w:ascii="Arial" w:hAnsi="Arial" w:cs="Arial"/>
          <w:sz w:val="20"/>
          <w:szCs w:val="20"/>
        </w:rPr>
      </w:pPr>
      <w:r w:rsidRPr="002914E7">
        <w:rPr>
          <w:rFonts w:ascii="Arial" w:hAnsi="Arial" w:cs="Arial"/>
          <w:sz w:val="20"/>
          <w:szCs w:val="20"/>
        </w:rPr>
        <w:lastRenderedPageBreak/>
        <w:t>It is thought that the Middle East and North Africa (MENA) region is where the date palm first appeared. This species is extensively cultivated in arid and semi-arid clima</w:t>
      </w:r>
      <w:r w:rsidR="002A17F6">
        <w:rPr>
          <w:rFonts w:ascii="Arial" w:hAnsi="Arial" w:cs="Arial"/>
          <w:sz w:val="20"/>
          <w:szCs w:val="20"/>
        </w:rPr>
        <w:t>tic regions across the globe</w:t>
      </w:r>
      <w:r w:rsidRPr="002914E7">
        <w:rPr>
          <w:rFonts w:ascii="Arial" w:hAnsi="Arial" w:cs="Arial"/>
          <w:sz w:val="20"/>
          <w:szCs w:val="20"/>
        </w:rPr>
        <w:t>. The date palm grows best in climates with prolonged summer heat and minimal rainfall (Zaid &amp; de Wet, 2002). which contributes the majority of global production.</w:t>
      </w:r>
      <w:r w:rsidRPr="002914E7">
        <w:rPr>
          <w:rFonts w:ascii="Arial" w:eastAsia="Times New Roman" w:hAnsi="Arial" w:cs="Arial"/>
          <w:kern w:val="0"/>
          <w:sz w:val="20"/>
          <w:szCs w:val="20"/>
          <w:lang w:eastAsia="en-IN"/>
          <w14:ligatures w14:val="none"/>
        </w:rPr>
        <w:t xml:space="preserve"> </w:t>
      </w:r>
      <w:r w:rsidRPr="002914E7">
        <w:rPr>
          <w:rFonts w:ascii="Arial" w:hAnsi="Arial" w:cs="Arial"/>
          <w:sz w:val="20"/>
          <w:szCs w:val="20"/>
        </w:rPr>
        <w:t>Among the leading producers are Egypt, Iran, Saudi Arabia, Iraq, Algeria, and the United Arab Emirates. The Food and Agriculture Organization (FAO) states that Egypt is the world's largest producer of dates, accounting for around 17% of global production, with Saudi Arabia and Iran being in second and third, respectively (FAO, 2021).</w:t>
      </w:r>
    </w:p>
    <w:p w14:paraId="7C285BFC" w14:textId="6C71840A" w:rsidR="00741A55" w:rsidRDefault="00741A55" w:rsidP="00741A55">
      <w:pPr>
        <w:jc w:val="both"/>
        <w:rPr>
          <w:rFonts w:ascii="Arial" w:hAnsi="Arial" w:cs="Arial"/>
          <w:sz w:val="20"/>
          <w:szCs w:val="20"/>
        </w:rPr>
      </w:pPr>
      <w:r w:rsidRPr="002914E7">
        <w:rPr>
          <w:rFonts w:ascii="Arial" w:hAnsi="Arial" w:cs="Arial"/>
          <w:sz w:val="20"/>
          <w:szCs w:val="20"/>
        </w:rPr>
        <w:t xml:space="preserve">Beyond the MENA region, date palms are also cultivated in various regions of South Asia, particularly in India, as well as in California (USA) and Mexico, where specific climatic conditions conducive to date palm cultivation prevail. </w:t>
      </w:r>
      <w:r w:rsidR="00F934CD" w:rsidRPr="00F934CD">
        <w:rPr>
          <w:rFonts w:ascii="Arial" w:hAnsi="Arial" w:cs="Arial"/>
          <w:sz w:val="20"/>
          <w:szCs w:val="20"/>
        </w:rPr>
        <w:t>In India, the states of Rajasthan, Gujarat, and specific regions of Maharashtra have progressively adopted the cultivation of date palms through the implementation of sophisticated irrigation and agronomic methodologies.</w:t>
      </w:r>
      <w:r w:rsidR="00F934CD">
        <w:rPr>
          <w:rFonts w:ascii="Arial" w:hAnsi="Arial" w:cs="Arial"/>
          <w:sz w:val="20"/>
          <w:szCs w:val="20"/>
        </w:rPr>
        <w:t xml:space="preserve"> </w:t>
      </w:r>
      <w:r w:rsidRPr="002914E7">
        <w:rPr>
          <w:rFonts w:ascii="Arial" w:hAnsi="Arial" w:cs="Arial"/>
          <w:sz w:val="20"/>
          <w:szCs w:val="20"/>
        </w:rPr>
        <w:t>Date palms necessitate deep, well-drained soils and demonstrate salinity tolerance, rendering them well-suited for regions characterized by otherwise challenging agricultural conditions.</w:t>
      </w:r>
    </w:p>
    <w:p w14:paraId="7CA95B2C" w14:textId="0587FC54" w:rsidR="00741A55" w:rsidRPr="00741A55" w:rsidRDefault="0022220F" w:rsidP="00741A55">
      <w:pPr>
        <w:jc w:val="both"/>
        <w:rPr>
          <w:rFonts w:ascii="Arial" w:hAnsi="Arial" w:cs="Arial"/>
          <w:sz w:val="20"/>
          <w:szCs w:val="20"/>
        </w:rPr>
      </w:pPr>
      <w:r>
        <w:rPr>
          <w:rFonts w:ascii="Arial" w:hAnsi="Arial" w:cs="Arial"/>
          <w:b/>
          <w:bCs/>
          <w:sz w:val="22"/>
          <w:szCs w:val="22"/>
        </w:rPr>
        <w:t>2.</w:t>
      </w:r>
      <w:r w:rsidR="00741A55" w:rsidRPr="0094711D">
        <w:rPr>
          <w:rFonts w:ascii="Arial" w:hAnsi="Arial" w:cs="Arial"/>
          <w:b/>
          <w:bCs/>
          <w:sz w:val="22"/>
          <w:szCs w:val="22"/>
        </w:rPr>
        <w:t>3</w:t>
      </w:r>
      <w:r w:rsidR="00741A55">
        <w:rPr>
          <w:rFonts w:ascii="Arial" w:hAnsi="Arial" w:cs="Arial"/>
          <w:b/>
          <w:bCs/>
          <w:sz w:val="22"/>
          <w:szCs w:val="22"/>
        </w:rPr>
        <w:t xml:space="preserve"> </w:t>
      </w:r>
      <w:r w:rsidR="00741A55" w:rsidRPr="0094711D">
        <w:rPr>
          <w:rFonts w:ascii="Arial" w:hAnsi="Arial" w:cs="Arial"/>
          <w:b/>
          <w:bCs/>
          <w:sz w:val="22"/>
          <w:szCs w:val="22"/>
        </w:rPr>
        <w:t>Almond</w:t>
      </w:r>
    </w:p>
    <w:p w14:paraId="081BB055" w14:textId="332C482C" w:rsidR="00741A55" w:rsidRPr="00EA1F07" w:rsidRDefault="00741A55" w:rsidP="00741A55">
      <w:pPr>
        <w:jc w:val="both"/>
        <w:rPr>
          <w:rFonts w:ascii="Arial" w:hAnsi="Arial" w:cs="Arial"/>
          <w:sz w:val="20"/>
          <w:szCs w:val="20"/>
        </w:rPr>
      </w:pPr>
      <w:r w:rsidRPr="002914E7">
        <w:rPr>
          <w:rFonts w:ascii="Arial" w:hAnsi="Arial" w:cs="Arial"/>
          <w:sz w:val="20"/>
          <w:szCs w:val="20"/>
        </w:rPr>
        <w:t>Almonds (</w:t>
      </w:r>
      <w:r w:rsidRPr="0022220F">
        <w:rPr>
          <w:rFonts w:ascii="Arial" w:hAnsi="Arial" w:cs="Arial"/>
          <w:i/>
          <w:iCs/>
          <w:sz w:val="20"/>
          <w:szCs w:val="20"/>
        </w:rPr>
        <w:t xml:space="preserve">Prunus </w:t>
      </w:r>
      <w:proofErr w:type="spellStart"/>
      <w:r w:rsidRPr="0022220F">
        <w:rPr>
          <w:rFonts w:ascii="Arial" w:hAnsi="Arial" w:cs="Arial"/>
          <w:i/>
          <w:iCs/>
          <w:sz w:val="20"/>
          <w:szCs w:val="20"/>
        </w:rPr>
        <w:t>dulcis</w:t>
      </w:r>
      <w:proofErr w:type="spellEnd"/>
      <w:r w:rsidRPr="002914E7">
        <w:rPr>
          <w:rFonts w:ascii="Arial" w:hAnsi="Arial" w:cs="Arial"/>
          <w:sz w:val="20"/>
          <w:szCs w:val="20"/>
        </w:rPr>
        <w:t>) (</w:t>
      </w:r>
      <w:proofErr w:type="spellStart"/>
      <w:r w:rsidRPr="002914E7">
        <w:rPr>
          <w:rFonts w:ascii="Arial" w:hAnsi="Arial" w:cs="Arial"/>
          <w:sz w:val="20"/>
          <w:szCs w:val="20"/>
        </w:rPr>
        <w:t>Gradziel</w:t>
      </w:r>
      <w:proofErr w:type="spellEnd"/>
      <w:r>
        <w:rPr>
          <w:rFonts w:ascii="Arial" w:hAnsi="Arial" w:cs="Arial"/>
          <w:sz w:val="20"/>
          <w:szCs w:val="20"/>
        </w:rPr>
        <w:t xml:space="preserve"> et al., </w:t>
      </w:r>
      <w:r w:rsidRPr="002914E7">
        <w:rPr>
          <w:rFonts w:ascii="Arial" w:hAnsi="Arial" w:cs="Arial"/>
          <w:sz w:val="20"/>
          <w:szCs w:val="20"/>
        </w:rPr>
        <w:t>200</w:t>
      </w:r>
      <w:r>
        <w:rPr>
          <w:rFonts w:ascii="Arial" w:hAnsi="Arial" w:cs="Arial"/>
          <w:sz w:val="20"/>
          <w:szCs w:val="20"/>
        </w:rPr>
        <w:t>8</w:t>
      </w:r>
      <w:r w:rsidRPr="002914E7">
        <w:rPr>
          <w:rFonts w:ascii="Arial" w:hAnsi="Arial" w:cs="Arial"/>
          <w:sz w:val="20"/>
          <w:szCs w:val="20"/>
        </w:rPr>
        <w:t>)</w:t>
      </w:r>
      <w:r w:rsidR="001F1F25">
        <w:rPr>
          <w:rFonts w:ascii="Arial" w:hAnsi="Arial" w:cs="Arial"/>
          <w:sz w:val="20"/>
          <w:szCs w:val="20"/>
        </w:rPr>
        <w:t>.</w:t>
      </w:r>
      <w:r w:rsidRPr="002914E7">
        <w:rPr>
          <w:rFonts w:ascii="Arial" w:hAnsi="Arial" w:cs="Arial"/>
          <w:sz w:val="20"/>
          <w:szCs w:val="20"/>
        </w:rPr>
        <w:t xml:space="preserve"> represent a nutrient-dense food source, and extensive research conducted over the past decade regarding the potential health benefits of almonds has correlated their consumption with a decreased risk of chronic diseases. Almonds can be eaten whole (fresh or roasted) and in spreads like almond adulation or they can be used in a wide range of food products and fashions. Almonds have complex food matrices containing different nutrients and other </w:t>
      </w:r>
      <w:r w:rsidR="00775E82" w:rsidRPr="002914E7">
        <w:rPr>
          <w:rFonts w:ascii="Arial" w:hAnsi="Arial" w:cs="Arial"/>
          <w:sz w:val="20"/>
          <w:szCs w:val="20"/>
        </w:rPr>
        <w:t>Phyto protective</w:t>
      </w:r>
      <w:r w:rsidRPr="002914E7">
        <w:rPr>
          <w:rFonts w:ascii="Arial" w:hAnsi="Arial" w:cs="Arial"/>
          <w:sz w:val="20"/>
          <w:szCs w:val="20"/>
        </w:rPr>
        <w:t xml:space="preserve"> substances that favourably impact mortal physiology. The adipose acid composition of almonds is salutary because monounsaturated adipose acids (MUFA) predominate and the impregnated fat content (3.7 g per 100 g almonds) is the smallest of all nuts. The addition of nuts similar as almonds to low calorie diets for weight loss may increase satisfaction and affect in deficient intestinal immersion of fat. (Novotny</w:t>
      </w:r>
      <w:r w:rsidR="004D625E" w:rsidRPr="004D625E">
        <w:t xml:space="preserve"> </w:t>
      </w:r>
      <w:r w:rsidR="004D625E" w:rsidRPr="004D625E">
        <w:rPr>
          <w:rFonts w:ascii="Arial" w:hAnsi="Arial" w:cs="Arial"/>
          <w:sz w:val="20"/>
          <w:szCs w:val="20"/>
        </w:rPr>
        <w:t>et al. 2012)</w:t>
      </w:r>
      <w:r w:rsidRPr="002914E7">
        <w:rPr>
          <w:rFonts w:ascii="Arial" w:hAnsi="Arial" w:cs="Arial"/>
          <w:sz w:val="20"/>
          <w:szCs w:val="20"/>
        </w:rPr>
        <w:t>. Almonds are naturally high in vitamin E, riboflavin (vitaminB2) and the minerals calcium, magnesium, phosphorus, potassium, zinc, and manganese.</w:t>
      </w:r>
    </w:p>
    <w:p w14:paraId="29485E69" w14:textId="4CE7CFFF" w:rsidR="00741A55" w:rsidRPr="0094711D" w:rsidRDefault="0022220F" w:rsidP="00741A55">
      <w:pPr>
        <w:jc w:val="both"/>
        <w:rPr>
          <w:rFonts w:ascii="Arial" w:hAnsi="Arial" w:cs="Arial"/>
          <w:sz w:val="22"/>
          <w:szCs w:val="22"/>
        </w:rPr>
      </w:pPr>
      <w:r>
        <w:rPr>
          <w:rFonts w:ascii="Arial" w:hAnsi="Arial" w:cs="Arial"/>
          <w:b/>
          <w:bCs/>
          <w:sz w:val="22"/>
          <w:szCs w:val="22"/>
        </w:rPr>
        <w:t>2.</w:t>
      </w:r>
      <w:r w:rsidR="00741A55" w:rsidRPr="0094711D">
        <w:rPr>
          <w:rFonts w:ascii="Arial" w:hAnsi="Arial" w:cs="Arial"/>
          <w:b/>
          <w:bCs/>
          <w:sz w:val="22"/>
          <w:szCs w:val="22"/>
        </w:rPr>
        <w:t>4</w:t>
      </w:r>
      <w:r>
        <w:rPr>
          <w:rFonts w:ascii="Arial" w:hAnsi="Arial" w:cs="Arial"/>
          <w:b/>
          <w:bCs/>
          <w:sz w:val="22"/>
          <w:szCs w:val="22"/>
        </w:rPr>
        <w:t xml:space="preserve"> </w:t>
      </w:r>
      <w:proofErr w:type="spellStart"/>
      <w:r w:rsidR="00741A55" w:rsidRPr="0094711D">
        <w:rPr>
          <w:rFonts w:ascii="Arial" w:hAnsi="Arial" w:cs="Arial"/>
          <w:b/>
          <w:bCs/>
          <w:sz w:val="22"/>
          <w:szCs w:val="22"/>
        </w:rPr>
        <w:t>Cashewnut</w:t>
      </w:r>
      <w:proofErr w:type="spellEnd"/>
    </w:p>
    <w:p w14:paraId="585A9817" w14:textId="6E3E6984" w:rsidR="00741A55" w:rsidRPr="002914E7" w:rsidRDefault="00741A55" w:rsidP="00741A55">
      <w:pPr>
        <w:jc w:val="both"/>
        <w:rPr>
          <w:rFonts w:ascii="Arial" w:hAnsi="Arial" w:cs="Arial"/>
          <w:sz w:val="20"/>
          <w:szCs w:val="20"/>
        </w:rPr>
      </w:pPr>
      <w:r w:rsidRPr="002914E7">
        <w:rPr>
          <w:rFonts w:ascii="Arial" w:hAnsi="Arial" w:cs="Arial"/>
          <w:sz w:val="20"/>
          <w:szCs w:val="20"/>
        </w:rPr>
        <w:t>Cashew nuts (</w:t>
      </w:r>
      <w:r w:rsidRPr="0022220F">
        <w:rPr>
          <w:rFonts w:ascii="Arial" w:hAnsi="Arial" w:cs="Arial"/>
          <w:i/>
          <w:iCs/>
          <w:sz w:val="20"/>
          <w:szCs w:val="20"/>
        </w:rPr>
        <w:t>Anacardium occidentale</w:t>
      </w:r>
      <w:r w:rsidRPr="002914E7">
        <w:rPr>
          <w:rFonts w:ascii="Arial" w:hAnsi="Arial" w:cs="Arial"/>
          <w:sz w:val="20"/>
          <w:szCs w:val="20"/>
        </w:rPr>
        <w:t xml:space="preserve">) are nutrient- thick seeds extensively consumed for their rich </w:t>
      </w:r>
      <w:proofErr w:type="spellStart"/>
      <w:r w:rsidRPr="002914E7">
        <w:rPr>
          <w:rFonts w:ascii="Arial" w:hAnsi="Arial" w:cs="Arial"/>
          <w:sz w:val="20"/>
          <w:szCs w:val="20"/>
        </w:rPr>
        <w:t>flavor</w:t>
      </w:r>
      <w:proofErr w:type="spellEnd"/>
      <w:r w:rsidRPr="002914E7">
        <w:rPr>
          <w:rFonts w:ascii="Arial" w:hAnsi="Arial" w:cs="Arial"/>
          <w:sz w:val="20"/>
          <w:szCs w:val="20"/>
        </w:rPr>
        <w:t xml:space="preserve"> and health benefits. </w:t>
      </w:r>
      <w:r w:rsidR="00F934CD" w:rsidRPr="00F934CD">
        <w:rPr>
          <w:rFonts w:ascii="Arial" w:hAnsi="Arial" w:cs="Arial"/>
          <w:sz w:val="20"/>
          <w:szCs w:val="20"/>
        </w:rPr>
        <w:t>They serve as an exceptional source of beneficial fats, proteins, vitamins, and minerals.</w:t>
      </w:r>
      <w:r w:rsidR="00F934CD">
        <w:rPr>
          <w:rFonts w:ascii="Arial" w:hAnsi="Arial" w:cs="Arial"/>
          <w:sz w:val="20"/>
          <w:szCs w:val="20"/>
        </w:rPr>
        <w:t xml:space="preserve"> </w:t>
      </w:r>
      <w:r w:rsidRPr="002914E7">
        <w:rPr>
          <w:rFonts w:ascii="Arial" w:hAnsi="Arial" w:cs="Arial"/>
          <w:sz w:val="20"/>
          <w:szCs w:val="20"/>
        </w:rPr>
        <w:t xml:space="preserve">Cashew nuts have historically played a significant role in the diets of various cultures, due to their high energy density and nutritional value, as well as their diverse array of </w:t>
      </w:r>
      <w:proofErr w:type="spellStart"/>
      <w:r w:rsidRPr="002914E7">
        <w:rPr>
          <w:rFonts w:ascii="Arial" w:hAnsi="Arial" w:cs="Arial"/>
          <w:sz w:val="20"/>
          <w:szCs w:val="20"/>
        </w:rPr>
        <w:t>flavors</w:t>
      </w:r>
      <w:proofErr w:type="spellEnd"/>
      <w:r w:rsidRPr="002914E7">
        <w:rPr>
          <w:rFonts w:ascii="Arial" w:hAnsi="Arial" w:cs="Arial"/>
          <w:sz w:val="20"/>
          <w:szCs w:val="20"/>
        </w:rPr>
        <w:t xml:space="preserve"> and distinctive taste. </w:t>
      </w:r>
      <w:r w:rsidR="00F934CD" w:rsidRPr="00F934CD">
        <w:rPr>
          <w:rFonts w:ascii="Arial" w:hAnsi="Arial" w:cs="Arial"/>
          <w:sz w:val="20"/>
          <w:szCs w:val="20"/>
        </w:rPr>
        <w:t>Despite being the third most widely produced nut globally, there has been remarkably limited research conducted on cashew nuts.</w:t>
      </w:r>
      <w:r w:rsidR="00F934CD">
        <w:rPr>
          <w:rFonts w:ascii="Arial" w:hAnsi="Arial" w:cs="Arial"/>
          <w:sz w:val="20"/>
          <w:szCs w:val="20"/>
        </w:rPr>
        <w:t xml:space="preserve"> </w:t>
      </w:r>
      <w:r w:rsidRPr="002914E7">
        <w:rPr>
          <w:rFonts w:ascii="Arial" w:hAnsi="Arial" w:cs="Arial"/>
          <w:sz w:val="20"/>
          <w:szCs w:val="20"/>
        </w:rPr>
        <w:t>Phenolic lipids are significant in terms of their nutritional profile (Shobha et al., 1992).</w:t>
      </w:r>
      <w:r w:rsidR="00DE14E8">
        <w:rPr>
          <w:rFonts w:ascii="Arial" w:hAnsi="Arial" w:cs="Arial"/>
          <w:sz w:val="20"/>
          <w:szCs w:val="20"/>
        </w:rPr>
        <w:t xml:space="preserve"> They are rich in</w:t>
      </w:r>
      <w:r w:rsidRPr="002914E7">
        <w:rPr>
          <w:rFonts w:ascii="Arial" w:hAnsi="Arial" w:cs="Arial"/>
          <w:sz w:val="20"/>
          <w:szCs w:val="20"/>
        </w:rPr>
        <w:t xml:space="preserve"> Phytosterols, tocopherols, </w:t>
      </w:r>
      <w:proofErr w:type="spellStart"/>
      <w:r w:rsidRPr="002914E7">
        <w:rPr>
          <w:rFonts w:ascii="Arial" w:hAnsi="Arial" w:cs="Arial"/>
          <w:sz w:val="20"/>
          <w:szCs w:val="20"/>
        </w:rPr>
        <w:t>squalenes</w:t>
      </w:r>
      <w:proofErr w:type="spellEnd"/>
      <w:r w:rsidRPr="002914E7">
        <w:rPr>
          <w:rFonts w:ascii="Arial" w:hAnsi="Arial" w:cs="Arial"/>
          <w:sz w:val="20"/>
          <w:szCs w:val="20"/>
        </w:rPr>
        <w:t xml:space="preserve">, and </w:t>
      </w:r>
      <w:r w:rsidR="00DE14E8">
        <w:rPr>
          <w:rFonts w:ascii="Arial" w:hAnsi="Arial" w:cs="Arial"/>
          <w:sz w:val="20"/>
          <w:szCs w:val="20"/>
        </w:rPr>
        <w:t xml:space="preserve">both </w:t>
      </w:r>
      <w:r w:rsidRPr="002914E7">
        <w:rPr>
          <w:rFonts w:ascii="Arial" w:hAnsi="Arial" w:cs="Arial"/>
          <w:sz w:val="20"/>
          <w:szCs w:val="20"/>
        </w:rPr>
        <w:t xml:space="preserve">unsaturated and </w:t>
      </w:r>
      <w:r w:rsidR="00DE14E8">
        <w:rPr>
          <w:rFonts w:ascii="Arial" w:hAnsi="Arial" w:cs="Arial"/>
          <w:sz w:val="20"/>
          <w:szCs w:val="20"/>
        </w:rPr>
        <w:t>essential fatty acids</w:t>
      </w:r>
      <w:r w:rsidRPr="002914E7">
        <w:rPr>
          <w:rFonts w:ascii="Arial" w:hAnsi="Arial" w:cs="Arial"/>
          <w:sz w:val="20"/>
          <w:szCs w:val="20"/>
        </w:rPr>
        <w:t xml:space="preserve">. </w:t>
      </w:r>
      <w:r w:rsidR="00F934CD" w:rsidRPr="00F934CD">
        <w:rPr>
          <w:rFonts w:ascii="Arial" w:hAnsi="Arial" w:cs="Arial"/>
          <w:sz w:val="20"/>
          <w:szCs w:val="20"/>
        </w:rPr>
        <w:t xml:space="preserve">Bioactive compounds such as β-carotene, lutein, zeaxanthin, α-tocopherol, γ-tocopherol, </w:t>
      </w:r>
      <w:proofErr w:type="spellStart"/>
      <w:r w:rsidR="00F934CD" w:rsidRPr="00F934CD">
        <w:rPr>
          <w:rFonts w:ascii="Arial" w:hAnsi="Arial" w:cs="Arial"/>
          <w:sz w:val="20"/>
          <w:szCs w:val="20"/>
        </w:rPr>
        <w:t>thiamin</w:t>
      </w:r>
      <w:proofErr w:type="spellEnd"/>
      <w:r w:rsidR="00F934CD" w:rsidRPr="00F934CD">
        <w:rPr>
          <w:rFonts w:ascii="Arial" w:hAnsi="Arial" w:cs="Arial"/>
          <w:sz w:val="20"/>
          <w:szCs w:val="20"/>
        </w:rPr>
        <w:t>, stearic acid, oleic acid, and linoleic acid have been documented (Trox et al., 2010).</w:t>
      </w:r>
      <w:r w:rsidRPr="002914E7">
        <w:rPr>
          <w:rFonts w:ascii="Arial" w:hAnsi="Arial" w:cs="Arial"/>
          <w:sz w:val="20"/>
          <w:szCs w:val="20"/>
        </w:rPr>
        <w:t xml:space="preserve"> Additionally, iron, which is instrumental in the prevention of </w:t>
      </w:r>
      <w:proofErr w:type="spellStart"/>
      <w:r w:rsidRPr="002914E7">
        <w:rPr>
          <w:rFonts w:ascii="Arial" w:hAnsi="Arial" w:cs="Arial"/>
          <w:sz w:val="20"/>
          <w:szCs w:val="20"/>
        </w:rPr>
        <w:t>anemia</w:t>
      </w:r>
      <w:proofErr w:type="spellEnd"/>
      <w:r w:rsidRPr="002914E7">
        <w:rPr>
          <w:rFonts w:ascii="Arial" w:hAnsi="Arial" w:cs="Arial"/>
          <w:sz w:val="20"/>
          <w:szCs w:val="20"/>
        </w:rPr>
        <w:t>, is present</w:t>
      </w:r>
      <w:r>
        <w:rPr>
          <w:rFonts w:ascii="Arial" w:hAnsi="Arial" w:cs="Arial"/>
          <w:sz w:val="20"/>
          <w:szCs w:val="20"/>
        </w:rPr>
        <w:t>.</w:t>
      </w:r>
    </w:p>
    <w:p w14:paraId="2689A22B" w14:textId="74234D4A" w:rsidR="00741A55" w:rsidRPr="0094711D" w:rsidRDefault="0022220F" w:rsidP="00741A55">
      <w:pPr>
        <w:jc w:val="both"/>
        <w:rPr>
          <w:rFonts w:ascii="Arial" w:hAnsi="Arial" w:cs="Arial"/>
          <w:sz w:val="22"/>
          <w:szCs w:val="22"/>
        </w:rPr>
      </w:pPr>
      <w:r>
        <w:rPr>
          <w:rFonts w:ascii="Arial" w:hAnsi="Arial" w:cs="Arial"/>
          <w:b/>
          <w:bCs/>
          <w:sz w:val="22"/>
          <w:szCs w:val="22"/>
        </w:rPr>
        <w:t>2.</w:t>
      </w:r>
      <w:r w:rsidR="00741A55" w:rsidRPr="0094711D">
        <w:rPr>
          <w:rFonts w:ascii="Arial" w:hAnsi="Arial" w:cs="Arial"/>
          <w:b/>
          <w:bCs/>
          <w:sz w:val="22"/>
          <w:szCs w:val="22"/>
        </w:rPr>
        <w:t>5</w:t>
      </w:r>
      <w:r>
        <w:rPr>
          <w:rFonts w:ascii="Arial" w:hAnsi="Arial" w:cs="Arial"/>
          <w:b/>
          <w:bCs/>
          <w:sz w:val="22"/>
          <w:szCs w:val="22"/>
        </w:rPr>
        <w:t xml:space="preserve"> </w:t>
      </w:r>
      <w:r w:rsidR="00741A55" w:rsidRPr="0094711D">
        <w:rPr>
          <w:rFonts w:ascii="Arial" w:hAnsi="Arial" w:cs="Arial"/>
          <w:b/>
          <w:bCs/>
          <w:sz w:val="22"/>
          <w:szCs w:val="22"/>
        </w:rPr>
        <w:t>Walnuts</w:t>
      </w:r>
    </w:p>
    <w:p w14:paraId="091F101C" w14:textId="017DB9E6" w:rsidR="00741A55" w:rsidRPr="002914E7" w:rsidRDefault="00741A55" w:rsidP="00741A55">
      <w:pPr>
        <w:jc w:val="both"/>
        <w:rPr>
          <w:rFonts w:ascii="Arial" w:hAnsi="Arial" w:cs="Arial"/>
          <w:sz w:val="20"/>
          <w:szCs w:val="20"/>
        </w:rPr>
      </w:pPr>
      <w:r w:rsidRPr="002914E7">
        <w:rPr>
          <w:rFonts w:ascii="Arial" w:hAnsi="Arial" w:cs="Arial"/>
          <w:sz w:val="20"/>
          <w:szCs w:val="20"/>
        </w:rPr>
        <w:t>Globally, walnuts (</w:t>
      </w:r>
      <w:r w:rsidRPr="0022220F">
        <w:rPr>
          <w:rFonts w:ascii="Arial" w:hAnsi="Arial" w:cs="Arial"/>
          <w:i/>
          <w:iCs/>
          <w:sz w:val="20"/>
          <w:szCs w:val="20"/>
        </w:rPr>
        <w:t>Juglans regia L</w:t>
      </w:r>
      <w:r w:rsidRPr="002914E7">
        <w:rPr>
          <w:rFonts w:ascii="Arial" w:hAnsi="Arial" w:cs="Arial"/>
          <w:sz w:val="20"/>
          <w:szCs w:val="20"/>
        </w:rPr>
        <w:t xml:space="preserve">.) are the most often consumed tree nut. kernels are known for having a high protein and oil content are characterized by high protein and oil content. (Juglandacea) make this fruit necessary for mortal nutrition. </w:t>
      </w:r>
      <w:r w:rsidR="00F934CD" w:rsidRPr="00F934CD">
        <w:rPr>
          <w:rFonts w:ascii="Arial" w:hAnsi="Arial" w:cs="Arial"/>
          <w:sz w:val="20"/>
          <w:szCs w:val="20"/>
        </w:rPr>
        <w:t>Consequently, the walnut is classified as a fundamental species for human nutrition and is included in the FAO's list of priority crops (</w:t>
      </w:r>
      <w:proofErr w:type="spellStart"/>
      <w:r w:rsidR="00F934CD" w:rsidRPr="00F934CD">
        <w:rPr>
          <w:rFonts w:ascii="Arial" w:hAnsi="Arial" w:cs="Arial"/>
          <w:sz w:val="20"/>
          <w:szCs w:val="20"/>
        </w:rPr>
        <w:t>Gandev</w:t>
      </w:r>
      <w:proofErr w:type="spellEnd"/>
      <w:r w:rsidR="009312AB">
        <w:rPr>
          <w:rFonts w:ascii="Arial" w:hAnsi="Arial" w:cs="Arial"/>
          <w:sz w:val="20"/>
          <w:szCs w:val="20"/>
        </w:rPr>
        <w:t xml:space="preserve"> et al., </w:t>
      </w:r>
      <w:r w:rsidR="00F934CD" w:rsidRPr="00F934CD">
        <w:rPr>
          <w:rFonts w:ascii="Arial" w:hAnsi="Arial" w:cs="Arial"/>
          <w:sz w:val="20"/>
          <w:szCs w:val="20"/>
        </w:rPr>
        <w:t>2007</w:t>
      </w:r>
      <w:r w:rsidR="00521FE3">
        <w:rPr>
          <w:rFonts w:ascii="Arial" w:hAnsi="Arial" w:cs="Arial"/>
          <w:sz w:val="20"/>
          <w:szCs w:val="20"/>
        </w:rPr>
        <w:t>)</w:t>
      </w:r>
      <w:r w:rsidR="00F934CD" w:rsidRPr="00F934CD">
        <w:rPr>
          <w:rFonts w:ascii="Arial" w:hAnsi="Arial" w:cs="Arial"/>
          <w:sz w:val="20"/>
          <w:szCs w:val="20"/>
        </w:rPr>
        <w:t>.</w:t>
      </w:r>
      <w:r w:rsidR="00521FE3">
        <w:rPr>
          <w:rFonts w:ascii="Arial" w:hAnsi="Arial" w:cs="Arial"/>
          <w:sz w:val="20"/>
          <w:szCs w:val="20"/>
        </w:rPr>
        <w:t xml:space="preserve"> </w:t>
      </w:r>
      <w:r w:rsidRPr="002914E7">
        <w:rPr>
          <w:rFonts w:ascii="Arial" w:hAnsi="Arial" w:cs="Arial"/>
          <w:sz w:val="20"/>
          <w:szCs w:val="20"/>
        </w:rPr>
        <w:t>Walnuts are considered nutrient-dense foods due to their high concentrations of fats, proteins, vitamins, and minerals. They're also good source of flavonoids, sterols, pectic substances, phenolic acids and related polyphenols. Walnuts possess significant quantities of omega-6 and omega-3 polyunsaturated fatty acids (PUFAs), which are vital for human health. Clinical research indicates that omega-3 polyunsaturated fatty acids (PUFAs) play a critical role in the prevention of coronary heart disease (Davis et al., 2007).</w:t>
      </w:r>
    </w:p>
    <w:p w14:paraId="07B9B667" w14:textId="77777777" w:rsidR="00741A55" w:rsidRPr="002914E7" w:rsidRDefault="00741A55" w:rsidP="00741A55">
      <w:pPr>
        <w:jc w:val="both"/>
        <w:rPr>
          <w:rFonts w:ascii="Arial" w:hAnsi="Arial" w:cs="Arial"/>
          <w:sz w:val="20"/>
          <w:szCs w:val="20"/>
        </w:rPr>
      </w:pPr>
      <w:r w:rsidRPr="002914E7">
        <w:rPr>
          <w:rFonts w:ascii="Arial" w:hAnsi="Arial" w:cs="Arial"/>
          <w:sz w:val="20"/>
          <w:szCs w:val="20"/>
        </w:rPr>
        <w:lastRenderedPageBreak/>
        <w:t xml:space="preserve">Walnut proteins contain all essential AAs needed for the requirements of a mortal grown-up. The lysine/arginine ratio in walnut proteins is inferior to that observed in other prevalent vegetable proteins, and this characteristic has been viewed as a </w:t>
      </w:r>
      <w:proofErr w:type="spellStart"/>
      <w:r w:rsidRPr="002914E7">
        <w:rPr>
          <w:rFonts w:ascii="Arial" w:hAnsi="Arial" w:cs="Arial"/>
          <w:sz w:val="20"/>
          <w:szCs w:val="20"/>
        </w:rPr>
        <w:t>favorable</w:t>
      </w:r>
      <w:proofErr w:type="spellEnd"/>
      <w:r w:rsidRPr="002914E7">
        <w:rPr>
          <w:rFonts w:ascii="Arial" w:hAnsi="Arial" w:cs="Arial"/>
          <w:sz w:val="20"/>
          <w:szCs w:val="20"/>
        </w:rPr>
        <w:t xml:space="preserve"> aspect associated with a halting the advancement of atherosclerosis </w:t>
      </w:r>
      <w:r>
        <w:rPr>
          <w:rFonts w:ascii="Arial" w:hAnsi="Arial" w:cs="Arial"/>
          <w:sz w:val="20"/>
          <w:szCs w:val="20"/>
        </w:rPr>
        <w:t>(</w:t>
      </w:r>
      <w:proofErr w:type="spellStart"/>
      <w:r w:rsidRPr="002914E7">
        <w:rPr>
          <w:rFonts w:ascii="Arial" w:hAnsi="Arial" w:cs="Arial"/>
          <w:sz w:val="20"/>
          <w:szCs w:val="20"/>
        </w:rPr>
        <w:t>Sza</w:t>
      </w:r>
      <w:proofErr w:type="spellEnd"/>
      <w:r w:rsidRPr="002914E7">
        <w:rPr>
          <w:rFonts w:ascii="Arial" w:hAnsi="Arial" w:cs="Arial"/>
          <w:sz w:val="20"/>
          <w:szCs w:val="20"/>
        </w:rPr>
        <w:t xml:space="preserve">-Tao et al., 2000). Walnuts contain high situations of potassium, phosphorus and magnesium and lower sodium. These rudiments play an important part for numerous enzymes exertion especially as cofactor. </w:t>
      </w:r>
    </w:p>
    <w:p w14:paraId="7A9731AE" w14:textId="0959000E" w:rsidR="00741A55" w:rsidRPr="0094711D" w:rsidRDefault="0022220F" w:rsidP="00741A55">
      <w:pPr>
        <w:jc w:val="both"/>
        <w:rPr>
          <w:rFonts w:ascii="Arial" w:hAnsi="Arial" w:cs="Arial"/>
          <w:sz w:val="22"/>
          <w:szCs w:val="22"/>
        </w:rPr>
      </w:pPr>
      <w:r>
        <w:rPr>
          <w:rFonts w:ascii="Arial" w:hAnsi="Arial" w:cs="Arial"/>
          <w:b/>
          <w:bCs/>
          <w:sz w:val="22"/>
          <w:szCs w:val="22"/>
        </w:rPr>
        <w:t>2.</w:t>
      </w:r>
      <w:r w:rsidR="00741A55" w:rsidRPr="0094711D">
        <w:rPr>
          <w:rFonts w:ascii="Arial" w:hAnsi="Arial" w:cs="Arial"/>
          <w:b/>
          <w:bCs/>
          <w:sz w:val="22"/>
          <w:szCs w:val="22"/>
        </w:rPr>
        <w:t>6 Pistachio</w:t>
      </w:r>
    </w:p>
    <w:p w14:paraId="44EE59AE" w14:textId="22795F24" w:rsidR="0022220F" w:rsidRDefault="00741A55" w:rsidP="00741A55">
      <w:pPr>
        <w:jc w:val="both"/>
        <w:rPr>
          <w:rFonts w:ascii="Arial" w:hAnsi="Arial" w:cs="Arial"/>
          <w:sz w:val="20"/>
          <w:szCs w:val="20"/>
        </w:rPr>
      </w:pPr>
      <w:r w:rsidRPr="002914E7">
        <w:rPr>
          <w:rFonts w:ascii="Arial" w:hAnsi="Arial" w:cs="Arial"/>
          <w:sz w:val="20"/>
          <w:szCs w:val="20"/>
          <w:lang w:val="en-US"/>
        </w:rPr>
        <w:t>pistachio nuts (</w:t>
      </w:r>
      <w:r w:rsidRPr="0022220F">
        <w:rPr>
          <w:rFonts w:ascii="Arial" w:hAnsi="Arial" w:cs="Arial"/>
          <w:i/>
          <w:iCs/>
          <w:sz w:val="20"/>
          <w:szCs w:val="20"/>
          <w:lang w:val="en-US"/>
        </w:rPr>
        <w:t>Pistacia vera L</w:t>
      </w:r>
      <w:r w:rsidRPr="002914E7">
        <w:rPr>
          <w:rFonts w:ascii="Arial" w:hAnsi="Arial" w:cs="Arial"/>
          <w:sz w:val="20"/>
          <w:szCs w:val="20"/>
          <w:lang w:val="en-US"/>
        </w:rPr>
        <w:t xml:space="preserve">). </w:t>
      </w:r>
      <w:r w:rsidR="00F934CD" w:rsidRPr="00F934CD">
        <w:rPr>
          <w:rFonts w:ascii="Arial" w:hAnsi="Arial" w:cs="Arial"/>
          <w:sz w:val="20"/>
          <w:szCs w:val="20"/>
        </w:rPr>
        <w:t xml:space="preserve">Pistachios represent an excellent source of carotenoids, phenolic acids, flavonoids, anthocyanins, monounsaturated fatty acids, protein, dietary </w:t>
      </w:r>
      <w:proofErr w:type="spellStart"/>
      <w:r w:rsidR="00F934CD" w:rsidRPr="00F934CD">
        <w:rPr>
          <w:rFonts w:ascii="Arial" w:hAnsi="Arial" w:cs="Arial"/>
          <w:sz w:val="20"/>
          <w:szCs w:val="20"/>
        </w:rPr>
        <w:t>fiber</w:t>
      </w:r>
      <w:proofErr w:type="spellEnd"/>
      <w:r w:rsidR="00F934CD" w:rsidRPr="00F934CD">
        <w:rPr>
          <w:rFonts w:ascii="Arial" w:hAnsi="Arial" w:cs="Arial"/>
          <w:sz w:val="20"/>
          <w:szCs w:val="20"/>
        </w:rPr>
        <w:t>, as well as essential minerals and vitamins.</w:t>
      </w:r>
      <w:r w:rsidR="00F934CD">
        <w:rPr>
          <w:rFonts w:ascii="Arial" w:hAnsi="Arial" w:cs="Arial"/>
          <w:sz w:val="20"/>
          <w:szCs w:val="20"/>
        </w:rPr>
        <w:t xml:space="preserve"> </w:t>
      </w:r>
      <w:r w:rsidRPr="002914E7">
        <w:rPr>
          <w:rFonts w:ascii="Arial" w:hAnsi="Arial" w:cs="Arial"/>
          <w:sz w:val="20"/>
          <w:szCs w:val="20"/>
          <w:lang w:val="en-US"/>
        </w:rPr>
        <w:t xml:space="preserve">Pistachios, like all nuts, have a high fat content, which is composed mainly of mono and poly- unsaturated adipose acids as well as lower amount of </w:t>
      </w:r>
      <w:r w:rsidRPr="002914E7">
        <w:rPr>
          <w:rFonts w:ascii="Arial" w:hAnsi="Arial" w:cs="Arial"/>
          <w:sz w:val="20"/>
          <w:szCs w:val="20"/>
        </w:rPr>
        <w:t xml:space="preserve">the impregnated </w:t>
      </w:r>
      <w:proofErr w:type="spellStart"/>
      <w:r w:rsidRPr="002914E7">
        <w:rPr>
          <w:rFonts w:ascii="Arial" w:hAnsi="Arial" w:cs="Arial"/>
          <w:sz w:val="20"/>
          <w:szCs w:val="20"/>
        </w:rPr>
        <w:t>adipode</w:t>
      </w:r>
      <w:proofErr w:type="spellEnd"/>
      <w:r w:rsidRPr="002914E7">
        <w:rPr>
          <w:rFonts w:ascii="Arial" w:hAnsi="Arial" w:cs="Arial"/>
          <w:sz w:val="20"/>
          <w:szCs w:val="20"/>
        </w:rPr>
        <w:t xml:space="preserve"> acids, specifically oleic and linoleic acids, account for further than fifty percent of the total fat content in pistachios (Dreher, 2012; </w:t>
      </w:r>
      <w:proofErr w:type="spellStart"/>
      <w:r w:rsidRPr="002914E7">
        <w:rPr>
          <w:rFonts w:ascii="Arial" w:hAnsi="Arial" w:cs="Arial"/>
          <w:sz w:val="20"/>
          <w:szCs w:val="20"/>
        </w:rPr>
        <w:t>Bulló</w:t>
      </w:r>
      <w:proofErr w:type="spellEnd"/>
      <w:r w:rsidRPr="002914E7">
        <w:rPr>
          <w:rFonts w:ascii="Arial" w:hAnsi="Arial" w:cs="Arial"/>
          <w:sz w:val="20"/>
          <w:szCs w:val="20"/>
        </w:rPr>
        <w:t xml:space="preserve"> et al., 2015). </w:t>
      </w:r>
      <w:r w:rsidR="00F934CD" w:rsidRPr="00F934CD">
        <w:rPr>
          <w:rFonts w:ascii="Arial" w:hAnsi="Arial" w:cs="Arial"/>
          <w:sz w:val="20"/>
          <w:szCs w:val="20"/>
        </w:rPr>
        <w:t>Pistachios exhibit a superior essential amino acid composition compared to most commonly consumed nuts, particularly concerning branched-chain amino acids (Bailey et al., 2020).</w:t>
      </w:r>
      <w:r w:rsidR="00A80553">
        <w:rPr>
          <w:rFonts w:ascii="Arial" w:hAnsi="Arial" w:cs="Arial"/>
          <w:sz w:val="20"/>
          <w:szCs w:val="20"/>
        </w:rPr>
        <w:t xml:space="preserve"> </w:t>
      </w:r>
      <w:r w:rsidRPr="002914E7">
        <w:rPr>
          <w:rFonts w:ascii="Arial" w:hAnsi="Arial" w:cs="Arial"/>
          <w:sz w:val="20"/>
          <w:szCs w:val="20"/>
        </w:rPr>
        <w:t xml:space="preserve">also, pistachios </w:t>
      </w:r>
      <w:r w:rsidR="00237667">
        <w:rPr>
          <w:rFonts w:ascii="Arial" w:hAnsi="Arial" w:cs="Arial"/>
          <w:sz w:val="20"/>
          <w:szCs w:val="20"/>
        </w:rPr>
        <w:t>are</w:t>
      </w:r>
      <w:r w:rsidRPr="002914E7">
        <w:rPr>
          <w:rFonts w:ascii="Arial" w:hAnsi="Arial" w:cs="Arial"/>
          <w:sz w:val="20"/>
          <w:szCs w:val="20"/>
        </w:rPr>
        <w:t xml:space="preserve"> rich in manganese, vitamin B6, </w:t>
      </w:r>
      <w:proofErr w:type="spellStart"/>
      <w:r w:rsidRPr="002914E7">
        <w:rPr>
          <w:rFonts w:ascii="Arial" w:hAnsi="Arial" w:cs="Arial"/>
          <w:sz w:val="20"/>
          <w:szCs w:val="20"/>
        </w:rPr>
        <w:t>thiamin</w:t>
      </w:r>
      <w:proofErr w:type="spellEnd"/>
      <w:r w:rsidRPr="002914E7">
        <w:rPr>
          <w:rFonts w:ascii="Arial" w:hAnsi="Arial" w:cs="Arial"/>
          <w:sz w:val="20"/>
          <w:szCs w:val="20"/>
        </w:rPr>
        <w:t xml:space="preserve">, potassium, phosphorus, chromium, vitamins E and K (phylloquinone), riboflavin, folate, magnesium, iron, zinc, and selenium, while also containing lower quantities of other micronutrients. </w:t>
      </w:r>
      <w:r w:rsidR="009312AB" w:rsidRPr="002914E7">
        <w:rPr>
          <w:rFonts w:ascii="Arial" w:hAnsi="Arial" w:cs="Arial"/>
          <w:sz w:val="20"/>
          <w:szCs w:val="20"/>
        </w:rPr>
        <w:t>like</w:t>
      </w:r>
      <w:r w:rsidR="009312AB">
        <w:rPr>
          <w:rFonts w:ascii="Arial" w:hAnsi="Arial" w:cs="Arial"/>
          <w:sz w:val="20"/>
          <w:szCs w:val="20"/>
        </w:rPr>
        <w:t>w</w:t>
      </w:r>
      <w:r w:rsidR="009312AB" w:rsidRPr="002914E7">
        <w:rPr>
          <w:rFonts w:ascii="Arial" w:hAnsi="Arial" w:cs="Arial"/>
          <w:sz w:val="20"/>
          <w:szCs w:val="20"/>
        </w:rPr>
        <w:t>ise</w:t>
      </w:r>
      <w:r w:rsidRPr="002914E7">
        <w:rPr>
          <w:rFonts w:ascii="Arial" w:hAnsi="Arial" w:cs="Arial"/>
          <w:sz w:val="20"/>
          <w:szCs w:val="20"/>
        </w:rPr>
        <w:t>, pistachios are abundant in lutein and zeaxanthin (xanthophyll carotenoids), as well as a different array of bioactive phenolic composites, specially including genistein-7-O-glucoside, genistein, and daidzein</w:t>
      </w:r>
      <w:r>
        <w:rPr>
          <w:rFonts w:ascii="Arial" w:hAnsi="Arial" w:cs="Arial"/>
          <w:sz w:val="20"/>
          <w:szCs w:val="20"/>
        </w:rPr>
        <w:t>.</w:t>
      </w:r>
    </w:p>
    <w:p w14:paraId="338499F2" w14:textId="2D32C76B" w:rsidR="00741A55" w:rsidRPr="002914E7" w:rsidRDefault="0022220F" w:rsidP="00741A55">
      <w:pPr>
        <w:jc w:val="both"/>
        <w:rPr>
          <w:rFonts w:ascii="Arial" w:hAnsi="Arial" w:cs="Arial"/>
          <w:sz w:val="20"/>
          <w:szCs w:val="20"/>
        </w:rPr>
      </w:pPr>
      <w:r>
        <w:rPr>
          <w:rFonts w:ascii="Arial" w:hAnsi="Arial" w:cs="Arial"/>
          <w:sz w:val="20"/>
          <w:szCs w:val="20"/>
        </w:rPr>
        <w:t xml:space="preserve"> </w:t>
      </w:r>
      <w:r>
        <w:rPr>
          <w:rFonts w:ascii="Arial" w:hAnsi="Arial" w:cs="Arial"/>
          <w:b/>
          <w:bCs/>
          <w:sz w:val="22"/>
          <w:szCs w:val="22"/>
        </w:rPr>
        <w:t>2.</w:t>
      </w:r>
      <w:r w:rsidR="00741A55">
        <w:rPr>
          <w:rFonts w:ascii="Arial" w:hAnsi="Arial" w:cs="Arial"/>
          <w:b/>
          <w:bCs/>
          <w:sz w:val="22"/>
          <w:szCs w:val="22"/>
        </w:rPr>
        <w:t>7</w:t>
      </w:r>
      <w:r w:rsidR="00741A55" w:rsidRPr="0094711D">
        <w:rPr>
          <w:rFonts w:ascii="Arial" w:hAnsi="Arial" w:cs="Arial"/>
          <w:b/>
          <w:bCs/>
          <w:sz w:val="22"/>
          <w:szCs w:val="22"/>
        </w:rPr>
        <w:t xml:space="preserve"> Oats</w:t>
      </w:r>
    </w:p>
    <w:p w14:paraId="0112AEC9" w14:textId="7D154E70" w:rsidR="00741A55" w:rsidRPr="002914E7" w:rsidRDefault="00741A55" w:rsidP="00741A55">
      <w:pPr>
        <w:jc w:val="both"/>
        <w:rPr>
          <w:rFonts w:ascii="Arial" w:hAnsi="Arial" w:cs="Arial"/>
          <w:sz w:val="20"/>
          <w:szCs w:val="20"/>
        </w:rPr>
      </w:pPr>
      <w:r w:rsidRPr="002914E7">
        <w:rPr>
          <w:rFonts w:ascii="Arial" w:hAnsi="Arial" w:cs="Arial"/>
          <w:sz w:val="20"/>
          <w:szCs w:val="20"/>
        </w:rPr>
        <w:t>Oat (</w:t>
      </w:r>
      <w:r w:rsidRPr="005C5042">
        <w:rPr>
          <w:rFonts w:ascii="Arial" w:hAnsi="Arial" w:cs="Arial"/>
          <w:i/>
          <w:iCs/>
          <w:sz w:val="20"/>
          <w:szCs w:val="20"/>
        </w:rPr>
        <w:t>Avena sativa L</w:t>
      </w:r>
      <w:r w:rsidRPr="002914E7">
        <w:rPr>
          <w:rFonts w:ascii="Arial" w:hAnsi="Arial" w:cs="Arial"/>
          <w:sz w:val="20"/>
          <w:szCs w:val="20"/>
        </w:rPr>
        <w:t xml:space="preserve">.) is distinguished among cereal crops due to its rich nutrient profile, which holds substantial significance for mortal consumption. Oats are generally employed in breakfast cereals and snack bars, and their objectification into </w:t>
      </w:r>
      <w:proofErr w:type="spellStart"/>
      <w:r w:rsidRPr="002914E7">
        <w:rPr>
          <w:rFonts w:ascii="Arial" w:hAnsi="Arial" w:cs="Arial"/>
          <w:sz w:val="20"/>
          <w:szCs w:val="20"/>
        </w:rPr>
        <w:t>colorful</w:t>
      </w:r>
      <w:proofErr w:type="spellEnd"/>
      <w:r w:rsidRPr="002914E7">
        <w:rPr>
          <w:rFonts w:ascii="Arial" w:hAnsi="Arial" w:cs="Arial"/>
          <w:sz w:val="20"/>
          <w:szCs w:val="20"/>
        </w:rPr>
        <w:t xml:space="preserve"> products would mainly profit consumers due to their health-promoting parcels (Sang et al., 2017; Paudel et al., 2018)</w:t>
      </w:r>
      <w:r w:rsidR="00222728">
        <w:rPr>
          <w:rFonts w:ascii="Arial" w:hAnsi="Arial" w:cs="Arial"/>
          <w:sz w:val="20"/>
          <w:szCs w:val="20"/>
        </w:rPr>
        <w:t>. t</w:t>
      </w:r>
      <w:r w:rsidRPr="002914E7">
        <w:rPr>
          <w:rFonts w:ascii="Arial" w:hAnsi="Arial" w:cs="Arial"/>
          <w:sz w:val="20"/>
          <w:szCs w:val="20"/>
        </w:rPr>
        <w:t xml:space="preserve">his cereal grain constitutes a significant source of carbohydrates, salutary answerable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balanced protein, lipids, </w:t>
      </w:r>
      <w:proofErr w:type="spellStart"/>
      <w:r w:rsidRPr="002914E7">
        <w:rPr>
          <w:rFonts w:ascii="Arial" w:hAnsi="Arial" w:cs="Arial"/>
          <w:sz w:val="20"/>
          <w:szCs w:val="20"/>
        </w:rPr>
        <w:t>colorful</w:t>
      </w:r>
      <w:proofErr w:type="spellEnd"/>
      <w:r w:rsidRPr="002914E7">
        <w:rPr>
          <w:rFonts w:ascii="Arial" w:hAnsi="Arial" w:cs="Arial"/>
          <w:sz w:val="20"/>
          <w:szCs w:val="20"/>
        </w:rPr>
        <w:t xml:space="preserve"> phenolic composites, vitamins, and minerals (Joyce et al., 2019). It is thought to be the main ingredient in oats with vibrant functional and nutritional packages, significantly reducing cholesterol (Whitehead et al., 2014), and causing antidiabetic effects</w:t>
      </w:r>
      <w:r>
        <w:rPr>
          <w:rFonts w:ascii="Arial" w:hAnsi="Arial" w:cs="Arial"/>
          <w:sz w:val="20"/>
          <w:szCs w:val="20"/>
        </w:rPr>
        <w:t xml:space="preserve">. </w:t>
      </w:r>
      <w:r w:rsidR="00F934CD" w:rsidRPr="00F934CD">
        <w:rPr>
          <w:rFonts w:ascii="Arial" w:hAnsi="Arial" w:cs="Arial"/>
          <w:sz w:val="20"/>
          <w:szCs w:val="20"/>
        </w:rPr>
        <w:t xml:space="preserve">Minor constituents found in oats include antioxidant compounds such as </w:t>
      </w:r>
      <w:proofErr w:type="spellStart"/>
      <w:r w:rsidR="00F934CD" w:rsidRPr="00F934CD">
        <w:rPr>
          <w:rFonts w:ascii="Arial" w:hAnsi="Arial" w:cs="Arial"/>
          <w:sz w:val="20"/>
          <w:szCs w:val="20"/>
        </w:rPr>
        <w:t>tocols</w:t>
      </w:r>
      <w:proofErr w:type="spellEnd"/>
      <w:r w:rsidR="00F934CD" w:rsidRPr="00F934CD">
        <w:rPr>
          <w:rFonts w:ascii="Arial" w:hAnsi="Arial" w:cs="Arial"/>
          <w:sz w:val="20"/>
          <w:szCs w:val="20"/>
        </w:rPr>
        <w:t>, phenolic compounds, and sterols, which are associated with health-promoting properties.</w:t>
      </w:r>
      <w:r w:rsidR="00F934CD">
        <w:rPr>
          <w:rFonts w:ascii="Arial" w:hAnsi="Arial" w:cs="Arial"/>
          <w:sz w:val="20"/>
          <w:szCs w:val="20"/>
        </w:rPr>
        <w:t xml:space="preserve"> </w:t>
      </w:r>
      <w:r w:rsidRPr="002914E7">
        <w:rPr>
          <w:rFonts w:ascii="Arial" w:hAnsi="Arial" w:cs="Arial"/>
          <w:sz w:val="20"/>
          <w:szCs w:val="20"/>
        </w:rPr>
        <w:t xml:space="preserve">Vitamin E exertion is substantially contributed by tocopherols and tocotrienols, which together make </w:t>
      </w:r>
      <w:proofErr w:type="spellStart"/>
      <w:r w:rsidRPr="002914E7">
        <w:rPr>
          <w:rFonts w:ascii="Arial" w:hAnsi="Arial" w:cs="Arial"/>
          <w:sz w:val="20"/>
          <w:szCs w:val="20"/>
        </w:rPr>
        <w:t>tocols</w:t>
      </w:r>
      <w:proofErr w:type="spellEnd"/>
      <w:r w:rsidRPr="002914E7">
        <w:rPr>
          <w:rFonts w:ascii="Arial" w:hAnsi="Arial" w:cs="Arial"/>
          <w:sz w:val="20"/>
          <w:szCs w:val="20"/>
        </w:rPr>
        <w:t xml:space="preserve"> (Sterna et al., 2016). Avenanthramides (AVAs), p-hydroxybenzoic acid, vanillic acid, tricin, ferulic acid, caffeic acid, protocatechuic acid, syringic acid, p-coumaric acid, </w:t>
      </w:r>
      <w:proofErr w:type="spellStart"/>
      <w:r w:rsidRPr="002914E7">
        <w:rPr>
          <w:rFonts w:ascii="Arial" w:hAnsi="Arial" w:cs="Arial"/>
          <w:sz w:val="20"/>
          <w:szCs w:val="20"/>
        </w:rPr>
        <w:t>sinapic</w:t>
      </w:r>
      <w:proofErr w:type="spellEnd"/>
      <w:r w:rsidRPr="002914E7">
        <w:rPr>
          <w:rFonts w:ascii="Arial" w:hAnsi="Arial" w:cs="Arial"/>
          <w:sz w:val="20"/>
          <w:szCs w:val="20"/>
        </w:rPr>
        <w:t xml:space="preserve"> acid, tricin, apigenin, luteolin, kaempferol, and quercetin are among the several phenolic composites that have been connected. </w:t>
      </w:r>
    </w:p>
    <w:p w14:paraId="44C80EA4" w14:textId="10191A88" w:rsidR="00741A55" w:rsidRPr="0094711D" w:rsidRDefault="0022220F" w:rsidP="00741A55">
      <w:pPr>
        <w:jc w:val="both"/>
        <w:rPr>
          <w:rFonts w:ascii="Arial" w:hAnsi="Arial" w:cs="Arial"/>
          <w:b/>
          <w:bCs/>
          <w:sz w:val="22"/>
          <w:szCs w:val="22"/>
        </w:rPr>
      </w:pPr>
      <w:r>
        <w:rPr>
          <w:rFonts w:ascii="Arial" w:hAnsi="Arial" w:cs="Arial"/>
          <w:b/>
          <w:bCs/>
          <w:sz w:val="22"/>
          <w:szCs w:val="22"/>
        </w:rPr>
        <w:t>2.</w:t>
      </w:r>
      <w:r w:rsidR="00741A55" w:rsidRPr="0094711D">
        <w:rPr>
          <w:rFonts w:ascii="Arial" w:hAnsi="Arial" w:cs="Arial"/>
          <w:b/>
          <w:bCs/>
          <w:sz w:val="22"/>
          <w:szCs w:val="22"/>
        </w:rPr>
        <w:t>8 Liquid glucose</w:t>
      </w:r>
    </w:p>
    <w:p w14:paraId="49E67734" w14:textId="070CE481" w:rsidR="00741A55" w:rsidRPr="002914E7" w:rsidRDefault="00741A55" w:rsidP="00741A55">
      <w:pPr>
        <w:jc w:val="both"/>
        <w:rPr>
          <w:rFonts w:ascii="Arial" w:hAnsi="Arial" w:cs="Arial"/>
          <w:sz w:val="20"/>
          <w:szCs w:val="20"/>
        </w:rPr>
      </w:pPr>
      <w:r w:rsidRPr="002914E7">
        <w:rPr>
          <w:rFonts w:ascii="Arial" w:hAnsi="Arial" w:cs="Arial"/>
          <w:sz w:val="20"/>
          <w:szCs w:val="20"/>
        </w:rPr>
        <w:t xml:space="preserve">Liquid glucose, a crucial component in energy bars, serves multiple functional and nutritive places that enhance product quality, shelf stability, and consumer </w:t>
      </w:r>
      <w:r w:rsidR="00B05FCC" w:rsidRPr="002914E7">
        <w:rPr>
          <w:rFonts w:ascii="Arial" w:hAnsi="Arial" w:cs="Arial"/>
          <w:sz w:val="20"/>
          <w:szCs w:val="20"/>
        </w:rPr>
        <w:t>a</w:t>
      </w:r>
      <w:r w:rsidR="00B05FCC">
        <w:rPr>
          <w:rFonts w:ascii="Arial" w:hAnsi="Arial" w:cs="Arial"/>
          <w:sz w:val="20"/>
          <w:szCs w:val="20"/>
        </w:rPr>
        <w:t>cceptability</w:t>
      </w:r>
      <w:r w:rsidRPr="002914E7">
        <w:rPr>
          <w:rFonts w:ascii="Arial" w:hAnsi="Arial" w:cs="Arial"/>
          <w:sz w:val="20"/>
          <w:szCs w:val="20"/>
        </w:rPr>
        <w:t xml:space="preserve">. </w:t>
      </w:r>
      <w:r w:rsidR="00105450">
        <w:rPr>
          <w:rFonts w:ascii="Arial" w:hAnsi="Arial" w:cs="Arial"/>
          <w:sz w:val="20"/>
          <w:szCs w:val="20"/>
        </w:rPr>
        <w:t>Liquid glucose is a simple sugar made by breaking down starch</w:t>
      </w:r>
      <w:r w:rsidR="006D3305">
        <w:rPr>
          <w:rFonts w:ascii="Arial" w:hAnsi="Arial" w:cs="Arial"/>
          <w:sz w:val="20"/>
          <w:szCs w:val="20"/>
        </w:rPr>
        <w:t>.</w:t>
      </w:r>
      <w:r w:rsidR="00105450">
        <w:rPr>
          <w:rFonts w:ascii="Arial" w:hAnsi="Arial" w:cs="Arial"/>
          <w:sz w:val="20"/>
          <w:szCs w:val="20"/>
        </w:rPr>
        <w:t xml:space="preserve"> It </w:t>
      </w:r>
      <w:r w:rsidR="00196207">
        <w:rPr>
          <w:rFonts w:ascii="Arial" w:hAnsi="Arial" w:cs="Arial"/>
          <w:sz w:val="20"/>
          <w:szCs w:val="20"/>
        </w:rPr>
        <w:t>provides quick</w:t>
      </w:r>
      <w:r w:rsidRPr="002914E7">
        <w:rPr>
          <w:rFonts w:ascii="Arial" w:hAnsi="Arial" w:cs="Arial"/>
          <w:sz w:val="20"/>
          <w:szCs w:val="20"/>
        </w:rPr>
        <w:t xml:space="preserve"> energy source due to its high </w:t>
      </w:r>
      <w:proofErr w:type="spellStart"/>
      <w:r w:rsidRPr="002914E7">
        <w:rPr>
          <w:rFonts w:ascii="Arial" w:hAnsi="Arial" w:cs="Arial"/>
          <w:sz w:val="20"/>
          <w:szCs w:val="20"/>
        </w:rPr>
        <w:t>glycemic</w:t>
      </w:r>
      <w:proofErr w:type="spellEnd"/>
      <w:r w:rsidRPr="002914E7">
        <w:rPr>
          <w:rFonts w:ascii="Arial" w:hAnsi="Arial" w:cs="Arial"/>
          <w:sz w:val="20"/>
          <w:szCs w:val="20"/>
        </w:rPr>
        <w:t xml:space="preserve"> ind</w:t>
      </w:r>
      <w:r w:rsidR="00196207">
        <w:rPr>
          <w:rFonts w:ascii="Arial" w:hAnsi="Arial" w:cs="Arial"/>
          <w:sz w:val="20"/>
          <w:szCs w:val="20"/>
        </w:rPr>
        <w:t>ex</w:t>
      </w:r>
      <w:r w:rsidR="006D3305">
        <w:rPr>
          <w:rFonts w:ascii="Arial" w:hAnsi="Arial" w:cs="Arial"/>
          <w:sz w:val="20"/>
          <w:szCs w:val="20"/>
        </w:rPr>
        <w:t xml:space="preserve"> (</w:t>
      </w:r>
      <w:proofErr w:type="spellStart"/>
      <w:r w:rsidR="006D3305">
        <w:rPr>
          <w:rFonts w:ascii="Arial" w:hAnsi="Arial" w:cs="Arial"/>
          <w:sz w:val="20"/>
          <w:szCs w:val="20"/>
        </w:rPr>
        <w:t>Malecki</w:t>
      </w:r>
      <w:proofErr w:type="spellEnd"/>
      <w:r w:rsidR="006D3305">
        <w:rPr>
          <w:rFonts w:ascii="Arial" w:hAnsi="Arial" w:cs="Arial"/>
          <w:sz w:val="20"/>
          <w:szCs w:val="20"/>
        </w:rPr>
        <w:t xml:space="preserve"> et al., 2022)</w:t>
      </w:r>
      <w:r w:rsidR="000314B0">
        <w:rPr>
          <w:rFonts w:ascii="Arial" w:hAnsi="Arial" w:cs="Arial"/>
          <w:sz w:val="20"/>
          <w:szCs w:val="20"/>
        </w:rPr>
        <w:t xml:space="preserve">. delivering fast glucose elevation which is ideal for pre or post exercise. </w:t>
      </w:r>
      <w:r w:rsidRPr="002914E7">
        <w:rPr>
          <w:rFonts w:ascii="Arial" w:hAnsi="Arial" w:cs="Arial"/>
          <w:sz w:val="20"/>
          <w:szCs w:val="20"/>
        </w:rPr>
        <w:t>Its low density and hygroscopic nature contribute to the soft, leathery texture of energy bars by pre</w:t>
      </w:r>
      <w:r w:rsidR="00B05FCC">
        <w:rPr>
          <w:rFonts w:ascii="Arial" w:hAnsi="Arial" w:cs="Arial"/>
          <w:sz w:val="20"/>
          <w:szCs w:val="20"/>
        </w:rPr>
        <w:t>venting</w:t>
      </w:r>
      <w:r w:rsidRPr="002914E7">
        <w:rPr>
          <w:rFonts w:ascii="Arial" w:hAnsi="Arial" w:cs="Arial"/>
          <w:sz w:val="20"/>
          <w:szCs w:val="20"/>
        </w:rPr>
        <w:t xml:space="preserve"> crystallization and retaining humidity, therefore perfecting mouthfeel and delectability.</w:t>
      </w:r>
      <w:r w:rsidR="000314B0">
        <w:rPr>
          <w:rFonts w:ascii="Arial" w:hAnsi="Arial" w:cs="Arial"/>
          <w:sz w:val="20"/>
          <w:szCs w:val="20"/>
        </w:rPr>
        <w:t xml:space="preserve"> f</w:t>
      </w:r>
      <w:r w:rsidRPr="002914E7">
        <w:rPr>
          <w:rFonts w:ascii="Arial" w:hAnsi="Arial" w:cs="Arial"/>
          <w:sz w:val="20"/>
          <w:szCs w:val="20"/>
        </w:rPr>
        <w:t>rom a shelf</w:t>
      </w:r>
      <w:r>
        <w:rPr>
          <w:rFonts w:ascii="Arial" w:hAnsi="Arial" w:cs="Arial"/>
          <w:sz w:val="20"/>
          <w:szCs w:val="20"/>
        </w:rPr>
        <w:t>-life</w:t>
      </w:r>
      <w:r w:rsidRPr="002914E7">
        <w:rPr>
          <w:rFonts w:ascii="Arial" w:hAnsi="Arial" w:cs="Arial"/>
          <w:sz w:val="20"/>
          <w:szCs w:val="20"/>
        </w:rPr>
        <w:t xml:space="preserve"> perspective, liquid glucose reduces water exertion (layoff) in energy bars, inhibiting microbial growth and delaying staling, which is critical for marketable products taking extended storehouse.</w:t>
      </w:r>
      <w:r w:rsidR="00B05FCC">
        <w:rPr>
          <w:rFonts w:ascii="Arial" w:hAnsi="Arial" w:cs="Arial"/>
          <w:sz w:val="20"/>
          <w:szCs w:val="20"/>
        </w:rPr>
        <w:t xml:space="preserve"> Energy bar using glucose syrup become hard or overly stick during storage</w:t>
      </w:r>
      <w:r w:rsidR="00661B7E">
        <w:rPr>
          <w:rFonts w:ascii="Arial" w:hAnsi="Arial" w:cs="Arial"/>
          <w:sz w:val="20"/>
          <w:szCs w:val="20"/>
        </w:rPr>
        <w:t xml:space="preserve"> (Malecki et al., 2022).</w:t>
      </w:r>
    </w:p>
    <w:p w14:paraId="4288C10C" w14:textId="77777777" w:rsidR="00736D84" w:rsidRDefault="00736D84" w:rsidP="0022220F">
      <w:pPr>
        <w:jc w:val="both"/>
        <w:rPr>
          <w:rFonts w:ascii="Arial" w:hAnsi="Arial" w:cs="Arial"/>
          <w:b/>
          <w:bCs/>
          <w:sz w:val="22"/>
          <w:szCs w:val="22"/>
        </w:rPr>
      </w:pPr>
    </w:p>
    <w:p w14:paraId="6B3FC7BF" w14:textId="2E1B91E6" w:rsidR="0022220F" w:rsidRDefault="0022220F" w:rsidP="0022220F">
      <w:pPr>
        <w:jc w:val="both"/>
        <w:rPr>
          <w:rFonts w:ascii="Arial" w:hAnsi="Arial" w:cs="Arial"/>
          <w:b/>
          <w:bCs/>
          <w:sz w:val="22"/>
          <w:szCs w:val="22"/>
        </w:rPr>
      </w:pPr>
      <w:r>
        <w:rPr>
          <w:rFonts w:ascii="Arial" w:hAnsi="Arial" w:cs="Arial"/>
          <w:b/>
          <w:bCs/>
          <w:sz w:val="22"/>
          <w:szCs w:val="22"/>
        </w:rPr>
        <w:t xml:space="preserve">3. </w:t>
      </w:r>
      <w:r w:rsidRPr="0094711D">
        <w:rPr>
          <w:rFonts w:ascii="Arial" w:hAnsi="Arial" w:cs="Arial"/>
          <w:b/>
          <w:bCs/>
          <w:sz w:val="22"/>
          <w:szCs w:val="22"/>
        </w:rPr>
        <w:t>HEALTH BENEFITS</w:t>
      </w:r>
    </w:p>
    <w:p w14:paraId="76B548BA" w14:textId="72B8EAC2" w:rsidR="0094778A" w:rsidRPr="00444890" w:rsidRDefault="0094778A" w:rsidP="0022220F">
      <w:pPr>
        <w:jc w:val="both"/>
        <w:rPr>
          <w:rFonts w:ascii="Arial" w:hAnsi="Arial" w:cs="Arial"/>
          <w:b/>
          <w:bCs/>
          <w:sz w:val="20"/>
          <w:szCs w:val="20"/>
        </w:rPr>
      </w:pPr>
      <w:r>
        <w:rPr>
          <w:rFonts w:ascii="Arial" w:hAnsi="Arial" w:cs="Arial"/>
          <w:b/>
          <w:bCs/>
          <w:sz w:val="22"/>
          <w:szCs w:val="22"/>
        </w:rPr>
        <w:lastRenderedPageBreak/>
        <w:t xml:space="preserve">3.1 </w:t>
      </w:r>
      <w:r w:rsidRPr="00444890">
        <w:rPr>
          <w:rFonts w:ascii="Arial" w:hAnsi="Arial" w:cs="Arial"/>
          <w:b/>
          <w:bCs/>
          <w:sz w:val="22"/>
          <w:szCs w:val="22"/>
        </w:rPr>
        <w:t>CANTALOUPE SEEDS</w:t>
      </w:r>
    </w:p>
    <w:p w14:paraId="08DECF8B" w14:textId="3F929A52" w:rsidR="0022220F" w:rsidRPr="0094711D" w:rsidRDefault="0094778A" w:rsidP="0022220F">
      <w:pPr>
        <w:jc w:val="both"/>
        <w:rPr>
          <w:rFonts w:ascii="Arial" w:hAnsi="Arial" w:cs="Arial"/>
          <w:sz w:val="22"/>
          <w:szCs w:val="22"/>
        </w:rPr>
      </w:pPr>
      <w:r>
        <w:rPr>
          <w:rFonts w:ascii="Arial" w:hAnsi="Arial" w:cs="Arial"/>
          <w:b/>
          <w:bCs/>
          <w:sz w:val="22"/>
          <w:szCs w:val="22"/>
        </w:rPr>
        <w:t>3</w:t>
      </w:r>
      <w:r w:rsidR="0022220F" w:rsidRPr="0094711D">
        <w:rPr>
          <w:rFonts w:ascii="Arial" w:hAnsi="Arial" w:cs="Arial"/>
          <w:b/>
          <w:bCs/>
          <w:sz w:val="22"/>
          <w:szCs w:val="22"/>
        </w:rPr>
        <w:t>.1</w:t>
      </w:r>
      <w:r>
        <w:rPr>
          <w:rFonts w:ascii="Arial" w:hAnsi="Arial" w:cs="Arial"/>
          <w:b/>
          <w:bCs/>
          <w:sz w:val="22"/>
          <w:szCs w:val="22"/>
        </w:rPr>
        <w:t xml:space="preserve">.2 </w:t>
      </w:r>
      <w:r w:rsidR="0022220F" w:rsidRPr="0094711D">
        <w:rPr>
          <w:rFonts w:ascii="Arial" w:hAnsi="Arial" w:cs="Arial"/>
          <w:b/>
          <w:bCs/>
          <w:sz w:val="22"/>
          <w:szCs w:val="22"/>
        </w:rPr>
        <w:t>Antiulcer activity</w:t>
      </w:r>
      <w:r w:rsidR="0022220F" w:rsidRPr="0094711D">
        <w:rPr>
          <w:rFonts w:ascii="Arial" w:hAnsi="Arial" w:cs="Arial"/>
          <w:sz w:val="22"/>
          <w:szCs w:val="22"/>
        </w:rPr>
        <w:t xml:space="preserve">: </w:t>
      </w:r>
    </w:p>
    <w:p w14:paraId="66CCC35D" w14:textId="10B717A9" w:rsidR="0022220F" w:rsidRDefault="00F934CD" w:rsidP="0022220F">
      <w:pPr>
        <w:jc w:val="both"/>
        <w:rPr>
          <w:rFonts w:ascii="Arial" w:hAnsi="Arial" w:cs="Arial"/>
          <w:sz w:val="20"/>
          <w:szCs w:val="20"/>
        </w:rPr>
      </w:pPr>
      <w:r w:rsidRPr="00F934CD">
        <w:rPr>
          <w:rFonts w:ascii="Arial" w:hAnsi="Arial" w:cs="Arial"/>
          <w:sz w:val="20"/>
          <w:szCs w:val="20"/>
        </w:rPr>
        <w:t>The methanolic extract of Cucumis melo seeds demonstrated anti-ulcerogenic properties.</w:t>
      </w:r>
      <w:r>
        <w:rPr>
          <w:rFonts w:ascii="Arial" w:hAnsi="Arial" w:cs="Arial"/>
          <w:sz w:val="20"/>
          <w:szCs w:val="20"/>
        </w:rPr>
        <w:t xml:space="preserve"> </w:t>
      </w:r>
      <w:r w:rsidR="0022220F" w:rsidRPr="009551D6">
        <w:rPr>
          <w:rFonts w:ascii="Arial" w:hAnsi="Arial" w:cs="Arial"/>
          <w:sz w:val="20"/>
          <w:szCs w:val="20"/>
        </w:rPr>
        <w:t>The mechanism of its gastro-protective activity may be attributed to reduction in vascular permeability</w:t>
      </w:r>
      <w:r w:rsidR="0022220F">
        <w:rPr>
          <w:rFonts w:ascii="Arial" w:hAnsi="Arial" w:cs="Arial"/>
          <w:sz w:val="20"/>
          <w:szCs w:val="20"/>
        </w:rPr>
        <w:t xml:space="preserve">, </w:t>
      </w:r>
      <w:r w:rsidR="0022220F" w:rsidRPr="009551D6">
        <w:rPr>
          <w:rFonts w:ascii="Arial" w:hAnsi="Arial" w:cs="Arial"/>
          <w:sz w:val="20"/>
          <w:szCs w:val="20"/>
        </w:rPr>
        <w:t>scavenging of free radicals and diminished lipid peroxidation along with strengthening of mucosal barrier. Presence of triterpenoids and sterols are</w:t>
      </w:r>
      <w:r w:rsidR="0022220F">
        <w:rPr>
          <w:rFonts w:ascii="Arial" w:hAnsi="Arial" w:cs="Arial"/>
          <w:sz w:val="20"/>
          <w:szCs w:val="20"/>
        </w:rPr>
        <w:t xml:space="preserve"> </w:t>
      </w:r>
      <w:r w:rsidR="0022220F" w:rsidRPr="009551D6">
        <w:rPr>
          <w:rFonts w:ascii="Arial" w:hAnsi="Arial" w:cs="Arial"/>
          <w:sz w:val="20"/>
          <w:szCs w:val="20"/>
        </w:rPr>
        <w:t>responsible for these actions</w:t>
      </w:r>
      <w:r w:rsidR="0022220F">
        <w:rPr>
          <w:rFonts w:ascii="Arial" w:hAnsi="Arial" w:cs="Arial"/>
          <w:sz w:val="20"/>
          <w:szCs w:val="20"/>
        </w:rPr>
        <w:t xml:space="preserve"> (</w:t>
      </w:r>
      <w:r w:rsidR="0022220F" w:rsidRPr="001A2703">
        <w:rPr>
          <w:rFonts w:ascii="Arial" w:hAnsi="Arial" w:cs="Arial"/>
          <w:sz w:val="20"/>
          <w:szCs w:val="20"/>
        </w:rPr>
        <w:t>Gill et al.</w:t>
      </w:r>
      <w:r w:rsidR="00711730">
        <w:rPr>
          <w:rFonts w:ascii="Arial" w:hAnsi="Arial" w:cs="Arial"/>
          <w:sz w:val="20"/>
          <w:szCs w:val="20"/>
        </w:rPr>
        <w:t>,</w:t>
      </w:r>
      <w:r w:rsidR="0022220F" w:rsidRPr="001A2703">
        <w:rPr>
          <w:rFonts w:ascii="Arial" w:hAnsi="Arial" w:cs="Arial"/>
          <w:sz w:val="20"/>
          <w:szCs w:val="20"/>
        </w:rPr>
        <w:t xml:space="preserve"> 2011</w:t>
      </w:r>
      <w:r w:rsidR="0022220F">
        <w:rPr>
          <w:rFonts w:ascii="Arial" w:hAnsi="Arial" w:cs="Arial"/>
          <w:sz w:val="20"/>
          <w:szCs w:val="20"/>
        </w:rPr>
        <w:t xml:space="preserve">). </w:t>
      </w:r>
    </w:p>
    <w:p w14:paraId="2398B0C4" w14:textId="77777777" w:rsidR="00CC305B" w:rsidRDefault="0022220F" w:rsidP="0022220F">
      <w:pPr>
        <w:jc w:val="both"/>
        <w:rPr>
          <w:rFonts w:ascii="Arial" w:hAnsi="Arial" w:cs="Arial"/>
          <w:sz w:val="20"/>
          <w:szCs w:val="20"/>
        </w:rPr>
      </w:pPr>
      <w:r>
        <w:rPr>
          <w:rFonts w:ascii="Arial" w:hAnsi="Arial" w:cs="Arial"/>
          <w:sz w:val="20"/>
          <w:szCs w:val="20"/>
        </w:rPr>
        <w:t xml:space="preserve">Cantaloupe seeds possess antiulcer properties, attributed to their high antioxidant content and ability to reduce inflammation and </w:t>
      </w:r>
      <w:r w:rsidRPr="002914E7">
        <w:rPr>
          <w:rFonts w:ascii="Arial" w:hAnsi="Arial" w:cs="Arial"/>
          <w:sz w:val="20"/>
          <w:szCs w:val="20"/>
        </w:rPr>
        <w:t>exhibited considerable antiulcer potential. Research indicates that their ethanol extracts may aid in diminishing gastric lesions and safeguarding the gastric mucosa, attributable to the presence of phenolic compounds that manifest cytoprotective and anti-secretory properties.</w:t>
      </w:r>
    </w:p>
    <w:p w14:paraId="4E328322" w14:textId="5C3B036B" w:rsidR="0022220F" w:rsidRPr="00CC305B" w:rsidRDefault="0094778A" w:rsidP="0022220F">
      <w:pPr>
        <w:jc w:val="both"/>
        <w:rPr>
          <w:rFonts w:ascii="Arial" w:hAnsi="Arial" w:cs="Arial"/>
          <w:sz w:val="20"/>
          <w:szCs w:val="20"/>
        </w:rPr>
      </w:pPr>
      <w:r>
        <w:rPr>
          <w:rFonts w:ascii="Arial" w:hAnsi="Arial" w:cs="Arial"/>
          <w:b/>
          <w:bCs/>
          <w:sz w:val="22"/>
          <w:szCs w:val="22"/>
        </w:rPr>
        <w:t>3.1.3</w:t>
      </w:r>
      <w:r w:rsidR="0022220F" w:rsidRPr="0094711D">
        <w:rPr>
          <w:rFonts w:ascii="Arial" w:hAnsi="Arial" w:cs="Arial"/>
          <w:sz w:val="22"/>
          <w:szCs w:val="22"/>
        </w:rPr>
        <w:t xml:space="preserve"> </w:t>
      </w:r>
      <w:r w:rsidR="0022220F" w:rsidRPr="0094711D">
        <w:rPr>
          <w:rFonts w:ascii="Arial" w:hAnsi="Arial" w:cs="Arial"/>
          <w:b/>
          <w:bCs/>
          <w:sz w:val="22"/>
          <w:szCs w:val="22"/>
        </w:rPr>
        <w:t>Anti-inflammatory and analgesic activity</w:t>
      </w:r>
      <w:r w:rsidR="0022220F" w:rsidRPr="0094711D">
        <w:rPr>
          <w:rFonts w:ascii="Arial" w:hAnsi="Arial" w:cs="Arial"/>
          <w:sz w:val="22"/>
          <w:szCs w:val="22"/>
        </w:rPr>
        <w:t xml:space="preserve">: </w:t>
      </w:r>
    </w:p>
    <w:p w14:paraId="02DD812D" w14:textId="16E4BBE3" w:rsidR="0022220F" w:rsidRPr="002914E7" w:rsidRDefault="00F934CD" w:rsidP="0022220F">
      <w:pPr>
        <w:jc w:val="both"/>
        <w:rPr>
          <w:rFonts w:ascii="Arial" w:hAnsi="Arial" w:cs="Arial"/>
          <w:sz w:val="20"/>
          <w:szCs w:val="20"/>
        </w:rPr>
      </w:pPr>
      <w:r w:rsidRPr="00F934CD">
        <w:rPr>
          <w:rFonts w:ascii="Arial" w:hAnsi="Arial" w:cs="Arial"/>
          <w:sz w:val="20"/>
          <w:szCs w:val="20"/>
        </w:rPr>
        <w:t>The extracts obtained from seeds exhibit significant anti-inflammatory and analgesic effects.</w:t>
      </w:r>
      <w:r w:rsidR="0022220F" w:rsidRPr="002914E7">
        <w:rPr>
          <w:rFonts w:ascii="Arial" w:hAnsi="Arial" w:cs="Arial"/>
          <w:sz w:val="20"/>
          <w:szCs w:val="20"/>
        </w:rPr>
        <w:t xml:space="preserve">  Research indicates that cantaloupe seed oil contains linoleic acid and other omega-6 fatty acids that modulate the inflammatory response by inhibiting pro-inflammatory mediators such as prostaglandins</w:t>
      </w:r>
      <w:r w:rsidR="0022220F">
        <w:rPr>
          <w:rFonts w:ascii="Arial" w:hAnsi="Arial" w:cs="Arial"/>
          <w:sz w:val="20"/>
          <w:szCs w:val="20"/>
        </w:rPr>
        <w:t>.</w:t>
      </w:r>
      <w:r w:rsidR="0022220F" w:rsidRPr="002914E7">
        <w:rPr>
          <w:rFonts w:ascii="Arial" w:hAnsi="Arial" w:cs="Arial"/>
          <w:sz w:val="20"/>
          <w:szCs w:val="20"/>
        </w:rPr>
        <w:t xml:space="preserve"> Additionally, the seeds have shown potential in reducing pain perception </w:t>
      </w:r>
      <w:r w:rsidR="0022220F">
        <w:rPr>
          <w:rFonts w:ascii="Arial" w:hAnsi="Arial" w:cs="Arial"/>
          <w:sz w:val="20"/>
          <w:szCs w:val="20"/>
        </w:rPr>
        <w:t>and inflammation</w:t>
      </w:r>
      <w:r w:rsidR="0022220F" w:rsidRPr="002914E7">
        <w:rPr>
          <w:rFonts w:ascii="Arial" w:hAnsi="Arial" w:cs="Arial"/>
          <w:sz w:val="20"/>
          <w:szCs w:val="20"/>
        </w:rPr>
        <w:t>,</w:t>
      </w:r>
      <w:r w:rsidR="005C5042">
        <w:rPr>
          <w:rFonts w:ascii="Arial" w:hAnsi="Arial" w:cs="Arial"/>
          <w:sz w:val="20"/>
          <w:szCs w:val="20"/>
        </w:rPr>
        <w:t xml:space="preserve"> this</w:t>
      </w:r>
      <w:r w:rsidR="0022220F">
        <w:rPr>
          <w:rFonts w:ascii="Arial" w:hAnsi="Arial" w:cs="Arial"/>
          <w:sz w:val="20"/>
          <w:szCs w:val="20"/>
        </w:rPr>
        <w:t xml:space="preserve"> is likely</w:t>
      </w:r>
      <w:r w:rsidR="005C5042">
        <w:rPr>
          <w:rFonts w:ascii="Arial" w:hAnsi="Arial" w:cs="Arial"/>
          <w:sz w:val="20"/>
          <w:szCs w:val="20"/>
        </w:rPr>
        <w:t xml:space="preserve"> </w:t>
      </w:r>
      <w:r w:rsidR="0022220F">
        <w:rPr>
          <w:rFonts w:ascii="Arial" w:hAnsi="Arial" w:cs="Arial"/>
          <w:sz w:val="20"/>
          <w:szCs w:val="20"/>
        </w:rPr>
        <w:t>due to the presence of various bioactive compounds in the seeds, including phenolic compounds and flavonoids (</w:t>
      </w:r>
      <w:r w:rsidR="0022220F" w:rsidRPr="001A2703">
        <w:rPr>
          <w:rFonts w:ascii="Arial" w:hAnsi="Arial" w:cs="Arial"/>
          <w:sz w:val="20"/>
          <w:szCs w:val="20"/>
        </w:rPr>
        <w:t>Milind et al. 2011</w:t>
      </w:r>
      <w:r w:rsidR="0022220F">
        <w:rPr>
          <w:rFonts w:ascii="Arial" w:hAnsi="Arial" w:cs="Arial"/>
          <w:sz w:val="20"/>
          <w:szCs w:val="20"/>
        </w:rPr>
        <w:t>).</w:t>
      </w:r>
    </w:p>
    <w:p w14:paraId="06B15C50" w14:textId="54AA0DD3" w:rsidR="0022220F" w:rsidRPr="0094711D" w:rsidRDefault="0094778A" w:rsidP="0022220F">
      <w:pPr>
        <w:jc w:val="both"/>
        <w:rPr>
          <w:rFonts w:ascii="Arial" w:hAnsi="Arial" w:cs="Arial"/>
          <w:sz w:val="22"/>
          <w:szCs w:val="22"/>
        </w:rPr>
      </w:pPr>
      <w:r>
        <w:rPr>
          <w:rFonts w:ascii="Arial" w:hAnsi="Arial" w:cs="Arial"/>
          <w:b/>
          <w:bCs/>
          <w:sz w:val="22"/>
          <w:szCs w:val="22"/>
        </w:rPr>
        <w:t>3.1</w:t>
      </w:r>
      <w:r w:rsidR="0022220F" w:rsidRPr="0094711D">
        <w:rPr>
          <w:rFonts w:ascii="Arial" w:hAnsi="Arial" w:cs="Arial"/>
          <w:b/>
          <w:bCs/>
          <w:sz w:val="22"/>
          <w:szCs w:val="22"/>
        </w:rPr>
        <w:t>.</w:t>
      </w:r>
      <w:r>
        <w:rPr>
          <w:rFonts w:ascii="Arial" w:hAnsi="Arial" w:cs="Arial"/>
          <w:b/>
          <w:bCs/>
          <w:sz w:val="22"/>
          <w:szCs w:val="22"/>
        </w:rPr>
        <w:t>4</w:t>
      </w:r>
      <w:r w:rsidR="0022220F" w:rsidRPr="0094711D">
        <w:rPr>
          <w:rFonts w:ascii="Arial" w:hAnsi="Arial" w:cs="Arial"/>
          <w:sz w:val="22"/>
          <w:szCs w:val="22"/>
        </w:rPr>
        <w:t xml:space="preserve"> </w:t>
      </w:r>
      <w:r w:rsidR="0022220F" w:rsidRPr="0094711D">
        <w:rPr>
          <w:rFonts w:ascii="Arial" w:hAnsi="Arial" w:cs="Arial"/>
          <w:b/>
          <w:bCs/>
          <w:sz w:val="22"/>
          <w:szCs w:val="22"/>
        </w:rPr>
        <w:t>Antidiabetic activity</w:t>
      </w:r>
    </w:p>
    <w:p w14:paraId="5D2F2F0C" w14:textId="77777777" w:rsidR="0022220F" w:rsidRPr="002914E7" w:rsidRDefault="0022220F" w:rsidP="0022220F">
      <w:pPr>
        <w:jc w:val="both"/>
        <w:rPr>
          <w:rFonts w:ascii="Arial" w:hAnsi="Arial" w:cs="Arial"/>
          <w:sz w:val="20"/>
          <w:szCs w:val="20"/>
        </w:rPr>
      </w:pPr>
      <w:r w:rsidRPr="002914E7">
        <w:rPr>
          <w:rFonts w:ascii="Arial" w:hAnsi="Arial" w:cs="Arial"/>
          <w:sz w:val="20"/>
          <w:szCs w:val="20"/>
        </w:rPr>
        <w:t xml:space="preserve">Cantaloupe seeds may exert antidiabetic effects by improving glucose metabolism and reducing blood sugar levels. Their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content, combined with antioxidant compounds, contributes to slowing down carbohydrate digestion and glucose absorptio</w:t>
      </w:r>
      <w:r>
        <w:rPr>
          <w:rFonts w:ascii="Arial" w:hAnsi="Arial" w:cs="Arial"/>
          <w:sz w:val="20"/>
          <w:szCs w:val="20"/>
        </w:rPr>
        <w:t>n.</w:t>
      </w:r>
    </w:p>
    <w:p w14:paraId="762CC2DA" w14:textId="0DA23F70" w:rsidR="0022220F" w:rsidRPr="0094711D" w:rsidRDefault="0094778A" w:rsidP="0022220F">
      <w:pPr>
        <w:jc w:val="both"/>
        <w:rPr>
          <w:rFonts w:ascii="Arial" w:hAnsi="Arial" w:cs="Arial"/>
          <w:sz w:val="22"/>
          <w:szCs w:val="22"/>
        </w:rPr>
      </w:pPr>
      <w:r>
        <w:rPr>
          <w:rFonts w:ascii="Arial" w:hAnsi="Arial" w:cs="Arial"/>
          <w:b/>
          <w:bCs/>
          <w:sz w:val="22"/>
          <w:szCs w:val="22"/>
        </w:rPr>
        <w:t>3.1.5</w:t>
      </w:r>
      <w:r w:rsidR="0022220F" w:rsidRPr="0094711D">
        <w:rPr>
          <w:rFonts w:ascii="Arial" w:hAnsi="Arial" w:cs="Arial"/>
          <w:sz w:val="22"/>
          <w:szCs w:val="22"/>
        </w:rPr>
        <w:t xml:space="preserve"> </w:t>
      </w:r>
      <w:r w:rsidR="0022220F" w:rsidRPr="0094711D">
        <w:rPr>
          <w:rFonts w:ascii="Arial" w:hAnsi="Arial" w:cs="Arial"/>
          <w:b/>
          <w:bCs/>
          <w:sz w:val="22"/>
          <w:szCs w:val="22"/>
        </w:rPr>
        <w:t>Anti-cancer activity</w:t>
      </w:r>
    </w:p>
    <w:p w14:paraId="2E3C1E81" w14:textId="5CECA30E" w:rsidR="0022220F" w:rsidRPr="002914E7" w:rsidRDefault="008B6507" w:rsidP="0022220F">
      <w:pPr>
        <w:jc w:val="both"/>
        <w:rPr>
          <w:rFonts w:ascii="Arial" w:hAnsi="Arial" w:cs="Arial"/>
          <w:sz w:val="20"/>
          <w:szCs w:val="20"/>
        </w:rPr>
      </w:pPr>
      <w:r w:rsidRPr="008B6507">
        <w:rPr>
          <w:rFonts w:ascii="Arial" w:hAnsi="Arial" w:cs="Arial"/>
          <w:sz w:val="20"/>
          <w:szCs w:val="20"/>
        </w:rPr>
        <w:t>Cucumis melo</w:t>
      </w:r>
      <w:r w:rsidR="0099483C">
        <w:rPr>
          <w:rFonts w:ascii="Arial" w:hAnsi="Arial" w:cs="Arial"/>
          <w:sz w:val="20"/>
          <w:szCs w:val="20"/>
        </w:rPr>
        <w:t xml:space="preserve"> </w:t>
      </w:r>
      <w:r w:rsidRPr="008B6507">
        <w:rPr>
          <w:rFonts w:ascii="Arial" w:hAnsi="Arial" w:cs="Arial"/>
          <w:sz w:val="20"/>
          <w:szCs w:val="20"/>
        </w:rPr>
        <w:t xml:space="preserve">has been investigated for its potential anti-cancer properties, with the extract demonstrating promising anti-cancer efficacy in both in vitro and in vivo studies across eight distinct cancer types: cervical, colon, prostate, </w:t>
      </w:r>
      <w:proofErr w:type="spellStart"/>
      <w:r w:rsidRPr="008B6507">
        <w:rPr>
          <w:rFonts w:ascii="Arial" w:hAnsi="Arial" w:cs="Arial"/>
          <w:sz w:val="20"/>
          <w:szCs w:val="20"/>
        </w:rPr>
        <w:t>leukemia</w:t>
      </w:r>
      <w:proofErr w:type="spellEnd"/>
      <w:r w:rsidRPr="008B6507">
        <w:rPr>
          <w:rFonts w:ascii="Arial" w:hAnsi="Arial" w:cs="Arial"/>
          <w:sz w:val="20"/>
          <w:szCs w:val="20"/>
        </w:rPr>
        <w:t>, multiple myeloma, breast, hepatoma, and ovarian cancer</w:t>
      </w:r>
      <w:r w:rsidR="0022220F" w:rsidRPr="004A19C1">
        <w:rPr>
          <w:rFonts w:ascii="Arial" w:hAnsi="Arial" w:cs="Arial"/>
          <w:sz w:val="20"/>
          <w:szCs w:val="20"/>
        </w:rPr>
        <w:t>. A thorough analysis shows that some of the IC50 values were significantly low, especially in cases of colon and prostate cancer, indicating a significant anti-cancer effect. The substantial anti-cancer benefits of Cucumis melo fruit extracts point to the necessity for additional investigation into their potential for cancer therapy on each form of cancer</w:t>
      </w:r>
      <w:r w:rsidR="0022220F">
        <w:rPr>
          <w:rFonts w:ascii="Arial" w:hAnsi="Arial" w:cs="Arial"/>
          <w:sz w:val="20"/>
          <w:szCs w:val="20"/>
        </w:rPr>
        <w:t xml:space="preserve"> (</w:t>
      </w:r>
      <w:r w:rsidR="0022220F" w:rsidRPr="00D67AA6">
        <w:rPr>
          <w:rFonts w:ascii="Arial" w:hAnsi="Arial" w:cs="Arial"/>
          <w:sz w:val="20"/>
          <w:szCs w:val="20"/>
        </w:rPr>
        <w:t>Soh et al. 2024</w:t>
      </w:r>
      <w:r w:rsidR="0022220F">
        <w:rPr>
          <w:rFonts w:ascii="Arial" w:hAnsi="Arial" w:cs="Arial"/>
          <w:sz w:val="20"/>
          <w:szCs w:val="20"/>
        </w:rPr>
        <w:t>).</w:t>
      </w:r>
    </w:p>
    <w:p w14:paraId="536B17B3" w14:textId="6811CAE9" w:rsidR="0022220F" w:rsidRPr="0094711D" w:rsidRDefault="0094778A" w:rsidP="0022220F">
      <w:pPr>
        <w:jc w:val="both"/>
        <w:rPr>
          <w:rFonts w:ascii="Arial" w:hAnsi="Arial" w:cs="Arial"/>
          <w:sz w:val="22"/>
          <w:szCs w:val="22"/>
        </w:rPr>
      </w:pPr>
      <w:r>
        <w:rPr>
          <w:rFonts w:ascii="Arial" w:hAnsi="Arial" w:cs="Arial"/>
          <w:b/>
          <w:bCs/>
          <w:sz w:val="22"/>
          <w:szCs w:val="22"/>
        </w:rPr>
        <w:t>3.1.6</w:t>
      </w:r>
      <w:r w:rsidR="0022220F" w:rsidRPr="0094711D">
        <w:rPr>
          <w:rFonts w:ascii="Arial" w:hAnsi="Arial" w:cs="Arial"/>
          <w:b/>
          <w:bCs/>
          <w:sz w:val="22"/>
          <w:szCs w:val="22"/>
        </w:rPr>
        <w:t xml:space="preserve"> Antibacterial activity</w:t>
      </w:r>
    </w:p>
    <w:p w14:paraId="4E7909E4" w14:textId="77777777" w:rsidR="0022220F" w:rsidRPr="002914E7" w:rsidRDefault="0022220F" w:rsidP="0022220F">
      <w:pPr>
        <w:jc w:val="both"/>
        <w:rPr>
          <w:rFonts w:ascii="Arial" w:hAnsi="Arial" w:cs="Arial"/>
          <w:sz w:val="20"/>
          <w:szCs w:val="20"/>
        </w:rPr>
      </w:pPr>
      <w:r w:rsidRPr="008E0D5A">
        <w:rPr>
          <w:rFonts w:ascii="Arial" w:hAnsi="Arial" w:cs="Arial"/>
          <w:sz w:val="20"/>
          <w:szCs w:val="20"/>
        </w:rPr>
        <w:t xml:space="preserve">Cantaloupe seeds possess antibacterial properties, likely due to the presence of bioactive compounds like phenols and flavonoids. Studies have shown that extracts from cantaloupe seeds can inhibit the growth of various bacteria, including Staphylococcus aureus, Escherichia coli, and Salmonella typhi. These antibacterial effects may be attributed to the presence of methionine, a </w:t>
      </w:r>
      <w:proofErr w:type="spellStart"/>
      <w:r w:rsidRPr="008E0D5A">
        <w:rPr>
          <w:rFonts w:ascii="Arial" w:hAnsi="Arial" w:cs="Arial"/>
          <w:sz w:val="20"/>
          <w:szCs w:val="20"/>
        </w:rPr>
        <w:t>sulfur</w:t>
      </w:r>
      <w:proofErr w:type="spellEnd"/>
      <w:r w:rsidRPr="008E0D5A">
        <w:rPr>
          <w:rFonts w:ascii="Arial" w:hAnsi="Arial" w:cs="Arial"/>
          <w:sz w:val="20"/>
          <w:szCs w:val="20"/>
        </w:rPr>
        <w:t>-containing amino acid, and other phytochemicals</w:t>
      </w:r>
      <w:r>
        <w:rPr>
          <w:rFonts w:ascii="Arial" w:hAnsi="Arial" w:cs="Arial"/>
          <w:sz w:val="20"/>
          <w:szCs w:val="20"/>
        </w:rPr>
        <w:t xml:space="preserve"> (</w:t>
      </w:r>
      <w:r w:rsidRPr="00D67AA6">
        <w:rPr>
          <w:rFonts w:ascii="Arial" w:hAnsi="Arial" w:cs="Arial"/>
          <w:sz w:val="20"/>
          <w:szCs w:val="20"/>
        </w:rPr>
        <w:t>Wahdan et al. 2016</w:t>
      </w:r>
      <w:r>
        <w:rPr>
          <w:rFonts w:ascii="Arial" w:hAnsi="Arial" w:cs="Arial"/>
          <w:sz w:val="20"/>
          <w:szCs w:val="20"/>
        </w:rPr>
        <w:t>).</w:t>
      </w:r>
    </w:p>
    <w:p w14:paraId="23B9CB3A" w14:textId="67133CD6" w:rsidR="0022220F" w:rsidRPr="0094711D" w:rsidRDefault="0094778A" w:rsidP="0022220F">
      <w:pPr>
        <w:jc w:val="both"/>
        <w:rPr>
          <w:rFonts w:ascii="Arial" w:hAnsi="Arial" w:cs="Arial"/>
          <w:b/>
          <w:bCs/>
          <w:sz w:val="22"/>
          <w:szCs w:val="22"/>
        </w:rPr>
      </w:pPr>
      <w:r>
        <w:rPr>
          <w:rFonts w:ascii="Arial" w:hAnsi="Arial" w:cs="Arial"/>
          <w:b/>
          <w:bCs/>
          <w:sz w:val="22"/>
          <w:szCs w:val="22"/>
        </w:rPr>
        <w:t xml:space="preserve">3.1.7 </w:t>
      </w:r>
      <w:r w:rsidR="0022220F" w:rsidRPr="0094711D">
        <w:rPr>
          <w:rFonts w:ascii="Arial" w:hAnsi="Arial" w:cs="Arial"/>
          <w:b/>
          <w:bCs/>
          <w:sz w:val="22"/>
          <w:szCs w:val="22"/>
        </w:rPr>
        <w:t>Antioxidant activity</w:t>
      </w:r>
    </w:p>
    <w:p w14:paraId="4993448C" w14:textId="3042BB17" w:rsidR="008B6507" w:rsidRPr="008B6507" w:rsidRDefault="0022220F" w:rsidP="008B6507">
      <w:pPr>
        <w:jc w:val="both"/>
        <w:rPr>
          <w:rFonts w:ascii="Arial" w:hAnsi="Arial" w:cs="Arial"/>
          <w:sz w:val="20"/>
          <w:szCs w:val="20"/>
        </w:rPr>
      </w:pPr>
      <w:r w:rsidRPr="002914E7">
        <w:rPr>
          <w:rFonts w:ascii="Arial" w:hAnsi="Arial" w:cs="Arial"/>
          <w:sz w:val="20"/>
          <w:szCs w:val="20"/>
        </w:rPr>
        <w:t xml:space="preserve">Cantaloupe seeds are recognized as a substantial source of antioxidants, encompassing vitamin E, flavonoids, and phenolic acids. These bioactive compounds operate to neutralize free radicals, reduce oxidative stress, and prevent cellular damage. </w:t>
      </w:r>
      <w:r w:rsidR="008B6507" w:rsidRPr="008B6507">
        <w:rPr>
          <w:rFonts w:ascii="Arial" w:hAnsi="Arial" w:cs="Arial"/>
          <w:sz w:val="20"/>
          <w:szCs w:val="20"/>
        </w:rPr>
        <w:t>The methanolic extract of cantaloupe has exhibited DPPH and hydroxyl radical scavenging activity, attributed particularly to the presence of phenolic compounds, especially flavonoids.</w:t>
      </w:r>
      <w:r w:rsidR="008B6507">
        <w:rPr>
          <w:rFonts w:ascii="Arial" w:hAnsi="Arial" w:cs="Arial"/>
          <w:sz w:val="20"/>
          <w:szCs w:val="20"/>
        </w:rPr>
        <w:t xml:space="preserve"> </w:t>
      </w:r>
      <w:r w:rsidR="008B6507" w:rsidRPr="008B6507">
        <w:rPr>
          <w:rFonts w:ascii="Arial" w:hAnsi="Arial" w:cs="Arial"/>
          <w:sz w:val="20"/>
          <w:szCs w:val="20"/>
        </w:rPr>
        <w:t>Notably high antioxidant activity has been recorded in both the leaf and stem of cantaloupe (Ismail et al., 2010).</w:t>
      </w:r>
    </w:p>
    <w:p w14:paraId="0E2FAED8" w14:textId="000031AB" w:rsidR="0094778A" w:rsidRPr="00D536E4" w:rsidRDefault="008B6507" w:rsidP="0022220F">
      <w:pPr>
        <w:jc w:val="both"/>
        <w:rPr>
          <w:rFonts w:ascii="Arial" w:hAnsi="Arial" w:cs="Arial"/>
          <w:sz w:val="20"/>
          <w:szCs w:val="20"/>
        </w:rPr>
      </w:pPr>
      <w:r w:rsidRPr="008B6507">
        <w:rPr>
          <w:rFonts w:ascii="Arial" w:hAnsi="Arial" w:cs="Arial"/>
          <w:sz w:val="20"/>
          <w:szCs w:val="20"/>
        </w:rPr>
        <w:t> </w:t>
      </w:r>
      <w:r w:rsidR="0094778A">
        <w:rPr>
          <w:rFonts w:ascii="Arial" w:hAnsi="Arial" w:cs="Arial"/>
          <w:b/>
          <w:bCs/>
          <w:sz w:val="22"/>
          <w:szCs w:val="22"/>
        </w:rPr>
        <w:t xml:space="preserve">3.2 Dates:  </w:t>
      </w:r>
    </w:p>
    <w:p w14:paraId="5494CD63" w14:textId="5DD247A4" w:rsidR="0094778A" w:rsidRPr="0094711D" w:rsidRDefault="0094778A" w:rsidP="0094778A">
      <w:pPr>
        <w:jc w:val="both"/>
        <w:rPr>
          <w:rFonts w:ascii="Arial" w:hAnsi="Arial" w:cs="Arial"/>
          <w:b/>
          <w:bCs/>
          <w:sz w:val="22"/>
          <w:szCs w:val="22"/>
        </w:rPr>
      </w:pPr>
      <w:r>
        <w:rPr>
          <w:rFonts w:ascii="Arial" w:hAnsi="Arial" w:cs="Arial"/>
          <w:b/>
          <w:bCs/>
          <w:sz w:val="22"/>
          <w:szCs w:val="22"/>
        </w:rPr>
        <w:lastRenderedPageBreak/>
        <w:t>3.2.</w:t>
      </w:r>
      <w:r w:rsidR="00C96CC0">
        <w:rPr>
          <w:rFonts w:ascii="Arial" w:hAnsi="Arial" w:cs="Arial"/>
          <w:b/>
          <w:bCs/>
          <w:sz w:val="22"/>
          <w:szCs w:val="22"/>
        </w:rPr>
        <w:t>1</w:t>
      </w:r>
      <w:r w:rsidRPr="0094711D">
        <w:rPr>
          <w:rFonts w:ascii="Arial" w:hAnsi="Arial" w:cs="Arial"/>
          <w:b/>
          <w:bCs/>
          <w:sz w:val="22"/>
          <w:szCs w:val="22"/>
        </w:rPr>
        <w:t xml:space="preserve"> Antioxidant</w:t>
      </w:r>
      <w:r w:rsidR="00D536E4">
        <w:rPr>
          <w:rFonts w:ascii="Arial" w:hAnsi="Arial" w:cs="Arial"/>
          <w:b/>
          <w:bCs/>
          <w:sz w:val="22"/>
          <w:szCs w:val="22"/>
        </w:rPr>
        <w:t xml:space="preserve"> Properties</w:t>
      </w:r>
    </w:p>
    <w:p w14:paraId="6B98279A" w14:textId="1ED62565" w:rsidR="0094778A" w:rsidRPr="002914E7" w:rsidRDefault="0094778A" w:rsidP="0094778A">
      <w:pPr>
        <w:jc w:val="both"/>
        <w:rPr>
          <w:rFonts w:ascii="Arial" w:hAnsi="Arial" w:cs="Arial"/>
          <w:sz w:val="20"/>
          <w:szCs w:val="20"/>
        </w:rPr>
      </w:pPr>
      <w:r w:rsidRPr="002914E7">
        <w:rPr>
          <w:rFonts w:ascii="Arial" w:hAnsi="Arial" w:cs="Arial"/>
          <w:sz w:val="20"/>
          <w:szCs w:val="20"/>
        </w:rPr>
        <w:t>Dates represent a significant</w:t>
      </w:r>
      <w:r w:rsidR="00661B7E">
        <w:rPr>
          <w:rFonts w:ascii="Arial" w:hAnsi="Arial" w:cs="Arial"/>
          <w:sz w:val="20"/>
          <w:szCs w:val="20"/>
        </w:rPr>
        <w:t xml:space="preserve"> source of </w:t>
      </w:r>
      <w:r w:rsidRPr="002914E7">
        <w:rPr>
          <w:rFonts w:ascii="Arial" w:hAnsi="Arial" w:cs="Arial"/>
          <w:sz w:val="20"/>
          <w:szCs w:val="20"/>
        </w:rPr>
        <w:t>antioxidants predominantly phenolic compounds, which effectively neutralize free radicals and safeguard cellular integrity against oxidative damage (Saafi et al., 201</w:t>
      </w:r>
      <w:r>
        <w:rPr>
          <w:rFonts w:ascii="Arial" w:hAnsi="Arial" w:cs="Arial"/>
          <w:sz w:val="20"/>
          <w:szCs w:val="20"/>
        </w:rPr>
        <w:t>0</w:t>
      </w:r>
      <w:r w:rsidRPr="002914E7">
        <w:rPr>
          <w:rFonts w:ascii="Arial" w:hAnsi="Arial" w:cs="Arial"/>
          <w:sz w:val="20"/>
          <w:szCs w:val="20"/>
        </w:rPr>
        <w:t>; Pitsch et al., 2010). These antioxidants not only function as scavengers of free radicals but also facilitate the modulation of cellular processes, thereby providing a protective barrier against pathological conditions such as cancer, atherosclerosis, and diabetes (Sanzari et al., 2011). Moreover, dates enhance the body’s intrinsic antioxidant mechanisms, presenting a dietary strategy to mitigate oxidative stress. Consequently, dates emerge as a vital aliment for the prevention and management of oxidative pathologies, thereby contributing to sustained health and well-being.</w:t>
      </w:r>
    </w:p>
    <w:p w14:paraId="47343A94" w14:textId="626F2B05" w:rsidR="0094778A" w:rsidRPr="0094711D" w:rsidRDefault="0094778A" w:rsidP="0094778A">
      <w:pPr>
        <w:jc w:val="both"/>
        <w:rPr>
          <w:rFonts w:ascii="Arial" w:hAnsi="Arial" w:cs="Arial"/>
          <w:b/>
          <w:bCs/>
          <w:sz w:val="22"/>
          <w:szCs w:val="22"/>
        </w:rPr>
      </w:pPr>
      <w:r>
        <w:rPr>
          <w:rFonts w:ascii="Arial" w:hAnsi="Arial" w:cs="Arial"/>
          <w:b/>
          <w:bCs/>
          <w:sz w:val="22"/>
          <w:szCs w:val="22"/>
        </w:rPr>
        <w:t>3.2.</w:t>
      </w:r>
      <w:r w:rsidR="00C96CC0">
        <w:rPr>
          <w:rFonts w:ascii="Arial" w:hAnsi="Arial" w:cs="Arial"/>
          <w:b/>
          <w:bCs/>
          <w:sz w:val="22"/>
          <w:szCs w:val="22"/>
        </w:rPr>
        <w:t>2</w:t>
      </w:r>
      <w:r w:rsidRPr="0094711D">
        <w:rPr>
          <w:rFonts w:ascii="Arial" w:hAnsi="Arial" w:cs="Arial"/>
          <w:b/>
          <w:bCs/>
          <w:sz w:val="22"/>
          <w:szCs w:val="22"/>
        </w:rPr>
        <w:t xml:space="preserve"> Antimicrobial Properties</w:t>
      </w:r>
    </w:p>
    <w:p w14:paraId="39B80E84" w14:textId="3DFA69A6" w:rsidR="0094778A" w:rsidRPr="002914E7" w:rsidRDefault="0094778A" w:rsidP="0094778A">
      <w:pPr>
        <w:jc w:val="both"/>
        <w:rPr>
          <w:rFonts w:ascii="Arial" w:hAnsi="Arial" w:cs="Arial"/>
          <w:sz w:val="20"/>
          <w:szCs w:val="20"/>
        </w:rPr>
      </w:pPr>
      <w:r w:rsidRPr="002914E7">
        <w:rPr>
          <w:rFonts w:ascii="Arial" w:hAnsi="Arial" w:cs="Arial"/>
          <w:sz w:val="20"/>
          <w:szCs w:val="20"/>
        </w:rPr>
        <w:t xml:space="preserve">Dates are abundant in bioactive compounds, including phenolics, which demonstrate pronounced antiviral, antibacterial, and antifungal activities (Zohary &amp; Hopf, 1993). These antimicrobial properties render dates not only a superior food source but also a potential therapeutic agent for combating infections. Dates include bioactive components that help protect against microbial contamination, creating a natural </w:t>
      </w:r>
      <w:proofErr w:type="spellStart"/>
      <w:r w:rsidRPr="002914E7">
        <w:rPr>
          <w:rFonts w:ascii="Arial" w:hAnsi="Arial" w:cs="Arial"/>
          <w:sz w:val="20"/>
          <w:szCs w:val="20"/>
        </w:rPr>
        <w:t>defense</w:t>
      </w:r>
      <w:proofErr w:type="spellEnd"/>
      <w:r w:rsidRPr="002914E7">
        <w:rPr>
          <w:rFonts w:ascii="Arial" w:hAnsi="Arial" w:cs="Arial"/>
          <w:sz w:val="20"/>
          <w:szCs w:val="20"/>
        </w:rPr>
        <w:t xml:space="preserve"> against harmful diseases. </w:t>
      </w:r>
      <w:r w:rsidR="00DE14E8">
        <w:rPr>
          <w:rFonts w:ascii="Arial" w:hAnsi="Arial" w:cs="Arial"/>
          <w:sz w:val="20"/>
          <w:szCs w:val="20"/>
        </w:rPr>
        <w:t>Eating dates regularly may help reduce the</w:t>
      </w:r>
      <w:r w:rsidR="00E04288">
        <w:rPr>
          <w:rFonts w:ascii="Arial" w:hAnsi="Arial" w:cs="Arial"/>
          <w:sz w:val="20"/>
          <w:szCs w:val="20"/>
        </w:rPr>
        <w:t xml:space="preserve"> risk of</w:t>
      </w:r>
      <w:r w:rsidR="00DE14E8">
        <w:rPr>
          <w:rFonts w:ascii="Arial" w:hAnsi="Arial" w:cs="Arial"/>
          <w:sz w:val="20"/>
          <w:szCs w:val="20"/>
        </w:rPr>
        <w:t xml:space="preserve"> chronic </w:t>
      </w:r>
      <w:r w:rsidR="00E04288">
        <w:rPr>
          <w:rFonts w:ascii="Arial" w:hAnsi="Arial" w:cs="Arial"/>
          <w:sz w:val="20"/>
          <w:szCs w:val="20"/>
        </w:rPr>
        <w:t>inflammation and strengthen immune system.</w:t>
      </w:r>
    </w:p>
    <w:p w14:paraId="672F7BD2" w14:textId="77777777" w:rsidR="00444890" w:rsidRDefault="00444890" w:rsidP="0094778A">
      <w:pPr>
        <w:jc w:val="both"/>
        <w:rPr>
          <w:rFonts w:ascii="Arial" w:hAnsi="Arial" w:cs="Arial"/>
          <w:b/>
          <w:bCs/>
          <w:sz w:val="22"/>
          <w:szCs w:val="22"/>
        </w:rPr>
      </w:pPr>
    </w:p>
    <w:p w14:paraId="7337DEC1" w14:textId="663A377A" w:rsidR="0094778A" w:rsidRPr="0094711D" w:rsidRDefault="0094778A" w:rsidP="0094778A">
      <w:pPr>
        <w:jc w:val="both"/>
        <w:rPr>
          <w:rFonts w:ascii="Arial" w:hAnsi="Arial" w:cs="Arial"/>
          <w:b/>
          <w:bCs/>
          <w:sz w:val="22"/>
          <w:szCs w:val="22"/>
        </w:rPr>
      </w:pPr>
      <w:r>
        <w:rPr>
          <w:rFonts w:ascii="Arial" w:hAnsi="Arial" w:cs="Arial"/>
          <w:b/>
          <w:bCs/>
          <w:sz w:val="22"/>
          <w:szCs w:val="22"/>
        </w:rPr>
        <w:t>3.2.</w:t>
      </w:r>
      <w:r w:rsidR="00C96CC0">
        <w:rPr>
          <w:rFonts w:ascii="Arial" w:hAnsi="Arial" w:cs="Arial"/>
          <w:b/>
          <w:bCs/>
          <w:sz w:val="22"/>
          <w:szCs w:val="22"/>
        </w:rPr>
        <w:t>3</w:t>
      </w:r>
      <w:r w:rsidRPr="0094711D">
        <w:rPr>
          <w:rFonts w:ascii="Arial" w:hAnsi="Arial" w:cs="Arial"/>
          <w:b/>
          <w:bCs/>
          <w:sz w:val="22"/>
          <w:szCs w:val="22"/>
        </w:rPr>
        <w:t xml:space="preserve"> Anti-</w:t>
      </w:r>
      <w:proofErr w:type="spellStart"/>
      <w:r w:rsidRPr="0094711D">
        <w:rPr>
          <w:rFonts w:ascii="Arial" w:hAnsi="Arial" w:cs="Arial"/>
          <w:b/>
          <w:bCs/>
          <w:sz w:val="22"/>
          <w:szCs w:val="22"/>
        </w:rPr>
        <w:t>Hyperlipidemic</w:t>
      </w:r>
      <w:proofErr w:type="spellEnd"/>
      <w:r w:rsidRPr="0094711D">
        <w:rPr>
          <w:rFonts w:ascii="Arial" w:hAnsi="Arial" w:cs="Arial"/>
          <w:b/>
          <w:bCs/>
          <w:sz w:val="22"/>
          <w:szCs w:val="22"/>
        </w:rPr>
        <w:t xml:space="preserve"> Properties</w:t>
      </w:r>
    </w:p>
    <w:p w14:paraId="4169759E" w14:textId="77777777" w:rsidR="0094778A" w:rsidRPr="00222ECE" w:rsidRDefault="0094778A" w:rsidP="0094778A">
      <w:pPr>
        <w:jc w:val="both"/>
        <w:rPr>
          <w:rFonts w:ascii="Arial" w:hAnsi="Arial" w:cs="Arial"/>
          <w:sz w:val="20"/>
          <w:szCs w:val="20"/>
        </w:rPr>
      </w:pPr>
      <w:r w:rsidRPr="0094711D">
        <w:rPr>
          <w:rFonts w:ascii="Arial" w:hAnsi="Arial" w:cs="Arial"/>
          <w:sz w:val="22"/>
          <w:szCs w:val="22"/>
        </w:rPr>
        <w:t xml:space="preserve"> </w:t>
      </w:r>
      <w:r>
        <w:rPr>
          <w:rFonts w:ascii="Arial" w:hAnsi="Arial" w:cs="Arial"/>
          <w:sz w:val="20"/>
          <w:szCs w:val="20"/>
        </w:rPr>
        <w:t>T</w:t>
      </w:r>
      <w:r w:rsidRPr="002914E7">
        <w:rPr>
          <w:rFonts w:ascii="Arial" w:hAnsi="Arial" w:cs="Arial"/>
          <w:sz w:val="20"/>
          <w:szCs w:val="20"/>
        </w:rPr>
        <w:t>he consumption of dates, particularly those supplemented with defatted date seed flour, can facilitate a reduction in plasma triglycerides, total cholesterol, and low-density lipoprotein (LDL) cholesterol levels</w:t>
      </w:r>
      <w:r>
        <w:rPr>
          <w:rFonts w:ascii="Arial" w:hAnsi="Arial" w:cs="Arial"/>
          <w:sz w:val="20"/>
          <w:szCs w:val="20"/>
        </w:rPr>
        <w:t xml:space="preserve">. </w:t>
      </w:r>
      <w:r w:rsidRPr="002914E7">
        <w:rPr>
          <w:rFonts w:ascii="Arial" w:hAnsi="Arial" w:cs="Arial"/>
          <w:sz w:val="20"/>
          <w:szCs w:val="20"/>
        </w:rPr>
        <w:t xml:space="preserve">Furthermore, dates assist in the regulation of lipid profiles, imparting protective effects against cardiovascular diseases (Baliga et al., 2011). The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content inherent in dates plays a significant role in the reduction of blood cholesterol levels, rendering them a heart-healthy food that mitigates the risk of atherosclerosis (Evans et al., 1992; </w:t>
      </w:r>
      <w:proofErr w:type="spellStart"/>
      <w:r w:rsidRPr="002914E7">
        <w:rPr>
          <w:rFonts w:ascii="Arial" w:hAnsi="Arial" w:cs="Arial"/>
          <w:sz w:val="20"/>
          <w:szCs w:val="20"/>
        </w:rPr>
        <w:t>Kattak</w:t>
      </w:r>
      <w:proofErr w:type="spellEnd"/>
      <w:r w:rsidRPr="002914E7">
        <w:rPr>
          <w:rFonts w:ascii="Arial" w:hAnsi="Arial" w:cs="Arial"/>
          <w:sz w:val="20"/>
          <w:szCs w:val="20"/>
        </w:rPr>
        <w:t>, 2002).</w:t>
      </w:r>
    </w:p>
    <w:p w14:paraId="05D210A2" w14:textId="23AE0673" w:rsidR="0094778A" w:rsidRPr="0094711D" w:rsidRDefault="0094778A" w:rsidP="0094778A">
      <w:pPr>
        <w:jc w:val="both"/>
        <w:rPr>
          <w:rFonts w:ascii="Arial" w:hAnsi="Arial" w:cs="Arial"/>
          <w:b/>
          <w:bCs/>
          <w:sz w:val="22"/>
          <w:szCs w:val="22"/>
        </w:rPr>
      </w:pPr>
      <w:r>
        <w:rPr>
          <w:rFonts w:ascii="Arial" w:hAnsi="Arial" w:cs="Arial"/>
          <w:b/>
          <w:bCs/>
          <w:sz w:val="22"/>
          <w:szCs w:val="22"/>
        </w:rPr>
        <w:t>3.2.</w:t>
      </w:r>
      <w:r w:rsidR="00C96CC0">
        <w:rPr>
          <w:rFonts w:ascii="Arial" w:hAnsi="Arial" w:cs="Arial"/>
          <w:b/>
          <w:bCs/>
          <w:sz w:val="22"/>
          <w:szCs w:val="22"/>
        </w:rPr>
        <w:t>4</w:t>
      </w:r>
      <w:r w:rsidRPr="0094711D">
        <w:rPr>
          <w:rFonts w:ascii="Arial" w:hAnsi="Arial" w:cs="Arial"/>
          <w:b/>
          <w:bCs/>
          <w:sz w:val="22"/>
          <w:szCs w:val="22"/>
        </w:rPr>
        <w:t xml:space="preserve"> Immunomodulatory Properties</w:t>
      </w:r>
    </w:p>
    <w:p w14:paraId="66D4CF58" w14:textId="77777777" w:rsidR="0094778A" w:rsidRPr="002914E7" w:rsidRDefault="0094778A" w:rsidP="0094778A">
      <w:pPr>
        <w:jc w:val="both"/>
        <w:rPr>
          <w:rFonts w:ascii="Arial" w:hAnsi="Arial" w:cs="Arial"/>
          <w:sz w:val="20"/>
          <w:szCs w:val="20"/>
        </w:rPr>
      </w:pPr>
      <w:r w:rsidRPr="002914E7">
        <w:rPr>
          <w:rFonts w:ascii="Arial" w:hAnsi="Arial" w:cs="Arial"/>
          <w:sz w:val="20"/>
          <w:szCs w:val="20"/>
        </w:rPr>
        <w:t xml:space="preserve">Dates also offer significant immunomodulatory effects due to their high content of phenolics and dietary </w:t>
      </w:r>
      <w:proofErr w:type="spellStart"/>
      <w:r w:rsidRPr="002914E7">
        <w:rPr>
          <w:rFonts w:ascii="Arial" w:hAnsi="Arial" w:cs="Arial"/>
          <w:sz w:val="20"/>
          <w:szCs w:val="20"/>
        </w:rPr>
        <w:t>fibers</w:t>
      </w:r>
      <w:proofErr w:type="spellEnd"/>
      <w:r w:rsidRPr="002914E7">
        <w:rPr>
          <w:rFonts w:ascii="Arial" w:hAnsi="Arial" w:cs="Arial"/>
          <w:sz w:val="20"/>
          <w:szCs w:val="20"/>
        </w:rPr>
        <w:t>. These compounds help reduce inflammation, improve immune function, and lower the risk of cardiovascular diseases</w:t>
      </w:r>
      <w:r>
        <w:rPr>
          <w:rFonts w:ascii="Arial" w:hAnsi="Arial" w:cs="Arial"/>
          <w:sz w:val="20"/>
          <w:szCs w:val="20"/>
        </w:rPr>
        <w:t xml:space="preserve">. </w:t>
      </w:r>
      <w:r w:rsidRPr="002914E7">
        <w:rPr>
          <w:rFonts w:ascii="Arial" w:hAnsi="Arial" w:cs="Arial"/>
          <w:sz w:val="20"/>
          <w:szCs w:val="20"/>
        </w:rPr>
        <w:t>Moreover, dates are believed to inhibit oxidative damage to low-density lipoproteins (LDL), reduce blood pressure, and prevent platelet aggregation, all of which are vital for maintaining cardiovascular health (</w:t>
      </w:r>
      <w:r w:rsidRPr="00222ECE">
        <w:rPr>
          <w:rFonts w:ascii="Arial" w:hAnsi="Arial" w:cs="Arial"/>
          <w:sz w:val="20"/>
          <w:szCs w:val="20"/>
        </w:rPr>
        <w:t>Muldoon et al., 1996</w:t>
      </w:r>
      <w:r w:rsidRPr="002914E7">
        <w:rPr>
          <w:rFonts w:ascii="Arial" w:hAnsi="Arial" w:cs="Arial"/>
          <w:sz w:val="20"/>
          <w:szCs w:val="20"/>
        </w:rPr>
        <w:t>).</w:t>
      </w:r>
    </w:p>
    <w:p w14:paraId="0D236187" w14:textId="35963269" w:rsidR="0094778A" w:rsidRPr="0094711D" w:rsidRDefault="0094778A" w:rsidP="0094778A">
      <w:pPr>
        <w:jc w:val="both"/>
        <w:rPr>
          <w:rFonts w:ascii="Arial" w:hAnsi="Arial" w:cs="Arial"/>
          <w:b/>
          <w:bCs/>
          <w:sz w:val="22"/>
          <w:szCs w:val="22"/>
        </w:rPr>
      </w:pPr>
      <w:r>
        <w:rPr>
          <w:rFonts w:ascii="Arial" w:hAnsi="Arial" w:cs="Arial"/>
          <w:b/>
          <w:bCs/>
          <w:sz w:val="22"/>
          <w:szCs w:val="22"/>
        </w:rPr>
        <w:t>3.2.</w:t>
      </w:r>
      <w:r w:rsidR="00C96CC0">
        <w:rPr>
          <w:rFonts w:ascii="Arial" w:hAnsi="Arial" w:cs="Arial"/>
          <w:b/>
          <w:bCs/>
          <w:sz w:val="22"/>
          <w:szCs w:val="22"/>
        </w:rPr>
        <w:t>5</w:t>
      </w:r>
      <w:r w:rsidRPr="0094711D">
        <w:rPr>
          <w:rFonts w:ascii="Arial" w:hAnsi="Arial" w:cs="Arial"/>
          <w:b/>
          <w:bCs/>
          <w:sz w:val="22"/>
          <w:szCs w:val="22"/>
        </w:rPr>
        <w:t xml:space="preserve"> Hepatoprotective Activity:</w:t>
      </w:r>
    </w:p>
    <w:p w14:paraId="21612381" w14:textId="295B286F" w:rsidR="0094778A" w:rsidRPr="002914E7" w:rsidRDefault="0094778A" w:rsidP="0094778A">
      <w:pPr>
        <w:jc w:val="both"/>
        <w:rPr>
          <w:rFonts w:ascii="Arial" w:hAnsi="Arial" w:cs="Arial"/>
          <w:sz w:val="20"/>
          <w:szCs w:val="20"/>
        </w:rPr>
      </w:pPr>
      <w:r w:rsidRPr="002914E7">
        <w:rPr>
          <w:rFonts w:ascii="Arial" w:hAnsi="Arial" w:cs="Arial"/>
          <w:sz w:val="20"/>
          <w:szCs w:val="20"/>
        </w:rPr>
        <w:t>The date extracts, especially from the flesh and pits, can guard the liver against oxidative damage, improve liver enzyme function, and restore normal liver activity in cases of toxin-induced hepatotoxicity (Bruck et al., 2001). The hepatoprotective effects of dates are attributed to antioxidants like selenium, quercetin, and other polyphenols (Al-Qariwi et al., 200</w:t>
      </w:r>
      <w:r w:rsidR="003E19B0">
        <w:rPr>
          <w:rFonts w:ascii="Arial" w:hAnsi="Arial" w:cs="Arial"/>
          <w:sz w:val="20"/>
          <w:szCs w:val="20"/>
        </w:rPr>
        <w:t>5</w:t>
      </w:r>
      <w:r w:rsidRPr="002914E7">
        <w:rPr>
          <w:rFonts w:ascii="Arial" w:hAnsi="Arial" w:cs="Arial"/>
          <w:sz w:val="20"/>
          <w:szCs w:val="20"/>
        </w:rPr>
        <w:t>; Pitsch et al., 2010)</w:t>
      </w:r>
      <w:r w:rsidR="007C5CA8">
        <w:rPr>
          <w:rFonts w:ascii="Arial" w:hAnsi="Arial" w:cs="Arial"/>
          <w:sz w:val="20"/>
          <w:szCs w:val="20"/>
        </w:rPr>
        <w:t>.</w:t>
      </w:r>
      <w:r w:rsidRPr="002914E7">
        <w:rPr>
          <w:rFonts w:ascii="Arial" w:hAnsi="Arial" w:cs="Arial"/>
          <w:sz w:val="20"/>
          <w:szCs w:val="20"/>
        </w:rPr>
        <w:t xml:space="preserve"> making dates a natural remedy for liver health.</w:t>
      </w:r>
    </w:p>
    <w:p w14:paraId="269BCCD4" w14:textId="73E0B6DE" w:rsidR="0094778A" w:rsidRPr="0094711D" w:rsidRDefault="007A14FA" w:rsidP="0094778A">
      <w:pPr>
        <w:jc w:val="both"/>
        <w:rPr>
          <w:rFonts w:ascii="Arial" w:hAnsi="Arial" w:cs="Arial"/>
          <w:sz w:val="22"/>
          <w:szCs w:val="22"/>
        </w:rPr>
      </w:pPr>
      <w:r>
        <w:rPr>
          <w:rFonts w:ascii="Arial" w:hAnsi="Arial" w:cs="Arial"/>
          <w:b/>
          <w:bCs/>
          <w:sz w:val="22"/>
          <w:szCs w:val="22"/>
        </w:rPr>
        <w:t>3.2.</w:t>
      </w:r>
      <w:r w:rsidR="00C96CC0">
        <w:rPr>
          <w:rFonts w:ascii="Arial" w:hAnsi="Arial" w:cs="Arial"/>
          <w:b/>
          <w:bCs/>
          <w:sz w:val="22"/>
          <w:szCs w:val="22"/>
        </w:rPr>
        <w:t>6</w:t>
      </w:r>
      <w:r w:rsidR="0094778A" w:rsidRPr="0094711D">
        <w:rPr>
          <w:rFonts w:ascii="Arial" w:hAnsi="Arial" w:cs="Arial"/>
          <w:b/>
          <w:bCs/>
          <w:sz w:val="22"/>
          <w:szCs w:val="22"/>
        </w:rPr>
        <w:t xml:space="preserve"> Functional and Nutraceutical Benefits</w:t>
      </w:r>
    </w:p>
    <w:p w14:paraId="420DA700" w14:textId="17BEC0B0" w:rsidR="0094778A" w:rsidRPr="002914E7" w:rsidRDefault="0094778A" w:rsidP="0094778A">
      <w:pPr>
        <w:jc w:val="both"/>
        <w:rPr>
          <w:rFonts w:ascii="Arial" w:hAnsi="Arial" w:cs="Arial"/>
          <w:sz w:val="20"/>
          <w:szCs w:val="20"/>
        </w:rPr>
      </w:pPr>
      <w:r w:rsidRPr="002914E7">
        <w:rPr>
          <w:rFonts w:ascii="Arial" w:hAnsi="Arial" w:cs="Arial"/>
          <w:sz w:val="20"/>
          <w:szCs w:val="20"/>
        </w:rPr>
        <w:t>Dates are not only a rich source of essential nutrients but also offer functional and nutraceutical benefits. They are abundant in vitamins, minerals, and antioxidants that promote general health. Dates are increasingly being recognized as a functional food, with the potential to reduce the risk of degenerative diseases like cancer, cardiovascular diseases, and brain dysfunction (</w:t>
      </w:r>
      <w:r>
        <w:rPr>
          <w:rFonts w:ascii="Arial" w:hAnsi="Arial" w:cs="Arial"/>
          <w:sz w:val="20"/>
          <w:szCs w:val="20"/>
        </w:rPr>
        <w:t xml:space="preserve">Lu, </w:t>
      </w:r>
      <w:r w:rsidR="00AE52AA">
        <w:rPr>
          <w:rFonts w:ascii="Arial" w:hAnsi="Arial" w:cs="Arial"/>
          <w:sz w:val="20"/>
          <w:szCs w:val="20"/>
        </w:rPr>
        <w:t>Z</w:t>
      </w:r>
      <w:r>
        <w:rPr>
          <w:rFonts w:ascii="Arial" w:hAnsi="Arial" w:cs="Arial"/>
          <w:sz w:val="20"/>
          <w:szCs w:val="20"/>
        </w:rPr>
        <w:t>.,</w:t>
      </w:r>
      <w:r w:rsidRPr="002914E7">
        <w:rPr>
          <w:rFonts w:ascii="Arial" w:hAnsi="Arial" w:cs="Arial"/>
          <w:sz w:val="20"/>
          <w:szCs w:val="20"/>
        </w:rPr>
        <w:t xml:space="preserve"> et al., 200</w:t>
      </w:r>
      <w:r>
        <w:rPr>
          <w:rFonts w:ascii="Arial" w:hAnsi="Arial" w:cs="Arial"/>
          <w:sz w:val="20"/>
          <w:szCs w:val="20"/>
        </w:rPr>
        <w:t>9</w:t>
      </w:r>
      <w:r w:rsidRPr="002914E7">
        <w:rPr>
          <w:rFonts w:ascii="Arial" w:hAnsi="Arial" w:cs="Arial"/>
          <w:sz w:val="20"/>
          <w:szCs w:val="20"/>
        </w:rPr>
        <w:t>).</w:t>
      </w:r>
    </w:p>
    <w:p w14:paraId="2DE01D54" w14:textId="4BE9C3CF" w:rsidR="0094778A" w:rsidRDefault="0094778A" w:rsidP="0094778A">
      <w:pPr>
        <w:spacing w:before="240"/>
        <w:jc w:val="both"/>
        <w:rPr>
          <w:rFonts w:ascii="Arial" w:hAnsi="Arial" w:cs="Arial"/>
          <w:b/>
          <w:bCs/>
          <w:sz w:val="22"/>
          <w:szCs w:val="22"/>
        </w:rPr>
      </w:pPr>
      <w:r>
        <w:rPr>
          <w:rFonts w:ascii="Arial" w:hAnsi="Arial" w:cs="Arial"/>
          <w:b/>
          <w:bCs/>
          <w:sz w:val="22"/>
          <w:szCs w:val="22"/>
        </w:rPr>
        <w:t>4. A</w:t>
      </w:r>
      <w:r w:rsidRPr="00C9337D">
        <w:rPr>
          <w:rFonts w:ascii="Arial" w:hAnsi="Arial" w:cs="Arial"/>
          <w:b/>
          <w:bCs/>
          <w:sz w:val="22"/>
          <w:szCs w:val="22"/>
        </w:rPr>
        <w:t xml:space="preserve">pplication of </w:t>
      </w:r>
      <w:r>
        <w:rPr>
          <w:rFonts w:ascii="Arial" w:hAnsi="Arial" w:cs="Arial"/>
          <w:b/>
          <w:bCs/>
          <w:sz w:val="22"/>
          <w:szCs w:val="22"/>
        </w:rPr>
        <w:t>Foods and Others</w:t>
      </w:r>
    </w:p>
    <w:p w14:paraId="78E79CDD" w14:textId="6209ADA5" w:rsidR="00BF05F4" w:rsidRDefault="00BF05F4" w:rsidP="00BF05F4">
      <w:pPr>
        <w:spacing w:before="240"/>
        <w:jc w:val="both"/>
        <w:rPr>
          <w:rFonts w:ascii="Arial" w:hAnsi="Arial" w:cs="Arial"/>
          <w:b/>
          <w:bCs/>
          <w:sz w:val="22"/>
          <w:szCs w:val="22"/>
        </w:rPr>
      </w:pPr>
      <w:r>
        <w:rPr>
          <w:rFonts w:ascii="Arial" w:hAnsi="Arial" w:cs="Arial"/>
          <w:b/>
          <w:bCs/>
          <w:sz w:val="22"/>
          <w:szCs w:val="22"/>
        </w:rPr>
        <w:lastRenderedPageBreak/>
        <w:t>4.1</w:t>
      </w:r>
      <w:r w:rsidR="0094778A">
        <w:rPr>
          <w:rFonts w:ascii="Arial" w:hAnsi="Arial" w:cs="Arial"/>
          <w:b/>
          <w:bCs/>
          <w:sz w:val="22"/>
          <w:szCs w:val="22"/>
        </w:rPr>
        <w:t xml:space="preserve"> Cantaloupe seeds</w:t>
      </w:r>
    </w:p>
    <w:p w14:paraId="2D4B4061" w14:textId="28577DCA" w:rsidR="00BF05F4" w:rsidRDefault="00BF05F4" w:rsidP="00BF05F4">
      <w:pPr>
        <w:spacing w:before="240"/>
        <w:jc w:val="both"/>
        <w:rPr>
          <w:rFonts w:ascii="Arial" w:hAnsi="Arial" w:cs="Arial"/>
          <w:b/>
          <w:bCs/>
          <w:sz w:val="22"/>
          <w:szCs w:val="22"/>
        </w:rPr>
      </w:pPr>
      <w:r>
        <w:rPr>
          <w:rFonts w:ascii="Arial" w:hAnsi="Arial" w:cs="Arial"/>
          <w:b/>
          <w:bCs/>
          <w:sz w:val="22"/>
          <w:szCs w:val="22"/>
        </w:rPr>
        <w:t xml:space="preserve">4.1.1 </w:t>
      </w:r>
      <w:r w:rsidR="0094778A" w:rsidRPr="00625749">
        <w:rPr>
          <w:rFonts w:ascii="Arial" w:hAnsi="Arial" w:cs="Arial"/>
          <w:b/>
          <w:bCs/>
          <w:sz w:val="22"/>
          <w:szCs w:val="22"/>
        </w:rPr>
        <w:t>Protein and Oil Extraction</w:t>
      </w:r>
    </w:p>
    <w:p w14:paraId="6261B988" w14:textId="77777777" w:rsidR="00444890" w:rsidRDefault="00BF05F4" w:rsidP="00BF05F4">
      <w:pPr>
        <w:spacing w:before="240"/>
        <w:jc w:val="both"/>
        <w:rPr>
          <w:rFonts w:ascii="Arial" w:hAnsi="Arial" w:cs="Arial"/>
          <w:b/>
          <w:bCs/>
          <w:sz w:val="22"/>
          <w:szCs w:val="22"/>
        </w:rPr>
      </w:pPr>
      <w:r w:rsidRPr="003D353C">
        <w:rPr>
          <w:rFonts w:ascii="Arial" w:hAnsi="Arial" w:cs="Arial"/>
          <w:sz w:val="20"/>
          <w:szCs w:val="20"/>
        </w:rPr>
        <w:t>Cantaloupe (Cucumis melo) seeds contain 20–30% protein and 30–40% oil, rich in unsaturated fatty acids like linoleic and oleic acids, making them suitable for food and cosmetic uses (El-Adawy &amp; Taha, 2001).</w:t>
      </w:r>
    </w:p>
    <w:p w14:paraId="4691D23A" w14:textId="67708315" w:rsidR="00BF05F4" w:rsidRPr="003D353C" w:rsidRDefault="00BF05F4" w:rsidP="00BF05F4">
      <w:pPr>
        <w:spacing w:before="240"/>
        <w:jc w:val="both"/>
        <w:rPr>
          <w:rFonts w:ascii="Arial" w:hAnsi="Arial" w:cs="Arial"/>
          <w:b/>
          <w:bCs/>
          <w:sz w:val="22"/>
          <w:szCs w:val="22"/>
        </w:rPr>
      </w:pPr>
      <w:r>
        <w:rPr>
          <w:rFonts w:ascii="Arial" w:hAnsi="Arial" w:cs="Arial"/>
          <w:b/>
          <w:bCs/>
          <w:sz w:val="22"/>
          <w:szCs w:val="22"/>
        </w:rPr>
        <w:t>4.1.2</w:t>
      </w:r>
      <w:r w:rsidRPr="003D353C">
        <w:rPr>
          <w:rFonts w:ascii="Arial" w:hAnsi="Arial" w:cs="Arial"/>
          <w:b/>
          <w:bCs/>
          <w:sz w:val="22"/>
          <w:szCs w:val="22"/>
        </w:rPr>
        <w:t xml:space="preserve"> Bakery and Snack Product Fortification:</w:t>
      </w:r>
    </w:p>
    <w:p w14:paraId="633AD116" w14:textId="77777777" w:rsidR="00BF05F4" w:rsidRPr="003D353C" w:rsidRDefault="00BF05F4" w:rsidP="00BF05F4">
      <w:pPr>
        <w:spacing w:before="240"/>
        <w:jc w:val="both"/>
        <w:rPr>
          <w:rFonts w:ascii="Arial" w:hAnsi="Arial" w:cs="Arial"/>
          <w:sz w:val="20"/>
          <w:szCs w:val="20"/>
        </w:rPr>
      </w:pPr>
      <w:r w:rsidRPr="003D353C">
        <w:rPr>
          <w:rFonts w:ascii="Arial" w:hAnsi="Arial" w:cs="Arial"/>
          <w:sz w:val="20"/>
          <w:szCs w:val="20"/>
        </w:rPr>
        <w:t xml:space="preserve">Cantaloupe seed flour can fortify bakery products like cookies and breads, enhancing protein, </w:t>
      </w:r>
      <w:proofErr w:type="spellStart"/>
      <w:r w:rsidRPr="003D353C">
        <w:rPr>
          <w:rFonts w:ascii="Arial" w:hAnsi="Arial" w:cs="Arial"/>
          <w:sz w:val="20"/>
          <w:szCs w:val="20"/>
        </w:rPr>
        <w:t>fiber</w:t>
      </w:r>
      <w:proofErr w:type="spellEnd"/>
      <w:r w:rsidRPr="003D353C">
        <w:rPr>
          <w:rFonts w:ascii="Arial" w:hAnsi="Arial" w:cs="Arial"/>
          <w:sz w:val="20"/>
          <w:szCs w:val="20"/>
        </w:rPr>
        <w:t>, and minerals without compromising sensory quality (</w:t>
      </w:r>
      <w:proofErr w:type="spellStart"/>
      <w:r w:rsidRPr="003D353C">
        <w:rPr>
          <w:rFonts w:ascii="Arial" w:hAnsi="Arial" w:cs="Arial"/>
          <w:sz w:val="20"/>
          <w:szCs w:val="20"/>
        </w:rPr>
        <w:t>Akubor</w:t>
      </w:r>
      <w:proofErr w:type="spellEnd"/>
      <w:r w:rsidRPr="003D353C">
        <w:rPr>
          <w:rFonts w:ascii="Arial" w:hAnsi="Arial" w:cs="Arial"/>
          <w:sz w:val="20"/>
          <w:szCs w:val="20"/>
        </w:rPr>
        <w:t xml:space="preserve"> &amp; </w:t>
      </w:r>
      <w:proofErr w:type="spellStart"/>
      <w:r w:rsidRPr="003D353C">
        <w:rPr>
          <w:rFonts w:ascii="Arial" w:hAnsi="Arial" w:cs="Arial"/>
          <w:sz w:val="20"/>
          <w:szCs w:val="20"/>
        </w:rPr>
        <w:t>Ukwuru</w:t>
      </w:r>
      <w:proofErr w:type="spellEnd"/>
      <w:r w:rsidRPr="003D353C">
        <w:rPr>
          <w:rFonts w:ascii="Arial" w:hAnsi="Arial" w:cs="Arial"/>
          <w:sz w:val="20"/>
          <w:szCs w:val="20"/>
        </w:rPr>
        <w:t>, 2003).</w:t>
      </w:r>
    </w:p>
    <w:p w14:paraId="627426E9" w14:textId="2E4C37F2" w:rsidR="00BF05F4" w:rsidRPr="003D353C" w:rsidRDefault="00BF05F4" w:rsidP="00BF05F4">
      <w:pPr>
        <w:spacing w:before="240"/>
        <w:jc w:val="both"/>
        <w:rPr>
          <w:rFonts w:ascii="Arial" w:hAnsi="Arial" w:cs="Arial"/>
          <w:b/>
          <w:bCs/>
          <w:sz w:val="22"/>
          <w:szCs w:val="22"/>
        </w:rPr>
      </w:pPr>
      <w:r>
        <w:rPr>
          <w:rFonts w:ascii="Arial" w:hAnsi="Arial" w:cs="Arial"/>
          <w:b/>
          <w:bCs/>
          <w:sz w:val="22"/>
          <w:szCs w:val="22"/>
        </w:rPr>
        <w:t>4.1</w:t>
      </w:r>
      <w:r w:rsidRPr="003D353C">
        <w:rPr>
          <w:rFonts w:ascii="Arial" w:hAnsi="Arial" w:cs="Arial"/>
          <w:b/>
          <w:bCs/>
          <w:sz w:val="22"/>
          <w:szCs w:val="22"/>
        </w:rPr>
        <w:t>.3 Functional Foods and Energy Bar:</w:t>
      </w:r>
    </w:p>
    <w:p w14:paraId="1D05A465" w14:textId="2343EEF3" w:rsidR="00BF05F4" w:rsidRPr="003D353C" w:rsidRDefault="00BF05F4" w:rsidP="00BF05F4">
      <w:pPr>
        <w:spacing w:before="240"/>
        <w:jc w:val="both"/>
        <w:rPr>
          <w:rFonts w:ascii="Arial" w:hAnsi="Arial" w:cs="Arial"/>
          <w:sz w:val="20"/>
          <w:szCs w:val="20"/>
        </w:rPr>
      </w:pPr>
      <w:r w:rsidRPr="003D353C">
        <w:rPr>
          <w:rFonts w:ascii="Arial" w:hAnsi="Arial" w:cs="Arial"/>
          <w:sz w:val="20"/>
          <w:szCs w:val="20"/>
        </w:rPr>
        <w:t>Cantaloupe seeds</w:t>
      </w:r>
      <w:r w:rsidR="00D9507F">
        <w:rPr>
          <w:rFonts w:ascii="Arial" w:hAnsi="Arial" w:cs="Arial"/>
          <w:sz w:val="20"/>
          <w:szCs w:val="20"/>
        </w:rPr>
        <w:t xml:space="preserve"> are </w:t>
      </w:r>
      <w:r w:rsidRPr="003D353C">
        <w:rPr>
          <w:rFonts w:ascii="Arial" w:hAnsi="Arial" w:cs="Arial"/>
          <w:sz w:val="20"/>
          <w:szCs w:val="20"/>
        </w:rPr>
        <w:t xml:space="preserve">rich in protein, </w:t>
      </w:r>
      <w:r w:rsidR="00D9507F">
        <w:rPr>
          <w:rFonts w:ascii="Arial" w:hAnsi="Arial" w:cs="Arial"/>
          <w:sz w:val="20"/>
          <w:szCs w:val="20"/>
        </w:rPr>
        <w:t xml:space="preserve">dietary </w:t>
      </w:r>
      <w:proofErr w:type="spellStart"/>
      <w:r w:rsidRPr="003D353C">
        <w:rPr>
          <w:rFonts w:ascii="Arial" w:hAnsi="Arial" w:cs="Arial"/>
          <w:sz w:val="20"/>
          <w:szCs w:val="20"/>
        </w:rPr>
        <w:t>fiber</w:t>
      </w:r>
      <w:proofErr w:type="spellEnd"/>
      <w:r w:rsidRPr="003D353C">
        <w:rPr>
          <w:rFonts w:ascii="Arial" w:hAnsi="Arial" w:cs="Arial"/>
          <w:sz w:val="20"/>
          <w:szCs w:val="20"/>
        </w:rPr>
        <w:t>, and essential fatty acids</w:t>
      </w:r>
      <w:r w:rsidR="00D9507F">
        <w:rPr>
          <w:rFonts w:ascii="Arial" w:hAnsi="Arial" w:cs="Arial"/>
          <w:sz w:val="20"/>
          <w:szCs w:val="20"/>
        </w:rPr>
        <w:t xml:space="preserve"> (Mehra et al., 2015). Due to their nutritional properties, they are used in </w:t>
      </w:r>
      <w:r w:rsidRPr="003D353C">
        <w:rPr>
          <w:rFonts w:ascii="Arial" w:hAnsi="Arial" w:cs="Arial"/>
          <w:sz w:val="20"/>
          <w:szCs w:val="20"/>
        </w:rPr>
        <w:t>functional foods and energy bars</w:t>
      </w:r>
      <w:r w:rsidR="00D9507F">
        <w:rPr>
          <w:rFonts w:ascii="Arial" w:hAnsi="Arial" w:cs="Arial"/>
          <w:sz w:val="20"/>
          <w:szCs w:val="20"/>
        </w:rPr>
        <w:t xml:space="preserve"> thereby, </w:t>
      </w:r>
      <w:r w:rsidRPr="003D353C">
        <w:rPr>
          <w:rFonts w:ascii="Arial" w:hAnsi="Arial" w:cs="Arial"/>
          <w:sz w:val="20"/>
          <w:szCs w:val="20"/>
        </w:rPr>
        <w:t>promoting satiety, sustained energy, and metabolic benefits.</w:t>
      </w:r>
      <w:r w:rsidR="00D9507F">
        <w:rPr>
          <w:rFonts w:ascii="Arial" w:hAnsi="Arial" w:cs="Arial"/>
          <w:sz w:val="20"/>
          <w:szCs w:val="20"/>
        </w:rPr>
        <w:t xml:space="preserve"> </w:t>
      </w:r>
    </w:p>
    <w:p w14:paraId="54CBDDEC" w14:textId="77777777" w:rsidR="00444890" w:rsidRDefault="00444890" w:rsidP="00BF05F4">
      <w:pPr>
        <w:spacing w:before="240"/>
        <w:jc w:val="both"/>
        <w:rPr>
          <w:rFonts w:ascii="Arial" w:hAnsi="Arial" w:cs="Arial"/>
          <w:b/>
          <w:bCs/>
          <w:sz w:val="22"/>
          <w:szCs w:val="22"/>
        </w:rPr>
      </w:pPr>
    </w:p>
    <w:p w14:paraId="7C8071CE" w14:textId="5A178EBD" w:rsidR="00BF05F4" w:rsidRPr="003D353C" w:rsidRDefault="00BF05F4" w:rsidP="00BF05F4">
      <w:pPr>
        <w:spacing w:before="240"/>
        <w:jc w:val="both"/>
        <w:rPr>
          <w:rFonts w:ascii="Arial" w:hAnsi="Arial" w:cs="Arial"/>
          <w:sz w:val="22"/>
          <w:szCs w:val="22"/>
        </w:rPr>
      </w:pPr>
      <w:r>
        <w:rPr>
          <w:rFonts w:ascii="Arial" w:hAnsi="Arial" w:cs="Arial"/>
          <w:b/>
          <w:bCs/>
          <w:sz w:val="22"/>
          <w:szCs w:val="22"/>
        </w:rPr>
        <w:t>4.1</w:t>
      </w:r>
      <w:r w:rsidRPr="003D353C">
        <w:rPr>
          <w:rFonts w:ascii="Arial" w:hAnsi="Arial" w:cs="Arial"/>
          <w:b/>
          <w:bCs/>
          <w:sz w:val="22"/>
          <w:szCs w:val="22"/>
        </w:rPr>
        <w:t>.4 Antioxidant and Antimicrobial Use:</w:t>
      </w:r>
    </w:p>
    <w:p w14:paraId="669AF81A" w14:textId="17AA3B7F" w:rsidR="00BF05F4" w:rsidRPr="003D353C" w:rsidRDefault="00BF05F4" w:rsidP="00BF05F4">
      <w:pPr>
        <w:spacing w:before="240"/>
        <w:jc w:val="both"/>
        <w:rPr>
          <w:rFonts w:ascii="Arial" w:hAnsi="Arial" w:cs="Arial"/>
          <w:sz w:val="20"/>
          <w:szCs w:val="20"/>
        </w:rPr>
      </w:pPr>
      <w:r w:rsidRPr="003D353C">
        <w:rPr>
          <w:rFonts w:ascii="Arial" w:hAnsi="Arial" w:cs="Arial"/>
          <w:sz w:val="20"/>
          <w:szCs w:val="20"/>
        </w:rPr>
        <w:t>Cantaloupe seed extracts are rich in phenolics, flavonoids, and tocopherols, exhibiting strong antioxidant and antimicrobial activities useful for natural food preservation and nutraceutical applications</w:t>
      </w:r>
      <w:r w:rsidR="00D9507F" w:rsidRPr="00D9507F">
        <w:rPr>
          <w:rFonts w:ascii="Arial" w:hAnsi="Arial" w:cs="Arial"/>
          <w:sz w:val="20"/>
          <w:szCs w:val="20"/>
        </w:rPr>
        <w:t xml:space="preserve"> </w:t>
      </w:r>
      <w:r w:rsidR="00D9507F">
        <w:rPr>
          <w:rFonts w:ascii="Arial" w:hAnsi="Arial" w:cs="Arial"/>
          <w:sz w:val="20"/>
          <w:szCs w:val="20"/>
        </w:rPr>
        <w:t>(Mehra et al., 2015).</w:t>
      </w:r>
    </w:p>
    <w:p w14:paraId="6D79DB1F" w14:textId="0AACCD8D" w:rsidR="00BF05F4" w:rsidRDefault="00BF05F4" w:rsidP="00BF05F4">
      <w:pPr>
        <w:spacing w:before="240"/>
        <w:jc w:val="both"/>
        <w:rPr>
          <w:rFonts w:ascii="Arial" w:hAnsi="Arial" w:cs="Arial"/>
          <w:b/>
          <w:bCs/>
          <w:sz w:val="22"/>
          <w:szCs w:val="22"/>
        </w:rPr>
      </w:pPr>
      <w:r>
        <w:rPr>
          <w:rFonts w:ascii="Arial" w:hAnsi="Arial" w:cs="Arial"/>
          <w:b/>
          <w:bCs/>
          <w:sz w:val="22"/>
          <w:szCs w:val="22"/>
        </w:rPr>
        <w:t>4.2 DATES:</w:t>
      </w:r>
    </w:p>
    <w:p w14:paraId="76D81870" w14:textId="686AC7FC" w:rsidR="00BF05F4" w:rsidRPr="003D353C" w:rsidRDefault="00BF05F4" w:rsidP="00BF05F4">
      <w:pPr>
        <w:spacing w:before="240"/>
        <w:jc w:val="both"/>
        <w:rPr>
          <w:rFonts w:ascii="Arial" w:hAnsi="Arial" w:cs="Arial"/>
          <w:b/>
          <w:bCs/>
          <w:sz w:val="22"/>
          <w:szCs w:val="22"/>
        </w:rPr>
      </w:pPr>
      <w:r>
        <w:rPr>
          <w:rFonts w:ascii="Arial" w:hAnsi="Arial" w:cs="Arial"/>
          <w:b/>
          <w:bCs/>
          <w:sz w:val="22"/>
          <w:szCs w:val="22"/>
        </w:rPr>
        <w:t>4.2</w:t>
      </w:r>
      <w:r w:rsidRPr="003D353C">
        <w:rPr>
          <w:rFonts w:ascii="Arial" w:hAnsi="Arial" w:cs="Arial"/>
          <w:b/>
          <w:bCs/>
          <w:sz w:val="22"/>
          <w:szCs w:val="22"/>
        </w:rPr>
        <w:t xml:space="preserve">.1 </w:t>
      </w:r>
      <w:bookmarkStart w:id="3" w:name="_Hlk204865490"/>
      <w:r w:rsidRPr="003D353C">
        <w:rPr>
          <w:rFonts w:ascii="Arial" w:hAnsi="Arial" w:cs="Arial"/>
          <w:b/>
          <w:bCs/>
          <w:sz w:val="22"/>
          <w:szCs w:val="22"/>
        </w:rPr>
        <w:t>Natural Sweetener:</w:t>
      </w:r>
    </w:p>
    <w:p w14:paraId="5B2E7B58" w14:textId="77777777" w:rsidR="00BF05F4" w:rsidRPr="003D353C" w:rsidRDefault="00BF05F4" w:rsidP="00BF05F4">
      <w:pPr>
        <w:spacing w:before="240"/>
        <w:jc w:val="both"/>
        <w:rPr>
          <w:rFonts w:ascii="Arial" w:hAnsi="Arial" w:cs="Arial"/>
          <w:b/>
          <w:bCs/>
          <w:sz w:val="22"/>
          <w:szCs w:val="22"/>
        </w:rPr>
      </w:pPr>
      <w:r w:rsidRPr="003D353C">
        <w:rPr>
          <w:rFonts w:ascii="Arial" w:hAnsi="Arial" w:cs="Arial"/>
          <w:sz w:val="20"/>
          <w:szCs w:val="20"/>
        </w:rPr>
        <w:t xml:space="preserve">Dates serve as a natural sweetener with a low </w:t>
      </w:r>
      <w:proofErr w:type="spellStart"/>
      <w:r w:rsidRPr="003D353C">
        <w:rPr>
          <w:rFonts w:ascii="Arial" w:hAnsi="Arial" w:cs="Arial"/>
          <w:sz w:val="20"/>
          <w:szCs w:val="20"/>
        </w:rPr>
        <w:t>glycemic</w:t>
      </w:r>
      <w:proofErr w:type="spellEnd"/>
      <w:r w:rsidRPr="003D353C">
        <w:rPr>
          <w:rFonts w:ascii="Arial" w:hAnsi="Arial" w:cs="Arial"/>
          <w:sz w:val="20"/>
          <w:szCs w:val="20"/>
        </w:rPr>
        <w:t xml:space="preserve"> index and are rich in </w:t>
      </w:r>
      <w:proofErr w:type="spellStart"/>
      <w:r w:rsidRPr="003D353C">
        <w:rPr>
          <w:rFonts w:ascii="Arial" w:hAnsi="Arial" w:cs="Arial"/>
          <w:sz w:val="20"/>
          <w:szCs w:val="20"/>
        </w:rPr>
        <w:t>fiber</w:t>
      </w:r>
      <w:proofErr w:type="spellEnd"/>
      <w:r w:rsidRPr="003D353C">
        <w:rPr>
          <w:rFonts w:ascii="Arial" w:hAnsi="Arial" w:cs="Arial"/>
          <w:sz w:val="20"/>
          <w:szCs w:val="20"/>
        </w:rPr>
        <w:t>, minerals, and antioxidants, making them a healthier alternative to refined sugars in various food products (Al-Farsi &amp; Lee, 2008).</w:t>
      </w:r>
    </w:p>
    <w:p w14:paraId="213EC626" w14:textId="63442CFF" w:rsidR="00BF05F4" w:rsidRPr="003D353C" w:rsidRDefault="00BF05F4" w:rsidP="00BF05F4">
      <w:pPr>
        <w:jc w:val="both"/>
        <w:rPr>
          <w:rFonts w:ascii="Arial" w:hAnsi="Arial" w:cs="Arial"/>
          <w:b/>
          <w:bCs/>
          <w:sz w:val="22"/>
          <w:szCs w:val="22"/>
        </w:rPr>
      </w:pPr>
      <w:r>
        <w:rPr>
          <w:rFonts w:ascii="Arial" w:hAnsi="Arial" w:cs="Arial"/>
          <w:b/>
          <w:bCs/>
          <w:sz w:val="22"/>
          <w:szCs w:val="22"/>
        </w:rPr>
        <w:t>4.2</w:t>
      </w:r>
      <w:r w:rsidRPr="003D353C">
        <w:rPr>
          <w:rFonts w:ascii="Arial" w:hAnsi="Arial" w:cs="Arial"/>
          <w:b/>
          <w:bCs/>
          <w:sz w:val="22"/>
          <w:szCs w:val="22"/>
        </w:rPr>
        <w:t>.2 Functional Food Ingredient:</w:t>
      </w:r>
    </w:p>
    <w:p w14:paraId="004457DB" w14:textId="45357F8A" w:rsidR="00BF05F4" w:rsidRPr="003D353C" w:rsidRDefault="00BF05F4" w:rsidP="00BF05F4">
      <w:pPr>
        <w:spacing w:before="240"/>
        <w:jc w:val="both"/>
        <w:rPr>
          <w:rFonts w:ascii="Arial" w:hAnsi="Arial" w:cs="Arial"/>
          <w:sz w:val="20"/>
          <w:szCs w:val="20"/>
        </w:rPr>
      </w:pPr>
      <w:r w:rsidRPr="003D353C">
        <w:rPr>
          <w:rFonts w:ascii="Arial" w:hAnsi="Arial" w:cs="Arial"/>
          <w:sz w:val="20"/>
          <w:szCs w:val="20"/>
        </w:rPr>
        <w:t xml:space="preserve">Dates, rich in </w:t>
      </w:r>
      <w:proofErr w:type="spellStart"/>
      <w:r w:rsidRPr="003D353C">
        <w:rPr>
          <w:rFonts w:ascii="Arial" w:hAnsi="Arial" w:cs="Arial"/>
          <w:sz w:val="20"/>
          <w:szCs w:val="20"/>
        </w:rPr>
        <w:t>fiber</w:t>
      </w:r>
      <w:proofErr w:type="spellEnd"/>
      <w:r w:rsidRPr="003D353C">
        <w:rPr>
          <w:rFonts w:ascii="Arial" w:hAnsi="Arial" w:cs="Arial"/>
          <w:sz w:val="20"/>
          <w:szCs w:val="20"/>
        </w:rPr>
        <w:t xml:space="preserve"> and polyphenols, are used in functional food</w:t>
      </w:r>
      <w:r w:rsidR="00D9507F">
        <w:rPr>
          <w:rFonts w:ascii="Arial" w:hAnsi="Arial" w:cs="Arial"/>
          <w:sz w:val="20"/>
          <w:szCs w:val="20"/>
        </w:rPr>
        <w:t>s</w:t>
      </w:r>
      <w:r w:rsidRPr="003D353C">
        <w:rPr>
          <w:rFonts w:ascii="Arial" w:hAnsi="Arial" w:cs="Arial"/>
          <w:sz w:val="20"/>
          <w:szCs w:val="20"/>
        </w:rPr>
        <w:t xml:space="preserve"> like energy bars and cereals to improve digestion, satiety, and </w:t>
      </w:r>
      <w:proofErr w:type="spellStart"/>
      <w:r w:rsidRPr="003D353C">
        <w:rPr>
          <w:rFonts w:ascii="Arial" w:hAnsi="Arial" w:cs="Arial"/>
          <w:sz w:val="20"/>
          <w:szCs w:val="20"/>
        </w:rPr>
        <w:t>glycemic</w:t>
      </w:r>
      <w:proofErr w:type="spellEnd"/>
      <w:r w:rsidRPr="003D353C">
        <w:rPr>
          <w:rFonts w:ascii="Arial" w:hAnsi="Arial" w:cs="Arial"/>
          <w:sz w:val="20"/>
          <w:szCs w:val="20"/>
        </w:rPr>
        <w:t xml:space="preserve"> control while enhancing </w:t>
      </w:r>
      <w:proofErr w:type="spellStart"/>
      <w:r w:rsidRPr="003D353C">
        <w:rPr>
          <w:rFonts w:ascii="Arial" w:hAnsi="Arial" w:cs="Arial"/>
          <w:sz w:val="20"/>
          <w:szCs w:val="20"/>
        </w:rPr>
        <w:t>flavor</w:t>
      </w:r>
      <w:proofErr w:type="spellEnd"/>
      <w:r w:rsidRPr="003D353C">
        <w:rPr>
          <w:rFonts w:ascii="Arial" w:hAnsi="Arial" w:cs="Arial"/>
          <w:sz w:val="20"/>
          <w:szCs w:val="20"/>
        </w:rPr>
        <w:t xml:space="preserve"> and shelf life (Baliga et al., 2011).</w:t>
      </w:r>
    </w:p>
    <w:p w14:paraId="58EB1AF0" w14:textId="78623775" w:rsidR="00BF05F4" w:rsidRPr="003D353C" w:rsidRDefault="00BF05F4" w:rsidP="00BF05F4">
      <w:pPr>
        <w:spacing w:before="240"/>
        <w:jc w:val="both"/>
        <w:rPr>
          <w:rFonts w:ascii="Arial" w:hAnsi="Arial" w:cs="Arial"/>
          <w:b/>
          <w:bCs/>
          <w:sz w:val="22"/>
          <w:szCs w:val="22"/>
        </w:rPr>
      </w:pPr>
      <w:r>
        <w:rPr>
          <w:rFonts w:ascii="Arial" w:hAnsi="Arial" w:cs="Arial"/>
          <w:b/>
          <w:bCs/>
          <w:sz w:val="22"/>
          <w:szCs w:val="22"/>
        </w:rPr>
        <w:t>4.2</w:t>
      </w:r>
      <w:r w:rsidRPr="003D353C">
        <w:rPr>
          <w:rFonts w:ascii="Arial" w:hAnsi="Arial" w:cs="Arial"/>
          <w:b/>
          <w:bCs/>
          <w:sz w:val="22"/>
          <w:szCs w:val="22"/>
        </w:rPr>
        <w:t>.3 Bakery and Confectionery Products:</w:t>
      </w:r>
    </w:p>
    <w:bookmarkEnd w:id="3"/>
    <w:p w14:paraId="1CD13C6E" w14:textId="1539756A" w:rsidR="00741A55" w:rsidRDefault="00C245AD" w:rsidP="002C0873">
      <w:pPr>
        <w:spacing w:before="240"/>
        <w:jc w:val="both"/>
        <w:rPr>
          <w:rFonts w:ascii="Arial" w:hAnsi="Arial" w:cs="Arial"/>
          <w:b/>
          <w:bCs/>
          <w:sz w:val="22"/>
          <w:szCs w:val="22"/>
        </w:rPr>
      </w:pPr>
      <w:r>
        <w:rPr>
          <w:rFonts w:ascii="Arial" w:hAnsi="Arial" w:cs="Arial"/>
          <w:sz w:val="20"/>
          <w:szCs w:val="20"/>
        </w:rPr>
        <w:t xml:space="preserve">Dates enhance the nutritional profile of bakery product like cakes by adding </w:t>
      </w:r>
      <w:proofErr w:type="spellStart"/>
      <w:r>
        <w:rPr>
          <w:rFonts w:ascii="Arial" w:hAnsi="Arial" w:cs="Arial"/>
          <w:sz w:val="20"/>
          <w:szCs w:val="20"/>
        </w:rPr>
        <w:t>fibers</w:t>
      </w:r>
      <w:proofErr w:type="spellEnd"/>
      <w:r>
        <w:rPr>
          <w:rFonts w:ascii="Arial" w:hAnsi="Arial" w:cs="Arial"/>
          <w:sz w:val="20"/>
          <w:szCs w:val="20"/>
        </w:rPr>
        <w:t xml:space="preserve"> which improves digestion and lowers </w:t>
      </w:r>
      <w:proofErr w:type="spellStart"/>
      <w:r>
        <w:rPr>
          <w:rFonts w:ascii="Arial" w:hAnsi="Arial" w:cs="Arial"/>
          <w:sz w:val="20"/>
          <w:szCs w:val="20"/>
        </w:rPr>
        <w:t>glycemic</w:t>
      </w:r>
      <w:proofErr w:type="spellEnd"/>
      <w:r>
        <w:rPr>
          <w:rFonts w:ascii="Arial" w:hAnsi="Arial" w:cs="Arial"/>
          <w:sz w:val="20"/>
          <w:szCs w:val="20"/>
        </w:rPr>
        <w:t xml:space="preserve"> index</w:t>
      </w:r>
      <w:r w:rsidR="00A33EDC">
        <w:rPr>
          <w:rFonts w:ascii="Arial" w:hAnsi="Arial" w:cs="Arial"/>
          <w:sz w:val="20"/>
          <w:szCs w:val="20"/>
        </w:rPr>
        <w:t xml:space="preserve"> </w:t>
      </w:r>
      <w:r w:rsidR="00A33EDC" w:rsidRPr="00A33EDC">
        <w:rPr>
          <w:rFonts w:ascii="Arial" w:hAnsi="Arial" w:cs="Arial"/>
          <w:sz w:val="20"/>
          <w:szCs w:val="20"/>
        </w:rPr>
        <w:t>(</w:t>
      </w:r>
      <w:proofErr w:type="spellStart"/>
      <w:r w:rsidR="00A33EDC" w:rsidRPr="00A33EDC">
        <w:rPr>
          <w:rFonts w:ascii="Arial" w:hAnsi="Arial" w:cs="Arial"/>
          <w:sz w:val="20"/>
          <w:szCs w:val="20"/>
        </w:rPr>
        <w:t>Alqahtani</w:t>
      </w:r>
      <w:proofErr w:type="spellEnd"/>
      <w:r w:rsidR="00A33EDC" w:rsidRPr="00A33EDC">
        <w:rPr>
          <w:rFonts w:ascii="Arial" w:hAnsi="Arial" w:cs="Arial"/>
          <w:sz w:val="20"/>
          <w:szCs w:val="20"/>
        </w:rPr>
        <w:t xml:space="preserve"> et al.,</w:t>
      </w:r>
      <w:r w:rsidR="00A33EDC">
        <w:rPr>
          <w:rFonts w:ascii="Arial" w:hAnsi="Arial" w:cs="Arial"/>
          <w:sz w:val="20"/>
          <w:szCs w:val="20"/>
        </w:rPr>
        <w:t xml:space="preserve"> 2024).</w:t>
      </w:r>
    </w:p>
    <w:p w14:paraId="5FE38240" w14:textId="77777777" w:rsidR="00444890" w:rsidRDefault="00444890" w:rsidP="00BF05F4">
      <w:pPr>
        <w:spacing w:before="240"/>
        <w:jc w:val="both"/>
        <w:rPr>
          <w:rFonts w:ascii="Arial" w:hAnsi="Arial" w:cs="Arial"/>
          <w:b/>
          <w:bCs/>
          <w:sz w:val="22"/>
          <w:szCs w:val="22"/>
        </w:rPr>
      </w:pPr>
    </w:p>
    <w:p w14:paraId="05EBBF48" w14:textId="77777777" w:rsidR="00444890" w:rsidRDefault="00444890" w:rsidP="00BF05F4">
      <w:pPr>
        <w:spacing w:before="240"/>
        <w:jc w:val="both"/>
        <w:rPr>
          <w:rFonts w:ascii="Arial" w:hAnsi="Arial" w:cs="Arial"/>
          <w:b/>
          <w:bCs/>
          <w:sz w:val="22"/>
          <w:szCs w:val="22"/>
        </w:rPr>
      </w:pPr>
    </w:p>
    <w:p w14:paraId="219CA0EF" w14:textId="77777777" w:rsidR="00444890" w:rsidRDefault="00444890" w:rsidP="00BF05F4">
      <w:pPr>
        <w:spacing w:before="240"/>
        <w:jc w:val="both"/>
        <w:rPr>
          <w:rFonts w:ascii="Arial" w:hAnsi="Arial" w:cs="Arial"/>
          <w:b/>
          <w:bCs/>
          <w:sz w:val="22"/>
          <w:szCs w:val="22"/>
        </w:rPr>
      </w:pPr>
    </w:p>
    <w:p w14:paraId="153ED196" w14:textId="77777777" w:rsidR="00444890" w:rsidRDefault="00444890" w:rsidP="00BF05F4">
      <w:pPr>
        <w:spacing w:before="240"/>
        <w:jc w:val="both"/>
        <w:rPr>
          <w:rFonts w:ascii="Arial" w:hAnsi="Arial" w:cs="Arial"/>
          <w:b/>
          <w:bCs/>
          <w:sz w:val="22"/>
          <w:szCs w:val="22"/>
        </w:rPr>
      </w:pPr>
    </w:p>
    <w:p w14:paraId="30B8E610" w14:textId="77777777" w:rsidR="00444890" w:rsidRDefault="00444890" w:rsidP="00BF05F4">
      <w:pPr>
        <w:spacing w:before="240"/>
        <w:jc w:val="both"/>
        <w:rPr>
          <w:rFonts w:ascii="Arial" w:hAnsi="Arial" w:cs="Arial"/>
          <w:b/>
          <w:bCs/>
          <w:sz w:val="22"/>
          <w:szCs w:val="22"/>
        </w:rPr>
      </w:pPr>
    </w:p>
    <w:p w14:paraId="1012B0B2" w14:textId="77777777" w:rsidR="00444890" w:rsidRDefault="00444890" w:rsidP="00BF05F4">
      <w:pPr>
        <w:spacing w:before="240"/>
        <w:jc w:val="both"/>
        <w:rPr>
          <w:rFonts w:ascii="Arial" w:hAnsi="Arial" w:cs="Arial"/>
          <w:b/>
          <w:bCs/>
          <w:sz w:val="22"/>
          <w:szCs w:val="22"/>
        </w:rPr>
      </w:pPr>
    </w:p>
    <w:p w14:paraId="0DD448E1" w14:textId="77777777" w:rsidR="00444890" w:rsidRDefault="00444890" w:rsidP="00BF05F4">
      <w:pPr>
        <w:spacing w:before="240"/>
        <w:jc w:val="both"/>
        <w:rPr>
          <w:rFonts w:ascii="Arial" w:hAnsi="Arial" w:cs="Arial"/>
          <w:b/>
          <w:bCs/>
          <w:sz w:val="22"/>
          <w:szCs w:val="22"/>
        </w:rPr>
      </w:pPr>
    </w:p>
    <w:p w14:paraId="2CA84B25" w14:textId="77777777" w:rsidR="00444890" w:rsidRDefault="00444890" w:rsidP="00BF05F4">
      <w:pPr>
        <w:spacing w:before="240"/>
        <w:jc w:val="both"/>
        <w:rPr>
          <w:rFonts w:ascii="Arial" w:hAnsi="Arial" w:cs="Arial"/>
          <w:b/>
          <w:bCs/>
          <w:sz w:val="22"/>
          <w:szCs w:val="22"/>
        </w:rPr>
      </w:pPr>
    </w:p>
    <w:p w14:paraId="6CFBF5B8" w14:textId="77777777" w:rsidR="00444890" w:rsidRDefault="00444890" w:rsidP="00BF05F4">
      <w:pPr>
        <w:spacing w:before="240"/>
        <w:jc w:val="both"/>
        <w:rPr>
          <w:rFonts w:ascii="Arial" w:hAnsi="Arial" w:cs="Arial"/>
          <w:b/>
          <w:bCs/>
          <w:sz w:val="22"/>
          <w:szCs w:val="22"/>
        </w:rPr>
      </w:pPr>
    </w:p>
    <w:p w14:paraId="5C3BE598" w14:textId="77777777" w:rsidR="00444890" w:rsidRDefault="00444890" w:rsidP="00BF05F4">
      <w:pPr>
        <w:spacing w:before="240"/>
        <w:jc w:val="both"/>
        <w:rPr>
          <w:rFonts w:ascii="Arial" w:hAnsi="Arial" w:cs="Arial"/>
          <w:b/>
          <w:bCs/>
          <w:sz w:val="22"/>
          <w:szCs w:val="22"/>
        </w:rPr>
      </w:pPr>
    </w:p>
    <w:p w14:paraId="42095813" w14:textId="77777777" w:rsidR="00444890" w:rsidRDefault="00444890" w:rsidP="00BF05F4">
      <w:pPr>
        <w:spacing w:before="240"/>
        <w:jc w:val="both"/>
        <w:rPr>
          <w:rFonts w:ascii="Arial" w:hAnsi="Arial" w:cs="Arial"/>
          <w:b/>
          <w:bCs/>
          <w:sz w:val="22"/>
          <w:szCs w:val="22"/>
        </w:rPr>
      </w:pPr>
    </w:p>
    <w:p w14:paraId="2AE2004F" w14:textId="77777777" w:rsidR="00444890" w:rsidRDefault="00444890" w:rsidP="00BF05F4">
      <w:pPr>
        <w:spacing w:before="240"/>
        <w:jc w:val="both"/>
        <w:rPr>
          <w:rFonts w:ascii="Arial" w:hAnsi="Arial" w:cs="Arial"/>
          <w:b/>
          <w:bCs/>
          <w:sz w:val="22"/>
          <w:szCs w:val="22"/>
        </w:rPr>
      </w:pPr>
    </w:p>
    <w:p w14:paraId="20108DCF" w14:textId="77777777" w:rsidR="00444890" w:rsidRDefault="00444890" w:rsidP="00BF05F4">
      <w:pPr>
        <w:spacing w:before="240"/>
        <w:jc w:val="both"/>
        <w:rPr>
          <w:rFonts w:ascii="Arial" w:hAnsi="Arial" w:cs="Arial"/>
          <w:b/>
          <w:bCs/>
          <w:sz w:val="22"/>
          <w:szCs w:val="22"/>
        </w:rPr>
      </w:pPr>
    </w:p>
    <w:p w14:paraId="14ABCF42" w14:textId="77777777" w:rsidR="00444890" w:rsidRDefault="00444890" w:rsidP="00BF05F4">
      <w:pPr>
        <w:spacing w:before="240"/>
        <w:jc w:val="both"/>
        <w:rPr>
          <w:rFonts w:ascii="Arial" w:hAnsi="Arial" w:cs="Arial"/>
          <w:b/>
          <w:bCs/>
          <w:sz w:val="22"/>
          <w:szCs w:val="22"/>
        </w:rPr>
      </w:pPr>
    </w:p>
    <w:p w14:paraId="500E1A78" w14:textId="77777777" w:rsidR="00444890" w:rsidRDefault="00444890" w:rsidP="00BF05F4">
      <w:pPr>
        <w:spacing w:before="240"/>
        <w:jc w:val="both"/>
        <w:rPr>
          <w:rFonts w:ascii="Arial" w:hAnsi="Arial" w:cs="Arial"/>
          <w:b/>
          <w:bCs/>
          <w:sz w:val="22"/>
          <w:szCs w:val="22"/>
        </w:rPr>
      </w:pPr>
    </w:p>
    <w:p w14:paraId="66D49808" w14:textId="1E3AC7C2" w:rsidR="002C0873" w:rsidRPr="00F35981" w:rsidRDefault="00BF05F4" w:rsidP="00BF05F4">
      <w:pPr>
        <w:spacing w:before="240"/>
        <w:jc w:val="both"/>
        <w:rPr>
          <w:rFonts w:ascii="Arial" w:hAnsi="Arial" w:cs="Arial"/>
          <w:b/>
          <w:bCs/>
          <w:sz w:val="22"/>
          <w:szCs w:val="22"/>
        </w:rPr>
      </w:pPr>
      <w:r>
        <w:rPr>
          <w:rFonts w:ascii="Arial" w:hAnsi="Arial" w:cs="Arial"/>
          <w:b/>
          <w:bCs/>
          <w:sz w:val="22"/>
          <w:szCs w:val="22"/>
        </w:rPr>
        <w:t>5.</w:t>
      </w:r>
      <w:r w:rsidR="002C0873" w:rsidRPr="00F35981">
        <w:rPr>
          <w:rFonts w:ascii="Arial" w:hAnsi="Arial" w:cs="Arial"/>
          <w:b/>
          <w:bCs/>
          <w:sz w:val="22"/>
          <w:szCs w:val="22"/>
        </w:rPr>
        <w:t xml:space="preserve"> Nutritional potential of raw ingredients for energy bar preparation:(Per 100 gm)</w:t>
      </w:r>
    </w:p>
    <w:p w14:paraId="04D96245" w14:textId="364FF2AD" w:rsidR="002C0873" w:rsidRPr="005F066E" w:rsidRDefault="002C0873" w:rsidP="002C0873">
      <w:pPr>
        <w:spacing w:after="0"/>
        <w:jc w:val="both"/>
        <w:rPr>
          <w:rFonts w:ascii="Arial" w:hAnsi="Arial" w:cs="Arial"/>
          <w:sz w:val="20"/>
          <w:szCs w:val="20"/>
        </w:rPr>
      </w:pPr>
      <w:r w:rsidRPr="00D67AA6">
        <w:rPr>
          <w:rFonts w:ascii="Arial" w:hAnsi="Arial" w:cs="Arial"/>
          <w:b/>
          <w:bCs/>
          <w:sz w:val="20"/>
          <w:szCs w:val="20"/>
        </w:rPr>
        <w:t xml:space="preserve">Table </w:t>
      </w:r>
      <w:r w:rsidR="00BF05F4">
        <w:rPr>
          <w:rFonts w:ascii="Arial" w:hAnsi="Arial" w:cs="Arial"/>
          <w:b/>
          <w:bCs/>
          <w:sz w:val="20"/>
          <w:szCs w:val="20"/>
        </w:rPr>
        <w:t>1</w:t>
      </w:r>
      <w:r w:rsidRPr="00D67AA6">
        <w:rPr>
          <w:rFonts w:ascii="Arial" w:hAnsi="Arial" w:cs="Arial"/>
          <w:b/>
          <w:bCs/>
          <w:sz w:val="20"/>
          <w:szCs w:val="20"/>
        </w:rPr>
        <w:t>.</w:t>
      </w:r>
      <w:r w:rsidRPr="00D67AA6">
        <w:rPr>
          <w:rFonts w:ascii="Arial" w:hAnsi="Arial" w:cs="Arial"/>
          <w:sz w:val="20"/>
          <w:szCs w:val="20"/>
        </w:rPr>
        <w:t xml:space="preserve"> Nutritional potential of raw ingredients for energy bar preparation</w:t>
      </w:r>
    </w:p>
    <w:tbl>
      <w:tblPr>
        <w:tblStyle w:val="TableGrid"/>
        <w:tblW w:w="10476" w:type="dxa"/>
        <w:jc w:val="center"/>
        <w:tblLook w:val="04A0" w:firstRow="1" w:lastRow="0" w:firstColumn="1" w:lastColumn="0" w:noHBand="0" w:noVBand="1"/>
      </w:tblPr>
      <w:tblGrid>
        <w:gridCol w:w="1439"/>
        <w:gridCol w:w="895"/>
        <w:gridCol w:w="1628"/>
        <w:gridCol w:w="905"/>
        <w:gridCol w:w="628"/>
        <w:gridCol w:w="705"/>
        <w:gridCol w:w="1605"/>
        <w:gridCol w:w="1402"/>
        <w:gridCol w:w="1295"/>
      </w:tblGrid>
      <w:tr w:rsidR="00CC305B" w:rsidRPr="00642D16" w14:paraId="47C40140" w14:textId="573681A7" w:rsidTr="00CC305B">
        <w:trPr>
          <w:trHeight w:val="567"/>
          <w:jc w:val="center"/>
        </w:trPr>
        <w:tc>
          <w:tcPr>
            <w:tcW w:w="1018" w:type="dxa"/>
            <w:vAlign w:val="center"/>
            <w:hideMark/>
          </w:tcPr>
          <w:p w14:paraId="229BB21B"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Ingredient</w:t>
            </w:r>
          </w:p>
        </w:tc>
        <w:tc>
          <w:tcPr>
            <w:tcW w:w="895" w:type="dxa"/>
            <w:vAlign w:val="center"/>
            <w:hideMark/>
          </w:tcPr>
          <w:p w14:paraId="4A0C82C2"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Energy (kcal)</w:t>
            </w:r>
          </w:p>
        </w:tc>
        <w:tc>
          <w:tcPr>
            <w:tcW w:w="1628" w:type="dxa"/>
            <w:vAlign w:val="center"/>
            <w:hideMark/>
          </w:tcPr>
          <w:p w14:paraId="5D013B38"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Carbohydrates (g)</w:t>
            </w:r>
          </w:p>
        </w:tc>
        <w:tc>
          <w:tcPr>
            <w:tcW w:w="0" w:type="auto"/>
            <w:vAlign w:val="center"/>
            <w:hideMark/>
          </w:tcPr>
          <w:p w14:paraId="1349BF05"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Protein (g)</w:t>
            </w:r>
          </w:p>
        </w:tc>
        <w:tc>
          <w:tcPr>
            <w:tcW w:w="0" w:type="auto"/>
            <w:vAlign w:val="center"/>
            <w:hideMark/>
          </w:tcPr>
          <w:p w14:paraId="0F31D6F8"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Fats (g)</w:t>
            </w:r>
          </w:p>
        </w:tc>
        <w:tc>
          <w:tcPr>
            <w:tcW w:w="0" w:type="auto"/>
            <w:vAlign w:val="center"/>
            <w:hideMark/>
          </w:tcPr>
          <w:p w14:paraId="0610ABC2"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Fiber (g)</w:t>
            </w:r>
          </w:p>
        </w:tc>
        <w:tc>
          <w:tcPr>
            <w:tcW w:w="0" w:type="auto"/>
            <w:vAlign w:val="center"/>
            <w:hideMark/>
          </w:tcPr>
          <w:p w14:paraId="4899E5C7"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Key Micronutrients</w:t>
            </w:r>
          </w:p>
        </w:tc>
        <w:tc>
          <w:tcPr>
            <w:tcW w:w="1546" w:type="dxa"/>
            <w:vAlign w:val="center"/>
            <w:hideMark/>
          </w:tcPr>
          <w:p w14:paraId="5310D4E4"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Functional Benefits</w:t>
            </w:r>
          </w:p>
        </w:tc>
        <w:tc>
          <w:tcPr>
            <w:tcW w:w="1546" w:type="dxa"/>
          </w:tcPr>
          <w:p w14:paraId="2788F892" w14:textId="2FF821B6"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References</w:t>
            </w:r>
          </w:p>
        </w:tc>
      </w:tr>
      <w:tr w:rsidR="00CC305B" w:rsidRPr="00642D16" w14:paraId="35E15563" w14:textId="0F727BA6" w:rsidTr="00CC305B">
        <w:trPr>
          <w:trHeight w:val="567"/>
          <w:jc w:val="center"/>
        </w:trPr>
        <w:tc>
          <w:tcPr>
            <w:tcW w:w="1018" w:type="dxa"/>
            <w:vAlign w:val="center"/>
            <w:hideMark/>
          </w:tcPr>
          <w:p w14:paraId="4570C699"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Dates (dried)</w:t>
            </w:r>
          </w:p>
        </w:tc>
        <w:tc>
          <w:tcPr>
            <w:tcW w:w="895" w:type="dxa"/>
            <w:vAlign w:val="center"/>
            <w:hideMark/>
          </w:tcPr>
          <w:p w14:paraId="127FA6F7"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282</w:t>
            </w:r>
          </w:p>
        </w:tc>
        <w:tc>
          <w:tcPr>
            <w:tcW w:w="1628" w:type="dxa"/>
            <w:vAlign w:val="center"/>
            <w:hideMark/>
          </w:tcPr>
          <w:p w14:paraId="4634FAD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75</w:t>
            </w:r>
          </w:p>
        </w:tc>
        <w:tc>
          <w:tcPr>
            <w:tcW w:w="0" w:type="auto"/>
            <w:vAlign w:val="center"/>
            <w:hideMark/>
          </w:tcPr>
          <w:p w14:paraId="7988E5C5"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2.5</w:t>
            </w:r>
          </w:p>
        </w:tc>
        <w:tc>
          <w:tcPr>
            <w:tcW w:w="0" w:type="auto"/>
            <w:vAlign w:val="center"/>
            <w:hideMark/>
          </w:tcPr>
          <w:p w14:paraId="13E3AF94"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0.4</w:t>
            </w:r>
          </w:p>
        </w:tc>
        <w:tc>
          <w:tcPr>
            <w:tcW w:w="0" w:type="auto"/>
            <w:vAlign w:val="center"/>
            <w:hideMark/>
          </w:tcPr>
          <w:p w14:paraId="20D381BB"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8</w:t>
            </w:r>
          </w:p>
        </w:tc>
        <w:tc>
          <w:tcPr>
            <w:tcW w:w="0" w:type="auto"/>
            <w:vAlign w:val="center"/>
            <w:hideMark/>
          </w:tcPr>
          <w:p w14:paraId="6D24A8EA"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High in K, Mg, Fe, B6</w:t>
            </w:r>
          </w:p>
        </w:tc>
        <w:tc>
          <w:tcPr>
            <w:tcW w:w="1546" w:type="dxa"/>
            <w:vAlign w:val="center"/>
            <w:hideMark/>
          </w:tcPr>
          <w:p w14:paraId="32710BE0"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Natural sweetener, binding agent</w:t>
            </w:r>
          </w:p>
        </w:tc>
        <w:tc>
          <w:tcPr>
            <w:tcW w:w="1546" w:type="dxa"/>
          </w:tcPr>
          <w:p w14:paraId="4ECEA1A3" w14:textId="1604F2A2" w:rsidR="00CC305B" w:rsidRPr="00642D16" w:rsidRDefault="00CC305B" w:rsidP="00642D16">
            <w:pPr>
              <w:jc w:val="center"/>
              <w:rPr>
                <w:rFonts w:ascii="Arial" w:hAnsi="Arial" w:cs="Arial"/>
                <w:sz w:val="20"/>
                <w:szCs w:val="20"/>
              </w:rPr>
            </w:pPr>
            <w:r w:rsidRPr="00642D16">
              <w:rPr>
                <w:rFonts w:ascii="Arial" w:hAnsi="Arial" w:cs="Arial"/>
                <w:sz w:val="20"/>
                <w:szCs w:val="20"/>
              </w:rPr>
              <w:t>Al-Farsi et al. (200</w:t>
            </w:r>
            <w:r w:rsidR="00A33EDC" w:rsidRPr="00642D16">
              <w:rPr>
                <w:rFonts w:ascii="Arial" w:hAnsi="Arial" w:cs="Arial"/>
                <w:sz w:val="20"/>
                <w:szCs w:val="20"/>
              </w:rPr>
              <w:t>8</w:t>
            </w:r>
            <w:r w:rsidRPr="00642D16">
              <w:rPr>
                <w:rFonts w:ascii="Arial" w:hAnsi="Arial" w:cs="Arial"/>
                <w:sz w:val="20"/>
                <w:szCs w:val="20"/>
              </w:rPr>
              <w:t>)</w:t>
            </w:r>
          </w:p>
        </w:tc>
      </w:tr>
      <w:tr w:rsidR="00CC305B" w:rsidRPr="00642D16" w14:paraId="5C328D1B" w14:textId="7760184C" w:rsidTr="00CC305B">
        <w:trPr>
          <w:trHeight w:val="567"/>
          <w:jc w:val="center"/>
        </w:trPr>
        <w:tc>
          <w:tcPr>
            <w:tcW w:w="1018" w:type="dxa"/>
            <w:vAlign w:val="center"/>
            <w:hideMark/>
          </w:tcPr>
          <w:p w14:paraId="2095759B"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Cantaloupe Seeds</w:t>
            </w:r>
          </w:p>
        </w:tc>
        <w:tc>
          <w:tcPr>
            <w:tcW w:w="895" w:type="dxa"/>
            <w:vAlign w:val="center"/>
            <w:hideMark/>
          </w:tcPr>
          <w:p w14:paraId="20CD8F75"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557</w:t>
            </w:r>
          </w:p>
        </w:tc>
        <w:tc>
          <w:tcPr>
            <w:tcW w:w="1628" w:type="dxa"/>
            <w:vAlign w:val="center"/>
            <w:hideMark/>
          </w:tcPr>
          <w:p w14:paraId="09052E4F"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15</w:t>
            </w:r>
          </w:p>
        </w:tc>
        <w:tc>
          <w:tcPr>
            <w:tcW w:w="0" w:type="auto"/>
            <w:vAlign w:val="center"/>
            <w:hideMark/>
          </w:tcPr>
          <w:p w14:paraId="26CE4605"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28</w:t>
            </w:r>
          </w:p>
        </w:tc>
        <w:tc>
          <w:tcPr>
            <w:tcW w:w="0" w:type="auto"/>
            <w:vAlign w:val="center"/>
            <w:hideMark/>
          </w:tcPr>
          <w:p w14:paraId="526105E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44</w:t>
            </w:r>
          </w:p>
        </w:tc>
        <w:tc>
          <w:tcPr>
            <w:tcW w:w="0" w:type="auto"/>
            <w:vAlign w:val="center"/>
            <w:hideMark/>
          </w:tcPr>
          <w:p w14:paraId="6F2D6CAD"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6</w:t>
            </w:r>
          </w:p>
        </w:tc>
        <w:tc>
          <w:tcPr>
            <w:tcW w:w="0" w:type="auto"/>
            <w:vAlign w:val="center"/>
            <w:hideMark/>
          </w:tcPr>
          <w:p w14:paraId="3CAF144C"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Rich in Zn, Mg, folate</w:t>
            </w:r>
          </w:p>
        </w:tc>
        <w:tc>
          <w:tcPr>
            <w:tcW w:w="1546" w:type="dxa"/>
            <w:vAlign w:val="center"/>
            <w:hideMark/>
          </w:tcPr>
          <w:p w14:paraId="23AA6D5F"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High protein, healthy fats</w:t>
            </w:r>
          </w:p>
        </w:tc>
        <w:tc>
          <w:tcPr>
            <w:tcW w:w="1546" w:type="dxa"/>
          </w:tcPr>
          <w:p w14:paraId="0B1DABB2" w14:textId="4F11B239" w:rsidR="00CC305B" w:rsidRPr="00642D16" w:rsidRDefault="00A33EDC" w:rsidP="00642D16">
            <w:pPr>
              <w:jc w:val="center"/>
              <w:rPr>
                <w:rFonts w:ascii="Arial" w:hAnsi="Arial" w:cs="Arial"/>
                <w:sz w:val="20"/>
                <w:szCs w:val="20"/>
              </w:rPr>
            </w:pPr>
            <w:r w:rsidRPr="00642D16">
              <w:rPr>
                <w:rFonts w:ascii="Arial" w:hAnsi="Arial" w:cs="Arial"/>
                <w:sz w:val="20"/>
                <w:szCs w:val="20"/>
              </w:rPr>
              <w:t>Mehra et al.</w:t>
            </w:r>
            <w:r w:rsidR="00F15F96" w:rsidRPr="00642D16">
              <w:rPr>
                <w:rFonts w:ascii="Arial" w:hAnsi="Arial" w:cs="Arial"/>
                <w:sz w:val="20"/>
                <w:szCs w:val="20"/>
              </w:rPr>
              <w:t xml:space="preserve"> </w:t>
            </w:r>
            <w:r w:rsidRPr="00642D16">
              <w:rPr>
                <w:rFonts w:ascii="Arial" w:hAnsi="Arial" w:cs="Arial"/>
                <w:sz w:val="20"/>
                <w:szCs w:val="20"/>
              </w:rPr>
              <w:t>(2015)</w:t>
            </w:r>
          </w:p>
        </w:tc>
      </w:tr>
      <w:tr w:rsidR="00CC305B" w:rsidRPr="00642D16" w14:paraId="6145AE8F" w14:textId="25E1EC84" w:rsidTr="00CC305B">
        <w:trPr>
          <w:trHeight w:val="567"/>
          <w:jc w:val="center"/>
        </w:trPr>
        <w:tc>
          <w:tcPr>
            <w:tcW w:w="1018" w:type="dxa"/>
            <w:vAlign w:val="center"/>
            <w:hideMark/>
          </w:tcPr>
          <w:p w14:paraId="1A5C3C79"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Almonds</w:t>
            </w:r>
          </w:p>
        </w:tc>
        <w:tc>
          <w:tcPr>
            <w:tcW w:w="895" w:type="dxa"/>
            <w:vAlign w:val="center"/>
            <w:hideMark/>
          </w:tcPr>
          <w:p w14:paraId="5F88A481"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579</w:t>
            </w:r>
          </w:p>
        </w:tc>
        <w:tc>
          <w:tcPr>
            <w:tcW w:w="1628" w:type="dxa"/>
            <w:vAlign w:val="center"/>
            <w:hideMark/>
          </w:tcPr>
          <w:p w14:paraId="181BCBB2"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22</w:t>
            </w:r>
          </w:p>
        </w:tc>
        <w:tc>
          <w:tcPr>
            <w:tcW w:w="0" w:type="auto"/>
            <w:vAlign w:val="center"/>
            <w:hideMark/>
          </w:tcPr>
          <w:p w14:paraId="7D62358A"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21</w:t>
            </w:r>
          </w:p>
        </w:tc>
        <w:tc>
          <w:tcPr>
            <w:tcW w:w="0" w:type="auto"/>
            <w:vAlign w:val="center"/>
            <w:hideMark/>
          </w:tcPr>
          <w:p w14:paraId="3BACF315"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50</w:t>
            </w:r>
          </w:p>
        </w:tc>
        <w:tc>
          <w:tcPr>
            <w:tcW w:w="0" w:type="auto"/>
            <w:vAlign w:val="center"/>
            <w:hideMark/>
          </w:tcPr>
          <w:p w14:paraId="74F64185"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12</w:t>
            </w:r>
          </w:p>
        </w:tc>
        <w:tc>
          <w:tcPr>
            <w:tcW w:w="0" w:type="auto"/>
            <w:vAlign w:val="center"/>
            <w:hideMark/>
          </w:tcPr>
          <w:p w14:paraId="263C83C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Vitamin E, Ca, Mg</w:t>
            </w:r>
          </w:p>
        </w:tc>
        <w:tc>
          <w:tcPr>
            <w:tcW w:w="1546" w:type="dxa"/>
            <w:vAlign w:val="center"/>
            <w:hideMark/>
          </w:tcPr>
          <w:p w14:paraId="7A992C4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Heart health, satiety</w:t>
            </w:r>
          </w:p>
        </w:tc>
        <w:tc>
          <w:tcPr>
            <w:tcW w:w="1546" w:type="dxa"/>
          </w:tcPr>
          <w:p w14:paraId="059DAB9A" w14:textId="3F001EF2" w:rsidR="00CC305B" w:rsidRPr="00642D16" w:rsidRDefault="00CC305B" w:rsidP="00642D16">
            <w:pPr>
              <w:jc w:val="center"/>
              <w:rPr>
                <w:rFonts w:ascii="Arial" w:hAnsi="Arial" w:cs="Arial"/>
                <w:sz w:val="20"/>
                <w:szCs w:val="20"/>
              </w:rPr>
            </w:pPr>
            <w:r w:rsidRPr="00642D16">
              <w:rPr>
                <w:rFonts w:ascii="Arial" w:hAnsi="Arial" w:cs="Arial"/>
                <w:sz w:val="20"/>
                <w:szCs w:val="20"/>
              </w:rPr>
              <w:t>Berryman et al. (2015)</w:t>
            </w:r>
          </w:p>
        </w:tc>
      </w:tr>
      <w:tr w:rsidR="00CC305B" w:rsidRPr="00642D16" w14:paraId="0FEEC05D" w14:textId="686DCA3D" w:rsidTr="00CC305B">
        <w:trPr>
          <w:trHeight w:val="567"/>
          <w:jc w:val="center"/>
        </w:trPr>
        <w:tc>
          <w:tcPr>
            <w:tcW w:w="1018" w:type="dxa"/>
            <w:vAlign w:val="center"/>
            <w:hideMark/>
          </w:tcPr>
          <w:p w14:paraId="49469876"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Cashews</w:t>
            </w:r>
          </w:p>
        </w:tc>
        <w:tc>
          <w:tcPr>
            <w:tcW w:w="895" w:type="dxa"/>
            <w:vAlign w:val="center"/>
            <w:hideMark/>
          </w:tcPr>
          <w:p w14:paraId="3453D204"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553</w:t>
            </w:r>
          </w:p>
        </w:tc>
        <w:tc>
          <w:tcPr>
            <w:tcW w:w="1628" w:type="dxa"/>
            <w:vAlign w:val="center"/>
            <w:hideMark/>
          </w:tcPr>
          <w:p w14:paraId="0EACB38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30</w:t>
            </w:r>
          </w:p>
        </w:tc>
        <w:tc>
          <w:tcPr>
            <w:tcW w:w="0" w:type="auto"/>
            <w:vAlign w:val="center"/>
            <w:hideMark/>
          </w:tcPr>
          <w:p w14:paraId="127108BC"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18</w:t>
            </w:r>
          </w:p>
        </w:tc>
        <w:tc>
          <w:tcPr>
            <w:tcW w:w="0" w:type="auto"/>
            <w:vAlign w:val="center"/>
            <w:hideMark/>
          </w:tcPr>
          <w:p w14:paraId="1568C5FA"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44</w:t>
            </w:r>
          </w:p>
        </w:tc>
        <w:tc>
          <w:tcPr>
            <w:tcW w:w="0" w:type="auto"/>
            <w:vAlign w:val="center"/>
            <w:hideMark/>
          </w:tcPr>
          <w:p w14:paraId="6F7FCBB4"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3.3</w:t>
            </w:r>
          </w:p>
        </w:tc>
        <w:tc>
          <w:tcPr>
            <w:tcW w:w="0" w:type="auto"/>
            <w:vAlign w:val="center"/>
            <w:hideMark/>
          </w:tcPr>
          <w:p w14:paraId="14B6A7F6"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Cu, Mg, P</w:t>
            </w:r>
          </w:p>
        </w:tc>
        <w:tc>
          <w:tcPr>
            <w:tcW w:w="1546" w:type="dxa"/>
            <w:vAlign w:val="center"/>
            <w:hideMark/>
          </w:tcPr>
          <w:p w14:paraId="3E564DAD"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Creamy texture, energy-dense</w:t>
            </w:r>
          </w:p>
        </w:tc>
        <w:tc>
          <w:tcPr>
            <w:tcW w:w="1546" w:type="dxa"/>
          </w:tcPr>
          <w:p w14:paraId="2A9C9B53" w14:textId="35283950" w:rsidR="00CC305B" w:rsidRPr="00642D16" w:rsidRDefault="003730E0" w:rsidP="00642D16">
            <w:pPr>
              <w:jc w:val="center"/>
              <w:rPr>
                <w:rFonts w:ascii="Arial" w:hAnsi="Arial" w:cs="Arial"/>
                <w:sz w:val="20"/>
                <w:szCs w:val="20"/>
              </w:rPr>
            </w:pPr>
            <w:r w:rsidRPr="00642D16">
              <w:rPr>
                <w:rFonts w:ascii="Arial" w:hAnsi="Arial" w:cs="Arial"/>
                <w:sz w:val="20"/>
                <w:szCs w:val="20"/>
              </w:rPr>
              <w:t>Rico et al. (2016)</w:t>
            </w:r>
          </w:p>
        </w:tc>
      </w:tr>
      <w:tr w:rsidR="00CC305B" w:rsidRPr="00642D16" w14:paraId="61794AB0" w14:textId="7C5AE065" w:rsidTr="00CC305B">
        <w:trPr>
          <w:trHeight w:val="567"/>
          <w:jc w:val="center"/>
        </w:trPr>
        <w:tc>
          <w:tcPr>
            <w:tcW w:w="1018" w:type="dxa"/>
            <w:vAlign w:val="center"/>
            <w:hideMark/>
          </w:tcPr>
          <w:p w14:paraId="55567372"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Walnuts</w:t>
            </w:r>
          </w:p>
        </w:tc>
        <w:tc>
          <w:tcPr>
            <w:tcW w:w="895" w:type="dxa"/>
            <w:vAlign w:val="center"/>
            <w:hideMark/>
          </w:tcPr>
          <w:p w14:paraId="7097B713"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654</w:t>
            </w:r>
          </w:p>
        </w:tc>
        <w:tc>
          <w:tcPr>
            <w:tcW w:w="1628" w:type="dxa"/>
            <w:vAlign w:val="center"/>
            <w:hideMark/>
          </w:tcPr>
          <w:p w14:paraId="07574BD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14</w:t>
            </w:r>
          </w:p>
        </w:tc>
        <w:tc>
          <w:tcPr>
            <w:tcW w:w="0" w:type="auto"/>
            <w:vAlign w:val="center"/>
            <w:hideMark/>
          </w:tcPr>
          <w:p w14:paraId="3B062FC8"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15</w:t>
            </w:r>
          </w:p>
        </w:tc>
        <w:tc>
          <w:tcPr>
            <w:tcW w:w="0" w:type="auto"/>
            <w:vAlign w:val="center"/>
            <w:hideMark/>
          </w:tcPr>
          <w:p w14:paraId="7763E4F8"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65</w:t>
            </w:r>
          </w:p>
        </w:tc>
        <w:tc>
          <w:tcPr>
            <w:tcW w:w="0" w:type="auto"/>
            <w:vAlign w:val="center"/>
            <w:hideMark/>
          </w:tcPr>
          <w:p w14:paraId="4E53EBB7"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7</w:t>
            </w:r>
          </w:p>
        </w:tc>
        <w:tc>
          <w:tcPr>
            <w:tcW w:w="0" w:type="auto"/>
            <w:vAlign w:val="center"/>
            <w:hideMark/>
          </w:tcPr>
          <w:p w14:paraId="04869B6F"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Omega-3 (ALA), Mn, Cu</w:t>
            </w:r>
          </w:p>
        </w:tc>
        <w:tc>
          <w:tcPr>
            <w:tcW w:w="1546" w:type="dxa"/>
            <w:vAlign w:val="center"/>
            <w:hideMark/>
          </w:tcPr>
          <w:p w14:paraId="3B059D88"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anti-inflammatory, and brain health</w:t>
            </w:r>
          </w:p>
        </w:tc>
        <w:tc>
          <w:tcPr>
            <w:tcW w:w="1546" w:type="dxa"/>
          </w:tcPr>
          <w:p w14:paraId="6898083E" w14:textId="335652CF" w:rsidR="00CC305B" w:rsidRPr="00642D16" w:rsidRDefault="003730E0" w:rsidP="00642D16">
            <w:pPr>
              <w:jc w:val="center"/>
              <w:rPr>
                <w:rFonts w:ascii="Arial" w:hAnsi="Arial" w:cs="Arial"/>
                <w:sz w:val="20"/>
                <w:szCs w:val="20"/>
              </w:rPr>
            </w:pPr>
            <w:r w:rsidRPr="00642D16">
              <w:rPr>
                <w:rFonts w:ascii="Arial" w:hAnsi="Arial" w:cs="Arial"/>
                <w:sz w:val="20"/>
                <w:szCs w:val="20"/>
              </w:rPr>
              <w:t>Lockyer et al. (2023)</w:t>
            </w:r>
          </w:p>
        </w:tc>
      </w:tr>
      <w:tr w:rsidR="00CC305B" w:rsidRPr="00642D16" w14:paraId="77A5C052" w14:textId="7C867900" w:rsidTr="00CC305B">
        <w:trPr>
          <w:trHeight w:val="567"/>
          <w:jc w:val="center"/>
        </w:trPr>
        <w:tc>
          <w:tcPr>
            <w:tcW w:w="1018" w:type="dxa"/>
            <w:vAlign w:val="center"/>
            <w:hideMark/>
          </w:tcPr>
          <w:p w14:paraId="05332B71"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Pistachios</w:t>
            </w:r>
          </w:p>
        </w:tc>
        <w:tc>
          <w:tcPr>
            <w:tcW w:w="895" w:type="dxa"/>
            <w:vAlign w:val="center"/>
            <w:hideMark/>
          </w:tcPr>
          <w:p w14:paraId="171637F0"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562</w:t>
            </w:r>
          </w:p>
        </w:tc>
        <w:tc>
          <w:tcPr>
            <w:tcW w:w="1628" w:type="dxa"/>
            <w:vAlign w:val="center"/>
            <w:hideMark/>
          </w:tcPr>
          <w:p w14:paraId="4A6CBA45"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28</w:t>
            </w:r>
          </w:p>
        </w:tc>
        <w:tc>
          <w:tcPr>
            <w:tcW w:w="0" w:type="auto"/>
            <w:vAlign w:val="center"/>
            <w:hideMark/>
          </w:tcPr>
          <w:p w14:paraId="4832B8DD"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20</w:t>
            </w:r>
          </w:p>
        </w:tc>
        <w:tc>
          <w:tcPr>
            <w:tcW w:w="0" w:type="auto"/>
            <w:vAlign w:val="center"/>
            <w:hideMark/>
          </w:tcPr>
          <w:p w14:paraId="5CEAE148"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45</w:t>
            </w:r>
          </w:p>
        </w:tc>
        <w:tc>
          <w:tcPr>
            <w:tcW w:w="0" w:type="auto"/>
            <w:vAlign w:val="center"/>
            <w:hideMark/>
          </w:tcPr>
          <w:p w14:paraId="39D16FAF"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10</w:t>
            </w:r>
          </w:p>
        </w:tc>
        <w:tc>
          <w:tcPr>
            <w:tcW w:w="0" w:type="auto"/>
            <w:vAlign w:val="center"/>
            <w:hideMark/>
          </w:tcPr>
          <w:p w14:paraId="32B64EF6"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B6, K, antioxidants</w:t>
            </w:r>
          </w:p>
        </w:tc>
        <w:tc>
          <w:tcPr>
            <w:tcW w:w="1546" w:type="dxa"/>
            <w:vAlign w:val="center"/>
            <w:hideMark/>
          </w:tcPr>
          <w:p w14:paraId="17000AA9"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 xml:space="preserve">Antioxidants that contribute to muscle recovery and are </w:t>
            </w:r>
            <w:proofErr w:type="spellStart"/>
            <w:r w:rsidRPr="00642D16">
              <w:rPr>
                <w:rFonts w:ascii="Arial" w:hAnsi="Arial" w:cs="Arial"/>
                <w:sz w:val="20"/>
                <w:szCs w:val="20"/>
              </w:rPr>
              <w:t>fiber</w:t>
            </w:r>
            <w:proofErr w:type="spellEnd"/>
            <w:r w:rsidRPr="00642D16">
              <w:rPr>
                <w:rFonts w:ascii="Arial" w:hAnsi="Arial" w:cs="Arial"/>
                <w:sz w:val="20"/>
                <w:szCs w:val="20"/>
              </w:rPr>
              <w:t>-rich</w:t>
            </w:r>
          </w:p>
        </w:tc>
        <w:tc>
          <w:tcPr>
            <w:tcW w:w="1546" w:type="dxa"/>
          </w:tcPr>
          <w:p w14:paraId="13537FF9" w14:textId="777520F9" w:rsidR="00CC305B" w:rsidRPr="00642D16" w:rsidRDefault="00CC305B" w:rsidP="00642D16">
            <w:pPr>
              <w:jc w:val="center"/>
              <w:rPr>
                <w:rFonts w:ascii="Arial" w:hAnsi="Arial" w:cs="Arial"/>
                <w:sz w:val="20"/>
                <w:szCs w:val="20"/>
              </w:rPr>
            </w:pPr>
            <w:r w:rsidRPr="00642D16">
              <w:rPr>
                <w:rFonts w:ascii="Arial" w:hAnsi="Arial" w:cs="Arial"/>
                <w:sz w:val="20"/>
                <w:szCs w:val="20"/>
              </w:rPr>
              <w:t xml:space="preserve">Dreher </w:t>
            </w:r>
            <w:r w:rsidR="003C126E" w:rsidRPr="00642D16">
              <w:rPr>
                <w:rFonts w:ascii="Arial" w:hAnsi="Arial" w:cs="Arial"/>
                <w:sz w:val="20"/>
                <w:szCs w:val="20"/>
              </w:rPr>
              <w:t xml:space="preserve">et al. </w:t>
            </w:r>
            <w:r w:rsidRPr="00642D16">
              <w:rPr>
                <w:rFonts w:ascii="Arial" w:hAnsi="Arial" w:cs="Arial"/>
                <w:sz w:val="20"/>
                <w:szCs w:val="20"/>
              </w:rPr>
              <w:t>(2012)</w:t>
            </w:r>
          </w:p>
        </w:tc>
      </w:tr>
      <w:tr w:rsidR="00CC305B" w:rsidRPr="00642D16" w14:paraId="28E7DF5E" w14:textId="30D73C4A" w:rsidTr="00CC305B">
        <w:trPr>
          <w:trHeight w:val="1377"/>
          <w:jc w:val="center"/>
        </w:trPr>
        <w:tc>
          <w:tcPr>
            <w:tcW w:w="1018" w:type="dxa"/>
            <w:vAlign w:val="center"/>
            <w:hideMark/>
          </w:tcPr>
          <w:p w14:paraId="2CCFFC35"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Oats (rolled)</w:t>
            </w:r>
          </w:p>
        </w:tc>
        <w:tc>
          <w:tcPr>
            <w:tcW w:w="895" w:type="dxa"/>
            <w:vAlign w:val="center"/>
            <w:hideMark/>
          </w:tcPr>
          <w:p w14:paraId="420B3ED1"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389</w:t>
            </w:r>
          </w:p>
        </w:tc>
        <w:tc>
          <w:tcPr>
            <w:tcW w:w="1628" w:type="dxa"/>
            <w:vAlign w:val="center"/>
            <w:hideMark/>
          </w:tcPr>
          <w:p w14:paraId="4475AF4B"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66</w:t>
            </w:r>
          </w:p>
        </w:tc>
        <w:tc>
          <w:tcPr>
            <w:tcW w:w="0" w:type="auto"/>
            <w:vAlign w:val="center"/>
            <w:hideMark/>
          </w:tcPr>
          <w:p w14:paraId="71D2A224"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17</w:t>
            </w:r>
          </w:p>
        </w:tc>
        <w:tc>
          <w:tcPr>
            <w:tcW w:w="0" w:type="auto"/>
            <w:vAlign w:val="center"/>
            <w:hideMark/>
          </w:tcPr>
          <w:p w14:paraId="38A32D60"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7</w:t>
            </w:r>
          </w:p>
        </w:tc>
        <w:tc>
          <w:tcPr>
            <w:tcW w:w="0" w:type="auto"/>
            <w:vAlign w:val="center"/>
            <w:hideMark/>
          </w:tcPr>
          <w:p w14:paraId="67107DBC"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11</w:t>
            </w:r>
          </w:p>
        </w:tc>
        <w:tc>
          <w:tcPr>
            <w:tcW w:w="0" w:type="auto"/>
            <w:vAlign w:val="center"/>
            <w:hideMark/>
          </w:tcPr>
          <w:p w14:paraId="7EB48888"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β-glucan, Mn, Fe</w:t>
            </w:r>
          </w:p>
        </w:tc>
        <w:tc>
          <w:tcPr>
            <w:tcW w:w="1546" w:type="dxa"/>
            <w:vAlign w:val="center"/>
            <w:hideMark/>
          </w:tcPr>
          <w:p w14:paraId="6EE6D78B"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slow-release energy and cholesterol reduction</w:t>
            </w:r>
          </w:p>
        </w:tc>
        <w:tc>
          <w:tcPr>
            <w:tcW w:w="1546" w:type="dxa"/>
          </w:tcPr>
          <w:p w14:paraId="7DF98FA5" w14:textId="37407EC0" w:rsidR="00CC305B" w:rsidRPr="00642D16" w:rsidRDefault="003C126E" w:rsidP="00642D16">
            <w:pPr>
              <w:jc w:val="center"/>
              <w:rPr>
                <w:rFonts w:ascii="Arial" w:hAnsi="Arial" w:cs="Arial"/>
                <w:sz w:val="20"/>
                <w:szCs w:val="20"/>
              </w:rPr>
            </w:pPr>
            <w:proofErr w:type="spellStart"/>
            <w:r w:rsidRPr="00642D16">
              <w:rPr>
                <w:rFonts w:ascii="Arial" w:hAnsi="Arial" w:cs="Arial"/>
                <w:sz w:val="20"/>
                <w:szCs w:val="20"/>
              </w:rPr>
              <w:t>Rasane</w:t>
            </w:r>
            <w:proofErr w:type="spellEnd"/>
            <w:r w:rsidRPr="00642D16">
              <w:rPr>
                <w:rFonts w:ascii="Arial" w:hAnsi="Arial" w:cs="Arial"/>
                <w:sz w:val="20"/>
                <w:szCs w:val="20"/>
              </w:rPr>
              <w:t xml:space="preserve"> et al. (2015)</w:t>
            </w:r>
          </w:p>
        </w:tc>
      </w:tr>
      <w:tr w:rsidR="00CC305B" w:rsidRPr="00642D16" w14:paraId="5AD26D3C" w14:textId="05BEEBA2" w:rsidTr="00CC305B">
        <w:trPr>
          <w:trHeight w:val="1283"/>
          <w:jc w:val="center"/>
        </w:trPr>
        <w:tc>
          <w:tcPr>
            <w:tcW w:w="1018" w:type="dxa"/>
            <w:vAlign w:val="center"/>
            <w:hideMark/>
          </w:tcPr>
          <w:p w14:paraId="6270D3F7"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lastRenderedPageBreak/>
              <w:t>Liquid Glucose</w:t>
            </w:r>
          </w:p>
        </w:tc>
        <w:tc>
          <w:tcPr>
            <w:tcW w:w="895" w:type="dxa"/>
            <w:vAlign w:val="center"/>
            <w:hideMark/>
          </w:tcPr>
          <w:p w14:paraId="1D809B20"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300</w:t>
            </w:r>
          </w:p>
        </w:tc>
        <w:tc>
          <w:tcPr>
            <w:tcW w:w="1628" w:type="dxa"/>
            <w:vAlign w:val="center"/>
            <w:hideMark/>
          </w:tcPr>
          <w:p w14:paraId="69CBDFC8"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82</w:t>
            </w:r>
          </w:p>
        </w:tc>
        <w:tc>
          <w:tcPr>
            <w:tcW w:w="0" w:type="auto"/>
            <w:vAlign w:val="center"/>
            <w:hideMark/>
          </w:tcPr>
          <w:p w14:paraId="4D54EE99"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0</w:t>
            </w:r>
          </w:p>
        </w:tc>
        <w:tc>
          <w:tcPr>
            <w:tcW w:w="0" w:type="auto"/>
            <w:vAlign w:val="center"/>
            <w:hideMark/>
          </w:tcPr>
          <w:p w14:paraId="4E522F7C"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0</w:t>
            </w:r>
          </w:p>
        </w:tc>
        <w:tc>
          <w:tcPr>
            <w:tcW w:w="0" w:type="auto"/>
            <w:vAlign w:val="center"/>
            <w:hideMark/>
          </w:tcPr>
          <w:p w14:paraId="41F481F6"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0</w:t>
            </w:r>
          </w:p>
        </w:tc>
        <w:tc>
          <w:tcPr>
            <w:tcW w:w="0" w:type="auto"/>
            <w:vAlign w:val="center"/>
            <w:hideMark/>
          </w:tcPr>
          <w:p w14:paraId="5C2A9302"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None significant</w:t>
            </w:r>
          </w:p>
        </w:tc>
        <w:tc>
          <w:tcPr>
            <w:tcW w:w="1546" w:type="dxa"/>
            <w:vAlign w:val="center"/>
            <w:hideMark/>
          </w:tcPr>
          <w:p w14:paraId="685688F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Binder, texture modifier, quick energy</w:t>
            </w:r>
          </w:p>
        </w:tc>
        <w:tc>
          <w:tcPr>
            <w:tcW w:w="1546" w:type="dxa"/>
          </w:tcPr>
          <w:p w14:paraId="683249D8" w14:textId="305BA970" w:rsidR="00CC305B" w:rsidRPr="00642D16" w:rsidRDefault="003C126E" w:rsidP="00642D16">
            <w:pPr>
              <w:jc w:val="center"/>
              <w:rPr>
                <w:rFonts w:ascii="Arial" w:hAnsi="Arial" w:cs="Arial"/>
                <w:sz w:val="20"/>
                <w:szCs w:val="20"/>
              </w:rPr>
            </w:pPr>
            <w:r w:rsidRPr="00642D16">
              <w:rPr>
                <w:rFonts w:ascii="Arial" w:hAnsi="Arial" w:cs="Arial"/>
                <w:sz w:val="20"/>
                <w:szCs w:val="20"/>
              </w:rPr>
              <w:t>Malecki et al. (2022)</w:t>
            </w:r>
          </w:p>
        </w:tc>
      </w:tr>
    </w:tbl>
    <w:p w14:paraId="55B58564" w14:textId="77777777" w:rsidR="002C0873" w:rsidRPr="00642D16" w:rsidRDefault="002C0873" w:rsidP="002C0873">
      <w:pPr>
        <w:jc w:val="both"/>
        <w:rPr>
          <w:rFonts w:ascii="Arial" w:hAnsi="Arial" w:cs="Arial"/>
          <w:b/>
          <w:bCs/>
          <w:sz w:val="20"/>
          <w:szCs w:val="20"/>
        </w:rPr>
      </w:pPr>
    </w:p>
    <w:p w14:paraId="2FCB2B11" w14:textId="77777777" w:rsidR="002C0873" w:rsidRDefault="002C0873" w:rsidP="002C0873">
      <w:pPr>
        <w:jc w:val="both"/>
        <w:rPr>
          <w:rFonts w:ascii="Arial" w:hAnsi="Arial" w:cs="Arial"/>
          <w:b/>
          <w:bCs/>
          <w:sz w:val="22"/>
          <w:szCs w:val="22"/>
        </w:rPr>
      </w:pPr>
    </w:p>
    <w:p w14:paraId="6F69C021" w14:textId="77777777" w:rsidR="00BF05F4" w:rsidRDefault="00BF05F4" w:rsidP="002C0873">
      <w:pPr>
        <w:jc w:val="both"/>
        <w:rPr>
          <w:rFonts w:ascii="Arial" w:hAnsi="Arial" w:cs="Arial"/>
          <w:b/>
          <w:bCs/>
          <w:sz w:val="22"/>
          <w:szCs w:val="22"/>
        </w:rPr>
      </w:pPr>
    </w:p>
    <w:p w14:paraId="63813F42" w14:textId="77777777" w:rsidR="00BF05F4" w:rsidRDefault="00BF05F4" w:rsidP="002C0873">
      <w:pPr>
        <w:jc w:val="both"/>
        <w:rPr>
          <w:rFonts w:ascii="Arial" w:hAnsi="Arial" w:cs="Arial"/>
          <w:b/>
          <w:bCs/>
          <w:sz w:val="22"/>
          <w:szCs w:val="22"/>
        </w:rPr>
      </w:pPr>
    </w:p>
    <w:p w14:paraId="623A83E9" w14:textId="77777777" w:rsidR="00BF05F4" w:rsidRDefault="00BF05F4" w:rsidP="002C0873">
      <w:pPr>
        <w:jc w:val="both"/>
        <w:rPr>
          <w:rFonts w:ascii="Arial" w:hAnsi="Arial" w:cs="Arial"/>
          <w:b/>
          <w:bCs/>
          <w:sz w:val="22"/>
          <w:szCs w:val="22"/>
        </w:rPr>
      </w:pPr>
    </w:p>
    <w:p w14:paraId="2616493C" w14:textId="77777777" w:rsidR="00BF05F4" w:rsidRDefault="00BF05F4" w:rsidP="002C0873">
      <w:pPr>
        <w:jc w:val="both"/>
        <w:rPr>
          <w:rFonts w:ascii="Arial" w:hAnsi="Arial" w:cs="Arial"/>
          <w:b/>
          <w:bCs/>
          <w:sz w:val="22"/>
          <w:szCs w:val="22"/>
        </w:rPr>
      </w:pPr>
    </w:p>
    <w:p w14:paraId="7CDC6A83" w14:textId="77777777" w:rsidR="00BF05F4" w:rsidRDefault="00BF05F4" w:rsidP="002C0873">
      <w:pPr>
        <w:jc w:val="both"/>
        <w:rPr>
          <w:rFonts w:ascii="Arial" w:hAnsi="Arial" w:cs="Arial"/>
          <w:b/>
          <w:bCs/>
          <w:sz w:val="22"/>
          <w:szCs w:val="22"/>
        </w:rPr>
      </w:pPr>
    </w:p>
    <w:p w14:paraId="26513F19" w14:textId="77777777" w:rsidR="00BF05F4" w:rsidRDefault="00BF05F4" w:rsidP="002C0873">
      <w:pPr>
        <w:jc w:val="both"/>
        <w:rPr>
          <w:rFonts w:ascii="Arial" w:hAnsi="Arial" w:cs="Arial"/>
          <w:b/>
          <w:bCs/>
          <w:sz w:val="22"/>
          <w:szCs w:val="22"/>
        </w:rPr>
      </w:pPr>
    </w:p>
    <w:p w14:paraId="78F53FD3" w14:textId="77777777" w:rsidR="00BF05F4" w:rsidRDefault="00BF05F4" w:rsidP="002C0873">
      <w:pPr>
        <w:jc w:val="both"/>
        <w:rPr>
          <w:rFonts w:ascii="Arial" w:hAnsi="Arial" w:cs="Arial"/>
          <w:b/>
          <w:bCs/>
          <w:sz w:val="22"/>
          <w:szCs w:val="22"/>
        </w:rPr>
      </w:pPr>
    </w:p>
    <w:p w14:paraId="5CA15050" w14:textId="77777777" w:rsidR="00085171" w:rsidRDefault="00085171" w:rsidP="002C0873">
      <w:pPr>
        <w:jc w:val="both"/>
        <w:rPr>
          <w:rFonts w:ascii="Arial" w:hAnsi="Arial" w:cs="Arial"/>
          <w:b/>
          <w:bCs/>
          <w:sz w:val="22"/>
          <w:szCs w:val="22"/>
        </w:rPr>
      </w:pPr>
    </w:p>
    <w:p w14:paraId="203FE792" w14:textId="614A2900" w:rsidR="002C0873" w:rsidRPr="00BF54E8" w:rsidRDefault="00916BED" w:rsidP="002C0873">
      <w:pPr>
        <w:jc w:val="both"/>
        <w:rPr>
          <w:rFonts w:ascii="Arial" w:hAnsi="Arial" w:cs="Arial"/>
          <w:b/>
          <w:bCs/>
          <w:sz w:val="22"/>
          <w:szCs w:val="22"/>
        </w:rPr>
      </w:pPr>
      <w:r>
        <w:rPr>
          <w:rFonts w:ascii="Arial" w:hAnsi="Arial" w:cs="Arial"/>
          <w:b/>
          <w:bCs/>
          <w:sz w:val="22"/>
          <w:szCs w:val="22"/>
        </w:rPr>
        <w:t xml:space="preserve">Chart </w:t>
      </w:r>
      <w:proofErr w:type="gramStart"/>
      <w:r>
        <w:rPr>
          <w:rFonts w:ascii="Arial" w:hAnsi="Arial" w:cs="Arial"/>
          <w:b/>
          <w:bCs/>
          <w:sz w:val="22"/>
          <w:szCs w:val="22"/>
        </w:rPr>
        <w:t>1 :</w:t>
      </w:r>
      <w:proofErr w:type="gramEnd"/>
      <w:r>
        <w:rPr>
          <w:rFonts w:ascii="Arial" w:hAnsi="Arial" w:cs="Arial"/>
          <w:b/>
          <w:bCs/>
          <w:sz w:val="22"/>
          <w:szCs w:val="22"/>
        </w:rPr>
        <w:t xml:space="preserve"> </w:t>
      </w:r>
      <w:r w:rsidR="002C0873" w:rsidRPr="00F35981">
        <w:rPr>
          <w:rFonts w:ascii="Arial" w:hAnsi="Arial" w:cs="Arial"/>
          <w:b/>
          <w:bCs/>
          <w:sz w:val="22"/>
          <w:szCs w:val="22"/>
        </w:rPr>
        <w:t>Flow chart of Energy Bar</w:t>
      </w:r>
    </w:p>
    <w:p w14:paraId="4EA38EF3"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Selection of Raw Materials</w:t>
      </w:r>
    </w:p>
    <w:p w14:paraId="73AFE1FB"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(cantaloupe seeds, dates, almonds, cashews, walnuts, pistachios, oats, liquid glucose)</w:t>
      </w:r>
    </w:p>
    <w:p w14:paraId="3D7D54FE" w14:textId="77777777" w:rsidR="002C0873" w:rsidRPr="002914E7" w:rsidRDefault="002C0873" w:rsidP="002C0873">
      <w:pPr>
        <w:spacing w:line="276" w:lineRule="auto"/>
        <w:jc w:val="center"/>
        <w:rPr>
          <w:rFonts w:ascii="Arial" w:hAnsi="Arial" w:cs="Arial"/>
          <w:b/>
          <w:bCs/>
          <w:sz w:val="20"/>
          <w:szCs w:val="20"/>
        </w:rPr>
      </w:pPr>
      <w:r w:rsidRPr="002914E7">
        <w:rPr>
          <w:rFonts w:ascii="Arial" w:hAnsi="Arial" w:cs="Arial"/>
          <w:sz w:val="20"/>
          <w:szCs w:val="20"/>
        </w:rPr>
        <w:t>↓</w:t>
      </w:r>
    </w:p>
    <w:p w14:paraId="0C326307"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Cleaning and Sorting</w:t>
      </w:r>
    </w:p>
    <w:p w14:paraId="040DB35A"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1CA632D4"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Roasting of Nuts and Edible Seeds</w:t>
      </w:r>
    </w:p>
    <w:p w14:paraId="2EF8AC29"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(almonds, cashews, walnuts, pistachios, cantaloupe Seeds)</w:t>
      </w:r>
    </w:p>
    <w:p w14:paraId="14F15CC4"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0A8083B4"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Nuts and seeds coarsely ground and date paste prepared</w:t>
      </w:r>
    </w:p>
    <w:p w14:paraId="7F494237"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(cantaloupe seeds, almond, pistachio, cashew, walnuts)</w:t>
      </w:r>
    </w:p>
    <w:p w14:paraId="387E302B"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5C0AA295"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Mixing of all Ingredients</w:t>
      </w:r>
    </w:p>
    <w:p w14:paraId="1F0C1A7A"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(dates paste + roasted nuts &amp; seeds + rolled oats + liquid glucose)</w:t>
      </w:r>
    </w:p>
    <w:p w14:paraId="2E6086D3"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48211196"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Kneading to Form a Homogeneous Mixture</w:t>
      </w:r>
    </w:p>
    <w:p w14:paraId="37AC8587"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708B644E" w14:textId="77777777" w:rsidR="002C0873" w:rsidRDefault="002C0873" w:rsidP="002C0873">
      <w:pPr>
        <w:spacing w:line="276" w:lineRule="auto"/>
        <w:jc w:val="center"/>
        <w:rPr>
          <w:rFonts w:ascii="Arial" w:hAnsi="Arial" w:cs="Arial"/>
          <w:sz w:val="20"/>
          <w:szCs w:val="20"/>
        </w:rPr>
      </w:pPr>
      <w:proofErr w:type="spellStart"/>
      <w:r w:rsidRPr="002914E7">
        <w:rPr>
          <w:rFonts w:ascii="Arial" w:hAnsi="Arial" w:cs="Arial"/>
          <w:sz w:val="20"/>
          <w:szCs w:val="20"/>
        </w:rPr>
        <w:t>Molding</w:t>
      </w:r>
      <w:proofErr w:type="spellEnd"/>
      <w:r w:rsidRPr="002914E7">
        <w:rPr>
          <w:rFonts w:ascii="Arial" w:hAnsi="Arial" w:cs="Arial"/>
          <w:sz w:val="20"/>
          <w:szCs w:val="20"/>
        </w:rPr>
        <w:t xml:space="preserve"> and Shaping</w:t>
      </w:r>
    </w:p>
    <w:p w14:paraId="2E94037E"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 xml:space="preserve">(Pressing into trays or </w:t>
      </w:r>
      <w:proofErr w:type="spellStart"/>
      <w:r w:rsidRPr="002914E7">
        <w:rPr>
          <w:rFonts w:ascii="Arial" w:hAnsi="Arial" w:cs="Arial"/>
          <w:sz w:val="20"/>
          <w:szCs w:val="20"/>
        </w:rPr>
        <w:t>molds</w:t>
      </w:r>
      <w:proofErr w:type="spellEnd"/>
      <w:r w:rsidRPr="002914E7">
        <w:rPr>
          <w:rFonts w:ascii="Arial" w:hAnsi="Arial" w:cs="Arial"/>
          <w:sz w:val="20"/>
          <w:szCs w:val="20"/>
        </w:rPr>
        <w:t>)</w:t>
      </w:r>
    </w:p>
    <w:p w14:paraId="7F56B5B0"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lastRenderedPageBreak/>
        <w:t>↓</w:t>
      </w:r>
    </w:p>
    <w:p w14:paraId="3C8514A1"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Hold at Room Temperature (25 to 26 °C) for Cooling</w:t>
      </w:r>
    </w:p>
    <w:p w14:paraId="58752959"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b/>
          <w:bCs/>
          <w:sz w:val="20"/>
          <w:szCs w:val="20"/>
        </w:rPr>
        <w:t>OR</w:t>
      </w:r>
      <w:r w:rsidRPr="002914E7">
        <w:rPr>
          <w:rFonts w:ascii="Arial" w:hAnsi="Arial" w:cs="Arial"/>
          <w:sz w:val="20"/>
          <w:szCs w:val="20"/>
        </w:rPr>
        <w:t xml:space="preserve"> slightly refrigerate at (4 to 8 °C) for setting</w:t>
      </w:r>
    </w:p>
    <w:p w14:paraId="21C01267"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608EAF71"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Cutting into Bars of Preferred Size</w:t>
      </w:r>
    </w:p>
    <w:p w14:paraId="5CED5A77"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18B46DF6"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Packaging</w:t>
      </w:r>
    </w:p>
    <w:p w14:paraId="5CEB2AF7"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(Using food-grade packaging material)</w:t>
      </w:r>
    </w:p>
    <w:p w14:paraId="44DC3333"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4EA513D4"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Storage</w:t>
      </w:r>
    </w:p>
    <w:p w14:paraId="2DF67FDD"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(At ambient temperature in cool, dry conditions)</w:t>
      </w:r>
    </w:p>
    <w:p w14:paraId="6493FE93" w14:textId="77777777" w:rsidR="002C0873" w:rsidRDefault="002C0873" w:rsidP="002C0873">
      <w:pPr>
        <w:spacing w:line="276" w:lineRule="auto"/>
        <w:jc w:val="both"/>
        <w:rPr>
          <w:rFonts w:ascii="Arial" w:hAnsi="Arial" w:cs="Arial"/>
          <w:sz w:val="20"/>
          <w:szCs w:val="20"/>
        </w:rPr>
      </w:pPr>
    </w:p>
    <w:p w14:paraId="1C9A3D93" w14:textId="77777777" w:rsidR="002C0873" w:rsidRDefault="002C0873" w:rsidP="002C0873">
      <w:pPr>
        <w:spacing w:line="276" w:lineRule="auto"/>
        <w:jc w:val="both"/>
        <w:rPr>
          <w:rFonts w:ascii="Arial" w:hAnsi="Arial" w:cs="Arial"/>
          <w:sz w:val="20"/>
          <w:szCs w:val="20"/>
        </w:rPr>
      </w:pPr>
    </w:p>
    <w:p w14:paraId="6438E0A7" w14:textId="77777777" w:rsidR="002C0873" w:rsidRPr="002914E7" w:rsidRDefault="002C0873" w:rsidP="002C0873">
      <w:pPr>
        <w:spacing w:line="276" w:lineRule="auto"/>
        <w:jc w:val="both"/>
        <w:rPr>
          <w:rFonts w:ascii="Arial" w:hAnsi="Arial" w:cs="Arial"/>
          <w:sz w:val="20"/>
          <w:szCs w:val="20"/>
        </w:rPr>
      </w:pPr>
    </w:p>
    <w:p w14:paraId="750F65F8" w14:textId="2BE20063" w:rsidR="002C0873" w:rsidRPr="00F35981" w:rsidRDefault="00BF05F4" w:rsidP="002C0873">
      <w:pPr>
        <w:spacing w:line="276" w:lineRule="auto"/>
        <w:jc w:val="both"/>
        <w:rPr>
          <w:rFonts w:ascii="Arial" w:hAnsi="Arial" w:cs="Arial"/>
          <w:b/>
          <w:bCs/>
          <w:sz w:val="22"/>
          <w:szCs w:val="22"/>
        </w:rPr>
      </w:pPr>
      <w:r>
        <w:rPr>
          <w:rFonts w:ascii="Arial" w:hAnsi="Arial" w:cs="Arial"/>
          <w:b/>
          <w:bCs/>
          <w:sz w:val="22"/>
          <w:szCs w:val="22"/>
        </w:rPr>
        <w:t>7.</w:t>
      </w:r>
      <w:r w:rsidR="002C0873">
        <w:rPr>
          <w:rFonts w:ascii="Arial" w:hAnsi="Arial" w:cs="Arial"/>
          <w:b/>
          <w:bCs/>
          <w:sz w:val="22"/>
          <w:szCs w:val="22"/>
        </w:rPr>
        <w:t xml:space="preserve"> Formulation</w:t>
      </w:r>
      <w:r w:rsidR="002C0873" w:rsidRPr="00F35981">
        <w:rPr>
          <w:rFonts w:ascii="Arial" w:hAnsi="Arial" w:cs="Arial"/>
          <w:b/>
          <w:bCs/>
          <w:sz w:val="22"/>
          <w:szCs w:val="22"/>
        </w:rPr>
        <w:t xml:space="preserve"> of Energy Bar:</w:t>
      </w:r>
    </w:p>
    <w:p w14:paraId="6AC7CC3C" w14:textId="780EE6D1" w:rsidR="002C0873" w:rsidRPr="00BF54E8" w:rsidRDefault="002C0873" w:rsidP="002C0873">
      <w:pPr>
        <w:spacing w:line="276" w:lineRule="auto"/>
        <w:jc w:val="both"/>
        <w:rPr>
          <w:rFonts w:ascii="Arial" w:hAnsi="Arial" w:cs="Arial"/>
          <w:sz w:val="20"/>
          <w:szCs w:val="20"/>
        </w:rPr>
      </w:pPr>
      <w:r w:rsidRPr="00BF54E8">
        <w:rPr>
          <w:rFonts w:ascii="Arial" w:hAnsi="Arial" w:cs="Arial"/>
          <w:sz w:val="20"/>
          <w:szCs w:val="20"/>
        </w:rPr>
        <w:t xml:space="preserve">The energy bar formulation entails a process of careful choice of raw materials of high quality, such as cantaloupe seeds, dates, almonds, cashews, walnuts, pistachios, oats, and liquid glucose, selected based on their nutritional values, functional attributes, and sensory qualities. All these are carefully cleaned and sorted out to eliminate impurities and for uniformity. </w:t>
      </w:r>
      <w:r w:rsidR="008B6507" w:rsidRPr="008B6507">
        <w:rPr>
          <w:rFonts w:ascii="Arial" w:hAnsi="Arial" w:cs="Arial"/>
          <w:sz w:val="20"/>
          <w:szCs w:val="20"/>
        </w:rPr>
        <w:t xml:space="preserve">Nuts and edible seeds are subjected to roasting at controlled temperatures to enhance </w:t>
      </w:r>
      <w:proofErr w:type="spellStart"/>
      <w:r w:rsidR="008B6507" w:rsidRPr="008B6507">
        <w:rPr>
          <w:rFonts w:ascii="Arial" w:hAnsi="Arial" w:cs="Arial"/>
          <w:sz w:val="20"/>
          <w:szCs w:val="20"/>
        </w:rPr>
        <w:t>flavor</w:t>
      </w:r>
      <w:proofErr w:type="spellEnd"/>
      <w:r w:rsidR="008B6507" w:rsidRPr="008B6507">
        <w:rPr>
          <w:rFonts w:ascii="Arial" w:hAnsi="Arial" w:cs="Arial"/>
          <w:sz w:val="20"/>
          <w:szCs w:val="20"/>
        </w:rPr>
        <w:t>, texture, and shelf stability.</w:t>
      </w:r>
      <w:r w:rsidRPr="00BF54E8">
        <w:rPr>
          <w:rFonts w:ascii="Arial" w:hAnsi="Arial" w:cs="Arial"/>
          <w:sz w:val="20"/>
          <w:szCs w:val="20"/>
        </w:rPr>
        <w:t xml:space="preserve"> The roasted nuts and seeds are then roughly ground to yield a desirable crunch, while dates are made into smooth paste for use as a natural binder and sweetener. The prepared foods are combined in the right proportions to yield a good taste and texture profile. The mixture is then kneaded to create a uniform dough, so that all constituents are evenly distributed.</w:t>
      </w:r>
    </w:p>
    <w:p w14:paraId="0DF2FE6E" w14:textId="77777777" w:rsidR="002C0873" w:rsidRPr="00BF54E8" w:rsidRDefault="002C0873" w:rsidP="002C0873">
      <w:pPr>
        <w:spacing w:line="276" w:lineRule="auto"/>
        <w:jc w:val="both"/>
        <w:rPr>
          <w:rFonts w:ascii="Arial" w:hAnsi="Arial" w:cs="Arial"/>
          <w:sz w:val="20"/>
          <w:szCs w:val="20"/>
        </w:rPr>
      </w:pPr>
      <w:r w:rsidRPr="00BF54E8">
        <w:rPr>
          <w:rFonts w:ascii="Arial" w:hAnsi="Arial" w:cs="Arial"/>
          <w:sz w:val="20"/>
          <w:szCs w:val="20"/>
        </w:rPr>
        <w:t>The dough is then shaped in slabs of equal thickness and cooled or refrigerated for hard setting. The set slabs are then cut in bars of desired size and packaged with moisture-resistant, food-grade materials to avoid contamination and increase shelf life. Correct storage in cool, dry conditions preserves the quality and stability of the product. This well-organized process guarantees the manufacture of healthy, tasty, and shelf-stable energy bars for health-conscious consumers.</w:t>
      </w:r>
    </w:p>
    <w:p w14:paraId="3E177357" w14:textId="4DC96D47" w:rsidR="002C0873" w:rsidRPr="00ED3645" w:rsidRDefault="00BF05F4" w:rsidP="002C0873">
      <w:pPr>
        <w:spacing w:line="276" w:lineRule="auto"/>
        <w:jc w:val="both"/>
        <w:rPr>
          <w:rFonts w:ascii="Arial" w:hAnsi="Arial" w:cs="Arial"/>
          <w:sz w:val="22"/>
          <w:szCs w:val="22"/>
        </w:rPr>
      </w:pPr>
      <w:r>
        <w:rPr>
          <w:rFonts w:ascii="Arial" w:hAnsi="Arial" w:cs="Arial"/>
          <w:b/>
          <w:bCs/>
          <w:sz w:val="22"/>
          <w:szCs w:val="22"/>
        </w:rPr>
        <w:t>8.</w:t>
      </w:r>
      <w:r w:rsidR="002C0873">
        <w:rPr>
          <w:rFonts w:ascii="Arial" w:hAnsi="Arial" w:cs="Arial"/>
          <w:b/>
          <w:bCs/>
          <w:sz w:val="22"/>
          <w:szCs w:val="22"/>
        </w:rPr>
        <w:t xml:space="preserve"> </w:t>
      </w:r>
      <w:r w:rsidR="002C0873" w:rsidRPr="00ED3645">
        <w:rPr>
          <w:rFonts w:ascii="Arial" w:hAnsi="Arial" w:cs="Arial"/>
          <w:b/>
          <w:bCs/>
          <w:sz w:val="22"/>
          <w:szCs w:val="22"/>
        </w:rPr>
        <w:t xml:space="preserve">Market potential for energy bar </w:t>
      </w:r>
    </w:p>
    <w:p w14:paraId="24B09EFC" w14:textId="142A4398" w:rsidR="002C0873" w:rsidRPr="002914E7" w:rsidRDefault="002C0873" w:rsidP="002C0873">
      <w:pPr>
        <w:jc w:val="both"/>
        <w:rPr>
          <w:rFonts w:ascii="Arial" w:hAnsi="Arial" w:cs="Arial"/>
          <w:sz w:val="20"/>
          <w:szCs w:val="20"/>
        </w:rPr>
      </w:pPr>
      <w:r w:rsidRPr="002914E7">
        <w:rPr>
          <w:rFonts w:ascii="Arial" w:hAnsi="Arial" w:cs="Arial"/>
          <w:sz w:val="20"/>
          <w:szCs w:val="20"/>
        </w:rPr>
        <w:t xml:space="preserve">The energy bar market in India is experiencing robust growth, driven by increasing health consciousness, rising disposable incomes, and a shift toward convenient, nutritious snacking options. </w:t>
      </w:r>
      <w:r w:rsidR="002705A8" w:rsidRPr="002705A8">
        <w:rPr>
          <w:rFonts w:ascii="Arial" w:hAnsi="Arial" w:cs="Arial"/>
          <w:sz w:val="20"/>
          <w:szCs w:val="20"/>
        </w:rPr>
        <w:t>Market analysis reveals that the valuation of the Indian energy bar market was projected to be approximately USD 3.91 million in 2024 and is expected to escalate to USD 8.83 million by 2029, demonstrating a pronounced upward trajectory. The compound annual growth rate (CAGR) is anticipated to attain 17.69% during the forecast interval (Mordor Intelligence, 2024)</w:t>
      </w:r>
      <w:r w:rsidR="00027406">
        <w:rPr>
          <w:rFonts w:ascii="Arial" w:hAnsi="Arial" w:cs="Arial"/>
          <w:sz w:val="20"/>
          <w:szCs w:val="20"/>
        </w:rPr>
        <w:t xml:space="preserve">. </w:t>
      </w:r>
      <w:r w:rsidRPr="002914E7">
        <w:rPr>
          <w:rFonts w:ascii="Arial" w:hAnsi="Arial" w:cs="Arial"/>
          <w:sz w:val="20"/>
          <w:szCs w:val="20"/>
        </w:rPr>
        <w:t>The COVID-19 pandemic has further accelerated this trend, as consumers have increasingly prioritized foods that enhance immunity and are rich in protein, leading brands such as Fit to adapt accordingly. Sport Nutrition Foods to expand into e-commerce and international markets (</w:t>
      </w:r>
      <w:r w:rsidRPr="002914E7">
        <w:rPr>
          <w:rFonts w:ascii="Arial" w:hAnsi="Arial" w:cs="Arial"/>
          <w:i/>
          <w:iCs/>
          <w:sz w:val="20"/>
          <w:szCs w:val="20"/>
        </w:rPr>
        <w:t>Business Standard, 2021</w:t>
      </w:r>
      <w:r w:rsidRPr="002914E7">
        <w:rPr>
          <w:rFonts w:ascii="Arial" w:hAnsi="Arial" w:cs="Arial"/>
          <w:sz w:val="20"/>
          <w:szCs w:val="20"/>
        </w:rPr>
        <w:t xml:space="preserve">). A key factor </w:t>
      </w:r>
      <w:proofErr w:type="spellStart"/>
      <w:r w:rsidRPr="002914E7">
        <w:rPr>
          <w:rFonts w:ascii="Arial" w:hAnsi="Arial" w:cs="Arial"/>
          <w:sz w:val="20"/>
          <w:szCs w:val="20"/>
        </w:rPr>
        <w:t>fueling</w:t>
      </w:r>
      <w:proofErr w:type="spellEnd"/>
      <w:r w:rsidRPr="002914E7">
        <w:rPr>
          <w:rFonts w:ascii="Arial" w:hAnsi="Arial" w:cs="Arial"/>
          <w:sz w:val="20"/>
          <w:szCs w:val="20"/>
        </w:rPr>
        <w:t xml:space="preserve"> demand is the growing fitness culture, with more Indians engaging in gym activities, sports, and outdoor exercises. Energy bars are gaining substantial popularity among athletes and </w:t>
      </w:r>
      <w:r w:rsidRPr="002914E7">
        <w:rPr>
          <w:rFonts w:ascii="Arial" w:hAnsi="Arial" w:cs="Arial"/>
          <w:sz w:val="20"/>
          <w:szCs w:val="20"/>
        </w:rPr>
        <w:lastRenderedPageBreak/>
        <w:t>fitness enthusiasts as a convenient source of energy and protein (</w:t>
      </w:r>
      <w:r w:rsidRPr="002914E7">
        <w:rPr>
          <w:rFonts w:ascii="Arial" w:hAnsi="Arial" w:cs="Arial"/>
          <w:i/>
          <w:iCs/>
          <w:sz w:val="20"/>
          <w:szCs w:val="20"/>
        </w:rPr>
        <w:t>IMARC Group, 2023</w:t>
      </w:r>
      <w:r w:rsidRPr="002914E7">
        <w:rPr>
          <w:rFonts w:ascii="Arial" w:hAnsi="Arial" w:cs="Arial"/>
          <w:sz w:val="20"/>
          <w:szCs w:val="20"/>
        </w:rPr>
        <w:t>). Additionally, because gyms and sports clubs frequently suggest these bars as dietary supplements, the growing number of health and fitness facilities has increased product visibility</w:t>
      </w:r>
      <w:r w:rsidR="005B0A54">
        <w:rPr>
          <w:rFonts w:ascii="Arial" w:hAnsi="Arial" w:cs="Arial"/>
          <w:sz w:val="20"/>
          <w:szCs w:val="20"/>
        </w:rPr>
        <w:t xml:space="preserve">. </w:t>
      </w:r>
      <w:r w:rsidRPr="002914E7">
        <w:rPr>
          <w:rFonts w:ascii="Arial" w:hAnsi="Arial" w:cs="Arial"/>
          <w:sz w:val="20"/>
          <w:szCs w:val="20"/>
        </w:rPr>
        <w:t xml:space="preserve">Another significant driver is the preference for healthy snacking, particularly among urban consumers. The demand for fortified energy bars that are rich in protein, </w:t>
      </w:r>
      <w:proofErr w:type="spellStart"/>
      <w:r w:rsidRPr="002914E7">
        <w:rPr>
          <w:rFonts w:ascii="Arial" w:hAnsi="Arial" w:cs="Arial"/>
          <w:sz w:val="20"/>
          <w:szCs w:val="20"/>
        </w:rPr>
        <w:t>fiber</w:t>
      </w:r>
      <w:proofErr w:type="spellEnd"/>
      <w:r w:rsidRPr="002914E7">
        <w:rPr>
          <w:rFonts w:ascii="Arial" w:hAnsi="Arial" w:cs="Arial"/>
          <w:sz w:val="20"/>
          <w:szCs w:val="20"/>
        </w:rPr>
        <w:t>, and natural ingredients is surging, with consumers demonstrating a willingness to invest in functional foods.</w:t>
      </w:r>
    </w:p>
    <w:p w14:paraId="26CFDCE0" w14:textId="6C99F605" w:rsidR="002C0873" w:rsidRPr="00F35981" w:rsidRDefault="00BF05F4" w:rsidP="002C0873">
      <w:pPr>
        <w:jc w:val="both"/>
        <w:rPr>
          <w:rFonts w:ascii="Arial" w:hAnsi="Arial" w:cs="Arial"/>
          <w:b/>
          <w:bCs/>
          <w:sz w:val="22"/>
          <w:szCs w:val="22"/>
        </w:rPr>
      </w:pPr>
      <w:r>
        <w:rPr>
          <w:rFonts w:ascii="Arial" w:hAnsi="Arial" w:cs="Arial"/>
          <w:b/>
          <w:bCs/>
          <w:sz w:val="22"/>
          <w:szCs w:val="22"/>
        </w:rPr>
        <w:t>9.</w:t>
      </w:r>
      <w:r w:rsidR="002C0873">
        <w:rPr>
          <w:rFonts w:ascii="Arial" w:hAnsi="Arial" w:cs="Arial"/>
          <w:b/>
          <w:bCs/>
          <w:sz w:val="22"/>
          <w:szCs w:val="22"/>
        </w:rPr>
        <w:t xml:space="preserve"> </w:t>
      </w:r>
      <w:r w:rsidR="002C0873" w:rsidRPr="00F35981">
        <w:rPr>
          <w:rFonts w:ascii="Arial" w:hAnsi="Arial" w:cs="Arial"/>
          <w:b/>
          <w:bCs/>
          <w:sz w:val="22"/>
          <w:szCs w:val="22"/>
        </w:rPr>
        <w:t>Future scope for energy bar</w:t>
      </w:r>
    </w:p>
    <w:p w14:paraId="4A4C616C" w14:textId="77777777" w:rsidR="00085171" w:rsidRDefault="002C0873" w:rsidP="002C0873">
      <w:pPr>
        <w:jc w:val="both"/>
        <w:rPr>
          <w:rFonts w:ascii="Arial" w:hAnsi="Arial" w:cs="Arial"/>
          <w:sz w:val="20"/>
          <w:szCs w:val="20"/>
        </w:rPr>
      </w:pPr>
      <w:r w:rsidRPr="002914E7">
        <w:rPr>
          <w:rFonts w:ascii="Arial" w:hAnsi="Arial" w:cs="Arial"/>
          <w:sz w:val="20"/>
          <w:szCs w:val="20"/>
        </w:rPr>
        <w:t xml:space="preserve">The future of energy bars, especially those derived from natural ingredients like dates and underutilized components such as cantaloupe seeds, is promising due to increasing consumer demand for healthy, sustainable, and functional foods. There is significant scope for optimizing the nutritional profile of such bars through the inclusion of plant-based proteins, dietary </w:t>
      </w:r>
      <w:proofErr w:type="spellStart"/>
      <w:r w:rsidRPr="002914E7">
        <w:rPr>
          <w:rFonts w:ascii="Arial" w:hAnsi="Arial" w:cs="Arial"/>
          <w:sz w:val="20"/>
          <w:szCs w:val="20"/>
        </w:rPr>
        <w:t>fibers</w:t>
      </w:r>
      <w:proofErr w:type="spellEnd"/>
      <w:r w:rsidRPr="002914E7">
        <w:rPr>
          <w:rFonts w:ascii="Arial" w:hAnsi="Arial" w:cs="Arial"/>
          <w:sz w:val="20"/>
          <w:szCs w:val="20"/>
        </w:rPr>
        <w:t xml:space="preserve">, and bioactive compounds derived from fruits, seeds, and nuts. Cantaloupe seeds, often discarded as waste, are rich in proteins, healthy fats, and minerals, and their incorporation aligns with the growing emphasis on waste </w:t>
      </w:r>
      <w:proofErr w:type="spellStart"/>
      <w:r w:rsidRPr="002914E7">
        <w:rPr>
          <w:rFonts w:ascii="Arial" w:hAnsi="Arial" w:cs="Arial"/>
          <w:sz w:val="20"/>
          <w:szCs w:val="20"/>
        </w:rPr>
        <w:t>valorization</w:t>
      </w:r>
      <w:proofErr w:type="spellEnd"/>
      <w:r w:rsidRPr="002914E7">
        <w:rPr>
          <w:rFonts w:ascii="Arial" w:hAnsi="Arial" w:cs="Arial"/>
          <w:sz w:val="20"/>
          <w:szCs w:val="20"/>
        </w:rPr>
        <w:t xml:space="preserve"> and sustainable food production (El-Adawy &amp; Taha, 2001). Advances in food processing technologies can further enhance the shelf life, texture, and palatability of these bars, making them suitable for a broader market. Furthermore, energy bars can be tailored for specific populations, such as athletes, children, or the elderly, by modifying the formulation to meet their dietary requirements (Haug et al., </w:t>
      </w:r>
      <w:r>
        <w:rPr>
          <w:rFonts w:ascii="Arial" w:hAnsi="Arial" w:cs="Arial"/>
          <w:sz w:val="20"/>
          <w:szCs w:val="20"/>
        </w:rPr>
        <w:t>19</w:t>
      </w:r>
      <w:r w:rsidR="005B0A54">
        <w:rPr>
          <w:rFonts w:ascii="Arial" w:hAnsi="Arial" w:cs="Arial"/>
          <w:sz w:val="20"/>
          <w:szCs w:val="20"/>
        </w:rPr>
        <w:t>8</w:t>
      </w:r>
      <w:r>
        <w:rPr>
          <w:rFonts w:ascii="Arial" w:hAnsi="Arial" w:cs="Arial"/>
          <w:sz w:val="20"/>
          <w:szCs w:val="20"/>
        </w:rPr>
        <w:t>3</w:t>
      </w:r>
      <w:r w:rsidRPr="002914E7">
        <w:rPr>
          <w:rFonts w:ascii="Arial" w:hAnsi="Arial" w:cs="Arial"/>
          <w:sz w:val="20"/>
          <w:szCs w:val="20"/>
        </w:rPr>
        <w:t>). Research into the synergistic effects of combining different functional ingredients could lead to the development of energy bars with targeted health benefits, such as improved gut health, immunity, or cognitive function. Moreover, there is an opportunity for large-scale commercialization and market penetration, particularly if consumer education and awareness campaigns highlight the nutritional and</w:t>
      </w:r>
    </w:p>
    <w:p w14:paraId="0F59411D" w14:textId="28FB432A" w:rsidR="002C0873" w:rsidRPr="002914E7" w:rsidRDefault="002C0873" w:rsidP="002C0873">
      <w:pPr>
        <w:jc w:val="both"/>
        <w:rPr>
          <w:rFonts w:ascii="Arial" w:hAnsi="Arial" w:cs="Arial"/>
          <w:sz w:val="20"/>
          <w:szCs w:val="20"/>
        </w:rPr>
      </w:pPr>
      <w:r w:rsidRPr="002914E7">
        <w:rPr>
          <w:rFonts w:ascii="Arial" w:hAnsi="Arial" w:cs="Arial"/>
          <w:sz w:val="20"/>
          <w:szCs w:val="20"/>
        </w:rPr>
        <w:t>environmental benefits of such products. Future studies should also focus on consumer acceptance, sensory evaluation, and clinical validation of health claims to support the functional food status of these innovative bars.</w:t>
      </w:r>
    </w:p>
    <w:p w14:paraId="6E23B0CD" w14:textId="6435520F" w:rsidR="002C0873" w:rsidRPr="00CF28E9" w:rsidRDefault="00BF05F4" w:rsidP="002C0873">
      <w:pPr>
        <w:jc w:val="both"/>
        <w:rPr>
          <w:rFonts w:ascii="Arial" w:hAnsi="Arial" w:cs="Arial"/>
          <w:b/>
          <w:bCs/>
          <w:sz w:val="22"/>
          <w:szCs w:val="22"/>
        </w:rPr>
      </w:pPr>
      <w:r>
        <w:rPr>
          <w:rFonts w:ascii="Arial" w:hAnsi="Arial" w:cs="Arial"/>
          <w:b/>
          <w:bCs/>
          <w:sz w:val="22"/>
          <w:szCs w:val="22"/>
        </w:rPr>
        <w:t xml:space="preserve">10. </w:t>
      </w:r>
      <w:r w:rsidR="002C0873" w:rsidRPr="00CF28E9">
        <w:rPr>
          <w:rFonts w:ascii="Arial" w:hAnsi="Arial" w:cs="Arial"/>
          <w:b/>
          <w:bCs/>
          <w:sz w:val="22"/>
          <w:szCs w:val="22"/>
        </w:rPr>
        <w:t>Conclusion</w:t>
      </w:r>
    </w:p>
    <w:p w14:paraId="6A429C4F" w14:textId="2C56DF7A" w:rsidR="002C0873" w:rsidRDefault="002C0873" w:rsidP="002C0873">
      <w:pPr>
        <w:jc w:val="both"/>
        <w:rPr>
          <w:rFonts w:ascii="Arial" w:hAnsi="Arial" w:cs="Arial"/>
          <w:sz w:val="20"/>
          <w:szCs w:val="20"/>
        </w:rPr>
      </w:pPr>
      <w:r w:rsidRPr="002914E7">
        <w:rPr>
          <w:rFonts w:ascii="Arial" w:hAnsi="Arial" w:cs="Arial"/>
          <w:sz w:val="20"/>
          <w:szCs w:val="20"/>
        </w:rPr>
        <w:t xml:space="preserve">In conclusion, the formulation of energy bar incorporating dates and cantaloupe seeds represents a novel and nutritious alternative for athletes and health-conscious individuals. Dates furnish a natural source of sweetness, dietary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and essential minerals that underpin energy levels, muscle functionality, and recovery processes, while cantaloupe seeds provide valuable protein, beneficial fats, </w:t>
      </w:r>
      <w:r w:rsidR="008B6507">
        <w:rPr>
          <w:rFonts w:ascii="Arial" w:hAnsi="Arial" w:cs="Arial"/>
          <w:sz w:val="20"/>
          <w:szCs w:val="20"/>
        </w:rPr>
        <w:t>a</w:t>
      </w:r>
      <w:r w:rsidR="008B6507" w:rsidRPr="008B6507">
        <w:rPr>
          <w:rFonts w:ascii="Arial" w:hAnsi="Arial" w:cs="Arial"/>
          <w:sz w:val="20"/>
          <w:szCs w:val="20"/>
        </w:rPr>
        <w:t xml:space="preserve">nd additional </w:t>
      </w:r>
      <w:proofErr w:type="spellStart"/>
      <w:r w:rsidR="008B6507" w:rsidRPr="008B6507">
        <w:rPr>
          <w:rFonts w:ascii="Arial" w:hAnsi="Arial" w:cs="Arial"/>
          <w:sz w:val="20"/>
          <w:szCs w:val="20"/>
        </w:rPr>
        <w:t>fiber</w:t>
      </w:r>
      <w:proofErr w:type="spellEnd"/>
      <w:r w:rsidR="008B6507" w:rsidRPr="008B6507">
        <w:rPr>
          <w:rFonts w:ascii="Arial" w:hAnsi="Arial" w:cs="Arial"/>
          <w:sz w:val="20"/>
          <w:szCs w:val="20"/>
        </w:rPr>
        <w:t>, thereby enhancing the overall nutritional profile of the bar.</w:t>
      </w:r>
      <w:r w:rsidRPr="002914E7">
        <w:rPr>
          <w:rFonts w:ascii="Arial" w:hAnsi="Arial" w:cs="Arial"/>
          <w:sz w:val="20"/>
          <w:szCs w:val="20"/>
        </w:rPr>
        <w:t xml:space="preserve"> Collectively, these ingredients yield a comprehensive snack that delivers both immediate and prolonged energy without dependence on refined sugars or synthetic additives. The antioxidant and anti-inflammatory parcels of both dates and cantaloupe seeds significantly contribute to overall health, making this energy bar an exemplary option for enhancing physical performance and promoting recovery. As consumers increasingly pursue natural, sustainable, and nutrient-rich snacks, this product presents a promising resolution, amalgamating the advantages of whole-food ingredients with the convenience of a ready-to-consume, functional snack.</w:t>
      </w:r>
    </w:p>
    <w:p w14:paraId="003F3195" w14:textId="77777777" w:rsidR="002C0873" w:rsidRDefault="002C0873" w:rsidP="002C0873">
      <w:pPr>
        <w:jc w:val="both"/>
        <w:rPr>
          <w:rFonts w:ascii="Arial" w:hAnsi="Arial" w:cs="Arial"/>
          <w:b/>
          <w:bCs/>
          <w:sz w:val="22"/>
          <w:szCs w:val="22"/>
        </w:rPr>
      </w:pPr>
    </w:p>
    <w:p w14:paraId="13D97043" w14:textId="77777777" w:rsidR="00D11842" w:rsidRPr="00FE7640" w:rsidRDefault="00D11842" w:rsidP="00D11842">
      <w:pPr>
        <w:rPr>
          <w:rFonts w:ascii="Calibri" w:eastAsia="Calibri" w:hAnsi="Calibri" w:cs="Times New Roman"/>
          <w:highlight w:val="yellow"/>
          <w:lang w:val="en-US"/>
        </w:rPr>
      </w:pPr>
      <w:bookmarkStart w:id="4" w:name="_Hlk201835975"/>
      <w:bookmarkStart w:id="5" w:name="_Hlk193540946"/>
      <w:bookmarkStart w:id="6" w:name="_Hlk180402183"/>
      <w:bookmarkStart w:id="7" w:name="_Hlk183680988"/>
      <w:bookmarkStart w:id="8" w:name="_Hlk197173371"/>
      <w:r w:rsidRPr="00FE7640">
        <w:rPr>
          <w:rFonts w:ascii="Calibri" w:eastAsia="Calibri" w:hAnsi="Calibri" w:cs="Times New Roman"/>
          <w:highlight w:val="yellow"/>
          <w:lang w:val="en-US"/>
        </w:rPr>
        <w:t>Disclaimer (Artificial intelligence)</w:t>
      </w:r>
    </w:p>
    <w:p w14:paraId="17B467E6" w14:textId="77777777" w:rsidR="00D11842" w:rsidRPr="009C5487" w:rsidRDefault="00D11842" w:rsidP="00D1184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F02A6D0" w14:textId="77777777" w:rsidR="00D11842" w:rsidRPr="009C5487" w:rsidRDefault="00D11842" w:rsidP="00D11842">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manuscript. </w:t>
      </w:r>
    </w:p>
    <w:p w14:paraId="23C6659C" w14:textId="77777777" w:rsidR="00D11842" w:rsidRPr="009C5487" w:rsidRDefault="00D11842" w:rsidP="00D1184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0D34E8D1" w14:textId="77777777" w:rsidR="00D11842" w:rsidRPr="009C5487" w:rsidRDefault="00D11842" w:rsidP="00D11842">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D456EB" w14:textId="77777777" w:rsidR="00D11842" w:rsidRPr="009C5487" w:rsidRDefault="00D11842" w:rsidP="00D11842">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A1749AB" w14:textId="77777777" w:rsidR="00D11842" w:rsidRPr="009C5487" w:rsidRDefault="00D11842" w:rsidP="00D11842">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3A71E5DC" w14:textId="77777777" w:rsidR="00D11842" w:rsidRPr="009C5487" w:rsidRDefault="00D11842" w:rsidP="00D11842">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4"/>
    </w:p>
    <w:p w14:paraId="3E8C005D" w14:textId="77777777" w:rsidR="00D11842" w:rsidRPr="009C5487" w:rsidRDefault="00D11842" w:rsidP="00D11842">
      <w:pPr>
        <w:rPr>
          <w:rFonts w:ascii="Calibri" w:eastAsia="Calibri" w:hAnsi="Calibri" w:cs="Times New Roman"/>
          <w:lang w:val="en-US"/>
        </w:rPr>
      </w:pPr>
      <w:r w:rsidRPr="009C5487">
        <w:rPr>
          <w:rFonts w:ascii="Calibri" w:eastAsia="Calibri" w:hAnsi="Calibri" w:cs="Times New Roman"/>
          <w:highlight w:val="yellow"/>
          <w:lang w:val="en-US"/>
        </w:rPr>
        <w:t>3.</w:t>
      </w:r>
      <w:bookmarkEnd w:id="5"/>
    </w:p>
    <w:bookmarkEnd w:id="6"/>
    <w:bookmarkEnd w:id="7"/>
    <w:bookmarkEnd w:id="8"/>
    <w:p w14:paraId="0EEEEFCD" w14:textId="77777777" w:rsidR="002C0873" w:rsidRDefault="002C0873" w:rsidP="002C0873">
      <w:pPr>
        <w:jc w:val="both"/>
        <w:rPr>
          <w:rFonts w:ascii="Arial" w:hAnsi="Arial" w:cs="Arial"/>
          <w:b/>
          <w:bCs/>
          <w:sz w:val="22"/>
          <w:szCs w:val="22"/>
        </w:rPr>
      </w:pPr>
    </w:p>
    <w:p w14:paraId="5BAE97F3" w14:textId="77777777" w:rsidR="002C0873" w:rsidRDefault="002C0873" w:rsidP="002C0873">
      <w:pPr>
        <w:jc w:val="both"/>
        <w:rPr>
          <w:rFonts w:ascii="Arial" w:hAnsi="Arial" w:cs="Arial"/>
          <w:b/>
          <w:bCs/>
          <w:sz w:val="22"/>
          <w:szCs w:val="22"/>
        </w:rPr>
      </w:pPr>
    </w:p>
    <w:p w14:paraId="55DB1C5D" w14:textId="77777777" w:rsidR="002C0873" w:rsidRDefault="002C0873" w:rsidP="002C0873">
      <w:pPr>
        <w:jc w:val="both"/>
        <w:rPr>
          <w:rFonts w:ascii="Arial" w:hAnsi="Arial" w:cs="Arial"/>
          <w:b/>
          <w:bCs/>
          <w:sz w:val="22"/>
          <w:szCs w:val="22"/>
        </w:rPr>
      </w:pPr>
    </w:p>
    <w:p w14:paraId="0019F967" w14:textId="77777777" w:rsidR="002C0873" w:rsidRDefault="002C0873" w:rsidP="002C0873">
      <w:pPr>
        <w:jc w:val="both"/>
        <w:rPr>
          <w:rFonts w:ascii="Arial" w:hAnsi="Arial" w:cs="Arial"/>
          <w:b/>
          <w:bCs/>
          <w:sz w:val="22"/>
          <w:szCs w:val="22"/>
        </w:rPr>
      </w:pPr>
    </w:p>
    <w:p w14:paraId="18737C03" w14:textId="51DC00DD" w:rsidR="002C0873" w:rsidRPr="00F35981" w:rsidRDefault="002C0873" w:rsidP="002C0873">
      <w:pPr>
        <w:jc w:val="both"/>
        <w:rPr>
          <w:rFonts w:ascii="Arial" w:hAnsi="Arial" w:cs="Arial"/>
          <w:sz w:val="20"/>
          <w:szCs w:val="20"/>
        </w:rPr>
      </w:pPr>
      <w:r>
        <w:rPr>
          <w:rFonts w:ascii="Arial" w:hAnsi="Arial" w:cs="Arial"/>
          <w:b/>
          <w:bCs/>
          <w:sz w:val="22"/>
          <w:szCs w:val="22"/>
        </w:rPr>
        <w:t>References</w:t>
      </w:r>
    </w:p>
    <w:p w14:paraId="37ED0FF2"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Giri, N. A., &amp; Mridula, D. (2016). Development of energy bar utilizing potato extrudates. </w:t>
      </w:r>
      <w:r w:rsidRPr="00975F5A">
        <w:rPr>
          <w:rFonts w:ascii="Arial" w:hAnsi="Arial" w:cs="Arial"/>
          <w:i/>
          <w:iCs/>
          <w:sz w:val="20"/>
          <w:szCs w:val="20"/>
        </w:rPr>
        <w:t>Asian Journal of Dairy and Food Research</w:t>
      </w:r>
      <w:r w:rsidRPr="00975F5A">
        <w:rPr>
          <w:rFonts w:ascii="Arial" w:hAnsi="Arial" w:cs="Arial"/>
          <w:sz w:val="20"/>
          <w:szCs w:val="20"/>
        </w:rPr>
        <w:t>, </w:t>
      </w:r>
      <w:r w:rsidRPr="00975F5A">
        <w:rPr>
          <w:rFonts w:ascii="Arial" w:hAnsi="Arial" w:cs="Arial"/>
          <w:i/>
          <w:iCs/>
          <w:sz w:val="20"/>
          <w:szCs w:val="20"/>
        </w:rPr>
        <w:t>35</w:t>
      </w:r>
      <w:r w:rsidRPr="00975F5A">
        <w:rPr>
          <w:rFonts w:ascii="Arial" w:hAnsi="Arial" w:cs="Arial"/>
          <w:sz w:val="20"/>
          <w:szCs w:val="20"/>
        </w:rPr>
        <w:t>(3), 241-246.</w:t>
      </w:r>
    </w:p>
    <w:p w14:paraId="1C897EB3"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Izzo, M., &amp; Niness, K. (2001). Formulating nutrition bars with inulin and oligofructose.</w:t>
      </w:r>
    </w:p>
    <w:p w14:paraId="61CE4CF3"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Pablo da Silva, E., Siqueira, H. H., Damiani, C., &amp; de Barros Vilas Boas, E. V. (2016). Physicochemical and sensory characteristics of snack bars added of </w:t>
      </w:r>
      <w:proofErr w:type="spellStart"/>
      <w:r w:rsidRPr="00975F5A">
        <w:rPr>
          <w:rFonts w:ascii="Arial" w:hAnsi="Arial" w:cs="Arial"/>
          <w:sz w:val="20"/>
          <w:szCs w:val="20"/>
        </w:rPr>
        <w:t>jeriva</w:t>
      </w:r>
      <w:proofErr w:type="spellEnd"/>
      <w:r w:rsidRPr="00975F5A">
        <w:rPr>
          <w:rFonts w:ascii="Arial" w:hAnsi="Arial" w:cs="Arial"/>
          <w:sz w:val="20"/>
          <w:szCs w:val="20"/>
        </w:rPr>
        <w:t xml:space="preserve"> flour (</w:t>
      </w:r>
      <w:proofErr w:type="spellStart"/>
      <w:r w:rsidRPr="00975F5A">
        <w:rPr>
          <w:rFonts w:ascii="Arial" w:hAnsi="Arial" w:cs="Arial"/>
          <w:sz w:val="20"/>
          <w:szCs w:val="20"/>
        </w:rPr>
        <w:t>Syagrus</w:t>
      </w:r>
      <w:proofErr w:type="spellEnd"/>
      <w:r w:rsidRPr="00975F5A">
        <w:rPr>
          <w:rFonts w:ascii="Arial" w:hAnsi="Arial" w:cs="Arial"/>
          <w:sz w:val="20"/>
          <w:szCs w:val="20"/>
        </w:rPr>
        <w:t xml:space="preserve"> </w:t>
      </w:r>
      <w:proofErr w:type="spellStart"/>
      <w:r w:rsidRPr="00975F5A">
        <w:rPr>
          <w:rFonts w:ascii="Arial" w:hAnsi="Arial" w:cs="Arial"/>
          <w:sz w:val="20"/>
          <w:szCs w:val="20"/>
        </w:rPr>
        <w:t>romanzoffiana</w:t>
      </w:r>
      <w:proofErr w:type="spellEnd"/>
      <w:r w:rsidRPr="00975F5A">
        <w:rPr>
          <w:rFonts w:ascii="Arial" w:hAnsi="Arial" w:cs="Arial"/>
          <w:sz w:val="20"/>
          <w:szCs w:val="20"/>
        </w:rPr>
        <w:t>). </w:t>
      </w:r>
      <w:r w:rsidRPr="00975F5A">
        <w:rPr>
          <w:rFonts w:ascii="Arial" w:hAnsi="Arial" w:cs="Arial"/>
          <w:i/>
          <w:iCs/>
          <w:sz w:val="20"/>
          <w:szCs w:val="20"/>
        </w:rPr>
        <w:t>Food Science and Technology</w:t>
      </w:r>
      <w:r w:rsidRPr="00975F5A">
        <w:rPr>
          <w:rFonts w:ascii="Arial" w:hAnsi="Arial" w:cs="Arial"/>
          <w:sz w:val="20"/>
          <w:szCs w:val="20"/>
        </w:rPr>
        <w:t>, </w:t>
      </w:r>
      <w:r w:rsidRPr="00975F5A">
        <w:rPr>
          <w:rFonts w:ascii="Arial" w:hAnsi="Arial" w:cs="Arial"/>
          <w:i/>
          <w:iCs/>
          <w:sz w:val="20"/>
          <w:szCs w:val="20"/>
        </w:rPr>
        <w:t>36</w:t>
      </w:r>
      <w:r w:rsidRPr="00975F5A">
        <w:rPr>
          <w:rFonts w:ascii="Arial" w:hAnsi="Arial" w:cs="Arial"/>
          <w:sz w:val="20"/>
          <w:szCs w:val="20"/>
        </w:rPr>
        <w:t>(3), 421-425.</w:t>
      </w:r>
    </w:p>
    <w:p w14:paraId="426B01C2"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proofErr w:type="spellStart"/>
      <w:r w:rsidRPr="00975F5A">
        <w:rPr>
          <w:rFonts w:ascii="Arial" w:hAnsi="Arial" w:cs="Arial"/>
          <w:sz w:val="20"/>
          <w:szCs w:val="20"/>
        </w:rPr>
        <w:t>Vayalil</w:t>
      </w:r>
      <w:proofErr w:type="spellEnd"/>
      <w:r w:rsidRPr="00975F5A">
        <w:rPr>
          <w:rFonts w:ascii="Arial" w:hAnsi="Arial" w:cs="Arial"/>
          <w:sz w:val="20"/>
          <w:szCs w:val="20"/>
        </w:rPr>
        <w:t>, P. K. (2012). Date fruits (Phoenix dactylifera Linn): an emerging medicinal food. </w:t>
      </w:r>
      <w:r w:rsidRPr="00975F5A">
        <w:rPr>
          <w:rFonts w:ascii="Arial" w:hAnsi="Arial" w:cs="Arial"/>
          <w:i/>
          <w:iCs/>
          <w:sz w:val="20"/>
          <w:szCs w:val="20"/>
        </w:rPr>
        <w:t>Critical reviews in food science and nutrition</w:t>
      </w:r>
      <w:r w:rsidRPr="00975F5A">
        <w:rPr>
          <w:rFonts w:ascii="Arial" w:hAnsi="Arial" w:cs="Arial"/>
          <w:sz w:val="20"/>
          <w:szCs w:val="20"/>
        </w:rPr>
        <w:t>, </w:t>
      </w:r>
      <w:r w:rsidRPr="00975F5A">
        <w:rPr>
          <w:rFonts w:ascii="Arial" w:hAnsi="Arial" w:cs="Arial"/>
          <w:i/>
          <w:iCs/>
          <w:sz w:val="20"/>
          <w:szCs w:val="20"/>
        </w:rPr>
        <w:t>52</w:t>
      </w:r>
      <w:r w:rsidRPr="00975F5A">
        <w:rPr>
          <w:rFonts w:ascii="Arial" w:hAnsi="Arial" w:cs="Arial"/>
          <w:sz w:val="20"/>
          <w:szCs w:val="20"/>
        </w:rPr>
        <w:t>(3), 249-271.</w:t>
      </w:r>
    </w:p>
    <w:p w14:paraId="1E2F5681"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Tang, Z. X., Shi, L. E., &amp; Aleid, S. M. (2013). Date fruit: chemical composition, nutritional and medicinal values, products. </w:t>
      </w:r>
      <w:r w:rsidRPr="00975F5A">
        <w:rPr>
          <w:rFonts w:ascii="Arial" w:hAnsi="Arial" w:cs="Arial"/>
          <w:i/>
          <w:iCs/>
          <w:sz w:val="20"/>
          <w:szCs w:val="20"/>
        </w:rPr>
        <w:t>Journal of the Science of Food and Agriculture</w:t>
      </w:r>
      <w:r w:rsidRPr="00975F5A">
        <w:rPr>
          <w:rFonts w:ascii="Arial" w:hAnsi="Arial" w:cs="Arial"/>
          <w:sz w:val="20"/>
          <w:szCs w:val="20"/>
        </w:rPr>
        <w:t>, </w:t>
      </w:r>
      <w:r w:rsidRPr="00975F5A">
        <w:rPr>
          <w:rFonts w:ascii="Arial" w:hAnsi="Arial" w:cs="Arial"/>
          <w:i/>
          <w:iCs/>
          <w:sz w:val="20"/>
          <w:szCs w:val="20"/>
        </w:rPr>
        <w:t>93</w:t>
      </w:r>
      <w:r w:rsidRPr="00975F5A">
        <w:rPr>
          <w:rFonts w:ascii="Arial" w:hAnsi="Arial" w:cs="Arial"/>
          <w:sz w:val="20"/>
          <w:szCs w:val="20"/>
        </w:rPr>
        <w:t>(10), 2351-2361.</w:t>
      </w:r>
    </w:p>
    <w:p w14:paraId="1916635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Van Toan, N., &amp; Vinh, T. Q. (2018). Production of nutritional bars with different proportions of oat flour and brown rice flour. </w:t>
      </w:r>
      <w:r w:rsidRPr="00975F5A">
        <w:rPr>
          <w:rFonts w:ascii="Arial" w:hAnsi="Arial" w:cs="Arial"/>
          <w:i/>
          <w:iCs/>
          <w:sz w:val="20"/>
          <w:szCs w:val="20"/>
        </w:rPr>
        <w:t>Clinical Journal of Nutrition and Dietetics</w:t>
      </w:r>
      <w:r w:rsidRPr="00975F5A">
        <w:rPr>
          <w:rFonts w:ascii="Arial" w:hAnsi="Arial" w:cs="Arial"/>
          <w:sz w:val="20"/>
          <w:szCs w:val="20"/>
        </w:rPr>
        <w:t>, </w:t>
      </w:r>
      <w:r w:rsidRPr="00975F5A">
        <w:rPr>
          <w:rFonts w:ascii="Arial" w:hAnsi="Arial" w:cs="Arial"/>
          <w:i/>
          <w:iCs/>
          <w:sz w:val="20"/>
          <w:szCs w:val="20"/>
        </w:rPr>
        <w:t>1</w:t>
      </w:r>
      <w:r w:rsidRPr="00975F5A">
        <w:rPr>
          <w:rFonts w:ascii="Arial" w:hAnsi="Arial" w:cs="Arial"/>
          <w:sz w:val="20"/>
          <w:szCs w:val="20"/>
        </w:rPr>
        <w:t>(1), 1-11.</w:t>
      </w:r>
    </w:p>
    <w:p w14:paraId="0AEDB73B"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Kamble, R. R., </w:t>
      </w:r>
      <w:proofErr w:type="spellStart"/>
      <w:r w:rsidRPr="00975F5A">
        <w:rPr>
          <w:rFonts w:ascii="Arial" w:hAnsi="Arial" w:cs="Arial"/>
          <w:sz w:val="20"/>
          <w:szCs w:val="20"/>
        </w:rPr>
        <w:t>Kothali</w:t>
      </w:r>
      <w:proofErr w:type="spellEnd"/>
      <w:r w:rsidRPr="00975F5A">
        <w:rPr>
          <w:rFonts w:ascii="Arial" w:hAnsi="Arial" w:cs="Arial"/>
          <w:sz w:val="20"/>
          <w:szCs w:val="20"/>
        </w:rPr>
        <w:t xml:space="preserve">, M., </w:t>
      </w:r>
      <w:proofErr w:type="spellStart"/>
      <w:r w:rsidRPr="00975F5A">
        <w:rPr>
          <w:rFonts w:ascii="Arial" w:hAnsi="Arial" w:cs="Arial"/>
          <w:sz w:val="20"/>
          <w:szCs w:val="20"/>
        </w:rPr>
        <w:t>Magdum</w:t>
      </w:r>
      <w:proofErr w:type="spellEnd"/>
      <w:r w:rsidRPr="00975F5A">
        <w:rPr>
          <w:rFonts w:ascii="Arial" w:hAnsi="Arial" w:cs="Arial"/>
          <w:sz w:val="20"/>
          <w:szCs w:val="20"/>
        </w:rPr>
        <w:t xml:space="preserve">, S., </w:t>
      </w:r>
      <w:proofErr w:type="spellStart"/>
      <w:r w:rsidRPr="00975F5A">
        <w:rPr>
          <w:rFonts w:ascii="Arial" w:hAnsi="Arial" w:cs="Arial"/>
          <w:sz w:val="20"/>
          <w:szCs w:val="20"/>
        </w:rPr>
        <w:t>Narale</w:t>
      </w:r>
      <w:proofErr w:type="spellEnd"/>
      <w:r w:rsidRPr="00975F5A">
        <w:rPr>
          <w:rFonts w:ascii="Arial" w:hAnsi="Arial" w:cs="Arial"/>
          <w:sz w:val="20"/>
          <w:szCs w:val="20"/>
        </w:rPr>
        <w:t xml:space="preserve">, P., &amp; Lavate, S. (2022). Cantaloupe seeds: Activities and benefits a complete guide. </w:t>
      </w:r>
      <w:r w:rsidRPr="00975F5A">
        <w:rPr>
          <w:rFonts w:ascii="Arial" w:hAnsi="Arial" w:cs="Arial"/>
          <w:i/>
          <w:iCs/>
          <w:sz w:val="20"/>
          <w:szCs w:val="20"/>
        </w:rPr>
        <w:t>International Journal of Creative Research Thoughts, 10</w:t>
      </w:r>
      <w:r w:rsidRPr="00975F5A">
        <w:rPr>
          <w:rFonts w:ascii="Arial" w:hAnsi="Arial" w:cs="Arial"/>
          <w:sz w:val="20"/>
          <w:szCs w:val="20"/>
        </w:rPr>
        <w:t>, 146–158.</w:t>
      </w:r>
    </w:p>
    <w:p w14:paraId="5C9B15DE"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Mehra, M., Pasricha, V., &amp; Gupta, R. K. (2015). Estimation of nutritional, phytochemical and antioxidant activity of seeds of musk melon (Cucumis melo) and water melon (Citrullus lanatus) and nutritional analysis of their respective oils. </w:t>
      </w:r>
      <w:r w:rsidRPr="00975F5A">
        <w:rPr>
          <w:rFonts w:ascii="Arial" w:hAnsi="Arial" w:cs="Arial"/>
          <w:i/>
          <w:iCs/>
          <w:sz w:val="20"/>
          <w:szCs w:val="20"/>
        </w:rPr>
        <w:t>Journal of Pharmacognosy and Phytochemistry</w:t>
      </w:r>
      <w:r w:rsidRPr="00975F5A">
        <w:rPr>
          <w:rFonts w:ascii="Arial" w:hAnsi="Arial" w:cs="Arial"/>
          <w:sz w:val="20"/>
          <w:szCs w:val="20"/>
        </w:rPr>
        <w:t>, </w:t>
      </w:r>
      <w:r w:rsidRPr="00975F5A">
        <w:rPr>
          <w:rFonts w:ascii="Arial" w:hAnsi="Arial" w:cs="Arial"/>
          <w:i/>
          <w:iCs/>
          <w:sz w:val="20"/>
          <w:szCs w:val="20"/>
        </w:rPr>
        <w:t>3</w:t>
      </w:r>
      <w:r w:rsidRPr="00975F5A">
        <w:rPr>
          <w:rFonts w:ascii="Arial" w:hAnsi="Arial" w:cs="Arial"/>
          <w:sz w:val="20"/>
          <w:szCs w:val="20"/>
        </w:rPr>
        <w:t>(6), 98-102.</w:t>
      </w:r>
    </w:p>
    <w:p w14:paraId="44A2D1C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Petkova, Z., &amp; </w:t>
      </w:r>
      <w:proofErr w:type="spellStart"/>
      <w:r w:rsidRPr="00975F5A">
        <w:rPr>
          <w:rFonts w:ascii="Arial" w:hAnsi="Arial" w:cs="Arial"/>
          <w:sz w:val="20"/>
          <w:szCs w:val="20"/>
        </w:rPr>
        <w:t>Antova</w:t>
      </w:r>
      <w:proofErr w:type="spellEnd"/>
      <w:r w:rsidRPr="00975F5A">
        <w:rPr>
          <w:rFonts w:ascii="Arial" w:hAnsi="Arial" w:cs="Arial"/>
          <w:sz w:val="20"/>
          <w:szCs w:val="20"/>
        </w:rPr>
        <w:t>, G. (2015). Proximate composition of seeds and seed oils from melon (Cucumis melo L.) cultivated in Bulgaria. </w:t>
      </w:r>
      <w:r w:rsidRPr="00975F5A">
        <w:rPr>
          <w:rFonts w:ascii="Arial" w:hAnsi="Arial" w:cs="Arial"/>
          <w:i/>
          <w:iCs/>
          <w:sz w:val="20"/>
          <w:szCs w:val="20"/>
        </w:rPr>
        <w:t>Cogent Food &amp; Agriculture</w:t>
      </w:r>
      <w:r w:rsidRPr="00975F5A">
        <w:rPr>
          <w:rFonts w:ascii="Arial" w:hAnsi="Arial" w:cs="Arial"/>
          <w:sz w:val="20"/>
          <w:szCs w:val="20"/>
        </w:rPr>
        <w:t>, </w:t>
      </w:r>
      <w:r w:rsidRPr="00975F5A">
        <w:rPr>
          <w:rFonts w:ascii="Arial" w:hAnsi="Arial" w:cs="Arial"/>
          <w:i/>
          <w:iCs/>
          <w:sz w:val="20"/>
          <w:szCs w:val="20"/>
        </w:rPr>
        <w:t>1</w:t>
      </w:r>
      <w:r w:rsidRPr="00975F5A">
        <w:rPr>
          <w:rFonts w:ascii="Arial" w:hAnsi="Arial" w:cs="Arial"/>
          <w:sz w:val="20"/>
          <w:szCs w:val="20"/>
        </w:rPr>
        <w:t>(1), 1018779.</w:t>
      </w:r>
    </w:p>
    <w:p w14:paraId="3556508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Garg, N., Sidhu, A. S., &amp; Cheema, D. S. (2007). Systematics of the genus Cucumis: A review of literature. </w:t>
      </w:r>
      <w:r w:rsidRPr="00975F5A">
        <w:rPr>
          <w:rFonts w:ascii="Arial" w:hAnsi="Arial" w:cs="Arial"/>
          <w:i/>
          <w:iCs/>
          <w:sz w:val="20"/>
          <w:szCs w:val="20"/>
        </w:rPr>
        <w:t xml:space="preserve">Haryana J. </w:t>
      </w:r>
      <w:proofErr w:type="spellStart"/>
      <w:r w:rsidRPr="00975F5A">
        <w:rPr>
          <w:rFonts w:ascii="Arial" w:hAnsi="Arial" w:cs="Arial"/>
          <w:i/>
          <w:iCs/>
          <w:sz w:val="20"/>
          <w:szCs w:val="20"/>
        </w:rPr>
        <w:t>hortic</w:t>
      </w:r>
      <w:proofErr w:type="spellEnd"/>
      <w:r w:rsidRPr="00975F5A">
        <w:rPr>
          <w:rFonts w:ascii="Arial" w:hAnsi="Arial" w:cs="Arial"/>
          <w:i/>
          <w:iCs/>
          <w:sz w:val="20"/>
          <w:szCs w:val="20"/>
        </w:rPr>
        <w:t>. Sci</w:t>
      </w:r>
      <w:r w:rsidRPr="00975F5A">
        <w:rPr>
          <w:rFonts w:ascii="Arial" w:hAnsi="Arial" w:cs="Arial"/>
          <w:sz w:val="20"/>
          <w:szCs w:val="20"/>
        </w:rPr>
        <w:t>, </w:t>
      </w:r>
      <w:r w:rsidRPr="00975F5A">
        <w:rPr>
          <w:rFonts w:ascii="Arial" w:hAnsi="Arial" w:cs="Arial"/>
          <w:i/>
          <w:iCs/>
          <w:sz w:val="20"/>
          <w:szCs w:val="20"/>
        </w:rPr>
        <w:t>36</w:t>
      </w:r>
      <w:r w:rsidRPr="00975F5A">
        <w:rPr>
          <w:rFonts w:ascii="Arial" w:hAnsi="Arial" w:cs="Arial"/>
          <w:sz w:val="20"/>
          <w:szCs w:val="20"/>
        </w:rPr>
        <w:t>(1&amp;2), 192-197.</w:t>
      </w:r>
    </w:p>
    <w:p w14:paraId="4B5C1C5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lastRenderedPageBreak/>
        <w:t xml:space="preserve">Makki, M., </w:t>
      </w:r>
      <w:proofErr w:type="spellStart"/>
      <w:r w:rsidRPr="00975F5A">
        <w:rPr>
          <w:rFonts w:ascii="Arial" w:hAnsi="Arial" w:cs="Arial"/>
          <w:sz w:val="20"/>
          <w:szCs w:val="20"/>
        </w:rPr>
        <w:t>Hamooda</w:t>
      </w:r>
      <w:proofErr w:type="spellEnd"/>
      <w:r w:rsidRPr="00975F5A">
        <w:rPr>
          <w:rFonts w:ascii="Arial" w:hAnsi="Arial" w:cs="Arial"/>
          <w:sz w:val="20"/>
          <w:szCs w:val="20"/>
        </w:rPr>
        <w:t>, A., &amp; Al-Abri, A. (1998). The date palm, culture, operation and maintenance. </w:t>
      </w:r>
      <w:r w:rsidRPr="00975F5A">
        <w:rPr>
          <w:rFonts w:ascii="Arial" w:hAnsi="Arial" w:cs="Arial"/>
          <w:i/>
          <w:iCs/>
          <w:sz w:val="20"/>
          <w:szCs w:val="20"/>
        </w:rPr>
        <w:t xml:space="preserve">Muscat, Oman: Modern </w:t>
      </w:r>
      <w:proofErr w:type="spellStart"/>
      <w:r w:rsidRPr="00975F5A">
        <w:rPr>
          <w:rFonts w:ascii="Arial" w:hAnsi="Arial" w:cs="Arial"/>
          <w:i/>
          <w:iCs/>
          <w:sz w:val="20"/>
          <w:szCs w:val="20"/>
        </w:rPr>
        <w:t>Color</w:t>
      </w:r>
      <w:proofErr w:type="spellEnd"/>
      <w:r w:rsidRPr="00975F5A">
        <w:rPr>
          <w:rFonts w:ascii="Arial" w:hAnsi="Arial" w:cs="Arial"/>
          <w:i/>
          <w:iCs/>
          <w:sz w:val="20"/>
          <w:szCs w:val="20"/>
        </w:rPr>
        <w:t xml:space="preserve"> Publishers</w:t>
      </w:r>
      <w:r w:rsidRPr="00975F5A">
        <w:rPr>
          <w:rFonts w:ascii="Arial" w:hAnsi="Arial" w:cs="Arial"/>
          <w:sz w:val="20"/>
          <w:szCs w:val="20"/>
        </w:rPr>
        <w:t>.</w:t>
      </w:r>
    </w:p>
    <w:p w14:paraId="27B8128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Ali, A., Al-Kindi, Y. S., &amp; Al-Said, F. (2009). Chemical composition and </w:t>
      </w:r>
      <w:proofErr w:type="spellStart"/>
      <w:r w:rsidRPr="00975F5A">
        <w:rPr>
          <w:rFonts w:ascii="Arial" w:hAnsi="Arial" w:cs="Arial"/>
          <w:sz w:val="20"/>
          <w:szCs w:val="20"/>
        </w:rPr>
        <w:t>glycemic</w:t>
      </w:r>
      <w:proofErr w:type="spellEnd"/>
      <w:r w:rsidRPr="00975F5A">
        <w:rPr>
          <w:rFonts w:ascii="Arial" w:hAnsi="Arial" w:cs="Arial"/>
          <w:sz w:val="20"/>
          <w:szCs w:val="20"/>
        </w:rPr>
        <w:t xml:space="preserve"> index of three varieties of Omani dates. </w:t>
      </w:r>
      <w:r w:rsidRPr="00975F5A">
        <w:rPr>
          <w:rFonts w:ascii="Arial" w:hAnsi="Arial" w:cs="Arial"/>
          <w:i/>
          <w:iCs/>
          <w:sz w:val="20"/>
          <w:szCs w:val="20"/>
        </w:rPr>
        <w:t>International journal of food sciences and nutrition</w:t>
      </w:r>
      <w:r w:rsidRPr="00975F5A">
        <w:rPr>
          <w:rFonts w:ascii="Arial" w:hAnsi="Arial" w:cs="Arial"/>
          <w:sz w:val="20"/>
          <w:szCs w:val="20"/>
        </w:rPr>
        <w:t>, </w:t>
      </w:r>
      <w:r w:rsidRPr="00975F5A">
        <w:rPr>
          <w:rFonts w:ascii="Arial" w:hAnsi="Arial" w:cs="Arial"/>
          <w:i/>
          <w:iCs/>
          <w:sz w:val="20"/>
          <w:szCs w:val="20"/>
        </w:rPr>
        <w:t>60</w:t>
      </w:r>
      <w:r w:rsidRPr="00975F5A">
        <w:rPr>
          <w:rFonts w:ascii="Arial" w:hAnsi="Arial" w:cs="Arial"/>
          <w:sz w:val="20"/>
          <w:szCs w:val="20"/>
        </w:rPr>
        <w:t>(sup4), 51-62.</w:t>
      </w:r>
    </w:p>
    <w:p w14:paraId="5BAB34C8"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Al-Shahib, W., &amp; Marshall, R. J. (2002). Dietary fibre content of dates from 13 varieties of date palm Phoenix dactylifera L. </w:t>
      </w:r>
      <w:r w:rsidRPr="00975F5A">
        <w:rPr>
          <w:rFonts w:ascii="Arial" w:hAnsi="Arial" w:cs="Arial"/>
          <w:i/>
          <w:iCs/>
          <w:sz w:val="20"/>
          <w:szCs w:val="20"/>
        </w:rPr>
        <w:t>International Journal of Food Science and Technology</w:t>
      </w:r>
      <w:r w:rsidRPr="00975F5A">
        <w:rPr>
          <w:rFonts w:ascii="Arial" w:hAnsi="Arial" w:cs="Arial"/>
          <w:sz w:val="20"/>
          <w:szCs w:val="20"/>
        </w:rPr>
        <w:t>, </w:t>
      </w:r>
      <w:r w:rsidRPr="00975F5A">
        <w:rPr>
          <w:rFonts w:ascii="Arial" w:hAnsi="Arial" w:cs="Arial"/>
          <w:i/>
          <w:iCs/>
          <w:sz w:val="20"/>
          <w:szCs w:val="20"/>
        </w:rPr>
        <w:t>37</w:t>
      </w:r>
      <w:r w:rsidRPr="00975F5A">
        <w:rPr>
          <w:rFonts w:ascii="Arial" w:hAnsi="Arial" w:cs="Arial"/>
          <w:sz w:val="20"/>
          <w:szCs w:val="20"/>
        </w:rPr>
        <w:t>(6), 719-721.</w:t>
      </w:r>
    </w:p>
    <w:p w14:paraId="5214CCE6"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Al-Shahib, W., &amp; Marshall, R. J. (2003). The fruit of the date palm: its possible use as the best food for the future? </w:t>
      </w:r>
      <w:r w:rsidRPr="00975F5A">
        <w:rPr>
          <w:rFonts w:ascii="Arial" w:hAnsi="Arial" w:cs="Arial"/>
          <w:i/>
          <w:iCs/>
          <w:sz w:val="20"/>
          <w:szCs w:val="20"/>
        </w:rPr>
        <w:t>International journal of food sciences and nutrition</w:t>
      </w:r>
      <w:r w:rsidRPr="00975F5A">
        <w:rPr>
          <w:rFonts w:ascii="Arial" w:hAnsi="Arial" w:cs="Arial"/>
          <w:sz w:val="20"/>
          <w:szCs w:val="20"/>
        </w:rPr>
        <w:t>, </w:t>
      </w:r>
      <w:r w:rsidRPr="00975F5A">
        <w:rPr>
          <w:rFonts w:ascii="Arial" w:hAnsi="Arial" w:cs="Arial"/>
          <w:i/>
          <w:iCs/>
          <w:sz w:val="20"/>
          <w:szCs w:val="20"/>
        </w:rPr>
        <w:t>54</w:t>
      </w:r>
      <w:r w:rsidRPr="00975F5A">
        <w:rPr>
          <w:rFonts w:ascii="Arial" w:hAnsi="Arial" w:cs="Arial"/>
          <w:sz w:val="20"/>
          <w:szCs w:val="20"/>
        </w:rPr>
        <w:t>(4), 247-259.</w:t>
      </w:r>
    </w:p>
    <w:p w14:paraId="0305712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Chao, C. T., &amp; Krueger, R. R. (2007). The date palm (Phoenix dactylifera L.): overview of biology, uses, and cultivation. </w:t>
      </w:r>
      <w:proofErr w:type="spellStart"/>
      <w:r w:rsidRPr="00975F5A">
        <w:rPr>
          <w:rFonts w:ascii="Arial" w:hAnsi="Arial" w:cs="Arial"/>
          <w:i/>
          <w:iCs/>
          <w:sz w:val="20"/>
          <w:szCs w:val="20"/>
        </w:rPr>
        <w:t>HortScience</w:t>
      </w:r>
      <w:proofErr w:type="spellEnd"/>
      <w:r w:rsidRPr="00975F5A">
        <w:rPr>
          <w:rFonts w:ascii="Arial" w:hAnsi="Arial" w:cs="Arial"/>
          <w:sz w:val="20"/>
          <w:szCs w:val="20"/>
        </w:rPr>
        <w:t>, </w:t>
      </w:r>
      <w:r w:rsidRPr="00975F5A">
        <w:rPr>
          <w:rFonts w:ascii="Arial" w:hAnsi="Arial" w:cs="Arial"/>
          <w:i/>
          <w:iCs/>
          <w:sz w:val="20"/>
          <w:szCs w:val="20"/>
        </w:rPr>
        <w:t>42</w:t>
      </w:r>
      <w:r w:rsidRPr="00975F5A">
        <w:rPr>
          <w:rFonts w:ascii="Arial" w:hAnsi="Arial" w:cs="Arial"/>
          <w:sz w:val="20"/>
          <w:szCs w:val="20"/>
        </w:rPr>
        <w:t>(5), 1077-1082.</w:t>
      </w:r>
    </w:p>
    <w:p w14:paraId="02D246E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Zaid, A., &amp; de Wet, P. F. (2002). Date Palm Cultivation. FAO Plant Production and Protection Paper 156 Rev. 1. Food and Agricultural Organization of the United Nations.</w:t>
      </w:r>
    </w:p>
    <w:p w14:paraId="57F6B0B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proofErr w:type="spellStart"/>
      <w:r w:rsidRPr="00975F5A">
        <w:rPr>
          <w:rFonts w:ascii="Arial" w:hAnsi="Arial" w:cs="Arial"/>
          <w:sz w:val="20"/>
          <w:szCs w:val="20"/>
        </w:rPr>
        <w:t>Gradziel</w:t>
      </w:r>
      <w:proofErr w:type="spellEnd"/>
      <w:r w:rsidRPr="00975F5A">
        <w:rPr>
          <w:rFonts w:ascii="Arial" w:hAnsi="Arial" w:cs="Arial"/>
          <w:sz w:val="20"/>
          <w:szCs w:val="20"/>
        </w:rPr>
        <w:t>, T. M. (2008). Almond (Prunus dulcis) breeding. In </w:t>
      </w:r>
      <w:r w:rsidRPr="00975F5A">
        <w:rPr>
          <w:rFonts w:ascii="Arial" w:hAnsi="Arial" w:cs="Arial"/>
          <w:i/>
          <w:iCs/>
          <w:sz w:val="20"/>
          <w:szCs w:val="20"/>
        </w:rPr>
        <w:t>Breeding plantation tree crops: temperate species</w:t>
      </w:r>
      <w:r w:rsidRPr="00975F5A">
        <w:rPr>
          <w:rFonts w:ascii="Arial" w:hAnsi="Arial" w:cs="Arial"/>
          <w:sz w:val="20"/>
          <w:szCs w:val="20"/>
        </w:rPr>
        <w:t> (pp. 1-31). New York, NY: Springer New York.</w:t>
      </w:r>
    </w:p>
    <w:p w14:paraId="2DE607B6"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Shobha, S. V., Krishnaswamy, P. R., &amp; Ravindranath, B. (1992). Phenolic lipid composition during development of cashew. </w:t>
      </w:r>
      <w:r w:rsidRPr="00975F5A">
        <w:rPr>
          <w:rFonts w:ascii="Arial" w:hAnsi="Arial" w:cs="Arial"/>
          <w:i/>
          <w:iCs/>
          <w:sz w:val="20"/>
          <w:szCs w:val="20"/>
        </w:rPr>
        <w:t>Phytochemistry</w:t>
      </w:r>
      <w:r w:rsidRPr="00975F5A">
        <w:rPr>
          <w:rFonts w:ascii="Arial" w:hAnsi="Arial" w:cs="Arial"/>
          <w:sz w:val="20"/>
          <w:szCs w:val="20"/>
        </w:rPr>
        <w:t>, </w:t>
      </w:r>
      <w:r w:rsidRPr="00975F5A">
        <w:rPr>
          <w:rFonts w:ascii="Arial" w:hAnsi="Arial" w:cs="Arial"/>
          <w:i/>
          <w:iCs/>
          <w:sz w:val="20"/>
          <w:szCs w:val="20"/>
        </w:rPr>
        <w:t>31</w:t>
      </w:r>
      <w:r w:rsidRPr="00975F5A">
        <w:rPr>
          <w:rFonts w:ascii="Arial" w:hAnsi="Arial" w:cs="Arial"/>
          <w:sz w:val="20"/>
          <w:szCs w:val="20"/>
        </w:rPr>
        <w:t>(7), 2295-2297.</w:t>
      </w:r>
    </w:p>
    <w:p w14:paraId="6CC29BE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Trox, J., Vadivel, V., Vetter, W., </w:t>
      </w:r>
      <w:proofErr w:type="spellStart"/>
      <w:r w:rsidRPr="00975F5A">
        <w:rPr>
          <w:rFonts w:ascii="Arial" w:hAnsi="Arial" w:cs="Arial"/>
          <w:sz w:val="20"/>
          <w:szCs w:val="20"/>
        </w:rPr>
        <w:t>Stuetz</w:t>
      </w:r>
      <w:proofErr w:type="spellEnd"/>
      <w:r w:rsidRPr="00975F5A">
        <w:rPr>
          <w:rFonts w:ascii="Arial" w:hAnsi="Arial" w:cs="Arial"/>
          <w:sz w:val="20"/>
          <w:szCs w:val="20"/>
        </w:rPr>
        <w:t xml:space="preserve">, W., </w:t>
      </w:r>
      <w:proofErr w:type="spellStart"/>
      <w:r w:rsidRPr="00975F5A">
        <w:rPr>
          <w:rFonts w:ascii="Arial" w:hAnsi="Arial" w:cs="Arial"/>
          <w:sz w:val="20"/>
          <w:szCs w:val="20"/>
        </w:rPr>
        <w:t>Scherbaum</w:t>
      </w:r>
      <w:proofErr w:type="spellEnd"/>
      <w:r w:rsidRPr="00975F5A">
        <w:rPr>
          <w:rFonts w:ascii="Arial" w:hAnsi="Arial" w:cs="Arial"/>
          <w:sz w:val="20"/>
          <w:szCs w:val="20"/>
        </w:rPr>
        <w:t xml:space="preserve">, V., Gola, U., ... &amp; </w:t>
      </w:r>
      <w:proofErr w:type="spellStart"/>
      <w:r w:rsidRPr="00975F5A">
        <w:rPr>
          <w:rFonts w:ascii="Arial" w:hAnsi="Arial" w:cs="Arial"/>
          <w:sz w:val="20"/>
          <w:szCs w:val="20"/>
        </w:rPr>
        <w:t>Biesalski</w:t>
      </w:r>
      <w:proofErr w:type="spellEnd"/>
      <w:r w:rsidRPr="00975F5A">
        <w:rPr>
          <w:rFonts w:ascii="Arial" w:hAnsi="Arial" w:cs="Arial"/>
          <w:sz w:val="20"/>
          <w:szCs w:val="20"/>
        </w:rPr>
        <w:t>, H. K. (2010). Bioactive compounds in cashew nut (Anacardium occidentale L.) kernels: effect of different shelling methods. </w:t>
      </w:r>
      <w:r w:rsidRPr="00975F5A">
        <w:rPr>
          <w:rFonts w:ascii="Arial" w:hAnsi="Arial" w:cs="Arial"/>
          <w:i/>
          <w:iCs/>
          <w:sz w:val="20"/>
          <w:szCs w:val="20"/>
        </w:rPr>
        <w:t>Journal of agricultural and food chemistry</w:t>
      </w:r>
      <w:r w:rsidRPr="00975F5A">
        <w:rPr>
          <w:rFonts w:ascii="Arial" w:hAnsi="Arial" w:cs="Arial"/>
          <w:sz w:val="20"/>
          <w:szCs w:val="20"/>
        </w:rPr>
        <w:t>, </w:t>
      </w:r>
      <w:r w:rsidRPr="00975F5A">
        <w:rPr>
          <w:rFonts w:ascii="Arial" w:hAnsi="Arial" w:cs="Arial"/>
          <w:i/>
          <w:iCs/>
          <w:sz w:val="20"/>
          <w:szCs w:val="20"/>
        </w:rPr>
        <w:t>58</w:t>
      </w:r>
      <w:r w:rsidRPr="00975F5A">
        <w:rPr>
          <w:rFonts w:ascii="Arial" w:hAnsi="Arial" w:cs="Arial"/>
          <w:sz w:val="20"/>
          <w:szCs w:val="20"/>
        </w:rPr>
        <w:t>(9), 5341-5346.</w:t>
      </w:r>
    </w:p>
    <w:p w14:paraId="00E384AD"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proofErr w:type="spellStart"/>
      <w:r w:rsidRPr="00975F5A">
        <w:rPr>
          <w:rFonts w:ascii="Arial" w:hAnsi="Arial" w:cs="Arial"/>
          <w:sz w:val="20"/>
          <w:szCs w:val="20"/>
        </w:rPr>
        <w:t>Gandev</w:t>
      </w:r>
      <w:proofErr w:type="spellEnd"/>
      <w:r w:rsidRPr="00975F5A">
        <w:rPr>
          <w:rFonts w:ascii="Arial" w:hAnsi="Arial" w:cs="Arial"/>
          <w:sz w:val="20"/>
          <w:szCs w:val="20"/>
        </w:rPr>
        <w:t>, S. (2007). Budding and grafting of the walnut (Juglans regia L.) and their effectiveness in Bulgaria. </w:t>
      </w:r>
      <w:r w:rsidRPr="00975F5A">
        <w:rPr>
          <w:rFonts w:ascii="Arial" w:hAnsi="Arial" w:cs="Arial"/>
          <w:i/>
          <w:iCs/>
          <w:sz w:val="20"/>
          <w:szCs w:val="20"/>
        </w:rPr>
        <w:t>Bulgarian Journal of Agricultural Science</w:t>
      </w:r>
      <w:r w:rsidRPr="00975F5A">
        <w:rPr>
          <w:rFonts w:ascii="Arial" w:hAnsi="Arial" w:cs="Arial"/>
          <w:sz w:val="20"/>
          <w:szCs w:val="20"/>
        </w:rPr>
        <w:t>, </w:t>
      </w:r>
      <w:r w:rsidRPr="00975F5A">
        <w:rPr>
          <w:rFonts w:ascii="Arial" w:hAnsi="Arial" w:cs="Arial"/>
          <w:i/>
          <w:iCs/>
          <w:sz w:val="20"/>
          <w:szCs w:val="20"/>
        </w:rPr>
        <w:t>13</w:t>
      </w:r>
      <w:r w:rsidRPr="00975F5A">
        <w:rPr>
          <w:rFonts w:ascii="Arial" w:hAnsi="Arial" w:cs="Arial"/>
          <w:sz w:val="20"/>
          <w:szCs w:val="20"/>
        </w:rPr>
        <w:t>(6), 683.</w:t>
      </w:r>
    </w:p>
    <w:p w14:paraId="3365844A"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Davis, L., Stonehouse, W., Loots, D. T., </w:t>
      </w:r>
      <w:proofErr w:type="spellStart"/>
      <w:r w:rsidRPr="00975F5A">
        <w:rPr>
          <w:rFonts w:ascii="Arial" w:hAnsi="Arial" w:cs="Arial"/>
          <w:sz w:val="20"/>
          <w:szCs w:val="20"/>
        </w:rPr>
        <w:t>Mukuddem</w:t>
      </w:r>
      <w:proofErr w:type="spellEnd"/>
      <w:r w:rsidRPr="00975F5A">
        <w:rPr>
          <w:rFonts w:ascii="Arial" w:hAnsi="Arial" w:cs="Arial"/>
          <w:sz w:val="20"/>
          <w:szCs w:val="20"/>
        </w:rPr>
        <w:t xml:space="preserve">-Petersen, J., van der Westhuizen, F. H., Hanekom, S. M., &amp; </w:t>
      </w:r>
      <w:proofErr w:type="spellStart"/>
      <w:r w:rsidRPr="00975F5A">
        <w:rPr>
          <w:rFonts w:ascii="Arial" w:hAnsi="Arial" w:cs="Arial"/>
          <w:sz w:val="20"/>
          <w:szCs w:val="20"/>
        </w:rPr>
        <w:t>Jerling</w:t>
      </w:r>
      <w:proofErr w:type="spellEnd"/>
      <w:r w:rsidRPr="00975F5A">
        <w:rPr>
          <w:rFonts w:ascii="Arial" w:hAnsi="Arial" w:cs="Arial"/>
          <w:sz w:val="20"/>
          <w:szCs w:val="20"/>
        </w:rPr>
        <w:t>, J. C. (2007). The effects of high walnut and cashew nut diets on the antioxidant status of subjects with metabolic syndrome. </w:t>
      </w:r>
      <w:r w:rsidRPr="00975F5A">
        <w:rPr>
          <w:rFonts w:ascii="Arial" w:hAnsi="Arial" w:cs="Arial"/>
          <w:i/>
          <w:iCs/>
          <w:sz w:val="20"/>
          <w:szCs w:val="20"/>
        </w:rPr>
        <w:t>European journal of nutrition</w:t>
      </w:r>
      <w:r w:rsidRPr="00975F5A">
        <w:rPr>
          <w:rFonts w:ascii="Arial" w:hAnsi="Arial" w:cs="Arial"/>
          <w:sz w:val="20"/>
          <w:szCs w:val="20"/>
        </w:rPr>
        <w:t>, </w:t>
      </w:r>
      <w:r w:rsidRPr="00975F5A">
        <w:rPr>
          <w:rFonts w:ascii="Arial" w:hAnsi="Arial" w:cs="Arial"/>
          <w:i/>
          <w:iCs/>
          <w:sz w:val="20"/>
          <w:szCs w:val="20"/>
        </w:rPr>
        <w:t>46</w:t>
      </w:r>
      <w:r w:rsidRPr="00975F5A">
        <w:rPr>
          <w:rFonts w:ascii="Arial" w:hAnsi="Arial" w:cs="Arial"/>
          <w:sz w:val="20"/>
          <w:szCs w:val="20"/>
        </w:rPr>
        <w:t>(3), 155-164.</w:t>
      </w:r>
    </w:p>
    <w:p w14:paraId="5890E180"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Sze</w:t>
      </w:r>
      <w:r w:rsidRPr="00975F5A">
        <w:rPr>
          <w:rFonts w:ascii="Cambria Math" w:hAnsi="Cambria Math" w:cs="Cambria Math"/>
          <w:sz w:val="20"/>
          <w:szCs w:val="20"/>
        </w:rPr>
        <w:t>‐</w:t>
      </w:r>
      <w:r w:rsidRPr="00975F5A">
        <w:rPr>
          <w:rFonts w:ascii="Arial" w:hAnsi="Arial" w:cs="Arial"/>
          <w:sz w:val="20"/>
          <w:szCs w:val="20"/>
        </w:rPr>
        <w:t>Tao, K. W. C., &amp; Sathe, S. K. (2000). Walnuts (Juglans regia L): proximate composition, protein solubility, protein amino acid composition and protein in vitro digestibility. </w:t>
      </w:r>
      <w:r w:rsidRPr="00975F5A">
        <w:rPr>
          <w:rFonts w:ascii="Arial" w:hAnsi="Arial" w:cs="Arial"/>
          <w:i/>
          <w:iCs/>
          <w:sz w:val="20"/>
          <w:szCs w:val="20"/>
        </w:rPr>
        <w:t>Journal of the Science of Food and Agriculture</w:t>
      </w:r>
      <w:r w:rsidRPr="00975F5A">
        <w:rPr>
          <w:rFonts w:ascii="Arial" w:hAnsi="Arial" w:cs="Arial"/>
          <w:sz w:val="20"/>
          <w:szCs w:val="20"/>
        </w:rPr>
        <w:t>, </w:t>
      </w:r>
      <w:r w:rsidRPr="00975F5A">
        <w:rPr>
          <w:rFonts w:ascii="Arial" w:hAnsi="Arial" w:cs="Arial"/>
          <w:i/>
          <w:iCs/>
          <w:sz w:val="20"/>
          <w:szCs w:val="20"/>
        </w:rPr>
        <w:t>80</w:t>
      </w:r>
      <w:r w:rsidRPr="00975F5A">
        <w:rPr>
          <w:rFonts w:ascii="Arial" w:hAnsi="Arial" w:cs="Arial"/>
          <w:sz w:val="20"/>
          <w:szCs w:val="20"/>
        </w:rPr>
        <w:t>(9), 1393-1401.</w:t>
      </w:r>
    </w:p>
    <w:p w14:paraId="4927CFF1"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Dreher, Mark L. "Pistachio nuts: composition and potential health benefits." </w:t>
      </w:r>
      <w:r w:rsidRPr="00975F5A">
        <w:rPr>
          <w:rFonts w:ascii="Arial" w:hAnsi="Arial" w:cs="Arial"/>
          <w:i/>
          <w:iCs/>
          <w:sz w:val="20"/>
          <w:szCs w:val="20"/>
        </w:rPr>
        <w:t>Nutrition reviews</w:t>
      </w:r>
      <w:r w:rsidRPr="00975F5A">
        <w:rPr>
          <w:rFonts w:ascii="Arial" w:hAnsi="Arial" w:cs="Arial"/>
          <w:sz w:val="20"/>
          <w:szCs w:val="20"/>
        </w:rPr>
        <w:t> 70, no. 4 (2012): 234-240.</w:t>
      </w:r>
    </w:p>
    <w:p w14:paraId="17612A0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proofErr w:type="spellStart"/>
      <w:r w:rsidRPr="00975F5A">
        <w:rPr>
          <w:rFonts w:ascii="Arial" w:hAnsi="Arial" w:cs="Arial"/>
          <w:sz w:val="20"/>
          <w:szCs w:val="20"/>
        </w:rPr>
        <w:t>Bulló</w:t>
      </w:r>
      <w:proofErr w:type="spellEnd"/>
      <w:r w:rsidRPr="00975F5A">
        <w:rPr>
          <w:rFonts w:ascii="Arial" w:hAnsi="Arial" w:cs="Arial"/>
          <w:sz w:val="20"/>
          <w:szCs w:val="20"/>
        </w:rPr>
        <w:t xml:space="preserve">, M., </w:t>
      </w:r>
      <w:proofErr w:type="spellStart"/>
      <w:r w:rsidRPr="00975F5A">
        <w:rPr>
          <w:rFonts w:ascii="Arial" w:hAnsi="Arial" w:cs="Arial"/>
          <w:sz w:val="20"/>
          <w:szCs w:val="20"/>
        </w:rPr>
        <w:t>Juanola-Falgarona</w:t>
      </w:r>
      <w:proofErr w:type="spellEnd"/>
      <w:r w:rsidRPr="00975F5A">
        <w:rPr>
          <w:rFonts w:ascii="Arial" w:hAnsi="Arial" w:cs="Arial"/>
          <w:sz w:val="20"/>
          <w:szCs w:val="20"/>
        </w:rPr>
        <w:t>, M., Hernández-Alonso, P., &amp; Salas-Salvadó, J. (2015). Nutrition attributes and health effects of pistachio nuts. </w:t>
      </w:r>
      <w:r w:rsidRPr="00975F5A">
        <w:rPr>
          <w:rFonts w:ascii="Arial" w:hAnsi="Arial" w:cs="Arial"/>
          <w:i/>
          <w:iCs/>
          <w:sz w:val="20"/>
          <w:szCs w:val="20"/>
        </w:rPr>
        <w:t>British Journal of Nutrition</w:t>
      </w:r>
      <w:r w:rsidRPr="00975F5A">
        <w:rPr>
          <w:rFonts w:ascii="Arial" w:hAnsi="Arial" w:cs="Arial"/>
          <w:sz w:val="20"/>
          <w:szCs w:val="20"/>
        </w:rPr>
        <w:t>, </w:t>
      </w:r>
      <w:r w:rsidRPr="00975F5A">
        <w:rPr>
          <w:rFonts w:ascii="Arial" w:hAnsi="Arial" w:cs="Arial"/>
          <w:i/>
          <w:iCs/>
          <w:sz w:val="20"/>
          <w:szCs w:val="20"/>
        </w:rPr>
        <w:t>113</w:t>
      </w:r>
      <w:r w:rsidRPr="00975F5A">
        <w:rPr>
          <w:rFonts w:ascii="Arial" w:hAnsi="Arial" w:cs="Arial"/>
          <w:sz w:val="20"/>
          <w:szCs w:val="20"/>
        </w:rPr>
        <w:t>(S2), S79-S93.</w:t>
      </w:r>
    </w:p>
    <w:p w14:paraId="0595B0A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Bailey, H. M., &amp; Stein, H. H. (2020). Raw and roasted pistachio nuts (Pistacia vera L.) are ‘</w:t>
      </w:r>
      <w:proofErr w:type="spellStart"/>
      <w:r w:rsidRPr="00975F5A">
        <w:rPr>
          <w:rFonts w:ascii="Arial" w:hAnsi="Arial" w:cs="Arial"/>
          <w:sz w:val="20"/>
          <w:szCs w:val="20"/>
        </w:rPr>
        <w:t>good’sources</w:t>
      </w:r>
      <w:proofErr w:type="spellEnd"/>
      <w:r w:rsidRPr="00975F5A">
        <w:rPr>
          <w:rFonts w:ascii="Arial" w:hAnsi="Arial" w:cs="Arial"/>
          <w:sz w:val="20"/>
          <w:szCs w:val="20"/>
        </w:rPr>
        <w:t xml:space="preserve"> of protein based on their digestible indispensable amino acid score as determined in pigs. </w:t>
      </w:r>
      <w:r w:rsidRPr="00975F5A">
        <w:rPr>
          <w:rFonts w:ascii="Arial" w:hAnsi="Arial" w:cs="Arial"/>
          <w:i/>
          <w:iCs/>
          <w:sz w:val="20"/>
          <w:szCs w:val="20"/>
        </w:rPr>
        <w:t>Journal of the Science of Food and Agriculture</w:t>
      </w:r>
      <w:r w:rsidRPr="00975F5A">
        <w:rPr>
          <w:rFonts w:ascii="Arial" w:hAnsi="Arial" w:cs="Arial"/>
          <w:sz w:val="20"/>
          <w:szCs w:val="20"/>
        </w:rPr>
        <w:t>, </w:t>
      </w:r>
      <w:r w:rsidRPr="00975F5A">
        <w:rPr>
          <w:rFonts w:ascii="Arial" w:hAnsi="Arial" w:cs="Arial"/>
          <w:i/>
          <w:iCs/>
          <w:sz w:val="20"/>
          <w:szCs w:val="20"/>
        </w:rPr>
        <w:t>100</w:t>
      </w:r>
      <w:r w:rsidRPr="00975F5A">
        <w:rPr>
          <w:rFonts w:ascii="Arial" w:hAnsi="Arial" w:cs="Arial"/>
          <w:sz w:val="20"/>
          <w:szCs w:val="20"/>
        </w:rPr>
        <w:t>(10), 3878-3885.</w:t>
      </w:r>
    </w:p>
    <w:p w14:paraId="5AA697EF"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Sang, S., &amp; Chu, Y. (2017). Whole grain oats, more than just a </w:t>
      </w:r>
      <w:proofErr w:type="spellStart"/>
      <w:r w:rsidRPr="00975F5A">
        <w:rPr>
          <w:rFonts w:ascii="Arial" w:hAnsi="Arial" w:cs="Arial"/>
          <w:sz w:val="20"/>
          <w:szCs w:val="20"/>
        </w:rPr>
        <w:t>fiber</w:t>
      </w:r>
      <w:proofErr w:type="spellEnd"/>
      <w:r w:rsidRPr="00975F5A">
        <w:rPr>
          <w:rFonts w:ascii="Arial" w:hAnsi="Arial" w:cs="Arial"/>
          <w:sz w:val="20"/>
          <w:szCs w:val="20"/>
        </w:rPr>
        <w:t>: Role of unique phytochemicals. </w:t>
      </w:r>
      <w:r w:rsidRPr="00975F5A">
        <w:rPr>
          <w:rFonts w:ascii="Arial" w:hAnsi="Arial" w:cs="Arial"/>
          <w:i/>
          <w:iCs/>
          <w:sz w:val="20"/>
          <w:szCs w:val="20"/>
        </w:rPr>
        <w:t>Molecular nutrition &amp; food research</w:t>
      </w:r>
      <w:r w:rsidRPr="00975F5A">
        <w:rPr>
          <w:rFonts w:ascii="Arial" w:hAnsi="Arial" w:cs="Arial"/>
          <w:sz w:val="20"/>
          <w:szCs w:val="20"/>
        </w:rPr>
        <w:t>, </w:t>
      </w:r>
      <w:r w:rsidRPr="00975F5A">
        <w:rPr>
          <w:rFonts w:ascii="Arial" w:hAnsi="Arial" w:cs="Arial"/>
          <w:i/>
          <w:iCs/>
          <w:sz w:val="20"/>
          <w:szCs w:val="20"/>
        </w:rPr>
        <w:t>61</w:t>
      </w:r>
      <w:r w:rsidRPr="00975F5A">
        <w:rPr>
          <w:rFonts w:ascii="Arial" w:hAnsi="Arial" w:cs="Arial"/>
          <w:sz w:val="20"/>
          <w:szCs w:val="20"/>
        </w:rPr>
        <w:t>(7), 1600715.</w:t>
      </w:r>
    </w:p>
    <w:p w14:paraId="441F9E8A"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lastRenderedPageBreak/>
        <w:t>Paudel, D., Caffe-Treml, M., &amp; Krishnan, P. (2018). A single analytical platform for the rapid and simultaneous measurement of protein, oil, and beta-glucan contents of oats using near-infrared reflectance spectroscopy. </w:t>
      </w:r>
      <w:r w:rsidRPr="00975F5A">
        <w:rPr>
          <w:rFonts w:ascii="Arial" w:hAnsi="Arial" w:cs="Arial"/>
          <w:i/>
          <w:iCs/>
          <w:sz w:val="20"/>
          <w:szCs w:val="20"/>
        </w:rPr>
        <w:t>Cereal Foods World</w:t>
      </w:r>
      <w:r w:rsidRPr="00975F5A">
        <w:rPr>
          <w:rFonts w:ascii="Arial" w:hAnsi="Arial" w:cs="Arial"/>
          <w:sz w:val="20"/>
          <w:szCs w:val="20"/>
        </w:rPr>
        <w:t>, </w:t>
      </w:r>
      <w:r w:rsidRPr="00975F5A">
        <w:rPr>
          <w:rFonts w:ascii="Arial" w:hAnsi="Arial" w:cs="Arial"/>
          <w:i/>
          <w:iCs/>
          <w:sz w:val="20"/>
          <w:szCs w:val="20"/>
        </w:rPr>
        <w:t>63</w:t>
      </w:r>
      <w:r w:rsidRPr="00975F5A">
        <w:rPr>
          <w:rFonts w:ascii="Arial" w:hAnsi="Arial" w:cs="Arial"/>
          <w:sz w:val="20"/>
          <w:szCs w:val="20"/>
        </w:rPr>
        <w:t>(1), 17-25.</w:t>
      </w:r>
    </w:p>
    <w:p w14:paraId="0C11F17F"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Joyce, S. A., Kamil, A., </w:t>
      </w:r>
      <w:proofErr w:type="spellStart"/>
      <w:r w:rsidRPr="00975F5A">
        <w:rPr>
          <w:rFonts w:ascii="Arial" w:hAnsi="Arial" w:cs="Arial"/>
          <w:sz w:val="20"/>
          <w:szCs w:val="20"/>
        </w:rPr>
        <w:t>Fleige</w:t>
      </w:r>
      <w:proofErr w:type="spellEnd"/>
      <w:r w:rsidRPr="00975F5A">
        <w:rPr>
          <w:rFonts w:ascii="Arial" w:hAnsi="Arial" w:cs="Arial"/>
          <w:sz w:val="20"/>
          <w:szCs w:val="20"/>
        </w:rPr>
        <w:t>, L., &amp; Gahan, C. G. (2019). The cholesterol-lowering effect of oats and oat beta glucan: modes of action and potential role of bile acids and the microbiome. </w:t>
      </w:r>
      <w:r w:rsidRPr="00975F5A">
        <w:rPr>
          <w:rFonts w:ascii="Arial" w:hAnsi="Arial" w:cs="Arial"/>
          <w:i/>
          <w:iCs/>
          <w:sz w:val="20"/>
          <w:szCs w:val="20"/>
        </w:rPr>
        <w:t>Frontiers in nutrition</w:t>
      </w:r>
      <w:r w:rsidRPr="00975F5A">
        <w:rPr>
          <w:rFonts w:ascii="Arial" w:hAnsi="Arial" w:cs="Arial"/>
          <w:sz w:val="20"/>
          <w:szCs w:val="20"/>
        </w:rPr>
        <w:t>, </w:t>
      </w:r>
      <w:r w:rsidRPr="00975F5A">
        <w:rPr>
          <w:rFonts w:ascii="Arial" w:hAnsi="Arial" w:cs="Arial"/>
          <w:i/>
          <w:iCs/>
          <w:sz w:val="20"/>
          <w:szCs w:val="20"/>
        </w:rPr>
        <w:t>6</w:t>
      </w:r>
      <w:r w:rsidRPr="00975F5A">
        <w:rPr>
          <w:rFonts w:ascii="Arial" w:hAnsi="Arial" w:cs="Arial"/>
          <w:sz w:val="20"/>
          <w:szCs w:val="20"/>
        </w:rPr>
        <w:t>, 171.</w:t>
      </w:r>
    </w:p>
    <w:p w14:paraId="276A550D"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Whitehead, A., Beck, E. J., Tosh, S., &amp; Wolever, T. M. (2014). Cholesterol-lowering effects of oat β-glucan: a meta-analysis of randomized controlled trials. </w:t>
      </w:r>
      <w:r w:rsidRPr="00975F5A">
        <w:rPr>
          <w:rFonts w:ascii="Arial" w:hAnsi="Arial" w:cs="Arial"/>
          <w:i/>
          <w:iCs/>
          <w:sz w:val="20"/>
          <w:szCs w:val="20"/>
        </w:rPr>
        <w:t>The American journal of clinical nutrition</w:t>
      </w:r>
      <w:r w:rsidRPr="00975F5A">
        <w:rPr>
          <w:rFonts w:ascii="Arial" w:hAnsi="Arial" w:cs="Arial"/>
          <w:sz w:val="20"/>
          <w:szCs w:val="20"/>
        </w:rPr>
        <w:t>, </w:t>
      </w:r>
      <w:r w:rsidRPr="00975F5A">
        <w:rPr>
          <w:rFonts w:ascii="Arial" w:hAnsi="Arial" w:cs="Arial"/>
          <w:i/>
          <w:iCs/>
          <w:sz w:val="20"/>
          <w:szCs w:val="20"/>
        </w:rPr>
        <w:t>100</w:t>
      </w:r>
      <w:r w:rsidRPr="00975F5A">
        <w:rPr>
          <w:rFonts w:ascii="Arial" w:hAnsi="Arial" w:cs="Arial"/>
          <w:sz w:val="20"/>
          <w:szCs w:val="20"/>
        </w:rPr>
        <w:t>(6), 1413-1421.</w:t>
      </w:r>
    </w:p>
    <w:p w14:paraId="354DAB3D"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Sterna, V., </w:t>
      </w:r>
      <w:proofErr w:type="spellStart"/>
      <w:r w:rsidRPr="00975F5A">
        <w:rPr>
          <w:rFonts w:ascii="Arial" w:hAnsi="Arial" w:cs="Arial"/>
          <w:sz w:val="20"/>
          <w:szCs w:val="20"/>
        </w:rPr>
        <w:t>Zute</w:t>
      </w:r>
      <w:proofErr w:type="spellEnd"/>
      <w:r w:rsidRPr="00975F5A">
        <w:rPr>
          <w:rFonts w:ascii="Arial" w:hAnsi="Arial" w:cs="Arial"/>
          <w:sz w:val="20"/>
          <w:szCs w:val="20"/>
        </w:rPr>
        <w:t xml:space="preserve">, S., &amp; </w:t>
      </w:r>
      <w:proofErr w:type="spellStart"/>
      <w:r w:rsidRPr="00975F5A">
        <w:rPr>
          <w:rFonts w:ascii="Arial" w:hAnsi="Arial" w:cs="Arial"/>
          <w:sz w:val="20"/>
          <w:szCs w:val="20"/>
        </w:rPr>
        <w:t>Brunava</w:t>
      </w:r>
      <w:proofErr w:type="spellEnd"/>
      <w:r w:rsidRPr="00975F5A">
        <w:rPr>
          <w:rFonts w:ascii="Arial" w:hAnsi="Arial" w:cs="Arial"/>
          <w:sz w:val="20"/>
          <w:szCs w:val="20"/>
        </w:rPr>
        <w:t>, L. (2016). Oat grain composition and its nutrition benefice. </w:t>
      </w:r>
      <w:r w:rsidRPr="00975F5A">
        <w:rPr>
          <w:rFonts w:ascii="Arial" w:hAnsi="Arial" w:cs="Arial"/>
          <w:i/>
          <w:iCs/>
          <w:sz w:val="20"/>
          <w:szCs w:val="20"/>
        </w:rPr>
        <w:t xml:space="preserve">Agriculture and agricultural science </w:t>
      </w:r>
      <w:proofErr w:type="spellStart"/>
      <w:r w:rsidRPr="00975F5A">
        <w:rPr>
          <w:rFonts w:ascii="Arial" w:hAnsi="Arial" w:cs="Arial"/>
          <w:i/>
          <w:iCs/>
          <w:sz w:val="20"/>
          <w:szCs w:val="20"/>
        </w:rPr>
        <w:t>procedia</w:t>
      </w:r>
      <w:proofErr w:type="spellEnd"/>
      <w:r w:rsidRPr="00975F5A">
        <w:rPr>
          <w:rFonts w:ascii="Arial" w:hAnsi="Arial" w:cs="Arial"/>
          <w:sz w:val="20"/>
          <w:szCs w:val="20"/>
        </w:rPr>
        <w:t>, </w:t>
      </w:r>
      <w:r w:rsidRPr="00975F5A">
        <w:rPr>
          <w:rFonts w:ascii="Arial" w:hAnsi="Arial" w:cs="Arial"/>
          <w:i/>
          <w:iCs/>
          <w:sz w:val="20"/>
          <w:szCs w:val="20"/>
        </w:rPr>
        <w:t>8</w:t>
      </w:r>
      <w:r w:rsidRPr="00975F5A">
        <w:rPr>
          <w:rFonts w:ascii="Arial" w:hAnsi="Arial" w:cs="Arial"/>
          <w:sz w:val="20"/>
          <w:szCs w:val="20"/>
        </w:rPr>
        <w:t>, 252-256.</w:t>
      </w:r>
    </w:p>
    <w:p w14:paraId="7FAF22FD"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Małecki, J., Tomasevic, I., &amp; </w:t>
      </w:r>
      <w:proofErr w:type="spellStart"/>
      <w:r w:rsidRPr="00975F5A">
        <w:rPr>
          <w:rFonts w:ascii="Arial" w:hAnsi="Arial" w:cs="Arial"/>
          <w:sz w:val="20"/>
          <w:szCs w:val="20"/>
        </w:rPr>
        <w:t>Sołowiej</w:t>
      </w:r>
      <w:proofErr w:type="spellEnd"/>
      <w:r w:rsidRPr="00975F5A">
        <w:rPr>
          <w:rFonts w:ascii="Arial" w:hAnsi="Arial" w:cs="Arial"/>
          <w:sz w:val="20"/>
          <w:szCs w:val="20"/>
        </w:rPr>
        <w:t xml:space="preserve">, B. G. (2022). The Influence of the Syrup Type on Rheology, </w:t>
      </w:r>
      <w:proofErr w:type="spellStart"/>
      <w:r w:rsidRPr="00975F5A">
        <w:rPr>
          <w:rFonts w:ascii="Arial" w:hAnsi="Arial" w:cs="Arial"/>
          <w:sz w:val="20"/>
          <w:szCs w:val="20"/>
        </w:rPr>
        <w:t>Color</w:t>
      </w:r>
      <w:proofErr w:type="spellEnd"/>
      <w:r w:rsidRPr="00975F5A">
        <w:rPr>
          <w:rFonts w:ascii="Arial" w:hAnsi="Arial" w:cs="Arial"/>
          <w:sz w:val="20"/>
          <w:szCs w:val="20"/>
        </w:rPr>
        <w:t xml:space="preserve"> Differences, Water Activity, and Nutritional and Sensory Aspects of High</w:t>
      </w:r>
      <w:r w:rsidRPr="00975F5A">
        <w:rPr>
          <w:rFonts w:ascii="Cambria Math" w:hAnsi="Cambria Math" w:cs="Cambria Math"/>
          <w:sz w:val="20"/>
          <w:szCs w:val="20"/>
        </w:rPr>
        <w:t>‐</w:t>
      </w:r>
      <w:r w:rsidRPr="00975F5A">
        <w:rPr>
          <w:rFonts w:ascii="Arial" w:hAnsi="Arial" w:cs="Arial"/>
          <w:sz w:val="20"/>
          <w:szCs w:val="20"/>
        </w:rPr>
        <w:t>Protein Bars for Sportsmen. Journal of Food Quality, 2022(1), 2317676.</w:t>
      </w:r>
    </w:p>
    <w:p w14:paraId="7CDE5053"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Małecki, J., </w:t>
      </w:r>
      <w:proofErr w:type="spellStart"/>
      <w:r w:rsidRPr="00975F5A">
        <w:rPr>
          <w:rFonts w:ascii="Arial" w:hAnsi="Arial" w:cs="Arial"/>
          <w:sz w:val="20"/>
          <w:szCs w:val="20"/>
        </w:rPr>
        <w:t>Terpiłowski</w:t>
      </w:r>
      <w:proofErr w:type="spellEnd"/>
      <w:r w:rsidRPr="00975F5A">
        <w:rPr>
          <w:rFonts w:ascii="Arial" w:hAnsi="Arial" w:cs="Arial"/>
          <w:sz w:val="20"/>
          <w:szCs w:val="20"/>
        </w:rPr>
        <w:t xml:space="preserve">, K., </w:t>
      </w:r>
      <w:proofErr w:type="spellStart"/>
      <w:r w:rsidRPr="00975F5A">
        <w:rPr>
          <w:rFonts w:ascii="Arial" w:hAnsi="Arial" w:cs="Arial"/>
          <w:sz w:val="20"/>
          <w:szCs w:val="20"/>
        </w:rPr>
        <w:t>Nastaj</w:t>
      </w:r>
      <w:proofErr w:type="spellEnd"/>
      <w:r w:rsidRPr="00975F5A">
        <w:rPr>
          <w:rFonts w:ascii="Arial" w:hAnsi="Arial" w:cs="Arial"/>
          <w:sz w:val="20"/>
          <w:szCs w:val="20"/>
        </w:rPr>
        <w:t xml:space="preserve">, M., &amp; </w:t>
      </w:r>
      <w:proofErr w:type="spellStart"/>
      <w:r w:rsidRPr="00975F5A">
        <w:rPr>
          <w:rFonts w:ascii="Arial" w:hAnsi="Arial" w:cs="Arial"/>
          <w:sz w:val="20"/>
          <w:szCs w:val="20"/>
        </w:rPr>
        <w:t>Sołowiej</w:t>
      </w:r>
      <w:proofErr w:type="spellEnd"/>
      <w:r w:rsidRPr="00975F5A">
        <w:rPr>
          <w:rFonts w:ascii="Arial" w:hAnsi="Arial" w:cs="Arial"/>
          <w:sz w:val="20"/>
          <w:szCs w:val="20"/>
        </w:rPr>
        <w:t>, B. G. (2022). Physicochemical, nutritional, microstructural, surface and sensory properties of a model high-protein bars intended for athletes depending on the type of protein and syrup used. International journal of environmental research and public health, 19(7), 3923.</w:t>
      </w:r>
    </w:p>
    <w:p w14:paraId="77BC6946"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Gill NS, Bajwa J, Sharma P, Dhiman K, Sood S, Sharma PD, Singh B and Bali M. Evaluation of antioxidant and anti-ulcer activity of traditionally consumed Cucumis melo seeds. Journal of Pharmacology and Toxicology; 2011; 6 (1): 82-89.</w:t>
      </w:r>
    </w:p>
    <w:p w14:paraId="121F9CA4"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Milind, P., &amp; Kulwant, S. (2011). Musk melon is eat-must melon. </w:t>
      </w:r>
      <w:proofErr w:type="spellStart"/>
      <w:r w:rsidRPr="00975F5A">
        <w:rPr>
          <w:rFonts w:ascii="Arial" w:hAnsi="Arial" w:cs="Arial"/>
          <w:sz w:val="20"/>
          <w:szCs w:val="20"/>
        </w:rPr>
        <w:t>Irjp</w:t>
      </w:r>
      <w:proofErr w:type="spellEnd"/>
      <w:r w:rsidRPr="00975F5A">
        <w:rPr>
          <w:rFonts w:ascii="Arial" w:hAnsi="Arial" w:cs="Arial"/>
          <w:sz w:val="20"/>
          <w:szCs w:val="20"/>
        </w:rPr>
        <w:t>, 2(8), 52-57.</w:t>
      </w:r>
    </w:p>
    <w:p w14:paraId="61C8FCF1"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Soh, R. S. S. R., </w:t>
      </w:r>
      <w:proofErr w:type="spellStart"/>
      <w:r w:rsidRPr="00975F5A">
        <w:rPr>
          <w:rFonts w:ascii="Arial" w:hAnsi="Arial" w:cs="Arial"/>
          <w:sz w:val="20"/>
          <w:szCs w:val="20"/>
        </w:rPr>
        <w:t>Hapidin</w:t>
      </w:r>
      <w:proofErr w:type="spellEnd"/>
      <w:r w:rsidRPr="00975F5A">
        <w:rPr>
          <w:rFonts w:ascii="Arial" w:hAnsi="Arial" w:cs="Arial"/>
          <w:sz w:val="20"/>
          <w:szCs w:val="20"/>
        </w:rPr>
        <w:t xml:space="preserve">, H., &amp; </w:t>
      </w:r>
      <w:proofErr w:type="spellStart"/>
      <w:r w:rsidRPr="00975F5A">
        <w:rPr>
          <w:rFonts w:ascii="Arial" w:hAnsi="Arial" w:cs="Arial"/>
          <w:sz w:val="20"/>
          <w:szCs w:val="20"/>
        </w:rPr>
        <w:t>Kasiram</w:t>
      </w:r>
      <w:proofErr w:type="spellEnd"/>
      <w:r w:rsidRPr="00975F5A">
        <w:rPr>
          <w:rFonts w:ascii="Arial" w:hAnsi="Arial" w:cs="Arial"/>
          <w:sz w:val="20"/>
          <w:szCs w:val="20"/>
        </w:rPr>
        <w:t>, M. Z. (2024). A scoping review on Cucumis melo and its anti-cancer properties. </w:t>
      </w:r>
      <w:r w:rsidRPr="00975F5A">
        <w:rPr>
          <w:rFonts w:ascii="Arial" w:hAnsi="Arial" w:cs="Arial"/>
          <w:i/>
          <w:iCs/>
          <w:sz w:val="20"/>
          <w:szCs w:val="20"/>
        </w:rPr>
        <w:t>The Malaysian Journal of Medical Sciences: MJMS</w:t>
      </w:r>
      <w:r w:rsidRPr="00975F5A">
        <w:rPr>
          <w:rFonts w:ascii="Arial" w:hAnsi="Arial" w:cs="Arial"/>
          <w:sz w:val="20"/>
          <w:szCs w:val="20"/>
        </w:rPr>
        <w:t>, </w:t>
      </w:r>
      <w:r w:rsidRPr="00975F5A">
        <w:rPr>
          <w:rFonts w:ascii="Arial" w:hAnsi="Arial" w:cs="Arial"/>
          <w:i/>
          <w:iCs/>
          <w:sz w:val="20"/>
          <w:szCs w:val="20"/>
        </w:rPr>
        <w:t>31</w:t>
      </w:r>
      <w:r w:rsidRPr="00975F5A">
        <w:rPr>
          <w:rFonts w:ascii="Arial" w:hAnsi="Arial" w:cs="Arial"/>
          <w:sz w:val="20"/>
          <w:szCs w:val="20"/>
        </w:rPr>
        <w:t>(4), 63.</w:t>
      </w:r>
    </w:p>
    <w:p w14:paraId="769CA0AF"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Wahdan, O., </w:t>
      </w:r>
      <w:proofErr w:type="spellStart"/>
      <w:r w:rsidRPr="00975F5A">
        <w:rPr>
          <w:rFonts w:ascii="Arial" w:hAnsi="Arial" w:cs="Arial"/>
          <w:sz w:val="20"/>
          <w:szCs w:val="20"/>
        </w:rPr>
        <w:t>Bassuony</w:t>
      </w:r>
      <w:proofErr w:type="spellEnd"/>
      <w:r w:rsidRPr="00975F5A">
        <w:rPr>
          <w:rFonts w:ascii="Arial" w:hAnsi="Arial" w:cs="Arial"/>
          <w:sz w:val="20"/>
          <w:szCs w:val="20"/>
        </w:rPr>
        <w:t>, N., Abd El-Ghany, Z., &amp; El-</w:t>
      </w:r>
      <w:proofErr w:type="spellStart"/>
      <w:r w:rsidRPr="00975F5A">
        <w:rPr>
          <w:rFonts w:ascii="Arial" w:hAnsi="Arial" w:cs="Arial"/>
          <w:sz w:val="20"/>
          <w:szCs w:val="20"/>
        </w:rPr>
        <w:t>Chaghaby</w:t>
      </w:r>
      <w:proofErr w:type="spellEnd"/>
      <w:r w:rsidRPr="00975F5A">
        <w:rPr>
          <w:rFonts w:ascii="Arial" w:hAnsi="Arial" w:cs="Arial"/>
          <w:sz w:val="20"/>
          <w:szCs w:val="20"/>
        </w:rPr>
        <w:t>, G. (2016). Antioxidant activity, antibacterial screening, proximate composition and GC-mass spectrometry analysis of cantaloupe seeds. </w:t>
      </w:r>
      <w:r w:rsidRPr="00975F5A">
        <w:rPr>
          <w:rFonts w:ascii="Arial" w:hAnsi="Arial" w:cs="Arial"/>
          <w:i/>
          <w:iCs/>
          <w:sz w:val="20"/>
          <w:szCs w:val="20"/>
        </w:rPr>
        <w:t>Journal of Agricultural Chemistry and Biotechnology</w:t>
      </w:r>
      <w:r w:rsidRPr="00975F5A">
        <w:rPr>
          <w:rFonts w:ascii="Arial" w:hAnsi="Arial" w:cs="Arial"/>
          <w:sz w:val="20"/>
          <w:szCs w:val="20"/>
        </w:rPr>
        <w:t>, </w:t>
      </w:r>
      <w:r w:rsidRPr="00975F5A">
        <w:rPr>
          <w:rFonts w:ascii="Arial" w:hAnsi="Arial" w:cs="Arial"/>
          <w:i/>
          <w:iCs/>
          <w:sz w:val="20"/>
          <w:szCs w:val="20"/>
        </w:rPr>
        <w:t>7</w:t>
      </w:r>
      <w:r w:rsidRPr="00975F5A">
        <w:rPr>
          <w:rFonts w:ascii="Arial" w:hAnsi="Arial" w:cs="Arial"/>
          <w:sz w:val="20"/>
          <w:szCs w:val="20"/>
        </w:rPr>
        <w:t>(12), 291-295.</w:t>
      </w:r>
    </w:p>
    <w:p w14:paraId="71CD526E"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Ismail HI, Chan KW, </w:t>
      </w:r>
      <w:proofErr w:type="spellStart"/>
      <w:r w:rsidRPr="00975F5A">
        <w:rPr>
          <w:rFonts w:ascii="Arial" w:hAnsi="Arial" w:cs="Arial"/>
          <w:sz w:val="20"/>
          <w:szCs w:val="20"/>
        </w:rPr>
        <w:t>Mariod</w:t>
      </w:r>
      <w:proofErr w:type="spellEnd"/>
      <w:r w:rsidRPr="00975F5A">
        <w:rPr>
          <w:rFonts w:ascii="Arial" w:hAnsi="Arial" w:cs="Arial"/>
          <w:sz w:val="20"/>
          <w:szCs w:val="20"/>
        </w:rPr>
        <w:t xml:space="preserve"> AA and Ismail M. Phenolic content and antioxidant activity of cantaloupe (Cucumis melo) methanolic extracts. Food Chemistry. 2010, 119 (2): 643-647</w:t>
      </w:r>
    </w:p>
    <w:p w14:paraId="6CE045B6"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Shafiei, M., Karimi, K., &amp; </w:t>
      </w:r>
      <w:proofErr w:type="spellStart"/>
      <w:r w:rsidRPr="00975F5A">
        <w:rPr>
          <w:rFonts w:ascii="Arial" w:hAnsi="Arial" w:cs="Arial"/>
          <w:sz w:val="20"/>
          <w:szCs w:val="20"/>
        </w:rPr>
        <w:t>Taherzadeh</w:t>
      </w:r>
      <w:proofErr w:type="spellEnd"/>
      <w:r w:rsidRPr="00975F5A">
        <w:rPr>
          <w:rFonts w:ascii="Arial" w:hAnsi="Arial" w:cs="Arial"/>
          <w:sz w:val="20"/>
          <w:szCs w:val="20"/>
        </w:rPr>
        <w:t xml:space="preserve">, M. J. (2010). Palm date </w:t>
      </w:r>
      <w:proofErr w:type="spellStart"/>
      <w:r w:rsidRPr="00975F5A">
        <w:rPr>
          <w:rFonts w:ascii="Arial" w:hAnsi="Arial" w:cs="Arial"/>
          <w:sz w:val="20"/>
          <w:szCs w:val="20"/>
        </w:rPr>
        <w:t>fibers</w:t>
      </w:r>
      <w:proofErr w:type="spellEnd"/>
      <w:r w:rsidRPr="00975F5A">
        <w:rPr>
          <w:rFonts w:ascii="Arial" w:hAnsi="Arial" w:cs="Arial"/>
          <w:sz w:val="20"/>
          <w:szCs w:val="20"/>
        </w:rPr>
        <w:t>: Analysis and enzymatic hydrolysis. </w:t>
      </w:r>
      <w:r w:rsidRPr="00975F5A">
        <w:rPr>
          <w:rFonts w:ascii="Arial" w:hAnsi="Arial" w:cs="Arial"/>
          <w:i/>
          <w:iCs/>
          <w:sz w:val="20"/>
          <w:szCs w:val="20"/>
        </w:rPr>
        <w:t>International journal of molecular sciences</w:t>
      </w:r>
      <w:r w:rsidRPr="00975F5A">
        <w:rPr>
          <w:rFonts w:ascii="Arial" w:hAnsi="Arial" w:cs="Arial"/>
          <w:sz w:val="20"/>
          <w:szCs w:val="20"/>
        </w:rPr>
        <w:t>, </w:t>
      </w:r>
      <w:r w:rsidRPr="00975F5A">
        <w:rPr>
          <w:rFonts w:ascii="Arial" w:hAnsi="Arial" w:cs="Arial"/>
          <w:i/>
          <w:iCs/>
          <w:sz w:val="20"/>
          <w:szCs w:val="20"/>
        </w:rPr>
        <w:t>11</w:t>
      </w:r>
      <w:r w:rsidRPr="00975F5A">
        <w:rPr>
          <w:rFonts w:ascii="Arial" w:hAnsi="Arial" w:cs="Arial"/>
          <w:sz w:val="20"/>
          <w:szCs w:val="20"/>
        </w:rPr>
        <w:t>(11), 4285-4296.</w:t>
      </w:r>
    </w:p>
    <w:p w14:paraId="72DF4BC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Pitsch, N. T., </w:t>
      </w:r>
      <w:proofErr w:type="spellStart"/>
      <w:r w:rsidRPr="00975F5A">
        <w:rPr>
          <w:rFonts w:ascii="Arial" w:hAnsi="Arial" w:cs="Arial"/>
          <w:sz w:val="20"/>
          <w:szCs w:val="20"/>
        </w:rPr>
        <w:t>Witsch</w:t>
      </w:r>
      <w:proofErr w:type="spellEnd"/>
      <w:r w:rsidRPr="00975F5A">
        <w:rPr>
          <w:rFonts w:ascii="Arial" w:hAnsi="Arial" w:cs="Arial"/>
          <w:sz w:val="20"/>
          <w:szCs w:val="20"/>
        </w:rPr>
        <w:t xml:space="preserve">, B., &amp; Baier, M. (2010). Comparison of the chloroplast peroxidase system in the chlorophyte Chlamydomonas </w:t>
      </w:r>
      <w:proofErr w:type="spellStart"/>
      <w:r w:rsidRPr="00975F5A">
        <w:rPr>
          <w:rFonts w:ascii="Arial" w:hAnsi="Arial" w:cs="Arial"/>
          <w:sz w:val="20"/>
          <w:szCs w:val="20"/>
        </w:rPr>
        <w:t>reinhardtii</w:t>
      </w:r>
      <w:proofErr w:type="spellEnd"/>
      <w:r w:rsidRPr="00975F5A">
        <w:rPr>
          <w:rFonts w:ascii="Arial" w:hAnsi="Arial" w:cs="Arial"/>
          <w:sz w:val="20"/>
          <w:szCs w:val="20"/>
        </w:rPr>
        <w:t xml:space="preserve">, the bryophyte </w:t>
      </w:r>
      <w:proofErr w:type="spellStart"/>
      <w:r w:rsidRPr="00975F5A">
        <w:rPr>
          <w:rFonts w:ascii="Arial" w:hAnsi="Arial" w:cs="Arial"/>
          <w:sz w:val="20"/>
          <w:szCs w:val="20"/>
        </w:rPr>
        <w:t>Physcomitrella</w:t>
      </w:r>
      <w:proofErr w:type="spellEnd"/>
      <w:r w:rsidRPr="00975F5A">
        <w:rPr>
          <w:rFonts w:ascii="Arial" w:hAnsi="Arial" w:cs="Arial"/>
          <w:sz w:val="20"/>
          <w:szCs w:val="20"/>
        </w:rPr>
        <w:t xml:space="preserve"> patens, the lycophyte </w:t>
      </w:r>
      <w:proofErr w:type="spellStart"/>
      <w:r w:rsidRPr="00975F5A">
        <w:rPr>
          <w:rFonts w:ascii="Arial" w:hAnsi="Arial" w:cs="Arial"/>
          <w:sz w:val="20"/>
          <w:szCs w:val="20"/>
        </w:rPr>
        <w:t>Selaginella</w:t>
      </w:r>
      <w:proofErr w:type="spellEnd"/>
      <w:r w:rsidRPr="00975F5A">
        <w:rPr>
          <w:rFonts w:ascii="Arial" w:hAnsi="Arial" w:cs="Arial"/>
          <w:sz w:val="20"/>
          <w:szCs w:val="20"/>
        </w:rPr>
        <w:t xml:space="preserve"> </w:t>
      </w:r>
      <w:proofErr w:type="spellStart"/>
      <w:r w:rsidRPr="00975F5A">
        <w:rPr>
          <w:rFonts w:ascii="Arial" w:hAnsi="Arial" w:cs="Arial"/>
          <w:sz w:val="20"/>
          <w:szCs w:val="20"/>
        </w:rPr>
        <w:t>moellendorffii</w:t>
      </w:r>
      <w:proofErr w:type="spellEnd"/>
      <w:r w:rsidRPr="00975F5A">
        <w:rPr>
          <w:rFonts w:ascii="Arial" w:hAnsi="Arial" w:cs="Arial"/>
          <w:sz w:val="20"/>
          <w:szCs w:val="20"/>
        </w:rPr>
        <w:t xml:space="preserve"> and the seed plant Arabidopsis thaliana. </w:t>
      </w:r>
      <w:r w:rsidRPr="00975F5A">
        <w:rPr>
          <w:rFonts w:ascii="Arial" w:hAnsi="Arial" w:cs="Arial"/>
          <w:i/>
          <w:iCs/>
          <w:sz w:val="20"/>
          <w:szCs w:val="20"/>
        </w:rPr>
        <w:t>BMC Plant Biology</w:t>
      </w:r>
      <w:r w:rsidRPr="00975F5A">
        <w:rPr>
          <w:rFonts w:ascii="Arial" w:hAnsi="Arial" w:cs="Arial"/>
          <w:sz w:val="20"/>
          <w:szCs w:val="20"/>
        </w:rPr>
        <w:t>, </w:t>
      </w:r>
      <w:r w:rsidRPr="00975F5A">
        <w:rPr>
          <w:rFonts w:ascii="Arial" w:hAnsi="Arial" w:cs="Arial"/>
          <w:i/>
          <w:iCs/>
          <w:sz w:val="20"/>
          <w:szCs w:val="20"/>
        </w:rPr>
        <w:t>10</w:t>
      </w:r>
      <w:r w:rsidRPr="00975F5A">
        <w:rPr>
          <w:rFonts w:ascii="Arial" w:hAnsi="Arial" w:cs="Arial"/>
          <w:sz w:val="20"/>
          <w:szCs w:val="20"/>
        </w:rPr>
        <w:t>(1), 133.</w:t>
      </w:r>
    </w:p>
    <w:p w14:paraId="7B6B0A73"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Sanzari, J. K., Wambi, C., Lewis-Wambi, J. S., &amp; Kennedy, A. R. (2011). Antioxidant dietary supplementation in mice exposed to proton radiation attenuates expression of programmed cell death-associated genes. </w:t>
      </w:r>
      <w:r w:rsidRPr="00975F5A">
        <w:rPr>
          <w:rFonts w:ascii="Arial" w:hAnsi="Arial" w:cs="Arial"/>
          <w:i/>
          <w:iCs/>
          <w:sz w:val="20"/>
          <w:szCs w:val="20"/>
        </w:rPr>
        <w:t>Radiation Research</w:t>
      </w:r>
      <w:r w:rsidRPr="00975F5A">
        <w:rPr>
          <w:rFonts w:ascii="Arial" w:hAnsi="Arial" w:cs="Arial"/>
          <w:sz w:val="20"/>
          <w:szCs w:val="20"/>
        </w:rPr>
        <w:t>, </w:t>
      </w:r>
      <w:r w:rsidRPr="00975F5A">
        <w:rPr>
          <w:rFonts w:ascii="Arial" w:hAnsi="Arial" w:cs="Arial"/>
          <w:i/>
          <w:iCs/>
          <w:sz w:val="20"/>
          <w:szCs w:val="20"/>
        </w:rPr>
        <w:t>175</w:t>
      </w:r>
      <w:r w:rsidRPr="00975F5A">
        <w:rPr>
          <w:rFonts w:ascii="Arial" w:hAnsi="Arial" w:cs="Arial"/>
          <w:sz w:val="20"/>
          <w:szCs w:val="20"/>
        </w:rPr>
        <w:t>(5), 650-656.</w:t>
      </w:r>
    </w:p>
    <w:p w14:paraId="547CD30A"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Zohary, D., Hopf, M., &amp; Diamond, J. M. (1993). Domestication of plants in the Old World. </w:t>
      </w:r>
      <w:r w:rsidRPr="00975F5A">
        <w:rPr>
          <w:rFonts w:ascii="Arial" w:hAnsi="Arial" w:cs="Arial"/>
          <w:i/>
          <w:iCs/>
          <w:sz w:val="20"/>
          <w:szCs w:val="20"/>
        </w:rPr>
        <w:t>NATURE-LONDON-</w:t>
      </w:r>
      <w:r w:rsidRPr="00975F5A">
        <w:rPr>
          <w:rFonts w:ascii="Arial" w:hAnsi="Arial" w:cs="Arial"/>
          <w:sz w:val="20"/>
          <w:szCs w:val="20"/>
        </w:rPr>
        <w:t>, </w:t>
      </w:r>
      <w:r w:rsidRPr="00975F5A">
        <w:rPr>
          <w:rFonts w:ascii="Arial" w:hAnsi="Arial" w:cs="Arial"/>
          <w:i/>
          <w:iCs/>
          <w:sz w:val="20"/>
          <w:szCs w:val="20"/>
        </w:rPr>
        <w:t>366</w:t>
      </w:r>
      <w:r w:rsidRPr="00975F5A">
        <w:rPr>
          <w:rFonts w:ascii="Arial" w:hAnsi="Arial" w:cs="Arial"/>
          <w:sz w:val="20"/>
          <w:szCs w:val="20"/>
        </w:rPr>
        <w:t>, 523-523.</w:t>
      </w:r>
    </w:p>
    <w:p w14:paraId="53B90AD0"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lastRenderedPageBreak/>
        <w:t xml:space="preserve">Baliga, M. S., Baliga, B. R. V., Kandathil, S. M., Bhat, H. P., &amp; </w:t>
      </w:r>
      <w:proofErr w:type="spellStart"/>
      <w:r w:rsidRPr="00975F5A">
        <w:rPr>
          <w:rFonts w:ascii="Arial" w:hAnsi="Arial" w:cs="Arial"/>
          <w:sz w:val="20"/>
          <w:szCs w:val="20"/>
        </w:rPr>
        <w:t>Vayalil</w:t>
      </w:r>
      <w:proofErr w:type="spellEnd"/>
      <w:r w:rsidRPr="00975F5A">
        <w:rPr>
          <w:rFonts w:ascii="Arial" w:hAnsi="Arial" w:cs="Arial"/>
          <w:sz w:val="20"/>
          <w:szCs w:val="20"/>
        </w:rPr>
        <w:t>, P. K. (2011). A review of the chemistry and pharmacology of the date fruits (Phoenix dactylifera L.). </w:t>
      </w:r>
      <w:r w:rsidRPr="00975F5A">
        <w:rPr>
          <w:rFonts w:ascii="Arial" w:hAnsi="Arial" w:cs="Arial"/>
          <w:i/>
          <w:iCs/>
          <w:sz w:val="20"/>
          <w:szCs w:val="20"/>
        </w:rPr>
        <w:t>Food research international</w:t>
      </w:r>
      <w:r w:rsidRPr="00975F5A">
        <w:rPr>
          <w:rFonts w:ascii="Arial" w:hAnsi="Arial" w:cs="Arial"/>
          <w:sz w:val="20"/>
          <w:szCs w:val="20"/>
        </w:rPr>
        <w:t>, </w:t>
      </w:r>
      <w:r w:rsidRPr="00975F5A">
        <w:rPr>
          <w:rFonts w:ascii="Arial" w:hAnsi="Arial" w:cs="Arial"/>
          <w:i/>
          <w:iCs/>
          <w:sz w:val="20"/>
          <w:szCs w:val="20"/>
        </w:rPr>
        <w:t>44</w:t>
      </w:r>
      <w:r w:rsidRPr="00975F5A">
        <w:rPr>
          <w:rFonts w:ascii="Arial" w:hAnsi="Arial" w:cs="Arial"/>
          <w:sz w:val="20"/>
          <w:szCs w:val="20"/>
        </w:rPr>
        <w:t>(7), 1812-1822.</w:t>
      </w:r>
    </w:p>
    <w:p w14:paraId="7CE0A1C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Evans, A. J., Hood, R. L., </w:t>
      </w:r>
      <w:proofErr w:type="spellStart"/>
      <w:r w:rsidRPr="00975F5A">
        <w:rPr>
          <w:rFonts w:ascii="Arial" w:hAnsi="Arial" w:cs="Arial"/>
          <w:sz w:val="20"/>
          <w:szCs w:val="20"/>
        </w:rPr>
        <w:t>Oakenfull</w:t>
      </w:r>
      <w:proofErr w:type="spellEnd"/>
      <w:r w:rsidRPr="00975F5A">
        <w:rPr>
          <w:rFonts w:ascii="Arial" w:hAnsi="Arial" w:cs="Arial"/>
          <w:sz w:val="20"/>
          <w:szCs w:val="20"/>
        </w:rPr>
        <w:t>, D. G., &amp; Sidhu, G. S. (1992). Relationship between structure and function of dietary fibre: a comparative study of the effects of three galactomannans on cholesterol metabolism in the rat. </w:t>
      </w:r>
      <w:r w:rsidRPr="00975F5A">
        <w:rPr>
          <w:rFonts w:ascii="Arial" w:hAnsi="Arial" w:cs="Arial"/>
          <w:i/>
          <w:iCs/>
          <w:sz w:val="20"/>
          <w:szCs w:val="20"/>
        </w:rPr>
        <w:t>British Journal of Nutrition</w:t>
      </w:r>
      <w:r w:rsidRPr="00975F5A">
        <w:rPr>
          <w:rFonts w:ascii="Arial" w:hAnsi="Arial" w:cs="Arial"/>
          <w:sz w:val="20"/>
          <w:szCs w:val="20"/>
        </w:rPr>
        <w:t>, </w:t>
      </w:r>
      <w:r w:rsidRPr="00975F5A">
        <w:rPr>
          <w:rFonts w:ascii="Arial" w:hAnsi="Arial" w:cs="Arial"/>
          <w:i/>
          <w:iCs/>
          <w:sz w:val="20"/>
          <w:szCs w:val="20"/>
        </w:rPr>
        <w:t>68</w:t>
      </w:r>
      <w:r w:rsidRPr="00975F5A">
        <w:rPr>
          <w:rFonts w:ascii="Arial" w:hAnsi="Arial" w:cs="Arial"/>
          <w:sz w:val="20"/>
          <w:szCs w:val="20"/>
        </w:rPr>
        <w:t>(1), 217-229.</w:t>
      </w:r>
    </w:p>
    <w:p w14:paraId="50AB55CA"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Khattak, M. M. A. K. (2002). Physiological effects of dietary complex carbohydrates and its metabolites role in certain diseases. </w:t>
      </w:r>
      <w:r w:rsidRPr="00975F5A">
        <w:rPr>
          <w:rFonts w:ascii="Arial" w:hAnsi="Arial" w:cs="Arial"/>
          <w:i/>
          <w:iCs/>
          <w:sz w:val="20"/>
          <w:szCs w:val="20"/>
        </w:rPr>
        <w:t>Pakistan Journal of Nutrition</w:t>
      </w:r>
      <w:r w:rsidRPr="00975F5A">
        <w:rPr>
          <w:rFonts w:ascii="Arial" w:hAnsi="Arial" w:cs="Arial"/>
          <w:sz w:val="20"/>
          <w:szCs w:val="20"/>
        </w:rPr>
        <w:t>, </w:t>
      </w:r>
      <w:r w:rsidRPr="00975F5A">
        <w:rPr>
          <w:rFonts w:ascii="Arial" w:hAnsi="Arial" w:cs="Arial"/>
          <w:i/>
          <w:iCs/>
          <w:sz w:val="20"/>
          <w:szCs w:val="20"/>
        </w:rPr>
        <w:t>1</w:t>
      </w:r>
      <w:r w:rsidRPr="00975F5A">
        <w:rPr>
          <w:rFonts w:ascii="Arial" w:hAnsi="Arial" w:cs="Arial"/>
          <w:sz w:val="20"/>
          <w:szCs w:val="20"/>
        </w:rPr>
        <w:t>(4), 161-168.</w:t>
      </w:r>
    </w:p>
    <w:p w14:paraId="5807020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Muldoon, Matthew F., and Stephen B. </w:t>
      </w:r>
      <w:proofErr w:type="spellStart"/>
      <w:r w:rsidRPr="00975F5A">
        <w:rPr>
          <w:rFonts w:ascii="Arial" w:hAnsi="Arial" w:cs="Arial"/>
          <w:sz w:val="20"/>
          <w:szCs w:val="20"/>
        </w:rPr>
        <w:t>Kritchevsky</w:t>
      </w:r>
      <w:proofErr w:type="spellEnd"/>
      <w:r w:rsidRPr="00975F5A">
        <w:rPr>
          <w:rFonts w:ascii="Arial" w:hAnsi="Arial" w:cs="Arial"/>
          <w:sz w:val="20"/>
          <w:szCs w:val="20"/>
        </w:rPr>
        <w:t>. "Flavonoids and heart disease." </w:t>
      </w:r>
      <w:r w:rsidRPr="00975F5A">
        <w:rPr>
          <w:rFonts w:ascii="Arial" w:hAnsi="Arial" w:cs="Arial"/>
          <w:i/>
          <w:iCs/>
          <w:sz w:val="20"/>
          <w:szCs w:val="20"/>
        </w:rPr>
        <w:t>BMJ</w:t>
      </w:r>
      <w:r w:rsidRPr="00975F5A">
        <w:rPr>
          <w:rFonts w:ascii="Arial" w:hAnsi="Arial" w:cs="Arial"/>
          <w:sz w:val="20"/>
          <w:szCs w:val="20"/>
        </w:rPr>
        <w:t> 312, no. 7029 (1996): 458-459.</w:t>
      </w:r>
    </w:p>
    <w:p w14:paraId="1FE5594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Bruck, R., Shirin, H., </w:t>
      </w:r>
      <w:proofErr w:type="spellStart"/>
      <w:r w:rsidRPr="00975F5A">
        <w:rPr>
          <w:rFonts w:ascii="Arial" w:hAnsi="Arial" w:cs="Arial"/>
          <w:sz w:val="20"/>
          <w:szCs w:val="20"/>
        </w:rPr>
        <w:t>Aeed</w:t>
      </w:r>
      <w:proofErr w:type="spellEnd"/>
      <w:r w:rsidRPr="00975F5A">
        <w:rPr>
          <w:rFonts w:ascii="Arial" w:hAnsi="Arial" w:cs="Arial"/>
          <w:sz w:val="20"/>
          <w:szCs w:val="20"/>
        </w:rPr>
        <w:t>, H., Matas, Z., Hochman, A., Pines, M., &amp; Avni, Y. (2001). Prevention of hepatic cirrhosis in rats by hydroxyl radical scavengers. </w:t>
      </w:r>
      <w:r w:rsidRPr="00975F5A">
        <w:rPr>
          <w:rFonts w:ascii="Arial" w:hAnsi="Arial" w:cs="Arial"/>
          <w:i/>
          <w:iCs/>
          <w:sz w:val="20"/>
          <w:szCs w:val="20"/>
        </w:rPr>
        <w:t>Journal of hepatology</w:t>
      </w:r>
      <w:r w:rsidRPr="00975F5A">
        <w:rPr>
          <w:rFonts w:ascii="Arial" w:hAnsi="Arial" w:cs="Arial"/>
          <w:sz w:val="20"/>
          <w:szCs w:val="20"/>
        </w:rPr>
        <w:t>, </w:t>
      </w:r>
      <w:r w:rsidRPr="00975F5A">
        <w:rPr>
          <w:rFonts w:ascii="Arial" w:hAnsi="Arial" w:cs="Arial"/>
          <w:i/>
          <w:iCs/>
          <w:sz w:val="20"/>
          <w:szCs w:val="20"/>
        </w:rPr>
        <w:t>35</w:t>
      </w:r>
      <w:r w:rsidRPr="00975F5A">
        <w:rPr>
          <w:rFonts w:ascii="Arial" w:hAnsi="Arial" w:cs="Arial"/>
          <w:sz w:val="20"/>
          <w:szCs w:val="20"/>
        </w:rPr>
        <w:t>(4), 457-464.</w:t>
      </w:r>
    </w:p>
    <w:p w14:paraId="3C9EBC01"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Al-Qarawi, A. A., Abdel-Rahman, H., Ali, B. H., Mousa, H. M., &amp; El-</w:t>
      </w:r>
      <w:proofErr w:type="spellStart"/>
      <w:r w:rsidRPr="00975F5A">
        <w:rPr>
          <w:rFonts w:ascii="Arial" w:hAnsi="Arial" w:cs="Arial"/>
          <w:sz w:val="20"/>
          <w:szCs w:val="20"/>
        </w:rPr>
        <w:t>Mougy</w:t>
      </w:r>
      <w:proofErr w:type="spellEnd"/>
      <w:r w:rsidRPr="00975F5A">
        <w:rPr>
          <w:rFonts w:ascii="Arial" w:hAnsi="Arial" w:cs="Arial"/>
          <w:sz w:val="20"/>
          <w:szCs w:val="20"/>
        </w:rPr>
        <w:t>, S. A. (2005). The ameliorative effect of dates (Phoenix dactylifera L.) on ethanol-induced gastric ulcer in rats. </w:t>
      </w:r>
      <w:r w:rsidRPr="00975F5A">
        <w:rPr>
          <w:rFonts w:ascii="Arial" w:hAnsi="Arial" w:cs="Arial"/>
          <w:i/>
          <w:iCs/>
          <w:sz w:val="20"/>
          <w:szCs w:val="20"/>
        </w:rPr>
        <w:t>Journal of ethnopharmacology</w:t>
      </w:r>
      <w:r w:rsidRPr="00975F5A">
        <w:rPr>
          <w:rFonts w:ascii="Arial" w:hAnsi="Arial" w:cs="Arial"/>
          <w:sz w:val="20"/>
          <w:szCs w:val="20"/>
        </w:rPr>
        <w:t>, </w:t>
      </w:r>
      <w:r w:rsidRPr="00975F5A">
        <w:rPr>
          <w:rFonts w:ascii="Arial" w:hAnsi="Arial" w:cs="Arial"/>
          <w:i/>
          <w:iCs/>
          <w:sz w:val="20"/>
          <w:szCs w:val="20"/>
        </w:rPr>
        <w:t>98</w:t>
      </w:r>
      <w:r w:rsidRPr="00975F5A">
        <w:rPr>
          <w:rFonts w:ascii="Arial" w:hAnsi="Arial" w:cs="Arial"/>
          <w:sz w:val="20"/>
          <w:szCs w:val="20"/>
        </w:rPr>
        <w:t>(3), 313-317.</w:t>
      </w:r>
    </w:p>
    <w:p w14:paraId="309F499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Pitsch, N. T., </w:t>
      </w:r>
      <w:proofErr w:type="spellStart"/>
      <w:r w:rsidRPr="00975F5A">
        <w:rPr>
          <w:rFonts w:ascii="Arial" w:hAnsi="Arial" w:cs="Arial"/>
          <w:sz w:val="20"/>
          <w:szCs w:val="20"/>
        </w:rPr>
        <w:t>Witsch</w:t>
      </w:r>
      <w:proofErr w:type="spellEnd"/>
      <w:r w:rsidRPr="00975F5A">
        <w:rPr>
          <w:rFonts w:ascii="Arial" w:hAnsi="Arial" w:cs="Arial"/>
          <w:sz w:val="20"/>
          <w:szCs w:val="20"/>
        </w:rPr>
        <w:t xml:space="preserve">, B., &amp; Baier, M. (2010). Comparison of the chloroplast peroxidase system in the chlorophyte Chlamydomonas </w:t>
      </w:r>
      <w:proofErr w:type="spellStart"/>
      <w:r w:rsidRPr="00975F5A">
        <w:rPr>
          <w:rFonts w:ascii="Arial" w:hAnsi="Arial" w:cs="Arial"/>
          <w:sz w:val="20"/>
          <w:szCs w:val="20"/>
        </w:rPr>
        <w:t>reinhardtii</w:t>
      </w:r>
      <w:proofErr w:type="spellEnd"/>
      <w:r w:rsidRPr="00975F5A">
        <w:rPr>
          <w:rFonts w:ascii="Arial" w:hAnsi="Arial" w:cs="Arial"/>
          <w:sz w:val="20"/>
          <w:szCs w:val="20"/>
        </w:rPr>
        <w:t xml:space="preserve">, the bryophyte </w:t>
      </w:r>
      <w:proofErr w:type="spellStart"/>
      <w:r w:rsidRPr="00975F5A">
        <w:rPr>
          <w:rFonts w:ascii="Arial" w:hAnsi="Arial" w:cs="Arial"/>
          <w:sz w:val="20"/>
          <w:szCs w:val="20"/>
        </w:rPr>
        <w:t>Physcomitrella</w:t>
      </w:r>
      <w:proofErr w:type="spellEnd"/>
      <w:r w:rsidRPr="00975F5A">
        <w:rPr>
          <w:rFonts w:ascii="Arial" w:hAnsi="Arial" w:cs="Arial"/>
          <w:sz w:val="20"/>
          <w:szCs w:val="20"/>
        </w:rPr>
        <w:t xml:space="preserve"> patens, the lycophyte </w:t>
      </w:r>
      <w:proofErr w:type="spellStart"/>
      <w:r w:rsidRPr="00975F5A">
        <w:rPr>
          <w:rFonts w:ascii="Arial" w:hAnsi="Arial" w:cs="Arial"/>
          <w:sz w:val="20"/>
          <w:szCs w:val="20"/>
        </w:rPr>
        <w:t>Selaginella</w:t>
      </w:r>
      <w:proofErr w:type="spellEnd"/>
      <w:r w:rsidRPr="00975F5A">
        <w:rPr>
          <w:rFonts w:ascii="Arial" w:hAnsi="Arial" w:cs="Arial"/>
          <w:sz w:val="20"/>
          <w:szCs w:val="20"/>
        </w:rPr>
        <w:t xml:space="preserve"> </w:t>
      </w:r>
      <w:proofErr w:type="spellStart"/>
      <w:r w:rsidRPr="00975F5A">
        <w:rPr>
          <w:rFonts w:ascii="Arial" w:hAnsi="Arial" w:cs="Arial"/>
          <w:sz w:val="20"/>
          <w:szCs w:val="20"/>
        </w:rPr>
        <w:t>moellendorffii</w:t>
      </w:r>
      <w:proofErr w:type="spellEnd"/>
      <w:r w:rsidRPr="00975F5A">
        <w:rPr>
          <w:rFonts w:ascii="Arial" w:hAnsi="Arial" w:cs="Arial"/>
          <w:sz w:val="20"/>
          <w:szCs w:val="20"/>
        </w:rPr>
        <w:t xml:space="preserve"> and the seed plant Arabidopsis thaliana. </w:t>
      </w:r>
      <w:r w:rsidRPr="00975F5A">
        <w:rPr>
          <w:rFonts w:ascii="Arial" w:hAnsi="Arial" w:cs="Arial"/>
          <w:i/>
          <w:iCs/>
          <w:sz w:val="20"/>
          <w:szCs w:val="20"/>
        </w:rPr>
        <w:t>BMC Plant Biology</w:t>
      </w:r>
      <w:r w:rsidRPr="00975F5A">
        <w:rPr>
          <w:rFonts w:ascii="Arial" w:hAnsi="Arial" w:cs="Arial"/>
          <w:sz w:val="20"/>
          <w:szCs w:val="20"/>
        </w:rPr>
        <w:t>, </w:t>
      </w:r>
      <w:r w:rsidRPr="00975F5A">
        <w:rPr>
          <w:rFonts w:ascii="Arial" w:hAnsi="Arial" w:cs="Arial"/>
          <w:i/>
          <w:iCs/>
          <w:sz w:val="20"/>
          <w:szCs w:val="20"/>
        </w:rPr>
        <w:t>10</w:t>
      </w:r>
      <w:r w:rsidRPr="00975F5A">
        <w:rPr>
          <w:rFonts w:ascii="Arial" w:hAnsi="Arial" w:cs="Arial"/>
          <w:sz w:val="20"/>
          <w:szCs w:val="20"/>
        </w:rPr>
        <w:t>(1), 133.</w:t>
      </w:r>
    </w:p>
    <w:p w14:paraId="69D69D16"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Lu, Z., Cheng, B., Hu, Y., Zhang, Y., &amp; Zou, G. (2009). Complexation of resveratrol with cyclodextrins: Solubility and antioxidant activity. </w:t>
      </w:r>
      <w:r w:rsidRPr="00975F5A">
        <w:rPr>
          <w:rFonts w:ascii="Arial" w:hAnsi="Arial" w:cs="Arial"/>
          <w:i/>
          <w:iCs/>
          <w:sz w:val="20"/>
          <w:szCs w:val="20"/>
        </w:rPr>
        <w:t>Food chemistry</w:t>
      </w:r>
      <w:r w:rsidRPr="00975F5A">
        <w:rPr>
          <w:rFonts w:ascii="Arial" w:hAnsi="Arial" w:cs="Arial"/>
          <w:sz w:val="20"/>
          <w:szCs w:val="20"/>
        </w:rPr>
        <w:t>, </w:t>
      </w:r>
      <w:r w:rsidRPr="00975F5A">
        <w:rPr>
          <w:rFonts w:ascii="Arial" w:hAnsi="Arial" w:cs="Arial"/>
          <w:i/>
          <w:iCs/>
          <w:sz w:val="20"/>
          <w:szCs w:val="20"/>
        </w:rPr>
        <w:t>113</w:t>
      </w:r>
      <w:r w:rsidRPr="00975F5A">
        <w:rPr>
          <w:rFonts w:ascii="Arial" w:hAnsi="Arial" w:cs="Arial"/>
          <w:sz w:val="20"/>
          <w:szCs w:val="20"/>
        </w:rPr>
        <w:t>(1), 17-20.</w:t>
      </w:r>
    </w:p>
    <w:p w14:paraId="69554B8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El-Adawy, T. A., &amp; Taha, K. M. (2001). Characteristics and composition of different seed oils and flours. </w:t>
      </w:r>
      <w:r w:rsidRPr="00975F5A">
        <w:rPr>
          <w:rFonts w:ascii="Arial" w:hAnsi="Arial" w:cs="Arial"/>
          <w:i/>
          <w:iCs/>
          <w:sz w:val="20"/>
          <w:szCs w:val="20"/>
        </w:rPr>
        <w:t>Food chemistry</w:t>
      </w:r>
      <w:r w:rsidRPr="00975F5A">
        <w:rPr>
          <w:rFonts w:ascii="Arial" w:hAnsi="Arial" w:cs="Arial"/>
          <w:sz w:val="20"/>
          <w:szCs w:val="20"/>
        </w:rPr>
        <w:t>, </w:t>
      </w:r>
      <w:r w:rsidRPr="00975F5A">
        <w:rPr>
          <w:rFonts w:ascii="Arial" w:hAnsi="Arial" w:cs="Arial"/>
          <w:i/>
          <w:iCs/>
          <w:sz w:val="20"/>
          <w:szCs w:val="20"/>
        </w:rPr>
        <w:t>74</w:t>
      </w:r>
      <w:r w:rsidRPr="00975F5A">
        <w:rPr>
          <w:rFonts w:ascii="Arial" w:hAnsi="Arial" w:cs="Arial"/>
          <w:sz w:val="20"/>
          <w:szCs w:val="20"/>
        </w:rPr>
        <w:t>(1), 47-54.</w:t>
      </w:r>
    </w:p>
    <w:p w14:paraId="083F6186"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Akubor, P. I., &amp; </w:t>
      </w:r>
      <w:proofErr w:type="spellStart"/>
      <w:r w:rsidRPr="00975F5A">
        <w:rPr>
          <w:rFonts w:ascii="Arial" w:hAnsi="Arial" w:cs="Arial"/>
          <w:sz w:val="20"/>
          <w:szCs w:val="20"/>
        </w:rPr>
        <w:t>Ukwuru</w:t>
      </w:r>
      <w:proofErr w:type="spellEnd"/>
      <w:r w:rsidRPr="00975F5A">
        <w:rPr>
          <w:rFonts w:ascii="Arial" w:hAnsi="Arial" w:cs="Arial"/>
          <w:sz w:val="20"/>
          <w:szCs w:val="20"/>
        </w:rPr>
        <w:t>, M. U. (2003). Functional properties and biscuit making potential of soybean and cassava flour blends. </w:t>
      </w:r>
      <w:r w:rsidRPr="00975F5A">
        <w:rPr>
          <w:rFonts w:ascii="Arial" w:hAnsi="Arial" w:cs="Arial"/>
          <w:i/>
          <w:iCs/>
          <w:sz w:val="20"/>
          <w:szCs w:val="20"/>
        </w:rPr>
        <w:t>Plant foods for human nutrition</w:t>
      </w:r>
      <w:r w:rsidRPr="00975F5A">
        <w:rPr>
          <w:rFonts w:ascii="Arial" w:hAnsi="Arial" w:cs="Arial"/>
          <w:sz w:val="20"/>
          <w:szCs w:val="20"/>
        </w:rPr>
        <w:t>, </w:t>
      </w:r>
      <w:r w:rsidRPr="00975F5A">
        <w:rPr>
          <w:rFonts w:ascii="Arial" w:hAnsi="Arial" w:cs="Arial"/>
          <w:i/>
          <w:iCs/>
          <w:sz w:val="20"/>
          <w:szCs w:val="20"/>
        </w:rPr>
        <w:t>58</w:t>
      </w:r>
      <w:r w:rsidRPr="00975F5A">
        <w:rPr>
          <w:rFonts w:ascii="Arial" w:hAnsi="Arial" w:cs="Arial"/>
          <w:sz w:val="20"/>
          <w:szCs w:val="20"/>
        </w:rPr>
        <w:t>(3), 1-12.</w:t>
      </w:r>
    </w:p>
    <w:p w14:paraId="028CFF3D"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Mehra, M., Pasricha, V., &amp; Gupta, R. K. (2015). Estimation of nutritional, phytochemical and antioxidant activity of seeds of musk melon (Cucumis melo) and water melon (Citrullus lanatus) and nutritional analysis of their respective oils. </w:t>
      </w:r>
      <w:r w:rsidRPr="00975F5A">
        <w:rPr>
          <w:rFonts w:ascii="Arial" w:hAnsi="Arial" w:cs="Arial"/>
          <w:i/>
          <w:iCs/>
          <w:sz w:val="20"/>
          <w:szCs w:val="20"/>
        </w:rPr>
        <w:t>Journal of Pharmacognosy and Phytochemistry</w:t>
      </w:r>
      <w:r w:rsidRPr="00975F5A">
        <w:rPr>
          <w:rFonts w:ascii="Arial" w:hAnsi="Arial" w:cs="Arial"/>
          <w:sz w:val="20"/>
          <w:szCs w:val="20"/>
        </w:rPr>
        <w:t>, </w:t>
      </w:r>
      <w:r w:rsidRPr="00975F5A">
        <w:rPr>
          <w:rFonts w:ascii="Arial" w:hAnsi="Arial" w:cs="Arial"/>
          <w:i/>
          <w:iCs/>
          <w:sz w:val="20"/>
          <w:szCs w:val="20"/>
        </w:rPr>
        <w:t>3</w:t>
      </w:r>
      <w:r w:rsidRPr="00975F5A">
        <w:rPr>
          <w:rFonts w:ascii="Arial" w:hAnsi="Arial" w:cs="Arial"/>
          <w:sz w:val="20"/>
          <w:szCs w:val="20"/>
        </w:rPr>
        <w:t>(6), 98-102.</w:t>
      </w:r>
    </w:p>
    <w:p w14:paraId="76288B6B"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Al-Farsi*, M. A., &amp; Lee, C. Y. (2008). Nutritional and functional properties of dates: a review. </w:t>
      </w:r>
      <w:r w:rsidRPr="00975F5A">
        <w:rPr>
          <w:rFonts w:ascii="Arial" w:hAnsi="Arial" w:cs="Arial"/>
          <w:i/>
          <w:iCs/>
          <w:sz w:val="20"/>
          <w:szCs w:val="20"/>
        </w:rPr>
        <w:t>Critical reviews in food science and nutrition</w:t>
      </w:r>
      <w:r w:rsidRPr="00975F5A">
        <w:rPr>
          <w:rFonts w:ascii="Arial" w:hAnsi="Arial" w:cs="Arial"/>
          <w:sz w:val="20"/>
          <w:szCs w:val="20"/>
        </w:rPr>
        <w:t>, </w:t>
      </w:r>
      <w:r w:rsidRPr="00975F5A">
        <w:rPr>
          <w:rFonts w:ascii="Arial" w:hAnsi="Arial" w:cs="Arial"/>
          <w:i/>
          <w:iCs/>
          <w:sz w:val="20"/>
          <w:szCs w:val="20"/>
        </w:rPr>
        <w:t>48</w:t>
      </w:r>
      <w:r w:rsidRPr="00975F5A">
        <w:rPr>
          <w:rFonts w:ascii="Arial" w:hAnsi="Arial" w:cs="Arial"/>
          <w:sz w:val="20"/>
          <w:szCs w:val="20"/>
        </w:rPr>
        <w:t>(10), 877-887.</w:t>
      </w:r>
    </w:p>
    <w:p w14:paraId="0C7973EC"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Baliga, M. S., Baliga, B. R. V., Kandathil, S. M., Bhat, H. P., &amp; </w:t>
      </w:r>
      <w:proofErr w:type="spellStart"/>
      <w:r w:rsidRPr="00975F5A">
        <w:rPr>
          <w:rFonts w:ascii="Arial" w:hAnsi="Arial" w:cs="Arial"/>
          <w:sz w:val="20"/>
          <w:szCs w:val="20"/>
        </w:rPr>
        <w:t>Vayalil</w:t>
      </w:r>
      <w:proofErr w:type="spellEnd"/>
      <w:r w:rsidRPr="00975F5A">
        <w:rPr>
          <w:rFonts w:ascii="Arial" w:hAnsi="Arial" w:cs="Arial"/>
          <w:sz w:val="20"/>
          <w:szCs w:val="20"/>
        </w:rPr>
        <w:t>, P. K. (2011). A review of the chemistry and pharmacology of the date fruits (Phoenix dactylifera L.). </w:t>
      </w:r>
      <w:r w:rsidRPr="00975F5A">
        <w:rPr>
          <w:rFonts w:ascii="Arial" w:hAnsi="Arial" w:cs="Arial"/>
          <w:i/>
          <w:iCs/>
          <w:sz w:val="20"/>
          <w:szCs w:val="20"/>
        </w:rPr>
        <w:t>Food research international</w:t>
      </w:r>
      <w:r w:rsidRPr="00975F5A">
        <w:rPr>
          <w:rFonts w:ascii="Arial" w:hAnsi="Arial" w:cs="Arial"/>
          <w:sz w:val="20"/>
          <w:szCs w:val="20"/>
        </w:rPr>
        <w:t>, </w:t>
      </w:r>
      <w:r w:rsidRPr="00975F5A">
        <w:rPr>
          <w:rFonts w:ascii="Arial" w:hAnsi="Arial" w:cs="Arial"/>
          <w:i/>
          <w:iCs/>
          <w:sz w:val="20"/>
          <w:szCs w:val="20"/>
        </w:rPr>
        <w:t>44</w:t>
      </w:r>
      <w:r w:rsidRPr="00975F5A">
        <w:rPr>
          <w:rFonts w:ascii="Arial" w:hAnsi="Arial" w:cs="Arial"/>
          <w:sz w:val="20"/>
          <w:szCs w:val="20"/>
        </w:rPr>
        <w:t>(7), 1812-1822.</w:t>
      </w:r>
    </w:p>
    <w:p w14:paraId="2A60EC71"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Alqahtani, N. K. (2024). </w:t>
      </w:r>
      <w:proofErr w:type="spellStart"/>
      <w:r w:rsidRPr="00975F5A">
        <w:rPr>
          <w:rFonts w:ascii="Arial" w:hAnsi="Arial" w:cs="Arial"/>
          <w:sz w:val="20"/>
          <w:szCs w:val="20"/>
        </w:rPr>
        <w:t>Valorization</w:t>
      </w:r>
      <w:proofErr w:type="spellEnd"/>
      <w:r w:rsidRPr="00975F5A">
        <w:rPr>
          <w:rFonts w:ascii="Arial" w:hAnsi="Arial" w:cs="Arial"/>
          <w:sz w:val="20"/>
          <w:szCs w:val="20"/>
        </w:rPr>
        <w:t xml:space="preserve"> of the potential use of date press cake (date syrup by-product) in food and non-food applications: a review. Frontiers in Sustainable Food Systems, 7, 1340727.</w:t>
      </w:r>
    </w:p>
    <w:p w14:paraId="635B7E5F"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Berryman, C. E., West, S. G., Fleming, J. A., Bordi, P. L., &amp; Kris</w:t>
      </w:r>
      <w:r w:rsidRPr="00975F5A">
        <w:rPr>
          <w:rFonts w:ascii="Cambria Math" w:hAnsi="Cambria Math" w:cs="Cambria Math"/>
          <w:sz w:val="20"/>
          <w:szCs w:val="20"/>
        </w:rPr>
        <w:t>‐</w:t>
      </w:r>
      <w:r w:rsidRPr="00975F5A">
        <w:rPr>
          <w:rFonts w:ascii="Arial" w:hAnsi="Arial" w:cs="Arial"/>
          <w:sz w:val="20"/>
          <w:szCs w:val="20"/>
        </w:rPr>
        <w:t>Etherton, P. M. (2015). Effects of daily almond consumption on cardiometabolic risk and abdominal adiposity in healthy adults with elevated LDL</w:t>
      </w:r>
      <w:r w:rsidRPr="00975F5A">
        <w:rPr>
          <w:rFonts w:ascii="Cambria Math" w:hAnsi="Cambria Math" w:cs="Cambria Math"/>
          <w:sz w:val="20"/>
          <w:szCs w:val="20"/>
        </w:rPr>
        <w:t>‐</w:t>
      </w:r>
      <w:r w:rsidRPr="00975F5A">
        <w:rPr>
          <w:rFonts w:ascii="Arial" w:hAnsi="Arial" w:cs="Arial"/>
          <w:sz w:val="20"/>
          <w:szCs w:val="20"/>
        </w:rPr>
        <w:t>cholesterol: a randomized controlled trial. Journal of the American Heart Association, 4(1), e000993.</w:t>
      </w:r>
    </w:p>
    <w:p w14:paraId="480BDBC0"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lastRenderedPageBreak/>
        <w:t xml:space="preserve">Rico, R., </w:t>
      </w:r>
      <w:proofErr w:type="spellStart"/>
      <w:r w:rsidRPr="00975F5A">
        <w:rPr>
          <w:rFonts w:ascii="Arial" w:hAnsi="Arial" w:cs="Arial"/>
          <w:sz w:val="20"/>
          <w:szCs w:val="20"/>
        </w:rPr>
        <w:t>Bulló</w:t>
      </w:r>
      <w:proofErr w:type="spellEnd"/>
      <w:r w:rsidRPr="00975F5A">
        <w:rPr>
          <w:rFonts w:ascii="Arial" w:hAnsi="Arial" w:cs="Arial"/>
          <w:sz w:val="20"/>
          <w:szCs w:val="20"/>
        </w:rPr>
        <w:t>, M., &amp; Salas</w:t>
      </w:r>
      <w:r w:rsidRPr="00975F5A">
        <w:rPr>
          <w:rFonts w:ascii="Cambria Math" w:hAnsi="Cambria Math" w:cs="Cambria Math"/>
          <w:sz w:val="20"/>
          <w:szCs w:val="20"/>
        </w:rPr>
        <w:t>‐</w:t>
      </w:r>
      <w:r w:rsidRPr="00975F5A">
        <w:rPr>
          <w:rFonts w:ascii="Arial" w:hAnsi="Arial" w:cs="Arial"/>
          <w:sz w:val="20"/>
          <w:szCs w:val="20"/>
        </w:rPr>
        <w:t>Salvadó, J. (2016). Nutritional composition of raw fresh cashew (Anacardium occidentale L.) kernels from different origin. Food science &amp; nutrition, 4(2), 329-338.</w:t>
      </w:r>
    </w:p>
    <w:p w14:paraId="09FA3B68"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Lockyer, S., de la Hunty, A. E., Steenson, S., Spiro, A., &amp; Stanner, S. A. (2023). Walnut consumption and health outcomes with public health relevance—A systematic review of cohort studies and randomized controlled trials published from 2017 to present. Nutrition reviews, 81(1), 26-54.</w:t>
      </w:r>
    </w:p>
    <w:p w14:paraId="5FC5B269"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Dreher, M. L. (2012). Pistachio nuts: composition and potential health benefits. Nutrition Reviews, 70(4), 234–240. https://doi.org/10.1111/j.1753-4887.2011.00467.x</w:t>
      </w:r>
    </w:p>
    <w:p w14:paraId="3E5A57BC"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proofErr w:type="spellStart"/>
      <w:r w:rsidRPr="00975F5A">
        <w:rPr>
          <w:rFonts w:ascii="Arial" w:hAnsi="Arial" w:cs="Arial"/>
          <w:sz w:val="20"/>
          <w:szCs w:val="20"/>
        </w:rPr>
        <w:t>Rasane</w:t>
      </w:r>
      <w:proofErr w:type="spellEnd"/>
      <w:r w:rsidRPr="00975F5A">
        <w:rPr>
          <w:rFonts w:ascii="Arial" w:hAnsi="Arial" w:cs="Arial"/>
          <w:sz w:val="20"/>
          <w:szCs w:val="20"/>
        </w:rPr>
        <w:t xml:space="preserve">, P., Jha, A., </w:t>
      </w:r>
      <w:proofErr w:type="spellStart"/>
      <w:r w:rsidRPr="00975F5A">
        <w:rPr>
          <w:rFonts w:ascii="Arial" w:hAnsi="Arial" w:cs="Arial"/>
          <w:sz w:val="20"/>
          <w:szCs w:val="20"/>
        </w:rPr>
        <w:t>Sabikhi</w:t>
      </w:r>
      <w:proofErr w:type="spellEnd"/>
      <w:r w:rsidRPr="00975F5A">
        <w:rPr>
          <w:rFonts w:ascii="Arial" w:hAnsi="Arial" w:cs="Arial"/>
          <w:sz w:val="20"/>
          <w:szCs w:val="20"/>
        </w:rPr>
        <w:t>, L., Kumar, A., &amp; Unnikrishnan, V. S. (2015). Nutritional advantages of oats and opportunities for its processing as value added foods-a review. Journal of food science and technology, 52(2), 662-675.</w:t>
      </w:r>
    </w:p>
    <w:p w14:paraId="2AE4AF39" w14:textId="77777777" w:rsidR="00975F5A" w:rsidRPr="00975F5A" w:rsidRDefault="00975F5A" w:rsidP="00975F5A">
      <w:pPr>
        <w:pStyle w:val="ListParagraph"/>
        <w:numPr>
          <w:ilvl w:val="0"/>
          <w:numId w:val="2"/>
        </w:numPr>
        <w:spacing w:line="360" w:lineRule="auto"/>
        <w:jc w:val="both"/>
        <w:rPr>
          <w:rFonts w:ascii="Arial" w:hAnsi="Arial" w:cs="Arial"/>
          <w:i/>
          <w:iCs/>
          <w:sz w:val="20"/>
          <w:szCs w:val="20"/>
        </w:rPr>
      </w:pPr>
      <w:r w:rsidRPr="00975F5A">
        <w:rPr>
          <w:rFonts w:ascii="Arial" w:hAnsi="Arial" w:cs="Arial"/>
          <w:sz w:val="20"/>
          <w:szCs w:val="20"/>
        </w:rPr>
        <w:t xml:space="preserve">Mordor Intelligence. (2024). India Energy Bar Market - Growth, Trends, and Forecasts (2024-2029). </w:t>
      </w:r>
      <w:hyperlink r:id="rId7" w:history="1">
        <w:r w:rsidRPr="00975F5A">
          <w:rPr>
            <w:rStyle w:val="Hyperlink"/>
            <w:rFonts w:ascii="Arial" w:hAnsi="Arial" w:cs="Arial"/>
            <w:sz w:val="20"/>
            <w:szCs w:val="20"/>
          </w:rPr>
          <w:t>https://www.researchandmarkets.com/reports/4591820/india-energy-bar-market-share-analysisI</w:t>
        </w:r>
      </w:hyperlink>
    </w:p>
    <w:p w14:paraId="2222F513" w14:textId="77777777" w:rsidR="00975F5A" w:rsidRPr="00975F5A" w:rsidRDefault="00975F5A" w:rsidP="00975F5A">
      <w:pPr>
        <w:pStyle w:val="ListParagraph"/>
        <w:numPr>
          <w:ilvl w:val="0"/>
          <w:numId w:val="2"/>
        </w:numPr>
        <w:spacing w:line="360" w:lineRule="auto"/>
        <w:jc w:val="both"/>
        <w:rPr>
          <w:rFonts w:ascii="Arial" w:hAnsi="Arial" w:cs="Arial"/>
          <w:i/>
          <w:iCs/>
          <w:sz w:val="20"/>
          <w:szCs w:val="20"/>
        </w:rPr>
      </w:pPr>
      <w:r w:rsidRPr="00975F5A">
        <w:rPr>
          <w:rFonts w:ascii="Arial" w:hAnsi="Arial" w:cs="Arial"/>
          <w:sz w:val="20"/>
          <w:szCs w:val="20"/>
        </w:rPr>
        <w:t>IMARC Group. (2023). </w:t>
      </w:r>
      <w:r w:rsidRPr="00975F5A">
        <w:rPr>
          <w:rFonts w:ascii="Arial" w:hAnsi="Arial" w:cs="Arial"/>
          <w:i/>
          <w:iCs/>
          <w:sz w:val="20"/>
          <w:szCs w:val="20"/>
        </w:rPr>
        <w:t xml:space="preserve">India Protein Bar Market Report. </w:t>
      </w:r>
      <w:hyperlink r:id="rId8" w:history="1">
        <w:r w:rsidRPr="00975F5A">
          <w:rPr>
            <w:rStyle w:val="Hyperlink"/>
            <w:rFonts w:ascii="Arial" w:hAnsi="Arial" w:cs="Arial"/>
            <w:i/>
            <w:iCs/>
            <w:sz w:val="20"/>
            <w:szCs w:val="20"/>
          </w:rPr>
          <w:t>https://www.imarcgroup.com/india-nutritional-bars-market</w:t>
        </w:r>
      </w:hyperlink>
    </w:p>
    <w:p w14:paraId="3220ABCD" w14:textId="77777777" w:rsidR="00975F5A" w:rsidRPr="0090723F" w:rsidRDefault="00975F5A" w:rsidP="00975F5A">
      <w:pPr>
        <w:spacing w:line="360" w:lineRule="auto"/>
        <w:ind w:left="142"/>
        <w:jc w:val="both"/>
        <w:rPr>
          <w:rFonts w:ascii="Arial" w:hAnsi="Arial" w:cs="Arial"/>
          <w:sz w:val="20"/>
          <w:szCs w:val="20"/>
        </w:rPr>
      </w:pPr>
      <w:r w:rsidRPr="00975F5A">
        <w:rPr>
          <w:rFonts w:ascii="Arial" w:hAnsi="Arial" w:cs="Arial"/>
          <w:sz w:val="20"/>
          <w:szCs w:val="20"/>
        </w:rPr>
        <w:t>63. El-Adawy, T. A., &amp; Taha, K. M. (2001). Characteristics and composition</w:t>
      </w:r>
      <w:r w:rsidRPr="0090723F">
        <w:rPr>
          <w:rFonts w:ascii="Arial" w:hAnsi="Arial" w:cs="Arial"/>
          <w:sz w:val="20"/>
          <w:szCs w:val="20"/>
        </w:rPr>
        <w:t xml:space="preserve"> of different seed oils and flours. Food Chemistry, 74(1), 47-54.</w:t>
      </w:r>
    </w:p>
    <w:p w14:paraId="2A6B9F68" w14:textId="73EB57E7" w:rsidR="00975F5A" w:rsidRDefault="00975F5A" w:rsidP="00975F5A">
      <w:pPr>
        <w:spacing w:line="360" w:lineRule="auto"/>
        <w:ind w:left="142"/>
        <w:jc w:val="both"/>
        <w:rPr>
          <w:rFonts w:ascii="Arial" w:hAnsi="Arial" w:cs="Arial"/>
          <w:sz w:val="20"/>
          <w:szCs w:val="20"/>
        </w:rPr>
      </w:pPr>
      <w:r>
        <w:rPr>
          <w:rFonts w:ascii="Arial" w:hAnsi="Arial" w:cs="Arial"/>
          <w:sz w:val="20"/>
          <w:szCs w:val="20"/>
        </w:rPr>
        <w:t xml:space="preserve">64. </w:t>
      </w:r>
      <w:r w:rsidRPr="0090723F">
        <w:rPr>
          <w:rFonts w:ascii="Arial" w:hAnsi="Arial" w:cs="Arial"/>
          <w:sz w:val="20"/>
          <w:szCs w:val="20"/>
        </w:rPr>
        <w:t xml:space="preserve">Haug, W., &amp; </w:t>
      </w:r>
      <w:proofErr w:type="spellStart"/>
      <w:r w:rsidRPr="0090723F">
        <w:rPr>
          <w:rFonts w:ascii="Arial" w:hAnsi="Arial" w:cs="Arial"/>
          <w:sz w:val="20"/>
          <w:szCs w:val="20"/>
        </w:rPr>
        <w:t>Lantzsch</w:t>
      </w:r>
      <w:proofErr w:type="spellEnd"/>
      <w:r w:rsidRPr="0090723F">
        <w:rPr>
          <w:rFonts w:ascii="Arial" w:hAnsi="Arial" w:cs="Arial"/>
          <w:sz w:val="20"/>
          <w:szCs w:val="20"/>
        </w:rPr>
        <w:t>, H. J. (1983). Sensitive method for the rapid determination of phytate in cereals and cereal products. </w:t>
      </w:r>
      <w:r w:rsidRPr="0090723F">
        <w:rPr>
          <w:rFonts w:ascii="Arial" w:hAnsi="Arial" w:cs="Arial"/>
          <w:i/>
          <w:iCs/>
          <w:sz w:val="20"/>
          <w:szCs w:val="20"/>
        </w:rPr>
        <w:t>Journal of the Science of Food and Agriculture</w:t>
      </w:r>
      <w:r w:rsidRPr="0090723F">
        <w:rPr>
          <w:rFonts w:ascii="Arial" w:hAnsi="Arial" w:cs="Arial"/>
          <w:sz w:val="20"/>
          <w:szCs w:val="20"/>
        </w:rPr>
        <w:t>, </w:t>
      </w:r>
      <w:r w:rsidRPr="0090723F">
        <w:rPr>
          <w:rFonts w:ascii="Arial" w:hAnsi="Arial" w:cs="Arial"/>
          <w:i/>
          <w:iCs/>
          <w:sz w:val="20"/>
          <w:szCs w:val="20"/>
        </w:rPr>
        <w:t>34</w:t>
      </w:r>
      <w:r w:rsidRPr="0090723F">
        <w:rPr>
          <w:rFonts w:ascii="Arial" w:hAnsi="Arial" w:cs="Arial"/>
          <w:sz w:val="20"/>
          <w:szCs w:val="20"/>
        </w:rPr>
        <w:t>(12), 1423-1426.</w:t>
      </w:r>
    </w:p>
    <w:p w14:paraId="26983227" w14:textId="57ABC1BE" w:rsidR="00685EC0" w:rsidRDefault="00685EC0" w:rsidP="00975F5A">
      <w:pPr>
        <w:spacing w:line="360" w:lineRule="auto"/>
        <w:ind w:left="142"/>
        <w:jc w:val="both"/>
        <w:rPr>
          <w:rFonts w:ascii="Arial" w:hAnsi="Arial" w:cs="Arial"/>
          <w:sz w:val="20"/>
          <w:szCs w:val="20"/>
          <w:highlight w:val="yellow"/>
        </w:rPr>
      </w:pPr>
      <w:r w:rsidRPr="00780FAE">
        <w:rPr>
          <w:rFonts w:ascii="Arial" w:hAnsi="Arial" w:cs="Arial"/>
          <w:sz w:val="20"/>
          <w:szCs w:val="20"/>
          <w:highlight w:val="yellow"/>
        </w:rPr>
        <w:t xml:space="preserve">Verma, A., Singh, D., &amp; Mitra, A. (2022). Development of gluten free energy bar and its proximate analysis. Pharma </w:t>
      </w:r>
      <w:proofErr w:type="spellStart"/>
      <w:r w:rsidRPr="00780FAE">
        <w:rPr>
          <w:rFonts w:ascii="Arial" w:hAnsi="Arial" w:cs="Arial"/>
          <w:sz w:val="20"/>
          <w:szCs w:val="20"/>
          <w:highlight w:val="yellow"/>
        </w:rPr>
        <w:t>Innov</w:t>
      </w:r>
      <w:proofErr w:type="spellEnd"/>
      <w:r w:rsidRPr="00780FAE">
        <w:rPr>
          <w:rFonts w:ascii="Arial" w:hAnsi="Arial" w:cs="Arial"/>
          <w:sz w:val="20"/>
          <w:szCs w:val="20"/>
          <w:highlight w:val="yellow"/>
        </w:rPr>
        <w:t>. J, 11, 569-576.</w:t>
      </w:r>
    </w:p>
    <w:p w14:paraId="73346A2A" w14:textId="0825E0CB" w:rsidR="00B871B4" w:rsidRDefault="00B871B4" w:rsidP="00975F5A">
      <w:pPr>
        <w:spacing w:line="360" w:lineRule="auto"/>
        <w:ind w:left="142"/>
        <w:jc w:val="both"/>
        <w:rPr>
          <w:rFonts w:ascii="Arial" w:hAnsi="Arial" w:cs="Arial"/>
          <w:sz w:val="20"/>
          <w:szCs w:val="20"/>
          <w:highlight w:val="yellow"/>
        </w:rPr>
      </w:pPr>
      <w:r w:rsidRPr="00780FAE">
        <w:rPr>
          <w:rFonts w:ascii="Arial" w:hAnsi="Arial" w:cs="Arial"/>
          <w:sz w:val="20"/>
          <w:szCs w:val="20"/>
          <w:highlight w:val="yellow"/>
        </w:rPr>
        <w:t xml:space="preserve">Subhash, A. J., </w:t>
      </w:r>
      <w:proofErr w:type="spellStart"/>
      <w:r w:rsidRPr="00780FAE">
        <w:rPr>
          <w:rFonts w:ascii="Arial" w:hAnsi="Arial" w:cs="Arial"/>
          <w:sz w:val="20"/>
          <w:szCs w:val="20"/>
          <w:highlight w:val="yellow"/>
        </w:rPr>
        <w:t>Bamigbade</w:t>
      </w:r>
      <w:proofErr w:type="spellEnd"/>
      <w:r w:rsidRPr="00780FAE">
        <w:rPr>
          <w:rFonts w:ascii="Arial" w:hAnsi="Arial" w:cs="Arial"/>
          <w:sz w:val="20"/>
          <w:szCs w:val="20"/>
          <w:highlight w:val="yellow"/>
        </w:rPr>
        <w:t xml:space="preserve">, G. B., &amp; Ayyash, M. (2024). Current insights into date by-product </w:t>
      </w:r>
      <w:proofErr w:type="spellStart"/>
      <w:r w:rsidRPr="00780FAE">
        <w:rPr>
          <w:rFonts w:ascii="Arial" w:hAnsi="Arial" w:cs="Arial"/>
          <w:sz w:val="20"/>
          <w:szCs w:val="20"/>
          <w:highlight w:val="yellow"/>
        </w:rPr>
        <w:t>valorization</w:t>
      </w:r>
      <w:proofErr w:type="spellEnd"/>
      <w:r w:rsidRPr="00780FAE">
        <w:rPr>
          <w:rFonts w:ascii="Arial" w:hAnsi="Arial" w:cs="Arial"/>
          <w:sz w:val="20"/>
          <w:szCs w:val="20"/>
          <w:highlight w:val="yellow"/>
        </w:rPr>
        <w:t xml:space="preserve"> for sustainable food industries and technology. Sustainable Food Technology, 2(2), 331-361.</w:t>
      </w:r>
    </w:p>
    <w:p w14:paraId="302D813F" w14:textId="5BBB7A28" w:rsidR="00A24F65" w:rsidRPr="0090723F" w:rsidRDefault="00A24F65" w:rsidP="00975F5A">
      <w:pPr>
        <w:spacing w:line="360" w:lineRule="auto"/>
        <w:ind w:left="142"/>
        <w:jc w:val="both"/>
        <w:rPr>
          <w:rFonts w:ascii="Arial" w:hAnsi="Arial" w:cs="Arial"/>
          <w:sz w:val="20"/>
          <w:szCs w:val="20"/>
        </w:rPr>
      </w:pPr>
      <w:proofErr w:type="spellStart"/>
      <w:r w:rsidRPr="00780FAE">
        <w:rPr>
          <w:rFonts w:ascii="Arial" w:hAnsi="Arial" w:cs="Arial"/>
          <w:sz w:val="20"/>
          <w:szCs w:val="20"/>
          <w:highlight w:val="yellow"/>
        </w:rPr>
        <w:t>Rameesa</w:t>
      </w:r>
      <w:proofErr w:type="spellEnd"/>
      <w:r w:rsidRPr="00780FAE">
        <w:rPr>
          <w:rFonts w:ascii="Arial" w:hAnsi="Arial" w:cs="Arial"/>
          <w:sz w:val="20"/>
          <w:szCs w:val="20"/>
          <w:highlight w:val="yellow"/>
        </w:rPr>
        <w:t xml:space="preserve"> AM, </w:t>
      </w:r>
      <w:proofErr w:type="spellStart"/>
      <w:r w:rsidRPr="00780FAE">
        <w:rPr>
          <w:rFonts w:ascii="Arial" w:hAnsi="Arial" w:cs="Arial"/>
          <w:sz w:val="20"/>
          <w:szCs w:val="20"/>
          <w:highlight w:val="yellow"/>
        </w:rPr>
        <w:t>Bushaira</w:t>
      </w:r>
      <w:proofErr w:type="spellEnd"/>
      <w:r w:rsidRPr="00780FAE">
        <w:rPr>
          <w:rFonts w:ascii="Arial" w:hAnsi="Arial" w:cs="Arial"/>
          <w:sz w:val="20"/>
          <w:szCs w:val="20"/>
          <w:highlight w:val="yellow"/>
        </w:rPr>
        <w:t xml:space="preserve"> V. Development and evaluation of energy bar incorporated with different varieties of watermelon seeds. Int J Home Sci 2023;9(3):22-24. DOI: 10.22271/23957476.2023.v9.i3a.1508</w:t>
      </w:r>
    </w:p>
    <w:p w14:paraId="7DCF1AA4" w14:textId="77777777" w:rsidR="00975F5A" w:rsidRDefault="00975F5A" w:rsidP="00780FAE">
      <w:pPr>
        <w:spacing w:line="360" w:lineRule="auto"/>
        <w:jc w:val="center"/>
        <w:rPr>
          <w:rFonts w:ascii="Arial" w:hAnsi="Arial" w:cs="Arial"/>
          <w:sz w:val="20"/>
          <w:szCs w:val="20"/>
        </w:rPr>
      </w:pPr>
    </w:p>
    <w:p w14:paraId="0D3DF8D2" w14:textId="77777777" w:rsidR="00975F5A" w:rsidRDefault="00975F5A" w:rsidP="00975F5A">
      <w:pPr>
        <w:spacing w:line="360" w:lineRule="auto"/>
        <w:jc w:val="both"/>
        <w:rPr>
          <w:rFonts w:ascii="Arial" w:hAnsi="Arial" w:cs="Arial"/>
          <w:sz w:val="20"/>
          <w:szCs w:val="20"/>
        </w:rPr>
      </w:pPr>
    </w:p>
    <w:p w14:paraId="1D7F51DB" w14:textId="77777777" w:rsidR="00975F5A" w:rsidRDefault="00975F5A" w:rsidP="00975F5A">
      <w:pPr>
        <w:spacing w:line="360" w:lineRule="auto"/>
        <w:jc w:val="both"/>
        <w:rPr>
          <w:rFonts w:ascii="Arial" w:hAnsi="Arial" w:cs="Arial"/>
          <w:sz w:val="20"/>
          <w:szCs w:val="20"/>
        </w:rPr>
      </w:pPr>
    </w:p>
    <w:p w14:paraId="41FF34F7" w14:textId="77777777" w:rsidR="00C43406" w:rsidRDefault="00C43406"/>
    <w:sectPr w:rsidR="00C434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A7352" w14:textId="77777777" w:rsidR="002417A3" w:rsidRDefault="002417A3" w:rsidP="0094778A">
      <w:pPr>
        <w:spacing w:after="0" w:line="240" w:lineRule="auto"/>
      </w:pPr>
      <w:r>
        <w:separator/>
      </w:r>
    </w:p>
  </w:endnote>
  <w:endnote w:type="continuationSeparator" w:id="0">
    <w:p w14:paraId="1C62BB17" w14:textId="77777777" w:rsidR="002417A3" w:rsidRDefault="002417A3" w:rsidP="0094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B785D" w14:textId="77777777" w:rsidR="002417A3" w:rsidRDefault="002417A3" w:rsidP="0094778A">
      <w:pPr>
        <w:spacing w:after="0" w:line="240" w:lineRule="auto"/>
      </w:pPr>
      <w:r>
        <w:separator/>
      </w:r>
    </w:p>
  </w:footnote>
  <w:footnote w:type="continuationSeparator" w:id="0">
    <w:p w14:paraId="4EE85673" w14:textId="77777777" w:rsidR="002417A3" w:rsidRDefault="002417A3" w:rsidP="00947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F33BA"/>
    <w:multiLevelType w:val="multilevel"/>
    <w:tmpl w:val="550C49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0AA7FDC"/>
    <w:multiLevelType w:val="hybridMultilevel"/>
    <w:tmpl w:val="6C825778"/>
    <w:lvl w:ilvl="0" w:tplc="09789356">
      <w:start w:val="1"/>
      <w:numFmt w:val="decimal"/>
      <w:lvlText w:val="%1."/>
      <w:lvlJc w:val="left"/>
      <w:pPr>
        <w:ind w:left="502" w:hanging="360"/>
      </w:pPr>
      <w:rPr>
        <w:rFonts w:ascii="Arial" w:hAnsi="Arial" w:cs="Arial"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3MzMxNDA0NDYwN7FQ0lEKTi0uzszPAykwqgUAj5xFxCwAAAA="/>
  </w:docVars>
  <w:rsids>
    <w:rsidRoot w:val="009E689A"/>
    <w:rsid w:val="00027406"/>
    <w:rsid w:val="000314B0"/>
    <w:rsid w:val="000460D1"/>
    <w:rsid w:val="0008477C"/>
    <w:rsid w:val="00085171"/>
    <w:rsid w:val="00093AA3"/>
    <w:rsid w:val="000969E9"/>
    <w:rsid w:val="000C5576"/>
    <w:rsid w:val="00101044"/>
    <w:rsid w:val="00105450"/>
    <w:rsid w:val="0010613F"/>
    <w:rsid w:val="001238ED"/>
    <w:rsid w:val="001643F2"/>
    <w:rsid w:val="001870D1"/>
    <w:rsid w:val="00196207"/>
    <w:rsid w:val="001C0772"/>
    <w:rsid w:val="001F1F25"/>
    <w:rsid w:val="0022220F"/>
    <w:rsid w:val="00222728"/>
    <w:rsid w:val="00237667"/>
    <w:rsid w:val="002417A3"/>
    <w:rsid w:val="002705A8"/>
    <w:rsid w:val="002A17F6"/>
    <w:rsid w:val="002C0873"/>
    <w:rsid w:val="002C6879"/>
    <w:rsid w:val="003219BC"/>
    <w:rsid w:val="003730E0"/>
    <w:rsid w:val="003B5121"/>
    <w:rsid w:val="003C126E"/>
    <w:rsid w:val="003D1A61"/>
    <w:rsid w:val="003E19B0"/>
    <w:rsid w:val="003E6EDD"/>
    <w:rsid w:val="0040538A"/>
    <w:rsid w:val="00444890"/>
    <w:rsid w:val="004B6FBD"/>
    <w:rsid w:val="004C1AC7"/>
    <w:rsid w:val="004D625E"/>
    <w:rsid w:val="00521C5E"/>
    <w:rsid w:val="00521FE3"/>
    <w:rsid w:val="005359A4"/>
    <w:rsid w:val="005A0AC9"/>
    <w:rsid w:val="005B03A1"/>
    <w:rsid w:val="005B0A54"/>
    <w:rsid w:val="005C5042"/>
    <w:rsid w:val="00603668"/>
    <w:rsid w:val="006137F8"/>
    <w:rsid w:val="00642D16"/>
    <w:rsid w:val="00653B16"/>
    <w:rsid w:val="00661B7E"/>
    <w:rsid w:val="00674975"/>
    <w:rsid w:val="00676AE8"/>
    <w:rsid w:val="00685EC0"/>
    <w:rsid w:val="006C1F15"/>
    <w:rsid w:val="006D3305"/>
    <w:rsid w:val="00711730"/>
    <w:rsid w:val="00725845"/>
    <w:rsid w:val="00736D84"/>
    <w:rsid w:val="00741A55"/>
    <w:rsid w:val="00775E82"/>
    <w:rsid w:val="00780FAE"/>
    <w:rsid w:val="007A14FA"/>
    <w:rsid w:val="007A4D01"/>
    <w:rsid w:val="007C5CA8"/>
    <w:rsid w:val="00850E39"/>
    <w:rsid w:val="00881BAB"/>
    <w:rsid w:val="008B6507"/>
    <w:rsid w:val="008C3135"/>
    <w:rsid w:val="00916BED"/>
    <w:rsid w:val="009312AB"/>
    <w:rsid w:val="0094778A"/>
    <w:rsid w:val="00962EC7"/>
    <w:rsid w:val="0097048F"/>
    <w:rsid w:val="00975F5A"/>
    <w:rsid w:val="009822B9"/>
    <w:rsid w:val="0099483C"/>
    <w:rsid w:val="009D247F"/>
    <w:rsid w:val="009E689A"/>
    <w:rsid w:val="00A24F65"/>
    <w:rsid w:val="00A33EDC"/>
    <w:rsid w:val="00A80553"/>
    <w:rsid w:val="00AE52AA"/>
    <w:rsid w:val="00AF79D4"/>
    <w:rsid w:val="00B05FCC"/>
    <w:rsid w:val="00B13E4E"/>
    <w:rsid w:val="00B42E40"/>
    <w:rsid w:val="00B46BD3"/>
    <w:rsid w:val="00B871B4"/>
    <w:rsid w:val="00BB5A4A"/>
    <w:rsid w:val="00BE6971"/>
    <w:rsid w:val="00BF05F4"/>
    <w:rsid w:val="00C245AD"/>
    <w:rsid w:val="00C27A76"/>
    <w:rsid w:val="00C43406"/>
    <w:rsid w:val="00C72C7E"/>
    <w:rsid w:val="00C96CC0"/>
    <w:rsid w:val="00CB1F8E"/>
    <w:rsid w:val="00CC305B"/>
    <w:rsid w:val="00CE4048"/>
    <w:rsid w:val="00D11842"/>
    <w:rsid w:val="00D23418"/>
    <w:rsid w:val="00D26E26"/>
    <w:rsid w:val="00D453B2"/>
    <w:rsid w:val="00D536E4"/>
    <w:rsid w:val="00D62264"/>
    <w:rsid w:val="00D7666A"/>
    <w:rsid w:val="00D82843"/>
    <w:rsid w:val="00D8412E"/>
    <w:rsid w:val="00D9507F"/>
    <w:rsid w:val="00DC7994"/>
    <w:rsid w:val="00DD3F6E"/>
    <w:rsid w:val="00DE14E8"/>
    <w:rsid w:val="00E04288"/>
    <w:rsid w:val="00EA2112"/>
    <w:rsid w:val="00EC06B6"/>
    <w:rsid w:val="00EF147B"/>
    <w:rsid w:val="00F15F96"/>
    <w:rsid w:val="00F750DB"/>
    <w:rsid w:val="00F85EF6"/>
    <w:rsid w:val="00F934CD"/>
    <w:rsid w:val="00FB0E3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D1CB2"/>
  <w15:chartTrackingRefBased/>
  <w15:docId w15:val="{685BF51B-E053-412A-8514-F342E732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873"/>
  </w:style>
  <w:style w:type="paragraph" w:styleId="Heading1">
    <w:name w:val="heading 1"/>
    <w:basedOn w:val="Normal"/>
    <w:next w:val="Normal"/>
    <w:link w:val="Heading1Char"/>
    <w:uiPriority w:val="9"/>
    <w:qFormat/>
    <w:rsid w:val="009E6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89A"/>
    <w:rPr>
      <w:rFonts w:eastAsiaTheme="majorEastAsia" w:cstheme="majorBidi"/>
      <w:color w:val="272727" w:themeColor="text1" w:themeTint="D8"/>
    </w:rPr>
  </w:style>
  <w:style w:type="paragraph" w:styleId="Title">
    <w:name w:val="Title"/>
    <w:basedOn w:val="Normal"/>
    <w:next w:val="Normal"/>
    <w:link w:val="TitleChar"/>
    <w:qFormat/>
    <w:rsid w:val="009E6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89A"/>
    <w:pPr>
      <w:spacing w:before="160"/>
      <w:jc w:val="center"/>
    </w:pPr>
    <w:rPr>
      <w:i/>
      <w:iCs/>
      <w:color w:val="404040" w:themeColor="text1" w:themeTint="BF"/>
    </w:rPr>
  </w:style>
  <w:style w:type="character" w:customStyle="1" w:styleId="QuoteChar">
    <w:name w:val="Quote Char"/>
    <w:basedOn w:val="DefaultParagraphFont"/>
    <w:link w:val="Quote"/>
    <w:uiPriority w:val="29"/>
    <w:rsid w:val="009E689A"/>
    <w:rPr>
      <w:i/>
      <w:iCs/>
      <w:color w:val="404040" w:themeColor="text1" w:themeTint="BF"/>
    </w:rPr>
  </w:style>
  <w:style w:type="paragraph" w:styleId="ListParagraph">
    <w:name w:val="List Paragraph"/>
    <w:basedOn w:val="Normal"/>
    <w:uiPriority w:val="34"/>
    <w:qFormat/>
    <w:rsid w:val="009E689A"/>
    <w:pPr>
      <w:ind w:left="720"/>
      <w:contextualSpacing/>
    </w:pPr>
  </w:style>
  <w:style w:type="character" w:styleId="IntenseEmphasis">
    <w:name w:val="Intense Emphasis"/>
    <w:basedOn w:val="DefaultParagraphFont"/>
    <w:uiPriority w:val="21"/>
    <w:qFormat/>
    <w:rsid w:val="009E689A"/>
    <w:rPr>
      <w:i/>
      <w:iCs/>
      <w:color w:val="0F4761" w:themeColor="accent1" w:themeShade="BF"/>
    </w:rPr>
  </w:style>
  <w:style w:type="paragraph" w:styleId="IntenseQuote">
    <w:name w:val="Intense Quote"/>
    <w:basedOn w:val="Normal"/>
    <w:next w:val="Normal"/>
    <w:link w:val="IntenseQuoteChar"/>
    <w:uiPriority w:val="30"/>
    <w:qFormat/>
    <w:rsid w:val="009E6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89A"/>
    <w:rPr>
      <w:i/>
      <w:iCs/>
      <w:color w:val="0F4761" w:themeColor="accent1" w:themeShade="BF"/>
    </w:rPr>
  </w:style>
  <w:style w:type="character" w:styleId="IntenseReference">
    <w:name w:val="Intense Reference"/>
    <w:basedOn w:val="DefaultParagraphFont"/>
    <w:uiPriority w:val="32"/>
    <w:qFormat/>
    <w:rsid w:val="009E689A"/>
    <w:rPr>
      <w:b/>
      <w:bCs/>
      <w:smallCaps/>
      <w:color w:val="0F4761" w:themeColor="accent1" w:themeShade="BF"/>
      <w:spacing w:val="5"/>
    </w:rPr>
  </w:style>
  <w:style w:type="table" w:styleId="TableGrid">
    <w:name w:val="Table Grid"/>
    <w:basedOn w:val="TableNormal"/>
    <w:uiPriority w:val="39"/>
    <w:rsid w:val="002C087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2C0873"/>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2C0873"/>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2C0873"/>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947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78A"/>
  </w:style>
  <w:style w:type="paragraph" w:styleId="Footer">
    <w:name w:val="footer"/>
    <w:basedOn w:val="Normal"/>
    <w:link w:val="FooterChar"/>
    <w:uiPriority w:val="99"/>
    <w:unhideWhenUsed/>
    <w:rsid w:val="00947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78A"/>
  </w:style>
  <w:style w:type="paragraph" w:styleId="NormalWeb">
    <w:name w:val="Normal (Web)"/>
    <w:basedOn w:val="Normal"/>
    <w:uiPriority w:val="99"/>
    <w:semiHidden/>
    <w:unhideWhenUsed/>
    <w:rsid w:val="00F934CD"/>
    <w:rPr>
      <w:rFonts w:ascii="Times New Roman" w:hAnsi="Times New Roman" w:cs="Times New Roman"/>
    </w:rPr>
  </w:style>
  <w:style w:type="character" w:styleId="Hyperlink">
    <w:name w:val="Hyperlink"/>
    <w:basedOn w:val="DefaultParagraphFont"/>
    <w:uiPriority w:val="99"/>
    <w:unhideWhenUsed/>
    <w:rsid w:val="00975F5A"/>
    <w:rPr>
      <w:color w:val="467886" w:themeColor="hyperlink"/>
      <w:u w:val="single"/>
    </w:rPr>
  </w:style>
  <w:style w:type="character" w:styleId="UnresolvedMention">
    <w:name w:val="Unresolved Mention"/>
    <w:basedOn w:val="DefaultParagraphFont"/>
    <w:uiPriority w:val="99"/>
    <w:semiHidden/>
    <w:unhideWhenUsed/>
    <w:rsid w:val="00093AA3"/>
    <w:rPr>
      <w:color w:val="605E5C"/>
      <w:shd w:val="clear" w:color="auto" w:fill="E1DFDD"/>
    </w:rPr>
  </w:style>
  <w:style w:type="paragraph" w:styleId="BalloonText">
    <w:name w:val="Balloon Text"/>
    <w:basedOn w:val="Normal"/>
    <w:link w:val="BalloonTextChar"/>
    <w:uiPriority w:val="99"/>
    <w:semiHidden/>
    <w:unhideWhenUsed/>
    <w:rsid w:val="00685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20368">
      <w:bodyDiv w:val="1"/>
      <w:marLeft w:val="0"/>
      <w:marRight w:val="0"/>
      <w:marTop w:val="0"/>
      <w:marBottom w:val="0"/>
      <w:divBdr>
        <w:top w:val="none" w:sz="0" w:space="0" w:color="auto"/>
        <w:left w:val="none" w:sz="0" w:space="0" w:color="auto"/>
        <w:bottom w:val="none" w:sz="0" w:space="0" w:color="auto"/>
        <w:right w:val="none" w:sz="0" w:space="0" w:color="auto"/>
      </w:divBdr>
      <w:divsChild>
        <w:div w:id="1397149">
          <w:marLeft w:val="0"/>
          <w:marRight w:val="0"/>
          <w:marTop w:val="150"/>
          <w:marBottom w:val="0"/>
          <w:divBdr>
            <w:top w:val="single" w:sz="6" w:space="8" w:color="DDDDDD"/>
            <w:left w:val="single" w:sz="6" w:space="8" w:color="DDDDDD"/>
            <w:bottom w:val="single" w:sz="6" w:space="8" w:color="DDDDDD"/>
            <w:right w:val="single" w:sz="6" w:space="8" w:color="DDDDDD"/>
          </w:divBdr>
          <w:divsChild>
            <w:div w:id="1970165616">
              <w:marLeft w:val="0"/>
              <w:marRight w:val="0"/>
              <w:marTop w:val="300"/>
              <w:marBottom w:val="0"/>
              <w:divBdr>
                <w:top w:val="single" w:sz="6" w:space="8" w:color="990000"/>
                <w:left w:val="single" w:sz="6" w:space="8" w:color="990000"/>
                <w:bottom w:val="single" w:sz="6" w:space="8" w:color="990000"/>
                <w:right w:val="single" w:sz="6" w:space="8" w:color="990000"/>
              </w:divBdr>
              <w:divsChild>
                <w:div w:id="8637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arcgroup.com/india-nutritional-bars-market" TargetMode="External"/><Relationship Id="rId3" Type="http://schemas.openxmlformats.org/officeDocument/2006/relationships/settings" Target="settings.xml"/><Relationship Id="rId7" Type="http://schemas.openxmlformats.org/officeDocument/2006/relationships/hyperlink" Target="https://www.researchandmarkets.com/reports/4591820/india-energy-bar-market-share-analys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7454</Words>
  <Characters>42491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kulkarni</dc:creator>
  <cp:keywords/>
  <dc:description/>
  <cp:lastModifiedBy>SDI 1186</cp:lastModifiedBy>
  <cp:revision>19</cp:revision>
  <dcterms:created xsi:type="dcterms:W3CDTF">2025-08-03T08:32:00Z</dcterms:created>
  <dcterms:modified xsi:type="dcterms:W3CDTF">2025-08-09T07:41:00Z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b0ca4ca0-be1a-48fa-9cff-908ed5c69dae</vt:lpwstr>
  </property>
</Properties>
</file>