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9293" w14:textId="5B0EA129" w:rsidR="007976F0" w:rsidRPr="008B2C29" w:rsidRDefault="007976F0" w:rsidP="007976F0">
      <w:pPr>
        <w:spacing w:line="276" w:lineRule="auto"/>
        <w:jc w:val="left"/>
        <w:rPr>
          <w:rFonts w:ascii="Arial" w:hAnsi="Arial" w:cs="Arial"/>
          <w:b/>
          <w:bCs/>
          <w:sz w:val="22"/>
          <w:u w:val="single"/>
        </w:rPr>
      </w:pPr>
      <w:bookmarkStart w:id="0" w:name="_GoBack"/>
      <w:r w:rsidRPr="008B2C29">
        <w:rPr>
          <w:rFonts w:ascii="Arial" w:hAnsi="Arial" w:cs="Arial"/>
          <w:b/>
          <w:bCs/>
          <w:sz w:val="22"/>
          <w:u w:val="single"/>
        </w:rPr>
        <w:t>Original Research Article</w:t>
      </w:r>
    </w:p>
    <w:p w14:paraId="36B46F90" w14:textId="4F147E91" w:rsidR="007F10F4" w:rsidRPr="008B2C29" w:rsidRDefault="007F10F4" w:rsidP="007F10F4">
      <w:pPr>
        <w:spacing w:line="276" w:lineRule="auto"/>
        <w:jc w:val="center"/>
        <w:rPr>
          <w:rFonts w:ascii="Arial" w:hAnsi="Arial" w:cs="Arial"/>
          <w:b/>
          <w:bCs/>
          <w:sz w:val="22"/>
        </w:rPr>
      </w:pPr>
      <w:r w:rsidRPr="008B2C29">
        <w:rPr>
          <w:rFonts w:ascii="Arial" w:hAnsi="Arial" w:cs="Arial"/>
          <w:b/>
          <w:bCs/>
          <w:sz w:val="22"/>
        </w:rPr>
        <w:t xml:space="preserve">Assessing the Effects of Land Registration on Tenure Security in </w:t>
      </w:r>
      <w:r w:rsidR="00D97385" w:rsidRPr="008B2C29">
        <w:rPr>
          <w:rFonts w:ascii="Arial" w:hAnsi="Arial" w:cs="Arial"/>
          <w:b/>
          <w:bCs/>
          <w:sz w:val="22"/>
        </w:rPr>
        <w:t>Kumasi,</w:t>
      </w:r>
      <w:r w:rsidRPr="008B2C29">
        <w:rPr>
          <w:rFonts w:ascii="Arial" w:hAnsi="Arial" w:cs="Arial"/>
          <w:b/>
          <w:bCs/>
          <w:sz w:val="22"/>
        </w:rPr>
        <w:t xml:space="preserve"> Ghana</w:t>
      </w:r>
    </w:p>
    <w:p w14:paraId="76BB54BB" w14:textId="77777777" w:rsidR="00AD2700" w:rsidRPr="008B2C29" w:rsidRDefault="00AD2700" w:rsidP="007F10F4">
      <w:pPr>
        <w:spacing w:line="276" w:lineRule="auto"/>
        <w:jc w:val="center"/>
        <w:rPr>
          <w:rFonts w:ascii="Arial" w:hAnsi="Arial" w:cs="Arial"/>
          <w:b/>
          <w:bCs/>
          <w:sz w:val="22"/>
        </w:rPr>
      </w:pPr>
    </w:p>
    <w:p w14:paraId="7AF1CCE6" w14:textId="5B2B9BE2" w:rsidR="00FC7AC7" w:rsidRPr="008B2C29" w:rsidRDefault="00BE688B" w:rsidP="002C7DB3">
      <w:pPr>
        <w:spacing w:line="276" w:lineRule="auto"/>
        <w:jc w:val="left"/>
        <w:rPr>
          <w:rFonts w:ascii="Arial" w:hAnsi="Arial" w:cs="Arial"/>
          <w:b/>
          <w:bCs/>
          <w:sz w:val="20"/>
          <w:szCs w:val="20"/>
        </w:rPr>
      </w:pPr>
      <w:r w:rsidRPr="008B2C29">
        <w:rPr>
          <w:rFonts w:ascii="Arial" w:hAnsi="Arial" w:cs="Arial"/>
          <w:b/>
          <w:bCs/>
          <w:sz w:val="20"/>
          <w:szCs w:val="20"/>
        </w:rPr>
        <w:t>ABSTRACT</w:t>
      </w:r>
    </w:p>
    <w:p w14:paraId="6FA16253" w14:textId="4B031A32" w:rsidR="00BE688B" w:rsidRPr="008B2C29" w:rsidRDefault="009E5EE6" w:rsidP="002C7DB3">
      <w:pPr>
        <w:spacing w:line="276" w:lineRule="auto"/>
        <w:rPr>
          <w:rFonts w:ascii="Arial" w:hAnsi="Arial" w:cs="Arial"/>
          <w:b/>
          <w:bCs/>
          <w:sz w:val="20"/>
          <w:szCs w:val="20"/>
        </w:rPr>
      </w:pPr>
      <w:r w:rsidRPr="008B2C29">
        <w:rPr>
          <w:rFonts w:ascii="Arial" w:hAnsi="Arial" w:cs="Arial"/>
          <w:sz w:val="20"/>
          <w:szCs w:val="20"/>
          <w:lang w:val="en-US"/>
        </w:rPr>
        <w:t>In most developing nations, tenure insecurity is a chronic feature, especially in urban and peri-urban regions where land tenure is usually unrecorded, contentious, or dominated by pluralistic tenure regimes. In Ghana, the intersection of customary and statutory land tenure regimes has resulted in extensive land conflicts, failure to seek legal recognition, and negligible investment in land-related development</w:t>
      </w:r>
      <w:r w:rsidR="007B6225" w:rsidRPr="008B2C29">
        <w:rPr>
          <w:rFonts w:ascii="Arial" w:hAnsi="Arial" w:cs="Arial"/>
          <w:sz w:val="20"/>
          <w:szCs w:val="20"/>
          <w:lang w:val="en-US"/>
        </w:rPr>
        <w:t>. This paper evaluates the impact of land registration on tenure security in Kumasi. Employing an embedded case study design, the paper adopted a mixed quantitative and qualitative methodology, based on data collected through 383 land rights holders and interviews with land officers from the Lands Commission. The findings reveal that land registration is significant in guaranteeing tenure through the provision of legal proof, conflict minimization, and stimulating investment confidence. Over half of the respondents showed an improvement in legal security and a reduction in land conflicts, while ninety percent reported an increase in investment and productivity in land use after the registration process. The paper also reveals major barriers to registration, which include high costs, administrative inefficiencies, low awareness, and institutional inefficiencies. These barriers fall disproportionately on low-income groups and widen inequalities, especially targeting women and marginal groups. The paper concludes that while land registration holds the prospect of securing land rights and stimulating development, its success is highly dependent on complementary institutional reforms, inclusive policies, and public sensitization. Recommendations made are simplifying registration procedures, reducing costs, consolidating customary tenure within statutory systems, and enhancing transparency and accountability in land governance systems so that equitable access and tenure security can be extended to all.</w:t>
      </w:r>
    </w:p>
    <w:p w14:paraId="1237AC30" w14:textId="7C637F98" w:rsidR="002C7DB3" w:rsidRPr="008B2C29" w:rsidRDefault="00EC052B" w:rsidP="002C7DB3">
      <w:pPr>
        <w:spacing w:line="276" w:lineRule="auto"/>
        <w:jc w:val="left"/>
        <w:rPr>
          <w:rFonts w:ascii="Arial" w:hAnsi="Arial" w:cs="Arial"/>
          <w:sz w:val="20"/>
          <w:szCs w:val="20"/>
        </w:rPr>
      </w:pPr>
      <w:r w:rsidRPr="008B2C29">
        <w:rPr>
          <w:rFonts w:ascii="Arial" w:hAnsi="Arial" w:cs="Arial"/>
          <w:b/>
          <w:bCs/>
          <w:sz w:val="20"/>
          <w:szCs w:val="20"/>
        </w:rPr>
        <w:t xml:space="preserve">KEYWORDS: </w:t>
      </w:r>
      <w:r w:rsidRPr="008B2C29">
        <w:rPr>
          <w:rFonts w:ascii="Arial" w:hAnsi="Arial" w:cs="Arial"/>
          <w:sz w:val="20"/>
          <w:szCs w:val="20"/>
        </w:rPr>
        <w:t>Land Registratio</w:t>
      </w:r>
      <w:r w:rsidR="002C7DB3" w:rsidRPr="008B2C29">
        <w:rPr>
          <w:rFonts w:ascii="Arial" w:hAnsi="Arial" w:cs="Arial"/>
          <w:sz w:val="20"/>
          <w:szCs w:val="20"/>
        </w:rPr>
        <w:t>n, Effects, Tenure Security, Urban Ghana</w:t>
      </w:r>
    </w:p>
    <w:p w14:paraId="27924B8A" w14:textId="77777777" w:rsidR="00BE688B" w:rsidRPr="008B2C29" w:rsidRDefault="00BE688B" w:rsidP="002C7DB3">
      <w:pPr>
        <w:spacing w:line="276" w:lineRule="auto"/>
        <w:jc w:val="left"/>
        <w:rPr>
          <w:rFonts w:ascii="Arial" w:hAnsi="Arial" w:cs="Arial"/>
          <w:b/>
          <w:bCs/>
          <w:sz w:val="20"/>
          <w:szCs w:val="20"/>
        </w:rPr>
      </w:pPr>
    </w:p>
    <w:p w14:paraId="6A4FE54F" w14:textId="77777777" w:rsidR="000D6589" w:rsidRPr="008B2C29" w:rsidRDefault="000D6589" w:rsidP="002C7DB3">
      <w:pPr>
        <w:spacing w:line="276" w:lineRule="auto"/>
        <w:jc w:val="left"/>
        <w:rPr>
          <w:rFonts w:ascii="Arial" w:hAnsi="Arial" w:cs="Arial"/>
          <w:b/>
          <w:bCs/>
          <w:sz w:val="20"/>
          <w:szCs w:val="20"/>
        </w:rPr>
      </w:pPr>
    </w:p>
    <w:p w14:paraId="6E69ACC4" w14:textId="77777777" w:rsidR="000D6589" w:rsidRPr="008B2C29" w:rsidRDefault="000D6589" w:rsidP="002C7DB3">
      <w:pPr>
        <w:spacing w:line="276" w:lineRule="auto"/>
        <w:jc w:val="left"/>
        <w:rPr>
          <w:rFonts w:ascii="Arial" w:hAnsi="Arial" w:cs="Arial"/>
          <w:b/>
          <w:bCs/>
          <w:sz w:val="20"/>
          <w:szCs w:val="20"/>
        </w:rPr>
      </w:pPr>
    </w:p>
    <w:p w14:paraId="4AA64C83" w14:textId="77777777" w:rsidR="000D6589" w:rsidRPr="008B2C29" w:rsidRDefault="000D6589" w:rsidP="002C7DB3">
      <w:pPr>
        <w:spacing w:line="276" w:lineRule="auto"/>
        <w:jc w:val="left"/>
        <w:rPr>
          <w:rFonts w:ascii="Arial" w:hAnsi="Arial" w:cs="Arial"/>
          <w:b/>
          <w:bCs/>
          <w:sz w:val="20"/>
          <w:szCs w:val="20"/>
        </w:rPr>
      </w:pPr>
    </w:p>
    <w:p w14:paraId="6154EC0D" w14:textId="77777777" w:rsidR="000D6589" w:rsidRPr="008B2C29" w:rsidRDefault="000D6589" w:rsidP="002C7DB3">
      <w:pPr>
        <w:spacing w:line="276" w:lineRule="auto"/>
        <w:jc w:val="left"/>
        <w:rPr>
          <w:rFonts w:ascii="Arial" w:hAnsi="Arial" w:cs="Arial"/>
          <w:b/>
          <w:bCs/>
          <w:sz w:val="20"/>
          <w:szCs w:val="20"/>
        </w:rPr>
      </w:pPr>
    </w:p>
    <w:p w14:paraId="5520DD8F" w14:textId="77777777" w:rsidR="000D6589" w:rsidRPr="008B2C29" w:rsidRDefault="000D6589" w:rsidP="002C7DB3">
      <w:pPr>
        <w:spacing w:line="276" w:lineRule="auto"/>
        <w:jc w:val="left"/>
        <w:rPr>
          <w:rFonts w:ascii="Arial" w:hAnsi="Arial" w:cs="Arial"/>
          <w:b/>
          <w:bCs/>
          <w:sz w:val="20"/>
          <w:szCs w:val="20"/>
        </w:rPr>
      </w:pPr>
    </w:p>
    <w:p w14:paraId="0C1C302B" w14:textId="77777777" w:rsidR="000D6589" w:rsidRPr="008B2C29" w:rsidRDefault="000D6589" w:rsidP="002C7DB3">
      <w:pPr>
        <w:spacing w:line="276" w:lineRule="auto"/>
        <w:jc w:val="left"/>
        <w:rPr>
          <w:rFonts w:ascii="Arial" w:hAnsi="Arial" w:cs="Arial"/>
          <w:b/>
          <w:bCs/>
          <w:sz w:val="20"/>
          <w:szCs w:val="20"/>
        </w:rPr>
      </w:pPr>
    </w:p>
    <w:p w14:paraId="69EF536F" w14:textId="77777777" w:rsidR="000D6589" w:rsidRPr="008B2C29" w:rsidRDefault="000D6589" w:rsidP="002C7DB3">
      <w:pPr>
        <w:spacing w:line="276" w:lineRule="auto"/>
        <w:jc w:val="left"/>
        <w:rPr>
          <w:rFonts w:ascii="Arial" w:hAnsi="Arial" w:cs="Arial"/>
          <w:b/>
          <w:bCs/>
          <w:sz w:val="20"/>
          <w:szCs w:val="20"/>
        </w:rPr>
      </w:pPr>
    </w:p>
    <w:p w14:paraId="21969A74" w14:textId="77777777" w:rsidR="000D6589" w:rsidRPr="008B2C29" w:rsidRDefault="000D6589" w:rsidP="002C7DB3">
      <w:pPr>
        <w:spacing w:line="276" w:lineRule="auto"/>
        <w:jc w:val="left"/>
        <w:rPr>
          <w:rFonts w:ascii="Arial" w:hAnsi="Arial" w:cs="Arial"/>
          <w:b/>
          <w:bCs/>
          <w:sz w:val="20"/>
          <w:szCs w:val="20"/>
        </w:rPr>
      </w:pPr>
    </w:p>
    <w:p w14:paraId="65E0F35D" w14:textId="77777777" w:rsidR="000D6589" w:rsidRPr="008B2C29" w:rsidRDefault="000D6589" w:rsidP="002C7DB3">
      <w:pPr>
        <w:spacing w:line="276" w:lineRule="auto"/>
        <w:jc w:val="left"/>
        <w:rPr>
          <w:rFonts w:ascii="Arial" w:hAnsi="Arial" w:cs="Arial"/>
          <w:b/>
          <w:bCs/>
          <w:sz w:val="20"/>
          <w:szCs w:val="20"/>
        </w:rPr>
      </w:pPr>
    </w:p>
    <w:p w14:paraId="4EE35775" w14:textId="77777777" w:rsidR="000D6589" w:rsidRPr="008B2C29" w:rsidRDefault="000D6589" w:rsidP="002C7DB3">
      <w:pPr>
        <w:spacing w:line="276" w:lineRule="auto"/>
        <w:jc w:val="left"/>
        <w:rPr>
          <w:rFonts w:ascii="Arial" w:hAnsi="Arial" w:cs="Arial"/>
          <w:b/>
          <w:bCs/>
          <w:sz w:val="20"/>
          <w:szCs w:val="20"/>
        </w:rPr>
      </w:pPr>
    </w:p>
    <w:p w14:paraId="2747AEB5" w14:textId="77777777" w:rsidR="000D6589" w:rsidRPr="008B2C29" w:rsidRDefault="000D6589" w:rsidP="002C7DB3">
      <w:pPr>
        <w:spacing w:line="276" w:lineRule="auto"/>
        <w:jc w:val="left"/>
        <w:rPr>
          <w:rFonts w:ascii="Arial" w:hAnsi="Arial" w:cs="Arial"/>
          <w:b/>
          <w:bCs/>
          <w:sz w:val="20"/>
          <w:szCs w:val="20"/>
        </w:rPr>
      </w:pPr>
    </w:p>
    <w:p w14:paraId="7A125D46" w14:textId="77777777" w:rsidR="000D6589" w:rsidRPr="008B2C29" w:rsidRDefault="000D6589" w:rsidP="002C7DB3">
      <w:pPr>
        <w:spacing w:line="276" w:lineRule="auto"/>
        <w:jc w:val="left"/>
        <w:rPr>
          <w:rFonts w:ascii="Arial" w:hAnsi="Arial" w:cs="Arial"/>
          <w:b/>
          <w:bCs/>
          <w:sz w:val="20"/>
          <w:szCs w:val="20"/>
        </w:rPr>
      </w:pPr>
    </w:p>
    <w:p w14:paraId="3763FCA4" w14:textId="77777777" w:rsidR="000D6589" w:rsidRPr="008B2C29" w:rsidRDefault="000D6589" w:rsidP="002C7DB3">
      <w:pPr>
        <w:spacing w:line="276" w:lineRule="auto"/>
        <w:jc w:val="left"/>
        <w:rPr>
          <w:rFonts w:ascii="Arial" w:hAnsi="Arial" w:cs="Arial"/>
          <w:b/>
          <w:bCs/>
          <w:sz w:val="20"/>
          <w:szCs w:val="20"/>
        </w:rPr>
      </w:pPr>
    </w:p>
    <w:p w14:paraId="54BE9A17" w14:textId="77777777" w:rsidR="000D6589" w:rsidRPr="008B2C29" w:rsidRDefault="000D6589" w:rsidP="002C7DB3">
      <w:pPr>
        <w:spacing w:line="276" w:lineRule="auto"/>
        <w:jc w:val="left"/>
        <w:rPr>
          <w:rFonts w:ascii="Arial" w:hAnsi="Arial" w:cs="Arial"/>
          <w:b/>
          <w:bCs/>
          <w:sz w:val="20"/>
          <w:szCs w:val="20"/>
        </w:rPr>
      </w:pPr>
    </w:p>
    <w:p w14:paraId="04869FFC" w14:textId="77777777" w:rsidR="000D6589" w:rsidRPr="008B2C29" w:rsidRDefault="000D6589" w:rsidP="002C7DB3">
      <w:pPr>
        <w:spacing w:line="276" w:lineRule="auto"/>
        <w:jc w:val="left"/>
        <w:rPr>
          <w:rFonts w:ascii="Arial" w:hAnsi="Arial" w:cs="Arial"/>
          <w:b/>
          <w:bCs/>
          <w:sz w:val="20"/>
          <w:szCs w:val="20"/>
        </w:rPr>
      </w:pPr>
    </w:p>
    <w:p w14:paraId="50A26C7B" w14:textId="77777777" w:rsidR="000D6589" w:rsidRPr="008B2C29" w:rsidRDefault="000D6589" w:rsidP="002C7DB3">
      <w:pPr>
        <w:spacing w:line="276" w:lineRule="auto"/>
        <w:jc w:val="left"/>
        <w:rPr>
          <w:rFonts w:ascii="Arial" w:hAnsi="Arial" w:cs="Arial"/>
          <w:b/>
          <w:bCs/>
          <w:sz w:val="20"/>
          <w:szCs w:val="20"/>
        </w:rPr>
      </w:pPr>
    </w:p>
    <w:p w14:paraId="717654F7" w14:textId="4F76DE56" w:rsidR="00423B5E" w:rsidRPr="008B2C29" w:rsidRDefault="00423B5E" w:rsidP="002C7DB3">
      <w:pPr>
        <w:pStyle w:val="ListParagraph"/>
        <w:numPr>
          <w:ilvl w:val="0"/>
          <w:numId w:val="2"/>
        </w:numPr>
        <w:spacing w:line="276" w:lineRule="auto"/>
        <w:rPr>
          <w:rFonts w:ascii="Arial" w:hAnsi="Arial" w:cs="Arial"/>
          <w:b/>
          <w:bCs/>
          <w:sz w:val="20"/>
          <w:szCs w:val="20"/>
        </w:rPr>
      </w:pPr>
      <w:r w:rsidRPr="008B2C29">
        <w:rPr>
          <w:rFonts w:ascii="Arial" w:hAnsi="Arial" w:cs="Arial"/>
          <w:b/>
          <w:bCs/>
          <w:sz w:val="20"/>
          <w:szCs w:val="20"/>
        </w:rPr>
        <w:lastRenderedPageBreak/>
        <w:t xml:space="preserve"> Introduction</w:t>
      </w:r>
    </w:p>
    <w:p w14:paraId="3D879E21" w14:textId="330D70C3" w:rsidR="004A1FB5" w:rsidRPr="008B2C29" w:rsidRDefault="004A1FB5" w:rsidP="002C7DB3">
      <w:pPr>
        <w:spacing w:line="276" w:lineRule="auto"/>
        <w:rPr>
          <w:rFonts w:ascii="Arial" w:hAnsi="Arial" w:cs="Arial"/>
          <w:sz w:val="20"/>
          <w:szCs w:val="20"/>
        </w:rPr>
      </w:pPr>
      <w:r w:rsidRPr="008B2C29">
        <w:rPr>
          <w:rFonts w:ascii="Arial" w:hAnsi="Arial" w:cs="Arial"/>
          <w:sz w:val="20"/>
          <w:szCs w:val="20"/>
        </w:rPr>
        <w:t xml:space="preserve">Secure land tenure is a </w:t>
      </w:r>
      <w:r w:rsidR="008F4ED8" w:rsidRPr="008B2C29">
        <w:rPr>
          <w:rFonts w:ascii="Arial" w:hAnsi="Arial" w:cs="Arial"/>
          <w:sz w:val="20"/>
          <w:szCs w:val="20"/>
        </w:rPr>
        <w:t>fundamental</w:t>
      </w:r>
      <w:r w:rsidRPr="008B2C29">
        <w:rPr>
          <w:rFonts w:ascii="Arial" w:hAnsi="Arial" w:cs="Arial"/>
          <w:sz w:val="20"/>
          <w:szCs w:val="20"/>
        </w:rPr>
        <w:t xml:space="preserve"> component of sustainable development, social stability, and economic development</w:t>
      </w:r>
      <w:r w:rsidR="008F4ED8" w:rsidRPr="008B2C29">
        <w:rPr>
          <w:rFonts w:ascii="Arial" w:hAnsi="Arial" w:cs="Arial"/>
          <w:sz w:val="20"/>
          <w:szCs w:val="20"/>
        </w:rPr>
        <w:t xml:space="preserve"> (Deininger, 2003)</w:t>
      </w:r>
      <w:r w:rsidRPr="008B2C29">
        <w:rPr>
          <w:rFonts w:ascii="Arial" w:hAnsi="Arial" w:cs="Arial"/>
          <w:sz w:val="20"/>
          <w:szCs w:val="20"/>
        </w:rPr>
        <w:t xml:space="preserve">. Land registration, or formal recording of rights over land, has been widely recognized globally as a key mechanism for advancing tenure security, minimizing land disputes, stimulating investment, and facilitating access to credit (Payne et al., 2009). Through granting legal recognition and official documentation of land rights, land registration formalizes </w:t>
      </w:r>
      <w:r w:rsidR="006811C1" w:rsidRPr="008B2C29">
        <w:rPr>
          <w:rFonts w:ascii="Arial" w:hAnsi="Arial" w:cs="Arial"/>
          <w:sz w:val="20"/>
          <w:szCs w:val="20"/>
        </w:rPr>
        <w:t>ownership and use rights that are crucial in both rural and urban areas to achieve</w:t>
      </w:r>
      <w:r w:rsidRPr="008B2C29">
        <w:rPr>
          <w:rFonts w:ascii="Arial" w:hAnsi="Arial" w:cs="Arial"/>
          <w:sz w:val="20"/>
          <w:szCs w:val="20"/>
        </w:rPr>
        <w:t xml:space="preserve"> sustainable land-related development gains (Zevenbergen et al., 2013).</w:t>
      </w:r>
    </w:p>
    <w:p w14:paraId="16CA1D99" w14:textId="4C39AAAD" w:rsidR="004A1FB5" w:rsidRPr="008B2C29" w:rsidRDefault="004A1FB5" w:rsidP="002C7DB3">
      <w:pPr>
        <w:spacing w:line="276" w:lineRule="auto"/>
        <w:rPr>
          <w:rFonts w:ascii="Arial" w:hAnsi="Arial" w:cs="Arial"/>
          <w:sz w:val="20"/>
          <w:szCs w:val="20"/>
        </w:rPr>
      </w:pPr>
      <w:r w:rsidRPr="008B2C29">
        <w:rPr>
          <w:rFonts w:ascii="Arial" w:hAnsi="Arial" w:cs="Arial"/>
          <w:sz w:val="20"/>
          <w:szCs w:val="20"/>
        </w:rPr>
        <w:t xml:space="preserve">In most of the developing world, especially Sub-Saharan Africa, customary tenure systems predominate in land use and ownership. </w:t>
      </w:r>
      <w:r w:rsidR="006811C1" w:rsidRPr="008B2C29">
        <w:rPr>
          <w:rFonts w:ascii="Arial" w:hAnsi="Arial" w:cs="Arial"/>
          <w:sz w:val="20"/>
          <w:szCs w:val="20"/>
        </w:rPr>
        <w:t>Although socially valid, they lack written records and are vulnerable to elite capture, tenure insecurity, and land disputes, especially in areas undergoing rapid urbanization</w:t>
      </w:r>
      <w:r w:rsidRPr="008B2C29">
        <w:rPr>
          <w:rFonts w:ascii="Arial" w:hAnsi="Arial" w:cs="Arial"/>
          <w:sz w:val="20"/>
          <w:szCs w:val="20"/>
        </w:rPr>
        <w:t xml:space="preserve"> (</w:t>
      </w:r>
      <w:proofErr w:type="spellStart"/>
      <w:r w:rsidRPr="008B2C29">
        <w:rPr>
          <w:rFonts w:ascii="Arial" w:hAnsi="Arial" w:cs="Arial"/>
          <w:sz w:val="20"/>
          <w:szCs w:val="20"/>
        </w:rPr>
        <w:t>Ubink</w:t>
      </w:r>
      <w:proofErr w:type="spellEnd"/>
      <w:r w:rsidRPr="008B2C29">
        <w:rPr>
          <w:rFonts w:ascii="Arial" w:hAnsi="Arial" w:cs="Arial"/>
          <w:sz w:val="20"/>
          <w:szCs w:val="20"/>
        </w:rPr>
        <w:t xml:space="preserve">, 2008; Toulmin, 2009). Consequently, </w:t>
      </w:r>
      <w:r w:rsidR="00E5579D" w:rsidRPr="008B2C29">
        <w:rPr>
          <w:rFonts w:ascii="Arial" w:hAnsi="Arial" w:cs="Arial"/>
          <w:sz w:val="20"/>
          <w:szCs w:val="20"/>
        </w:rPr>
        <w:t xml:space="preserve">Sub-Saharan </w:t>
      </w:r>
      <w:r w:rsidR="006811C1" w:rsidRPr="008B2C29">
        <w:rPr>
          <w:rFonts w:ascii="Arial" w:hAnsi="Arial" w:cs="Arial"/>
          <w:sz w:val="20"/>
          <w:szCs w:val="20"/>
        </w:rPr>
        <w:t>African</w:t>
      </w:r>
      <w:r w:rsidRPr="008B2C29">
        <w:rPr>
          <w:rFonts w:ascii="Arial" w:hAnsi="Arial" w:cs="Arial"/>
          <w:sz w:val="20"/>
          <w:szCs w:val="20"/>
        </w:rPr>
        <w:t xml:space="preserve"> governments have launched various land registration and titling programs to formalize land rights for improved security and governance. Nevertheless, the performance of these programs has been mixed. While there are accounts of investment increases and dispute reduction (Ali </w:t>
      </w:r>
      <w:r w:rsidR="00274013" w:rsidRPr="008B2C29">
        <w:rPr>
          <w:rFonts w:ascii="Arial" w:hAnsi="Arial" w:cs="Arial"/>
          <w:sz w:val="20"/>
          <w:szCs w:val="20"/>
        </w:rPr>
        <w:t>et al.,</w:t>
      </w:r>
      <w:r w:rsidRPr="008B2C29">
        <w:rPr>
          <w:rFonts w:ascii="Arial" w:hAnsi="Arial" w:cs="Arial"/>
          <w:sz w:val="20"/>
          <w:szCs w:val="20"/>
        </w:rPr>
        <w:t xml:space="preserve"> 2014), others have referred to the emergence of new forms of exclusion and tenure insecurity, particularly affecting vulnerable populations (</w:t>
      </w:r>
      <w:proofErr w:type="spellStart"/>
      <w:r w:rsidRPr="008B2C29">
        <w:rPr>
          <w:rFonts w:ascii="Arial" w:hAnsi="Arial" w:cs="Arial"/>
          <w:sz w:val="20"/>
          <w:szCs w:val="20"/>
        </w:rPr>
        <w:t>Chimhowu</w:t>
      </w:r>
      <w:proofErr w:type="spellEnd"/>
      <w:r w:rsidRPr="008B2C29">
        <w:rPr>
          <w:rFonts w:ascii="Arial" w:hAnsi="Arial" w:cs="Arial"/>
          <w:sz w:val="20"/>
          <w:szCs w:val="20"/>
        </w:rPr>
        <w:t>, 2019).</w:t>
      </w:r>
    </w:p>
    <w:p w14:paraId="62DE469B" w14:textId="1B40394C" w:rsidR="004A1FB5" w:rsidRPr="008B2C29" w:rsidRDefault="004A1FB5" w:rsidP="002C7DB3">
      <w:pPr>
        <w:spacing w:line="276" w:lineRule="auto"/>
        <w:rPr>
          <w:rFonts w:ascii="Arial" w:hAnsi="Arial" w:cs="Arial"/>
          <w:sz w:val="20"/>
          <w:szCs w:val="20"/>
        </w:rPr>
      </w:pPr>
      <w:r w:rsidRPr="008B2C29">
        <w:rPr>
          <w:rFonts w:ascii="Arial" w:hAnsi="Arial" w:cs="Arial"/>
          <w:sz w:val="20"/>
          <w:szCs w:val="20"/>
        </w:rPr>
        <w:t>The tenure situation of Ghana typifies such intricacies. Ghana has a plural tenure system where customary tenure exists alongside statutory law. It is estimated that 80% of Ghanaian land is held under customary tenure, where custodians are chiefs and family heads (Kasanga &amp; Kotey, 2001). To address the issues of tenure insecurity, fragmentation, and rising incidence of land disputes, Ghana launched a Land Administration Project (LAP) in the early 2000s. The project was designed to modernize land registration, consolidate land institutions, and facilitate efficient land markets (Government of Ghana, 2003). Although some gains have been made, several studies</w:t>
      </w:r>
      <w:r w:rsidR="00F25BC7" w:rsidRPr="008B2C29">
        <w:rPr>
          <w:rFonts w:ascii="Arial" w:hAnsi="Arial" w:cs="Arial"/>
          <w:sz w:val="20"/>
          <w:szCs w:val="20"/>
        </w:rPr>
        <w:t xml:space="preserve"> including Larbi et al. (2004) &amp; Arko-Adjei, (2011)</w:t>
      </w:r>
      <w:r w:rsidRPr="008B2C29">
        <w:rPr>
          <w:rFonts w:ascii="Arial" w:hAnsi="Arial" w:cs="Arial"/>
          <w:sz w:val="20"/>
          <w:szCs w:val="20"/>
        </w:rPr>
        <w:t xml:space="preserve"> report the continuation of major bottlenecks that comprise bureaucratic delays, exorbitant costs of registration, lack of awareness, and institutional weaknesses.</w:t>
      </w:r>
    </w:p>
    <w:p w14:paraId="044781DA" w14:textId="3E5B74C9" w:rsidR="004A1FB5" w:rsidRPr="008B2C29" w:rsidRDefault="00097DB8" w:rsidP="002C7DB3">
      <w:pPr>
        <w:spacing w:line="276" w:lineRule="auto"/>
        <w:rPr>
          <w:rFonts w:ascii="Arial" w:hAnsi="Arial" w:cs="Arial"/>
          <w:sz w:val="20"/>
          <w:szCs w:val="20"/>
        </w:rPr>
      </w:pPr>
      <w:r w:rsidRPr="008B2C29">
        <w:rPr>
          <w:rFonts w:ascii="Arial" w:hAnsi="Arial" w:cs="Arial"/>
          <w:sz w:val="20"/>
          <w:szCs w:val="20"/>
        </w:rPr>
        <w:t>Kumasi, the capital of the Ashanti Region, presents a compelling case for examining the effects of land registration on tenure security. As one of Ghana's fastest-growing metropolitan areas, Kumasi has experienced intense competition over land due to urbanization, a rising population, and commercialization (Owusu-Ansah &amp; O'Connor, 2010). This has heightened tenure insecurity, especially in the peri-urban regions where customary and statutory systems often interact and conflict. Land disputes, double sales of land, and challenges in the registration of land rights are prevalent issues (Quaye, 20</w:t>
      </w:r>
      <w:r w:rsidR="00F60A8D" w:rsidRPr="008B2C29">
        <w:rPr>
          <w:rFonts w:ascii="Arial" w:hAnsi="Arial" w:cs="Arial"/>
          <w:sz w:val="20"/>
          <w:szCs w:val="20"/>
        </w:rPr>
        <w:t>20</w:t>
      </w:r>
      <w:r w:rsidRPr="008B2C29">
        <w:rPr>
          <w:rFonts w:ascii="Arial" w:hAnsi="Arial" w:cs="Arial"/>
          <w:sz w:val="20"/>
          <w:szCs w:val="20"/>
        </w:rPr>
        <w:t>). Understanding how land registration influences tenure security in this dynamic urban environment is vital as it informs land policy, enhances urban governance, and fosters inclusive development.</w:t>
      </w:r>
    </w:p>
    <w:p w14:paraId="6EFD8EB2" w14:textId="265191BE" w:rsidR="002C4BE9" w:rsidRPr="008B2C29" w:rsidRDefault="00097DB8" w:rsidP="002C7DB3">
      <w:pPr>
        <w:spacing w:line="276" w:lineRule="auto"/>
        <w:rPr>
          <w:rFonts w:ascii="Arial" w:hAnsi="Arial" w:cs="Arial"/>
          <w:sz w:val="20"/>
          <w:szCs w:val="20"/>
        </w:rPr>
      </w:pPr>
      <w:r w:rsidRPr="008B2C29">
        <w:rPr>
          <w:rFonts w:ascii="Arial" w:hAnsi="Arial" w:cs="Arial"/>
          <w:sz w:val="20"/>
          <w:szCs w:val="20"/>
        </w:rPr>
        <w:t>This paper seeks to evaluate the effects of land registration on tenure security in Kumasi. It aims to answer the following research questions: (</w:t>
      </w:r>
      <w:proofErr w:type="spellStart"/>
      <w:r w:rsidRPr="008B2C29">
        <w:rPr>
          <w:rFonts w:ascii="Arial" w:hAnsi="Arial" w:cs="Arial"/>
          <w:sz w:val="20"/>
          <w:szCs w:val="20"/>
        </w:rPr>
        <w:t>i</w:t>
      </w:r>
      <w:proofErr w:type="spellEnd"/>
      <w:r w:rsidRPr="008B2C29">
        <w:rPr>
          <w:rFonts w:ascii="Arial" w:hAnsi="Arial" w:cs="Arial"/>
          <w:sz w:val="20"/>
          <w:szCs w:val="20"/>
        </w:rPr>
        <w:t>) How does land registration affect tenure security in Kumasi? (ii) How does land registration influence investment and productivity in land-based activities in Kumasi? (iii) What factors affect the desirability of land registration among landholders in Kumasi? and (iv) What are the barriers to accessing land registration services in Kumasi?</w:t>
      </w:r>
    </w:p>
    <w:p w14:paraId="00CF1A89" w14:textId="5EA18D48" w:rsidR="00432352" w:rsidRPr="008B2C29" w:rsidRDefault="00432352" w:rsidP="002C7DB3">
      <w:pPr>
        <w:pStyle w:val="ListParagraph"/>
        <w:numPr>
          <w:ilvl w:val="0"/>
          <w:numId w:val="2"/>
        </w:numPr>
        <w:spacing w:line="276" w:lineRule="auto"/>
        <w:rPr>
          <w:rFonts w:ascii="Arial" w:hAnsi="Arial" w:cs="Arial"/>
          <w:b/>
          <w:bCs/>
          <w:sz w:val="20"/>
          <w:szCs w:val="20"/>
        </w:rPr>
      </w:pPr>
      <w:r w:rsidRPr="008B2C29">
        <w:rPr>
          <w:rFonts w:ascii="Arial" w:hAnsi="Arial" w:cs="Arial"/>
          <w:b/>
          <w:bCs/>
          <w:sz w:val="20"/>
          <w:szCs w:val="20"/>
        </w:rPr>
        <w:t>Literature Review</w:t>
      </w:r>
    </w:p>
    <w:p w14:paraId="020E1A9E" w14:textId="0628F6B1" w:rsidR="007F6F86" w:rsidRPr="008B2C29" w:rsidRDefault="007F6F86" w:rsidP="002C7DB3">
      <w:pPr>
        <w:spacing w:line="276" w:lineRule="auto"/>
        <w:rPr>
          <w:rFonts w:ascii="Arial" w:hAnsi="Arial" w:cs="Arial"/>
          <w:sz w:val="20"/>
          <w:szCs w:val="20"/>
        </w:rPr>
      </w:pPr>
      <w:r w:rsidRPr="008B2C29">
        <w:rPr>
          <w:rFonts w:ascii="Arial" w:hAnsi="Arial" w:cs="Arial"/>
          <w:sz w:val="20"/>
          <w:szCs w:val="20"/>
        </w:rPr>
        <w:t>The evolutionary process of land registration in Ghana is inextricably bound up with colonial and post-independence efforts to legalize land tenure and secure title security, particularly in urbanizing environments. The evolution of Ghana's land registration systems can be dated back to the colonial era, when the introduction of statutory land tenure was meant to enhance capitalist agriculture and industrialization through encouraging individual ownership and commodification of land (</w:t>
      </w:r>
      <w:proofErr w:type="spellStart"/>
      <w:r w:rsidRPr="008B2C29">
        <w:rPr>
          <w:rFonts w:ascii="Arial" w:hAnsi="Arial" w:cs="Arial"/>
          <w:sz w:val="20"/>
          <w:szCs w:val="20"/>
        </w:rPr>
        <w:t>Agbosu</w:t>
      </w:r>
      <w:proofErr w:type="spellEnd"/>
      <w:r w:rsidRPr="008B2C29">
        <w:rPr>
          <w:rFonts w:ascii="Arial" w:hAnsi="Arial" w:cs="Arial"/>
          <w:sz w:val="20"/>
          <w:szCs w:val="20"/>
        </w:rPr>
        <w:t>, 1990). This marked the inception of the coexistence and, more often, the conflict between customary and statutory land systems.</w:t>
      </w:r>
    </w:p>
    <w:p w14:paraId="721FD9B1" w14:textId="48D9FC92" w:rsidR="007F6F86" w:rsidRPr="008B2C29" w:rsidRDefault="007F6F86" w:rsidP="002C7DB3">
      <w:pPr>
        <w:spacing w:line="276" w:lineRule="auto"/>
        <w:rPr>
          <w:rFonts w:ascii="Arial" w:hAnsi="Arial" w:cs="Arial"/>
          <w:sz w:val="20"/>
          <w:szCs w:val="20"/>
        </w:rPr>
      </w:pPr>
      <w:r w:rsidRPr="008B2C29">
        <w:rPr>
          <w:rFonts w:ascii="Arial" w:hAnsi="Arial" w:cs="Arial"/>
          <w:sz w:val="20"/>
          <w:szCs w:val="20"/>
        </w:rPr>
        <w:lastRenderedPageBreak/>
        <w:t>Land registration in Ghana has been reformed a number of times over the years to enhance tenure security, minimize land disputes, and promote land-based investment</w:t>
      </w:r>
      <w:r w:rsidR="00A8240A" w:rsidRPr="008B2C29">
        <w:rPr>
          <w:rFonts w:ascii="Arial" w:hAnsi="Arial" w:cs="Arial"/>
          <w:sz w:val="20"/>
          <w:szCs w:val="20"/>
        </w:rPr>
        <w:t xml:space="preserve"> (</w:t>
      </w:r>
      <w:proofErr w:type="spellStart"/>
      <w:r w:rsidR="00A8240A" w:rsidRPr="008B2C29">
        <w:rPr>
          <w:rFonts w:ascii="Arial" w:hAnsi="Arial" w:cs="Arial"/>
          <w:sz w:val="20"/>
          <w:szCs w:val="20"/>
        </w:rPr>
        <w:t>Ubink</w:t>
      </w:r>
      <w:proofErr w:type="spellEnd"/>
      <w:r w:rsidR="00A8240A" w:rsidRPr="008B2C29">
        <w:rPr>
          <w:rFonts w:ascii="Arial" w:hAnsi="Arial" w:cs="Arial"/>
          <w:sz w:val="20"/>
          <w:szCs w:val="20"/>
        </w:rPr>
        <w:t>, 2009)</w:t>
      </w:r>
      <w:r w:rsidRPr="008B2C29">
        <w:rPr>
          <w:rFonts w:ascii="Arial" w:hAnsi="Arial" w:cs="Arial"/>
          <w:sz w:val="20"/>
          <w:szCs w:val="20"/>
        </w:rPr>
        <w:t>. These reforms have, however, faced with challenges due to institutional shortcomings as well as the persistence of customary land administration dominance. The dual nature of the system has hindered the attainment of the legal certainty and administrative ease that land registration was supposed to deliver (Edwin</w:t>
      </w:r>
      <w:r w:rsidR="00A8240A" w:rsidRPr="008B2C29">
        <w:rPr>
          <w:rFonts w:ascii="Arial" w:hAnsi="Arial" w:cs="Arial"/>
          <w:sz w:val="20"/>
          <w:szCs w:val="20"/>
        </w:rPr>
        <w:t xml:space="preserve"> et al. </w:t>
      </w:r>
      <w:r w:rsidRPr="008B2C29">
        <w:rPr>
          <w:rFonts w:ascii="Arial" w:hAnsi="Arial" w:cs="Arial"/>
          <w:sz w:val="20"/>
          <w:szCs w:val="20"/>
        </w:rPr>
        <w:t>2020).</w:t>
      </w:r>
    </w:p>
    <w:p w14:paraId="4AEF4148" w14:textId="62E6FFBA" w:rsidR="007F6F86" w:rsidRPr="008B2C29" w:rsidRDefault="007F6F86" w:rsidP="002C7DB3">
      <w:pPr>
        <w:spacing w:line="276" w:lineRule="auto"/>
        <w:rPr>
          <w:rFonts w:ascii="Arial" w:hAnsi="Arial" w:cs="Arial"/>
          <w:sz w:val="20"/>
          <w:szCs w:val="20"/>
        </w:rPr>
      </w:pPr>
      <w:r w:rsidRPr="008B2C29">
        <w:rPr>
          <w:rFonts w:ascii="Arial" w:hAnsi="Arial" w:cs="Arial"/>
          <w:sz w:val="20"/>
          <w:szCs w:val="20"/>
        </w:rPr>
        <w:t xml:space="preserve">In the peri-urban areas such as Kumasi, the interaction between state land administration and customary authority has been highly problematic. Traditional authorities, under whose control vast areas of land lie </w:t>
      </w:r>
      <w:r w:rsidR="008E3988" w:rsidRPr="008B2C29">
        <w:rPr>
          <w:rFonts w:ascii="Arial" w:hAnsi="Arial" w:cs="Arial"/>
          <w:sz w:val="20"/>
          <w:szCs w:val="20"/>
        </w:rPr>
        <w:t>per</w:t>
      </w:r>
      <w:r w:rsidRPr="008B2C29">
        <w:rPr>
          <w:rFonts w:ascii="Arial" w:hAnsi="Arial" w:cs="Arial"/>
          <w:sz w:val="20"/>
          <w:szCs w:val="20"/>
        </w:rPr>
        <w:t xml:space="preserve"> customary law, tend to resist or manipulate formal registration processes to maintain their power or to secure personal benefits (</w:t>
      </w:r>
      <w:proofErr w:type="spellStart"/>
      <w:r w:rsidRPr="008B2C29">
        <w:rPr>
          <w:rFonts w:ascii="Arial" w:hAnsi="Arial" w:cs="Arial"/>
          <w:sz w:val="20"/>
          <w:szCs w:val="20"/>
        </w:rPr>
        <w:t>Ubink</w:t>
      </w:r>
      <w:proofErr w:type="spellEnd"/>
      <w:r w:rsidRPr="008B2C29">
        <w:rPr>
          <w:rFonts w:ascii="Arial" w:hAnsi="Arial" w:cs="Arial"/>
          <w:sz w:val="20"/>
          <w:szCs w:val="20"/>
        </w:rPr>
        <w:t>, 2007). The process has had the consequence of resulting in overlapping claims, informal transactions, and a low public trust in the official system.</w:t>
      </w:r>
    </w:p>
    <w:p w14:paraId="1DB4FBA6" w14:textId="5CE7E666" w:rsidR="007F6F86" w:rsidRPr="008B2C29" w:rsidRDefault="007F6F86" w:rsidP="002C7DB3">
      <w:pPr>
        <w:spacing w:line="276" w:lineRule="auto"/>
        <w:rPr>
          <w:rFonts w:ascii="Arial" w:hAnsi="Arial" w:cs="Arial"/>
          <w:sz w:val="20"/>
          <w:szCs w:val="20"/>
        </w:rPr>
      </w:pPr>
      <w:r w:rsidRPr="008B2C29">
        <w:rPr>
          <w:rFonts w:ascii="Arial" w:hAnsi="Arial" w:cs="Arial"/>
          <w:sz w:val="20"/>
          <w:szCs w:val="20"/>
        </w:rPr>
        <w:t>Recent reviews of Ghana's land administration reforms, such as the effects of the 2008 consolidation of land sector agencies, identify a chequered record of progress. While there have been gains in the document processing turnaround time, significant challenges persist, especially in the areas of digitization, corruption, and sensitization of citizens (</w:t>
      </w:r>
      <w:proofErr w:type="spellStart"/>
      <w:r w:rsidRPr="008B2C29">
        <w:rPr>
          <w:rFonts w:ascii="Arial" w:hAnsi="Arial" w:cs="Arial"/>
          <w:sz w:val="20"/>
          <w:szCs w:val="20"/>
        </w:rPr>
        <w:t>Ehwi</w:t>
      </w:r>
      <w:proofErr w:type="spellEnd"/>
      <w:r w:rsidRPr="008B2C29">
        <w:rPr>
          <w:rFonts w:ascii="Arial" w:hAnsi="Arial" w:cs="Arial"/>
          <w:sz w:val="20"/>
          <w:szCs w:val="20"/>
        </w:rPr>
        <w:t xml:space="preserve"> &amp; Asante, 2016). Furthermore, the intricate relationship between statutory and customary systems still serves to undermine the ability of land registration to provide secure tenure for all, with particular mention of the poor and marginalized (Agyei-Holmes et al., 2020; </w:t>
      </w:r>
      <w:proofErr w:type="spellStart"/>
      <w:r w:rsidRPr="008B2C29">
        <w:rPr>
          <w:rFonts w:ascii="Arial" w:hAnsi="Arial" w:cs="Arial"/>
          <w:sz w:val="20"/>
          <w:szCs w:val="20"/>
        </w:rPr>
        <w:t>Singirankabo</w:t>
      </w:r>
      <w:proofErr w:type="spellEnd"/>
      <w:r w:rsidRPr="008B2C29">
        <w:rPr>
          <w:rFonts w:ascii="Arial" w:hAnsi="Arial" w:cs="Arial"/>
          <w:sz w:val="20"/>
          <w:szCs w:val="20"/>
        </w:rPr>
        <w:t xml:space="preserve"> &amp; </w:t>
      </w:r>
      <w:proofErr w:type="spellStart"/>
      <w:r w:rsidRPr="008B2C29">
        <w:rPr>
          <w:rFonts w:ascii="Arial" w:hAnsi="Arial" w:cs="Arial"/>
          <w:sz w:val="20"/>
          <w:szCs w:val="20"/>
        </w:rPr>
        <w:t>Ertsen</w:t>
      </w:r>
      <w:proofErr w:type="spellEnd"/>
      <w:r w:rsidRPr="008B2C29">
        <w:rPr>
          <w:rFonts w:ascii="Arial" w:hAnsi="Arial" w:cs="Arial"/>
          <w:sz w:val="20"/>
          <w:szCs w:val="20"/>
        </w:rPr>
        <w:t>, 2020).</w:t>
      </w:r>
      <w:r w:rsidR="0051029E" w:rsidRPr="008B2C29">
        <w:rPr>
          <w:rFonts w:ascii="Arial" w:hAnsi="Arial" w:cs="Arial"/>
          <w:sz w:val="20"/>
          <w:szCs w:val="20"/>
        </w:rPr>
        <w:t xml:space="preserve"> </w:t>
      </w:r>
      <w:r w:rsidR="00E21732" w:rsidRPr="008B2C29">
        <w:rPr>
          <w:rFonts w:ascii="Arial" w:hAnsi="Arial" w:cs="Arial"/>
          <w:sz w:val="20"/>
          <w:szCs w:val="20"/>
        </w:rPr>
        <w:t>Abdulai &amp; Antwi (2007)</w:t>
      </w:r>
      <w:r w:rsidRPr="008B2C29">
        <w:rPr>
          <w:rFonts w:ascii="Arial" w:hAnsi="Arial" w:cs="Arial"/>
          <w:sz w:val="20"/>
          <w:szCs w:val="20"/>
        </w:rPr>
        <w:t xml:space="preserve"> </w:t>
      </w:r>
      <w:r w:rsidR="00E21732" w:rsidRPr="008B2C29">
        <w:rPr>
          <w:rFonts w:ascii="Arial" w:hAnsi="Arial" w:cs="Arial"/>
          <w:sz w:val="20"/>
          <w:szCs w:val="20"/>
        </w:rPr>
        <w:t xml:space="preserve">and Deininger &amp; Feder (2009) </w:t>
      </w:r>
      <w:r w:rsidRPr="008B2C29">
        <w:rPr>
          <w:rFonts w:ascii="Arial" w:hAnsi="Arial" w:cs="Arial"/>
          <w:sz w:val="20"/>
          <w:szCs w:val="20"/>
        </w:rPr>
        <w:t xml:space="preserve">reiterate that land registration in itself cannot be an ultimate panacea to tenure insecurity. Instead, it must be complemented by wider legal, institutional, and governance reforms that are sensitive to the local socio-cultural contexts. </w:t>
      </w:r>
    </w:p>
    <w:p w14:paraId="0A9593D5" w14:textId="507DAA40" w:rsidR="007F6F86" w:rsidRPr="008B2C29" w:rsidRDefault="00432352" w:rsidP="002C7DB3">
      <w:pPr>
        <w:spacing w:line="276" w:lineRule="auto"/>
        <w:rPr>
          <w:rFonts w:ascii="Arial" w:hAnsi="Arial" w:cs="Arial"/>
          <w:b/>
          <w:bCs/>
          <w:sz w:val="20"/>
          <w:szCs w:val="20"/>
        </w:rPr>
      </w:pPr>
      <w:r w:rsidRPr="008B2C29">
        <w:rPr>
          <w:rFonts w:ascii="Arial" w:hAnsi="Arial" w:cs="Arial"/>
          <w:b/>
          <w:bCs/>
          <w:i/>
          <w:iCs/>
          <w:sz w:val="20"/>
          <w:szCs w:val="20"/>
        </w:rPr>
        <w:t>Theoretical Framework on Tenure Security</w:t>
      </w:r>
      <w:r w:rsidR="002722C7" w:rsidRPr="008B2C29">
        <w:rPr>
          <w:rFonts w:ascii="Arial" w:hAnsi="Arial" w:cs="Arial"/>
          <w:b/>
          <w:bCs/>
          <w:i/>
          <w:iCs/>
          <w:sz w:val="20"/>
          <w:szCs w:val="20"/>
        </w:rPr>
        <w:t>:</w:t>
      </w:r>
      <w:r w:rsidR="002722C7" w:rsidRPr="008B2C29">
        <w:rPr>
          <w:rFonts w:ascii="Arial" w:hAnsi="Arial" w:cs="Arial"/>
          <w:b/>
          <w:bCs/>
          <w:sz w:val="20"/>
          <w:szCs w:val="20"/>
        </w:rPr>
        <w:t xml:space="preserve"> </w:t>
      </w:r>
      <w:r w:rsidR="00E21732" w:rsidRPr="008B2C29">
        <w:rPr>
          <w:rFonts w:ascii="Arial" w:hAnsi="Arial" w:cs="Arial"/>
          <w:sz w:val="20"/>
          <w:szCs w:val="20"/>
        </w:rPr>
        <w:t>According to Deininger &amp; Feder (2009), o</w:t>
      </w:r>
      <w:r w:rsidR="007F6F86" w:rsidRPr="008B2C29">
        <w:rPr>
          <w:rFonts w:ascii="Arial" w:hAnsi="Arial" w:cs="Arial"/>
          <w:sz w:val="20"/>
          <w:szCs w:val="20"/>
        </w:rPr>
        <w:t>ne of the fundamental ideas in the discourse on land governance is tenure security, which is the real and perceived guarantee that landowners w</w:t>
      </w:r>
      <w:r w:rsidR="00E21732" w:rsidRPr="008B2C29">
        <w:rPr>
          <w:rFonts w:ascii="Arial" w:hAnsi="Arial" w:cs="Arial"/>
          <w:sz w:val="20"/>
          <w:szCs w:val="20"/>
        </w:rPr>
        <w:t>ill no</w:t>
      </w:r>
      <w:r w:rsidR="007F6F86" w:rsidRPr="008B2C29">
        <w:rPr>
          <w:rFonts w:ascii="Arial" w:hAnsi="Arial" w:cs="Arial"/>
          <w:sz w:val="20"/>
          <w:szCs w:val="20"/>
        </w:rPr>
        <w:t xml:space="preserve">t be unilaterally denied the ability to use, sell, or profit from their property. Legalistic notions of tenure security have given way to theoretical understandings that </w:t>
      </w:r>
      <w:proofErr w:type="gramStart"/>
      <w:r w:rsidR="007F6F86" w:rsidRPr="008B2C29">
        <w:rPr>
          <w:rFonts w:ascii="Arial" w:hAnsi="Arial" w:cs="Arial"/>
          <w:sz w:val="20"/>
          <w:szCs w:val="20"/>
        </w:rPr>
        <w:t>take into account</w:t>
      </w:r>
      <w:proofErr w:type="gramEnd"/>
      <w:r w:rsidR="007F6F86" w:rsidRPr="008B2C29">
        <w:rPr>
          <w:rFonts w:ascii="Arial" w:hAnsi="Arial" w:cs="Arial"/>
          <w:sz w:val="20"/>
          <w:szCs w:val="20"/>
        </w:rPr>
        <w:t xml:space="preserve"> sociopolitical, economic, and cultural factors that affect land rights and </w:t>
      </w:r>
      <w:r w:rsidR="0051029E" w:rsidRPr="008B2C29">
        <w:rPr>
          <w:rFonts w:ascii="Arial" w:hAnsi="Arial" w:cs="Arial"/>
          <w:sz w:val="20"/>
          <w:szCs w:val="20"/>
        </w:rPr>
        <w:t>behaviour</w:t>
      </w:r>
      <w:r w:rsidR="007F6F86" w:rsidRPr="008B2C29">
        <w:rPr>
          <w:rFonts w:ascii="Arial" w:hAnsi="Arial" w:cs="Arial"/>
          <w:sz w:val="20"/>
          <w:szCs w:val="20"/>
        </w:rPr>
        <w:t xml:space="preserve"> (</w:t>
      </w:r>
      <w:proofErr w:type="spellStart"/>
      <w:r w:rsidR="007F6F86" w:rsidRPr="008B2C29">
        <w:rPr>
          <w:rFonts w:ascii="Arial" w:hAnsi="Arial" w:cs="Arial"/>
          <w:sz w:val="20"/>
          <w:szCs w:val="20"/>
        </w:rPr>
        <w:t>Singirankabo</w:t>
      </w:r>
      <w:proofErr w:type="spellEnd"/>
      <w:r w:rsidR="007F6F86" w:rsidRPr="008B2C29">
        <w:rPr>
          <w:rFonts w:ascii="Arial" w:hAnsi="Arial" w:cs="Arial"/>
          <w:sz w:val="20"/>
          <w:szCs w:val="20"/>
        </w:rPr>
        <w:t xml:space="preserve"> &amp; </w:t>
      </w:r>
      <w:proofErr w:type="spellStart"/>
      <w:r w:rsidR="007F6F86" w:rsidRPr="008B2C29">
        <w:rPr>
          <w:rFonts w:ascii="Arial" w:hAnsi="Arial" w:cs="Arial"/>
          <w:sz w:val="20"/>
          <w:szCs w:val="20"/>
        </w:rPr>
        <w:t>Ertsen</w:t>
      </w:r>
      <w:proofErr w:type="spellEnd"/>
      <w:r w:rsidR="007F6F86" w:rsidRPr="008B2C29">
        <w:rPr>
          <w:rFonts w:ascii="Arial" w:hAnsi="Arial" w:cs="Arial"/>
          <w:sz w:val="20"/>
          <w:szCs w:val="20"/>
        </w:rPr>
        <w:t>, 2020).</w:t>
      </w:r>
    </w:p>
    <w:p w14:paraId="6A1B003F" w14:textId="41E4269D" w:rsidR="007F6F86" w:rsidRPr="008B2C29" w:rsidRDefault="007F6F86" w:rsidP="002C7DB3">
      <w:pPr>
        <w:spacing w:line="276" w:lineRule="auto"/>
        <w:rPr>
          <w:rFonts w:ascii="Arial" w:hAnsi="Arial" w:cs="Arial"/>
          <w:b/>
          <w:bCs/>
          <w:sz w:val="20"/>
          <w:szCs w:val="20"/>
        </w:rPr>
      </w:pPr>
      <w:r w:rsidRPr="008B2C29">
        <w:rPr>
          <w:rFonts w:ascii="Arial" w:hAnsi="Arial" w:cs="Arial"/>
          <w:sz w:val="20"/>
          <w:szCs w:val="20"/>
        </w:rPr>
        <w:t>Legal pluralism, in which statutory and customary tenure regimes exist and interact with one another, characterizes land tenure systems in nations such as Ghana. Property Rights Theory, if applied to development contexts, contends that secure land rights are fundamental to decreasing uncertainty, investing, and making land markets efficient (Deininger, 2003). In multicultural societies, such outcomes are shaped by social legitimacy and informal arrangements rather than statutory mechanisms (Edwin</w:t>
      </w:r>
      <w:r w:rsidR="0068621B" w:rsidRPr="008B2C29">
        <w:rPr>
          <w:rFonts w:ascii="Arial" w:hAnsi="Arial" w:cs="Arial"/>
          <w:sz w:val="20"/>
          <w:szCs w:val="20"/>
        </w:rPr>
        <w:t xml:space="preserve"> et al.</w:t>
      </w:r>
      <w:r w:rsidRPr="008B2C29">
        <w:rPr>
          <w:rFonts w:ascii="Arial" w:hAnsi="Arial" w:cs="Arial"/>
          <w:sz w:val="20"/>
          <w:szCs w:val="20"/>
        </w:rPr>
        <w:t xml:space="preserve">, 2020). Edwin et al. (2020) discovered </w:t>
      </w:r>
      <w:r w:rsidR="0068621B" w:rsidRPr="008B2C29">
        <w:rPr>
          <w:rFonts w:ascii="Arial" w:hAnsi="Arial" w:cs="Arial"/>
          <w:sz w:val="20"/>
          <w:szCs w:val="20"/>
        </w:rPr>
        <w:t xml:space="preserve">in Ghana's </w:t>
      </w:r>
      <w:proofErr w:type="spellStart"/>
      <w:r w:rsidR="0068621B" w:rsidRPr="008B2C29">
        <w:rPr>
          <w:rFonts w:ascii="Arial" w:hAnsi="Arial" w:cs="Arial"/>
          <w:sz w:val="20"/>
          <w:szCs w:val="20"/>
        </w:rPr>
        <w:t>Dagbon</w:t>
      </w:r>
      <w:proofErr w:type="spellEnd"/>
      <w:r w:rsidR="0068621B" w:rsidRPr="008B2C29">
        <w:rPr>
          <w:rFonts w:ascii="Arial" w:hAnsi="Arial" w:cs="Arial"/>
          <w:sz w:val="20"/>
          <w:szCs w:val="20"/>
        </w:rPr>
        <w:t xml:space="preserve"> </w:t>
      </w:r>
      <w:r w:rsidRPr="008B2C29">
        <w:rPr>
          <w:rFonts w:ascii="Arial" w:hAnsi="Arial" w:cs="Arial"/>
          <w:sz w:val="20"/>
          <w:szCs w:val="20"/>
        </w:rPr>
        <w:t>that allodial titleholders, based on tradition, were more reliable than the formal registration system in providing tenure security.</w:t>
      </w:r>
    </w:p>
    <w:p w14:paraId="076F2786" w14:textId="13D7F85D" w:rsidR="00910133" w:rsidRPr="008B2C29" w:rsidRDefault="00910133" w:rsidP="002C7DB3">
      <w:pPr>
        <w:spacing w:line="276" w:lineRule="auto"/>
        <w:rPr>
          <w:rFonts w:ascii="Arial" w:hAnsi="Arial" w:cs="Arial"/>
          <w:b/>
          <w:bCs/>
          <w:i/>
          <w:iCs/>
          <w:sz w:val="20"/>
          <w:szCs w:val="20"/>
        </w:rPr>
      </w:pPr>
      <w:r w:rsidRPr="008B2C29">
        <w:rPr>
          <w:rFonts w:ascii="Arial" w:hAnsi="Arial" w:cs="Arial"/>
          <w:sz w:val="20"/>
          <w:szCs w:val="20"/>
        </w:rPr>
        <w:t xml:space="preserve">Among the central tenets of tenure security literature is an occurrence termed "assurance effect," whose contention is that secure land tenure makes the landholders more willing to invest in the property. The contention is backed by neoclassical economic theory, whereby property security is correlated with investment </w:t>
      </w:r>
      <w:proofErr w:type="spellStart"/>
      <w:r w:rsidRPr="008B2C29">
        <w:rPr>
          <w:rFonts w:ascii="Arial" w:hAnsi="Arial" w:cs="Arial"/>
          <w:sz w:val="20"/>
          <w:szCs w:val="20"/>
        </w:rPr>
        <w:t>behavior</w:t>
      </w:r>
      <w:proofErr w:type="spellEnd"/>
      <w:r w:rsidRPr="008B2C29">
        <w:rPr>
          <w:rFonts w:ascii="Arial" w:hAnsi="Arial" w:cs="Arial"/>
          <w:sz w:val="20"/>
          <w:szCs w:val="20"/>
        </w:rPr>
        <w:t xml:space="preserve"> over the long term (Deininger et al., 2011). Evidence from Ghana and other African countries has shown that land registration can enhance perceived security and thereby make land-use decisions better, though the effects are often moderated by contextual factors such as governance quality, socio-economic status, and gender (Agyei-Holmes et al., 2020; </w:t>
      </w:r>
      <w:proofErr w:type="spellStart"/>
      <w:r w:rsidRPr="008B2C29">
        <w:rPr>
          <w:rFonts w:ascii="Arial" w:hAnsi="Arial" w:cs="Arial"/>
          <w:sz w:val="20"/>
          <w:szCs w:val="20"/>
        </w:rPr>
        <w:t>Singirankabo</w:t>
      </w:r>
      <w:proofErr w:type="spellEnd"/>
      <w:r w:rsidRPr="008B2C29">
        <w:rPr>
          <w:rFonts w:ascii="Arial" w:hAnsi="Arial" w:cs="Arial"/>
          <w:sz w:val="20"/>
          <w:szCs w:val="20"/>
        </w:rPr>
        <w:t xml:space="preserve"> &amp; </w:t>
      </w:r>
      <w:proofErr w:type="spellStart"/>
      <w:r w:rsidRPr="008B2C29">
        <w:rPr>
          <w:rFonts w:ascii="Arial" w:hAnsi="Arial" w:cs="Arial"/>
          <w:sz w:val="20"/>
          <w:szCs w:val="20"/>
        </w:rPr>
        <w:t>Ertsen</w:t>
      </w:r>
      <w:proofErr w:type="spellEnd"/>
      <w:r w:rsidRPr="008B2C29">
        <w:rPr>
          <w:rFonts w:ascii="Arial" w:hAnsi="Arial" w:cs="Arial"/>
          <w:sz w:val="20"/>
          <w:szCs w:val="20"/>
        </w:rPr>
        <w:t>, 2020).</w:t>
      </w:r>
    </w:p>
    <w:p w14:paraId="37757B28" w14:textId="394EEE76" w:rsidR="009512E8" w:rsidRPr="008B2C29" w:rsidRDefault="00910133" w:rsidP="002C7DB3">
      <w:pPr>
        <w:spacing w:line="276" w:lineRule="auto"/>
        <w:rPr>
          <w:rFonts w:ascii="Arial" w:hAnsi="Arial" w:cs="Arial"/>
          <w:b/>
          <w:bCs/>
          <w:sz w:val="20"/>
          <w:szCs w:val="20"/>
        </w:rPr>
      </w:pPr>
      <w:r w:rsidRPr="008B2C29">
        <w:rPr>
          <w:rFonts w:ascii="Arial" w:hAnsi="Arial" w:cs="Arial"/>
          <w:sz w:val="20"/>
          <w:szCs w:val="20"/>
        </w:rPr>
        <w:t>Recent literature emphasizes that tenure security is not only a function of formal documentation but also of perceptions. The school of thought basing tenure on perceptions acknowledges that landholders may perceive themselves as secure even in the absence of formal registration based on recognition by communities, family origin, or political connections (</w:t>
      </w:r>
      <w:proofErr w:type="spellStart"/>
      <w:r w:rsidRPr="008B2C29">
        <w:rPr>
          <w:rFonts w:ascii="Arial" w:hAnsi="Arial" w:cs="Arial"/>
          <w:sz w:val="20"/>
          <w:szCs w:val="20"/>
        </w:rPr>
        <w:t>Ghebru</w:t>
      </w:r>
      <w:proofErr w:type="spellEnd"/>
      <w:r w:rsidRPr="008B2C29">
        <w:rPr>
          <w:rFonts w:ascii="Arial" w:hAnsi="Arial" w:cs="Arial"/>
          <w:sz w:val="20"/>
          <w:szCs w:val="20"/>
        </w:rPr>
        <w:t>, Ali, &amp; Deininger, 2016). In Ghana, perceived tenure security is most often based on how land was acquired (e.g., bought, inherited) and social relationships within communities (Agyei-Holmes et al., 2020).</w:t>
      </w:r>
    </w:p>
    <w:p w14:paraId="46A3351E" w14:textId="241EE528" w:rsidR="009512E8" w:rsidRPr="008B2C29" w:rsidRDefault="00910133" w:rsidP="002C7DB3">
      <w:pPr>
        <w:spacing w:line="276" w:lineRule="auto"/>
        <w:rPr>
          <w:rFonts w:ascii="Arial" w:hAnsi="Arial" w:cs="Arial"/>
          <w:b/>
          <w:bCs/>
          <w:sz w:val="20"/>
          <w:szCs w:val="20"/>
        </w:rPr>
      </w:pPr>
      <w:r w:rsidRPr="008B2C29">
        <w:rPr>
          <w:rFonts w:ascii="Arial" w:hAnsi="Arial" w:cs="Arial"/>
          <w:sz w:val="20"/>
          <w:szCs w:val="20"/>
        </w:rPr>
        <w:lastRenderedPageBreak/>
        <w:t xml:space="preserve">Feminist and critical land theory perspectives broaden the examination of tenure security to incorporate gender and equity concerns. Women and marginalized communities are frequently confronted with structural obstacles to acquiring secure tenure regardless of the presence of formal land registration programs. </w:t>
      </w:r>
      <w:proofErr w:type="spellStart"/>
      <w:r w:rsidRPr="008B2C29">
        <w:rPr>
          <w:rFonts w:ascii="Arial" w:hAnsi="Arial" w:cs="Arial"/>
          <w:sz w:val="20"/>
          <w:szCs w:val="20"/>
        </w:rPr>
        <w:t>Singirankabo</w:t>
      </w:r>
      <w:proofErr w:type="spellEnd"/>
      <w:r w:rsidRPr="008B2C29">
        <w:rPr>
          <w:rFonts w:ascii="Arial" w:hAnsi="Arial" w:cs="Arial"/>
          <w:sz w:val="20"/>
          <w:szCs w:val="20"/>
        </w:rPr>
        <w:t xml:space="preserve"> and </w:t>
      </w:r>
      <w:proofErr w:type="spellStart"/>
      <w:r w:rsidRPr="008B2C29">
        <w:rPr>
          <w:rFonts w:ascii="Arial" w:hAnsi="Arial" w:cs="Arial"/>
          <w:sz w:val="20"/>
          <w:szCs w:val="20"/>
        </w:rPr>
        <w:t>Ertsen</w:t>
      </w:r>
      <w:proofErr w:type="spellEnd"/>
      <w:r w:rsidRPr="008B2C29">
        <w:rPr>
          <w:rFonts w:ascii="Arial" w:hAnsi="Arial" w:cs="Arial"/>
          <w:sz w:val="20"/>
          <w:szCs w:val="20"/>
        </w:rPr>
        <w:t xml:space="preserve"> (2020) argue that the gendered effects of land registration can undermine equity and reinforce inherent inequalities unless interventions are explicitly designed within the context of local socio-cultural conditions</w:t>
      </w:r>
      <w:r w:rsidR="009512E8" w:rsidRPr="008B2C29">
        <w:rPr>
          <w:rFonts w:ascii="Arial" w:hAnsi="Arial" w:cs="Arial"/>
          <w:sz w:val="20"/>
          <w:szCs w:val="20"/>
        </w:rPr>
        <w:t>.</w:t>
      </w:r>
    </w:p>
    <w:p w14:paraId="09100F17" w14:textId="105249E7" w:rsidR="005464F5" w:rsidRPr="008B2C29" w:rsidRDefault="00CC4EA0" w:rsidP="002C7DB3">
      <w:pPr>
        <w:spacing w:line="276" w:lineRule="auto"/>
        <w:rPr>
          <w:rFonts w:ascii="Arial" w:hAnsi="Arial" w:cs="Arial"/>
          <w:sz w:val="20"/>
          <w:szCs w:val="20"/>
        </w:rPr>
      </w:pPr>
      <w:r w:rsidRPr="008B2C29">
        <w:rPr>
          <w:rFonts w:ascii="Arial" w:hAnsi="Arial" w:cs="Arial"/>
          <w:sz w:val="20"/>
          <w:szCs w:val="20"/>
        </w:rPr>
        <w:t>Conceptual underpinnings linking tenure security to broad governance and institutional quality show that simple formal titling is not sufficient. Effective dispute resolution mechanisms, open land administration, and inclusive governance are imperative enablers of actual tenure security (Deininger &amp; Feder, 2009). In the Ghanaian situation, particularly in urban areas like Kumasi, the interface between customary authorities and state land institutions is a key factor influencing the success of tenure security interventions (</w:t>
      </w:r>
      <w:proofErr w:type="spellStart"/>
      <w:r w:rsidRPr="008B2C29">
        <w:rPr>
          <w:rFonts w:ascii="Arial" w:hAnsi="Arial" w:cs="Arial"/>
          <w:sz w:val="20"/>
          <w:szCs w:val="20"/>
        </w:rPr>
        <w:t>Ubink</w:t>
      </w:r>
      <w:proofErr w:type="spellEnd"/>
      <w:r w:rsidRPr="008B2C29">
        <w:rPr>
          <w:rFonts w:ascii="Arial" w:hAnsi="Arial" w:cs="Arial"/>
          <w:sz w:val="20"/>
          <w:szCs w:val="20"/>
        </w:rPr>
        <w:t xml:space="preserve">, 2007; </w:t>
      </w:r>
      <w:proofErr w:type="spellStart"/>
      <w:r w:rsidRPr="008B2C29">
        <w:rPr>
          <w:rFonts w:ascii="Arial" w:hAnsi="Arial" w:cs="Arial"/>
          <w:sz w:val="20"/>
          <w:szCs w:val="20"/>
        </w:rPr>
        <w:t>Abdulai</w:t>
      </w:r>
      <w:proofErr w:type="spellEnd"/>
      <w:r w:rsidRPr="008B2C29">
        <w:rPr>
          <w:rFonts w:ascii="Arial" w:hAnsi="Arial" w:cs="Arial"/>
          <w:sz w:val="20"/>
          <w:szCs w:val="20"/>
        </w:rPr>
        <w:t xml:space="preserve"> &amp; Antwi, 2007).</w:t>
      </w:r>
    </w:p>
    <w:p w14:paraId="479422EC" w14:textId="0F3393B4" w:rsidR="009512E8" w:rsidRPr="008B2C29" w:rsidRDefault="009512E8" w:rsidP="002C7DB3">
      <w:pPr>
        <w:spacing w:line="276" w:lineRule="auto"/>
        <w:rPr>
          <w:rFonts w:ascii="Arial" w:hAnsi="Arial" w:cs="Arial"/>
          <w:sz w:val="20"/>
          <w:szCs w:val="20"/>
        </w:rPr>
      </w:pPr>
      <w:r w:rsidRPr="008B2C29">
        <w:rPr>
          <w:rFonts w:ascii="Arial" w:hAnsi="Arial" w:cs="Arial"/>
          <w:sz w:val="20"/>
          <w:szCs w:val="20"/>
        </w:rPr>
        <w:t>Land registration has been widely promoted as a tool for enhancing land tenure security, especially in contexts characterized by informal land transactions, overlapping claims, and weak customary documentation systems</w:t>
      </w:r>
      <w:r w:rsidR="004715AF" w:rsidRPr="008B2C29">
        <w:rPr>
          <w:rFonts w:ascii="Arial" w:hAnsi="Arial" w:cs="Arial"/>
          <w:sz w:val="20"/>
          <w:szCs w:val="20"/>
        </w:rPr>
        <w:t xml:space="preserve"> (</w:t>
      </w:r>
      <w:proofErr w:type="spellStart"/>
      <w:r w:rsidR="004715AF" w:rsidRPr="008B2C29">
        <w:rPr>
          <w:rFonts w:ascii="Arial" w:hAnsi="Arial" w:cs="Arial"/>
          <w:sz w:val="20"/>
          <w:szCs w:val="20"/>
        </w:rPr>
        <w:t>Buehren</w:t>
      </w:r>
      <w:proofErr w:type="spellEnd"/>
      <w:r w:rsidR="004715AF" w:rsidRPr="008B2C29">
        <w:rPr>
          <w:rFonts w:ascii="Arial" w:hAnsi="Arial" w:cs="Arial"/>
          <w:sz w:val="20"/>
          <w:szCs w:val="20"/>
        </w:rPr>
        <w:t>, 2018)</w:t>
      </w:r>
      <w:r w:rsidRPr="008B2C29">
        <w:rPr>
          <w:rFonts w:ascii="Arial" w:hAnsi="Arial" w:cs="Arial"/>
          <w:sz w:val="20"/>
          <w:szCs w:val="20"/>
        </w:rPr>
        <w:t>. The effects of land registration on tenure security, however, vary considerably depending on institutional frameworks, local tenure arrangements, and socio-economic dynamics.</w:t>
      </w:r>
    </w:p>
    <w:p w14:paraId="72DD829B" w14:textId="6E47F78B" w:rsidR="00CC4EA0" w:rsidRPr="008B2C29" w:rsidRDefault="007C0359" w:rsidP="002C7DB3">
      <w:pPr>
        <w:spacing w:line="276" w:lineRule="auto"/>
        <w:rPr>
          <w:rFonts w:ascii="Arial" w:hAnsi="Arial" w:cs="Arial"/>
          <w:b/>
          <w:bCs/>
          <w:sz w:val="20"/>
          <w:szCs w:val="20"/>
        </w:rPr>
      </w:pPr>
      <w:r w:rsidRPr="008B2C29">
        <w:rPr>
          <w:rFonts w:ascii="Arial" w:hAnsi="Arial" w:cs="Arial"/>
          <w:b/>
          <w:bCs/>
          <w:i/>
          <w:iCs/>
          <w:sz w:val="20"/>
          <w:szCs w:val="20"/>
        </w:rPr>
        <w:t xml:space="preserve">Increased Perceived Security and Land Rights: </w:t>
      </w:r>
      <w:r w:rsidRPr="008B2C29">
        <w:rPr>
          <w:rFonts w:ascii="Arial" w:hAnsi="Arial" w:cs="Arial"/>
          <w:sz w:val="20"/>
          <w:szCs w:val="20"/>
        </w:rPr>
        <w:t xml:space="preserve">Agyei-Holmes et al. (2020) demonstrated that formal land registration enhances perceptions of tenure security. Households in registered areas reported increased feelings of ownership security, which influenced their intention to invest in land-based investments. </w:t>
      </w:r>
      <w:proofErr w:type="spellStart"/>
      <w:r w:rsidRPr="008B2C29">
        <w:rPr>
          <w:rFonts w:ascii="Arial" w:hAnsi="Arial" w:cs="Arial"/>
          <w:sz w:val="20"/>
          <w:szCs w:val="20"/>
        </w:rPr>
        <w:t>Alhola</w:t>
      </w:r>
      <w:proofErr w:type="spellEnd"/>
      <w:r w:rsidRPr="008B2C29">
        <w:rPr>
          <w:rFonts w:ascii="Arial" w:hAnsi="Arial" w:cs="Arial"/>
          <w:sz w:val="20"/>
          <w:szCs w:val="20"/>
        </w:rPr>
        <w:t xml:space="preserve"> and </w:t>
      </w:r>
      <w:proofErr w:type="spellStart"/>
      <w:r w:rsidR="00A62F3F" w:rsidRPr="008B2C29">
        <w:rPr>
          <w:rFonts w:ascii="Arial" w:hAnsi="Arial" w:cs="Arial"/>
          <w:sz w:val="20"/>
          <w:szCs w:val="20"/>
        </w:rPr>
        <w:t>Gwaindepi</w:t>
      </w:r>
      <w:proofErr w:type="spellEnd"/>
      <w:r w:rsidRPr="008B2C29">
        <w:rPr>
          <w:rFonts w:ascii="Arial" w:hAnsi="Arial" w:cs="Arial"/>
          <w:sz w:val="20"/>
          <w:szCs w:val="20"/>
        </w:rPr>
        <w:t xml:space="preserve"> (2024) also showed that individuals with formal land titles were more likely to view their tenure as secure compared to those who relied solely on customary arrangements. Moreover, land registration in peri-urban areas like Kumasi has decreased tenure disputes by providing documentary proof of ownership that can be used in both administrative and court contexts (Abdulai &amp; Antwi, 2007). In the context of urbanization and land commodification, formal registration legitimizes land transactions and protects landowners from multiple sales or invasions.</w:t>
      </w:r>
    </w:p>
    <w:p w14:paraId="7B8693C6" w14:textId="5C8642B3" w:rsidR="0021242F" w:rsidRPr="008B2C29" w:rsidRDefault="009512E8" w:rsidP="002C7DB3">
      <w:pPr>
        <w:spacing w:line="276" w:lineRule="auto"/>
        <w:rPr>
          <w:rFonts w:ascii="Arial" w:hAnsi="Arial" w:cs="Arial"/>
          <w:b/>
          <w:bCs/>
          <w:sz w:val="20"/>
          <w:szCs w:val="20"/>
        </w:rPr>
      </w:pPr>
      <w:r w:rsidRPr="008B2C29">
        <w:rPr>
          <w:rFonts w:ascii="Arial" w:hAnsi="Arial" w:cs="Arial"/>
          <w:b/>
          <w:bCs/>
          <w:i/>
          <w:iCs/>
          <w:sz w:val="20"/>
          <w:szCs w:val="20"/>
        </w:rPr>
        <w:t>Gendered and Unequal Benefits</w:t>
      </w:r>
      <w:r w:rsidR="00AC5BE0" w:rsidRPr="008B2C29">
        <w:rPr>
          <w:rFonts w:ascii="Arial" w:hAnsi="Arial" w:cs="Arial"/>
          <w:b/>
          <w:bCs/>
          <w:i/>
          <w:iCs/>
          <w:sz w:val="20"/>
          <w:szCs w:val="20"/>
        </w:rPr>
        <w:t>:</w:t>
      </w:r>
      <w:r w:rsidR="00AC5BE0" w:rsidRPr="008B2C29">
        <w:rPr>
          <w:rFonts w:ascii="Arial" w:hAnsi="Arial" w:cs="Arial"/>
          <w:b/>
          <w:bCs/>
          <w:sz w:val="20"/>
          <w:szCs w:val="20"/>
        </w:rPr>
        <w:t xml:space="preserve"> </w:t>
      </w:r>
      <w:r w:rsidR="00CC4EA0" w:rsidRPr="008B2C29">
        <w:rPr>
          <w:rFonts w:ascii="Arial" w:hAnsi="Arial" w:cs="Arial"/>
          <w:sz w:val="20"/>
          <w:szCs w:val="20"/>
        </w:rPr>
        <w:t xml:space="preserve">Notwithstanding its general positive effects, land registration does not automatically result in equitable outcomes with respect to tenure security. </w:t>
      </w:r>
      <w:proofErr w:type="spellStart"/>
      <w:r w:rsidR="00CC4EA0" w:rsidRPr="008B2C29">
        <w:rPr>
          <w:rFonts w:ascii="Arial" w:hAnsi="Arial" w:cs="Arial"/>
          <w:sz w:val="20"/>
          <w:szCs w:val="20"/>
        </w:rPr>
        <w:t>Singirankabo</w:t>
      </w:r>
      <w:proofErr w:type="spellEnd"/>
      <w:r w:rsidR="00CC4EA0" w:rsidRPr="008B2C29">
        <w:rPr>
          <w:rFonts w:ascii="Arial" w:hAnsi="Arial" w:cs="Arial"/>
          <w:sz w:val="20"/>
          <w:szCs w:val="20"/>
        </w:rPr>
        <w:t xml:space="preserve"> and </w:t>
      </w:r>
      <w:proofErr w:type="spellStart"/>
      <w:r w:rsidR="00CC4EA0" w:rsidRPr="008B2C29">
        <w:rPr>
          <w:rFonts w:ascii="Arial" w:hAnsi="Arial" w:cs="Arial"/>
          <w:sz w:val="20"/>
          <w:szCs w:val="20"/>
        </w:rPr>
        <w:t>Ertsen</w:t>
      </w:r>
      <w:proofErr w:type="spellEnd"/>
      <w:r w:rsidR="00CC4EA0" w:rsidRPr="008B2C29">
        <w:rPr>
          <w:rFonts w:ascii="Arial" w:hAnsi="Arial" w:cs="Arial"/>
          <w:sz w:val="20"/>
          <w:szCs w:val="20"/>
        </w:rPr>
        <w:t xml:space="preserve"> (2020) state that the formalization process can interfere with in situ de facto tenure rights, largely affecting women and marginal groups. Traditional leaders may control the registration process in Kumasi and other urbanizing areas, occasionally leading to the exclusion of women or migrants from the formal recognition of their rights. The evidence collected from Ethiopia and Rwanda shows that land registration programs, although they are efficient at conflict reduction and security improvement, </w:t>
      </w:r>
      <w:proofErr w:type="gramStart"/>
      <w:r w:rsidR="00CC4EA0" w:rsidRPr="008B2C29">
        <w:rPr>
          <w:rFonts w:ascii="Arial" w:hAnsi="Arial" w:cs="Arial"/>
          <w:sz w:val="20"/>
          <w:szCs w:val="20"/>
        </w:rPr>
        <w:t>have a tendency to</w:t>
      </w:r>
      <w:proofErr w:type="gramEnd"/>
      <w:r w:rsidR="00CC4EA0" w:rsidRPr="008B2C29">
        <w:rPr>
          <w:rFonts w:ascii="Arial" w:hAnsi="Arial" w:cs="Arial"/>
          <w:sz w:val="20"/>
          <w:szCs w:val="20"/>
        </w:rPr>
        <w:t xml:space="preserve"> </w:t>
      </w:r>
      <w:proofErr w:type="spellStart"/>
      <w:r w:rsidR="00CC4EA0" w:rsidRPr="008B2C29">
        <w:rPr>
          <w:rFonts w:ascii="Arial" w:hAnsi="Arial" w:cs="Arial"/>
          <w:sz w:val="20"/>
          <w:szCs w:val="20"/>
        </w:rPr>
        <w:t>favor</w:t>
      </w:r>
      <w:proofErr w:type="spellEnd"/>
      <w:r w:rsidR="00CC4EA0" w:rsidRPr="008B2C29">
        <w:rPr>
          <w:rFonts w:ascii="Arial" w:hAnsi="Arial" w:cs="Arial"/>
          <w:sz w:val="20"/>
          <w:szCs w:val="20"/>
        </w:rPr>
        <w:t xml:space="preserve"> more affluent and better-connected households (</w:t>
      </w:r>
      <w:proofErr w:type="spellStart"/>
      <w:r w:rsidR="00CC4EA0" w:rsidRPr="008B2C29">
        <w:rPr>
          <w:rFonts w:ascii="Arial" w:hAnsi="Arial" w:cs="Arial"/>
          <w:sz w:val="20"/>
          <w:szCs w:val="20"/>
        </w:rPr>
        <w:t>Muyombano</w:t>
      </w:r>
      <w:proofErr w:type="spellEnd"/>
      <w:r w:rsidR="00CC4EA0" w:rsidRPr="008B2C29">
        <w:rPr>
          <w:rFonts w:ascii="Arial" w:hAnsi="Arial" w:cs="Arial"/>
          <w:sz w:val="20"/>
          <w:szCs w:val="20"/>
        </w:rPr>
        <w:t xml:space="preserve"> &amp; Bergsma, 2018; Yami &amp; Snyder, 2016). </w:t>
      </w:r>
      <w:r w:rsidR="00C4226D" w:rsidRPr="008B2C29">
        <w:rPr>
          <w:rFonts w:ascii="Arial" w:hAnsi="Arial" w:cs="Arial"/>
          <w:sz w:val="20"/>
          <w:szCs w:val="20"/>
        </w:rPr>
        <w:t xml:space="preserve"> </w:t>
      </w:r>
      <w:r w:rsidR="00CC4EA0" w:rsidRPr="008B2C29">
        <w:rPr>
          <w:rFonts w:ascii="Arial" w:hAnsi="Arial" w:cs="Arial"/>
          <w:sz w:val="20"/>
          <w:szCs w:val="20"/>
        </w:rPr>
        <w:t>Edwin</w:t>
      </w:r>
      <w:r w:rsidR="0021242F" w:rsidRPr="008B2C29">
        <w:rPr>
          <w:rFonts w:ascii="Arial" w:hAnsi="Arial" w:cs="Arial"/>
          <w:sz w:val="20"/>
          <w:szCs w:val="20"/>
        </w:rPr>
        <w:t xml:space="preserve"> et al.</w:t>
      </w:r>
      <w:r w:rsidR="00CC4EA0" w:rsidRPr="008B2C29">
        <w:rPr>
          <w:rFonts w:ascii="Arial" w:hAnsi="Arial" w:cs="Arial"/>
          <w:sz w:val="20"/>
          <w:szCs w:val="20"/>
        </w:rPr>
        <w:t xml:space="preserve"> (2020) observed that faith in customary authorities as guardians of land rights at times outstrips the perceived utility of statutory registration. This practice indicates the direction of hybrid systems that integrate both customary and formal elements.</w:t>
      </w:r>
    </w:p>
    <w:p w14:paraId="2F632785" w14:textId="43AF61D0" w:rsidR="009512E8" w:rsidRPr="008B2C29" w:rsidRDefault="009512E8" w:rsidP="002C7DB3">
      <w:pPr>
        <w:spacing w:line="276" w:lineRule="auto"/>
        <w:rPr>
          <w:rFonts w:ascii="Arial" w:hAnsi="Arial" w:cs="Arial"/>
          <w:sz w:val="20"/>
          <w:szCs w:val="20"/>
        </w:rPr>
      </w:pPr>
      <w:r w:rsidRPr="008B2C29">
        <w:rPr>
          <w:rFonts w:ascii="Arial" w:hAnsi="Arial" w:cs="Arial"/>
          <w:b/>
          <w:bCs/>
          <w:i/>
          <w:iCs/>
          <w:sz w:val="20"/>
          <w:szCs w:val="20"/>
        </w:rPr>
        <w:t>Context-Dependence and Institutional Limitations</w:t>
      </w:r>
      <w:r w:rsidR="00AC5BE0" w:rsidRPr="008B2C29">
        <w:rPr>
          <w:rFonts w:ascii="Arial" w:hAnsi="Arial" w:cs="Arial"/>
          <w:b/>
          <w:bCs/>
          <w:i/>
          <w:iCs/>
          <w:sz w:val="20"/>
          <w:szCs w:val="20"/>
        </w:rPr>
        <w:t>:</w:t>
      </w:r>
      <w:r w:rsidR="00AC5BE0" w:rsidRPr="008B2C29">
        <w:rPr>
          <w:rFonts w:ascii="Arial" w:hAnsi="Arial" w:cs="Arial"/>
          <w:b/>
          <w:bCs/>
          <w:sz w:val="20"/>
          <w:szCs w:val="20"/>
        </w:rPr>
        <w:t xml:space="preserve"> </w:t>
      </w:r>
      <w:r w:rsidR="00F55BA0" w:rsidRPr="008B2C29">
        <w:rPr>
          <w:rFonts w:ascii="Arial" w:hAnsi="Arial" w:cs="Arial"/>
          <w:sz w:val="20"/>
          <w:szCs w:val="20"/>
        </w:rPr>
        <w:t>The effectiveness of land registration in increasing tenure security is highly context-dependent. Studies conducted by Deininger and Feder (2009) highlight the fact that land registration has major security benefits only in environments where supportive governance institutions, including efficient land administration, conflict resolution, as well as anti-corruption policies, are present. In Ghana, deep-seated institutional weaknesses, such as delays, poor digitization, and limited access to land information, undermine the long-term advantages of land title registration (</w:t>
      </w:r>
      <w:proofErr w:type="spellStart"/>
      <w:r w:rsidR="00F55BA0" w:rsidRPr="008B2C29">
        <w:rPr>
          <w:rFonts w:ascii="Arial" w:hAnsi="Arial" w:cs="Arial"/>
          <w:sz w:val="20"/>
          <w:szCs w:val="20"/>
        </w:rPr>
        <w:t>Ehwi</w:t>
      </w:r>
      <w:proofErr w:type="spellEnd"/>
      <w:r w:rsidR="00F55BA0" w:rsidRPr="008B2C29">
        <w:rPr>
          <w:rFonts w:ascii="Arial" w:hAnsi="Arial" w:cs="Arial"/>
          <w:sz w:val="20"/>
          <w:szCs w:val="20"/>
        </w:rPr>
        <w:t xml:space="preserve"> &amp; Asante, 2016). </w:t>
      </w:r>
      <w:r w:rsidR="00C4226D" w:rsidRPr="008B2C29">
        <w:rPr>
          <w:rFonts w:ascii="Arial" w:hAnsi="Arial" w:cs="Arial"/>
          <w:sz w:val="20"/>
          <w:szCs w:val="20"/>
        </w:rPr>
        <w:t>O</w:t>
      </w:r>
      <w:r w:rsidR="00F55BA0" w:rsidRPr="008B2C29">
        <w:rPr>
          <w:rFonts w:ascii="Arial" w:hAnsi="Arial" w:cs="Arial"/>
          <w:sz w:val="20"/>
          <w:szCs w:val="20"/>
        </w:rPr>
        <w:t>wnership of a land title does not automatically mean secure tenure. Abdulai and Antwi (2007) contend that land registration has sometimes been misunderstood as some guarantee of title; however, it could be more appropriately viewed as a record of claims open to contestation and verification. Hence, enhancing tenure security requires something more than technical interventions; it requires building the capacity, legitimacy, and transparency of land administration institutions.</w:t>
      </w:r>
    </w:p>
    <w:p w14:paraId="75F16095" w14:textId="77777777" w:rsidR="00576D52" w:rsidRPr="008B2C29" w:rsidRDefault="00576D52" w:rsidP="002C7DB3">
      <w:pPr>
        <w:spacing w:line="276" w:lineRule="auto"/>
        <w:rPr>
          <w:rFonts w:ascii="Arial" w:hAnsi="Arial" w:cs="Arial"/>
          <w:b/>
          <w:bCs/>
          <w:sz w:val="20"/>
          <w:szCs w:val="20"/>
        </w:rPr>
      </w:pPr>
    </w:p>
    <w:p w14:paraId="4896F760" w14:textId="77777777" w:rsidR="008248BF" w:rsidRPr="008B2C29" w:rsidRDefault="003779BE" w:rsidP="002C7DB3">
      <w:pPr>
        <w:pStyle w:val="ListParagraph"/>
        <w:numPr>
          <w:ilvl w:val="0"/>
          <w:numId w:val="2"/>
        </w:numPr>
        <w:spacing w:line="276" w:lineRule="auto"/>
        <w:rPr>
          <w:rFonts w:ascii="Arial" w:hAnsi="Arial" w:cs="Arial"/>
          <w:b/>
          <w:bCs/>
          <w:sz w:val="20"/>
          <w:szCs w:val="20"/>
        </w:rPr>
      </w:pPr>
      <w:r w:rsidRPr="008B2C29">
        <w:rPr>
          <w:rFonts w:ascii="Arial" w:hAnsi="Arial" w:cs="Arial"/>
          <w:b/>
          <w:bCs/>
          <w:sz w:val="20"/>
          <w:szCs w:val="20"/>
        </w:rPr>
        <w:lastRenderedPageBreak/>
        <w:t>Methodology</w:t>
      </w:r>
    </w:p>
    <w:p w14:paraId="263FE5D2" w14:textId="15B8FC98" w:rsidR="008248BF" w:rsidRPr="008B2C29" w:rsidRDefault="008248BF"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Study Area Description</w:t>
      </w:r>
    </w:p>
    <w:p w14:paraId="65F7B991" w14:textId="5DFF1A27" w:rsidR="001773C7" w:rsidRPr="008B2C29" w:rsidRDefault="001773C7" w:rsidP="002C7DB3">
      <w:pPr>
        <w:spacing w:line="276" w:lineRule="auto"/>
        <w:rPr>
          <w:rFonts w:ascii="Arial" w:hAnsi="Arial" w:cs="Arial"/>
          <w:bCs/>
          <w:sz w:val="20"/>
          <w:szCs w:val="20"/>
        </w:rPr>
      </w:pPr>
      <w:r w:rsidRPr="008B2C29">
        <w:rPr>
          <w:rFonts w:ascii="Arial" w:hAnsi="Arial" w:cs="Arial"/>
          <w:bCs/>
          <w:sz w:val="20"/>
          <w:szCs w:val="20"/>
        </w:rPr>
        <w:t>Kumasi, the regional capital of Ashanti Region, Ghana, is recognized as one of West Africa's fastest urbanizing and economically vibrant cities. Situated at approximately latitude 6</w:t>
      </w:r>
      <w:r w:rsidR="00380228" w:rsidRPr="008B2C29">
        <w:rPr>
          <w:rFonts w:ascii="Arial" w:hAnsi="Arial" w:cs="Arial"/>
          <w:bCs/>
          <w:sz w:val="20"/>
          <w:szCs w:val="20"/>
          <w:vertAlign w:val="superscript"/>
        </w:rPr>
        <w:t xml:space="preserve">0 </w:t>
      </w:r>
      <w:r w:rsidRPr="008B2C29">
        <w:rPr>
          <w:rFonts w:ascii="Arial" w:hAnsi="Arial" w:cs="Arial"/>
          <w:bCs/>
          <w:sz w:val="20"/>
          <w:szCs w:val="20"/>
        </w:rPr>
        <w:t>42</w:t>
      </w:r>
      <w:r w:rsidR="00380228" w:rsidRPr="008B2C29">
        <w:rPr>
          <w:rFonts w:ascii="Arial" w:hAnsi="Arial" w:cs="Arial"/>
          <w:bCs/>
          <w:sz w:val="20"/>
          <w:szCs w:val="20"/>
        </w:rPr>
        <w:t xml:space="preserve"> </w:t>
      </w:r>
      <w:r w:rsidR="00380228" w:rsidRPr="008B2C29">
        <w:rPr>
          <w:rFonts w:ascii="Arial" w:hAnsi="Arial" w:cs="Arial"/>
          <w:bCs/>
          <w:sz w:val="20"/>
          <w:szCs w:val="20"/>
          <w:vertAlign w:val="superscript"/>
        </w:rPr>
        <w:t xml:space="preserve">‘’ </w:t>
      </w:r>
      <w:r w:rsidRPr="008B2C29">
        <w:rPr>
          <w:rFonts w:ascii="Arial" w:hAnsi="Arial" w:cs="Arial"/>
          <w:bCs/>
          <w:sz w:val="20"/>
          <w:szCs w:val="20"/>
        </w:rPr>
        <w:t>N and longitude 1</w:t>
      </w:r>
      <w:r w:rsidR="00380228" w:rsidRPr="008B2C29">
        <w:rPr>
          <w:rFonts w:ascii="Arial" w:hAnsi="Arial" w:cs="Arial"/>
          <w:bCs/>
          <w:sz w:val="20"/>
          <w:szCs w:val="20"/>
          <w:lang w:val="en-US"/>
        </w:rPr>
        <w:t xml:space="preserve"> </w:t>
      </w:r>
      <w:r w:rsidR="00380228" w:rsidRPr="008B2C29">
        <w:rPr>
          <w:rFonts w:ascii="Arial" w:hAnsi="Arial" w:cs="Arial"/>
          <w:bCs/>
          <w:sz w:val="20"/>
          <w:szCs w:val="20"/>
          <w:vertAlign w:val="superscript"/>
          <w:lang w:val="en-US"/>
        </w:rPr>
        <w:t>0</w:t>
      </w:r>
      <w:r w:rsidRPr="008B2C29">
        <w:rPr>
          <w:rFonts w:ascii="Arial" w:hAnsi="Arial" w:cs="Arial"/>
          <w:bCs/>
          <w:sz w:val="20"/>
          <w:szCs w:val="20"/>
        </w:rPr>
        <w:t>37</w:t>
      </w:r>
      <w:r w:rsidR="00380228" w:rsidRPr="008B2C29">
        <w:rPr>
          <w:rFonts w:ascii="Arial" w:hAnsi="Arial" w:cs="Arial"/>
          <w:bCs/>
          <w:sz w:val="20"/>
          <w:szCs w:val="20"/>
          <w:lang w:val="en-US"/>
        </w:rPr>
        <w:t xml:space="preserve"> </w:t>
      </w:r>
      <w:r w:rsidR="00380228" w:rsidRPr="008B2C29">
        <w:rPr>
          <w:rFonts w:ascii="Arial" w:hAnsi="Arial" w:cs="Arial"/>
          <w:bCs/>
          <w:sz w:val="20"/>
          <w:szCs w:val="20"/>
          <w:vertAlign w:val="superscript"/>
          <w:lang w:val="en-US"/>
        </w:rPr>
        <w:t>‘’</w:t>
      </w:r>
      <w:r w:rsidR="00AF1F80" w:rsidRPr="008B2C29">
        <w:rPr>
          <w:rFonts w:ascii="Arial" w:hAnsi="Arial" w:cs="Arial"/>
          <w:bCs/>
          <w:sz w:val="20"/>
          <w:szCs w:val="20"/>
          <w:lang w:val="en-US"/>
        </w:rPr>
        <w:t xml:space="preserve"> </w:t>
      </w:r>
      <w:r w:rsidRPr="008B2C29">
        <w:rPr>
          <w:rFonts w:ascii="Arial" w:hAnsi="Arial" w:cs="Arial"/>
          <w:bCs/>
          <w:sz w:val="20"/>
          <w:szCs w:val="20"/>
        </w:rPr>
        <w:t xml:space="preserve">W, Kumasi has a spatial extent of approximately 214 km² and encompasses sub-metropolitan districts such as </w:t>
      </w:r>
      <w:proofErr w:type="spellStart"/>
      <w:r w:rsidRPr="008B2C29">
        <w:rPr>
          <w:rFonts w:ascii="Arial" w:hAnsi="Arial" w:cs="Arial"/>
          <w:bCs/>
          <w:sz w:val="20"/>
          <w:szCs w:val="20"/>
        </w:rPr>
        <w:t>Bantama</w:t>
      </w:r>
      <w:proofErr w:type="spellEnd"/>
      <w:r w:rsidRPr="008B2C29">
        <w:rPr>
          <w:rFonts w:ascii="Arial" w:hAnsi="Arial" w:cs="Arial"/>
          <w:bCs/>
          <w:sz w:val="20"/>
          <w:szCs w:val="20"/>
        </w:rPr>
        <w:t xml:space="preserve">, </w:t>
      </w:r>
      <w:proofErr w:type="spellStart"/>
      <w:r w:rsidRPr="008B2C29">
        <w:rPr>
          <w:rFonts w:ascii="Arial" w:hAnsi="Arial" w:cs="Arial"/>
          <w:bCs/>
          <w:sz w:val="20"/>
          <w:szCs w:val="20"/>
        </w:rPr>
        <w:t>Subin</w:t>
      </w:r>
      <w:proofErr w:type="spellEnd"/>
      <w:r w:rsidRPr="008B2C29">
        <w:rPr>
          <w:rFonts w:ascii="Arial" w:hAnsi="Arial" w:cs="Arial"/>
          <w:bCs/>
          <w:sz w:val="20"/>
          <w:szCs w:val="20"/>
        </w:rPr>
        <w:t xml:space="preserve">, </w:t>
      </w:r>
      <w:proofErr w:type="spellStart"/>
      <w:r w:rsidRPr="008B2C29">
        <w:rPr>
          <w:rFonts w:ascii="Arial" w:hAnsi="Arial" w:cs="Arial"/>
          <w:bCs/>
          <w:sz w:val="20"/>
          <w:szCs w:val="20"/>
        </w:rPr>
        <w:t>Manhyia</w:t>
      </w:r>
      <w:proofErr w:type="spellEnd"/>
      <w:r w:rsidRPr="008B2C29">
        <w:rPr>
          <w:rFonts w:ascii="Arial" w:hAnsi="Arial" w:cs="Arial"/>
          <w:bCs/>
          <w:sz w:val="20"/>
          <w:szCs w:val="20"/>
        </w:rPr>
        <w:t xml:space="preserve">, and </w:t>
      </w:r>
      <w:proofErr w:type="spellStart"/>
      <w:r w:rsidRPr="008B2C29">
        <w:rPr>
          <w:rFonts w:ascii="Arial" w:hAnsi="Arial" w:cs="Arial"/>
          <w:bCs/>
          <w:sz w:val="20"/>
          <w:szCs w:val="20"/>
        </w:rPr>
        <w:t>Asokwa</w:t>
      </w:r>
      <w:proofErr w:type="spellEnd"/>
      <w:r w:rsidRPr="008B2C29">
        <w:rPr>
          <w:rFonts w:ascii="Arial" w:hAnsi="Arial" w:cs="Arial"/>
          <w:bCs/>
          <w:sz w:val="20"/>
          <w:szCs w:val="20"/>
        </w:rPr>
        <w:t xml:space="preserve"> (</w:t>
      </w:r>
      <w:proofErr w:type="spellStart"/>
      <w:r w:rsidR="00AF1F80" w:rsidRPr="008B2C29">
        <w:rPr>
          <w:rFonts w:ascii="Arial" w:hAnsi="Arial" w:cs="Arial"/>
          <w:bCs/>
          <w:sz w:val="20"/>
          <w:szCs w:val="20"/>
        </w:rPr>
        <w:t>MobileseYourCity</w:t>
      </w:r>
      <w:proofErr w:type="spellEnd"/>
      <w:r w:rsidR="00AF1F80" w:rsidRPr="008B2C29">
        <w:rPr>
          <w:rFonts w:ascii="Arial" w:hAnsi="Arial" w:cs="Arial"/>
          <w:bCs/>
          <w:sz w:val="20"/>
          <w:szCs w:val="20"/>
        </w:rPr>
        <w:t>, 2021</w:t>
      </w:r>
      <w:r w:rsidRPr="008B2C29">
        <w:rPr>
          <w:rFonts w:ascii="Arial" w:hAnsi="Arial" w:cs="Arial"/>
          <w:bCs/>
          <w:sz w:val="20"/>
          <w:szCs w:val="20"/>
        </w:rPr>
        <w:t xml:space="preserve">). The city itself has a population of 443,981, comprising 213,662 males and 230,319 females, as per the 2021 Population and Housing Census. But if the larger urban agglomeration is </w:t>
      </w:r>
      <w:proofErr w:type="gramStart"/>
      <w:r w:rsidRPr="008B2C29">
        <w:rPr>
          <w:rFonts w:ascii="Arial" w:hAnsi="Arial" w:cs="Arial"/>
          <w:bCs/>
          <w:sz w:val="20"/>
          <w:szCs w:val="20"/>
        </w:rPr>
        <w:t>taken into account</w:t>
      </w:r>
      <w:proofErr w:type="gramEnd"/>
      <w:r w:rsidRPr="008B2C29">
        <w:rPr>
          <w:rFonts w:ascii="Arial" w:hAnsi="Arial" w:cs="Arial"/>
          <w:bCs/>
          <w:sz w:val="20"/>
          <w:szCs w:val="20"/>
        </w:rPr>
        <w:t>, an estimation of 2025 provides approximately 4,036,000, a very high growth rate of approximately 3.4% per annum (UN World Urbanization Prospects, 2024). The fast development of urban cities has caused high demand for land, housing, and infrastructure, hence creating huge challenges for land tenure and registration systems</w:t>
      </w:r>
      <w:r w:rsidR="00AF1F80" w:rsidRPr="008B2C29">
        <w:rPr>
          <w:rFonts w:ascii="Arial" w:hAnsi="Arial" w:cs="Arial"/>
          <w:bCs/>
          <w:sz w:val="20"/>
          <w:szCs w:val="20"/>
        </w:rPr>
        <w:t xml:space="preserve"> (</w:t>
      </w:r>
      <w:proofErr w:type="spellStart"/>
      <w:r w:rsidR="00AF1F80" w:rsidRPr="008B2C29">
        <w:rPr>
          <w:rFonts w:ascii="Arial" w:hAnsi="Arial" w:cs="Arial"/>
          <w:bCs/>
          <w:sz w:val="20"/>
          <w:szCs w:val="20"/>
        </w:rPr>
        <w:t>Kombonaah</w:t>
      </w:r>
      <w:proofErr w:type="spellEnd"/>
      <w:r w:rsidR="00AF1F80" w:rsidRPr="008B2C29">
        <w:rPr>
          <w:rFonts w:ascii="Arial" w:hAnsi="Arial" w:cs="Arial"/>
          <w:bCs/>
          <w:sz w:val="20"/>
          <w:szCs w:val="20"/>
        </w:rPr>
        <w:t>, 2025)</w:t>
      </w:r>
      <w:r w:rsidRPr="008B2C29">
        <w:rPr>
          <w:rFonts w:ascii="Arial" w:hAnsi="Arial" w:cs="Arial"/>
          <w:bCs/>
          <w:sz w:val="20"/>
          <w:szCs w:val="20"/>
        </w:rPr>
        <w:t>.</w:t>
      </w:r>
      <w:r w:rsidR="004A3D22" w:rsidRPr="008B2C29">
        <w:rPr>
          <w:rFonts w:ascii="Arial" w:hAnsi="Arial" w:cs="Arial"/>
          <w:bCs/>
          <w:sz w:val="20"/>
          <w:szCs w:val="20"/>
        </w:rPr>
        <w:t xml:space="preserve"> Figure 1 shows the map of </w:t>
      </w:r>
      <w:r w:rsidR="00D01A30" w:rsidRPr="008B2C29">
        <w:rPr>
          <w:rFonts w:ascii="Arial" w:hAnsi="Arial" w:cs="Arial"/>
          <w:bCs/>
          <w:sz w:val="20"/>
          <w:szCs w:val="20"/>
        </w:rPr>
        <w:t>Kumasi Metropolitan Area</w:t>
      </w:r>
      <w:r w:rsidR="004A3D22" w:rsidRPr="008B2C29">
        <w:rPr>
          <w:rFonts w:ascii="Arial" w:hAnsi="Arial" w:cs="Arial"/>
          <w:bCs/>
          <w:sz w:val="20"/>
          <w:szCs w:val="20"/>
        </w:rPr>
        <w:t>.</w:t>
      </w:r>
    </w:p>
    <w:p w14:paraId="0AB841AB" w14:textId="35B1523C" w:rsidR="00053E3B" w:rsidRPr="008B2C29" w:rsidRDefault="00317AF2" w:rsidP="002C7DB3">
      <w:pPr>
        <w:spacing w:line="276" w:lineRule="auto"/>
        <w:rPr>
          <w:rFonts w:ascii="Arial" w:hAnsi="Arial" w:cs="Arial"/>
          <w:bCs/>
          <w:sz w:val="20"/>
          <w:szCs w:val="20"/>
        </w:rPr>
      </w:pPr>
      <w:r w:rsidRPr="008B2C29">
        <w:rPr>
          <w:rFonts w:ascii="Arial" w:hAnsi="Arial" w:cs="Arial"/>
          <w:bCs/>
          <w:noProof/>
          <w:sz w:val="20"/>
          <w:szCs w:val="20"/>
        </w:rPr>
        <w:drawing>
          <wp:inline distT="0" distB="0" distL="0" distR="0" wp14:anchorId="6EAC86CF" wp14:editId="79428B8A">
            <wp:extent cx="5731510" cy="4049395"/>
            <wp:effectExtent l="0" t="0" r="2540" b="8255"/>
            <wp:docPr id="172299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92809" name="Picture 1722992809"/>
                    <pic:cNvPicPr/>
                  </pic:nvPicPr>
                  <pic:blipFill>
                    <a:blip r:embed="rId7">
                      <a:extLst>
                        <a:ext uri="{28A0092B-C50C-407E-A947-70E740481C1C}">
                          <a14:useLocalDpi xmlns:a14="http://schemas.microsoft.com/office/drawing/2010/main" val="0"/>
                        </a:ext>
                      </a:extLst>
                    </a:blip>
                    <a:stretch>
                      <a:fillRect/>
                    </a:stretch>
                  </pic:blipFill>
                  <pic:spPr>
                    <a:xfrm>
                      <a:off x="0" y="0"/>
                      <a:ext cx="5731510" cy="4049395"/>
                    </a:xfrm>
                    <a:prstGeom prst="rect">
                      <a:avLst/>
                    </a:prstGeom>
                  </pic:spPr>
                </pic:pic>
              </a:graphicData>
            </a:graphic>
          </wp:inline>
        </w:drawing>
      </w:r>
    </w:p>
    <w:p w14:paraId="1A4B85D9" w14:textId="115CF580" w:rsidR="00F52A3D" w:rsidRPr="008B2C29" w:rsidRDefault="00F52A3D" w:rsidP="002C7DB3">
      <w:pPr>
        <w:spacing w:line="276" w:lineRule="auto"/>
        <w:rPr>
          <w:rFonts w:ascii="Arial" w:hAnsi="Arial" w:cs="Arial"/>
          <w:bCs/>
          <w:sz w:val="20"/>
          <w:szCs w:val="20"/>
        </w:rPr>
      </w:pPr>
      <w:r w:rsidRPr="008B2C29">
        <w:rPr>
          <w:rFonts w:ascii="Arial" w:hAnsi="Arial" w:cs="Arial"/>
          <w:b/>
          <w:sz w:val="20"/>
          <w:szCs w:val="20"/>
        </w:rPr>
        <w:t>Figure 1:</w:t>
      </w:r>
      <w:r w:rsidRPr="008B2C29">
        <w:rPr>
          <w:rFonts w:ascii="Arial" w:hAnsi="Arial" w:cs="Arial"/>
          <w:bCs/>
          <w:sz w:val="20"/>
          <w:szCs w:val="20"/>
        </w:rPr>
        <w:t xml:space="preserve"> Map of the Study Area</w:t>
      </w:r>
    </w:p>
    <w:p w14:paraId="41380967" w14:textId="109078E0" w:rsidR="00F52A3D" w:rsidRPr="008B2C29" w:rsidRDefault="00F52A3D" w:rsidP="002C7DB3">
      <w:pPr>
        <w:spacing w:line="276" w:lineRule="auto"/>
        <w:rPr>
          <w:rFonts w:ascii="Arial" w:hAnsi="Arial" w:cs="Arial"/>
          <w:bCs/>
          <w:sz w:val="20"/>
          <w:szCs w:val="20"/>
        </w:rPr>
      </w:pPr>
      <w:r w:rsidRPr="008B2C29">
        <w:rPr>
          <w:rFonts w:ascii="Arial" w:hAnsi="Arial" w:cs="Arial"/>
          <w:bCs/>
          <w:sz w:val="20"/>
          <w:szCs w:val="20"/>
        </w:rPr>
        <w:t xml:space="preserve">Source: </w:t>
      </w:r>
      <w:r w:rsidR="002C7DB3" w:rsidRPr="008B2C29">
        <w:rPr>
          <w:rFonts w:ascii="Arial" w:hAnsi="Arial" w:cs="Arial"/>
          <w:bCs/>
          <w:sz w:val="20"/>
          <w:szCs w:val="20"/>
        </w:rPr>
        <w:t xml:space="preserve">Authors’ </w:t>
      </w:r>
      <w:proofErr w:type="spellStart"/>
      <w:r w:rsidR="002C7DB3" w:rsidRPr="008B2C29">
        <w:rPr>
          <w:rFonts w:ascii="Arial" w:hAnsi="Arial" w:cs="Arial"/>
          <w:bCs/>
          <w:sz w:val="20"/>
          <w:szCs w:val="20"/>
        </w:rPr>
        <w:t>Constrct</w:t>
      </w:r>
      <w:proofErr w:type="spellEnd"/>
    </w:p>
    <w:p w14:paraId="15D41B10" w14:textId="6DFE3EE6" w:rsidR="001773C7" w:rsidRPr="008B2C29" w:rsidRDefault="001773C7" w:rsidP="002C7DB3">
      <w:pPr>
        <w:spacing w:line="276" w:lineRule="auto"/>
        <w:rPr>
          <w:rFonts w:ascii="Arial" w:hAnsi="Arial" w:cs="Arial"/>
          <w:bCs/>
          <w:sz w:val="20"/>
          <w:szCs w:val="20"/>
        </w:rPr>
      </w:pPr>
      <w:r w:rsidRPr="008B2C29">
        <w:rPr>
          <w:rFonts w:ascii="Arial" w:hAnsi="Arial" w:cs="Arial"/>
          <w:bCs/>
          <w:sz w:val="20"/>
          <w:szCs w:val="20"/>
        </w:rPr>
        <w:t xml:space="preserve">Kumasi's population has grown exponentially due to rural–urban migration, creating more demand for land for both housing and business. This has heightened land tenure and registration problems. Kumasi is </w:t>
      </w:r>
      <w:r w:rsidR="002D3A61" w:rsidRPr="008B2C29">
        <w:rPr>
          <w:rFonts w:ascii="Arial" w:hAnsi="Arial" w:cs="Arial"/>
          <w:bCs/>
          <w:sz w:val="20"/>
          <w:szCs w:val="20"/>
        </w:rPr>
        <w:t>the</w:t>
      </w:r>
      <w:r w:rsidRPr="008B2C29">
        <w:rPr>
          <w:rFonts w:ascii="Arial" w:hAnsi="Arial" w:cs="Arial"/>
          <w:bCs/>
          <w:sz w:val="20"/>
          <w:szCs w:val="20"/>
        </w:rPr>
        <w:t xml:space="preserve"> traditional capital of the Ashanti Kingdom, and land ownership is predominantly under customary tenure. It is believed that between 80 and 81 percent of the land in Kumasi is stool land, controlled by the Asantehene and sub-chiefs. Conversely, a lesser fraction of about 18 percent is vested in the state as "Part One" land (</w:t>
      </w:r>
      <w:proofErr w:type="spellStart"/>
      <w:r w:rsidRPr="008B2C29">
        <w:rPr>
          <w:rFonts w:ascii="Arial" w:hAnsi="Arial" w:cs="Arial"/>
          <w:bCs/>
          <w:sz w:val="20"/>
          <w:szCs w:val="20"/>
        </w:rPr>
        <w:t>Kasanga</w:t>
      </w:r>
      <w:proofErr w:type="spellEnd"/>
      <w:r w:rsidRPr="008B2C29">
        <w:rPr>
          <w:rFonts w:ascii="Arial" w:hAnsi="Arial" w:cs="Arial"/>
          <w:bCs/>
          <w:sz w:val="20"/>
          <w:szCs w:val="20"/>
        </w:rPr>
        <w:t xml:space="preserve"> &amp; </w:t>
      </w:r>
      <w:proofErr w:type="spellStart"/>
      <w:r w:rsidRPr="008B2C29">
        <w:rPr>
          <w:rFonts w:ascii="Arial" w:hAnsi="Arial" w:cs="Arial"/>
          <w:bCs/>
          <w:sz w:val="20"/>
          <w:szCs w:val="20"/>
        </w:rPr>
        <w:t>Kotey</w:t>
      </w:r>
      <w:proofErr w:type="spellEnd"/>
      <w:r w:rsidRPr="008B2C29">
        <w:rPr>
          <w:rFonts w:ascii="Arial" w:hAnsi="Arial" w:cs="Arial"/>
          <w:bCs/>
          <w:sz w:val="20"/>
          <w:szCs w:val="20"/>
        </w:rPr>
        <w:t xml:space="preserve">, 2001; </w:t>
      </w:r>
      <w:proofErr w:type="spellStart"/>
      <w:r w:rsidRPr="008B2C29">
        <w:rPr>
          <w:rFonts w:ascii="Arial" w:hAnsi="Arial" w:cs="Arial"/>
          <w:bCs/>
          <w:sz w:val="20"/>
          <w:szCs w:val="20"/>
        </w:rPr>
        <w:t>Ubink</w:t>
      </w:r>
      <w:proofErr w:type="spellEnd"/>
      <w:r w:rsidRPr="008B2C29">
        <w:rPr>
          <w:rFonts w:ascii="Arial" w:hAnsi="Arial" w:cs="Arial"/>
          <w:bCs/>
          <w:sz w:val="20"/>
          <w:szCs w:val="20"/>
        </w:rPr>
        <w:t>, 200</w:t>
      </w:r>
      <w:r w:rsidR="00B37003" w:rsidRPr="008B2C29">
        <w:rPr>
          <w:rFonts w:ascii="Arial" w:hAnsi="Arial" w:cs="Arial"/>
          <w:bCs/>
          <w:sz w:val="20"/>
          <w:szCs w:val="20"/>
        </w:rPr>
        <w:t>8</w:t>
      </w:r>
      <w:r w:rsidRPr="008B2C29">
        <w:rPr>
          <w:rFonts w:ascii="Arial" w:hAnsi="Arial" w:cs="Arial"/>
          <w:bCs/>
          <w:sz w:val="20"/>
          <w:szCs w:val="20"/>
        </w:rPr>
        <w:t>).</w:t>
      </w:r>
      <w:r w:rsidR="002D3A61" w:rsidRPr="008B2C29">
        <w:rPr>
          <w:rFonts w:ascii="Arial" w:hAnsi="Arial" w:cs="Arial"/>
          <w:bCs/>
          <w:sz w:val="20"/>
          <w:szCs w:val="20"/>
        </w:rPr>
        <w:t xml:space="preserve"> </w:t>
      </w:r>
      <w:r w:rsidRPr="008B2C29">
        <w:rPr>
          <w:rFonts w:ascii="Arial" w:hAnsi="Arial" w:cs="Arial"/>
          <w:bCs/>
          <w:sz w:val="20"/>
          <w:szCs w:val="20"/>
        </w:rPr>
        <w:t>Customary land allocation in Kumasi includes allocation of land by chiefs, typically backed by allocation notes or payment of "drink money" instead of legal deeds (</w:t>
      </w:r>
      <w:proofErr w:type="spellStart"/>
      <w:r w:rsidRPr="008B2C29">
        <w:rPr>
          <w:rFonts w:ascii="Arial" w:hAnsi="Arial" w:cs="Arial"/>
          <w:bCs/>
          <w:sz w:val="20"/>
          <w:szCs w:val="20"/>
        </w:rPr>
        <w:t>Ubink</w:t>
      </w:r>
      <w:proofErr w:type="spellEnd"/>
      <w:r w:rsidR="00B37003" w:rsidRPr="008B2C29">
        <w:rPr>
          <w:rFonts w:ascii="Arial" w:hAnsi="Arial" w:cs="Arial"/>
          <w:bCs/>
          <w:sz w:val="20"/>
          <w:szCs w:val="20"/>
        </w:rPr>
        <w:t>,</w:t>
      </w:r>
      <w:r w:rsidRPr="008B2C29">
        <w:rPr>
          <w:rFonts w:ascii="Arial" w:hAnsi="Arial" w:cs="Arial"/>
          <w:bCs/>
          <w:sz w:val="20"/>
          <w:szCs w:val="20"/>
        </w:rPr>
        <w:t xml:space="preserve"> 20</w:t>
      </w:r>
      <w:r w:rsidR="00B37003" w:rsidRPr="008B2C29">
        <w:rPr>
          <w:rFonts w:ascii="Arial" w:hAnsi="Arial" w:cs="Arial"/>
          <w:bCs/>
          <w:sz w:val="20"/>
          <w:szCs w:val="20"/>
        </w:rPr>
        <w:t>08</w:t>
      </w:r>
      <w:r w:rsidRPr="008B2C29">
        <w:rPr>
          <w:rFonts w:ascii="Arial" w:hAnsi="Arial" w:cs="Arial"/>
          <w:bCs/>
          <w:sz w:val="20"/>
          <w:szCs w:val="20"/>
        </w:rPr>
        <w:t>). In the past, this has led to tenure insecurity, as these types of informal documents are not of any legal significance unless registered under the statutory procedures adopted by the Lands Commission and the Asantehene's Land Secretariat (Arko-Adjei, 2011).</w:t>
      </w:r>
    </w:p>
    <w:p w14:paraId="6C246385" w14:textId="48132AD1" w:rsidR="00C85040" w:rsidRPr="008B2C29" w:rsidRDefault="001773C7" w:rsidP="002C7DB3">
      <w:pPr>
        <w:spacing w:line="276" w:lineRule="auto"/>
        <w:rPr>
          <w:rFonts w:ascii="Arial" w:hAnsi="Arial" w:cs="Arial"/>
          <w:bCs/>
          <w:sz w:val="20"/>
          <w:szCs w:val="20"/>
        </w:rPr>
      </w:pPr>
      <w:r w:rsidRPr="008B2C29">
        <w:rPr>
          <w:rFonts w:ascii="Arial" w:hAnsi="Arial" w:cs="Arial"/>
          <w:bCs/>
          <w:sz w:val="20"/>
          <w:szCs w:val="20"/>
        </w:rPr>
        <w:lastRenderedPageBreak/>
        <w:t xml:space="preserve">In light of these issues, the Government of Ghana initiated the Land Administration Project (LAP) in 2003 </w:t>
      </w:r>
      <w:r w:rsidR="00AA2CCB" w:rsidRPr="008B2C29">
        <w:rPr>
          <w:rFonts w:ascii="Arial" w:hAnsi="Arial" w:cs="Arial"/>
          <w:bCs/>
          <w:sz w:val="20"/>
          <w:szCs w:val="20"/>
        </w:rPr>
        <w:t>to computerize and consolidate</w:t>
      </w:r>
      <w:r w:rsidRPr="008B2C29">
        <w:rPr>
          <w:rFonts w:ascii="Arial" w:hAnsi="Arial" w:cs="Arial"/>
          <w:bCs/>
          <w:sz w:val="20"/>
          <w:szCs w:val="20"/>
        </w:rPr>
        <w:t xml:space="preserve"> land records, enhancing registration processes and enhancing tenure security (Ministry of Lands and Natural Resources, 2011). The project promoted the computerization of land records and enhanced coordination between customary and statutory land institutions in Kumasi. In spite of these efforts, challenges such as </w:t>
      </w:r>
      <w:r w:rsidR="002E4EA7" w:rsidRPr="008B2C29">
        <w:rPr>
          <w:rFonts w:ascii="Arial" w:hAnsi="Arial" w:cs="Arial"/>
          <w:bCs/>
          <w:sz w:val="20"/>
          <w:szCs w:val="20"/>
        </w:rPr>
        <w:t xml:space="preserve">the </w:t>
      </w:r>
      <w:r w:rsidRPr="008B2C29">
        <w:rPr>
          <w:rFonts w:ascii="Arial" w:hAnsi="Arial" w:cs="Arial"/>
          <w:bCs/>
          <w:sz w:val="20"/>
          <w:szCs w:val="20"/>
        </w:rPr>
        <w:t>occurrence of multiple sales of land, fraudulent allotment, and institutional overlap persistently undermine the efficacy of land registration alongside the effectiveness of tenure security (</w:t>
      </w:r>
      <w:proofErr w:type="spellStart"/>
      <w:r w:rsidR="00557A62" w:rsidRPr="008B2C29">
        <w:rPr>
          <w:rFonts w:ascii="Arial" w:hAnsi="Arial" w:cs="Arial"/>
          <w:bCs/>
          <w:sz w:val="20"/>
          <w:szCs w:val="20"/>
        </w:rPr>
        <w:t>Kombonaah</w:t>
      </w:r>
      <w:proofErr w:type="spellEnd"/>
      <w:r w:rsidR="00557A62" w:rsidRPr="008B2C29">
        <w:rPr>
          <w:rFonts w:ascii="Arial" w:hAnsi="Arial" w:cs="Arial"/>
          <w:bCs/>
          <w:sz w:val="20"/>
          <w:szCs w:val="20"/>
        </w:rPr>
        <w:t>, 2025</w:t>
      </w:r>
      <w:r w:rsidRPr="008B2C29">
        <w:rPr>
          <w:rFonts w:ascii="Arial" w:hAnsi="Arial" w:cs="Arial"/>
          <w:bCs/>
          <w:sz w:val="20"/>
          <w:szCs w:val="20"/>
        </w:rPr>
        <w:t xml:space="preserve">; </w:t>
      </w:r>
      <w:proofErr w:type="spellStart"/>
      <w:r w:rsidRPr="008B2C29">
        <w:rPr>
          <w:rFonts w:ascii="Arial" w:hAnsi="Arial" w:cs="Arial"/>
          <w:bCs/>
          <w:sz w:val="20"/>
          <w:szCs w:val="20"/>
        </w:rPr>
        <w:t>Ubink</w:t>
      </w:r>
      <w:proofErr w:type="spellEnd"/>
      <w:r w:rsidRPr="008B2C29">
        <w:rPr>
          <w:rFonts w:ascii="Arial" w:hAnsi="Arial" w:cs="Arial"/>
          <w:bCs/>
          <w:sz w:val="20"/>
          <w:szCs w:val="20"/>
        </w:rPr>
        <w:t>, 2008). Thus, Kumasi presents a dynamic setting for evaluating the interaction between customary and statutory land administration systems and land registration's effect on tenure security.</w:t>
      </w:r>
    </w:p>
    <w:p w14:paraId="0BF01DEE" w14:textId="78D1805D" w:rsidR="008248BF" w:rsidRPr="008B2C29" w:rsidRDefault="008248BF"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Research Approach and Design</w:t>
      </w:r>
    </w:p>
    <w:p w14:paraId="133B84CF" w14:textId="5213D4DD" w:rsidR="008248BF" w:rsidRPr="008B2C29" w:rsidRDefault="008248BF" w:rsidP="002C7DB3">
      <w:pPr>
        <w:spacing w:line="276" w:lineRule="auto"/>
        <w:rPr>
          <w:rFonts w:ascii="Arial" w:hAnsi="Arial" w:cs="Arial"/>
          <w:bCs/>
          <w:sz w:val="20"/>
          <w:szCs w:val="20"/>
        </w:rPr>
      </w:pPr>
      <w:r w:rsidRPr="008B2C29">
        <w:rPr>
          <w:rFonts w:ascii="Arial" w:hAnsi="Arial" w:cs="Arial"/>
          <w:bCs/>
          <w:sz w:val="20"/>
          <w:szCs w:val="20"/>
        </w:rPr>
        <w:t xml:space="preserve">The study employed an embedded case study method, integrating quantitative and qualitative approaches to examine the effects of land registration on tenure security. A purposive sampling strategy was employed to select </w:t>
      </w:r>
      <w:r w:rsidR="00F5182D" w:rsidRPr="008B2C29">
        <w:rPr>
          <w:rFonts w:ascii="Arial" w:hAnsi="Arial" w:cs="Arial"/>
          <w:bCs/>
          <w:sz w:val="20"/>
          <w:szCs w:val="20"/>
        </w:rPr>
        <w:t>383</w:t>
      </w:r>
      <w:r w:rsidRPr="008B2C29">
        <w:rPr>
          <w:rFonts w:ascii="Arial" w:hAnsi="Arial" w:cs="Arial"/>
          <w:bCs/>
          <w:sz w:val="20"/>
          <w:szCs w:val="20"/>
        </w:rPr>
        <w:t xml:space="preserve"> participants, comprising land owners and </w:t>
      </w:r>
      <w:r w:rsidR="002C7DB3" w:rsidRPr="008B2C29">
        <w:rPr>
          <w:rFonts w:ascii="Arial" w:hAnsi="Arial" w:cs="Arial"/>
          <w:bCs/>
          <w:sz w:val="20"/>
          <w:szCs w:val="20"/>
        </w:rPr>
        <w:t>land officers</w:t>
      </w:r>
      <w:r w:rsidRPr="008B2C29">
        <w:rPr>
          <w:rFonts w:ascii="Arial" w:hAnsi="Arial" w:cs="Arial"/>
          <w:bCs/>
          <w:sz w:val="20"/>
          <w:szCs w:val="20"/>
        </w:rPr>
        <w:t xml:space="preserve"> from the </w:t>
      </w:r>
      <w:r w:rsidR="00F5182D" w:rsidRPr="008B2C29">
        <w:rPr>
          <w:rFonts w:ascii="Arial" w:hAnsi="Arial" w:cs="Arial"/>
          <w:bCs/>
          <w:sz w:val="20"/>
          <w:szCs w:val="20"/>
        </w:rPr>
        <w:t>Lands Commission</w:t>
      </w:r>
      <w:r w:rsidRPr="008B2C29">
        <w:rPr>
          <w:rFonts w:ascii="Arial" w:hAnsi="Arial" w:cs="Arial"/>
          <w:bCs/>
          <w:sz w:val="20"/>
          <w:szCs w:val="20"/>
        </w:rPr>
        <w:t>.</w:t>
      </w:r>
      <w:r w:rsidR="00BE077B" w:rsidRPr="008B2C29">
        <w:rPr>
          <w:rFonts w:ascii="Arial" w:hAnsi="Arial" w:cs="Arial"/>
          <w:bCs/>
          <w:sz w:val="20"/>
          <w:szCs w:val="20"/>
        </w:rPr>
        <w:t xml:space="preserve"> Two </w:t>
      </w:r>
      <w:r w:rsidR="0025480B" w:rsidRPr="008B2C29">
        <w:rPr>
          <w:rFonts w:ascii="Arial" w:hAnsi="Arial" w:cs="Arial"/>
          <w:bCs/>
          <w:sz w:val="20"/>
          <w:szCs w:val="20"/>
        </w:rPr>
        <w:t>sets of questionnaires were used: closed-ended questionnaires for the landowners</w:t>
      </w:r>
      <w:r w:rsidR="00BE077B" w:rsidRPr="008B2C29">
        <w:rPr>
          <w:rFonts w:ascii="Arial" w:hAnsi="Arial" w:cs="Arial"/>
          <w:bCs/>
          <w:sz w:val="20"/>
          <w:szCs w:val="20"/>
        </w:rPr>
        <w:t xml:space="preserve">, and open-ended questionnaires for </w:t>
      </w:r>
      <w:r w:rsidR="002C7DB3" w:rsidRPr="008B2C29">
        <w:rPr>
          <w:rFonts w:ascii="Arial" w:hAnsi="Arial" w:cs="Arial"/>
          <w:bCs/>
          <w:sz w:val="20"/>
          <w:szCs w:val="20"/>
        </w:rPr>
        <w:t>land officers</w:t>
      </w:r>
      <w:r w:rsidR="00BE077B" w:rsidRPr="008B2C29">
        <w:rPr>
          <w:rFonts w:ascii="Arial" w:hAnsi="Arial" w:cs="Arial"/>
          <w:bCs/>
          <w:sz w:val="20"/>
          <w:szCs w:val="20"/>
        </w:rPr>
        <w:t xml:space="preserve"> from the Lands Commission.</w:t>
      </w:r>
      <w:r w:rsidRPr="008B2C29">
        <w:rPr>
          <w:rFonts w:ascii="Arial" w:hAnsi="Arial" w:cs="Arial"/>
          <w:bCs/>
          <w:sz w:val="20"/>
          <w:szCs w:val="20"/>
        </w:rPr>
        <w:t xml:space="preserve"> </w:t>
      </w:r>
      <w:r w:rsidR="00BE077B" w:rsidRPr="008B2C29">
        <w:rPr>
          <w:rFonts w:ascii="Arial" w:hAnsi="Arial" w:cs="Arial"/>
          <w:bCs/>
          <w:sz w:val="20"/>
          <w:szCs w:val="20"/>
        </w:rPr>
        <w:t>S</w:t>
      </w:r>
      <w:r w:rsidRPr="008B2C29">
        <w:rPr>
          <w:rFonts w:ascii="Arial" w:hAnsi="Arial" w:cs="Arial"/>
          <w:bCs/>
          <w:sz w:val="20"/>
          <w:szCs w:val="20"/>
        </w:rPr>
        <w:t>emi-structured interviews, focus group discussions, and direct observation</w:t>
      </w:r>
      <w:r w:rsidR="00BE077B" w:rsidRPr="008B2C29">
        <w:rPr>
          <w:rFonts w:ascii="Arial" w:hAnsi="Arial" w:cs="Arial"/>
          <w:bCs/>
          <w:sz w:val="20"/>
          <w:szCs w:val="20"/>
        </w:rPr>
        <w:t xml:space="preserve"> were employed</w:t>
      </w:r>
      <w:r w:rsidRPr="008B2C29">
        <w:rPr>
          <w:rFonts w:ascii="Arial" w:hAnsi="Arial" w:cs="Arial"/>
          <w:bCs/>
          <w:sz w:val="20"/>
          <w:szCs w:val="20"/>
        </w:rPr>
        <w:t xml:space="preserve">. Both English and Twi were used to facilitate participant expression. </w:t>
      </w:r>
      <w:r w:rsidR="00BE077B" w:rsidRPr="008B2C29">
        <w:rPr>
          <w:rFonts w:ascii="Arial" w:hAnsi="Arial" w:cs="Arial"/>
          <w:bCs/>
          <w:sz w:val="20"/>
          <w:szCs w:val="20"/>
        </w:rPr>
        <w:t xml:space="preserve">Quantitative data was analysed using SPSS. </w:t>
      </w:r>
      <w:r w:rsidR="00F5182D" w:rsidRPr="008B2C29">
        <w:rPr>
          <w:rFonts w:ascii="Arial" w:hAnsi="Arial" w:cs="Arial"/>
          <w:bCs/>
          <w:sz w:val="20"/>
          <w:szCs w:val="20"/>
        </w:rPr>
        <w:t xml:space="preserve"> </w:t>
      </w:r>
      <w:r w:rsidRPr="008B2C29">
        <w:rPr>
          <w:rFonts w:ascii="Arial" w:hAnsi="Arial" w:cs="Arial"/>
          <w:bCs/>
          <w:sz w:val="20"/>
          <w:szCs w:val="20"/>
        </w:rPr>
        <w:t xml:space="preserve">A thematic analysis approach was </w:t>
      </w:r>
      <w:r w:rsidR="0025480B" w:rsidRPr="008B2C29">
        <w:rPr>
          <w:rFonts w:ascii="Arial" w:hAnsi="Arial" w:cs="Arial"/>
          <w:bCs/>
          <w:sz w:val="20"/>
          <w:szCs w:val="20"/>
        </w:rPr>
        <w:t xml:space="preserve">employed, involving the coding of interview data and notes to identify key themes related to the effects of land registration </w:t>
      </w:r>
      <w:r w:rsidR="00F5182D" w:rsidRPr="008B2C29">
        <w:rPr>
          <w:rFonts w:ascii="Arial" w:hAnsi="Arial" w:cs="Arial"/>
          <w:bCs/>
          <w:sz w:val="20"/>
          <w:szCs w:val="20"/>
        </w:rPr>
        <w:t>on tenure security</w:t>
      </w:r>
      <w:r w:rsidRPr="008B2C29">
        <w:rPr>
          <w:rFonts w:ascii="Arial" w:hAnsi="Arial" w:cs="Arial"/>
          <w:bCs/>
          <w:sz w:val="20"/>
          <w:szCs w:val="20"/>
        </w:rPr>
        <w:t>.</w:t>
      </w:r>
      <w:r w:rsidR="00BE077B" w:rsidRPr="008B2C29">
        <w:rPr>
          <w:rFonts w:ascii="Arial" w:hAnsi="Arial" w:cs="Arial"/>
          <w:bCs/>
          <w:sz w:val="20"/>
          <w:szCs w:val="20"/>
        </w:rPr>
        <w:t xml:space="preserve"> Field notes and audio recordings were transcribed for analysis.</w:t>
      </w:r>
      <w:r w:rsidRPr="008B2C29">
        <w:rPr>
          <w:rFonts w:ascii="Arial" w:hAnsi="Arial" w:cs="Arial"/>
          <w:bCs/>
          <w:sz w:val="20"/>
          <w:szCs w:val="20"/>
        </w:rPr>
        <w:t xml:space="preserve"> NVivo software was utilised to support data organisation and systematic analysis. This design provided nuanced insights into the </w:t>
      </w:r>
      <w:r w:rsidR="00BE077B" w:rsidRPr="008B2C29">
        <w:rPr>
          <w:rFonts w:ascii="Arial" w:hAnsi="Arial" w:cs="Arial"/>
          <w:bCs/>
          <w:sz w:val="20"/>
          <w:szCs w:val="20"/>
        </w:rPr>
        <w:t>effects of land registration on tenure security in Kumasi</w:t>
      </w:r>
      <w:r w:rsidRPr="008B2C29">
        <w:rPr>
          <w:rFonts w:ascii="Arial" w:hAnsi="Arial" w:cs="Arial"/>
          <w:bCs/>
          <w:sz w:val="20"/>
          <w:szCs w:val="20"/>
        </w:rPr>
        <w:t>.</w:t>
      </w:r>
    </w:p>
    <w:p w14:paraId="463539F3" w14:textId="4ED5047E" w:rsidR="000159F3" w:rsidRPr="008B2C29" w:rsidRDefault="001E083A" w:rsidP="002C7DB3">
      <w:pPr>
        <w:pStyle w:val="ListParagraph"/>
        <w:numPr>
          <w:ilvl w:val="0"/>
          <w:numId w:val="2"/>
        </w:numPr>
        <w:spacing w:line="276" w:lineRule="auto"/>
        <w:rPr>
          <w:rFonts w:ascii="Arial" w:hAnsi="Arial" w:cs="Arial"/>
          <w:b/>
          <w:sz w:val="20"/>
          <w:szCs w:val="20"/>
        </w:rPr>
      </w:pPr>
      <w:r w:rsidRPr="008B2C29">
        <w:rPr>
          <w:rFonts w:ascii="Arial" w:hAnsi="Arial" w:cs="Arial"/>
          <w:b/>
          <w:sz w:val="20"/>
          <w:szCs w:val="20"/>
        </w:rPr>
        <w:t>Results and Discussion</w:t>
      </w:r>
    </w:p>
    <w:p w14:paraId="3D38ADB8" w14:textId="06955880" w:rsidR="000159F3" w:rsidRPr="008B2C29" w:rsidRDefault="001E083A"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Selected Demographical Features of the Respondents</w:t>
      </w:r>
    </w:p>
    <w:p w14:paraId="3BFEC343" w14:textId="4620853E" w:rsidR="003A1FB1" w:rsidRPr="008B2C29" w:rsidRDefault="000146CA" w:rsidP="002C7DB3">
      <w:pPr>
        <w:spacing w:line="276" w:lineRule="auto"/>
        <w:rPr>
          <w:rFonts w:ascii="Arial" w:hAnsi="Arial" w:cs="Arial"/>
          <w:sz w:val="20"/>
          <w:szCs w:val="20"/>
        </w:rPr>
      </w:pPr>
      <w:r w:rsidRPr="008B2C29">
        <w:rPr>
          <w:rFonts w:ascii="Arial" w:hAnsi="Arial" w:cs="Arial"/>
          <w:sz w:val="20"/>
          <w:szCs w:val="20"/>
        </w:rPr>
        <w:t>The collected data provides valuable insights into the gender of the respondents.  The survey exhibits unequal gender distribution</w:t>
      </w:r>
      <w:r w:rsidR="00CB761F" w:rsidRPr="008B2C29">
        <w:rPr>
          <w:rFonts w:ascii="Arial" w:hAnsi="Arial" w:cs="Arial"/>
          <w:sz w:val="20"/>
          <w:szCs w:val="20"/>
        </w:rPr>
        <w:t>,</w:t>
      </w:r>
      <w:r w:rsidRPr="008B2C29">
        <w:rPr>
          <w:rFonts w:ascii="Arial" w:hAnsi="Arial" w:cs="Arial"/>
          <w:sz w:val="20"/>
          <w:szCs w:val="20"/>
        </w:rPr>
        <w:t xml:space="preserve"> with 287 respondents representing 75% males and 96 respondents representing 25% females</w:t>
      </w:r>
      <w:r w:rsidR="00DD0E89" w:rsidRPr="008B2C29">
        <w:rPr>
          <w:rFonts w:ascii="Arial" w:hAnsi="Arial" w:cs="Arial"/>
          <w:sz w:val="20"/>
          <w:szCs w:val="20"/>
        </w:rPr>
        <w:t>, as indicated in Table 1</w:t>
      </w:r>
      <w:r w:rsidRPr="008B2C29">
        <w:rPr>
          <w:rFonts w:ascii="Arial" w:hAnsi="Arial" w:cs="Arial"/>
          <w:sz w:val="20"/>
          <w:szCs w:val="20"/>
        </w:rPr>
        <w:t xml:space="preserve">. The implication of the finding indicates that </w:t>
      </w:r>
      <w:r w:rsidR="00F91CFA" w:rsidRPr="008B2C29">
        <w:rPr>
          <w:rFonts w:ascii="Arial" w:hAnsi="Arial" w:cs="Arial"/>
          <w:sz w:val="20"/>
          <w:szCs w:val="20"/>
        </w:rPr>
        <w:t>there are more male land rights holders</w:t>
      </w:r>
      <w:r w:rsidRPr="008B2C29">
        <w:rPr>
          <w:rFonts w:ascii="Arial" w:hAnsi="Arial" w:cs="Arial"/>
          <w:sz w:val="20"/>
          <w:szCs w:val="20"/>
        </w:rPr>
        <w:t xml:space="preserve"> than female respondents. </w:t>
      </w:r>
      <w:r w:rsidR="00D96612" w:rsidRPr="008B2C29">
        <w:rPr>
          <w:rFonts w:ascii="Arial" w:hAnsi="Arial" w:cs="Arial"/>
          <w:sz w:val="20"/>
          <w:szCs w:val="20"/>
        </w:rPr>
        <w:t xml:space="preserve">The age of participants of the study spans from </w:t>
      </w:r>
      <w:r w:rsidR="003A1FB1" w:rsidRPr="008B2C29">
        <w:rPr>
          <w:rFonts w:ascii="Arial" w:hAnsi="Arial" w:cs="Arial"/>
          <w:sz w:val="20"/>
          <w:szCs w:val="20"/>
        </w:rPr>
        <w:t>15</w:t>
      </w:r>
      <w:r w:rsidR="00D96612" w:rsidRPr="008B2C29">
        <w:rPr>
          <w:rFonts w:ascii="Arial" w:hAnsi="Arial" w:cs="Arial"/>
          <w:sz w:val="20"/>
          <w:szCs w:val="20"/>
        </w:rPr>
        <w:t xml:space="preserve"> and above. Of all the respondents surveyed, the findings </w:t>
      </w:r>
      <w:proofErr w:type="gramStart"/>
      <w:r w:rsidR="00D96612" w:rsidRPr="008B2C29">
        <w:rPr>
          <w:rFonts w:ascii="Arial" w:hAnsi="Arial" w:cs="Arial"/>
          <w:sz w:val="20"/>
          <w:szCs w:val="20"/>
        </w:rPr>
        <w:t>reveals</w:t>
      </w:r>
      <w:proofErr w:type="gramEnd"/>
      <w:r w:rsidR="00D96612" w:rsidRPr="008B2C29">
        <w:rPr>
          <w:rFonts w:ascii="Arial" w:hAnsi="Arial" w:cs="Arial"/>
          <w:sz w:val="20"/>
          <w:szCs w:val="20"/>
        </w:rPr>
        <w:t xml:space="preserve"> that 10 respondents (</w:t>
      </w:r>
      <w:r w:rsidR="004131B7" w:rsidRPr="008B2C29">
        <w:rPr>
          <w:rFonts w:ascii="Arial" w:hAnsi="Arial" w:cs="Arial"/>
          <w:sz w:val="20"/>
          <w:szCs w:val="20"/>
        </w:rPr>
        <w:t>3</w:t>
      </w:r>
      <w:r w:rsidR="00D96612" w:rsidRPr="008B2C29">
        <w:rPr>
          <w:rFonts w:ascii="Arial" w:hAnsi="Arial" w:cs="Arial"/>
          <w:sz w:val="20"/>
          <w:szCs w:val="20"/>
        </w:rPr>
        <w:t>%) are aged 15 to 24 years, 50 respondents (</w:t>
      </w:r>
      <w:r w:rsidR="00441A8C" w:rsidRPr="008B2C29">
        <w:rPr>
          <w:rFonts w:ascii="Arial" w:hAnsi="Arial" w:cs="Arial"/>
          <w:sz w:val="20"/>
          <w:szCs w:val="20"/>
        </w:rPr>
        <w:t>13</w:t>
      </w:r>
      <w:r w:rsidR="00D96612" w:rsidRPr="008B2C29">
        <w:rPr>
          <w:rFonts w:ascii="Arial" w:hAnsi="Arial" w:cs="Arial"/>
          <w:sz w:val="20"/>
          <w:szCs w:val="20"/>
        </w:rPr>
        <w:t>%) are aged 25 to 34 years, 74 respondents (</w:t>
      </w:r>
      <w:r w:rsidR="004131B7" w:rsidRPr="008B2C29">
        <w:rPr>
          <w:rFonts w:ascii="Arial" w:hAnsi="Arial" w:cs="Arial"/>
          <w:sz w:val="20"/>
          <w:szCs w:val="20"/>
        </w:rPr>
        <w:t>19</w:t>
      </w:r>
      <w:r w:rsidR="00D96612" w:rsidRPr="008B2C29">
        <w:rPr>
          <w:rFonts w:ascii="Arial" w:hAnsi="Arial" w:cs="Arial"/>
          <w:sz w:val="20"/>
          <w:szCs w:val="20"/>
        </w:rPr>
        <w:t>%) are aged 35 to 44 years, 93 respondents (</w:t>
      </w:r>
      <w:r w:rsidR="004131B7" w:rsidRPr="008B2C29">
        <w:rPr>
          <w:rFonts w:ascii="Arial" w:hAnsi="Arial" w:cs="Arial"/>
          <w:sz w:val="20"/>
          <w:szCs w:val="20"/>
        </w:rPr>
        <w:t>24</w:t>
      </w:r>
      <w:r w:rsidR="00D96612" w:rsidRPr="008B2C29">
        <w:rPr>
          <w:rFonts w:ascii="Arial" w:hAnsi="Arial" w:cs="Arial"/>
          <w:sz w:val="20"/>
          <w:szCs w:val="20"/>
        </w:rPr>
        <w:t xml:space="preserve">%) are aged 45 to </w:t>
      </w:r>
      <w:r w:rsidR="00441A8C" w:rsidRPr="008B2C29">
        <w:rPr>
          <w:rFonts w:ascii="Arial" w:hAnsi="Arial" w:cs="Arial"/>
          <w:sz w:val="20"/>
          <w:szCs w:val="20"/>
        </w:rPr>
        <w:t>54</w:t>
      </w:r>
      <w:r w:rsidR="00D96612" w:rsidRPr="008B2C29">
        <w:rPr>
          <w:rFonts w:ascii="Arial" w:hAnsi="Arial" w:cs="Arial"/>
          <w:sz w:val="20"/>
          <w:szCs w:val="20"/>
        </w:rPr>
        <w:t xml:space="preserve"> years</w:t>
      </w:r>
      <w:r w:rsidR="00441A8C" w:rsidRPr="008B2C29">
        <w:rPr>
          <w:rFonts w:ascii="Arial" w:hAnsi="Arial" w:cs="Arial"/>
          <w:sz w:val="20"/>
          <w:szCs w:val="20"/>
        </w:rPr>
        <w:t xml:space="preserve">, and 156 respondents </w:t>
      </w:r>
      <w:r w:rsidR="004131B7" w:rsidRPr="008B2C29">
        <w:rPr>
          <w:rFonts w:ascii="Arial" w:hAnsi="Arial" w:cs="Arial"/>
          <w:sz w:val="20"/>
          <w:szCs w:val="20"/>
        </w:rPr>
        <w:t xml:space="preserve">(41%) </w:t>
      </w:r>
      <w:r w:rsidR="00441A8C" w:rsidRPr="008B2C29">
        <w:rPr>
          <w:rFonts w:ascii="Arial" w:hAnsi="Arial" w:cs="Arial"/>
          <w:sz w:val="20"/>
          <w:szCs w:val="20"/>
        </w:rPr>
        <w:t>are aged 55 and above</w:t>
      </w:r>
      <w:r w:rsidR="00D96612" w:rsidRPr="008B2C29">
        <w:rPr>
          <w:rFonts w:ascii="Arial" w:hAnsi="Arial" w:cs="Arial"/>
          <w:sz w:val="20"/>
          <w:szCs w:val="20"/>
        </w:rPr>
        <w:t xml:space="preserve">. The implications of the finding indicate that respondents from the age bracket </w:t>
      </w:r>
      <w:r w:rsidR="004131B7" w:rsidRPr="008B2C29">
        <w:rPr>
          <w:rFonts w:ascii="Arial" w:hAnsi="Arial" w:cs="Arial"/>
          <w:sz w:val="20"/>
          <w:szCs w:val="20"/>
        </w:rPr>
        <w:t>55</w:t>
      </w:r>
      <w:r w:rsidR="00D96612" w:rsidRPr="008B2C29">
        <w:rPr>
          <w:rFonts w:ascii="Arial" w:hAnsi="Arial" w:cs="Arial"/>
          <w:sz w:val="20"/>
          <w:szCs w:val="20"/>
        </w:rPr>
        <w:t xml:space="preserve"> </w:t>
      </w:r>
      <w:r w:rsidR="004131B7" w:rsidRPr="008B2C29">
        <w:rPr>
          <w:rFonts w:ascii="Arial" w:hAnsi="Arial" w:cs="Arial"/>
          <w:sz w:val="20"/>
          <w:szCs w:val="20"/>
        </w:rPr>
        <w:t>and above</w:t>
      </w:r>
      <w:r w:rsidR="00D96612" w:rsidRPr="008B2C29">
        <w:rPr>
          <w:rFonts w:ascii="Arial" w:hAnsi="Arial" w:cs="Arial"/>
          <w:sz w:val="20"/>
          <w:szCs w:val="20"/>
        </w:rPr>
        <w:t xml:space="preserve"> (</w:t>
      </w:r>
      <w:r w:rsidR="004131B7" w:rsidRPr="008B2C29">
        <w:rPr>
          <w:rFonts w:ascii="Arial" w:hAnsi="Arial" w:cs="Arial"/>
          <w:sz w:val="20"/>
          <w:szCs w:val="20"/>
        </w:rPr>
        <w:t>4</w:t>
      </w:r>
      <w:r w:rsidR="00D96612" w:rsidRPr="008B2C29">
        <w:rPr>
          <w:rFonts w:ascii="Arial" w:hAnsi="Arial" w:cs="Arial"/>
          <w:sz w:val="20"/>
          <w:szCs w:val="20"/>
        </w:rPr>
        <w:t>1</w:t>
      </w:r>
      <w:r w:rsidR="004131B7" w:rsidRPr="008B2C29">
        <w:rPr>
          <w:rFonts w:ascii="Arial" w:hAnsi="Arial" w:cs="Arial"/>
          <w:sz w:val="20"/>
          <w:szCs w:val="20"/>
        </w:rPr>
        <w:t>%</w:t>
      </w:r>
      <w:r w:rsidR="00D96612" w:rsidRPr="008B2C29">
        <w:rPr>
          <w:rFonts w:ascii="Arial" w:hAnsi="Arial" w:cs="Arial"/>
          <w:sz w:val="20"/>
          <w:szCs w:val="20"/>
        </w:rPr>
        <w:t xml:space="preserve">) </w:t>
      </w:r>
      <w:r w:rsidR="004131B7" w:rsidRPr="008B2C29">
        <w:rPr>
          <w:rFonts w:ascii="Arial" w:hAnsi="Arial" w:cs="Arial"/>
          <w:sz w:val="20"/>
          <w:szCs w:val="20"/>
        </w:rPr>
        <w:t xml:space="preserve">owned </w:t>
      </w:r>
      <w:r w:rsidR="002D1DCF" w:rsidRPr="008B2C29">
        <w:rPr>
          <w:rFonts w:ascii="Arial" w:hAnsi="Arial" w:cs="Arial"/>
          <w:sz w:val="20"/>
          <w:szCs w:val="20"/>
        </w:rPr>
        <w:t xml:space="preserve">more </w:t>
      </w:r>
      <w:r w:rsidR="004131B7" w:rsidRPr="008B2C29">
        <w:rPr>
          <w:rFonts w:ascii="Arial" w:hAnsi="Arial" w:cs="Arial"/>
          <w:sz w:val="20"/>
          <w:szCs w:val="20"/>
        </w:rPr>
        <w:t xml:space="preserve">land </w:t>
      </w:r>
      <w:r w:rsidR="00D96612" w:rsidRPr="008B2C29">
        <w:rPr>
          <w:rFonts w:ascii="Arial" w:hAnsi="Arial" w:cs="Arial"/>
          <w:sz w:val="20"/>
          <w:szCs w:val="20"/>
        </w:rPr>
        <w:t xml:space="preserve">compared to any other age group. The results further revealed </w:t>
      </w:r>
      <w:r w:rsidR="00886734" w:rsidRPr="008B2C29">
        <w:rPr>
          <w:rFonts w:ascii="Arial" w:hAnsi="Arial" w:cs="Arial"/>
          <w:sz w:val="20"/>
          <w:szCs w:val="20"/>
        </w:rPr>
        <w:t xml:space="preserve">the </w:t>
      </w:r>
      <w:r w:rsidR="00933223" w:rsidRPr="008B2C29">
        <w:rPr>
          <w:rFonts w:ascii="Arial" w:hAnsi="Arial" w:cs="Arial"/>
          <w:sz w:val="20"/>
          <w:szCs w:val="20"/>
        </w:rPr>
        <w:t>educational</w:t>
      </w:r>
      <w:r w:rsidR="00886734" w:rsidRPr="008B2C29">
        <w:rPr>
          <w:rFonts w:ascii="Arial" w:hAnsi="Arial" w:cs="Arial"/>
          <w:sz w:val="20"/>
          <w:szCs w:val="20"/>
        </w:rPr>
        <w:t xml:space="preserve"> background of the landholders</w:t>
      </w:r>
      <w:r w:rsidR="00D96612" w:rsidRPr="008B2C29">
        <w:rPr>
          <w:rFonts w:ascii="Arial" w:hAnsi="Arial" w:cs="Arial"/>
          <w:sz w:val="20"/>
          <w:szCs w:val="20"/>
        </w:rPr>
        <w:t xml:space="preserve">. </w:t>
      </w:r>
      <w:r w:rsidR="00313592" w:rsidRPr="008B2C29">
        <w:rPr>
          <w:rFonts w:ascii="Arial" w:hAnsi="Arial" w:cs="Arial"/>
          <w:sz w:val="20"/>
          <w:szCs w:val="20"/>
        </w:rPr>
        <w:t>21</w:t>
      </w:r>
      <w:r w:rsidR="00D96612" w:rsidRPr="008B2C29">
        <w:rPr>
          <w:rFonts w:ascii="Arial" w:hAnsi="Arial" w:cs="Arial"/>
          <w:sz w:val="20"/>
          <w:szCs w:val="20"/>
        </w:rPr>
        <w:t xml:space="preserve"> (</w:t>
      </w:r>
      <w:r w:rsidR="005504FB" w:rsidRPr="008B2C29">
        <w:rPr>
          <w:rFonts w:ascii="Arial" w:hAnsi="Arial" w:cs="Arial"/>
          <w:sz w:val="20"/>
          <w:szCs w:val="20"/>
        </w:rPr>
        <w:t>5</w:t>
      </w:r>
      <w:r w:rsidR="00D96612" w:rsidRPr="008B2C29">
        <w:rPr>
          <w:rFonts w:ascii="Arial" w:hAnsi="Arial" w:cs="Arial"/>
          <w:sz w:val="20"/>
          <w:szCs w:val="20"/>
        </w:rPr>
        <w:t xml:space="preserve">%) of the respondents </w:t>
      </w:r>
      <w:r w:rsidR="00313592" w:rsidRPr="008B2C29">
        <w:rPr>
          <w:rFonts w:ascii="Arial" w:hAnsi="Arial" w:cs="Arial"/>
          <w:sz w:val="20"/>
          <w:szCs w:val="20"/>
        </w:rPr>
        <w:t>have no formal</w:t>
      </w:r>
      <w:r w:rsidR="00D96612" w:rsidRPr="008B2C29">
        <w:rPr>
          <w:rFonts w:ascii="Arial" w:hAnsi="Arial" w:cs="Arial"/>
          <w:sz w:val="20"/>
          <w:szCs w:val="20"/>
        </w:rPr>
        <w:t xml:space="preserve"> education, </w:t>
      </w:r>
      <w:r w:rsidR="005414F8" w:rsidRPr="008B2C29">
        <w:rPr>
          <w:rFonts w:ascii="Arial" w:hAnsi="Arial" w:cs="Arial"/>
          <w:sz w:val="20"/>
          <w:szCs w:val="20"/>
        </w:rPr>
        <w:t xml:space="preserve">50 (13%) respondents completed primary school, </w:t>
      </w:r>
      <w:r w:rsidR="00D96612" w:rsidRPr="008B2C29">
        <w:rPr>
          <w:rFonts w:ascii="Arial" w:hAnsi="Arial" w:cs="Arial"/>
          <w:sz w:val="20"/>
          <w:szCs w:val="20"/>
        </w:rPr>
        <w:t>1</w:t>
      </w:r>
      <w:r w:rsidR="005414F8" w:rsidRPr="008B2C29">
        <w:rPr>
          <w:rFonts w:ascii="Arial" w:hAnsi="Arial" w:cs="Arial"/>
          <w:sz w:val="20"/>
          <w:szCs w:val="20"/>
        </w:rPr>
        <w:t>1</w:t>
      </w:r>
      <w:r w:rsidR="00313592" w:rsidRPr="008B2C29">
        <w:rPr>
          <w:rFonts w:ascii="Arial" w:hAnsi="Arial" w:cs="Arial"/>
          <w:sz w:val="20"/>
          <w:szCs w:val="20"/>
        </w:rPr>
        <w:t>0</w:t>
      </w:r>
      <w:r w:rsidR="00D96612" w:rsidRPr="008B2C29">
        <w:rPr>
          <w:rFonts w:ascii="Arial" w:hAnsi="Arial" w:cs="Arial"/>
          <w:sz w:val="20"/>
          <w:szCs w:val="20"/>
        </w:rPr>
        <w:t xml:space="preserve"> (</w:t>
      </w:r>
      <w:r w:rsidR="005414F8" w:rsidRPr="008B2C29">
        <w:rPr>
          <w:rFonts w:ascii="Arial" w:hAnsi="Arial" w:cs="Arial"/>
          <w:sz w:val="20"/>
          <w:szCs w:val="20"/>
        </w:rPr>
        <w:t>29</w:t>
      </w:r>
      <w:r w:rsidR="00D96612" w:rsidRPr="008B2C29">
        <w:rPr>
          <w:rFonts w:ascii="Arial" w:hAnsi="Arial" w:cs="Arial"/>
          <w:sz w:val="20"/>
          <w:szCs w:val="20"/>
        </w:rPr>
        <w:t xml:space="preserve">%) of the respondents </w:t>
      </w:r>
      <w:r w:rsidR="002D1DCF" w:rsidRPr="008B2C29">
        <w:rPr>
          <w:rFonts w:ascii="Arial" w:hAnsi="Arial" w:cs="Arial"/>
          <w:sz w:val="20"/>
          <w:szCs w:val="20"/>
        </w:rPr>
        <w:t>completed</w:t>
      </w:r>
      <w:r w:rsidR="00D96612" w:rsidRPr="008B2C29">
        <w:rPr>
          <w:rFonts w:ascii="Arial" w:hAnsi="Arial" w:cs="Arial"/>
          <w:sz w:val="20"/>
          <w:szCs w:val="20"/>
        </w:rPr>
        <w:t xml:space="preserve"> </w:t>
      </w:r>
      <w:r w:rsidR="00313592" w:rsidRPr="008B2C29">
        <w:rPr>
          <w:rFonts w:ascii="Arial" w:hAnsi="Arial" w:cs="Arial"/>
          <w:sz w:val="20"/>
          <w:szCs w:val="20"/>
        </w:rPr>
        <w:t>basic</w:t>
      </w:r>
      <w:r w:rsidR="005414F8" w:rsidRPr="008B2C29">
        <w:rPr>
          <w:rFonts w:ascii="Arial" w:hAnsi="Arial" w:cs="Arial"/>
          <w:sz w:val="20"/>
          <w:szCs w:val="20"/>
        </w:rPr>
        <w:t xml:space="preserve"> </w:t>
      </w:r>
      <w:r w:rsidR="00313592" w:rsidRPr="008B2C29">
        <w:rPr>
          <w:rFonts w:ascii="Arial" w:hAnsi="Arial" w:cs="Arial"/>
          <w:sz w:val="20"/>
          <w:szCs w:val="20"/>
        </w:rPr>
        <w:t xml:space="preserve">junior high, 106 </w:t>
      </w:r>
      <w:r w:rsidR="005504FB" w:rsidRPr="008B2C29">
        <w:rPr>
          <w:rFonts w:ascii="Arial" w:hAnsi="Arial" w:cs="Arial"/>
          <w:sz w:val="20"/>
          <w:szCs w:val="20"/>
        </w:rPr>
        <w:t>(28</w:t>
      </w:r>
      <w:r w:rsidR="001B38B0" w:rsidRPr="008B2C29">
        <w:rPr>
          <w:rFonts w:ascii="Arial" w:hAnsi="Arial" w:cs="Arial"/>
          <w:sz w:val="20"/>
          <w:szCs w:val="20"/>
        </w:rPr>
        <w:t>%</w:t>
      </w:r>
      <w:r w:rsidR="005504FB" w:rsidRPr="008B2C29">
        <w:rPr>
          <w:rFonts w:ascii="Arial" w:hAnsi="Arial" w:cs="Arial"/>
          <w:sz w:val="20"/>
          <w:szCs w:val="20"/>
        </w:rPr>
        <w:t xml:space="preserve">) </w:t>
      </w:r>
      <w:r w:rsidR="00313592" w:rsidRPr="008B2C29">
        <w:rPr>
          <w:rFonts w:ascii="Arial" w:hAnsi="Arial" w:cs="Arial"/>
          <w:sz w:val="20"/>
          <w:szCs w:val="20"/>
        </w:rPr>
        <w:t xml:space="preserve">respondents </w:t>
      </w:r>
      <w:r w:rsidR="002D1DCF" w:rsidRPr="008B2C29">
        <w:rPr>
          <w:rFonts w:ascii="Arial" w:hAnsi="Arial" w:cs="Arial"/>
          <w:sz w:val="20"/>
          <w:szCs w:val="20"/>
        </w:rPr>
        <w:t>completed</w:t>
      </w:r>
      <w:r w:rsidR="00313592" w:rsidRPr="008B2C29">
        <w:rPr>
          <w:rFonts w:ascii="Arial" w:hAnsi="Arial" w:cs="Arial"/>
          <w:sz w:val="20"/>
          <w:szCs w:val="20"/>
        </w:rPr>
        <w:t xml:space="preserve"> secondary education</w:t>
      </w:r>
      <w:r w:rsidR="00D96612" w:rsidRPr="008B2C29">
        <w:rPr>
          <w:rFonts w:ascii="Arial" w:hAnsi="Arial" w:cs="Arial"/>
          <w:sz w:val="20"/>
          <w:szCs w:val="20"/>
        </w:rPr>
        <w:t xml:space="preserve"> and the remaining </w:t>
      </w:r>
      <w:r w:rsidR="00313592" w:rsidRPr="008B2C29">
        <w:rPr>
          <w:rFonts w:ascii="Arial" w:hAnsi="Arial" w:cs="Arial"/>
          <w:sz w:val="20"/>
          <w:szCs w:val="20"/>
        </w:rPr>
        <w:t>96</w:t>
      </w:r>
      <w:r w:rsidR="00D96612" w:rsidRPr="008B2C29">
        <w:rPr>
          <w:rFonts w:ascii="Arial" w:hAnsi="Arial" w:cs="Arial"/>
          <w:sz w:val="20"/>
          <w:szCs w:val="20"/>
        </w:rPr>
        <w:t xml:space="preserve"> (</w:t>
      </w:r>
      <w:r w:rsidR="005504FB" w:rsidRPr="008B2C29">
        <w:rPr>
          <w:rFonts w:ascii="Arial" w:hAnsi="Arial" w:cs="Arial"/>
          <w:sz w:val="20"/>
          <w:szCs w:val="20"/>
        </w:rPr>
        <w:t>25</w:t>
      </w:r>
      <w:r w:rsidR="00D96612" w:rsidRPr="008B2C29">
        <w:rPr>
          <w:rFonts w:ascii="Arial" w:hAnsi="Arial" w:cs="Arial"/>
          <w:sz w:val="20"/>
          <w:szCs w:val="20"/>
        </w:rPr>
        <w:t>%) of the respondents have completed</w:t>
      </w:r>
      <w:r w:rsidR="00313592" w:rsidRPr="008B2C29">
        <w:rPr>
          <w:rFonts w:ascii="Arial" w:hAnsi="Arial" w:cs="Arial"/>
          <w:sz w:val="20"/>
          <w:szCs w:val="20"/>
        </w:rPr>
        <w:t xml:space="preserve"> tertiary</w:t>
      </w:r>
      <w:r w:rsidR="00D96612" w:rsidRPr="008B2C29">
        <w:rPr>
          <w:rFonts w:ascii="Arial" w:hAnsi="Arial" w:cs="Arial"/>
          <w:sz w:val="20"/>
          <w:szCs w:val="20"/>
        </w:rPr>
        <w:t xml:space="preserve">. The results show that </w:t>
      </w:r>
      <w:r w:rsidR="00313592" w:rsidRPr="008B2C29">
        <w:rPr>
          <w:rFonts w:ascii="Arial" w:hAnsi="Arial" w:cs="Arial"/>
          <w:sz w:val="20"/>
          <w:szCs w:val="20"/>
        </w:rPr>
        <w:t xml:space="preserve">landholders who have completed </w:t>
      </w:r>
      <w:r w:rsidR="001B38B0" w:rsidRPr="008B2C29">
        <w:rPr>
          <w:rFonts w:ascii="Arial" w:hAnsi="Arial" w:cs="Arial"/>
          <w:sz w:val="20"/>
          <w:szCs w:val="20"/>
        </w:rPr>
        <w:t>junior high school</w:t>
      </w:r>
      <w:r w:rsidR="00313592" w:rsidRPr="008B2C29">
        <w:rPr>
          <w:rFonts w:ascii="Arial" w:hAnsi="Arial" w:cs="Arial"/>
          <w:sz w:val="20"/>
          <w:szCs w:val="20"/>
        </w:rPr>
        <w:t xml:space="preserve"> are more</w:t>
      </w:r>
      <w:r w:rsidR="00933223" w:rsidRPr="008B2C29">
        <w:rPr>
          <w:rFonts w:ascii="Arial" w:hAnsi="Arial" w:cs="Arial"/>
          <w:sz w:val="20"/>
          <w:szCs w:val="20"/>
        </w:rPr>
        <w:t xml:space="preserve"> </w:t>
      </w:r>
      <w:r w:rsidR="00D26704" w:rsidRPr="008B2C29">
        <w:rPr>
          <w:rFonts w:ascii="Arial" w:hAnsi="Arial" w:cs="Arial"/>
          <w:sz w:val="20"/>
          <w:szCs w:val="20"/>
        </w:rPr>
        <w:t xml:space="preserve">likely </w:t>
      </w:r>
      <w:r w:rsidR="00313592" w:rsidRPr="008B2C29">
        <w:rPr>
          <w:rFonts w:ascii="Arial" w:hAnsi="Arial" w:cs="Arial"/>
          <w:sz w:val="20"/>
          <w:szCs w:val="20"/>
        </w:rPr>
        <w:t>compared to others</w:t>
      </w:r>
      <w:r w:rsidR="00D96612" w:rsidRPr="008B2C29">
        <w:rPr>
          <w:rFonts w:ascii="Arial" w:hAnsi="Arial" w:cs="Arial"/>
          <w:sz w:val="20"/>
          <w:szCs w:val="20"/>
        </w:rPr>
        <w:t xml:space="preserve">. </w:t>
      </w:r>
      <w:r w:rsidR="00825C25" w:rsidRPr="008B2C29">
        <w:rPr>
          <w:rFonts w:ascii="Arial" w:hAnsi="Arial" w:cs="Arial"/>
          <w:sz w:val="20"/>
          <w:szCs w:val="20"/>
        </w:rPr>
        <w:t>The respondents were asked about their occupations. Respondents (42%) mentioned farming, 25% of respondents mentioned trading</w:t>
      </w:r>
      <w:r w:rsidR="00FA5870" w:rsidRPr="008B2C29">
        <w:rPr>
          <w:rFonts w:ascii="Arial" w:hAnsi="Arial" w:cs="Arial"/>
          <w:sz w:val="20"/>
          <w:szCs w:val="20"/>
        </w:rPr>
        <w:t>/business</w:t>
      </w:r>
      <w:r w:rsidR="00825C25" w:rsidRPr="008B2C29">
        <w:rPr>
          <w:rFonts w:ascii="Arial" w:hAnsi="Arial" w:cs="Arial"/>
          <w:sz w:val="20"/>
          <w:szCs w:val="20"/>
        </w:rPr>
        <w:t>, 30% of respondents mentioned formal employment</w:t>
      </w:r>
      <w:r w:rsidR="00933223" w:rsidRPr="008B2C29">
        <w:rPr>
          <w:rFonts w:ascii="Arial" w:hAnsi="Arial" w:cs="Arial"/>
          <w:sz w:val="20"/>
          <w:szCs w:val="20"/>
        </w:rPr>
        <w:t>,</w:t>
      </w:r>
      <w:r w:rsidR="00825C25" w:rsidRPr="008B2C29">
        <w:rPr>
          <w:rFonts w:ascii="Arial" w:hAnsi="Arial" w:cs="Arial"/>
          <w:sz w:val="20"/>
          <w:szCs w:val="20"/>
        </w:rPr>
        <w:t xml:space="preserve"> and 3% mentioned other occupations. </w:t>
      </w:r>
      <w:r w:rsidR="007538CA" w:rsidRPr="008B2C29">
        <w:rPr>
          <w:rFonts w:ascii="Arial" w:hAnsi="Arial" w:cs="Arial"/>
          <w:sz w:val="20"/>
          <w:szCs w:val="20"/>
        </w:rPr>
        <w:t xml:space="preserve"> </w:t>
      </w:r>
    </w:p>
    <w:p w14:paraId="3C6250BB" w14:textId="77777777" w:rsidR="007E64AF" w:rsidRPr="008B2C29" w:rsidRDefault="007E64AF" w:rsidP="002C7DB3">
      <w:pPr>
        <w:spacing w:line="276" w:lineRule="auto"/>
        <w:rPr>
          <w:rFonts w:ascii="Arial" w:hAnsi="Arial" w:cs="Arial"/>
          <w:sz w:val="20"/>
          <w:szCs w:val="20"/>
        </w:rPr>
      </w:pPr>
    </w:p>
    <w:p w14:paraId="21B17D09" w14:textId="77777777" w:rsidR="007E64AF" w:rsidRPr="008B2C29" w:rsidRDefault="007E64AF" w:rsidP="002C7DB3">
      <w:pPr>
        <w:spacing w:line="276" w:lineRule="auto"/>
        <w:rPr>
          <w:rFonts w:ascii="Arial" w:hAnsi="Arial" w:cs="Arial"/>
          <w:sz w:val="20"/>
          <w:szCs w:val="20"/>
        </w:rPr>
      </w:pPr>
    </w:p>
    <w:p w14:paraId="1A07DC80" w14:textId="77777777" w:rsidR="00576D52" w:rsidRPr="008B2C29" w:rsidRDefault="00576D52" w:rsidP="002C7DB3">
      <w:pPr>
        <w:spacing w:line="276" w:lineRule="auto"/>
        <w:rPr>
          <w:rFonts w:ascii="Arial" w:hAnsi="Arial" w:cs="Arial"/>
          <w:sz w:val="20"/>
          <w:szCs w:val="20"/>
        </w:rPr>
      </w:pPr>
    </w:p>
    <w:p w14:paraId="1565633C" w14:textId="77777777" w:rsidR="00576D52" w:rsidRPr="008B2C29" w:rsidRDefault="00576D52" w:rsidP="002C7DB3">
      <w:pPr>
        <w:spacing w:line="276" w:lineRule="auto"/>
        <w:rPr>
          <w:rFonts w:ascii="Arial" w:hAnsi="Arial" w:cs="Arial"/>
          <w:sz w:val="20"/>
          <w:szCs w:val="20"/>
        </w:rPr>
      </w:pPr>
    </w:p>
    <w:p w14:paraId="2D15E0EF" w14:textId="77777777" w:rsidR="00576D52" w:rsidRPr="008B2C29" w:rsidRDefault="00576D52" w:rsidP="002C7DB3">
      <w:pPr>
        <w:spacing w:line="276" w:lineRule="auto"/>
        <w:rPr>
          <w:rFonts w:ascii="Arial" w:hAnsi="Arial" w:cs="Arial"/>
          <w:sz w:val="20"/>
          <w:szCs w:val="20"/>
        </w:rPr>
      </w:pPr>
    </w:p>
    <w:p w14:paraId="5CC3254C" w14:textId="77777777" w:rsidR="00576D52" w:rsidRPr="008B2C29" w:rsidRDefault="00576D52" w:rsidP="002C7DB3">
      <w:pPr>
        <w:spacing w:line="276" w:lineRule="auto"/>
        <w:rPr>
          <w:rFonts w:ascii="Arial" w:hAnsi="Arial" w:cs="Arial"/>
          <w:sz w:val="20"/>
          <w:szCs w:val="20"/>
        </w:rPr>
      </w:pPr>
    </w:p>
    <w:p w14:paraId="10C7E954" w14:textId="77777777" w:rsidR="00576D52" w:rsidRPr="008B2C29" w:rsidRDefault="00576D52" w:rsidP="002C7DB3">
      <w:pPr>
        <w:spacing w:line="276" w:lineRule="auto"/>
        <w:rPr>
          <w:rFonts w:ascii="Arial" w:hAnsi="Arial" w:cs="Arial"/>
          <w:sz w:val="20"/>
          <w:szCs w:val="20"/>
        </w:rPr>
      </w:pPr>
    </w:p>
    <w:p w14:paraId="706FAA3B" w14:textId="6066AABC" w:rsidR="000146CA" w:rsidRPr="008B2C29" w:rsidRDefault="005568BD" w:rsidP="002C7DB3">
      <w:pPr>
        <w:spacing w:line="276" w:lineRule="auto"/>
        <w:rPr>
          <w:rFonts w:ascii="Arial" w:hAnsi="Arial" w:cs="Arial"/>
          <w:bCs/>
          <w:sz w:val="20"/>
          <w:szCs w:val="20"/>
        </w:rPr>
      </w:pPr>
      <w:r w:rsidRPr="008B2C29">
        <w:rPr>
          <w:rFonts w:ascii="Arial" w:hAnsi="Arial" w:cs="Arial"/>
          <w:b/>
          <w:sz w:val="20"/>
          <w:szCs w:val="20"/>
        </w:rPr>
        <w:lastRenderedPageBreak/>
        <w:t>Table 1:</w:t>
      </w:r>
      <w:r w:rsidRPr="008B2C29">
        <w:rPr>
          <w:rFonts w:ascii="Arial" w:hAnsi="Arial" w:cs="Arial"/>
          <w:bCs/>
          <w:sz w:val="20"/>
          <w:szCs w:val="20"/>
        </w:rPr>
        <w:t xml:space="preserve"> </w:t>
      </w:r>
      <w:r w:rsidRPr="008B2C29">
        <w:rPr>
          <w:rFonts w:ascii="Arial" w:hAnsi="Arial" w:cs="Arial"/>
          <w:b/>
          <w:sz w:val="20"/>
          <w:szCs w:val="20"/>
        </w:rPr>
        <w:t>Selected Demo</w:t>
      </w:r>
      <w:r w:rsidR="00BA5403" w:rsidRPr="008B2C29">
        <w:rPr>
          <w:rFonts w:ascii="Arial" w:hAnsi="Arial" w:cs="Arial"/>
          <w:b/>
          <w:sz w:val="20"/>
          <w:szCs w:val="20"/>
        </w:rPr>
        <w:t>graphical Features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B2C29" w:rsidRPr="008B2C29" w14:paraId="5D3FCAE0" w14:textId="77777777" w:rsidTr="00302F49">
        <w:trPr>
          <w:trHeight w:val="315"/>
        </w:trPr>
        <w:tc>
          <w:tcPr>
            <w:tcW w:w="3005" w:type="dxa"/>
            <w:tcBorders>
              <w:top w:val="single" w:sz="4" w:space="0" w:color="auto"/>
              <w:bottom w:val="single" w:sz="4" w:space="0" w:color="auto"/>
            </w:tcBorders>
          </w:tcPr>
          <w:p w14:paraId="143D37D5" w14:textId="77777777" w:rsidR="00BA5403" w:rsidRPr="008B2C29" w:rsidRDefault="00BA5403" w:rsidP="002C7DB3">
            <w:pPr>
              <w:spacing w:line="276" w:lineRule="auto"/>
              <w:jc w:val="left"/>
              <w:rPr>
                <w:rFonts w:ascii="Arial" w:hAnsi="Arial" w:cs="Arial"/>
                <w:b/>
                <w:sz w:val="20"/>
                <w:szCs w:val="20"/>
              </w:rPr>
            </w:pPr>
            <w:r w:rsidRPr="008B2C29">
              <w:rPr>
                <w:rFonts w:ascii="Arial" w:hAnsi="Arial" w:cs="Arial"/>
                <w:b/>
                <w:sz w:val="20"/>
                <w:szCs w:val="20"/>
              </w:rPr>
              <w:t>Descriptive</w:t>
            </w:r>
          </w:p>
          <w:p w14:paraId="24C72D77" w14:textId="5D191D55" w:rsidR="00CF56BB" w:rsidRPr="008B2C29" w:rsidRDefault="00CF56BB" w:rsidP="002C7DB3">
            <w:pPr>
              <w:spacing w:line="276" w:lineRule="auto"/>
              <w:jc w:val="left"/>
              <w:rPr>
                <w:rFonts w:ascii="Arial" w:hAnsi="Arial" w:cs="Arial"/>
                <w:b/>
                <w:sz w:val="20"/>
                <w:szCs w:val="20"/>
              </w:rPr>
            </w:pPr>
          </w:p>
        </w:tc>
        <w:tc>
          <w:tcPr>
            <w:tcW w:w="3005" w:type="dxa"/>
            <w:tcBorders>
              <w:top w:val="single" w:sz="4" w:space="0" w:color="auto"/>
              <w:bottom w:val="single" w:sz="4" w:space="0" w:color="auto"/>
            </w:tcBorders>
          </w:tcPr>
          <w:p w14:paraId="082802D4" w14:textId="2FED1138" w:rsidR="00BA5403" w:rsidRPr="008B2C29" w:rsidRDefault="00BA5403" w:rsidP="002C7DB3">
            <w:pPr>
              <w:spacing w:line="276" w:lineRule="auto"/>
              <w:jc w:val="center"/>
              <w:rPr>
                <w:rFonts w:ascii="Arial" w:hAnsi="Arial" w:cs="Arial"/>
                <w:b/>
                <w:sz w:val="20"/>
                <w:szCs w:val="20"/>
              </w:rPr>
            </w:pPr>
            <w:r w:rsidRPr="008B2C29">
              <w:rPr>
                <w:rFonts w:ascii="Arial" w:hAnsi="Arial" w:cs="Arial"/>
                <w:b/>
                <w:sz w:val="20"/>
                <w:szCs w:val="20"/>
              </w:rPr>
              <w:t>Category</w:t>
            </w:r>
          </w:p>
        </w:tc>
        <w:tc>
          <w:tcPr>
            <w:tcW w:w="3006" w:type="dxa"/>
            <w:tcBorders>
              <w:top w:val="single" w:sz="4" w:space="0" w:color="auto"/>
              <w:bottom w:val="single" w:sz="4" w:space="0" w:color="auto"/>
            </w:tcBorders>
          </w:tcPr>
          <w:p w14:paraId="0FF8F79C" w14:textId="44137536" w:rsidR="00BA5403" w:rsidRPr="008B2C29" w:rsidRDefault="00BA5403" w:rsidP="002C7DB3">
            <w:pPr>
              <w:spacing w:line="276" w:lineRule="auto"/>
              <w:jc w:val="center"/>
              <w:rPr>
                <w:rFonts w:ascii="Arial" w:hAnsi="Arial" w:cs="Arial"/>
                <w:b/>
                <w:sz w:val="20"/>
                <w:szCs w:val="20"/>
              </w:rPr>
            </w:pPr>
            <w:r w:rsidRPr="008B2C29">
              <w:rPr>
                <w:rFonts w:ascii="Arial" w:hAnsi="Arial" w:cs="Arial"/>
                <w:b/>
                <w:sz w:val="20"/>
                <w:szCs w:val="20"/>
              </w:rPr>
              <w:t>Percentage</w:t>
            </w:r>
            <w:r w:rsidR="00E058E9" w:rsidRPr="008B2C29">
              <w:rPr>
                <w:rFonts w:ascii="Arial" w:hAnsi="Arial" w:cs="Arial"/>
                <w:b/>
                <w:sz w:val="20"/>
                <w:szCs w:val="20"/>
              </w:rPr>
              <w:t xml:space="preserve"> (%)</w:t>
            </w:r>
          </w:p>
        </w:tc>
      </w:tr>
      <w:tr w:rsidR="008B2C29" w:rsidRPr="008B2C29" w14:paraId="7BB4C2AF" w14:textId="77777777" w:rsidTr="00E058E9">
        <w:tc>
          <w:tcPr>
            <w:tcW w:w="3005" w:type="dxa"/>
            <w:tcBorders>
              <w:top w:val="single" w:sz="4" w:space="0" w:color="auto"/>
            </w:tcBorders>
          </w:tcPr>
          <w:p w14:paraId="7356DDD8" w14:textId="354FB19E" w:rsidR="00BA5403" w:rsidRPr="008B2C29" w:rsidRDefault="00BA5403" w:rsidP="002C7DB3">
            <w:pPr>
              <w:spacing w:line="276" w:lineRule="auto"/>
              <w:jc w:val="left"/>
              <w:rPr>
                <w:rFonts w:ascii="Arial" w:hAnsi="Arial" w:cs="Arial"/>
                <w:bCs/>
                <w:sz w:val="20"/>
                <w:szCs w:val="20"/>
              </w:rPr>
            </w:pPr>
            <w:r w:rsidRPr="008B2C29">
              <w:rPr>
                <w:rFonts w:ascii="Arial" w:hAnsi="Arial" w:cs="Arial"/>
                <w:bCs/>
                <w:sz w:val="20"/>
                <w:szCs w:val="20"/>
              </w:rPr>
              <w:t>Gender</w:t>
            </w:r>
          </w:p>
        </w:tc>
        <w:tc>
          <w:tcPr>
            <w:tcW w:w="3005" w:type="dxa"/>
            <w:tcBorders>
              <w:top w:val="single" w:sz="4" w:space="0" w:color="auto"/>
            </w:tcBorders>
          </w:tcPr>
          <w:p w14:paraId="6689ABF1" w14:textId="3F001DD8"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Male</w:t>
            </w:r>
          </w:p>
        </w:tc>
        <w:tc>
          <w:tcPr>
            <w:tcW w:w="3006" w:type="dxa"/>
            <w:tcBorders>
              <w:top w:val="single" w:sz="4" w:space="0" w:color="auto"/>
            </w:tcBorders>
          </w:tcPr>
          <w:p w14:paraId="4A961BC9" w14:textId="3984803E"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75</w:t>
            </w:r>
          </w:p>
        </w:tc>
      </w:tr>
      <w:tr w:rsidR="008B2C29" w:rsidRPr="008B2C29" w14:paraId="09C15ABE" w14:textId="77777777" w:rsidTr="003A1FB1">
        <w:tc>
          <w:tcPr>
            <w:tcW w:w="3005" w:type="dxa"/>
            <w:tcBorders>
              <w:bottom w:val="single" w:sz="4" w:space="0" w:color="auto"/>
            </w:tcBorders>
          </w:tcPr>
          <w:p w14:paraId="609DBD84" w14:textId="77777777" w:rsidR="00BA5403" w:rsidRPr="008B2C29" w:rsidRDefault="00BA5403" w:rsidP="002C7DB3">
            <w:pPr>
              <w:spacing w:line="276" w:lineRule="auto"/>
              <w:jc w:val="left"/>
              <w:rPr>
                <w:rFonts w:ascii="Arial" w:hAnsi="Arial" w:cs="Arial"/>
                <w:bCs/>
                <w:sz w:val="20"/>
                <w:szCs w:val="20"/>
              </w:rPr>
            </w:pPr>
          </w:p>
        </w:tc>
        <w:tc>
          <w:tcPr>
            <w:tcW w:w="3005" w:type="dxa"/>
            <w:tcBorders>
              <w:bottom w:val="single" w:sz="4" w:space="0" w:color="auto"/>
            </w:tcBorders>
          </w:tcPr>
          <w:p w14:paraId="1E7C5A3B" w14:textId="3A660939"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Female</w:t>
            </w:r>
          </w:p>
        </w:tc>
        <w:tc>
          <w:tcPr>
            <w:tcW w:w="3006" w:type="dxa"/>
            <w:tcBorders>
              <w:bottom w:val="single" w:sz="4" w:space="0" w:color="auto"/>
            </w:tcBorders>
          </w:tcPr>
          <w:p w14:paraId="239E44C7" w14:textId="2B38AC62"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25</w:t>
            </w:r>
          </w:p>
        </w:tc>
      </w:tr>
      <w:tr w:rsidR="008B2C29" w:rsidRPr="008B2C29" w14:paraId="4CE4E5E3" w14:textId="77777777" w:rsidTr="00302F49">
        <w:trPr>
          <w:trHeight w:val="70"/>
        </w:trPr>
        <w:tc>
          <w:tcPr>
            <w:tcW w:w="3005" w:type="dxa"/>
            <w:tcBorders>
              <w:top w:val="single" w:sz="4" w:space="0" w:color="auto"/>
              <w:bottom w:val="single" w:sz="4" w:space="0" w:color="auto"/>
            </w:tcBorders>
          </w:tcPr>
          <w:p w14:paraId="59C2D355" w14:textId="61E5CD58" w:rsidR="00BA5403" w:rsidRPr="008B2C29" w:rsidRDefault="003A1FB1" w:rsidP="002C7DB3">
            <w:pPr>
              <w:spacing w:line="276" w:lineRule="auto"/>
              <w:jc w:val="left"/>
              <w:rPr>
                <w:rFonts w:ascii="Arial" w:hAnsi="Arial" w:cs="Arial"/>
                <w:b/>
                <w:sz w:val="20"/>
                <w:szCs w:val="20"/>
              </w:rPr>
            </w:pPr>
            <w:r w:rsidRPr="008B2C29">
              <w:rPr>
                <w:rFonts w:ascii="Arial" w:hAnsi="Arial" w:cs="Arial"/>
                <w:b/>
                <w:sz w:val="20"/>
                <w:szCs w:val="20"/>
              </w:rPr>
              <w:t>Total</w:t>
            </w:r>
          </w:p>
        </w:tc>
        <w:tc>
          <w:tcPr>
            <w:tcW w:w="3005" w:type="dxa"/>
            <w:tcBorders>
              <w:top w:val="single" w:sz="4" w:space="0" w:color="auto"/>
              <w:bottom w:val="single" w:sz="4" w:space="0" w:color="auto"/>
            </w:tcBorders>
          </w:tcPr>
          <w:p w14:paraId="22325972" w14:textId="77777777" w:rsidR="00BA5403" w:rsidRPr="008B2C29" w:rsidRDefault="00BA5403" w:rsidP="002C7DB3">
            <w:pPr>
              <w:spacing w:line="276" w:lineRule="auto"/>
              <w:jc w:val="center"/>
              <w:rPr>
                <w:rFonts w:ascii="Arial" w:hAnsi="Arial" w:cs="Arial"/>
                <w:b/>
                <w:sz w:val="20"/>
                <w:szCs w:val="20"/>
              </w:rPr>
            </w:pPr>
          </w:p>
        </w:tc>
        <w:tc>
          <w:tcPr>
            <w:tcW w:w="3006" w:type="dxa"/>
            <w:tcBorders>
              <w:top w:val="single" w:sz="4" w:space="0" w:color="auto"/>
              <w:bottom w:val="single" w:sz="4" w:space="0" w:color="auto"/>
            </w:tcBorders>
          </w:tcPr>
          <w:p w14:paraId="009E1DAB" w14:textId="06AF78D1" w:rsidR="00BA5403" w:rsidRPr="008B2C29" w:rsidRDefault="003A1FB1" w:rsidP="002C7DB3">
            <w:pPr>
              <w:spacing w:line="276" w:lineRule="auto"/>
              <w:jc w:val="center"/>
              <w:rPr>
                <w:rFonts w:ascii="Arial" w:hAnsi="Arial" w:cs="Arial"/>
                <w:b/>
                <w:sz w:val="20"/>
                <w:szCs w:val="20"/>
              </w:rPr>
            </w:pPr>
            <w:r w:rsidRPr="008B2C29">
              <w:rPr>
                <w:rFonts w:ascii="Arial" w:hAnsi="Arial" w:cs="Arial"/>
                <w:b/>
                <w:sz w:val="20"/>
                <w:szCs w:val="20"/>
              </w:rPr>
              <w:t>100%</w:t>
            </w:r>
          </w:p>
        </w:tc>
      </w:tr>
      <w:tr w:rsidR="008B2C29" w:rsidRPr="008B2C29" w14:paraId="518B91A2" w14:textId="77777777" w:rsidTr="00E058E9">
        <w:tc>
          <w:tcPr>
            <w:tcW w:w="3005" w:type="dxa"/>
            <w:tcBorders>
              <w:top w:val="single" w:sz="4" w:space="0" w:color="auto"/>
            </w:tcBorders>
          </w:tcPr>
          <w:p w14:paraId="04541B39" w14:textId="409E8EA4" w:rsidR="00BA5403" w:rsidRPr="008B2C29" w:rsidRDefault="00BA5403" w:rsidP="002C7DB3">
            <w:pPr>
              <w:spacing w:line="276" w:lineRule="auto"/>
              <w:jc w:val="left"/>
              <w:rPr>
                <w:rFonts w:ascii="Arial" w:hAnsi="Arial" w:cs="Arial"/>
                <w:bCs/>
                <w:sz w:val="20"/>
                <w:szCs w:val="20"/>
              </w:rPr>
            </w:pPr>
            <w:r w:rsidRPr="008B2C29">
              <w:rPr>
                <w:rFonts w:ascii="Arial" w:hAnsi="Arial" w:cs="Arial"/>
                <w:bCs/>
                <w:sz w:val="20"/>
                <w:szCs w:val="20"/>
              </w:rPr>
              <w:t>Age</w:t>
            </w:r>
          </w:p>
        </w:tc>
        <w:tc>
          <w:tcPr>
            <w:tcW w:w="3005" w:type="dxa"/>
            <w:tcBorders>
              <w:top w:val="single" w:sz="4" w:space="0" w:color="auto"/>
            </w:tcBorders>
          </w:tcPr>
          <w:p w14:paraId="29A50BE9" w14:textId="45F36989"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15-24</w:t>
            </w:r>
          </w:p>
        </w:tc>
        <w:tc>
          <w:tcPr>
            <w:tcW w:w="3006" w:type="dxa"/>
            <w:tcBorders>
              <w:top w:val="single" w:sz="4" w:space="0" w:color="auto"/>
            </w:tcBorders>
          </w:tcPr>
          <w:p w14:paraId="3BC6B7F2" w14:textId="2F3478C8"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3</w:t>
            </w:r>
          </w:p>
        </w:tc>
      </w:tr>
      <w:tr w:rsidR="008B2C29" w:rsidRPr="008B2C29" w14:paraId="78B77EF3" w14:textId="77777777" w:rsidTr="00E058E9">
        <w:tc>
          <w:tcPr>
            <w:tcW w:w="3005" w:type="dxa"/>
          </w:tcPr>
          <w:p w14:paraId="725EE211" w14:textId="77777777" w:rsidR="00BA5403" w:rsidRPr="008B2C29" w:rsidRDefault="00BA5403" w:rsidP="002C7DB3">
            <w:pPr>
              <w:spacing w:line="276" w:lineRule="auto"/>
              <w:jc w:val="left"/>
              <w:rPr>
                <w:rFonts w:ascii="Arial" w:hAnsi="Arial" w:cs="Arial"/>
                <w:bCs/>
                <w:sz w:val="20"/>
                <w:szCs w:val="20"/>
              </w:rPr>
            </w:pPr>
          </w:p>
        </w:tc>
        <w:tc>
          <w:tcPr>
            <w:tcW w:w="3005" w:type="dxa"/>
          </w:tcPr>
          <w:p w14:paraId="3D13ADCC" w14:textId="46D56435"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25-34</w:t>
            </w:r>
          </w:p>
        </w:tc>
        <w:tc>
          <w:tcPr>
            <w:tcW w:w="3006" w:type="dxa"/>
          </w:tcPr>
          <w:p w14:paraId="36FF3C42" w14:textId="0B0A4D5A"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13</w:t>
            </w:r>
          </w:p>
        </w:tc>
      </w:tr>
      <w:tr w:rsidR="008B2C29" w:rsidRPr="008B2C29" w14:paraId="3DBD2F50" w14:textId="77777777" w:rsidTr="00E058E9">
        <w:tc>
          <w:tcPr>
            <w:tcW w:w="3005" w:type="dxa"/>
          </w:tcPr>
          <w:p w14:paraId="5652CEF6" w14:textId="77777777" w:rsidR="00BA5403" w:rsidRPr="008B2C29" w:rsidRDefault="00BA5403" w:rsidP="002C7DB3">
            <w:pPr>
              <w:spacing w:line="276" w:lineRule="auto"/>
              <w:jc w:val="left"/>
              <w:rPr>
                <w:rFonts w:ascii="Arial" w:hAnsi="Arial" w:cs="Arial"/>
                <w:bCs/>
                <w:sz w:val="20"/>
                <w:szCs w:val="20"/>
              </w:rPr>
            </w:pPr>
          </w:p>
        </w:tc>
        <w:tc>
          <w:tcPr>
            <w:tcW w:w="3005" w:type="dxa"/>
          </w:tcPr>
          <w:p w14:paraId="41DAA6AF" w14:textId="7B890B91"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35-44</w:t>
            </w:r>
          </w:p>
        </w:tc>
        <w:tc>
          <w:tcPr>
            <w:tcW w:w="3006" w:type="dxa"/>
          </w:tcPr>
          <w:p w14:paraId="7C394FF4" w14:textId="25462E1E"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19</w:t>
            </w:r>
          </w:p>
        </w:tc>
      </w:tr>
      <w:tr w:rsidR="008B2C29" w:rsidRPr="008B2C29" w14:paraId="7AB41159" w14:textId="77777777" w:rsidTr="00E058E9">
        <w:tc>
          <w:tcPr>
            <w:tcW w:w="3005" w:type="dxa"/>
          </w:tcPr>
          <w:p w14:paraId="404A6724" w14:textId="77777777" w:rsidR="00BA5403" w:rsidRPr="008B2C29" w:rsidRDefault="00BA5403" w:rsidP="002C7DB3">
            <w:pPr>
              <w:spacing w:line="276" w:lineRule="auto"/>
              <w:jc w:val="left"/>
              <w:rPr>
                <w:rFonts w:ascii="Arial" w:hAnsi="Arial" w:cs="Arial"/>
                <w:bCs/>
                <w:sz w:val="20"/>
                <w:szCs w:val="20"/>
              </w:rPr>
            </w:pPr>
          </w:p>
        </w:tc>
        <w:tc>
          <w:tcPr>
            <w:tcW w:w="3005" w:type="dxa"/>
          </w:tcPr>
          <w:p w14:paraId="01639EFB" w14:textId="6A4025EA"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45-54</w:t>
            </w:r>
          </w:p>
        </w:tc>
        <w:tc>
          <w:tcPr>
            <w:tcW w:w="3006" w:type="dxa"/>
          </w:tcPr>
          <w:p w14:paraId="65D6C0EC" w14:textId="10640620" w:rsidR="00BA5403" w:rsidRPr="008B2C29" w:rsidRDefault="00BA5403" w:rsidP="002C7DB3">
            <w:pPr>
              <w:spacing w:line="276" w:lineRule="auto"/>
              <w:jc w:val="center"/>
              <w:rPr>
                <w:rFonts w:ascii="Arial" w:hAnsi="Arial" w:cs="Arial"/>
                <w:bCs/>
                <w:sz w:val="20"/>
                <w:szCs w:val="20"/>
              </w:rPr>
            </w:pPr>
            <w:r w:rsidRPr="008B2C29">
              <w:rPr>
                <w:rFonts w:ascii="Arial" w:hAnsi="Arial" w:cs="Arial"/>
                <w:bCs/>
                <w:sz w:val="20"/>
                <w:szCs w:val="20"/>
              </w:rPr>
              <w:t>24</w:t>
            </w:r>
          </w:p>
        </w:tc>
      </w:tr>
      <w:tr w:rsidR="008B2C29" w:rsidRPr="008B2C29" w14:paraId="42C96040" w14:textId="77777777" w:rsidTr="003A1FB1">
        <w:tc>
          <w:tcPr>
            <w:tcW w:w="3005" w:type="dxa"/>
            <w:tcBorders>
              <w:bottom w:val="single" w:sz="4" w:space="0" w:color="auto"/>
            </w:tcBorders>
          </w:tcPr>
          <w:p w14:paraId="3FA5DBD9" w14:textId="77777777" w:rsidR="00BA5403" w:rsidRPr="008B2C29" w:rsidRDefault="00BA5403" w:rsidP="002C7DB3">
            <w:pPr>
              <w:spacing w:line="276" w:lineRule="auto"/>
              <w:jc w:val="left"/>
              <w:rPr>
                <w:rFonts w:ascii="Arial" w:hAnsi="Arial" w:cs="Arial"/>
                <w:bCs/>
                <w:sz w:val="20"/>
                <w:szCs w:val="20"/>
              </w:rPr>
            </w:pPr>
          </w:p>
        </w:tc>
        <w:tc>
          <w:tcPr>
            <w:tcW w:w="3005" w:type="dxa"/>
            <w:tcBorders>
              <w:bottom w:val="single" w:sz="4" w:space="0" w:color="auto"/>
            </w:tcBorders>
          </w:tcPr>
          <w:p w14:paraId="58EFF23E" w14:textId="253A369C" w:rsidR="00BA5403" w:rsidRPr="008B2C29" w:rsidRDefault="005414F8" w:rsidP="002C7DB3">
            <w:pPr>
              <w:spacing w:line="276" w:lineRule="auto"/>
              <w:jc w:val="center"/>
              <w:rPr>
                <w:rFonts w:ascii="Arial" w:hAnsi="Arial" w:cs="Arial"/>
                <w:bCs/>
                <w:sz w:val="20"/>
                <w:szCs w:val="20"/>
              </w:rPr>
            </w:pPr>
            <w:r w:rsidRPr="008B2C29">
              <w:rPr>
                <w:rFonts w:ascii="Arial" w:hAnsi="Arial" w:cs="Arial"/>
                <w:bCs/>
                <w:sz w:val="20"/>
                <w:szCs w:val="20"/>
              </w:rPr>
              <w:t>55 and above</w:t>
            </w:r>
          </w:p>
        </w:tc>
        <w:tc>
          <w:tcPr>
            <w:tcW w:w="3006" w:type="dxa"/>
            <w:tcBorders>
              <w:bottom w:val="single" w:sz="4" w:space="0" w:color="auto"/>
            </w:tcBorders>
          </w:tcPr>
          <w:p w14:paraId="082D0945" w14:textId="684BA934" w:rsidR="00BA5403" w:rsidRPr="008B2C29" w:rsidRDefault="005414F8" w:rsidP="002C7DB3">
            <w:pPr>
              <w:spacing w:line="276" w:lineRule="auto"/>
              <w:jc w:val="center"/>
              <w:rPr>
                <w:rFonts w:ascii="Arial" w:hAnsi="Arial" w:cs="Arial"/>
                <w:bCs/>
                <w:sz w:val="20"/>
                <w:szCs w:val="20"/>
              </w:rPr>
            </w:pPr>
            <w:r w:rsidRPr="008B2C29">
              <w:rPr>
                <w:rFonts w:ascii="Arial" w:hAnsi="Arial" w:cs="Arial"/>
                <w:bCs/>
                <w:sz w:val="20"/>
                <w:szCs w:val="20"/>
              </w:rPr>
              <w:t>41</w:t>
            </w:r>
          </w:p>
        </w:tc>
      </w:tr>
      <w:tr w:rsidR="008B2C29" w:rsidRPr="008B2C29" w14:paraId="653B8931" w14:textId="77777777" w:rsidTr="003A1FB1">
        <w:tc>
          <w:tcPr>
            <w:tcW w:w="3005" w:type="dxa"/>
            <w:tcBorders>
              <w:top w:val="single" w:sz="4" w:space="0" w:color="auto"/>
              <w:bottom w:val="single" w:sz="4" w:space="0" w:color="auto"/>
            </w:tcBorders>
          </w:tcPr>
          <w:p w14:paraId="2B670212" w14:textId="2B3DF488" w:rsidR="003A1FB1" w:rsidRPr="008B2C29" w:rsidRDefault="003A1FB1" w:rsidP="002C7DB3">
            <w:pPr>
              <w:spacing w:line="276" w:lineRule="auto"/>
              <w:jc w:val="left"/>
              <w:rPr>
                <w:rFonts w:ascii="Arial" w:hAnsi="Arial" w:cs="Arial"/>
                <w:bCs/>
                <w:sz w:val="20"/>
                <w:szCs w:val="20"/>
              </w:rPr>
            </w:pPr>
            <w:r w:rsidRPr="008B2C29">
              <w:rPr>
                <w:rFonts w:ascii="Arial" w:hAnsi="Arial" w:cs="Arial"/>
                <w:b/>
                <w:sz w:val="20"/>
                <w:szCs w:val="20"/>
              </w:rPr>
              <w:t>Total</w:t>
            </w:r>
          </w:p>
        </w:tc>
        <w:tc>
          <w:tcPr>
            <w:tcW w:w="3005" w:type="dxa"/>
            <w:tcBorders>
              <w:top w:val="single" w:sz="4" w:space="0" w:color="auto"/>
              <w:bottom w:val="single" w:sz="4" w:space="0" w:color="auto"/>
            </w:tcBorders>
          </w:tcPr>
          <w:p w14:paraId="29C73106" w14:textId="77777777" w:rsidR="003A1FB1" w:rsidRPr="008B2C29" w:rsidRDefault="003A1FB1" w:rsidP="002C7DB3">
            <w:pPr>
              <w:spacing w:line="276" w:lineRule="auto"/>
              <w:jc w:val="center"/>
              <w:rPr>
                <w:rFonts w:ascii="Arial" w:hAnsi="Arial" w:cs="Arial"/>
                <w:bCs/>
                <w:sz w:val="20"/>
                <w:szCs w:val="20"/>
              </w:rPr>
            </w:pPr>
          </w:p>
        </w:tc>
        <w:tc>
          <w:tcPr>
            <w:tcW w:w="3006" w:type="dxa"/>
            <w:tcBorders>
              <w:top w:val="single" w:sz="4" w:space="0" w:color="auto"/>
              <w:bottom w:val="single" w:sz="4" w:space="0" w:color="auto"/>
            </w:tcBorders>
          </w:tcPr>
          <w:p w14:paraId="59B08DC4" w14:textId="02DADF06" w:rsidR="003A1FB1" w:rsidRPr="008B2C29" w:rsidRDefault="003A1FB1" w:rsidP="002C7DB3">
            <w:pPr>
              <w:spacing w:line="276" w:lineRule="auto"/>
              <w:jc w:val="center"/>
              <w:rPr>
                <w:rFonts w:ascii="Arial" w:hAnsi="Arial" w:cs="Arial"/>
                <w:bCs/>
                <w:sz w:val="20"/>
                <w:szCs w:val="20"/>
              </w:rPr>
            </w:pPr>
            <w:r w:rsidRPr="008B2C29">
              <w:rPr>
                <w:rFonts w:ascii="Arial" w:hAnsi="Arial" w:cs="Arial"/>
                <w:b/>
                <w:sz w:val="20"/>
                <w:szCs w:val="20"/>
              </w:rPr>
              <w:t>100%</w:t>
            </w:r>
          </w:p>
        </w:tc>
      </w:tr>
      <w:tr w:rsidR="008B2C29" w:rsidRPr="008B2C29" w14:paraId="6270867E" w14:textId="77777777" w:rsidTr="003A1FB1">
        <w:tc>
          <w:tcPr>
            <w:tcW w:w="3005" w:type="dxa"/>
            <w:tcBorders>
              <w:top w:val="single" w:sz="4" w:space="0" w:color="auto"/>
            </w:tcBorders>
          </w:tcPr>
          <w:p w14:paraId="7FC2CBB2" w14:textId="6E57B46F" w:rsidR="003A1FB1" w:rsidRPr="008B2C29" w:rsidRDefault="003A1FB1" w:rsidP="002C7DB3">
            <w:pPr>
              <w:spacing w:line="276" w:lineRule="auto"/>
              <w:jc w:val="left"/>
              <w:rPr>
                <w:rFonts w:ascii="Arial" w:hAnsi="Arial" w:cs="Arial"/>
                <w:bCs/>
                <w:sz w:val="20"/>
                <w:szCs w:val="20"/>
              </w:rPr>
            </w:pPr>
            <w:r w:rsidRPr="008B2C29">
              <w:rPr>
                <w:rFonts w:ascii="Arial" w:hAnsi="Arial" w:cs="Arial"/>
                <w:bCs/>
                <w:sz w:val="20"/>
                <w:szCs w:val="20"/>
              </w:rPr>
              <w:t>Education</w:t>
            </w:r>
          </w:p>
        </w:tc>
        <w:tc>
          <w:tcPr>
            <w:tcW w:w="3005" w:type="dxa"/>
            <w:tcBorders>
              <w:top w:val="single" w:sz="4" w:space="0" w:color="auto"/>
            </w:tcBorders>
          </w:tcPr>
          <w:p w14:paraId="6F0D5F47" w14:textId="60E85B38"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No formal education</w:t>
            </w:r>
          </w:p>
        </w:tc>
        <w:tc>
          <w:tcPr>
            <w:tcW w:w="3006" w:type="dxa"/>
            <w:tcBorders>
              <w:top w:val="single" w:sz="4" w:space="0" w:color="auto"/>
            </w:tcBorders>
          </w:tcPr>
          <w:p w14:paraId="6F0D0B1F" w14:textId="39A716D8"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5</w:t>
            </w:r>
          </w:p>
        </w:tc>
      </w:tr>
      <w:tr w:rsidR="008B2C29" w:rsidRPr="008B2C29" w14:paraId="20A02A36" w14:textId="77777777" w:rsidTr="00E058E9">
        <w:tc>
          <w:tcPr>
            <w:tcW w:w="3005" w:type="dxa"/>
          </w:tcPr>
          <w:p w14:paraId="64DC418C" w14:textId="77777777" w:rsidR="003A1FB1" w:rsidRPr="008B2C29" w:rsidRDefault="003A1FB1" w:rsidP="002C7DB3">
            <w:pPr>
              <w:spacing w:line="276" w:lineRule="auto"/>
              <w:jc w:val="left"/>
              <w:rPr>
                <w:rFonts w:ascii="Arial" w:hAnsi="Arial" w:cs="Arial"/>
                <w:bCs/>
                <w:sz w:val="20"/>
                <w:szCs w:val="20"/>
              </w:rPr>
            </w:pPr>
          </w:p>
        </w:tc>
        <w:tc>
          <w:tcPr>
            <w:tcW w:w="3005" w:type="dxa"/>
          </w:tcPr>
          <w:p w14:paraId="70CB89D3" w14:textId="001E24EF"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Primary</w:t>
            </w:r>
          </w:p>
        </w:tc>
        <w:tc>
          <w:tcPr>
            <w:tcW w:w="3006" w:type="dxa"/>
          </w:tcPr>
          <w:p w14:paraId="4B73480E" w14:textId="5A2425F9"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13</w:t>
            </w:r>
          </w:p>
        </w:tc>
      </w:tr>
      <w:tr w:rsidR="008B2C29" w:rsidRPr="008B2C29" w14:paraId="35E7ED6F" w14:textId="77777777" w:rsidTr="00E058E9">
        <w:tc>
          <w:tcPr>
            <w:tcW w:w="3005" w:type="dxa"/>
          </w:tcPr>
          <w:p w14:paraId="6E4A1A39" w14:textId="77777777" w:rsidR="003A1FB1" w:rsidRPr="008B2C29" w:rsidRDefault="003A1FB1" w:rsidP="002C7DB3">
            <w:pPr>
              <w:spacing w:line="276" w:lineRule="auto"/>
              <w:jc w:val="left"/>
              <w:rPr>
                <w:rFonts w:ascii="Arial" w:hAnsi="Arial" w:cs="Arial"/>
                <w:bCs/>
                <w:sz w:val="20"/>
                <w:szCs w:val="20"/>
              </w:rPr>
            </w:pPr>
          </w:p>
        </w:tc>
        <w:tc>
          <w:tcPr>
            <w:tcW w:w="3005" w:type="dxa"/>
          </w:tcPr>
          <w:p w14:paraId="2BDCF6EB" w14:textId="04769272"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Junior High School</w:t>
            </w:r>
          </w:p>
        </w:tc>
        <w:tc>
          <w:tcPr>
            <w:tcW w:w="3006" w:type="dxa"/>
          </w:tcPr>
          <w:p w14:paraId="56F952BC" w14:textId="37D1A291"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29</w:t>
            </w:r>
          </w:p>
        </w:tc>
      </w:tr>
      <w:tr w:rsidR="008B2C29" w:rsidRPr="008B2C29" w14:paraId="42BAD6AC" w14:textId="77777777" w:rsidTr="00E058E9">
        <w:tc>
          <w:tcPr>
            <w:tcW w:w="3005" w:type="dxa"/>
          </w:tcPr>
          <w:p w14:paraId="6E3CAC2F" w14:textId="77777777" w:rsidR="003A1FB1" w:rsidRPr="008B2C29" w:rsidRDefault="003A1FB1" w:rsidP="002C7DB3">
            <w:pPr>
              <w:spacing w:line="276" w:lineRule="auto"/>
              <w:jc w:val="left"/>
              <w:rPr>
                <w:rFonts w:ascii="Arial" w:hAnsi="Arial" w:cs="Arial"/>
                <w:bCs/>
                <w:sz w:val="20"/>
                <w:szCs w:val="20"/>
              </w:rPr>
            </w:pPr>
          </w:p>
        </w:tc>
        <w:tc>
          <w:tcPr>
            <w:tcW w:w="3005" w:type="dxa"/>
          </w:tcPr>
          <w:p w14:paraId="28A67C30" w14:textId="4CCE528D"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Secondary School</w:t>
            </w:r>
          </w:p>
        </w:tc>
        <w:tc>
          <w:tcPr>
            <w:tcW w:w="3006" w:type="dxa"/>
          </w:tcPr>
          <w:p w14:paraId="15F713AF" w14:textId="005657BE"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28</w:t>
            </w:r>
          </w:p>
        </w:tc>
      </w:tr>
      <w:tr w:rsidR="008B2C29" w:rsidRPr="008B2C29" w14:paraId="2950110E" w14:textId="77777777" w:rsidTr="003A1FB1">
        <w:tc>
          <w:tcPr>
            <w:tcW w:w="3005" w:type="dxa"/>
            <w:tcBorders>
              <w:bottom w:val="single" w:sz="4" w:space="0" w:color="auto"/>
            </w:tcBorders>
          </w:tcPr>
          <w:p w14:paraId="15AAA7E0" w14:textId="77777777" w:rsidR="003A1FB1" w:rsidRPr="008B2C29" w:rsidRDefault="003A1FB1" w:rsidP="002C7DB3">
            <w:pPr>
              <w:spacing w:line="276" w:lineRule="auto"/>
              <w:jc w:val="left"/>
              <w:rPr>
                <w:rFonts w:ascii="Arial" w:hAnsi="Arial" w:cs="Arial"/>
                <w:bCs/>
                <w:sz w:val="20"/>
                <w:szCs w:val="20"/>
              </w:rPr>
            </w:pPr>
          </w:p>
        </w:tc>
        <w:tc>
          <w:tcPr>
            <w:tcW w:w="3005" w:type="dxa"/>
            <w:tcBorders>
              <w:bottom w:val="single" w:sz="4" w:space="0" w:color="auto"/>
            </w:tcBorders>
          </w:tcPr>
          <w:p w14:paraId="4EF6EBBB" w14:textId="3E20167D"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Tertiary</w:t>
            </w:r>
          </w:p>
        </w:tc>
        <w:tc>
          <w:tcPr>
            <w:tcW w:w="3006" w:type="dxa"/>
            <w:tcBorders>
              <w:bottom w:val="single" w:sz="4" w:space="0" w:color="auto"/>
            </w:tcBorders>
          </w:tcPr>
          <w:p w14:paraId="71BE36FA" w14:textId="0B70B6F2"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25</w:t>
            </w:r>
          </w:p>
        </w:tc>
      </w:tr>
      <w:tr w:rsidR="008B2C29" w:rsidRPr="008B2C29" w14:paraId="7559E41A" w14:textId="77777777" w:rsidTr="003A1FB1">
        <w:tc>
          <w:tcPr>
            <w:tcW w:w="3005" w:type="dxa"/>
            <w:tcBorders>
              <w:top w:val="single" w:sz="4" w:space="0" w:color="auto"/>
              <w:bottom w:val="single" w:sz="4" w:space="0" w:color="auto"/>
            </w:tcBorders>
          </w:tcPr>
          <w:p w14:paraId="623585F6" w14:textId="7118BD2C" w:rsidR="003A1FB1" w:rsidRPr="008B2C29" w:rsidRDefault="003A1FB1" w:rsidP="002C7DB3">
            <w:pPr>
              <w:spacing w:line="276" w:lineRule="auto"/>
              <w:jc w:val="left"/>
              <w:rPr>
                <w:rFonts w:ascii="Arial" w:hAnsi="Arial" w:cs="Arial"/>
                <w:bCs/>
                <w:sz w:val="20"/>
                <w:szCs w:val="20"/>
              </w:rPr>
            </w:pPr>
            <w:r w:rsidRPr="008B2C29">
              <w:rPr>
                <w:rFonts w:ascii="Arial" w:hAnsi="Arial" w:cs="Arial"/>
                <w:b/>
                <w:sz w:val="20"/>
                <w:szCs w:val="20"/>
              </w:rPr>
              <w:t>Total</w:t>
            </w:r>
          </w:p>
        </w:tc>
        <w:tc>
          <w:tcPr>
            <w:tcW w:w="3005" w:type="dxa"/>
            <w:tcBorders>
              <w:top w:val="single" w:sz="4" w:space="0" w:color="auto"/>
              <w:bottom w:val="single" w:sz="4" w:space="0" w:color="auto"/>
            </w:tcBorders>
          </w:tcPr>
          <w:p w14:paraId="3A61141F" w14:textId="77777777" w:rsidR="003A1FB1" w:rsidRPr="008B2C29" w:rsidRDefault="003A1FB1" w:rsidP="002C7DB3">
            <w:pPr>
              <w:spacing w:line="276" w:lineRule="auto"/>
              <w:jc w:val="center"/>
              <w:rPr>
                <w:rFonts w:ascii="Arial" w:hAnsi="Arial" w:cs="Arial"/>
                <w:bCs/>
                <w:sz w:val="20"/>
                <w:szCs w:val="20"/>
              </w:rPr>
            </w:pPr>
          </w:p>
        </w:tc>
        <w:tc>
          <w:tcPr>
            <w:tcW w:w="3006" w:type="dxa"/>
            <w:tcBorders>
              <w:top w:val="single" w:sz="4" w:space="0" w:color="auto"/>
              <w:bottom w:val="single" w:sz="4" w:space="0" w:color="auto"/>
            </w:tcBorders>
          </w:tcPr>
          <w:p w14:paraId="394DB65D" w14:textId="5D1E2DC7" w:rsidR="003A1FB1" w:rsidRPr="008B2C29" w:rsidRDefault="003A1FB1" w:rsidP="002C7DB3">
            <w:pPr>
              <w:spacing w:line="276" w:lineRule="auto"/>
              <w:jc w:val="center"/>
              <w:rPr>
                <w:rFonts w:ascii="Arial" w:hAnsi="Arial" w:cs="Arial"/>
                <w:bCs/>
                <w:sz w:val="20"/>
                <w:szCs w:val="20"/>
              </w:rPr>
            </w:pPr>
            <w:r w:rsidRPr="008B2C29">
              <w:rPr>
                <w:rFonts w:ascii="Arial" w:hAnsi="Arial" w:cs="Arial"/>
                <w:b/>
                <w:sz w:val="20"/>
                <w:szCs w:val="20"/>
              </w:rPr>
              <w:t>100%</w:t>
            </w:r>
          </w:p>
        </w:tc>
      </w:tr>
      <w:tr w:rsidR="008B2C29" w:rsidRPr="008B2C29" w14:paraId="7F52D526" w14:textId="77777777" w:rsidTr="003A1FB1">
        <w:tc>
          <w:tcPr>
            <w:tcW w:w="3005" w:type="dxa"/>
            <w:tcBorders>
              <w:top w:val="single" w:sz="4" w:space="0" w:color="auto"/>
            </w:tcBorders>
          </w:tcPr>
          <w:p w14:paraId="1D751A23" w14:textId="5CFC4C9D" w:rsidR="003A1FB1" w:rsidRPr="008B2C29" w:rsidRDefault="003A1FB1" w:rsidP="002C7DB3">
            <w:pPr>
              <w:spacing w:line="276" w:lineRule="auto"/>
              <w:jc w:val="left"/>
              <w:rPr>
                <w:rFonts w:ascii="Arial" w:hAnsi="Arial" w:cs="Arial"/>
                <w:bCs/>
                <w:sz w:val="20"/>
                <w:szCs w:val="20"/>
              </w:rPr>
            </w:pPr>
            <w:r w:rsidRPr="008B2C29">
              <w:rPr>
                <w:rFonts w:ascii="Arial" w:hAnsi="Arial" w:cs="Arial"/>
                <w:bCs/>
                <w:sz w:val="20"/>
                <w:szCs w:val="20"/>
              </w:rPr>
              <w:t>Occupation</w:t>
            </w:r>
          </w:p>
        </w:tc>
        <w:tc>
          <w:tcPr>
            <w:tcW w:w="3005" w:type="dxa"/>
            <w:tcBorders>
              <w:top w:val="single" w:sz="4" w:space="0" w:color="auto"/>
            </w:tcBorders>
          </w:tcPr>
          <w:p w14:paraId="30787833" w14:textId="54950D1E"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Farming</w:t>
            </w:r>
          </w:p>
        </w:tc>
        <w:tc>
          <w:tcPr>
            <w:tcW w:w="3006" w:type="dxa"/>
            <w:tcBorders>
              <w:top w:val="single" w:sz="4" w:space="0" w:color="auto"/>
            </w:tcBorders>
          </w:tcPr>
          <w:p w14:paraId="18A7FAF2" w14:textId="7E2707C0"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42</w:t>
            </w:r>
          </w:p>
        </w:tc>
      </w:tr>
      <w:tr w:rsidR="008B2C29" w:rsidRPr="008B2C29" w14:paraId="37D6FCEC" w14:textId="77777777" w:rsidTr="00E058E9">
        <w:tc>
          <w:tcPr>
            <w:tcW w:w="3005" w:type="dxa"/>
          </w:tcPr>
          <w:p w14:paraId="55429658" w14:textId="6CEE3BE3" w:rsidR="003A1FB1" w:rsidRPr="008B2C29" w:rsidRDefault="003A1FB1" w:rsidP="002C7DB3">
            <w:pPr>
              <w:spacing w:line="276" w:lineRule="auto"/>
              <w:jc w:val="left"/>
              <w:rPr>
                <w:rFonts w:ascii="Arial" w:hAnsi="Arial" w:cs="Arial"/>
                <w:bCs/>
                <w:sz w:val="20"/>
                <w:szCs w:val="20"/>
              </w:rPr>
            </w:pPr>
          </w:p>
        </w:tc>
        <w:tc>
          <w:tcPr>
            <w:tcW w:w="3005" w:type="dxa"/>
          </w:tcPr>
          <w:p w14:paraId="768E8003" w14:textId="0A7C7791"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Trading/business</w:t>
            </w:r>
          </w:p>
        </w:tc>
        <w:tc>
          <w:tcPr>
            <w:tcW w:w="3006" w:type="dxa"/>
          </w:tcPr>
          <w:p w14:paraId="53D1EF52" w14:textId="3A6154EA"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25</w:t>
            </w:r>
          </w:p>
        </w:tc>
      </w:tr>
      <w:tr w:rsidR="008B2C29" w:rsidRPr="008B2C29" w14:paraId="56DEF1ED" w14:textId="77777777" w:rsidTr="00E058E9">
        <w:tc>
          <w:tcPr>
            <w:tcW w:w="3005" w:type="dxa"/>
          </w:tcPr>
          <w:p w14:paraId="6B4A537A" w14:textId="77777777" w:rsidR="003A1FB1" w:rsidRPr="008B2C29" w:rsidRDefault="003A1FB1" w:rsidP="002C7DB3">
            <w:pPr>
              <w:spacing w:line="276" w:lineRule="auto"/>
              <w:jc w:val="left"/>
              <w:rPr>
                <w:rFonts w:ascii="Arial" w:hAnsi="Arial" w:cs="Arial"/>
                <w:bCs/>
                <w:sz w:val="20"/>
                <w:szCs w:val="20"/>
              </w:rPr>
            </w:pPr>
          </w:p>
        </w:tc>
        <w:tc>
          <w:tcPr>
            <w:tcW w:w="3005" w:type="dxa"/>
          </w:tcPr>
          <w:p w14:paraId="1D7172F9" w14:textId="28F135C0"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Formal Employment</w:t>
            </w:r>
          </w:p>
        </w:tc>
        <w:tc>
          <w:tcPr>
            <w:tcW w:w="3006" w:type="dxa"/>
          </w:tcPr>
          <w:p w14:paraId="2454737B" w14:textId="27AF63CC"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30</w:t>
            </w:r>
          </w:p>
        </w:tc>
      </w:tr>
      <w:tr w:rsidR="008B2C29" w:rsidRPr="008B2C29" w14:paraId="163F4579" w14:textId="77777777" w:rsidTr="003A1FB1">
        <w:tc>
          <w:tcPr>
            <w:tcW w:w="3005" w:type="dxa"/>
            <w:tcBorders>
              <w:bottom w:val="single" w:sz="4" w:space="0" w:color="auto"/>
            </w:tcBorders>
          </w:tcPr>
          <w:p w14:paraId="1500B36C" w14:textId="77777777" w:rsidR="003A1FB1" w:rsidRPr="008B2C29" w:rsidRDefault="003A1FB1" w:rsidP="002C7DB3">
            <w:pPr>
              <w:spacing w:line="276" w:lineRule="auto"/>
              <w:jc w:val="left"/>
              <w:rPr>
                <w:rFonts w:ascii="Arial" w:hAnsi="Arial" w:cs="Arial"/>
                <w:bCs/>
                <w:sz w:val="20"/>
                <w:szCs w:val="20"/>
              </w:rPr>
            </w:pPr>
          </w:p>
        </w:tc>
        <w:tc>
          <w:tcPr>
            <w:tcW w:w="3005" w:type="dxa"/>
            <w:tcBorders>
              <w:bottom w:val="single" w:sz="4" w:space="0" w:color="auto"/>
            </w:tcBorders>
          </w:tcPr>
          <w:p w14:paraId="56EFFDCA" w14:textId="1A268ABB"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Other</w:t>
            </w:r>
          </w:p>
        </w:tc>
        <w:tc>
          <w:tcPr>
            <w:tcW w:w="3006" w:type="dxa"/>
            <w:tcBorders>
              <w:bottom w:val="single" w:sz="4" w:space="0" w:color="auto"/>
            </w:tcBorders>
          </w:tcPr>
          <w:p w14:paraId="4FE81A21" w14:textId="0B99D5E5" w:rsidR="003A1FB1" w:rsidRPr="008B2C29" w:rsidRDefault="003A1FB1" w:rsidP="002C7DB3">
            <w:pPr>
              <w:spacing w:line="276" w:lineRule="auto"/>
              <w:jc w:val="center"/>
              <w:rPr>
                <w:rFonts w:ascii="Arial" w:hAnsi="Arial" w:cs="Arial"/>
                <w:bCs/>
                <w:sz w:val="20"/>
                <w:szCs w:val="20"/>
              </w:rPr>
            </w:pPr>
            <w:r w:rsidRPr="008B2C29">
              <w:rPr>
                <w:rFonts w:ascii="Arial" w:hAnsi="Arial" w:cs="Arial"/>
                <w:bCs/>
                <w:sz w:val="20"/>
                <w:szCs w:val="20"/>
              </w:rPr>
              <w:t>3</w:t>
            </w:r>
          </w:p>
        </w:tc>
      </w:tr>
      <w:tr w:rsidR="008B2C29" w:rsidRPr="008B2C29" w14:paraId="04EBC8BD" w14:textId="77777777" w:rsidTr="003A1FB1">
        <w:tc>
          <w:tcPr>
            <w:tcW w:w="3005" w:type="dxa"/>
            <w:tcBorders>
              <w:top w:val="single" w:sz="4" w:space="0" w:color="auto"/>
              <w:bottom w:val="single" w:sz="4" w:space="0" w:color="auto"/>
            </w:tcBorders>
          </w:tcPr>
          <w:p w14:paraId="12D49034" w14:textId="3239B0AF" w:rsidR="003A1FB1" w:rsidRPr="008B2C29" w:rsidRDefault="003A1FB1" w:rsidP="002C7DB3">
            <w:pPr>
              <w:spacing w:line="276" w:lineRule="auto"/>
              <w:jc w:val="left"/>
              <w:rPr>
                <w:rFonts w:ascii="Arial" w:hAnsi="Arial" w:cs="Arial"/>
                <w:bCs/>
                <w:sz w:val="20"/>
                <w:szCs w:val="20"/>
              </w:rPr>
            </w:pPr>
            <w:r w:rsidRPr="008B2C29">
              <w:rPr>
                <w:rFonts w:ascii="Arial" w:hAnsi="Arial" w:cs="Arial"/>
                <w:b/>
                <w:sz w:val="20"/>
                <w:szCs w:val="20"/>
              </w:rPr>
              <w:t>Total</w:t>
            </w:r>
          </w:p>
        </w:tc>
        <w:tc>
          <w:tcPr>
            <w:tcW w:w="3005" w:type="dxa"/>
            <w:tcBorders>
              <w:top w:val="single" w:sz="4" w:space="0" w:color="auto"/>
              <w:bottom w:val="single" w:sz="4" w:space="0" w:color="auto"/>
            </w:tcBorders>
          </w:tcPr>
          <w:p w14:paraId="7FACC8E5" w14:textId="77777777" w:rsidR="003A1FB1" w:rsidRPr="008B2C29" w:rsidRDefault="003A1FB1" w:rsidP="002C7DB3">
            <w:pPr>
              <w:spacing w:line="276" w:lineRule="auto"/>
              <w:jc w:val="center"/>
              <w:rPr>
                <w:rFonts w:ascii="Arial" w:hAnsi="Arial" w:cs="Arial"/>
                <w:bCs/>
                <w:sz w:val="20"/>
                <w:szCs w:val="20"/>
              </w:rPr>
            </w:pPr>
          </w:p>
        </w:tc>
        <w:tc>
          <w:tcPr>
            <w:tcW w:w="3006" w:type="dxa"/>
            <w:tcBorders>
              <w:top w:val="single" w:sz="4" w:space="0" w:color="auto"/>
              <w:bottom w:val="single" w:sz="4" w:space="0" w:color="auto"/>
            </w:tcBorders>
          </w:tcPr>
          <w:p w14:paraId="22A3E743" w14:textId="6A3BFDF1" w:rsidR="003A1FB1" w:rsidRPr="008B2C29" w:rsidRDefault="003A1FB1" w:rsidP="002C7DB3">
            <w:pPr>
              <w:spacing w:line="276" w:lineRule="auto"/>
              <w:jc w:val="center"/>
              <w:rPr>
                <w:rFonts w:ascii="Arial" w:hAnsi="Arial" w:cs="Arial"/>
                <w:bCs/>
                <w:sz w:val="20"/>
                <w:szCs w:val="20"/>
              </w:rPr>
            </w:pPr>
            <w:r w:rsidRPr="008B2C29">
              <w:rPr>
                <w:rFonts w:ascii="Arial" w:hAnsi="Arial" w:cs="Arial"/>
                <w:b/>
                <w:sz w:val="20"/>
                <w:szCs w:val="20"/>
              </w:rPr>
              <w:t>100%</w:t>
            </w:r>
          </w:p>
        </w:tc>
      </w:tr>
    </w:tbl>
    <w:p w14:paraId="63E36266" w14:textId="7C398368" w:rsidR="00BA5403" w:rsidRPr="008B2C29" w:rsidRDefault="00933223" w:rsidP="002C7DB3">
      <w:pPr>
        <w:spacing w:line="276" w:lineRule="auto"/>
        <w:rPr>
          <w:rFonts w:ascii="Arial" w:hAnsi="Arial" w:cs="Arial"/>
          <w:bCs/>
          <w:sz w:val="20"/>
          <w:szCs w:val="20"/>
        </w:rPr>
      </w:pPr>
      <w:r w:rsidRPr="008B2C29">
        <w:rPr>
          <w:rFonts w:ascii="Arial" w:hAnsi="Arial" w:cs="Arial"/>
          <w:bCs/>
          <w:sz w:val="20"/>
          <w:szCs w:val="20"/>
        </w:rPr>
        <w:t>Source: Authors’ Construct</w:t>
      </w:r>
    </w:p>
    <w:p w14:paraId="00D179E0" w14:textId="77777777" w:rsidR="00FB6098" w:rsidRPr="008B2C29" w:rsidRDefault="00FB6098"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 xml:space="preserve">Mode of Land Acquisition </w:t>
      </w:r>
    </w:p>
    <w:p w14:paraId="69D52BD9" w14:textId="279A9E4A" w:rsidR="00D367CC" w:rsidRPr="008B2C29" w:rsidRDefault="00D367CC" w:rsidP="002C7DB3">
      <w:pPr>
        <w:spacing w:line="276" w:lineRule="auto"/>
        <w:rPr>
          <w:rFonts w:ascii="Arial" w:hAnsi="Arial" w:cs="Arial"/>
          <w:bCs/>
          <w:sz w:val="20"/>
          <w:szCs w:val="20"/>
          <w:lang w:val="en-US"/>
        </w:rPr>
      </w:pPr>
      <w:r w:rsidRPr="008B2C29">
        <w:rPr>
          <w:rFonts w:ascii="Arial" w:hAnsi="Arial" w:cs="Arial"/>
          <w:bCs/>
          <w:sz w:val="20"/>
          <w:szCs w:val="20"/>
          <w:lang w:val="en-US"/>
        </w:rPr>
        <w:t>The study reveals diverse ways of acquiring land among the respondents. Specifically, 41% of the respondents obtained land through inheritance, 32% through purchasing, 19% through gift, and 8% through leasing from stool lands or family</w:t>
      </w:r>
      <w:r w:rsidR="00B24A90" w:rsidRPr="008B2C29">
        <w:rPr>
          <w:rFonts w:ascii="Arial" w:hAnsi="Arial" w:cs="Arial"/>
          <w:bCs/>
          <w:sz w:val="20"/>
          <w:szCs w:val="20"/>
          <w:lang w:val="en-US"/>
        </w:rPr>
        <w:t>,</w:t>
      </w:r>
      <w:r w:rsidR="006474E6" w:rsidRPr="008B2C29">
        <w:rPr>
          <w:rFonts w:ascii="Arial" w:hAnsi="Arial" w:cs="Arial"/>
          <w:bCs/>
          <w:sz w:val="20"/>
          <w:szCs w:val="20"/>
          <w:lang w:val="en-US"/>
        </w:rPr>
        <w:t xml:space="preserve"> as shown in Figure 2</w:t>
      </w:r>
      <w:r w:rsidRPr="008B2C29">
        <w:rPr>
          <w:rFonts w:ascii="Arial" w:hAnsi="Arial" w:cs="Arial"/>
          <w:bCs/>
          <w:sz w:val="20"/>
          <w:szCs w:val="20"/>
          <w:lang w:val="en-US"/>
        </w:rPr>
        <w:t>. This trend explains that inheritance continues to be the dominant method of land acquisition, demonstrating the persistent impact of customary tenure systems in Ghana, where land is owned by extended families or clans and transmitted from one generation to another. This agrees with the observation of Kasanga and Kotey (2001), who state that inheritance is the most widespread method of land transfer in rural and peri-urban Ghana because of the communal nature of land ownership within customary areas.</w:t>
      </w:r>
    </w:p>
    <w:p w14:paraId="320025E9" w14:textId="1A640CD2" w:rsidR="00D367CC" w:rsidRPr="008B2C29" w:rsidRDefault="00D367CC"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The acquisition of 32% indicates an increasing commodification of land, mainly in urbanizing districts. This is consistent with the explanations presented by </w:t>
      </w:r>
      <w:proofErr w:type="spellStart"/>
      <w:r w:rsidRPr="008B2C29">
        <w:rPr>
          <w:rFonts w:ascii="Arial" w:hAnsi="Arial" w:cs="Arial"/>
          <w:bCs/>
          <w:sz w:val="20"/>
          <w:szCs w:val="20"/>
          <w:lang w:val="en-US"/>
        </w:rPr>
        <w:t>Ubink</w:t>
      </w:r>
      <w:proofErr w:type="spellEnd"/>
      <w:r w:rsidRPr="008B2C29">
        <w:rPr>
          <w:rFonts w:ascii="Arial" w:hAnsi="Arial" w:cs="Arial"/>
          <w:bCs/>
          <w:sz w:val="20"/>
          <w:szCs w:val="20"/>
          <w:lang w:val="en-US"/>
        </w:rPr>
        <w:t xml:space="preserve"> (20</w:t>
      </w:r>
      <w:r w:rsidR="00B37003" w:rsidRPr="008B2C29">
        <w:rPr>
          <w:rFonts w:ascii="Arial" w:hAnsi="Arial" w:cs="Arial"/>
          <w:bCs/>
          <w:sz w:val="20"/>
          <w:szCs w:val="20"/>
          <w:lang w:val="en-US"/>
        </w:rPr>
        <w:t>08</w:t>
      </w:r>
      <w:r w:rsidRPr="008B2C29">
        <w:rPr>
          <w:rFonts w:ascii="Arial" w:hAnsi="Arial" w:cs="Arial"/>
          <w:bCs/>
          <w:sz w:val="20"/>
          <w:szCs w:val="20"/>
          <w:lang w:val="en-US"/>
        </w:rPr>
        <w:t xml:space="preserve">), where they expound that with the increase in urban expansion and land value has resulted in the monetization of land entitlements, compelling individuals and households to trade parts of their inherited land as a means of satisfying economic demands. The 19% who received land by gift are pointers to intra-family and social transfers that are informal, and which continue to be a culturally rooted means of acquiring land, sometimes to reward loyalty, preserve social belonging, or </w:t>
      </w:r>
      <w:proofErr w:type="gramStart"/>
      <w:r w:rsidRPr="008B2C29">
        <w:rPr>
          <w:rFonts w:ascii="Arial" w:hAnsi="Arial" w:cs="Arial"/>
          <w:bCs/>
          <w:sz w:val="20"/>
          <w:szCs w:val="20"/>
          <w:lang w:val="en-US"/>
        </w:rPr>
        <w:t>provide assistance to</w:t>
      </w:r>
      <w:proofErr w:type="gramEnd"/>
      <w:r w:rsidRPr="008B2C29">
        <w:rPr>
          <w:rFonts w:ascii="Arial" w:hAnsi="Arial" w:cs="Arial"/>
          <w:bCs/>
          <w:sz w:val="20"/>
          <w:szCs w:val="20"/>
          <w:lang w:val="en-US"/>
        </w:rPr>
        <w:t xml:space="preserve"> family members. </w:t>
      </w:r>
      <w:proofErr w:type="spellStart"/>
      <w:r w:rsidRPr="008B2C29">
        <w:rPr>
          <w:rFonts w:ascii="Arial" w:hAnsi="Arial" w:cs="Arial"/>
          <w:bCs/>
          <w:sz w:val="20"/>
          <w:szCs w:val="20"/>
          <w:lang w:val="en-US"/>
        </w:rPr>
        <w:t>Amanor</w:t>
      </w:r>
      <w:proofErr w:type="spellEnd"/>
      <w:r w:rsidRPr="008B2C29">
        <w:rPr>
          <w:rFonts w:ascii="Arial" w:hAnsi="Arial" w:cs="Arial"/>
          <w:bCs/>
          <w:sz w:val="20"/>
          <w:szCs w:val="20"/>
          <w:lang w:val="en-US"/>
        </w:rPr>
        <w:t xml:space="preserve"> (200</w:t>
      </w:r>
      <w:r w:rsidR="005D6D0B" w:rsidRPr="008B2C29">
        <w:rPr>
          <w:rFonts w:ascii="Arial" w:hAnsi="Arial" w:cs="Arial"/>
          <w:bCs/>
          <w:sz w:val="20"/>
          <w:szCs w:val="20"/>
          <w:lang w:val="en-US"/>
        </w:rPr>
        <w:t>7</w:t>
      </w:r>
      <w:r w:rsidRPr="008B2C29">
        <w:rPr>
          <w:rFonts w:ascii="Arial" w:hAnsi="Arial" w:cs="Arial"/>
          <w:bCs/>
          <w:sz w:val="20"/>
          <w:szCs w:val="20"/>
          <w:lang w:val="en-US"/>
        </w:rPr>
        <w:t>) confirms this as well by stating that land in most customary systems is at times bestowed as a sign of good will or social reciprocity within family or communal settings.</w:t>
      </w:r>
    </w:p>
    <w:p w14:paraId="26210079" w14:textId="0ECF3934" w:rsidR="00D46B17" w:rsidRPr="008B2C29" w:rsidRDefault="00D367CC" w:rsidP="002C7DB3">
      <w:pPr>
        <w:spacing w:line="276" w:lineRule="auto"/>
        <w:rPr>
          <w:rFonts w:ascii="Arial" w:hAnsi="Arial" w:cs="Arial"/>
          <w:bCs/>
          <w:sz w:val="20"/>
          <w:szCs w:val="20"/>
          <w:lang w:val="en-US"/>
        </w:rPr>
      </w:pPr>
      <w:r w:rsidRPr="008B2C29">
        <w:rPr>
          <w:rFonts w:ascii="Arial" w:hAnsi="Arial" w:cs="Arial"/>
          <w:bCs/>
          <w:sz w:val="20"/>
          <w:szCs w:val="20"/>
          <w:lang w:val="en-US"/>
        </w:rPr>
        <w:t>The 8% who acquired land by lease from stool or family lands are an indication of the contribution of traditional authority to land allocation. As custodians of stool or family lands, chiefs and heads of families have the right to lease land to others, especially in communities where the sale of land is prohibited or not favored. As Toulmin (20</w:t>
      </w:r>
      <w:r w:rsidR="00DC1734" w:rsidRPr="008B2C29">
        <w:rPr>
          <w:rFonts w:ascii="Arial" w:hAnsi="Arial" w:cs="Arial"/>
          <w:bCs/>
          <w:sz w:val="20"/>
          <w:szCs w:val="20"/>
          <w:lang w:val="en-US"/>
        </w:rPr>
        <w:t>09</w:t>
      </w:r>
      <w:r w:rsidRPr="008B2C29">
        <w:rPr>
          <w:rFonts w:ascii="Arial" w:hAnsi="Arial" w:cs="Arial"/>
          <w:bCs/>
          <w:sz w:val="20"/>
          <w:szCs w:val="20"/>
          <w:lang w:val="en-US"/>
        </w:rPr>
        <w:t>) posit</w:t>
      </w:r>
      <w:r w:rsidR="00DC1734" w:rsidRPr="008B2C29">
        <w:rPr>
          <w:rFonts w:ascii="Arial" w:hAnsi="Arial" w:cs="Arial"/>
          <w:bCs/>
          <w:sz w:val="20"/>
          <w:szCs w:val="20"/>
          <w:lang w:val="en-US"/>
        </w:rPr>
        <w:t>s</w:t>
      </w:r>
      <w:r w:rsidRPr="008B2C29">
        <w:rPr>
          <w:rFonts w:ascii="Arial" w:hAnsi="Arial" w:cs="Arial"/>
          <w:bCs/>
          <w:sz w:val="20"/>
          <w:szCs w:val="20"/>
          <w:lang w:val="en-US"/>
        </w:rPr>
        <w:t xml:space="preserve">, leasing is still a widespread practice in customary land administration systems, particularly where permanent alienation by way of sale is not culturally accepted. The evidence substantiates the complexity and diversity of land tenure in Ghana, where customary practices such as inheritance, gift, and stool/family lease exist alongside market transactions such as </w:t>
      </w:r>
      <w:r w:rsidRPr="008B2C29">
        <w:rPr>
          <w:rFonts w:ascii="Arial" w:hAnsi="Arial" w:cs="Arial"/>
          <w:bCs/>
          <w:sz w:val="20"/>
          <w:szCs w:val="20"/>
          <w:lang w:val="en-US"/>
        </w:rPr>
        <w:lastRenderedPageBreak/>
        <w:t>purchase. The prevalence of heritance again displays the continued importance of non-market forces in the allocation of land, particularly in areas where traditional mores are strongly upheld.</w:t>
      </w:r>
    </w:p>
    <w:p w14:paraId="4E6328DD" w14:textId="4D5E1D2A" w:rsidR="00F445BB" w:rsidRPr="008B2C29" w:rsidRDefault="00F445BB" w:rsidP="002C7DB3">
      <w:pPr>
        <w:spacing w:line="276" w:lineRule="auto"/>
        <w:rPr>
          <w:rFonts w:ascii="Arial" w:hAnsi="Arial" w:cs="Arial"/>
          <w:bCs/>
          <w:sz w:val="20"/>
          <w:szCs w:val="20"/>
          <w:lang w:val="en-US"/>
        </w:rPr>
      </w:pPr>
      <w:r w:rsidRPr="008B2C29">
        <w:rPr>
          <w:rFonts w:ascii="Arial" w:hAnsi="Arial" w:cs="Arial"/>
          <w:noProof/>
          <w:sz w:val="20"/>
          <w:szCs w:val="20"/>
        </w:rPr>
        <w:drawing>
          <wp:inline distT="0" distB="0" distL="0" distR="0" wp14:anchorId="2E91BCEF" wp14:editId="53A1B0B3">
            <wp:extent cx="5514975" cy="3057525"/>
            <wp:effectExtent l="0" t="0" r="9525" b="9525"/>
            <wp:docPr id="465617487" name="Chart 1">
              <a:extLst xmlns:a="http://schemas.openxmlformats.org/drawingml/2006/main">
                <a:ext uri="{FF2B5EF4-FFF2-40B4-BE49-F238E27FC236}">
                  <a16:creationId xmlns:a16="http://schemas.microsoft.com/office/drawing/2014/main" id="{A03D546A-797A-3128-4384-E797B60E4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A2921A" w14:textId="13825CED" w:rsidR="00C001F7" w:rsidRPr="008B2C29" w:rsidRDefault="003926C5" w:rsidP="002C7DB3">
      <w:pPr>
        <w:spacing w:line="276" w:lineRule="auto"/>
        <w:rPr>
          <w:rFonts w:ascii="Arial" w:hAnsi="Arial" w:cs="Arial"/>
          <w:b/>
          <w:sz w:val="20"/>
          <w:szCs w:val="20"/>
          <w:lang w:val="en-US"/>
        </w:rPr>
      </w:pPr>
      <w:r w:rsidRPr="008B2C29">
        <w:rPr>
          <w:rFonts w:ascii="Arial" w:hAnsi="Arial" w:cs="Arial"/>
          <w:b/>
          <w:sz w:val="20"/>
          <w:szCs w:val="20"/>
          <w:lang w:val="en-US"/>
        </w:rPr>
        <w:t>Figure</w:t>
      </w:r>
      <w:r w:rsidR="00C001F7" w:rsidRPr="008B2C29">
        <w:rPr>
          <w:rFonts w:ascii="Arial" w:hAnsi="Arial" w:cs="Arial"/>
          <w:b/>
          <w:sz w:val="20"/>
          <w:szCs w:val="20"/>
          <w:lang w:val="en-US"/>
        </w:rPr>
        <w:t xml:space="preserve"> 2: Mode of Land Acquisition</w:t>
      </w:r>
    </w:p>
    <w:p w14:paraId="2E0F3CA9" w14:textId="33CFAE7F" w:rsidR="00C001F7" w:rsidRPr="008B2C29" w:rsidRDefault="00F74D68" w:rsidP="002C7DB3">
      <w:pPr>
        <w:spacing w:line="276" w:lineRule="auto"/>
        <w:rPr>
          <w:rFonts w:ascii="Arial" w:hAnsi="Arial" w:cs="Arial"/>
          <w:bCs/>
          <w:sz w:val="20"/>
          <w:szCs w:val="20"/>
          <w:lang w:val="en-US"/>
        </w:rPr>
      </w:pPr>
      <w:r w:rsidRPr="008B2C29">
        <w:rPr>
          <w:rFonts w:ascii="Arial" w:hAnsi="Arial" w:cs="Arial"/>
          <w:bCs/>
          <w:sz w:val="20"/>
          <w:szCs w:val="20"/>
          <w:lang w:val="en-US"/>
        </w:rPr>
        <w:t>Source: Authors’ Construct</w:t>
      </w:r>
    </w:p>
    <w:p w14:paraId="7CB1894B" w14:textId="39552534" w:rsidR="00CB761F" w:rsidRPr="008B2C29" w:rsidRDefault="00FB6098"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Purpose of Land Acquisition</w:t>
      </w:r>
    </w:p>
    <w:p w14:paraId="64500A47" w14:textId="2186F894" w:rsidR="00CB761F" w:rsidRPr="008B2C29" w:rsidRDefault="00CB761F" w:rsidP="002C7DB3">
      <w:pPr>
        <w:spacing w:line="276" w:lineRule="auto"/>
        <w:rPr>
          <w:rFonts w:ascii="Arial" w:hAnsi="Arial" w:cs="Arial"/>
          <w:bCs/>
          <w:sz w:val="20"/>
          <w:szCs w:val="20"/>
        </w:rPr>
      </w:pPr>
      <w:r w:rsidRPr="008B2C29">
        <w:rPr>
          <w:rFonts w:ascii="Arial" w:hAnsi="Arial" w:cs="Arial"/>
          <w:bCs/>
          <w:sz w:val="20"/>
          <w:szCs w:val="20"/>
        </w:rPr>
        <w:t>The results of the study indicate that 58% of the interviewees acquired land for residential use, 27% for commercial, 10% for agriculture, and 5% for industrial use</w:t>
      </w:r>
      <w:r w:rsidR="006474E6" w:rsidRPr="008B2C29">
        <w:rPr>
          <w:rFonts w:ascii="Arial" w:hAnsi="Arial" w:cs="Arial"/>
          <w:bCs/>
          <w:sz w:val="20"/>
          <w:szCs w:val="20"/>
        </w:rPr>
        <w:t>, as shown in Figure 3.</w:t>
      </w:r>
      <w:r w:rsidRPr="008B2C29">
        <w:rPr>
          <w:rFonts w:ascii="Arial" w:hAnsi="Arial" w:cs="Arial"/>
          <w:bCs/>
          <w:sz w:val="20"/>
          <w:szCs w:val="20"/>
        </w:rPr>
        <w:t xml:space="preserve"> The predominance of residential land use (58%) echoes the increasing demand for housing in </w:t>
      </w:r>
      <w:r w:rsidR="00375CDD" w:rsidRPr="008B2C29">
        <w:rPr>
          <w:rFonts w:ascii="Arial" w:hAnsi="Arial" w:cs="Arial"/>
          <w:bCs/>
          <w:sz w:val="20"/>
          <w:szCs w:val="20"/>
        </w:rPr>
        <w:t>Kumasi</w:t>
      </w:r>
      <w:r w:rsidRPr="008B2C29">
        <w:rPr>
          <w:rFonts w:ascii="Arial" w:hAnsi="Arial" w:cs="Arial"/>
          <w:bCs/>
          <w:sz w:val="20"/>
          <w:szCs w:val="20"/>
        </w:rPr>
        <w:t>, due to the increasing rate of urbanization, population growth, and rural-urban migration. This conforms to the claims of Owusu-Ansah and O'Connor (2010) that housing demand in the urban areas has been increasing, putting the peri-urban land under pressure as it is being transformed from agricultural to residential use. Boamah (201</w:t>
      </w:r>
      <w:r w:rsidR="00066BA2" w:rsidRPr="008B2C29">
        <w:rPr>
          <w:rFonts w:ascii="Arial" w:hAnsi="Arial" w:cs="Arial"/>
          <w:bCs/>
          <w:sz w:val="20"/>
          <w:szCs w:val="20"/>
        </w:rPr>
        <w:t>0</w:t>
      </w:r>
      <w:r w:rsidRPr="008B2C29">
        <w:rPr>
          <w:rFonts w:ascii="Arial" w:hAnsi="Arial" w:cs="Arial"/>
          <w:bCs/>
          <w:sz w:val="20"/>
          <w:szCs w:val="20"/>
        </w:rPr>
        <w:t xml:space="preserve">) contends that urban Ghana land for housing development has been a valuable resource for personal security and investment, particularly in locations where </w:t>
      </w:r>
      <w:proofErr w:type="gramStart"/>
      <w:r w:rsidRPr="008B2C29">
        <w:rPr>
          <w:rFonts w:ascii="Arial" w:hAnsi="Arial" w:cs="Arial"/>
          <w:bCs/>
          <w:sz w:val="20"/>
          <w:szCs w:val="20"/>
        </w:rPr>
        <w:t>there</w:t>
      </w:r>
      <w:proofErr w:type="gramEnd"/>
      <w:r w:rsidRPr="008B2C29">
        <w:rPr>
          <w:rFonts w:ascii="Arial" w:hAnsi="Arial" w:cs="Arial"/>
          <w:bCs/>
          <w:sz w:val="20"/>
          <w:szCs w:val="20"/>
        </w:rPr>
        <w:t xml:space="preserve"> </w:t>
      </w:r>
      <w:r w:rsidR="00A62F3F" w:rsidRPr="008B2C29">
        <w:rPr>
          <w:rFonts w:ascii="Arial" w:hAnsi="Arial" w:cs="Arial"/>
          <w:bCs/>
          <w:sz w:val="20"/>
          <w:szCs w:val="20"/>
        </w:rPr>
        <w:t>lack</w:t>
      </w:r>
      <w:r w:rsidRPr="008B2C29">
        <w:rPr>
          <w:rFonts w:ascii="Arial" w:hAnsi="Arial" w:cs="Arial"/>
          <w:bCs/>
          <w:sz w:val="20"/>
          <w:szCs w:val="20"/>
        </w:rPr>
        <w:t xml:space="preserve"> </w:t>
      </w:r>
      <w:r w:rsidR="00A62F3F" w:rsidRPr="008B2C29">
        <w:rPr>
          <w:rFonts w:ascii="Arial" w:hAnsi="Arial" w:cs="Arial"/>
          <w:bCs/>
          <w:sz w:val="20"/>
          <w:szCs w:val="20"/>
        </w:rPr>
        <w:t xml:space="preserve">of </w:t>
      </w:r>
      <w:r w:rsidRPr="008B2C29">
        <w:rPr>
          <w:rFonts w:ascii="Arial" w:hAnsi="Arial" w:cs="Arial"/>
          <w:bCs/>
          <w:sz w:val="20"/>
          <w:szCs w:val="20"/>
        </w:rPr>
        <w:t>formal rental housing.</w:t>
      </w:r>
    </w:p>
    <w:p w14:paraId="6DA72300" w14:textId="5AB7B59D" w:rsidR="00CB761F" w:rsidRPr="008B2C29" w:rsidRDefault="00CB761F" w:rsidP="002C7DB3">
      <w:pPr>
        <w:spacing w:line="276" w:lineRule="auto"/>
        <w:rPr>
          <w:rFonts w:ascii="Arial" w:hAnsi="Arial" w:cs="Arial"/>
          <w:bCs/>
          <w:sz w:val="20"/>
          <w:szCs w:val="20"/>
        </w:rPr>
      </w:pPr>
      <w:r w:rsidRPr="008B2C29">
        <w:rPr>
          <w:rFonts w:ascii="Arial" w:hAnsi="Arial" w:cs="Arial"/>
          <w:bCs/>
          <w:sz w:val="20"/>
          <w:szCs w:val="20"/>
        </w:rPr>
        <w:t xml:space="preserve">The 27% that purchased land for commercial purposes indicates that land is progressively being perceived as a business and income-generating asset. This corroborates the observation of </w:t>
      </w:r>
      <w:proofErr w:type="spellStart"/>
      <w:r w:rsidR="005D6D0B" w:rsidRPr="008B2C29">
        <w:rPr>
          <w:rFonts w:ascii="Arial" w:hAnsi="Arial" w:cs="Arial"/>
          <w:bCs/>
          <w:sz w:val="20"/>
          <w:szCs w:val="20"/>
        </w:rPr>
        <w:t>Afrane</w:t>
      </w:r>
      <w:proofErr w:type="spellEnd"/>
      <w:r w:rsidR="005D6D0B" w:rsidRPr="008B2C29">
        <w:rPr>
          <w:rFonts w:ascii="Arial" w:hAnsi="Arial" w:cs="Arial"/>
          <w:bCs/>
          <w:sz w:val="20"/>
          <w:szCs w:val="20"/>
        </w:rPr>
        <w:t xml:space="preserve"> &amp; Adjei-</w:t>
      </w:r>
      <w:proofErr w:type="spellStart"/>
      <w:r w:rsidR="005D6D0B" w:rsidRPr="008B2C29">
        <w:rPr>
          <w:rFonts w:ascii="Arial" w:hAnsi="Arial" w:cs="Arial"/>
          <w:bCs/>
          <w:sz w:val="20"/>
          <w:szCs w:val="20"/>
        </w:rPr>
        <w:t>Poku</w:t>
      </w:r>
      <w:proofErr w:type="spellEnd"/>
      <w:r w:rsidR="005D6D0B" w:rsidRPr="008B2C29">
        <w:rPr>
          <w:rFonts w:ascii="Arial" w:hAnsi="Arial" w:cs="Arial"/>
          <w:bCs/>
          <w:sz w:val="20"/>
          <w:szCs w:val="20"/>
        </w:rPr>
        <w:t xml:space="preserve"> </w:t>
      </w:r>
      <w:r w:rsidRPr="008B2C29">
        <w:rPr>
          <w:rFonts w:ascii="Arial" w:hAnsi="Arial" w:cs="Arial"/>
          <w:bCs/>
          <w:sz w:val="20"/>
          <w:szCs w:val="20"/>
        </w:rPr>
        <w:t>(201</w:t>
      </w:r>
      <w:r w:rsidR="00A62F3F" w:rsidRPr="008B2C29">
        <w:rPr>
          <w:rFonts w:ascii="Arial" w:hAnsi="Arial" w:cs="Arial"/>
          <w:bCs/>
          <w:sz w:val="20"/>
          <w:szCs w:val="20"/>
        </w:rPr>
        <w:t>6</w:t>
      </w:r>
      <w:r w:rsidRPr="008B2C29">
        <w:rPr>
          <w:rFonts w:ascii="Arial" w:hAnsi="Arial" w:cs="Arial"/>
          <w:bCs/>
          <w:sz w:val="20"/>
          <w:szCs w:val="20"/>
        </w:rPr>
        <w:t xml:space="preserve">) that urban land in Ghana is being utilized more for shopping, trading, and services-based activities as a result of economic liberalization and entrepreneurial development. The rise in small enterprises, markets, and informal stores also indicates the adaptation strategies of the urban residents to build livelihoods in the face of minimal formal employment. A mere 10% purchased land for agriculture, indicating a change from conventional land uses within </w:t>
      </w:r>
      <w:r w:rsidR="00375CDD" w:rsidRPr="008B2C29">
        <w:rPr>
          <w:rFonts w:ascii="Arial" w:hAnsi="Arial" w:cs="Arial"/>
          <w:bCs/>
          <w:sz w:val="20"/>
          <w:szCs w:val="20"/>
        </w:rPr>
        <w:t xml:space="preserve">Kumasi, </w:t>
      </w:r>
      <w:r w:rsidR="00F91CFA" w:rsidRPr="008B2C29">
        <w:rPr>
          <w:rFonts w:ascii="Arial" w:hAnsi="Arial" w:cs="Arial"/>
          <w:bCs/>
          <w:sz w:val="20"/>
          <w:szCs w:val="20"/>
        </w:rPr>
        <w:t xml:space="preserve">a </w:t>
      </w:r>
      <w:r w:rsidR="00375CDD" w:rsidRPr="008B2C29">
        <w:rPr>
          <w:rFonts w:ascii="Arial" w:hAnsi="Arial" w:cs="Arial"/>
          <w:bCs/>
          <w:sz w:val="20"/>
          <w:szCs w:val="20"/>
        </w:rPr>
        <w:t>peri-urban area</w:t>
      </w:r>
      <w:r w:rsidRPr="008B2C29">
        <w:rPr>
          <w:rFonts w:ascii="Arial" w:hAnsi="Arial" w:cs="Arial"/>
          <w:bCs/>
          <w:sz w:val="20"/>
          <w:szCs w:val="20"/>
        </w:rPr>
        <w:t xml:space="preserve">. This is possible due to urban expansion and </w:t>
      </w:r>
      <w:r w:rsidR="00F91CFA" w:rsidRPr="008B2C29">
        <w:rPr>
          <w:rFonts w:ascii="Arial" w:hAnsi="Arial" w:cs="Arial"/>
          <w:bCs/>
          <w:sz w:val="20"/>
          <w:szCs w:val="20"/>
        </w:rPr>
        <w:t xml:space="preserve">the </w:t>
      </w:r>
      <w:r w:rsidRPr="008B2C29">
        <w:rPr>
          <w:rFonts w:ascii="Arial" w:hAnsi="Arial" w:cs="Arial"/>
          <w:bCs/>
          <w:sz w:val="20"/>
          <w:szCs w:val="20"/>
        </w:rPr>
        <w:t>transformation of agricultural lands into housing and commercial plots. As explained by Yeboah and Shaw (2013), peri-urban agricultural fields in Ghana are rapidly being absorbed into the urban landscape, in most cases without orderly spatial planning, reducing the volume of land for use in agricultural activities.</w:t>
      </w:r>
    </w:p>
    <w:p w14:paraId="44091A07" w14:textId="0905C8AB" w:rsidR="00CB761F" w:rsidRPr="008B2C29" w:rsidRDefault="00CB761F" w:rsidP="002C7DB3">
      <w:pPr>
        <w:spacing w:line="276" w:lineRule="auto"/>
        <w:rPr>
          <w:rFonts w:ascii="Arial" w:hAnsi="Arial" w:cs="Arial"/>
          <w:bCs/>
          <w:sz w:val="20"/>
          <w:szCs w:val="20"/>
        </w:rPr>
      </w:pPr>
      <w:r w:rsidRPr="008B2C29">
        <w:rPr>
          <w:rFonts w:ascii="Arial" w:hAnsi="Arial" w:cs="Arial"/>
          <w:bCs/>
          <w:sz w:val="20"/>
          <w:szCs w:val="20"/>
        </w:rPr>
        <w:t xml:space="preserve">The 5% of the respondents who purchased land for industrial purposes </w:t>
      </w:r>
      <w:r w:rsidR="00F91CFA" w:rsidRPr="008B2C29">
        <w:rPr>
          <w:rFonts w:ascii="Arial" w:hAnsi="Arial" w:cs="Arial"/>
          <w:bCs/>
          <w:sz w:val="20"/>
          <w:szCs w:val="20"/>
        </w:rPr>
        <w:t>demonstrate</w:t>
      </w:r>
      <w:r w:rsidRPr="008B2C29">
        <w:rPr>
          <w:rFonts w:ascii="Arial" w:hAnsi="Arial" w:cs="Arial"/>
          <w:bCs/>
          <w:sz w:val="20"/>
          <w:szCs w:val="20"/>
        </w:rPr>
        <w:t xml:space="preserve"> an equally low level of privately driven industrial development. Industrialization is still on the agenda for Ghana,</w:t>
      </w:r>
      <w:r w:rsidR="00375CDD" w:rsidRPr="008B2C29">
        <w:rPr>
          <w:rFonts w:ascii="Arial" w:hAnsi="Arial" w:cs="Arial"/>
          <w:bCs/>
          <w:sz w:val="20"/>
          <w:szCs w:val="20"/>
        </w:rPr>
        <w:t xml:space="preserve"> particularly Kumasi,</w:t>
      </w:r>
      <w:r w:rsidRPr="008B2C29">
        <w:rPr>
          <w:rFonts w:ascii="Arial" w:hAnsi="Arial" w:cs="Arial"/>
          <w:bCs/>
          <w:sz w:val="20"/>
          <w:szCs w:val="20"/>
        </w:rPr>
        <w:t xml:space="preserve"> but land acquisition for industrial purposes is typically more capital-constrained and regulated, and more commonly driven by public-private partnerships or corporate bodies than by private property holders. In the view of </w:t>
      </w:r>
      <w:proofErr w:type="spellStart"/>
      <w:r w:rsidRPr="008B2C29">
        <w:rPr>
          <w:rFonts w:ascii="Arial" w:hAnsi="Arial" w:cs="Arial"/>
          <w:bCs/>
          <w:sz w:val="20"/>
          <w:szCs w:val="20"/>
        </w:rPr>
        <w:t>Songsore</w:t>
      </w:r>
      <w:proofErr w:type="spellEnd"/>
      <w:r w:rsidRPr="008B2C29">
        <w:rPr>
          <w:rFonts w:ascii="Arial" w:hAnsi="Arial" w:cs="Arial"/>
          <w:bCs/>
          <w:sz w:val="20"/>
          <w:szCs w:val="20"/>
        </w:rPr>
        <w:t xml:space="preserve"> (2003), physical constraints and poor infrastructure in most urban </w:t>
      </w:r>
      <w:r w:rsidR="00375CDD" w:rsidRPr="008B2C29">
        <w:rPr>
          <w:rFonts w:ascii="Arial" w:hAnsi="Arial" w:cs="Arial"/>
          <w:bCs/>
          <w:sz w:val="20"/>
          <w:szCs w:val="20"/>
        </w:rPr>
        <w:t>centres</w:t>
      </w:r>
      <w:r w:rsidRPr="008B2C29">
        <w:rPr>
          <w:rFonts w:ascii="Arial" w:hAnsi="Arial" w:cs="Arial"/>
          <w:bCs/>
          <w:sz w:val="20"/>
          <w:szCs w:val="20"/>
        </w:rPr>
        <w:t xml:space="preserve"> restrict the level of industrial expansion by private owners, especially in new urban settlements. All these realities point to the fact that there is a massive residential bias in land buying </w:t>
      </w:r>
      <w:r w:rsidR="00375CDD" w:rsidRPr="008B2C29">
        <w:rPr>
          <w:rFonts w:ascii="Arial" w:hAnsi="Arial" w:cs="Arial"/>
          <w:bCs/>
          <w:sz w:val="20"/>
          <w:szCs w:val="20"/>
        </w:rPr>
        <w:lastRenderedPageBreak/>
        <w:t>behaviour</w:t>
      </w:r>
      <w:r w:rsidRPr="008B2C29">
        <w:rPr>
          <w:rFonts w:ascii="Arial" w:hAnsi="Arial" w:cs="Arial"/>
          <w:bCs/>
          <w:sz w:val="20"/>
          <w:szCs w:val="20"/>
        </w:rPr>
        <w:t>, reflecting the dire necessity for integrated urban planning as well as sustainable land management policies. This limited use of land for industrial and agricultural purposes also necessitates policy interventions to save productive land and ensure inclusive economic development.</w:t>
      </w:r>
    </w:p>
    <w:p w14:paraId="4896FC6C" w14:textId="1F67FB2C" w:rsidR="009C27EF" w:rsidRPr="008B2C29" w:rsidRDefault="009C27EF" w:rsidP="002C7DB3">
      <w:pPr>
        <w:spacing w:line="276" w:lineRule="auto"/>
        <w:jc w:val="center"/>
        <w:rPr>
          <w:rFonts w:ascii="Arial" w:hAnsi="Arial" w:cs="Arial"/>
          <w:bCs/>
          <w:sz w:val="20"/>
          <w:szCs w:val="20"/>
        </w:rPr>
      </w:pPr>
      <w:r w:rsidRPr="008B2C29">
        <w:rPr>
          <w:rFonts w:ascii="Arial" w:hAnsi="Arial" w:cs="Arial"/>
          <w:noProof/>
          <w:sz w:val="20"/>
          <w:szCs w:val="20"/>
        </w:rPr>
        <w:drawing>
          <wp:inline distT="0" distB="0" distL="0" distR="0" wp14:anchorId="731B93DC" wp14:editId="290B5F95">
            <wp:extent cx="5038725" cy="2957513"/>
            <wp:effectExtent l="0" t="0" r="9525" b="14605"/>
            <wp:docPr id="1676161895" name="Chart 1">
              <a:extLst xmlns:a="http://schemas.openxmlformats.org/drawingml/2006/main">
                <a:ext uri="{FF2B5EF4-FFF2-40B4-BE49-F238E27FC236}">
                  <a16:creationId xmlns:a16="http://schemas.microsoft.com/office/drawing/2014/main" id="{44566138-E35A-8E1B-0AD4-0D900099D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4FC0DA" w14:textId="0C664762" w:rsidR="00F74D68" w:rsidRPr="008B2C29" w:rsidRDefault="00F74D68" w:rsidP="002C7DB3">
      <w:pPr>
        <w:spacing w:line="276" w:lineRule="auto"/>
        <w:rPr>
          <w:rFonts w:ascii="Arial" w:hAnsi="Arial" w:cs="Arial"/>
          <w:b/>
          <w:sz w:val="20"/>
          <w:szCs w:val="20"/>
        </w:rPr>
      </w:pPr>
      <w:r w:rsidRPr="008B2C29">
        <w:rPr>
          <w:rFonts w:ascii="Arial" w:hAnsi="Arial" w:cs="Arial"/>
          <w:b/>
          <w:sz w:val="20"/>
          <w:szCs w:val="20"/>
        </w:rPr>
        <w:t>Figure 3: Purpose of Land Acquisition</w:t>
      </w:r>
    </w:p>
    <w:p w14:paraId="4AD196F5" w14:textId="45F9A3DA" w:rsidR="007E64AF" w:rsidRPr="008B2C29" w:rsidRDefault="00F74D68" w:rsidP="002C7DB3">
      <w:pPr>
        <w:spacing w:line="276" w:lineRule="auto"/>
        <w:rPr>
          <w:rFonts w:ascii="Arial" w:hAnsi="Arial" w:cs="Arial"/>
          <w:bCs/>
          <w:sz w:val="20"/>
          <w:szCs w:val="20"/>
          <w:lang w:val="en-US"/>
        </w:rPr>
      </w:pPr>
      <w:r w:rsidRPr="008B2C29">
        <w:rPr>
          <w:rFonts w:ascii="Arial" w:hAnsi="Arial" w:cs="Arial"/>
          <w:bCs/>
          <w:sz w:val="20"/>
          <w:szCs w:val="20"/>
          <w:lang w:val="en-US"/>
        </w:rPr>
        <w:t>Source: Authors’ Construct</w:t>
      </w:r>
    </w:p>
    <w:p w14:paraId="531E18F2" w14:textId="5827749D" w:rsidR="00FB6098" w:rsidRPr="008B2C29" w:rsidRDefault="00FB6098"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Effect</w:t>
      </w:r>
      <w:r w:rsidR="001E083A" w:rsidRPr="008B2C29">
        <w:rPr>
          <w:rFonts w:ascii="Arial" w:hAnsi="Arial" w:cs="Arial"/>
          <w:b/>
          <w:sz w:val="20"/>
          <w:szCs w:val="20"/>
        </w:rPr>
        <w:t>s of Land Registration on Tenure Security</w:t>
      </w:r>
    </w:p>
    <w:p w14:paraId="4A20780B" w14:textId="4501C557" w:rsidR="00F43847" w:rsidRPr="008B2C29" w:rsidRDefault="00B24A90"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Borras &amp; Franco (2021) noted that land registration is crucial for strengthening the land tenure system </w:t>
      </w:r>
      <w:r w:rsidR="00CB761F" w:rsidRPr="008B2C29">
        <w:rPr>
          <w:rFonts w:ascii="Arial" w:hAnsi="Arial" w:cs="Arial"/>
          <w:bCs/>
          <w:sz w:val="20"/>
          <w:szCs w:val="20"/>
          <w:lang w:val="en-US"/>
        </w:rPr>
        <w:t xml:space="preserve">through the </w:t>
      </w:r>
      <w:r w:rsidR="00510BFA" w:rsidRPr="008B2C29">
        <w:rPr>
          <w:rFonts w:ascii="Arial" w:hAnsi="Arial" w:cs="Arial"/>
          <w:bCs/>
          <w:sz w:val="20"/>
          <w:szCs w:val="20"/>
          <w:lang w:val="en-US"/>
        </w:rPr>
        <w:t>formalization</w:t>
      </w:r>
      <w:r w:rsidR="00CB761F" w:rsidRPr="008B2C29">
        <w:rPr>
          <w:rFonts w:ascii="Arial" w:hAnsi="Arial" w:cs="Arial"/>
          <w:bCs/>
          <w:sz w:val="20"/>
          <w:szCs w:val="20"/>
          <w:lang w:val="en-US"/>
        </w:rPr>
        <w:t xml:space="preserve"> of ownership or user rights. In </w:t>
      </w:r>
      <w:r w:rsidR="00510BFA" w:rsidRPr="008B2C29">
        <w:rPr>
          <w:rFonts w:ascii="Arial" w:hAnsi="Arial" w:cs="Arial"/>
          <w:bCs/>
          <w:sz w:val="20"/>
          <w:szCs w:val="20"/>
          <w:lang w:val="en-US"/>
        </w:rPr>
        <w:t>Kumasi</w:t>
      </w:r>
      <w:r w:rsidR="00CB761F" w:rsidRPr="008B2C29">
        <w:rPr>
          <w:rFonts w:ascii="Arial" w:hAnsi="Arial" w:cs="Arial"/>
          <w:bCs/>
          <w:sz w:val="20"/>
          <w:szCs w:val="20"/>
          <w:lang w:val="en-US"/>
        </w:rPr>
        <w:t>, the dual nature of statutory and customary land tenure has frequently led to ambiguous land claims, conflicts, and insecurity. As a reaction, land registration has become a way of promoting openness, legal security, as well as accountability in land transactions.</w:t>
      </w:r>
      <w:r w:rsidR="003D20EC" w:rsidRPr="008B2C29">
        <w:rPr>
          <w:rFonts w:ascii="Arial" w:hAnsi="Arial" w:cs="Arial"/>
          <w:bCs/>
          <w:sz w:val="20"/>
          <w:szCs w:val="20"/>
          <w:lang w:val="en-US"/>
        </w:rPr>
        <w:t xml:space="preserve"> </w:t>
      </w:r>
      <w:r w:rsidR="00CB761F" w:rsidRPr="008B2C29">
        <w:rPr>
          <w:rFonts w:ascii="Arial" w:hAnsi="Arial" w:cs="Arial"/>
          <w:bCs/>
          <w:sz w:val="20"/>
          <w:szCs w:val="20"/>
          <w:lang w:val="en-US"/>
        </w:rPr>
        <w:t xml:space="preserve">Results of </w:t>
      </w:r>
      <w:r w:rsidR="003D20EC" w:rsidRPr="008B2C29">
        <w:rPr>
          <w:rFonts w:ascii="Arial" w:hAnsi="Arial" w:cs="Arial"/>
          <w:bCs/>
          <w:sz w:val="20"/>
          <w:szCs w:val="20"/>
          <w:lang w:val="en-US"/>
        </w:rPr>
        <w:t>the study</w:t>
      </w:r>
      <w:r w:rsidR="00CB761F" w:rsidRPr="008B2C29">
        <w:rPr>
          <w:rFonts w:ascii="Arial" w:hAnsi="Arial" w:cs="Arial"/>
          <w:bCs/>
          <w:sz w:val="20"/>
          <w:szCs w:val="20"/>
          <w:lang w:val="en-US"/>
        </w:rPr>
        <w:t xml:space="preserve"> indicate that most of the respondents recognize land registration as one of the main determinants of tenure security</w:t>
      </w:r>
      <w:r w:rsidR="00FD03B2" w:rsidRPr="008B2C29">
        <w:rPr>
          <w:rFonts w:ascii="Arial" w:hAnsi="Arial" w:cs="Arial"/>
          <w:bCs/>
          <w:sz w:val="20"/>
          <w:szCs w:val="20"/>
          <w:lang w:val="en-US"/>
        </w:rPr>
        <w:t>, as presented in Table 2</w:t>
      </w:r>
      <w:r w:rsidR="00CB761F" w:rsidRPr="008B2C29">
        <w:rPr>
          <w:rFonts w:ascii="Arial" w:hAnsi="Arial" w:cs="Arial"/>
          <w:bCs/>
          <w:sz w:val="20"/>
          <w:szCs w:val="20"/>
          <w:lang w:val="en-US"/>
        </w:rPr>
        <w:t>. 52% of the respondents indicated that registration provides legal security through the provision of documented proof of ownership or rights. This legal safeguard enables landowners to protect their land against encroachment and illegal claims.</w:t>
      </w:r>
      <w:r w:rsidR="00F43847" w:rsidRPr="008B2C29">
        <w:rPr>
          <w:rFonts w:ascii="Arial" w:hAnsi="Arial" w:cs="Arial"/>
          <w:bCs/>
          <w:sz w:val="20"/>
          <w:szCs w:val="20"/>
          <w:lang w:val="en-US"/>
        </w:rPr>
        <w:t xml:space="preserve"> This confirms what one interviewee from the Lands Commission stated.</w:t>
      </w:r>
      <w:r w:rsidR="00CB761F" w:rsidRPr="008B2C29">
        <w:rPr>
          <w:rFonts w:ascii="Arial" w:hAnsi="Arial" w:cs="Arial"/>
          <w:bCs/>
          <w:sz w:val="20"/>
          <w:szCs w:val="20"/>
          <w:lang w:val="en-US"/>
        </w:rPr>
        <w:t xml:space="preserve"> </w:t>
      </w:r>
      <w:r w:rsidR="00C45E15" w:rsidRPr="008B2C29">
        <w:rPr>
          <w:rFonts w:ascii="Arial" w:hAnsi="Arial" w:cs="Arial"/>
          <w:bCs/>
          <w:sz w:val="20"/>
          <w:szCs w:val="20"/>
          <w:lang w:val="en-US"/>
        </w:rPr>
        <w:t xml:space="preserve">He </w:t>
      </w:r>
      <w:r w:rsidR="00F43847" w:rsidRPr="008B2C29">
        <w:rPr>
          <w:rFonts w:ascii="Arial" w:hAnsi="Arial" w:cs="Arial"/>
          <w:bCs/>
          <w:sz w:val="20"/>
          <w:szCs w:val="20"/>
          <w:lang w:val="en-US"/>
        </w:rPr>
        <w:t xml:space="preserve">stated that: </w:t>
      </w:r>
    </w:p>
    <w:p w14:paraId="5AAA23F9" w14:textId="152D849A" w:rsidR="00F43847" w:rsidRPr="008B2C29" w:rsidRDefault="00F43847" w:rsidP="002C7DB3">
      <w:pPr>
        <w:spacing w:line="276" w:lineRule="auto"/>
        <w:ind w:left="454" w:right="454"/>
        <w:rPr>
          <w:rFonts w:ascii="Arial" w:hAnsi="Arial" w:cs="Arial"/>
          <w:bCs/>
          <w:i/>
          <w:iCs/>
          <w:sz w:val="20"/>
          <w:szCs w:val="20"/>
          <w:lang w:val="en-US"/>
        </w:rPr>
      </w:pPr>
      <w:r w:rsidRPr="008B2C29">
        <w:rPr>
          <w:rFonts w:ascii="Arial" w:hAnsi="Arial" w:cs="Arial"/>
          <w:bCs/>
          <w:i/>
          <w:iCs/>
          <w:sz w:val="20"/>
          <w:szCs w:val="20"/>
          <w:lang w:val="en-US"/>
        </w:rPr>
        <w:t>‘’Land registration provides documentary proof of ownership or rights over land (</w:t>
      </w:r>
      <w:proofErr w:type="spellStart"/>
      <w:r w:rsidRPr="008B2C29">
        <w:rPr>
          <w:rFonts w:ascii="Arial" w:hAnsi="Arial" w:cs="Arial"/>
          <w:bCs/>
          <w:i/>
          <w:iCs/>
          <w:sz w:val="20"/>
          <w:szCs w:val="20"/>
          <w:lang w:val="en-US"/>
        </w:rPr>
        <w:t>e.g</w:t>
      </w:r>
      <w:proofErr w:type="spellEnd"/>
      <w:r w:rsidRPr="008B2C29">
        <w:rPr>
          <w:rFonts w:ascii="Arial" w:hAnsi="Arial" w:cs="Arial"/>
          <w:bCs/>
          <w:i/>
          <w:iCs/>
          <w:sz w:val="20"/>
          <w:szCs w:val="20"/>
          <w:lang w:val="en-US"/>
        </w:rPr>
        <w:t>, title certificate or registered deeds). This formal recognition reduces the risks of land disputes, multiple sales, and fraudulent claims, offering individuals and institutions greater confidence and protection in their landholding’</w:t>
      </w:r>
      <w:proofErr w:type="gramStart"/>
      <w:r w:rsidRPr="008B2C29">
        <w:rPr>
          <w:rFonts w:ascii="Arial" w:hAnsi="Arial" w:cs="Arial"/>
          <w:bCs/>
          <w:i/>
          <w:iCs/>
          <w:sz w:val="20"/>
          <w:szCs w:val="20"/>
          <w:lang w:val="en-US"/>
        </w:rPr>
        <w:t>’</w:t>
      </w:r>
      <w:r w:rsidR="00693595" w:rsidRPr="008B2C29">
        <w:rPr>
          <w:rFonts w:ascii="Arial" w:hAnsi="Arial" w:cs="Arial"/>
          <w:bCs/>
          <w:i/>
          <w:iCs/>
          <w:sz w:val="20"/>
          <w:szCs w:val="20"/>
          <w:lang w:val="en-US"/>
        </w:rPr>
        <w:t xml:space="preserve"> </w:t>
      </w:r>
      <w:r w:rsidR="00F91CFA" w:rsidRPr="008B2C29">
        <w:rPr>
          <w:rFonts w:ascii="Arial" w:hAnsi="Arial" w:cs="Arial"/>
          <w:bCs/>
          <w:i/>
          <w:iCs/>
          <w:sz w:val="20"/>
          <w:szCs w:val="20"/>
          <w:lang w:val="en-US"/>
        </w:rPr>
        <w:t xml:space="preserve"> </w:t>
      </w:r>
      <w:r w:rsidR="00693595" w:rsidRPr="008B2C29">
        <w:rPr>
          <w:rFonts w:ascii="Arial" w:hAnsi="Arial" w:cs="Arial"/>
          <w:bCs/>
          <w:i/>
          <w:iCs/>
          <w:sz w:val="20"/>
          <w:szCs w:val="20"/>
          <w:lang w:val="en-US"/>
        </w:rPr>
        <w:t>(</w:t>
      </w:r>
      <w:proofErr w:type="gramEnd"/>
      <w:r w:rsidR="00F91CFA" w:rsidRPr="008B2C29">
        <w:rPr>
          <w:rFonts w:ascii="Arial" w:hAnsi="Arial" w:cs="Arial"/>
          <w:bCs/>
          <w:sz w:val="20"/>
          <w:szCs w:val="20"/>
          <w:lang w:val="en-US"/>
        </w:rPr>
        <w:t xml:space="preserve">Interview, </w:t>
      </w:r>
      <w:r w:rsidR="00693595" w:rsidRPr="008B2C29">
        <w:rPr>
          <w:rFonts w:ascii="Arial" w:hAnsi="Arial" w:cs="Arial"/>
          <w:bCs/>
          <w:sz w:val="20"/>
          <w:szCs w:val="20"/>
          <w:lang w:val="en-US"/>
        </w:rPr>
        <w:t xml:space="preserve">Land Officer 1, </w:t>
      </w:r>
      <w:r w:rsidR="00F91CFA" w:rsidRPr="008B2C29">
        <w:rPr>
          <w:rFonts w:ascii="Arial" w:hAnsi="Arial" w:cs="Arial"/>
          <w:bCs/>
          <w:sz w:val="20"/>
          <w:szCs w:val="20"/>
          <w:lang w:val="en-US"/>
        </w:rPr>
        <w:t>Lands Commission</w:t>
      </w:r>
      <w:r w:rsidR="00693595" w:rsidRPr="008B2C29">
        <w:rPr>
          <w:rFonts w:ascii="Arial" w:hAnsi="Arial" w:cs="Arial"/>
          <w:bCs/>
          <w:sz w:val="20"/>
          <w:szCs w:val="20"/>
          <w:lang w:val="en-US"/>
        </w:rPr>
        <w:t>, 2025)</w:t>
      </w:r>
      <w:r w:rsidR="00F91CFA" w:rsidRPr="008B2C29">
        <w:rPr>
          <w:rFonts w:ascii="Arial" w:hAnsi="Arial" w:cs="Arial"/>
          <w:bCs/>
          <w:i/>
          <w:iCs/>
          <w:sz w:val="20"/>
          <w:szCs w:val="20"/>
          <w:lang w:val="en-US"/>
        </w:rPr>
        <w:t>.</w:t>
      </w:r>
    </w:p>
    <w:p w14:paraId="6FFC671B" w14:textId="77777777" w:rsidR="00C45E15" w:rsidRPr="008B2C29" w:rsidRDefault="00CB761F"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Furthermore, 39% of the respondents indicated that land registration helps in eliminating land disputes. By creating land boundaries and ownership, it closes the door on the possibility of conflict among family members, neighbors, or competing claimants. This role of land registration is especially critical where customary land distribution is not normally formally documented. </w:t>
      </w:r>
      <w:r w:rsidR="00C45E15" w:rsidRPr="008B2C29">
        <w:rPr>
          <w:rFonts w:ascii="Arial" w:hAnsi="Arial" w:cs="Arial"/>
          <w:bCs/>
          <w:sz w:val="20"/>
          <w:szCs w:val="20"/>
          <w:lang w:val="en-US"/>
        </w:rPr>
        <w:t>Another interviewee indicated that:</w:t>
      </w:r>
    </w:p>
    <w:p w14:paraId="410C621B" w14:textId="5CA30ADB" w:rsidR="00C45E15" w:rsidRPr="008B2C29" w:rsidRDefault="00C45E15" w:rsidP="002C7DB3">
      <w:pPr>
        <w:spacing w:line="276" w:lineRule="auto"/>
        <w:ind w:left="454" w:right="454"/>
        <w:rPr>
          <w:rFonts w:ascii="Arial" w:hAnsi="Arial" w:cs="Arial"/>
          <w:bCs/>
          <w:sz w:val="20"/>
          <w:szCs w:val="20"/>
          <w:lang w:val="en-US"/>
        </w:rPr>
      </w:pPr>
      <w:r w:rsidRPr="008B2C29">
        <w:rPr>
          <w:rFonts w:ascii="Arial" w:hAnsi="Arial" w:cs="Arial"/>
          <w:bCs/>
          <w:i/>
          <w:iCs/>
          <w:sz w:val="20"/>
          <w:szCs w:val="20"/>
          <w:lang w:val="en-US"/>
        </w:rPr>
        <w:t>‘’ Before registration, there were numerous cases of overlapping claims and conflicts over boundaries or ownership. Through proper adjudication and demarcation during registration, many boundary disputes and family disputes have been minimized in areas’’</w:t>
      </w:r>
      <w:r w:rsidR="00693595" w:rsidRPr="008B2C29">
        <w:rPr>
          <w:rFonts w:ascii="Arial" w:hAnsi="Arial" w:cs="Arial"/>
          <w:bCs/>
          <w:sz w:val="20"/>
          <w:szCs w:val="20"/>
          <w:lang w:val="en-US"/>
        </w:rPr>
        <w:t xml:space="preserve"> </w:t>
      </w:r>
      <w:r w:rsidR="00693595" w:rsidRPr="008B2C29">
        <w:rPr>
          <w:rFonts w:ascii="Arial" w:hAnsi="Arial" w:cs="Arial"/>
          <w:bCs/>
          <w:i/>
          <w:iCs/>
          <w:sz w:val="20"/>
          <w:szCs w:val="20"/>
          <w:lang w:val="en-US"/>
        </w:rPr>
        <w:t>(</w:t>
      </w:r>
      <w:r w:rsidR="00693595" w:rsidRPr="008B2C29">
        <w:rPr>
          <w:rFonts w:ascii="Arial" w:hAnsi="Arial" w:cs="Arial"/>
          <w:bCs/>
          <w:sz w:val="20"/>
          <w:szCs w:val="20"/>
          <w:lang w:val="en-US"/>
        </w:rPr>
        <w:t>Interview, Land Officer 2, Lands Commission, 2025)</w:t>
      </w:r>
    </w:p>
    <w:p w14:paraId="3712B2BC" w14:textId="125F0D5E" w:rsidR="00CB761F" w:rsidRPr="008B2C29" w:rsidRDefault="00CB761F"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6% of those surveyed said that land registration enhances land value. Registered land is more appealing to buyers and investors since it is transparent and minimizes risks during transactions. This </w:t>
      </w:r>
      <w:r w:rsidRPr="008B2C29">
        <w:rPr>
          <w:rFonts w:ascii="Arial" w:hAnsi="Arial" w:cs="Arial"/>
          <w:bCs/>
          <w:sz w:val="20"/>
          <w:szCs w:val="20"/>
          <w:lang w:val="en-US"/>
        </w:rPr>
        <w:lastRenderedPageBreak/>
        <w:t>advantage, however, seems less important for the majority of the respondents since there is limited interaction with the formal land market.</w:t>
      </w:r>
      <w:r w:rsidR="00C45E15" w:rsidRPr="008B2C29">
        <w:rPr>
          <w:rFonts w:ascii="Arial" w:hAnsi="Arial" w:cs="Arial"/>
          <w:bCs/>
          <w:sz w:val="20"/>
          <w:szCs w:val="20"/>
          <w:lang w:val="en-US"/>
        </w:rPr>
        <w:t xml:space="preserve"> This data affirms what another interviewee indicated. He stated that:</w:t>
      </w:r>
    </w:p>
    <w:p w14:paraId="3A4C01A9" w14:textId="2FE3A313" w:rsidR="00C45E15" w:rsidRPr="008B2C29" w:rsidRDefault="00C45E15" w:rsidP="002C7DB3">
      <w:pPr>
        <w:spacing w:line="276" w:lineRule="auto"/>
        <w:ind w:left="454" w:right="454"/>
        <w:rPr>
          <w:rFonts w:ascii="Arial" w:hAnsi="Arial" w:cs="Arial"/>
          <w:bCs/>
          <w:sz w:val="20"/>
          <w:szCs w:val="20"/>
          <w:lang w:val="en-US"/>
        </w:rPr>
      </w:pPr>
      <w:r w:rsidRPr="008B2C29">
        <w:rPr>
          <w:rFonts w:ascii="Arial" w:hAnsi="Arial" w:cs="Arial"/>
          <w:bCs/>
          <w:i/>
          <w:iCs/>
          <w:sz w:val="20"/>
          <w:szCs w:val="20"/>
          <w:lang w:val="en-US"/>
        </w:rPr>
        <w:t xml:space="preserve">‘’Registered lands in Kumasi are easier to transact because they provide reliable information to buyers, investors, and financial institutions. This has led to </w:t>
      </w:r>
      <w:r w:rsidR="00120568" w:rsidRPr="008B2C29">
        <w:rPr>
          <w:rFonts w:ascii="Arial" w:hAnsi="Arial" w:cs="Arial"/>
          <w:bCs/>
          <w:i/>
          <w:iCs/>
          <w:sz w:val="20"/>
          <w:szCs w:val="20"/>
          <w:lang w:val="en-US"/>
        </w:rPr>
        <w:t>increased land values in registered zones’’</w:t>
      </w:r>
      <w:r w:rsidR="00693595" w:rsidRPr="008B2C29">
        <w:rPr>
          <w:rFonts w:ascii="Arial" w:hAnsi="Arial" w:cs="Arial"/>
          <w:bCs/>
          <w:i/>
          <w:iCs/>
          <w:sz w:val="20"/>
          <w:szCs w:val="20"/>
          <w:lang w:val="en-US"/>
        </w:rPr>
        <w:t xml:space="preserve"> (</w:t>
      </w:r>
      <w:r w:rsidR="00693595" w:rsidRPr="008B2C29">
        <w:rPr>
          <w:rFonts w:ascii="Arial" w:hAnsi="Arial" w:cs="Arial"/>
          <w:bCs/>
          <w:sz w:val="20"/>
          <w:szCs w:val="20"/>
          <w:lang w:val="en-US"/>
        </w:rPr>
        <w:t>Interview, Land Officer 3, Lands Commission, 2025).</w:t>
      </w:r>
    </w:p>
    <w:p w14:paraId="348F2F82" w14:textId="63908505" w:rsidR="004C7C47" w:rsidRPr="008B2C29" w:rsidRDefault="00CB761F" w:rsidP="002C7DB3">
      <w:pPr>
        <w:spacing w:line="276" w:lineRule="auto"/>
        <w:rPr>
          <w:rFonts w:ascii="Arial" w:hAnsi="Arial" w:cs="Arial"/>
          <w:bCs/>
          <w:sz w:val="20"/>
          <w:szCs w:val="20"/>
          <w:lang w:val="en-US"/>
        </w:rPr>
      </w:pPr>
      <w:r w:rsidRPr="008B2C29">
        <w:rPr>
          <w:rFonts w:ascii="Arial" w:hAnsi="Arial" w:cs="Arial"/>
          <w:bCs/>
          <w:sz w:val="20"/>
          <w:szCs w:val="20"/>
          <w:lang w:val="en-US"/>
        </w:rPr>
        <w:t>Improved access to loans was cited as a result of land registration by only 3% of the survey respondents. Even though in theory land titles can serve as collateral for credit, this result indicates that in reality, there are access constraints for the majority of land owners, e.g., limited bank access or lenders' suspicion.</w:t>
      </w:r>
      <w:r w:rsidR="003D20EC" w:rsidRPr="008B2C29">
        <w:rPr>
          <w:rFonts w:ascii="Arial" w:hAnsi="Arial" w:cs="Arial"/>
          <w:bCs/>
          <w:sz w:val="20"/>
          <w:szCs w:val="20"/>
          <w:lang w:val="en-US"/>
        </w:rPr>
        <w:t xml:space="preserve"> </w:t>
      </w:r>
      <w:r w:rsidRPr="008B2C29">
        <w:rPr>
          <w:rFonts w:ascii="Arial" w:hAnsi="Arial" w:cs="Arial"/>
          <w:bCs/>
          <w:sz w:val="20"/>
          <w:szCs w:val="20"/>
          <w:lang w:val="en-US"/>
        </w:rPr>
        <w:t>Generally, the evidence is that land registration is seen more in terms of its conflict-prevention and safeguarding role than for economic reasons.</w:t>
      </w:r>
    </w:p>
    <w:p w14:paraId="741E612B" w14:textId="2CB22371" w:rsidR="004C7C47" w:rsidRPr="008B2C29" w:rsidRDefault="004C7C47" w:rsidP="002C7DB3">
      <w:pPr>
        <w:spacing w:line="276" w:lineRule="auto"/>
        <w:rPr>
          <w:rFonts w:ascii="Arial" w:hAnsi="Arial" w:cs="Arial"/>
          <w:b/>
          <w:bCs/>
          <w:sz w:val="20"/>
          <w:szCs w:val="20"/>
          <w:lang w:val="en-US"/>
        </w:rPr>
      </w:pPr>
      <w:r w:rsidRPr="008B2C29">
        <w:rPr>
          <w:rFonts w:ascii="Arial" w:hAnsi="Arial" w:cs="Arial"/>
          <w:b/>
          <w:bCs/>
          <w:sz w:val="20"/>
          <w:szCs w:val="20"/>
          <w:lang w:val="en-US"/>
        </w:rPr>
        <w:t xml:space="preserve">Table </w:t>
      </w:r>
      <w:r w:rsidR="009E717D" w:rsidRPr="008B2C29">
        <w:rPr>
          <w:rFonts w:ascii="Arial" w:hAnsi="Arial" w:cs="Arial"/>
          <w:b/>
          <w:bCs/>
          <w:sz w:val="20"/>
          <w:szCs w:val="20"/>
          <w:lang w:val="en-US"/>
        </w:rPr>
        <w:t>2</w:t>
      </w:r>
      <w:r w:rsidRPr="008B2C29">
        <w:rPr>
          <w:rFonts w:ascii="Arial" w:hAnsi="Arial" w:cs="Arial"/>
          <w:b/>
          <w:bCs/>
          <w:sz w:val="20"/>
          <w:szCs w:val="20"/>
          <w:lang w:val="en-US"/>
        </w:rPr>
        <w:t>: Effects of Land Registration on Tenure Security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42"/>
        <w:gridCol w:w="3598"/>
      </w:tblGrid>
      <w:tr w:rsidR="008B2C29" w:rsidRPr="008B2C29" w14:paraId="3EAE7905" w14:textId="77777777" w:rsidTr="00302F49">
        <w:trPr>
          <w:trHeight w:val="251"/>
          <w:tblHeader/>
          <w:tblCellSpacing w:w="15" w:type="dxa"/>
          <w:jc w:val="center"/>
        </w:trPr>
        <w:tc>
          <w:tcPr>
            <w:tcW w:w="3397" w:type="dxa"/>
            <w:tcBorders>
              <w:top w:val="single" w:sz="4" w:space="0" w:color="auto"/>
              <w:bottom w:val="single" w:sz="4" w:space="0" w:color="auto"/>
            </w:tcBorders>
            <w:vAlign w:val="center"/>
            <w:hideMark/>
          </w:tcPr>
          <w:p w14:paraId="4C82B1BF" w14:textId="77777777" w:rsidR="004C7C47" w:rsidRPr="008B2C29" w:rsidRDefault="004C7C47" w:rsidP="002C7DB3">
            <w:pPr>
              <w:spacing w:line="276" w:lineRule="auto"/>
              <w:rPr>
                <w:rFonts w:ascii="Arial" w:hAnsi="Arial" w:cs="Arial"/>
                <w:b/>
                <w:bCs/>
                <w:sz w:val="20"/>
                <w:szCs w:val="20"/>
                <w:lang w:val="en-US"/>
              </w:rPr>
            </w:pPr>
            <w:r w:rsidRPr="008B2C29">
              <w:rPr>
                <w:rFonts w:ascii="Arial" w:hAnsi="Arial" w:cs="Arial"/>
                <w:b/>
                <w:bCs/>
                <w:sz w:val="20"/>
                <w:szCs w:val="20"/>
                <w:lang w:val="en-US"/>
              </w:rPr>
              <w:t>Effect of Land Registration</w:t>
            </w:r>
          </w:p>
        </w:tc>
        <w:tc>
          <w:tcPr>
            <w:tcW w:w="3553" w:type="dxa"/>
            <w:tcBorders>
              <w:top w:val="single" w:sz="4" w:space="0" w:color="auto"/>
              <w:bottom w:val="single" w:sz="4" w:space="0" w:color="auto"/>
            </w:tcBorders>
            <w:vAlign w:val="center"/>
            <w:hideMark/>
          </w:tcPr>
          <w:p w14:paraId="4CE9C16E" w14:textId="77777777" w:rsidR="004C7C47" w:rsidRPr="008B2C29" w:rsidRDefault="004C7C47" w:rsidP="002C7DB3">
            <w:pPr>
              <w:spacing w:line="276" w:lineRule="auto"/>
              <w:jc w:val="center"/>
              <w:rPr>
                <w:rFonts w:ascii="Arial" w:hAnsi="Arial" w:cs="Arial"/>
                <w:b/>
                <w:bCs/>
                <w:sz w:val="20"/>
                <w:szCs w:val="20"/>
                <w:lang w:val="en-US"/>
              </w:rPr>
            </w:pPr>
            <w:r w:rsidRPr="008B2C29">
              <w:rPr>
                <w:rFonts w:ascii="Arial" w:hAnsi="Arial" w:cs="Arial"/>
                <w:b/>
                <w:bCs/>
                <w:sz w:val="20"/>
                <w:szCs w:val="20"/>
                <w:lang w:val="en-US"/>
              </w:rPr>
              <w:t>Percentage of Respondents (%)</w:t>
            </w:r>
          </w:p>
        </w:tc>
      </w:tr>
      <w:tr w:rsidR="008B2C29" w:rsidRPr="008B2C29" w14:paraId="25FAA270" w14:textId="77777777" w:rsidTr="00302F49">
        <w:trPr>
          <w:trHeight w:val="228"/>
          <w:tblCellSpacing w:w="15" w:type="dxa"/>
          <w:jc w:val="center"/>
        </w:trPr>
        <w:tc>
          <w:tcPr>
            <w:tcW w:w="3397" w:type="dxa"/>
            <w:vAlign w:val="center"/>
            <w:hideMark/>
          </w:tcPr>
          <w:p w14:paraId="46658969" w14:textId="77777777" w:rsidR="004C7C47" w:rsidRPr="008B2C29" w:rsidRDefault="004C7C47" w:rsidP="002C7DB3">
            <w:pPr>
              <w:spacing w:line="276" w:lineRule="auto"/>
              <w:rPr>
                <w:rFonts w:ascii="Arial" w:hAnsi="Arial" w:cs="Arial"/>
                <w:bCs/>
                <w:sz w:val="20"/>
                <w:szCs w:val="20"/>
                <w:lang w:val="en-US"/>
              </w:rPr>
            </w:pPr>
            <w:r w:rsidRPr="008B2C29">
              <w:rPr>
                <w:rFonts w:ascii="Arial" w:hAnsi="Arial" w:cs="Arial"/>
                <w:bCs/>
                <w:sz w:val="20"/>
                <w:szCs w:val="20"/>
                <w:lang w:val="en-US"/>
              </w:rPr>
              <w:t>Legal security</w:t>
            </w:r>
          </w:p>
        </w:tc>
        <w:tc>
          <w:tcPr>
            <w:tcW w:w="3553" w:type="dxa"/>
            <w:vAlign w:val="center"/>
            <w:hideMark/>
          </w:tcPr>
          <w:p w14:paraId="40555DC2" w14:textId="490671F4" w:rsidR="004C7C47" w:rsidRPr="008B2C29" w:rsidRDefault="004C7C47" w:rsidP="002C7DB3">
            <w:pPr>
              <w:spacing w:line="276" w:lineRule="auto"/>
              <w:jc w:val="center"/>
              <w:rPr>
                <w:rFonts w:ascii="Arial" w:hAnsi="Arial" w:cs="Arial"/>
                <w:bCs/>
                <w:sz w:val="20"/>
                <w:szCs w:val="20"/>
                <w:lang w:val="en-US"/>
              </w:rPr>
            </w:pPr>
            <w:r w:rsidRPr="008B2C29">
              <w:rPr>
                <w:rFonts w:ascii="Arial" w:hAnsi="Arial" w:cs="Arial"/>
                <w:bCs/>
                <w:sz w:val="20"/>
                <w:szCs w:val="20"/>
                <w:lang w:val="en-US"/>
              </w:rPr>
              <w:t>52</w:t>
            </w:r>
          </w:p>
        </w:tc>
      </w:tr>
      <w:tr w:rsidR="008B2C29" w:rsidRPr="008B2C29" w14:paraId="705E1B15" w14:textId="77777777" w:rsidTr="00302F49">
        <w:trPr>
          <w:trHeight w:val="235"/>
          <w:tblCellSpacing w:w="15" w:type="dxa"/>
          <w:jc w:val="center"/>
        </w:trPr>
        <w:tc>
          <w:tcPr>
            <w:tcW w:w="3397" w:type="dxa"/>
            <w:vAlign w:val="center"/>
            <w:hideMark/>
          </w:tcPr>
          <w:p w14:paraId="1B3656B1" w14:textId="77777777" w:rsidR="004C7C47" w:rsidRPr="008B2C29" w:rsidRDefault="004C7C47" w:rsidP="002C7DB3">
            <w:pPr>
              <w:spacing w:line="276" w:lineRule="auto"/>
              <w:rPr>
                <w:rFonts w:ascii="Arial" w:hAnsi="Arial" w:cs="Arial"/>
                <w:bCs/>
                <w:sz w:val="20"/>
                <w:szCs w:val="20"/>
                <w:lang w:val="en-US"/>
              </w:rPr>
            </w:pPr>
            <w:r w:rsidRPr="008B2C29">
              <w:rPr>
                <w:rFonts w:ascii="Arial" w:hAnsi="Arial" w:cs="Arial"/>
                <w:bCs/>
                <w:sz w:val="20"/>
                <w:szCs w:val="20"/>
                <w:lang w:val="en-US"/>
              </w:rPr>
              <w:t>Reduction in land disputes</w:t>
            </w:r>
          </w:p>
        </w:tc>
        <w:tc>
          <w:tcPr>
            <w:tcW w:w="3553" w:type="dxa"/>
            <w:vAlign w:val="center"/>
            <w:hideMark/>
          </w:tcPr>
          <w:p w14:paraId="0EA87A07" w14:textId="174E778F" w:rsidR="004C7C47" w:rsidRPr="008B2C29" w:rsidRDefault="004C7C47" w:rsidP="002C7DB3">
            <w:pPr>
              <w:spacing w:line="276" w:lineRule="auto"/>
              <w:jc w:val="center"/>
              <w:rPr>
                <w:rFonts w:ascii="Arial" w:hAnsi="Arial" w:cs="Arial"/>
                <w:bCs/>
                <w:sz w:val="20"/>
                <w:szCs w:val="20"/>
                <w:lang w:val="en-US"/>
              </w:rPr>
            </w:pPr>
            <w:r w:rsidRPr="008B2C29">
              <w:rPr>
                <w:rFonts w:ascii="Arial" w:hAnsi="Arial" w:cs="Arial"/>
                <w:bCs/>
                <w:sz w:val="20"/>
                <w:szCs w:val="20"/>
                <w:lang w:val="en-US"/>
              </w:rPr>
              <w:t>39</w:t>
            </w:r>
          </w:p>
        </w:tc>
      </w:tr>
      <w:tr w:rsidR="008B2C29" w:rsidRPr="008B2C29" w14:paraId="2B4B461B" w14:textId="77777777" w:rsidTr="00302F49">
        <w:trPr>
          <w:trHeight w:val="215"/>
          <w:tblCellSpacing w:w="15" w:type="dxa"/>
          <w:jc w:val="center"/>
        </w:trPr>
        <w:tc>
          <w:tcPr>
            <w:tcW w:w="3397" w:type="dxa"/>
            <w:vAlign w:val="center"/>
            <w:hideMark/>
          </w:tcPr>
          <w:p w14:paraId="6541EBD6" w14:textId="77777777" w:rsidR="004C7C47" w:rsidRPr="008B2C29" w:rsidRDefault="004C7C47" w:rsidP="002C7DB3">
            <w:pPr>
              <w:spacing w:line="276" w:lineRule="auto"/>
              <w:rPr>
                <w:rFonts w:ascii="Arial" w:hAnsi="Arial" w:cs="Arial"/>
                <w:bCs/>
                <w:sz w:val="20"/>
                <w:szCs w:val="20"/>
                <w:lang w:val="en-US"/>
              </w:rPr>
            </w:pPr>
            <w:r w:rsidRPr="008B2C29">
              <w:rPr>
                <w:rFonts w:ascii="Arial" w:hAnsi="Arial" w:cs="Arial"/>
                <w:bCs/>
                <w:sz w:val="20"/>
                <w:szCs w:val="20"/>
                <w:lang w:val="en-US"/>
              </w:rPr>
              <w:t>Increase in land value</w:t>
            </w:r>
          </w:p>
        </w:tc>
        <w:tc>
          <w:tcPr>
            <w:tcW w:w="3553" w:type="dxa"/>
            <w:vAlign w:val="center"/>
            <w:hideMark/>
          </w:tcPr>
          <w:p w14:paraId="2D0170A5" w14:textId="384D5B3A" w:rsidR="004C7C47" w:rsidRPr="008B2C29" w:rsidRDefault="004C7C47" w:rsidP="002C7DB3">
            <w:pPr>
              <w:spacing w:line="276" w:lineRule="auto"/>
              <w:jc w:val="center"/>
              <w:rPr>
                <w:rFonts w:ascii="Arial" w:hAnsi="Arial" w:cs="Arial"/>
                <w:bCs/>
                <w:sz w:val="20"/>
                <w:szCs w:val="20"/>
                <w:lang w:val="en-US"/>
              </w:rPr>
            </w:pPr>
            <w:r w:rsidRPr="008B2C29">
              <w:rPr>
                <w:rFonts w:ascii="Arial" w:hAnsi="Arial" w:cs="Arial"/>
                <w:bCs/>
                <w:sz w:val="20"/>
                <w:szCs w:val="20"/>
                <w:lang w:val="en-US"/>
              </w:rPr>
              <w:t>6</w:t>
            </w:r>
          </w:p>
        </w:tc>
      </w:tr>
      <w:tr w:rsidR="008B2C29" w:rsidRPr="008B2C29" w14:paraId="1FAF84CC" w14:textId="77777777" w:rsidTr="00302F49">
        <w:trPr>
          <w:trHeight w:val="67"/>
          <w:tblCellSpacing w:w="15" w:type="dxa"/>
          <w:jc w:val="center"/>
        </w:trPr>
        <w:tc>
          <w:tcPr>
            <w:tcW w:w="3397" w:type="dxa"/>
            <w:vAlign w:val="center"/>
            <w:hideMark/>
          </w:tcPr>
          <w:p w14:paraId="01CD3D53" w14:textId="77777777" w:rsidR="004C7C47" w:rsidRPr="008B2C29" w:rsidRDefault="004C7C47" w:rsidP="002C7DB3">
            <w:pPr>
              <w:spacing w:line="276" w:lineRule="auto"/>
              <w:rPr>
                <w:rFonts w:ascii="Arial" w:hAnsi="Arial" w:cs="Arial"/>
                <w:bCs/>
                <w:sz w:val="20"/>
                <w:szCs w:val="20"/>
                <w:lang w:val="en-US"/>
              </w:rPr>
            </w:pPr>
            <w:r w:rsidRPr="008B2C29">
              <w:rPr>
                <w:rFonts w:ascii="Arial" w:hAnsi="Arial" w:cs="Arial"/>
                <w:bCs/>
                <w:sz w:val="20"/>
                <w:szCs w:val="20"/>
                <w:lang w:val="en-US"/>
              </w:rPr>
              <w:t>Access to loans</w:t>
            </w:r>
          </w:p>
        </w:tc>
        <w:tc>
          <w:tcPr>
            <w:tcW w:w="3553" w:type="dxa"/>
            <w:vAlign w:val="center"/>
            <w:hideMark/>
          </w:tcPr>
          <w:p w14:paraId="39B63F84" w14:textId="0AB19558" w:rsidR="004C7C47" w:rsidRPr="008B2C29" w:rsidRDefault="004C7C47" w:rsidP="002C7DB3">
            <w:pPr>
              <w:spacing w:line="276" w:lineRule="auto"/>
              <w:jc w:val="center"/>
              <w:rPr>
                <w:rFonts w:ascii="Arial" w:hAnsi="Arial" w:cs="Arial"/>
                <w:bCs/>
                <w:sz w:val="20"/>
                <w:szCs w:val="20"/>
                <w:lang w:val="en-US"/>
              </w:rPr>
            </w:pPr>
            <w:r w:rsidRPr="008B2C29">
              <w:rPr>
                <w:rFonts w:ascii="Arial" w:hAnsi="Arial" w:cs="Arial"/>
                <w:bCs/>
                <w:sz w:val="20"/>
                <w:szCs w:val="20"/>
                <w:lang w:val="en-US"/>
              </w:rPr>
              <w:t>3</w:t>
            </w:r>
          </w:p>
        </w:tc>
      </w:tr>
      <w:tr w:rsidR="008B2C29" w:rsidRPr="008B2C29" w14:paraId="35D17C4A" w14:textId="77777777" w:rsidTr="00302F49">
        <w:trPr>
          <w:trHeight w:val="193"/>
          <w:tblCellSpacing w:w="15" w:type="dxa"/>
          <w:jc w:val="center"/>
        </w:trPr>
        <w:tc>
          <w:tcPr>
            <w:tcW w:w="3397" w:type="dxa"/>
            <w:tcBorders>
              <w:top w:val="single" w:sz="4" w:space="0" w:color="auto"/>
              <w:bottom w:val="single" w:sz="4" w:space="0" w:color="auto"/>
            </w:tcBorders>
            <w:vAlign w:val="center"/>
          </w:tcPr>
          <w:p w14:paraId="49BF28C8" w14:textId="69C70120" w:rsidR="009E717D" w:rsidRPr="008B2C29" w:rsidRDefault="009E717D" w:rsidP="002C7DB3">
            <w:pPr>
              <w:spacing w:line="276" w:lineRule="auto"/>
              <w:rPr>
                <w:rFonts w:ascii="Arial" w:hAnsi="Arial" w:cs="Arial"/>
                <w:b/>
                <w:sz w:val="20"/>
                <w:szCs w:val="20"/>
                <w:lang w:val="en-US"/>
              </w:rPr>
            </w:pPr>
            <w:r w:rsidRPr="008B2C29">
              <w:rPr>
                <w:rFonts w:ascii="Arial" w:hAnsi="Arial" w:cs="Arial"/>
                <w:b/>
                <w:sz w:val="20"/>
                <w:szCs w:val="20"/>
                <w:lang w:val="en-US"/>
              </w:rPr>
              <w:t>Total</w:t>
            </w:r>
          </w:p>
        </w:tc>
        <w:tc>
          <w:tcPr>
            <w:tcW w:w="3553" w:type="dxa"/>
            <w:tcBorders>
              <w:top w:val="single" w:sz="4" w:space="0" w:color="auto"/>
              <w:bottom w:val="single" w:sz="4" w:space="0" w:color="auto"/>
            </w:tcBorders>
            <w:vAlign w:val="center"/>
          </w:tcPr>
          <w:p w14:paraId="458C637D" w14:textId="5C0BED4F" w:rsidR="009E717D" w:rsidRPr="008B2C29" w:rsidRDefault="009E717D" w:rsidP="002C7DB3">
            <w:pPr>
              <w:spacing w:line="276" w:lineRule="auto"/>
              <w:jc w:val="center"/>
              <w:rPr>
                <w:rFonts w:ascii="Arial" w:hAnsi="Arial" w:cs="Arial"/>
                <w:b/>
                <w:sz w:val="20"/>
                <w:szCs w:val="20"/>
                <w:lang w:val="en-US"/>
              </w:rPr>
            </w:pPr>
            <w:r w:rsidRPr="008B2C29">
              <w:rPr>
                <w:rFonts w:ascii="Arial" w:hAnsi="Arial" w:cs="Arial"/>
                <w:b/>
                <w:sz w:val="20"/>
                <w:szCs w:val="20"/>
                <w:lang w:val="en-US"/>
              </w:rPr>
              <w:t>100</w:t>
            </w:r>
          </w:p>
        </w:tc>
      </w:tr>
    </w:tbl>
    <w:p w14:paraId="6C15F68B" w14:textId="1B089158" w:rsidR="004C7C47" w:rsidRPr="008B2C29" w:rsidRDefault="009A59CE" w:rsidP="002C7DB3">
      <w:pPr>
        <w:spacing w:line="276" w:lineRule="auto"/>
        <w:rPr>
          <w:rFonts w:ascii="Arial" w:hAnsi="Arial" w:cs="Arial"/>
          <w:bCs/>
          <w:sz w:val="20"/>
          <w:szCs w:val="20"/>
          <w:lang w:val="en-US"/>
        </w:rPr>
      </w:pPr>
      <w:r w:rsidRPr="008B2C29">
        <w:rPr>
          <w:rFonts w:ascii="Arial" w:hAnsi="Arial" w:cs="Arial"/>
          <w:bCs/>
          <w:sz w:val="20"/>
          <w:szCs w:val="20"/>
          <w:lang w:val="en-US"/>
        </w:rPr>
        <w:t>Source: Authors’ Construct</w:t>
      </w:r>
    </w:p>
    <w:p w14:paraId="7F5BEF17" w14:textId="48DECA49" w:rsidR="00FB6098" w:rsidRPr="008B2C29" w:rsidRDefault="00FB6098"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 xml:space="preserve">Factors </w:t>
      </w:r>
      <w:r w:rsidR="007A252D" w:rsidRPr="008B2C29">
        <w:rPr>
          <w:rFonts w:ascii="Arial" w:hAnsi="Arial" w:cs="Arial"/>
          <w:b/>
          <w:sz w:val="20"/>
          <w:szCs w:val="20"/>
        </w:rPr>
        <w:t>Preventing</w:t>
      </w:r>
      <w:r w:rsidRPr="008B2C29">
        <w:rPr>
          <w:rFonts w:ascii="Arial" w:hAnsi="Arial" w:cs="Arial"/>
          <w:b/>
          <w:sz w:val="20"/>
          <w:szCs w:val="20"/>
        </w:rPr>
        <w:t xml:space="preserve"> </w:t>
      </w:r>
      <w:r w:rsidR="007A252D" w:rsidRPr="008B2C29">
        <w:rPr>
          <w:rFonts w:ascii="Arial" w:hAnsi="Arial" w:cs="Arial"/>
          <w:b/>
          <w:sz w:val="20"/>
          <w:szCs w:val="20"/>
        </w:rPr>
        <w:t>L</w:t>
      </w:r>
      <w:r w:rsidRPr="008B2C29">
        <w:rPr>
          <w:rFonts w:ascii="Arial" w:hAnsi="Arial" w:cs="Arial"/>
          <w:b/>
          <w:sz w:val="20"/>
          <w:szCs w:val="20"/>
        </w:rPr>
        <w:t>andholders</w:t>
      </w:r>
      <w:r w:rsidR="007A252D" w:rsidRPr="008B2C29">
        <w:rPr>
          <w:rFonts w:ascii="Arial" w:hAnsi="Arial" w:cs="Arial"/>
          <w:b/>
          <w:sz w:val="20"/>
          <w:szCs w:val="20"/>
        </w:rPr>
        <w:t xml:space="preserve"> from Registering their Land</w:t>
      </w:r>
    </w:p>
    <w:p w14:paraId="6A5B5D30" w14:textId="34CB8282" w:rsidR="006E6720" w:rsidRPr="008B2C29" w:rsidRDefault="006E6720"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Though land registration is commonly thought to be a way of increasing the security of tenure and minimizing conflict, a number of impediments still discourage land owners from registering land. Respondents in this </w:t>
      </w:r>
      <w:r w:rsidR="00FD03B2" w:rsidRPr="008B2C29">
        <w:rPr>
          <w:rFonts w:ascii="Arial" w:hAnsi="Arial" w:cs="Arial"/>
          <w:bCs/>
          <w:sz w:val="20"/>
          <w:szCs w:val="20"/>
          <w:lang w:val="en-US"/>
        </w:rPr>
        <w:t>study</w:t>
      </w:r>
      <w:r w:rsidRPr="008B2C29">
        <w:rPr>
          <w:rFonts w:ascii="Arial" w:hAnsi="Arial" w:cs="Arial"/>
          <w:bCs/>
          <w:sz w:val="20"/>
          <w:szCs w:val="20"/>
          <w:lang w:val="en-US"/>
        </w:rPr>
        <w:t xml:space="preserve"> mentioned a number of reasons why they are limited in their willingness or ability to register their land</w:t>
      </w:r>
      <w:r w:rsidR="00120568" w:rsidRPr="008B2C29">
        <w:rPr>
          <w:rFonts w:ascii="Arial" w:hAnsi="Arial" w:cs="Arial"/>
          <w:bCs/>
          <w:sz w:val="20"/>
          <w:szCs w:val="20"/>
          <w:lang w:val="en-US"/>
        </w:rPr>
        <w:t>,</w:t>
      </w:r>
      <w:r w:rsidR="004F3A4C" w:rsidRPr="008B2C29">
        <w:rPr>
          <w:rFonts w:ascii="Arial" w:hAnsi="Arial" w:cs="Arial"/>
          <w:bCs/>
          <w:sz w:val="20"/>
          <w:szCs w:val="20"/>
          <w:lang w:val="en-US"/>
        </w:rPr>
        <w:t xml:space="preserve"> as shown in Table 3</w:t>
      </w:r>
      <w:r w:rsidRPr="008B2C29">
        <w:rPr>
          <w:rFonts w:ascii="Arial" w:hAnsi="Arial" w:cs="Arial"/>
          <w:bCs/>
          <w:sz w:val="20"/>
          <w:szCs w:val="20"/>
          <w:lang w:val="en-US"/>
        </w:rPr>
        <w:t>. The most threatening impediment mentioned was the high cost of land registration, as mentioned by 65% of the respondents. Most property owners view the cost requirements of registration, including processing fees, survey fees, and attorney fees, as unaffordable. Such a finding is reflective of the necessity for policy reforms that make registration fair, particularly for low-income and rural dwellers.</w:t>
      </w:r>
      <w:r w:rsidR="004F3A4C" w:rsidRPr="008B2C29">
        <w:rPr>
          <w:rFonts w:ascii="Arial" w:hAnsi="Arial" w:cs="Arial"/>
          <w:bCs/>
          <w:sz w:val="20"/>
          <w:szCs w:val="20"/>
          <w:lang w:val="en-US"/>
        </w:rPr>
        <w:t xml:space="preserve"> </w:t>
      </w:r>
      <w:r w:rsidR="00120568" w:rsidRPr="008B2C29">
        <w:rPr>
          <w:rFonts w:ascii="Arial" w:hAnsi="Arial" w:cs="Arial"/>
          <w:bCs/>
          <w:sz w:val="20"/>
          <w:szCs w:val="20"/>
          <w:lang w:val="en-US"/>
        </w:rPr>
        <w:t>This affirms what o</w:t>
      </w:r>
      <w:r w:rsidR="004F3A4C" w:rsidRPr="008B2C29">
        <w:rPr>
          <w:rFonts w:ascii="Arial" w:hAnsi="Arial" w:cs="Arial"/>
          <w:bCs/>
          <w:sz w:val="20"/>
          <w:szCs w:val="20"/>
          <w:lang w:val="en-US"/>
        </w:rPr>
        <w:t>ne interviewee stated</w:t>
      </w:r>
      <w:r w:rsidR="00120568" w:rsidRPr="008B2C29">
        <w:rPr>
          <w:rFonts w:ascii="Arial" w:hAnsi="Arial" w:cs="Arial"/>
          <w:bCs/>
          <w:sz w:val="20"/>
          <w:szCs w:val="20"/>
          <w:lang w:val="en-US"/>
        </w:rPr>
        <w:t>,</w:t>
      </w:r>
      <w:r w:rsidR="004F3A4C" w:rsidRPr="008B2C29">
        <w:rPr>
          <w:rFonts w:ascii="Arial" w:hAnsi="Arial" w:cs="Arial"/>
          <w:bCs/>
          <w:sz w:val="20"/>
          <w:szCs w:val="20"/>
          <w:lang w:val="en-US"/>
        </w:rPr>
        <w:t xml:space="preserve"> that:</w:t>
      </w:r>
    </w:p>
    <w:p w14:paraId="71F8DED0" w14:textId="0AC9DBB7" w:rsidR="00120568" w:rsidRPr="008B2C29" w:rsidRDefault="00120568" w:rsidP="002C7DB3">
      <w:pPr>
        <w:spacing w:line="276" w:lineRule="auto"/>
        <w:ind w:left="454" w:right="454"/>
        <w:rPr>
          <w:rFonts w:ascii="Arial" w:hAnsi="Arial" w:cs="Arial"/>
          <w:bCs/>
          <w:i/>
          <w:iCs/>
          <w:sz w:val="20"/>
          <w:szCs w:val="20"/>
          <w:lang w:val="en-US"/>
        </w:rPr>
      </w:pPr>
      <w:r w:rsidRPr="008B2C29">
        <w:rPr>
          <w:rFonts w:ascii="Arial" w:hAnsi="Arial" w:cs="Arial"/>
          <w:bCs/>
          <w:i/>
          <w:iCs/>
          <w:sz w:val="20"/>
          <w:szCs w:val="20"/>
          <w:lang w:val="en-US"/>
        </w:rPr>
        <w:t>‘’Land rights holders often perceive land registration as financially burdensome, especially for low-and middle-income households’’</w:t>
      </w:r>
      <w:r w:rsidR="00693595" w:rsidRPr="008B2C29">
        <w:rPr>
          <w:rFonts w:ascii="Arial" w:hAnsi="Arial" w:cs="Arial"/>
          <w:bCs/>
          <w:i/>
          <w:iCs/>
          <w:sz w:val="20"/>
          <w:szCs w:val="20"/>
          <w:lang w:val="en-US"/>
        </w:rPr>
        <w:t xml:space="preserve"> (</w:t>
      </w:r>
      <w:r w:rsidR="00693595" w:rsidRPr="008B2C29">
        <w:rPr>
          <w:rFonts w:ascii="Arial" w:hAnsi="Arial" w:cs="Arial"/>
          <w:bCs/>
          <w:sz w:val="20"/>
          <w:szCs w:val="20"/>
          <w:lang w:val="en-US"/>
        </w:rPr>
        <w:t>Interview, Land Officer 2, Lands Commission, 2025).</w:t>
      </w:r>
    </w:p>
    <w:p w14:paraId="14BB6242" w14:textId="63D2448D" w:rsidR="008034DE" w:rsidRPr="008B2C29" w:rsidRDefault="006E6720" w:rsidP="002C7DB3">
      <w:pPr>
        <w:spacing w:line="276" w:lineRule="auto"/>
        <w:ind w:left="454" w:right="454"/>
        <w:rPr>
          <w:rFonts w:ascii="Arial" w:hAnsi="Arial" w:cs="Arial"/>
          <w:bCs/>
          <w:i/>
          <w:iCs/>
          <w:sz w:val="20"/>
          <w:szCs w:val="20"/>
          <w:lang w:val="en-US"/>
        </w:rPr>
      </w:pPr>
      <w:r w:rsidRPr="008B2C29">
        <w:rPr>
          <w:rFonts w:ascii="Arial" w:hAnsi="Arial" w:cs="Arial"/>
          <w:bCs/>
          <w:sz w:val="20"/>
          <w:szCs w:val="20"/>
          <w:lang w:val="en-US"/>
        </w:rPr>
        <w:t>An additional 23% of the interviewees identified length and procedural complexity as a primary disincentive. The bureaucratic process of registration, with delay, ambiguous requirements, and duplicated institutional functions, discredits landholders for undertaking or completing the same. Such inefficiency is usually supported by poor institutional coordination and decentralization of land services.</w:t>
      </w:r>
      <w:r w:rsidR="008C44D4" w:rsidRPr="008B2C29">
        <w:rPr>
          <w:rFonts w:ascii="Arial" w:hAnsi="Arial" w:cs="Arial"/>
          <w:bCs/>
          <w:sz w:val="20"/>
          <w:szCs w:val="20"/>
          <w:lang w:val="en-US"/>
        </w:rPr>
        <w:t xml:space="preserve"> </w:t>
      </w:r>
      <w:r w:rsidR="008034DE" w:rsidRPr="008B2C29">
        <w:rPr>
          <w:rFonts w:ascii="Arial" w:hAnsi="Arial" w:cs="Arial"/>
          <w:bCs/>
          <w:sz w:val="20"/>
          <w:szCs w:val="20"/>
          <w:lang w:val="en-US"/>
        </w:rPr>
        <w:t>One interviewee stated that:</w:t>
      </w:r>
      <w:r w:rsidR="008034DE" w:rsidRPr="008B2C29">
        <w:rPr>
          <w:rFonts w:ascii="Arial" w:hAnsi="Arial" w:cs="Arial"/>
          <w:bCs/>
          <w:sz w:val="20"/>
          <w:szCs w:val="20"/>
          <w:lang w:val="en-US"/>
        </w:rPr>
        <w:br/>
      </w:r>
      <w:r w:rsidR="008034DE" w:rsidRPr="008B2C29">
        <w:rPr>
          <w:rFonts w:ascii="Arial" w:hAnsi="Arial" w:cs="Arial"/>
          <w:bCs/>
          <w:i/>
          <w:iCs/>
          <w:sz w:val="20"/>
          <w:szCs w:val="20"/>
          <w:lang w:val="en-US"/>
        </w:rPr>
        <w:t>‘’ The registration process is often characterized by long delays, sometimes taking months or even years. These delays discourage people from completing the process’’</w:t>
      </w:r>
      <w:r w:rsidR="00693595" w:rsidRPr="008B2C29">
        <w:rPr>
          <w:rFonts w:ascii="Arial" w:hAnsi="Arial" w:cs="Arial"/>
          <w:bCs/>
          <w:i/>
          <w:iCs/>
          <w:sz w:val="20"/>
          <w:szCs w:val="20"/>
          <w:lang w:val="en-US"/>
        </w:rPr>
        <w:t xml:space="preserve"> (</w:t>
      </w:r>
      <w:r w:rsidR="00693595" w:rsidRPr="008B2C29">
        <w:rPr>
          <w:rFonts w:ascii="Arial" w:hAnsi="Arial" w:cs="Arial"/>
          <w:bCs/>
          <w:sz w:val="20"/>
          <w:szCs w:val="20"/>
          <w:lang w:val="en-US"/>
        </w:rPr>
        <w:t>Interview, Land Officer 1, Lands Commission, 2025)</w:t>
      </w:r>
      <w:r w:rsidR="008034DE" w:rsidRPr="008B2C29">
        <w:rPr>
          <w:rFonts w:ascii="Arial" w:hAnsi="Arial" w:cs="Arial"/>
          <w:bCs/>
          <w:i/>
          <w:iCs/>
          <w:sz w:val="20"/>
          <w:szCs w:val="20"/>
          <w:lang w:val="en-US"/>
        </w:rPr>
        <w:t>.</w:t>
      </w:r>
    </w:p>
    <w:p w14:paraId="4F1E9F88" w14:textId="409D8574" w:rsidR="008034DE" w:rsidRPr="008B2C29" w:rsidRDefault="006E6720"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Ignorance, quoted by 9% of the respondents, also explains the low level of land registration. Others are unaware of the importance, process, or advantage of registration. </w:t>
      </w:r>
      <w:r w:rsidR="008034DE" w:rsidRPr="008B2C29">
        <w:rPr>
          <w:rFonts w:ascii="Arial" w:hAnsi="Arial" w:cs="Arial"/>
          <w:bCs/>
          <w:sz w:val="20"/>
          <w:szCs w:val="20"/>
          <w:lang w:val="en-US"/>
        </w:rPr>
        <w:t>This was stated by one interviewee. The interviewee indicated:</w:t>
      </w:r>
    </w:p>
    <w:p w14:paraId="3629EFB3" w14:textId="21F3E98F" w:rsidR="008034DE" w:rsidRPr="008B2C29" w:rsidRDefault="008034DE" w:rsidP="002C7DB3">
      <w:pPr>
        <w:spacing w:line="276" w:lineRule="auto"/>
        <w:ind w:left="454" w:right="454"/>
        <w:rPr>
          <w:rFonts w:ascii="Arial" w:hAnsi="Arial" w:cs="Arial"/>
          <w:bCs/>
          <w:i/>
          <w:iCs/>
          <w:sz w:val="20"/>
          <w:szCs w:val="20"/>
          <w:lang w:val="en-US"/>
        </w:rPr>
      </w:pPr>
      <w:r w:rsidRPr="008B2C29">
        <w:rPr>
          <w:rFonts w:ascii="Arial" w:hAnsi="Arial" w:cs="Arial"/>
          <w:bCs/>
          <w:i/>
          <w:iCs/>
          <w:sz w:val="20"/>
          <w:szCs w:val="20"/>
          <w:lang w:val="en-US"/>
        </w:rPr>
        <w:lastRenderedPageBreak/>
        <w:t>‘’ Many land rights holders lack sufficient knowledge about the procedures involved. As a result</w:t>
      </w:r>
      <w:r w:rsidR="00AE75B6" w:rsidRPr="008B2C29">
        <w:rPr>
          <w:rFonts w:ascii="Arial" w:hAnsi="Arial" w:cs="Arial"/>
          <w:bCs/>
          <w:i/>
          <w:iCs/>
          <w:sz w:val="20"/>
          <w:szCs w:val="20"/>
          <w:lang w:val="en-US"/>
        </w:rPr>
        <w:t>, some do not see the need to register their lands, especially if they have traditional documents’’</w:t>
      </w:r>
      <w:r w:rsidR="00693595" w:rsidRPr="008B2C29">
        <w:rPr>
          <w:rFonts w:ascii="Arial" w:hAnsi="Arial" w:cs="Arial"/>
          <w:bCs/>
          <w:i/>
          <w:iCs/>
          <w:sz w:val="20"/>
          <w:szCs w:val="20"/>
          <w:lang w:val="en-US"/>
        </w:rPr>
        <w:t xml:space="preserve"> (</w:t>
      </w:r>
      <w:r w:rsidR="00693595" w:rsidRPr="008B2C29">
        <w:rPr>
          <w:rFonts w:ascii="Arial" w:hAnsi="Arial" w:cs="Arial"/>
          <w:bCs/>
          <w:sz w:val="20"/>
          <w:szCs w:val="20"/>
          <w:lang w:val="en-US"/>
        </w:rPr>
        <w:t>Interview, Land Officer 1, Lands Commission, 2025)</w:t>
      </w:r>
      <w:r w:rsidR="00AE75B6" w:rsidRPr="008B2C29">
        <w:rPr>
          <w:rFonts w:ascii="Arial" w:hAnsi="Arial" w:cs="Arial"/>
          <w:bCs/>
          <w:i/>
          <w:iCs/>
          <w:sz w:val="20"/>
          <w:szCs w:val="20"/>
          <w:lang w:val="en-US"/>
        </w:rPr>
        <w:t>.</w:t>
      </w:r>
    </w:p>
    <w:p w14:paraId="79CB3A3D" w14:textId="76159CB6" w:rsidR="006E6720" w:rsidRPr="008B2C29" w:rsidRDefault="006E6720" w:rsidP="002C7DB3">
      <w:pPr>
        <w:spacing w:line="276" w:lineRule="auto"/>
        <w:rPr>
          <w:rFonts w:ascii="Arial" w:hAnsi="Arial" w:cs="Arial"/>
          <w:bCs/>
          <w:sz w:val="20"/>
          <w:szCs w:val="20"/>
          <w:lang w:val="en-US"/>
        </w:rPr>
      </w:pPr>
      <w:r w:rsidRPr="008B2C29">
        <w:rPr>
          <w:rFonts w:ascii="Arial" w:hAnsi="Arial" w:cs="Arial"/>
          <w:bCs/>
          <w:sz w:val="20"/>
          <w:szCs w:val="20"/>
          <w:lang w:val="en-US"/>
        </w:rPr>
        <w:t>This would call for focused public education and sensitization to close the knowledge gap. 3% of the respondents responded that they do not see any advantage in registering their property. It can be on either the sense that traditional recognition is adequate, or prior negative experience with the formal land administration system. These results reflect a blend of economic, administrative, and information challenges that need to be addressed in order to trigger increased uptake of land registration, as well as ensure equitable land administration.</w:t>
      </w:r>
    </w:p>
    <w:p w14:paraId="633A211F" w14:textId="05FE1E08" w:rsidR="000623A4" w:rsidRPr="008B2C29" w:rsidRDefault="000623A4" w:rsidP="002C7DB3">
      <w:pPr>
        <w:spacing w:line="276" w:lineRule="auto"/>
        <w:rPr>
          <w:rFonts w:ascii="Arial" w:hAnsi="Arial" w:cs="Arial"/>
          <w:b/>
          <w:bCs/>
          <w:sz w:val="20"/>
          <w:szCs w:val="20"/>
          <w:lang w:val="en-US"/>
        </w:rPr>
      </w:pPr>
      <w:r w:rsidRPr="008B2C29">
        <w:rPr>
          <w:rFonts w:ascii="Arial" w:hAnsi="Arial" w:cs="Arial"/>
          <w:b/>
          <w:bCs/>
          <w:sz w:val="20"/>
          <w:szCs w:val="20"/>
          <w:lang w:val="en-US"/>
        </w:rPr>
        <w:t xml:space="preserve">Table </w:t>
      </w:r>
      <w:r w:rsidR="004F3A4C" w:rsidRPr="008B2C29">
        <w:rPr>
          <w:rFonts w:ascii="Arial" w:hAnsi="Arial" w:cs="Arial"/>
          <w:b/>
          <w:bCs/>
          <w:sz w:val="20"/>
          <w:szCs w:val="20"/>
          <w:lang w:val="en-US"/>
        </w:rPr>
        <w:t>3</w:t>
      </w:r>
      <w:r w:rsidRPr="008B2C29">
        <w:rPr>
          <w:rFonts w:ascii="Arial" w:hAnsi="Arial" w:cs="Arial"/>
          <w:b/>
          <w:bCs/>
          <w:sz w:val="20"/>
          <w:szCs w:val="20"/>
          <w:lang w:val="en-US"/>
        </w:rPr>
        <w:t>: Factors Preventing Landholders from Registering Their Land</w:t>
      </w:r>
    </w:p>
    <w:tbl>
      <w:tblPr>
        <w:tblW w:w="7379" w:type="dxa"/>
        <w:jc w:val="center"/>
        <w:tblCellSpacing w:w="15" w:type="dxa"/>
        <w:tblCellMar>
          <w:top w:w="15" w:type="dxa"/>
          <w:left w:w="15" w:type="dxa"/>
          <w:bottom w:w="15" w:type="dxa"/>
          <w:right w:w="15" w:type="dxa"/>
        </w:tblCellMar>
        <w:tblLook w:val="04A0" w:firstRow="1" w:lastRow="0" w:firstColumn="1" w:lastColumn="0" w:noHBand="0" w:noVBand="1"/>
      </w:tblPr>
      <w:tblGrid>
        <w:gridCol w:w="4750"/>
        <w:gridCol w:w="2629"/>
      </w:tblGrid>
      <w:tr w:rsidR="008B2C29" w:rsidRPr="008B2C29" w14:paraId="6885F76A" w14:textId="77777777" w:rsidTr="00302F49">
        <w:trPr>
          <w:trHeight w:val="473"/>
          <w:tblHeader/>
          <w:tblCellSpacing w:w="15" w:type="dxa"/>
          <w:jc w:val="center"/>
        </w:trPr>
        <w:tc>
          <w:tcPr>
            <w:tcW w:w="0" w:type="auto"/>
            <w:tcBorders>
              <w:top w:val="single" w:sz="4" w:space="0" w:color="auto"/>
              <w:bottom w:val="single" w:sz="4" w:space="0" w:color="auto"/>
            </w:tcBorders>
            <w:vAlign w:val="center"/>
            <w:hideMark/>
          </w:tcPr>
          <w:p w14:paraId="4815817F" w14:textId="77777777" w:rsidR="000623A4" w:rsidRPr="008B2C29" w:rsidRDefault="000623A4" w:rsidP="002C7DB3">
            <w:pPr>
              <w:spacing w:line="276" w:lineRule="auto"/>
              <w:rPr>
                <w:rFonts w:ascii="Arial" w:hAnsi="Arial" w:cs="Arial"/>
                <w:b/>
                <w:bCs/>
                <w:sz w:val="20"/>
                <w:szCs w:val="20"/>
                <w:lang w:val="en-US"/>
              </w:rPr>
            </w:pPr>
            <w:r w:rsidRPr="008B2C29">
              <w:rPr>
                <w:rFonts w:ascii="Arial" w:hAnsi="Arial" w:cs="Arial"/>
                <w:b/>
                <w:bCs/>
                <w:sz w:val="20"/>
                <w:szCs w:val="20"/>
                <w:lang w:val="en-US"/>
              </w:rPr>
              <w:t>Barrier to Land Registration</w:t>
            </w:r>
          </w:p>
        </w:tc>
        <w:tc>
          <w:tcPr>
            <w:tcW w:w="0" w:type="auto"/>
            <w:tcBorders>
              <w:top w:val="single" w:sz="4" w:space="0" w:color="auto"/>
              <w:bottom w:val="single" w:sz="4" w:space="0" w:color="auto"/>
            </w:tcBorders>
            <w:vAlign w:val="center"/>
            <w:hideMark/>
          </w:tcPr>
          <w:p w14:paraId="7C15B9CD" w14:textId="4337A141" w:rsidR="000623A4" w:rsidRPr="008B2C29" w:rsidRDefault="000623A4" w:rsidP="002C7DB3">
            <w:pPr>
              <w:spacing w:line="276" w:lineRule="auto"/>
              <w:jc w:val="center"/>
              <w:rPr>
                <w:rFonts w:ascii="Arial" w:hAnsi="Arial" w:cs="Arial"/>
                <w:b/>
                <w:bCs/>
                <w:sz w:val="20"/>
                <w:szCs w:val="20"/>
                <w:lang w:val="en-US"/>
              </w:rPr>
            </w:pPr>
            <w:r w:rsidRPr="008B2C29">
              <w:rPr>
                <w:rFonts w:ascii="Arial" w:hAnsi="Arial" w:cs="Arial"/>
                <w:b/>
                <w:bCs/>
                <w:sz w:val="20"/>
                <w:szCs w:val="20"/>
                <w:lang w:val="en-US"/>
              </w:rPr>
              <w:t>Percentage (%)</w:t>
            </w:r>
          </w:p>
        </w:tc>
      </w:tr>
      <w:tr w:rsidR="008B2C29" w:rsidRPr="008B2C29" w14:paraId="1F182C3B" w14:textId="77777777" w:rsidTr="00302F49">
        <w:trPr>
          <w:trHeight w:val="451"/>
          <w:tblCellSpacing w:w="15" w:type="dxa"/>
          <w:jc w:val="center"/>
        </w:trPr>
        <w:tc>
          <w:tcPr>
            <w:tcW w:w="0" w:type="auto"/>
            <w:vAlign w:val="center"/>
            <w:hideMark/>
          </w:tcPr>
          <w:p w14:paraId="767186C7" w14:textId="77777777" w:rsidR="000623A4" w:rsidRPr="008B2C29" w:rsidRDefault="000623A4" w:rsidP="002C7DB3">
            <w:pPr>
              <w:spacing w:line="276" w:lineRule="auto"/>
              <w:rPr>
                <w:rFonts w:ascii="Arial" w:hAnsi="Arial" w:cs="Arial"/>
                <w:bCs/>
                <w:sz w:val="20"/>
                <w:szCs w:val="20"/>
                <w:lang w:val="en-US"/>
              </w:rPr>
            </w:pPr>
            <w:r w:rsidRPr="008B2C29">
              <w:rPr>
                <w:rFonts w:ascii="Arial" w:hAnsi="Arial" w:cs="Arial"/>
                <w:bCs/>
                <w:sz w:val="20"/>
                <w:szCs w:val="20"/>
                <w:lang w:val="en-US"/>
              </w:rPr>
              <w:t>High cost of registration</w:t>
            </w:r>
          </w:p>
        </w:tc>
        <w:tc>
          <w:tcPr>
            <w:tcW w:w="0" w:type="auto"/>
            <w:vAlign w:val="center"/>
            <w:hideMark/>
          </w:tcPr>
          <w:p w14:paraId="7C4C885C" w14:textId="48321068" w:rsidR="000623A4" w:rsidRPr="008B2C29" w:rsidRDefault="000623A4" w:rsidP="002C7DB3">
            <w:pPr>
              <w:spacing w:line="276" w:lineRule="auto"/>
              <w:jc w:val="center"/>
              <w:rPr>
                <w:rFonts w:ascii="Arial" w:hAnsi="Arial" w:cs="Arial"/>
                <w:bCs/>
                <w:sz w:val="20"/>
                <w:szCs w:val="20"/>
                <w:lang w:val="en-US"/>
              </w:rPr>
            </w:pPr>
            <w:r w:rsidRPr="008B2C29">
              <w:rPr>
                <w:rFonts w:ascii="Arial" w:hAnsi="Arial" w:cs="Arial"/>
                <w:bCs/>
                <w:sz w:val="20"/>
                <w:szCs w:val="20"/>
                <w:lang w:val="en-US"/>
              </w:rPr>
              <w:t>65</w:t>
            </w:r>
          </w:p>
        </w:tc>
      </w:tr>
      <w:tr w:rsidR="008B2C29" w:rsidRPr="008B2C29" w14:paraId="401B0F2B" w14:textId="77777777" w:rsidTr="00302F49">
        <w:trPr>
          <w:trHeight w:val="303"/>
          <w:tblCellSpacing w:w="15" w:type="dxa"/>
          <w:jc w:val="center"/>
        </w:trPr>
        <w:tc>
          <w:tcPr>
            <w:tcW w:w="0" w:type="auto"/>
            <w:vAlign w:val="center"/>
            <w:hideMark/>
          </w:tcPr>
          <w:p w14:paraId="7D65A22E" w14:textId="089D7965" w:rsidR="000623A4" w:rsidRPr="008B2C29" w:rsidRDefault="000623A4" w:rsidP="002C7DB3">
            <w:pPr>
              <w:spacing w:line="276" w:lineRule="auto"/>
              <w:rPr>
                <w:rFonts w:ascii="Arial" w:hAnsi="Arial" w:cs="Arial"/>
                <w:bCs/>
                <w:sz w:val="20"/>
                <w:szCs w:val="20"/>
                <w:lang w:val="en-US"/>
              </w:rPr>
            </w:pPr>
            <w:r w:rsidRPr="008B2C29">
              <w:rPr>
                <w:rFonts w:ascii="Arial" w:hAnsi="Arial" w:cs="Arial"/>
                <w:bCs/>
                <w:sz w:val="20"/>
                <w:szCs w:val="20"/>
                <w:lang w:val="en-US"/>
              </w:rPr>
              <w:t>Long</w:t>
            </w:r>
            <w:r w:rsidR="00783F23" w:rsidRPr="008B2C29">
              <w:rPr>
                <w:rFonts w:ascii="Arial" w:hAnsi="Arial" w:cs="Arial"/>
                <w:bCs/>
                <w:sz w:val="20"/>
                <w:szCs w:val="20"/>
                <w:lang w:val="en-US"/>
              </w:rPr>
              <w:t>/</w:t>
            </w:r>
            <w:r w:rsidRPr="008B2C29">
              <w:rPr>
                <w:rFonts w:ascii="Arial" w:hAnsi="Arial" w:cs="Arial"/>
                <w:bCs/>
                <w:sz w:val="20"/>
                <w:szCs w:val="20"/>
                <w:lang w:val="en-US"/>
              </w:rPr>
              <w:t>complex procedures</w:t>
            </w:r>
          </w:p>
        </w:tc>
        <w:tc>
          <w:tcPr>
            <w:tcW w:w="0" w:type="auto"/>
            <w:vAlign w:val="center"/>
            <w:hideMark/>
          </w:tcPr>
          <w:p w14:paraId="3F0BBB3E" w14:textId="43AC3ECC" w:rsidR="000623A4" w:rsidRPr="008B2C29" w:rsidRDefault="000623A4" w:rsidP="002C7DB3">
            <w:pPr>
              <w:spacing w:line="276" w:lineRule="auto"/>
              <w:jc w:val="center"/>
              <w:rPr>
                <w:rFonts w:ascii="Arial" w:hAnsi="Arial" w:cs="Arial"/>
                <w:bCs/>
                <w:sz w:val="20"/>
                <w:szCs w:val="20"/>
                <w:lang w:val="en-US"/>
              </w:rPr>
            </w:pPr>
            <w:r w:rsidRPr="008B2C29">
              <w:rPr>
                <w:rFonts w:ascii="Arial" w:hAnsi="Arial" w:cs="Arial"/>
                <w:bCs/>
                <w:sz w:val="20"/>
                <w:szCs w:val="20"/>
                <w:lang w:val="en-US"/>
              </w:rPr>
              <w:t>23</w:t>
            </w:r>
          </w:p>
        </w:tc>
      </w:tr>
      <w:tr w:rsidR="008B2C29" w:rsidRPr="008B2C29" w14:paraId="56CAB910" w14:textId="77777777" w:rsidTr="00302F49">
        <w:trPr>
          <w:trHeight w:val="283"/>
          <w:tblCellSpacing w:w="15" w:type="dxa"/>
          <w:jc w:val="center"/>
        </w:trPr>
        <w:tc>
          <w:tcPr>
            <w:tcW w:w="0" w:type="auto"/>
            <w:vAlign w:val="center"/>
            <w:hideMark/>
          </w:tcPr>
          <w:p w14:paraId="6921AFB2" w14:textId="77777777" w:rsidR="000623A4" w:rsidRPr="008B2C29" w:rsidRDefault="000623A4" w:rsidP="002C7DB3">
            <w:pPr>
              <w:spacing w:line="276" w:lineRule="auto"/>
              <w:rPr>
                <w:rFonts w:ascii="Arial" w:hAnsi="Arial" w:cs="Arial"/>
                <w:bCs/>
                <w:sz w:val="20"/>
                <w:szCs w:val="20"/>
                <w:lang w:val="en-US"/>
              </w:rPr>
            </w:pPr>
            <w:r w:rsidRPr="008B2C29">
              <w:rPr>
                <w:rFonts w:ascii="Arial" w:hAnsi="Arial" w:cs="Arial"/>
                <w:bCs/>
                <w:sz w:val="20"/>
                <w:szCs w:val="20"/>
                <w:lang w:val="en-US"/>
              </w:rPr>
              <w:t>Lack of awareness</w:t>
            </w:r>
          </w:p>
        </w:tc>
        <w:tc>
          <w:tcPr>
            <w:tcW w:w="0" w:type="auto"/>
            <w:vAlign w:val="center"/>
            <w:hideMark/>
          </w:tcPr>
          <w:p w14:paraId="4C5E4004" w14:textId="41F1E9DB" w:rsidR="000623A4" w:rsidRPr="008B2C29" w:rsidRDefault="000623A4" w:rsidP="002C7DB3">
            <w:pPr>
              <w:spacing w:line="276" w:lineRule="auto"/>
              <w:jc w:val="center"/>
              <w:rPr>
                <w:rFonts w:ascii="Arial" w:hAnsi="Arial" w:cs="Arial"/>
                <w:bCs/>
                <w:sz w:val="20"/>
                <w:szCs w:val="20"/>
                <w:lang w:val="en-US"/>
              </w:rPr>
            </w:pPr>
            <w:r w:rsidRPr="008B2C29">
              <w:rPr>
                <w:rFonts w:ascii="Arial" w:hAnsi="Arial" w:cs="Arial"/>
                <w:bCs/>
                <w:sz w:val="20"/>
                <w:szCs w:val="20"/>
                <w:lang w:val="en-US"/>
              </w:rPr>
              <w:t>9</w:t>
            </w:r>
          </w:p>
        </w:tc>
      </w:tr>
      <w:tr w:rsidR="008B2C29" w:rsidRPr="008B2C29" w14:paraId="2CFA73AE" w14:textId="77777777" w:rsidTr="00302F49">
        <w:trPr>
          <w:trHeight w:val="277"/>
          <w:tblCellSpacing w:w="15" w:type="dxa"/>
          <w:jc w:val="center"/>
        </w:trPr>
        <w:tc>
          <w:tcPr>
            <w:tcW w:w="0" w:type="auto"/>
            <w:vAlign w:val="center"/>
            <w:hideMark/>
          </w:tcPr>
          <w:p w14:paraId="3A2A6BF6" w14:textId="77777777" w:rsidR="000623A4" w:rsidRPr="008B2C29" w:rsidRDefault="000623A4" w:rsidP="002C7DB3">
            <w:pPr>
              <w:spacing w:line="276" w:lineRule="auto"/>
              <w:rPr>
                <w:rFonts w:ascii="Arial" w:hAnsi="Arial" w:cs="Arial"/>
                <w:bCs/>
                <w:sz w:val="20"/>
                <w:szCs w:val="20"/>
                <w:lang w:val="en-US"/>
              </w:rPr>
            </w:pPr>
            <w:r w:rsidRPr="008B2C29">
              <w:rPr>
                <w:rFonts w:ascii="Arial" w:hAnsi="Arial" w:cs="Arial"/>
                <w:bCs/>
                <w:sz w:val="20"/>
                <w:szCs w:val="20"/>
                <w:lang w:val="en-US"/>
              </w:rPr>
              <w:t>Perceived lack of benefits</w:t>
            </w:r>
          </w:p>
        </w:tc>
        <w:tc>
          <w:tcPr>
            <w:tcW w:w="0" w:type="auto"/>
            <w:vAlign w:val="center"/>
            <w:hideMark/>
          </w:tcPr>
          <w:p w14:paraId="087C8B58" w14:textId="78A556EA" w:rsidR="000623A4" w:rsidRPr="008B2C29" w:rsidRDefault="000623A4" w:rsidP="002C7DB3">
            <w:pPr>
              <w:spacing w:line="276" w:lineRule="auto"/>
              <w:jc w:val="center"/>
              <w:rPr>
                <w:rFonts w:ascii="Arial" w:hAnsi="Arial" w:cs="Arial"/>
                <w:bCs/>
                <w:sz w:val="20"/>
                <w:szCs w:val="20"/>
                <w:lang w:val="en-US"/>
              </w:rPr>
            </w:pPr>
            <w:r w:rsidRPr="008B2C29">
              <w:rPr>
                <w:rFonts w:ascii="Arial" w:hAnsi="Arial" w:cs="Arial"/>
                <w:bCs/>
                <w:sz w:val="20"/>
                <w:szCs w:val="20"/>
                <w:lang w:val="en-US"/>
              </w:rPr>
              <w:t>3</w:t>
            </w:r>
          </w:p>
        </w:tc>
      </w:tr>
      <w:tr w:rsidR="008B2C29" w:rsidRPr="008B2C29" w14:paraId="0D19C265" w14:textId="77777777" w:rsidTr="00302F49">
        <w:trPr>
          <w:trHeight w:val="133"/>
          <w:tblCellSpacing w:w="15" w:type="dxa"/>
          <w:jc w:val="center"/>
        </w:trPr>
        <w:tc>
          <w:tcPr>
            <w:tcW w:w="0" w:type="auto"/>
            <w:tcBorders>
              <w:top w:val="single" w:sz="4" w:space="0" w:color="auto"/>
              <w:bottom w:val="single" w:sz="4" w:space="0" w:color="auto"/>
            </w:tcBorders>
            <w:vAlign w:val="center"/>
          </w:tcPr>
          <w:p w14:paraId="033B9F2F" w14:textId="13142F36" w:rsidR="00EE7C45" w:rsidRPr="008B2C29" w:rsidRDefault="00EE7C45" w:rsidP="002C7DB3">
            <w:pPr>
              <w:spacing w:line="276" w:lineRule="auto"/>
              <w:rPr>
                <w:rFonts w:ascii="Arial" w:hAnsi="Arial" w:cs="Arial"/>
                <w:b/>
                <w:sz w:val="20"/>
                <w:szCs w:val="20"/>
                <w:lang w:val="en-US"/>
              </w:rPr>
            </w:pPr>
            <w:r w:rsidRPr="008B2C29">
              <w:rPr>
                <w:rFonts w:ascii="Arial" w:hAnsi="Arial" w:cs="Arial"/>
                <w:b/>
                <w:sz w:val="20"/>
                <w:szCs w:val="20"/>
                <w:lang w:val="en-US"/>
              </w:rPr>
              <w:t>Total</w:t>
            </w:r>
          </w:p>
        </w:tc>
        <w:tc>
          <w:tcPr>
            <w:tcW w:w="0" w:type="auto"/>
            <w:tcBorders>
              <w:top w:val="single" w:sz="4" w:space="0" w:color="auto"/>
              <w:bottom w:val="single" w:sz="4" w:space="0" w:color="auto"/>
            </w:tcBorders>
            <w:vAlign w:val="center"/>
          </w:tcPr>
          <w:p w14:paraId="215676D6" w14:textId="1B684FC5" w:rsidR="00EE7C45" w:rsidRPr="008B2C29" w:rsidRDefault="00EE7C45" w:rsidP="002C7DB3">
            <w:pPr>
              <w:spacing w:line="276" w:lineRule="auto"/>
              <w:jc w:val="center"/>
              <w:rPr>
                <w:rFonts w:ascii="Arial" w:hAnsi="Arial" w:cs="Arial"/>
                <w:b/>
                <w:sz w:val="20"/>
                <w:szCs w:val="20"/>
                <w:lang w:val="en-US"/>
              </w:rPr>
            </w:pPr>
            <w:r w:rsidRPr="008B2C29">
              <w:rPr>
                <w:rFonts w:ascii="Arial" w:hAnsi="Arial" w:cs="Arial"/>
                <w:b/>
                <w:sz w:val="20"/>
                <w:szCs w:val="20"/>
                <w:lang w:val="en-US"/>
              </w:rPr>
              <w:t>100</w:t>
            </w:r>
            <w:r w:rsidR="004F3A4C" w:rsidRPr="008B2C29">
              <w:rPr>
                <w:rFonts w:ascii="Arial" w:hAnsi="Arial" w:cs="Arial"/>
                <w:b/>
                <w:sz w:val="20"/>
                <w:szCs w:val="20"/>
                <w:lang w:val="en-US"/>
              </w:rPr>
              <w:t>%</w:t>
            </w:r>
          </w:p>
        </w:tc>
      </w:tr>
    </w:tbl>
    <w:p w14:paraId="1B19829A" w14:textId="3A2E3131" w:rsidR="000623A4" w:rsidRPr="008B2C29" w:rsidRDefault="0048733D" w:rsidP="002C7DB3">
      <w:pPr>
        <w:spacing w:line="276" w:lineRule="auto"/>
        <w:rPr>
          <w:rFonts w:ascii="Arial" w:hAnsi="Arial" w:cs="Arial"/>
          <w:bCs/>
          <w:sz w:val="20"/>
          <w:szCs w:val="20"/>
          <w:lang w:val="en-US"/>
        </w:rPr>
      </w:pPr>
      <w:r w:rsidRPr="008B2C29">
        <w:rPr>
          <w:rFonts w:ascii="Arial" w:hAnsi="Arial" w:cs="Arial"/>
          <w:bCs/>
          <w:sz w:val="20"/>
          <w:szCs w:val="20"/>
          <w:lang w:val="en-US"/>
        </w:rPr>
        <w:t>Source: Authors’ Construct</w:t>
      </w:r>
    </w:p>
    <w:p w14:paraId="2E6FCA16" w14:textId="16E34E35" w:rsidR="001E083A" w:rsidRPr="008B2C29" w:rsidRDefault="001E083A"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The influence of land registration on investment and productivity</w:t>
      </w:r>
    </w:p>
    <w:p w14:paraId="5CE9C61D" w14:textId="77777777" w:rsidR="00AE75B6" w:rsidRPr="008B2C29" w:rsidRDefault="00066BA2" w:rsidP="002C7DB3">
      <w:pPr>
        <w:spacing w:line="276" w:lineRule="auto"/>
        <w:rPr>
          <w:rFonts w:ascii="Arial" w:hAnsi="Arial" w:cs="Arial"/>
          <w:bCs/>
          <w:sz w:val="20"/>
          <w:szCs w:val="20"/>
        </w:rPr>
      </w:pPr>
      <w:r w:rsidRPr="008B2C29">
        <w:rPr>
          <w:rFonts w:ascii="Arial" w:hAnsi="Arial" w:cs="Arial"/>
          <w:bCs/>
          <w:sz w:val="20"/>
          <w:szCs w:val="20"/>
        </w:rPr>
        <w:t>According to Agyei-Holmes et al. (2020), l</w:t>
      </w:r>
      <w:r w:rsidR="006E6720" w:rsidRPr="008B2C29">
        <w:rPr>
          <w:rFonts w:ascii="Arial" w:hAnsi="Arial" w:cs="Arial"/>
          <w:bCs/>
          <w:sz w:val="20"/>
          <w:szCs w:val="20"/>
        </w:rPr>
        <w:t xml:space="preserve">and registration has long been recognized as a stimulus to investment and land productivity, particularly in circumstances where tenure insecurity deters the development of land. </w:t>
      </w:r>
      <w:r w:rsidR="00AE75B6" w:rsidRPr="008B2C29">
        <w:rPr>
          <w:rFonts w:ascii="Arial" w:hAnsi="Arial" w:cs="Arial"/>
          <w:bCs/>
          <w:sz w:val="20"/>
          <w:szCs w:val="20"/>
        </w:rPr>
        <w:t>Through the interview with the Lands Commission, one interviewee stated that:</w:t>
      </w:r>
    </w:p>
    <w:p w14:paraId="6AC42E4A" w14:textId="285F0354" w:rsidR="00AE75B6" w:rsidRPr="008B2C29" w:rsidRDefault="00AE75B6" w:rsidP="002C7DB3">
      <w:pPr>
        <w:spacing w:line="276" w:lineRule="auto"/>
        <w:ind w:left="454" w:right="454"/>
        <w:rPr>
          <w:rFonts w:ascii="Arial" w:hAnsi="Arial" w:cs="Arial"/>
          <w:bCs/>
          <w:i/>
          <w:iCs/>
          <w:sz w:val="20"/>
          <w:szCs w:val="20"/>
        </w:rPr>
      </w:pPr>
      <w:r w:rsidRPr="008B2C29">
        <w:rPr>
          <w:rFonts w:ascii="Arial" w:hAnsi="Arial" w:cs="Arial"/>
          <w:bCs/>
          <w:i/>
          <w:iCs/>
          <w:sz w:val="20"/>
          <w:szCs w:val="20"/>
        </w:rPr>
        <w:t>‘’</w:t>
      </w:r>
      <w:r w:rsidR="00DD1870" w:rsidRPr="008B2C29">
        <w:rPr>
          <w:rFonts w:ascii="Arial" w:hAnsi="Arial" w:cs="Arial"/>
          <w:bCs/>
          <w:i/>
          <w:iCs/>
          <w:sz w:val="20"/>
          <w:szCs w:val="20"/>
        </w:rPr>
        <w:t xml:space="preserve"> Legal certainty gains through land registration is a prerequisite for land-term investment, and through this, the risks of land litigation and eviction are reduced. Investors are more willing to develop land, be it for residential, commercial, or industrial purposes, when ownership is secure’’</w:t>
      </w:r>
      <w:r w:rsidR="00693595" w:rsidRPr="008B2C29">
        <w:rPr>
          <w:rFonts w:ascii="Arial" w:hAnsi="Arial" w:cs="Arial"/>
          <w:bCs/>
          <w:i/>
          <w:iCs/>
          <w:sz w:val="20"/>
          <w:szCs w:val="20"/>
        </w:rPr>
        <w:t xml:space="preserve"> </w:t>
      </w:r>
      <w:r w:rsidR="00693595" w:rsidRPr="008B2C29">
        <w:rPr>
          <w:rFonts w:ascii="Arial" w:hAnsi="Arial" w:cs="Arial"/>
          <w:bCs/>
          <w:i/>
          <w:iCs/>
          <w:sz w:val="20"/>
          <w:szCs w:val="20"/>
          <w:lang w:val="en-US"/>
        </w:rPr>
        <w:t>(</w:t>
      </w:r>
      <w:r w:rsidR="00693595" w:rsidRPr="008B2C29">
        <w:rPr>
          <w:rFonts w:ascii="Arial" w:hAnsi="Arial" w:cs="Arial"/>
          <w:bCs/>
          <w:sz w:val="20"/>
          <w:szCs w:val="20"/>
          <w:lang w:val="en-US"/>
        </w:rPr>
        <w:t>Interview, Land Officer 1, Lands Commission, 2025)</w:t>
      </w:r>
      <w:r w:rsidR="00DD1870" w:rsidRPr="008B2C29">
        <w:rPr>
          <w:rFonts w:ascii="Arial" w:hAnsi="Arial" w:cs="Arial"/>
          <w:bCs/>
          <w:i/>
          <w:iCs/>
          <w:sz w:val="20"/>
          <w:szCs w:val="20"/>
        </w:rPr>
        <w:t>.</w:t>
      </w:r>
    </w:p>
    <w:p w14:paraId="1DAD8804" w14:textId="1B60CEE5" w:rsidR="006E6720" w:rsidRPr="008B2C29" w:rsidRDefault="00DD1870" w:rsidP="002C7DB3">
      <w:pPr>
        <w:spacing w:line="276" w:lineRule="auto"/>
        <w:rPr>
          <w:rFonts w:ascii="Arial" w:hAnsi="Arial" w:cs="Arial"/>
          <w:bCs/>
          <w:sz w:val="20"/>
          <w:szCs w:val="20"/>
        </w:rPr>
      </w:pPr>
      <w:r w:rsidRPr="008B2C29">
        <w:rPr>
          <w:rFonts w:ascii="Arial" w:hAnsi="Arial" w:cs="Arial"/>
          <w:bCs/>
          <w:sz w:val="20"/>
          <w:szCs w:val="20"/>
        </w:rPr>
        <w:t>In the survey,</w:t>
      </w:r>
      <w:r w:rsidR="006E6720" w:rsidRPr="008B2C29">
        <w:rPr>
          <w:rFonts w:ascii="Arial" w:hAnsi="Arial" w:cs="Arial"/>
          <w:bCs/>
          <w:sz w:val="20"/>
          <w:szCs w:val="20"/>
        </w:rPr>
        <w:t xml:space="preserve"> the respondents were asked to assess the extent to which the registration of land impacted their investment and productive utilization of land. </w:t>
      </w:r>
      <w:r w:rsidR="000F7A4B" w:rsidRPr="008B2C29">
        <w:rPr>
          <w:rFonts w:ascii="Arial" w:hAnsi="Arial" w:cs="Arial"/>
          <w:bCs/>
          <w:sz w:val="20"/>
          <w:szCs w:val="20"/>
        </w:rPr>
        <w:t>As shown in Table 4, f</w:t>
      </w:r>
      <w:r w:rsidR="006E6720" w:rsidRPr="008B2C29">
        <w:rPr>
          <w:rFonts w:ascii="Arial" w:hAnsi="Arial" w:cs="Arial"/>
          <w:bCs/>
          <w:sz w:val="20"/>
          <w:szCs w:val="20"/>
        </w:rPr>
        <w:t xml:space="preserve">rom the survey, 52% of the respondents pointed out that there was a significant improvement in productivity and investment following land registration. These respondents elaborated that with secure documents, they felt more confident to invest in the long term, by constructing permanent structures, planting cash crops, or improving land management systems. Such security encourages better use of land and causes landholders to view their land as a secure economic asset. </w:t>
      </w:r>
      <w:r w:rsidR="00783F23" w:rsidRPr="008B2C29">
        <w:rPr>
          <w:rFonts w:ascii="Arial" w:hAnsi="Arial" w:cs="Arial"/>
          <w:bCs/>
          <w:sz w:val="20"/>
          <w:szCs w:val="20"/>
        </w:rPr>
        <w:t xml:space="preserve">Moreover, </w:t>
      </w:r>
      <w:r w:rsidR="006E6720" w:rsidRPr="008B2C29">
        <w:rPr>
          <w:rFonts w:ascii="Arial" w:hAnsi="Arial" w:cs="Arial"/>
          <w:bCs/>
          <w:sz w:val="20"/>
          <w:szCs w:val="20"/>
        </w:rPr>
        <w:t xml:space="preserve">38% of respondents reported a moderate increase in investment and productivity. These landowners acknowledged some improvement, though not to the extent reported by the majority. Their views </w:t>
      </w:r>
      <w:r w:rsidR="000F7A4B" w:rsidRPr="008B2C29">
        <w:rPr>
          <w:rFonts w:ascii="Arial" w:hAnsi="Arial" w:cs="Arial"/>
          <w:bCs/>
          <w:sz w:val="20"/>
          <w:szCs w:val="20"/>
        </w:rPr>
        <w:t>were a</w:t>
      </w:r>
      <w:r w:rsidR="006E6720" w:rsidRPr="008B2C29">
        <w:rPr>
          <w:rFonts w:ascii="Arial" w:hAnsi="Arial" w:cs="Arial"/>
          <w:bCs/>
          <w:sz w:val="20"/>
          <w:szCs w:val="20"/>
        </w:rPr>
        <w:t xml:space="preserve"> reflective of gradual incorporation into the formal system </w:t>
      </w:r>
      <w:r w:rsidR="000F7A4B" w:rsidRPr="008B2C29">
        <w:rPr>
          <w:rFonts w:ascii="Arial" w:hAnsi="Arial" w:cs="Arial"/>
          <w:bCs/>
          <w:sz w:val="20"/>
          <w:szCs w:val="20"/>
        </w:rPr>
        <w:t>and</w:t>
      </w:r>
      <w:r w:rsidR="006E6720" w:rsidRPr="008B2C29">
        <w:rPr>
          <w:rFonts w:ascii="Arial" w:hAnsi="Arial" w:cs="Arial"/>
          <w:bCs/>
          <w:sz w:val="20"/>
          <w:szCs w:val="20"/>
        </w:rPr>
        <w:t xml:space="preserve"> of constraints such as a lack of financial capacity to maximize the benefits of registration.</w:t>
      </w:r>
    </w:p>
    <w:p w14:paraId="339EE21A" w14:textId="19C6C52E" w:rsidR="006E6720" w:rsidRPr="008B2C29" w:rsidRDefault="006E6720" w:rsidP="002C7DB3">
      <w:pPr>
        <w:spacing w:line="276" w:lineRule="auto"/>
        <w:rPr>
          <w:rFonts w:ascii="Arial" w:hAnsi="Arial" w:cs="Arial"/>
          <w:bCs/>
          <w:sz w:val="20"/>
          <w:szCs w:val="20"/>
        </w:rPr>
      </w:pPr>
      <w:r w:rsidRPr="008B2C29">
        <w:rPr>
          <w:rFonts w:ascii="Arial" w:hAnsi="Arial" w:cs="Arial"/>
          <w:bCs/>
          <w:sz w:val="20"/>
          <w:szCs w:val="20"/>
        </w:rPr>
        <w:t>Only 8% of respondents expressed a neutral stance, indicating no noticeable change in productivity or investment levels.</w:t>
      </w:r>
      <w:r w:rsidR="000F7A4B" w:rsidRPr="008B2C29">
        <w:rPr>
          <w:rFonts w:ascii="Arial" w:hAnsi="Arial" w:cs="Arial"/>
          <w:bCs/>
          <w:sz w:val="20"/>
          <w:szCs w:val="20"/>
        </w:rPr>
        <w:t xml:space="preserve"> </w:t>
      </w:r>
      <w:r w:rsidRPr="008B2C29">
        <w:rPr>
          <w:rFonts w:ascii="Arial" w:hAnsi="Arial" w:cs="Arial"/>
          <w:bCs/>
          <w:sz w:val="20"/>
          <w:szCs w:val="20"/>
        </w:rPr>
        <w:t xml:space="preserve">This </w:t>
      </w:r>
      <w:r w:rsidR="000F7A4B" w:rsidRPr="008B2C29">
        <w:rPr>
          <w:rFonts w:ascii="Arial" w:hAnsi="Arial" w:cs="Arial"/>
          <w:bCs/>
          <w:sz w:val="20"/>
          <w:szCs w:val="20"/>
        </w:rPr>
        <w:t>was</w:t>
      </w:r>
      <w:r w:rsidRPr="008B2C29">
        <w:rPr>
          <w:rFonts w:ascii="Arial" w:hAnsi="Arial" w:cs="Arial"/>
          <w:bCs/>
          <w:sz w:val="20"/>
          <w:szCs w:val="20"/>
        </w:rPr>
        <w:t xml:space="preserve"> attributed to structural constraints, such as restricted access to capital, knowledge, or external support services, even after gaining legal title to land. Unexpectedly, 2% reported that there was a decline, and none reported a significant decline. The small negative response suggests that land registration is not likely to discourage investment, though specific cases might reflect </w:t>
      </w:r>
      <w:r w:rsidRPr="008B2C29">
        <w:rPr>
          <w:rFonts w:ascii="Arial" w:hAnsi="Arial" w:cs="Arial"/>
          <w:bCs/>
          <w:sz w:val="20"/>
          <w:szCs w:val="20"/>
        </w:rPr>
        <w:lastRenderedPageBreak/>
        <w:t>displeasure with administrative charges or disputes arising post-registration. The evidence indicates that land registration positively affects investment and productivity among most landholders by decreasing uncertainty and encouraging development</w:t>
      </w:r>
      <w:r w:rsidR="000F7A4B" w:rsidRPr="008B2C29">
        <w:rPr>
          <w:rFonts w:ascii="Arial" w:hAnsi="Arial" w:cs="Arial"/>
          <w:bCs/>
          <w:sz w:val="20"/>
          <w:szCs w:val="20"/>
        </w:rPr>
        <w:t xml:space="preserve"> in Kumasi</w:t>
      </w:r>
      <w:r w:rsidRPr="008B2C29">
        <w:rPr>
          <w:rFonts w:ascii="Arial" w:hAnsi="Arial" w:cs="Arial"/>
          <w:bCs/>
          <w:sz w:val="20"/>
          <w:szCs w:val="20"/>
        </w:rPr>
        <w:t xml:space="preserve">. The full advantages, however, can only be realized once landholders have access to complementary inputs such as finance, extension services, and marketing opportunities. </w:t>
      </w:r>
    </w:p>
    <w:p w14:paraId="7A750EE9" w14:textId="612C9677" w:rsidR="00503795" w:rsidRPr="008B2C29" w:rsidRDefault="00503795" w:rsidP="002C7DB3">
      <w:pPr>
        <w:spacing w:line="276" w:lineRule="auto"/>
        <w:rPr>
          <w:rFonts w:ascii="Arial" w:hAnsi="Arial" w:cs="Arial"/>
          <w:b/>
          <w:bCs/>
          <w:sz w:val="20"/>
          <w:szCs w:val="20"/>
          <w:lang w:val="en-US"/>
        </w:rPr>
      </w:pPr>
      <w:r w:rsidRPr="008B2C29">
        <w:rPr>
          <w:rFonts w:ascii="Arial" w:hAnsi="Arial" w:cs="Arial"/>
          <w:b/>
          <w:bCs/>
          <w:sz w:val="20"/>
          <w:szCs w:val="20"/>
          <w:lang w:val="en-US"/>
        </w:rPr>
        <w:t>Table 4: Influence of Land Registration on Investment and Productivity</w:t>
      </w:r>
    </w:p>
    <w:tbl>
      <w:tblPr>
        <w:tblW w:w="9026" w:type="dxa"/>
        <w:jc w:val="center"/>
        <w:tblCellSpacing w:w="15" w:type="dxa"/>
        <w:tblCellMar>
          <w:top w:w="15" w:type="dxa"/>
          <w:left w:w="15" w:type="dxa"/>
          <w:bottom w:w="15" w:type="dxa"/>
          <w:right w:w="15" w:type="dxa"/>
        </w:tblCellMar>
        <w:tblLook w:val="04A0" w:firstRow="1" w:lastRow="0" w:firstColumn="1" w:lastColumn="0" w:noHBand="0" w:noVBand="1"/>
      </w:tblPr>
      <w:tblGrid>
        <w:gridCol w:w="2268"/>
        <w:gridCol w:w="30"/>
        <w:gridCol w:w="3110"/>
        <w:gridCol w:w="536"/>
        <w:gridCol w:w="3082"/>
      </w:tblGrid>
      <w:tr w:rsidR="008B2C29" w:rsidRPr="008B2C29" w14:paraId="396E1B4C" w14:textId="77777777" w:rsidTr="00232104">
        <w:trPr>
          <w:trHeight w:val="657"/>
          <w:tblHeader/>
          <w:tblCellSpacing w:w="15" w:type="dxa"/>
          <w:jc w:val="center"/>
        </w:trPr>
        <w:tc>
          <w:tcPr>
            <w:tcW w:w="0" w:type="auto"/>
            <w:gridSpan w:val="2"/>
            <w:tcBorders>
              <w:top w:val="single" w:sz="4" w:space="0" w:color="auto"/>
              <w:bottom w:val="single" w:sz="4" w:space="0" w:color="auto"/>
            </w:tcBorders>
            <w:vAlign w:val="center"/>
            <w:hideMark/>
          </w:tcPr>
          <w:p w14:paraId="77CA09AF" w14:textId="77777777" w:rsidR="00232104" w:rsidRPr="008B2C29" w:rsidRDefault="00232104" w:rsidP="007E64AF">
            <w:pPr>
              <w:spacing w:line="240" w:lineRule="auto"/>
              <w:rPr>
                <w:rFonts w:ascii="Arial" w:hAnsi="Arial" w:cs="Arial"/>
                <w:b/>
                <w:bCs/>
                <w:sz w:val="20"/>
                <w:szCs w:val="20"/>
                <w:lang w:val="en-US"/>
              </w:rPr>
            </w:pPr>
            <w:r w:rsidRPr="008B2C29">
              <w:rPr>
                <w:rFonts w:ascii="Arial" w:hAnsi="Arial" w:cs="Arial"/>
                <w:b/>
                <w:bCs/>
                <w:sz w:val="20"/>
                <w:szCs w:val="20"/>
                <w:lang w:val="en-US"/>
              </w:rPr>
              <w:t>Response Category</w:t>
            </w:r>
          </w:p>
        </w:tc>
        <w:tc>
          <w:tcPr>
            <w:tcW w:w="0" w:type="auto"/>
            <w:gridSpan w:val="2"/>
            <w:tcBorders>
              <w:top w:val="single" w:sz="4" w:space="0" w:color="auto"/>
              <w:bottom w:val="single" w:sz="4" w:space="0" w:color="auto"/>
            </w:tcBorders>
          </w:tcPr>
          <w:p w14:paraId="5E7E14CD" w14:textId="57625B88" w:rsidR="00232104" w:rsidRPr="008B2C29" w:rsidRDefault="00232104" w:rsidP="007E64AF">
            <w:pPr>
              <w:spacing w:line="240" w:lineRule="auto"/>
              <w:jc w:val="center"/>
              <w:rPr>
                <w:rFonts w:ascii="Arial" w:hAnsi="Arial" w:cs="Arial"/>
                <w:b/>
                <w:bCs/>
                <w:sz w:val="20"/>
                <w:szCs w:val="20"/>
                <w:lang w:val="en-US"/>
              </w:rPr>
            </w:pPr>
            <w:r w:rsidRPr="008B2C29">
              <w:rPr>
                <w:rFonts w:ascii="Arial" w:hAnsi="Arial" w:cs="Arial"/>
                <w:b/>
                <w:bCs/>
                <w:sz w:val="20"/>
                <w:szCs w:val="20"/>
                <w:lang w:val="en-US"/>
              </w:rPr>
              <w:t>Frequency</w:t>
            </w:r>
          </w:p>
        </w:tc>
        <w:tc>
          <w:tcPr>
            <w:tcW w:w="0" w:type="auto"/>
            <w:tcBorders>
              <w:top w:val="single" w:sz="4" w:space="0" w:color="auto"/>
              <w:bottom w:val="single" w:sz="4" w:space="0" w:color="auto"/>
            </w:tcBorders>
            <w:vAlign w:val="center"/>
            <w:hideMark/>
          </w:tcPr>
          <w:p w14:paraId="1CE28752" w14:textId="3EA86D83" w:rsidR="00232104" w:rsidRPr="008B2C29" w:rsidRDefault="00232104" w:rsidP="007E64AF">
            <w:pPr>
              <w:spacing w:line="240" w:lineRule="auto"/>
              <w:jc w:val="center"/>
              <w:rPr>
                <w:rFonts w:ascii="Arial" w:hAnsi="Arial" w:cs="Arial"/>
                <w:b/>
                <w:bCs/>
                <w:sz w:val="20"/>
                <w:szCs w:val="20"/>
                <w:lang w:val="en-US"/>
              </w:rPr>
            </w:pPr>
            <w:r w:rsidRPr="008B2C29">
              <w:rPr>
                <w:rFonts w:ascii="Arial" w:hAnsi="Arial" w:cs="Arial"/>
                <w:b/>
                <w:bCs/>
                <w:sz w:val="20"/>
                <w:szCs w:val="20"/>
                <w:lang w:val="en-US"/>
              </w:rPr>
              <w:t>Percentage of Respondents (%)</w:t>
            </w:r>
          </w:p>
        </w:tc>
      </w:tr>
      <w:tr w:rsidR="008B2C29" w:rsidRPr="008B2C29" w14:paraId="318C186F" w14:textId="77777777" w:rsidTr="00232104">
        <w:trPr>
          <w:trHeight w:val="91"/>
          <w:tblCellSpacing w:w="15" w:type="dxa"/>
          <w:jc w:val="center"/>
        </w:trPr>
        <w:tc>
          <w:tcPr>
            <w:tcW w:w="0" w:type="auto"/>
            <w:gridSpan w:val="2"/>
            <w:vAlign w:val="center"/>
            <w:hideMark/>
          </w:tcPr>
          <w:p w14:paraId="501A0987" w14:textId="77777777" w:rsidR="00232104" w:rsidRPr="008B2C29" w:rsidRDefault="00232104" w:rsidP="007E64AF">
            <w:pPr>
              <w:spacing w:line="240" w:lineRule="auto"/>
              <w:rPr>
                <w:rFonts w:ascii="Arial" w:hAnsi="Arial" w:cs="Arial"/>
                <w:bCs/>
                <w:sz w:val="20"/>
                <w:szCs w:val="20"/>
                <w:lang w:val="en-US"/>
              </w:rPr>
            </w:pPr>
            <w:r w:rsidRPr="008B2C29">
              <w:rPr>
                <w:rFonts w:ascii="Arial" w:hAnsi="Arial" w:cs="Arial"/>
                <w:bCs/>
                <w:sz w:val="20"/>
                <w:szCs w:val="20"/>
                <w:lang w:val="en-US"/>
              </w:rPr>
              <w:t>Significant Increase</w:t>
            </w:r>
          </w:p>
        </w:tc>
        <w:tc>
          <w:tcPr>
            <w:tcW w:w="0" w:type="auto"/>
            <w:gridSpan w:val="2"/>
          </w:tcPr>
          <w:p w14:paraId="2759DEB2" w14:textId="72A0B61D"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199</w:t>
            </w:r>
          </w:p>
        </w:tc>
        <w:tc>
          <w:tcPr>
            <w:tcW w:w="0" w:type="auto"/>
            <w:vAlign w:val="center"/>
            <w:hideMark/>
          </w:tcPr>
          <w:p w14:paraId="11EC4E7F" w14:textId="25F0F0FD"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52</w:t>
            </w:r>
          </w:p>
        </w:tc>
      </w:tr>
      <w:tr w:rsidR="008B2C29" w:rsidRPr="008B2C29" w14:paraId="4833BE1E" w14:textId="77777777" w:rsidTr="00232104">
        <w:trPr>
          <w:trHeight w:val="227"/>
          <w:tblCellSpacing w:w="15" w:type="dxa"/>
          <w:jc w:val="center"/>
        </w:trPr>
        <w:tc>
          <w:tcPr>
            <w:tcW w:w="0" w:type="auto"/>
            <w:gridSpan w:val="2"/>
            <w:vAlign w:val="center"/>
            <w:hideMark/>
          </w:tcPr>
          <w:p w14:paraId="669219F0" w14:textId="77777777" w:rsidR="00232104" w:rsidRPr="008B2C29" w:rsidRDefault="00232104" w:rsidP="007E64AF">
            <w:pPr>
              <w:spacing w:line="240" w:lineRule="auto"/>
              <w:rPr>
                <w:rFonts w:ascii="Arial" w:hAnsi="Arial" w:cs="Arial"/>
                <w:bCs/>
                <w:sz w:val="20"/>
                <w:szCs w:val="20"/>
                <w:lang w:val="en-US"/>
              </w:rPr>
            </w:pPr>
            <w:r w:rsidRPr="008B2C29">
              <w:rPr>
                <w:rFonts w:ascii="Arial" w:hAnsi="Arial" w:cs="Arial"/>
                <w:bCs/>
                <w:sz w:val="20"/>
                <w:szCs w:val="20"/>
                <w:lang w:val="en-US"/>
              </w:rPr>
              <w:t>Increase</w:t>
            </w:r>
          </w:p>
        </w:tc>
        <w:tc>
          <w:tcPr>
            <w:tcW w:w="0" w:type="auto"/>
            <w:gridSpan w:val="2"/>
          </w:tcPr>
          <w:p w14:paraId="355F7359" w14:textId="51FB261A"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145</w:t>
            </w:r>
          </w:p>
        </w:tc>
        <w:tc>
          <w:tcPr>
            <w:tcW w:w="0" w:type="auto"/>
            <w:vAlign w:val="center"/>
            <w:hideMark/>
          </w:tcPr>
          <w:p w14:paraId="0DF9EE32" w14:textId="3DC122C3"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38</w:t>
            </w:r>
          </w:p>
        </w:tc>
      </w:tr>
      <w:tr w:rsidR="008B2C29" w:rsidRPr="008B2C29" w14:paraId="53C19EA2" w14:textId="77777777" w:rsidTr="00232104">
        <w:trPr>
          <w:trHeight w:val="207"/>
          <w:tblCellSpacing w:w="15" w:type="dxa"/>
          <w:jc w:val="center"/>
        </w:trPr>
        <w:tc>
          <w:tcPr>
            <w:tcW w:w="0" w:type="auto"/>
            <w:gridSpan w:val="2"/>
            <w:vAlign w:val="center"/>
            <w:hideMark/>
          </w:tcPr>
          <w:p w14:paraId="04116975" w14:textId="77777777" w:rsidR="00232104" w:rsidRPr="008B2C29" w:rsidRDefault="00232104" w:rsidP="007E64AF">
            <w:pPr>
              <w:spacing w:line="240" w:lineRule="auto"/>
              <w:rPr>
                <w:rFonts w:ascii="Arial" w:hAnsi="Arial" w:cs="Arial"/>
                <w:bCs/>
                <w:sz w:val="20"/>
                <w:szCs w:val="20"/>
                <w:lang w:val="en-US"/>
              </w:rPr>
            </w:pPr>
            <w:r w:rsidRPr="008B2C29">
              <w:rPr>
                <w:rFonts w:ascii="Arial" w:hAnsi="Arial" w:cs="Arial"/>
                <w:bCs/>
                <w:sz w:val="20"/>
                <w:szCs w:val="20"/>
                <w:lang w:val="en-US"/>
              </w:rPr>
              <w:t>Neutral</w:t>
            </w:r>
          </w:p>
        </w:tc>
        <w:tc>
          <w:tcPr>
            <w:tcW w:w="0" w:type="auto"/>
            <w:gridSpan w:val="2"/>
          </w:tcPr>
          <w:p w14:paraId="034A27C4" w14:textId="6A1A52CB"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31</w:t>
            </w:r>
          </w:p>
        </w:tc>
        <w:tc>
          <w:tcPr>
            <w:tcW w:w="0" w:type="auto"/>
            <w:vAlign w:val="center"/>
            <w:hideMark/>
          </w:tcPr>
          <w:p w14:paraId="2B0757D7" w14:textId="29D8F560"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8</w:t>
            </w:r>
          </w:p>
        </w:tc>
      </w:tr>
      <w:tr w:rsidR="008B2C29" w:rsidRPr="008B2C29" w14:paraId="3598D599" w14:textId="77777777" w:rsidTr="00232104">
        <w:trPr>
          <w:trHeight w:val="201"/>
          <w:tblCellSpacing w:w="15" w:type="dxa"/>
          <w:jc w:val="center"/>
        </w:trPr>
        <w:tc>
          <w:tcPr>
            <w:tcW w:w="0" w:type="auto"/>
            <w:gridSpan w:val="2"/>
            <w:vAlign w:val="center"/>
            <w:hideMark/>
          </w:tcPr>
          <w:p w14:paraId="45EF8A49" w14:textId="77777777" w:rsidR="00232104" w:rsidRPr="008B2C29" w:rsidRDefault="00232104" w:rsidP="007E64AF">
            <w:pPr>
              <w:spacing w:line="240" w:lineRule="auto"/>
              <w:rPr>
                <w:rFonts w:ascii="Arial" w:hAnsi="Arial" w:cs="Arial"/>
                <w:bCs/>
                <w:sz w:val="20"/>
                <w:szCs w:val="20"/>
                <w:lang w:val="en-US"/>
              </w:rPr>
            </w:pPr>
            <w:r w:rsidRPr="008B2C29">
              <w:rPr>
                <w:rFonts w:ascii="Arial" w:hAnsi="Arial" w:cs="Arial"/>
                <w:bCs/>
                <w:sz w:val="20"/>
                <w:szCs w:val="20"/>
                <w:lang w:val="en-US"/>
              </w:rPr>
              <w:t>Decrease</w:t>
            </w:r>
          </w:p>
        </w:tc>
        <w:tc>
          <w:tcPr>
            <w:tcW w:w="0" w:type="auto"/>
            <w:gridSpan w:val="2"/>
          </w:tcPr>
          <w:p w14:paraId="22A0EA99" w14:textId="0EE7143C"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8</w:t>
            </w:r>
          </w:p>
        </w:tc>
        <w:tc>
          <w:tcPr>
            <w:tcW w:w="0" w:type="auto"/>
            <w:vAlign w:val="center"/>
            <w:hideMark/>
          </w:tcPr>
          <w:p w14:paraId="1198FFC5" w14:textId="4EE42D0B"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2</w:t>
            </w:r>
          </w:p>
        </w:tc>
      </w:tr>
      <w:tr w:rsidR="008B2C29" w:rsidRPr="008B2C29" w14:paraId="13802E61" w14:textId="77777777" w:rsidTr="00232104">
        <w:trPr>
          <w:trHeight w:val="657"/>
          <w:tblCellSpacing w:w="15" w:type="dxa"/>
          <w:jc w:val="center"/>
        </w:trPr>
        <w:tc>
          <w:tcPr>
            <w:tcW w:w="0" w:type="auto"/>
            <w:gridSpan w:val="2"/>
            <w:vAlign w:val="center"/>
            <w:hideMark/>
          </w:tcPr>
          <w:p w14:paraId="43472ECA" w14:textId="77777777" w:rsidR="00232104" w:rsidRPr="008B2C29" w:rsidRDefault="00232104" w:rsidP="007E64AF">
            <w:pPr>
              <w:spacing w:line="240" w:lineRule="auto"/>
              <w:rPr>
                <w:rFonts w:ascii="Arial" w:hAnsi="Arial" w:cs="Arial"/>
                <w:bCs/>
                <w:sz w:val="20"/>
                <w:szCs w:val="20"/>
                <w:lang w:val="en-US"/>
              </w:rPr>
            </w:pPr>
            <w:r w:rsidRPr="008B2C29">
              <w:rPr>
                <w:rFonts w:ascii="Arial" w:hAnsi="Arial" w:cs="Arial"/>
                <w:bCs/>
                <w:sz w:val="20"/>
                <w:szCs w:val="20"/>
                <w:lang w:val="en-US"/>
              </w:rPr>
              <w:t>Significant Decrease</w:t>
            </w:r>
          </w:p>
        </w:tc>
        <w:tc>
          <w:tcPr>
            <w:tcW w:w="0" w:type="auto"/>
            <w:gridSpan w:val="2"/>
          </w:tcPr>
          <w:p w14:paraId="56814B48" w14:textId="51FFF725"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0</w:t>
            </w:r>
          </w:p>
        </w:tc>
        <w:tc>
          <w:tcPr>
            <w:tcW w:w="0" w:type="auto"/>
            <w:vAlign w:val="center"/>
            <w:hideMark/>
          </w:tcPr>
          <w:p w14:paraId="1CDADDEA" w14:textId="1254B3C5" w:rsidR="00232104" w:rsidRPr="008B2C29" w:rsidRDefault="00232104" w:rsidP="007E64AF">
            <w:pPr>
              <w:spacing w:line="240" w:lineRule="auto"/>
              <w:jc w:val="center"/>
              <w:rPr>
                <w:rFonts w:ascii="Arial" w:hAnsi="Arial" w:cs="Arial"/>
                <w:bCs/>
                <w:sz w:val="20"/>
                <w:szCs w:val="20"/>
                <w:lang w:val="en-US"/>
              </w:rPr>
            </w:pPr>
            <w:r w:rsidRPr="008B2C29">
              <w:rPr>
                <w:rFonts w:ascii="Arial" w:hAnsi="Arial" w:cs="Arial"/>
                <w:bCs/>
                <w:sz w:val="20"/>
                <w:szCs w:val="20"/>
                <w:lang w:val="en-US"/>
              </w:rPr>
              <w:t>0</w:t>
            </w:r>
          </w:p>
        </w:tc>
      </w:tr>
      <w:tr w:rsidR="008B2C29" w:rsidRPr="008B2C29" w14:paraId="0DC8A8AA" w14:textId="77777777" w:rsidTr="00232104">
        <w:trPr>
          <w:trHeight w:val="181"/>
          <w:tblCellSpacing w:w="15" w:type="dxa"/>
          <w:jc w:val="center"/>
        </w:trPr>
        <w:tc>
          <w:tcPr>
            <w:tcW w:w="2223" w:type="dxa"/>
            <w:tcBorders>
              <w:top w:val="single" w:sz="4" w:space="0" w:color="auto"/>
              <w:bottom w:val="single" w:sz="4" w:space="0" w:color="auto"/>
            </w:tcBorders>
            <w:vAlign w:val="center"/>
          </w:tcPr>
          <w:p w14:paraId="3E5A23A0" w14:textId="6F69BBD8" w:rsidR="00232104" w:rsidRPr="008B2C29" w:rsidRDefault="00232104" w:rsidP="007E64AF">
            <w:pPr>
              <w:spacing w:line="240" w:lineRule="auto"/>
              <w:rPr>
                <w:rFonts w:ascii="Arial" w:hAnsi="Arial" w:cs="Arial"/>
                <w:b/>
                <w:sz w:val="20"/>
                <w:szCs w:val="20"/>
                <w:lang w:val="en-US"/>
              </w:rPr>
            </w:pPr>
            <w:r w:rsidRPr="008B2C29">
              <w:rPr>
                <w:rFonts w:ascii="Arial" w:hAnsi="Arial" w:cs="Arial"/>
                <w:b/>
                <w:sz w:val="20"/>
                <w:szCs w:val="20"/>
                <w:lang w:val="en-US"/>
              </w:rPr>
              <w:t>Total</w:t>
            </w:r>
          </w:p>
        </w:tc>
        <w:tc>
          <w:tcPr>
            <w:tcW w:w="3117" w:type="dxa"/>
            <w:gridSpan w:val="2"/>
            <w:tcBorders>
              <w:top w:val="single" w:sz="4" w:space="0" w:color="auto"/>
              <w:bottom w:val="single" w:sz="4" w:space="0" w:color="auto"/>
            </w:tcBorders>
          </w:tcPr>
          <w:p w14:paraId="4A0F001C" w14:textId="77777777" w:rsidR="00232104" w:rsidRPr="008B2C29" w:rsidRDefault="00232104" w:rsidP="007E64AF">
            <w:pPr>
              <w:spacing w:line="240" w:lineRule="auto"/>
              <w:jc w:val="center"/>
              <w:rPr>
                <w:rFonts w:ascii="Arial" w:hAnsi="Arial" w:cs="Arial"/>
                <w:b/>
                <w:sz w:val="20"/>
                <w:szCs w:val="20"/>
                <w:lang w:val="en-US"/>
              </w:rPr>
            </w:pPr>
          </w:p>
        </w:tc>
        <w:tc>
          <w:tcPr>
            <w:tcW w:w="3566" w:type="dxa"/>
            <w:gridSpan w:val="2"/>
            <w:tcBorders>
              <w:top w:val="single" w:sz="4" w:space="0" w:color="auto"/>
              <w:bottom w:val="single" w:sz="4" w:space="0" w:color="auto"/>
            </w:tcBorders>
            <w:vAlign w:val="center"/>
          </w:tcPr>
          <w:p w14:paraId="23159382" w14:textId="3931E445" w:rsidR="00232104" w:rsidRPr="008B2C29" w:rsidRDefault="00232104" w:rsidP="007E64AF">
            <w:pPr>
              <w:spacing w:line="240" w:lineRule="auto"/>
              <w:jc w:val="center"/>
              <w:rPr>
                <w:rFonts w:ascii="Arial" w:hAnsi="Arial" w:cs="Arial"/>
                <w:b/>
                <w:sz w:val="20"/>
                <w:szCs w:val="20"/>
                <w:lang w:val="en-US"/>
              </w:rPr>
            </w:pPr>
            <w:r w:rsidRPr="008B2C29">
              <w:rPr>
                <w:rFonts w:ascii="Arial" w:hAnsi="Arial" w:cs="Arial"/>
                <w:b/>
                <w:sz w:val="20"/>
                <w:szCs w:val="20"/>
                <w:lang w:val="en-US"/>
              </w:rPr>
              <w:t>100%</w:t>
            </w:r>
          </w:p>
        </w:tc>
      </w:tr>
    </w:tbl>
    <w:p w14:paraId="32CAD255" w14:textId="441C92FC" w:rsidR="001778EC" w:rsidRPr="008B2C29" w:rsidRDefault="00436C04" w:rsidP="002C7DB3">
      <w:pPr>
        <w:spacing w:line="276" w:lineRule="auto"/>
        <w:rPr>
          <w:rFonts w:ascii="Arial" w:hAnsi="Arial" w:cs="Arial"/>
          <w:bCs/>
          <w:sz w:val="20"/>
          <w:szCs w:val="20"/>
          <w:lang w:val="en-US"/>
        </w:rPr>
      </w:pPr>
      <w:r w:rsidRPr="008B2C29">
        <w:rPr>
          <w:rFonts w:ascii="Arial" w:hAnsi="Arial" w:cs="Arial"/>
          <w:bCs/>
          <w:sz w:val="20"/>
          <w:szCs w:val="20"/>
        </w:rPr>
        <w:t xml:space="preserve">  </w:t>
      </w:r>
      <w:r w:rsidR="0048733D" w:rsidRPr="008B2C29">
        <w:rPr>
          <w:rFonts w:ascii="Arial" w:hAnsi="Arial" w:cs="Arial"/>
          <w:bCs/>
          <w:sz w:val="20"/>
          <w:szCs w:val="20"/>
          <w:lang w:val="en-US"/>
        </w:rPr>
        <w:t>Source: Authors’ Construct</w:t>
      </w:r>
      <w:r w:rsidRPr="008B2C29">
        <w:rPr>
          <w:rFonts w:ascii="Arial" w:hAnsi="Arial" w:cs="Arial"/>
          <w:bCs/>
          <w:sz w:val="20"/>
          <w:szCs w:val="20"/>
        </w:rPr>
        <w:t xml:space="preserve">                                                                                                                                                                                                                                                                                                                                                                                                                                                                                                                                                                                                                                                                                                                                                                                                                                                                                                                                                                                                                                                                                                                                                                                                                                                                                                                                                                                                                                                                                                                                                                                                                                                                                                                                                                                                                                                                                                                                                                                                                    </w:t>
      </w:r>
    </w:p>
    <w:p w14:paraId="257EFB08" w14:textId="19A450C3" w:rsidR="001E083A" w:rsidRPr="008B2C29" w:rsidRDefault="001E083A" w:rsidP="002C7DB3">
      <w:pPr>
        <w:pStyle w:val="ListParagraph"/>
        <w:numPr>
          <w:ilvl w:val="1"/>
          <w:numId w:val="2"/>
        </w:numPr>
        <w:spacing w:line="276" w:lineRule="auto"/>
        <w:rPr>
          <w:rFonts w:ascii="Arial" w:hAnsi="Arial" w:cs="Arial"/>
          <w:b/>
          <w:sz w:val="20"/>
          <w:szCs w:val="20"/>
        </w:rPr>
      </w:pPr>
      <w:r w:rsidRPr="008B2C29">
        <w:rPr>
          <w:rFonts w:ascii="Arial" w:hAnsi="Arial" w:cs="Arial"/>
          <w:b/>
          <w:sz w:val="20"/>
          <w:szCs w:val="20"/>
        </w:rPr>
        <w:t>Barriers to accessing land registration services</w:t>
      </w:r>
    </w:p>
    <w:p w14:paraId="5D55BFC9" w14:textId="3DAB5A23" w:rsidR="00760D26" w:rsidRPr="008B2C29" w:rsidRDefault="006E6720"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Despite the recognized benefits of land registration to enhance tenure security and promote investment, access to land registration services remains an issue for the majority of landowners in Ghana. </w:t>
      </w:r>
      <w:r w:rsidR="00760D26" w:rsidRPr="008B2C29">
        <w:rPr>
          <w:rFonts w:ascii="Arial" w:hAnsi="Arial" w:cs="Arial"/>
          <w:bCs/>
          <w:sz w:val="20"/>
          <w:szCs w:val="20"/>
          <w:lang w:val="en-US"/>
        </w:rPr>
        <w:t>Interviewee from the Lands Commission mentioned that:</w:t>
      </w:r>
    </w:p>
    <w:p w14:paraId="5A64B7CA" w14:textId="2138F3A8" w:rsidR="00CE5FEF" w:rsidRPr="008B2C29" w:rsidRDefault="00CE5FEF" w:rsidP="002C7DB3">
      <w:pPr>
        <w:spacing w:line="276" w:lineRule="auto"/>
        <w:ind w:left="454" w:right="454"/>
        <w:rPr>
          <w:rFonts w:ascii="Arial" w:hAnsi="Arial" w:cs="Arial"/>
          <w:bCs/>
          <w:i/>
          <w:iCs/>
          <w:sz w:val="20"/>
          <w:szCs w:val="20"/>
          <w:lang w:val="en-US"/>
        </w:rPr>
      </w:pPr>
      <w:r w:rsidRPr="008B2C29">
        <w:rPr>
          <w:rFonts w:ascii="Arial" w:hAnsi="Arial" w:cs="Arial"/>
          <w:bCs/>
          <w:i/>
          <w:iCs/>
          <w:sz w:val="20"/>
          <w:szCs w:val="20"/>
          <w:lang w:val="en-US"/>
        </w:rPr>
        <w:t>‘’ Based on my experience, I can affirm that land right holders face a range of persistent administrative and institutional barriers, including lack of transparency, and bureaucratic delay</w:t>
      </w:r>
      <w:r w:rsidR="00FB36FE" w:rsidRPr="008B2C29">
        <w:rPr>
          <w:rFonts w:ascii="Arial" w:hAnsi="Arial" w:cs="Arial"/>
          <w:bCs/>
          <w:i/>
          <w:iCs/>
          <w:sz w:val="20"/>
          <w:szCs w:val="20"/>
          <w:lang w:val="en-US"/>
        </w:rPr>
        <w:t>, in accessing land registration services’’</w:t>
      </w:r>
      <w:r w:rsidR="00693595" w:rsidRPr="008B2C29">
        <w:rPr>
          <w:rFonts w:ascii="Arial" w:hAnsi="Arial" w:cs="Arial"/>
          <w:bCs/>
          <w:i/>
          <w:iCs/>
          <w:sz w:val="20"/>
          <w:szCs w:val="20"/>
          <w:lang w:val="en-US"/>
        </w:rPr>
        <w:t xml:space="preserve"> (</w:t>
      </w:r>
      <w:r w:rsidR="00693595" w:rsidRPr="008B2C29">
        <w:rPr>
          <w:rFonts w:ascii="Arial" w:hAnsi="Arial" w:cs="Arial"/>
          <w:bCs/>
          <w:sz w:val="20"/>
          <w:szCs w:val="20"/>
          <w:lang w:val="en-US"/>
        </w:rPr>
        <w:t>Interview, Land Officer 3, Lands Commission, 2025)</w:t>
      </w:r>
      <w:r w:rsidR="00FB36FE" w:rsidRPr="008B2C29">
        <w:rPr>
          <w:rFonts w:ascii="Arial" w:hAnsi="Arial" w:cs="Arial"/>
          <w:bCs/>
          <w:i/>
          <w:iCs/>
          <w:sz w:val="20"/>
          <w:szCs w:val="20"/>
          <w:lang w:val="en-US"/>
        </w:rPr>
        <w:t>.</w:t>
      </w:r>
    </w:p>
    <w:p w14:paraId="716A2615" w14:textId="6FA6B384" w:rsidR="006E6720" w:rsidRPr="008B2C29" w:rsidRDefault="006E6720"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The </w:t>
      </w:r>
      <w:r w:rsidR="00FB36FE" w:rsidRPr="008B2C29">
        <w:rPr>
          <w:rFonts w:ascii="Arial" w:hAnsi="Arial" w:cs="Arial"/>
          <w:bCs/>
          <w:sz w:val="20"/>
          <w:szCs w:val="20"/>
          <w:lang w:val="en-US"/>
        </w:rPr>
        <w:t>interviewees with the land rights holders</w:t>
      </w:r>
      <w:r w:rsidRPr="008B2C29">
        <w:rPr>
          <w:rFonts w:ascii="Arial" w:hAnsi="Arial" w:cs="Arial"/>
          <w:bCs/>
          <w:sz w:val="20"/>
          <w:szCs w:val="20"/>
          <w:lang w:val="en-US"/>
        </w:rPr>
        <w:t xml:space="preserve"> </w:t>
      </w:r>
      <w:r w:rsidR="00FB36FE" w:rsidRPr="008B2C29">
        <w:rPr>
          <w:rFonts w:ascii="Arial" w:hAnsi="Arial" w:cs="Arial"/>
          <w:bCs/>
          <w:sz w:val="20"/>
          <w:szCs w:val="20"/>
          <w:lang w:val="en-US"/>
        </w:rPr>
        <w:t>confirm with what the expert from the Lands Commission stated,</w:t>
      </w:r>
      <w:r w:rsidR="00760D26" w:rsidRPr="008B2C29">
        <w:rPr>
          <w:rFonts w:ascii="Arial" w:hAnsi="Arial" w:cs="Arial"/>
          <w:bCs/>
          <w:sz w:val="20"/>
          <w:szCs w:val="20"/>
          <w:lang w:val="en-US"/>
        </w:rPr>
        <w:t xml:space="preserve"> as indicated in Figure 4</w:t>
      </w:r>
      <w:r w:rsidRPr="008B2C29">
        <w:rPr>
          <w:rFonts w:ascii="Arial" w:hAnsi="Arial" w:cs="Arial"/>
          <w:bCs/>
          <w:sz w:val="20"/>
          <w:szCs w:val="20"/>
          <w:lang w:val="en-US"/>
        </w:rPr>
        <w:t xml:space="preserve">. The most cited issue was bureaucratic delay, emphasized by 71% of the interviewees. Delays are often caused by complex processes, ambiguous </w:t>
      </w:r>
      <w:r w:rsidR="00FB36FE" w:rsidRPr="008B2C29">
        <w:rPr>
          <w:rFonts w:ascii="Arial" w:hAnsi="Arial" w:cs="Arial"/>
          <w:bCs/>
          <w:sz w:val="20"/>
          <w:szCs w:val="20"/>
          <w:lang w:val="en-US"/>
        </w:rPr>
        <w:t>documentation</w:t>
      </w:r>
      <w:r w:rsidRPr="008B2C29">
        <w:rPr>
          <w:rFonts w:ascii="Arial" w:hAnsi="Arial" w:cs="Arial"/>
          <w:bCs/>
          <w:sz w:val="20"/>
          <w:szCs w:val="20"/>
          <w:lang w:val="en-US"/>
        </w:rPr>
        <w:t xml:space="preserve"> demands, and involvement of multiple agencies with overlapping functions. Excessive processing times discourage landholders from initiating or finalizing registration, especially where follow-up occurs by way of frequent visits or unofficial remittance. Such inefficiency undermines confidence in the land administration system and encourages informality.</w:t>
      </w:r>
    </w:p>
    <w:p w14:paraId="1043D676" w14:textId="77777777" w:rsidR="006E6720" w:rsidRPr="008B2C29" w:rsidRDefault="006E6720" w:rsidP="002C7DB3">
      <w:pPr>
        <w:spacing w:line="276" w:lineRule="auto"/>
        <w:rPr>
          <w:rFonts w:ascii="Arial" w:hAnsi="Arial" w:cs="Arial"/>
          <w:bCs/>
          <w:sz w:val="20"/>
          <w:szCs w:val="20"/>
          <w:lang w:val="en-US"/>
        </w:rPr>
      </w:pPr>
      <w:r w:rsidRPr="008B2C29">
        <w:rPr>
          <w:rFonts w:ascii="Arial" w:hAnsi="Arial" w:cs="Arial"/>
          <w:bCs/>
          <w:sz w:val="20"/>
          <w:szCs w:val="20"/>
          <w:lang w:val="en-US"/>
        </w:rPr>
        <w:t>Lack of transparency and accountability, which was mentioned by 19% of the interviewees, is the second main issue. Some landholders complained of unclear procedures, lack of feedback, and the impression that decisions could be influenced through bribery or nepotism. Such perceptions weaken the credibility of the land registration process among the public and exclude access to individuals who do not have the right connections or resources to make it. Further, 7% of the interviewees mentioned inefficient record-keeping. Inefficient documentation procedures, missing files, and out-of-date records rule out proof of ownership, application handling, or information retrieval. These contribute to registration errors and timelines, and in some cases result in contesting claims.</w:t>
      </w:r>
    </w:p>
    <w:p w14:paraId="2152A9B0" w14:textId="158736D3" w:rsidR="00AE39F1" w:rsidRPr="008B2C29" w:rsidRDefault="006E6720" w:rsidP="002C7DB3">
      <w:pPr>
        <w:spacing w:line="276" w:lineRule="auto"/>
        <w:rPr>
          <w:rFonts w:ascii="Arial" w:hAnsi="Arial" w:cs="Arial"/>
          <w:bCs/>
          <w:sz w:val="20"/>
          <w:szCs w:val="20"/>
          <w:lang w:val="en-US"/>
        </w:rPr>
      </w:pPr>
      <w:r w:rsidRPr="008B2C29">
        <w:rPr>
          <w:rFonts w:ascii="Arial" w:hAnsi="Arial" w:cs="Arial"/>
          <w:bCs/>
          <w:sz w:val="20"/>
          <w:szCs w:val="20"/>
          <w:lang w:val="en-US"/>
        </w:rPr>
        <w:t xml:space="preserve">A few of the respondents complained of the insensitivity or reluctance of land administration officers, who may keep the submissions pending or demonstrate lax commitment towards serving the public. </w:t>
      </w:r>
      <w:r w:rsidRPr="008B2C29">
        <w:rPr>
          <w:rFonts w:ascii="Arial" w:hAnsi="Arial" w:cs="Arial"/>
          <w:bCs/>
          <w:sz w:val="20"/>
          <w:szCs w:val="20"/>
          <w:lang w:val="en-US"/>
        </w:rPr>
        <w:lastRenderedPageBreak/>
        <w:t>These resonate with more general concerns over institutional capability, motivation, and professional ethics among land sector agencies. These findings demand institutional reforms, computerization of land records, capacity building, and improved client service in order to make land registration services accessible, effective, and equitable to all land owners.</w:t>
      </w:r>
    </w:p>
    <w:p w14:paraId="59D190A6" w14:textId="77777777" w:rsidR="003926C5" w:rsidRPr="008B2C29" w:rsidRDefault="003926C5" w:rsidP="002C7DB3">
      <w:pPr>
        <w:spacing w:line="276" w:lineRule="auto"/>
        <w:rPr>
          <w:rFonts w:ascii="Arial" w:hAnsi="Arial" w:cs="Arial"/>
          <w:bCs/>
          <w:sz w:val="20"/>
          <w:szCs w:val="20"/>
          <w:lang w:val="en-US"/>
        </w:rPr>
      </w:pPr>
    </w:p>
    <w:p w14:paraId="3D9366BE" w14:textId="0F676757" w:rsidR="003926C5" w:rsidRPr="008B2C29" w:rsidRDefault="00DD0E89" w:rsidP="002C7DB3">
      <w:pPr>
        <w:spacing w:line="276" w:lineRule="auto"/>
        <w:jc w:val="center"/>
        <w:rPr>
          <w:rFonts w:ascii="Arial" w:hAnsi="Arial" w:cs="Arial"/>
          <w:bCs/>
          <w:sz w:val="20"/>
          <w:szCs w:val="20"/>
          <w:lang w:val="en-US"/>
        </w:rPr>
      </w:pPr>
      <w:r w:rsidRPr="008B2C29">
        <w:rPr>
          <w:rFonts w:ascii="Arial" w:hAnsi="Arial" w:cs="Arial"/>
          <w:noProof/>
          <w:sz w:val="20"/>
          <w:szCs w:val="20"/>
        </w:rPr>
        <w:drawing>
          <wp:inline distT="0" distB="0" distL="0" distR="0" wp14:anchorId="0CF43041" wp14:editId="1649E202">
            <wp:extent cx="5629275" cy="3019425"/>
            <wp:effectExtent l="0" t="0" r="9525" b="9525"/>
            <wp:docPr id="541925802" name="Chart 1">
              <a:extLst xmlns:a="http://schemas.openxmlformats.org/drawingml/2006/main">
                <a:ext uri="{FF2B5EF4-FFF2-40B4-BE49-F238E27FC236}">
                  <a16:creationId xmlns:a16="http://schemas.microsoft.com/office/drawing/2014/main" id="{E4BDD96F-CD0D-1F3C-089D-43DB228BD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0819C7" w14:textId="77777777" w:rsidR="003926C5" w:rsidRPr="008B2C29" w:rsidRDefault="003926C5" w:rsidP="002C7DB3">
      <w:pPr>
        <w:spacing w:line="276" w:lineRule="auto"/>
        <w:rPr>
          <w:rFonts w:ascii="Arial" w:hAnsi="Arial" w:cs="Arial"/>
          <w:bCs/>
          <w:sz w:val="20"/>
          <w:szCs w:val="20"/>
          <w:lang w:val="en-US"/>
        </w:rPr>
      </w:pPr>
    </w:p>
    <w:p w14:paraId="11395211" w14:textId="75FD65BC" w:rsidR="00AE39F1" w:rsidRPr="008B2C29" w:rsidRDefault="00302F49" w:rsidP="002C7DB3">
      <w:pPr>
        <w:spacing w:line="276" w:lineRule="auto"/>
        <w:rPr>
          <w:rFonts w:ascii="Arial" w:hAnsi="Arial" w:cs="Arial"/>
          <w:b/>
          <w:bCs/>
          <w:sz w:val="20"/>
          <w:szCs w:val="20"/>
          <w:lang w:val="en-US"/>
        </w:rPr>
      </w:pPr>
      <w:r w:rsidRPr="008B2C29">
        <w:rPr>
          <w:rFonts w:ascii="Arial" w:hAnsi="Arial" w:cs="Arial"/>
          <w:b/>
          <w:bCs/>
          <w:sz w:val="20"/>
          <w:szCs w:val="20"/>
          <w:lang w:val="en-US"/>
        </w:rPr>
        <w:t>Figure</w:t>
      </w:r>
      <w:r w:rsidR="00AE39F1" w:rsidRPr="008B2C29">
        <w:rPr>
          <w:rFonts w:ascii="Arial" w:hAnsi="Arial" w:cs="Arial"/>
          <w:b/>
          <w:bCs/>
          <w:sz w:val="20"/>
          <w:szCs w:val="20"/>
          <w:lang w:val="en-US"/>
        </w:rPr>
        <w:t xml:space="preserve"> 4: Barriers to Accessing Land Registration Services</w:t>
      </w:r>
    </w:p>
    <w:p w14:paraId="56D1888F" w14:textId="773546C6" w:rsidR="008E526A" w:rsidRPr="008B2C29" w:rsidRDefault="0048733D" w:rsidP="002C7DB3">
      <w:pPr>
        <w:spacing w:line="276" w:lineRule="auto"/>
        <w:rPr>
          <w:rFonts w:ascii="Arial" w:hAnsi="Arial" w:cs="Arial"/>
          <w:bCs/>
          <w:sz w:val="20"/>
          <w:szCs w:val="20"/>
          <w:lang w:val="en-US"/>
        </w:rPr>
      </w:pPr>
      <w:r w:rsidRPr="008B2C29">
        <w:rPr>
          <w:rFonts w:ascii="Arial" w:hAnsi="Arial" w:cs="Arial"/>
          <w:bCs/>
          <w:sz w:val="20"/>
          <w:szCs w:val="20"/>
          <w:lang w:val="en-US"/>
        </w:rPr>
        <w:t>Source: Authors’ Construct</w:t>
      </w:r>
    </w:p>
    <w:p w14:paraId="0C5BE6AD" w14:textId="6B8BC59D" w:rsidR="0048733D" w:rsidRPr="008B2C29" w:rsidRDefault="00B625D0" w:rsidP="002C7DB3">
      <w:pPr>
        <w:pStyle w:val="ListParagraph"/>
        <w:numPr>
          <w:ilvl w:val="0"/>
          <w:numId w:val="2"/>
        </w:numPr>
        <w:spacing w:line="276" w:lineRule="auto"/>
        <w:rPr>
          <w:rFonts w:ascii="Arial" w:hAnsi="Arial" w:cs="Arial"/>
          <w:b/>
          <w:bCs/>
          <w:sz w:val="20"/>
          <w:szCs w:val="20"/>
          <w:lang w:val="en-US"/>
        </w:rPr>
      </w:pPr>
      <w:r w:rsidRPr="008B2C29">
        <w:rPr>
          <w:rFonts w:ascii="Arial" w:hAnsi="Arial" w:cs="Arial"/>
          <w:b/>
          <w:bCs/>
          <w:sz w:val="20"/>
          <w:szCs w:val="20"/>
          <w:lang w:val="en-US"/>
        </w:rPr>
        <w:t>Conclusion and Recommendation</w:t>
      </w:r>
    </w:p>
    <w:p w14:paraId="3614DBA1" w14:textId="7790B107" w:rsidR="00770E3F" w:rsidRPr="008B2C29" w:rsidRDefault="00770E3F" w:rsidP="002C7DB3">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 xml:space="preserve">The paper examined the impact of land registration on urban tenure security in Kumasi, Ghana. Results showed that it has an immense impact in enhancing tenure security via legal recognition, decreasing conflicts, and increasing confidence in land investment. Over half of the respondents cited </w:t>
      </w:r>
      <w:r w:rsidR="002861AB" w:rsidRPr="008B2C29">
        <w:rPr>
          <w:rFonts w:ascii="Arial" w:eastAsia="Times New Roman" w:hAnsi="Arial" w:cs="Arial"/>
          <w:kern w:val="0"/>
          <w:sz w:val="20"/>
          <w:szCs w:val="20"/>
          <w:lang w:val="en-US"/>
          <w14:ligatures w14:val="none"/>
        </w:rPr>
        <w:t xml:space="preserve">land registration as a safeguard that legally protects owners </w:t>
      </w:r>
      <w:r w:rsidRPr="008B2C29">
        <w:rPr>
          <w:rFonts w:ascii="Arial" w:eastAsia="Times New Roman" w:hAnsi="Arial" w:cs="Arial"/>
          <w:kern w:val="0"/>
          <w:sz w:val="20"/>
          <w:szCs w:val="20"/>
          <w:lang w:val="en-US"/>
          <w14:ligatures w14:val="none"/>
        </w:rPr>
        <w:t>against encroachment and claims, and 39% cited its conflict-reducing role. In addition, 90% reported that getting legal documents enhanced their investment in land improvement.</w:t>
      </w:r>
    </w:p>
    <w:p w14:paraId="593A73F9" w14:textId="77777777" w:rsidR="00770E3F" w:rsidRPr="008B2C29" w:rsidRDefault="00770E3F" w:rsidP="002C7DB3">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The study identified high registration fees, administrative ineffectiveness, lack of knowledge, and mistrust as factors that hinder land registration services. Poor record-keeping, delayed services, and inefficiency in service delivery also frustrate landowners. Ghana's dual land tenure system, which combines customary and statutory systems, leads to duplication and confusion, with women and vulnerable individuals likely to be excluded.</w:t>
      </w:r>
    </w:p>
    <w:p w14:paraId="327FF20C" w14:textId="77777777" w:rsidR="00770E3F" w:rsidRPr="008B2C29" w:rsidRDefault="00770E3F" w:rsidP="002C7DB3">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In order to surmount these challenges, key recommendations aim at enhancing the process of land registration. Decentralization and simplification of the process is a necessity, including simplifying procedures, reducing processing time, and enhancing accessibility to the local communities through district offices. Process rationalization and decentralization of services can minimize registration inconveniences to rural and peri-urban areas.</w:t>
      </w:r>
    </w:p>
    <w:p w14:paraId="717580FC" w14:textId="77777777" w:rsidR="00770E3F" w:rsidRPr="008B2C29" w:rsidRDefault="00770E3F" w:rsidP="002C7DB3">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 xml:space="preserve">Land registration fees must be made cheaper. Subsidies or installment payments should be provided by the government and partners for poor landowners. This is to ensure that there are no financial constraints to formalizing land rights, particularly for vulnerable groups who gain from improved tenure security. A key recommendation is to increase transparency and accountability in land registration. Computerized records and providing accessible clear guidelines on cost and timelines will make the </w:t>
      </w:r>
      <w:r w:rsidRPr="008B2C29">
        <w:rPr>
          <w:rFonts w:ascii="Arial" w:eastAsia="Times New Roman" w:hAnsi="Arial" w:cs="Arial"/>
          <w:kern w:val="0"/>
          <w:sz w:val="20"/>
          <w:szCs w:val="20"/>
          <w:lang w:val="en-US"/>
          <w14:ligatures w14:val="none"/>
        </w:rPr>
        <w:lastRenderedPageBreak/>
        <w:t>public more confident. Further, feedback mechanisms will enable users to provide concerns and ensure responsiveness.</w:t>
      </w:r>
    </w:p>
    <w:p w14:paraId="43E24074" w14:textId="54C7C59C" w:rsidR="00770E3F" w:rsidRPr="008B2C29" w:rsidRDefault="00770E3F" w:rsidP="002C7DB3">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 xml:space="preserve">It is critical to harmonize customary and statutory tenure systems. Reforms must acknowledge and include customary land allocations consistent with equity and inclusivity. Engagement between traditional authorities and formal institutions must develop hybrid models that accommodate local traditions and the rule of law. Public sensitization campaigns need to be carried out to enlighten the public on land registration entitlements and benefits. The majority of landowners are unaware or are </w:t>
      </w:r>
      <w:r w:rsidR="002861AB" w:rsidRPr="008B2C29">
        <w:rPr>
          <w:rFonts w:ascii="Arial" w:eastAsia="Times New Roman" w:hAnsi="Arial" w:cs="Arial"/>
          <w:kern w:val="0"/>
          <w:sz w:val="20"/>
          <w:szCs w:val="20"/>
          <w:lang w:val="en-US"/>
          <w14:ligatures w14:val="none"/>
        </w:rPr>
        <w:t>misinformed</w:t>
      </w:r>
      <w:r w:rsidRPr="008B2C29">
        <w:rPr>
          <w:rFonts w:ascii="Arial" w:eastAsia="Times New Roman" w:hAnsi="Arial" w:cs="Arial"/>
          <w:kern w:val="0"/>
          <w:sz w:val="20"/>
          <w:szCs w:val="20"/>
          <w:lang w:val="en-US"/>
          <w14:ligatures w14:val="none"/>
        </w:rPr>
        <w:t xml:space="preserve"> as to the reasons why they need to register their land. This can be addressed through community forums, radio, and print media.</w:t>
      </w:r>
    </w:p>
    <w:p w14:paraId="0BFB0CED" w14:textId="59CF7430" w:rsidR="00AE39F1" w:rsidRPr="008B2C29" w:rsidRDefault="00770E3F" w:rsidP="002C7DB3">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To enhance secure tenure and bring in investment, landowners must be provided with credit, advice, and services. These facilities will allow them to gain maximum advantage from registration and use their land for production. Land registration must be gender-sensitive and inclusive. Interventions must ensure that women, migrants, and vulnerable groups are included in the formal land regime by legal protection and outreach. Land registration in Ghana has the potential to increase tenure security and investment, yet success relies on reforms to improve administration, build trust with the public, and promote social inclusion. A comprehensive, context-sensitive strategy is essential in order to provide the advantages of land registration to everyone and ensure equity.</w:t>
      </w:r>
    </w:p>
    <w:p w14:paraId="03B99BD6" w14:textId="26C0912C" w:rsidR="002824F0" w:rsidRPr="008B2C29" w:rsidRDefault="002824F0" w:rsidP="002C7DB3">
      <w:pPr>
        <w:spacing w:line="276" w:lineRule="auto"/>
        <w:rPr>
          <w:rFonts w:ascii="Arial" w:eastAsia="Times New Roman" w:hAnsi="Arial" w:cs="Arial"/>
          <w:b/>
          <w:bCs/>
          <w:kern w:val="0"/>
          <w:sz w:val="22"/>
          <w:lang w:val="en-US"/>
          <w14:ligatures w14:val="none"/>
        </w:rPr>
      </w:pPr>
      <w:r w:rsidRPr="008B2C29">
        <w:rPr>
          <w:rFonts w:ascii="Arial" w:eastAsia="Times New Roman" w:hAnsi="Arial" w:cs="Arial"/>
          <w:b/>
          <w:bCs/>
          <w:kern w:val="0"/>
          <w:sz w:val="22"/>
          <w:lang w:val="en-US"/>
          <w14:ligatures w14:val="none"/>
        </w:rPr>
        <w:t>Limitations of the Study</w:t>
      </w:r>
    </w:p>
    <w:p w14:paraId="4DF7E8B2" w14:textId="77777777" w:rsidR="00AD743F" w:rsidRPr="008B2C29" w:rsidRDefault="00AD743F" w:rsidP="00AD743F">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Although this research offers important insights into land registration's impact on tenure security in Kumasi, some limitations must be noted. Firstly, the research's use of landholders' and land officers' self-reported data could include biases like social desirability or recall errors. The respondents could have exaggerated the advantages or problems of land registration due to personal experiences or expectations.</w:t>
      </w:r>
    </w:p>
    <w:p w14:paraId="3AA6D206" w14:textId="77777777" w:rsidR="00AD743F" w:rsidRPr="008B2C29" w:rsidRDefault="00AD743F" w:rsidP="00AD743F">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Second, the geographic concentration in Kumasi, although understandable given its urbanization and complicated land tenure arrangements, could restrict the applicability of observations to other parts of Ghana with differing socio-cultural and institutional contexts. Rural localities and other metropolitan areas might feel the effects of land registration and tenure security differently because of differences in customary practice and institutional capabilities.</w:t>
      </w:r>
    </w:p>
    <w:p w14:paraId="2CD41675" w14:textId="77777777" w:rsidR="00AD743F" w:rsidRPr="008B2C29" w:rsidRDefault="00AD743F" w:rsidP="00AD743F">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Third, even though the research followed a mixed-methods design, the quantitative data mainly records perceptions instead of objective indicators of tenure security and investment behavior. Longitudinal data might have presented more robust proof on causal links between land registration and investment results over time.</w:t>
      </w:r>
    </w:p>
    <w:p w14:paraId="5F6E5E05" w14:textId="77777777" w:rsidR="00AD743F" w:rsidRPr="008B2C29" w:rsidRDefault="00AD743F" w:rsidP="00AD743F">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Fourth, the research does not fully control for the impact of wider structural variables like political interference, land market pressures, or legal enforcement mechanisms that may also affect tenure security regardless of land registration.</w:t>
      </w:r>
    </w:p>
    <w:p w14:paraId="2819C5A7" w14:textId="77777777" w:rsidR="00AD743F" w:rsidRPr="008B2C29" w:rsidRDefault="00AD743F" w:rsidP="00AD743F">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Lastly, the minimal incorporation of gender-disaggregated analysis, even while pointing to differential effects of land registration on women and marginalized groups, limits an in-depth appreciation of how different demographic groups experience land registration processes.</w:t>
      </w:r>
    </w:p>
    <w:p w14:paraId="186FD6CA" w14:textId="7FC0575A" w:rsidR="002824F0" w:rsidRPr="008B2C29" w:rsidRDefault="00AD743F" w:rsidP="00AD743F">
      <w:pPr>
        <w:spacing w:line="276" w:lineRule="auto"/>
        <w:rPr>
          <w:rFonts w:ascii="Arial" w:eastAsia="Times New Roman" w:hAnsi="Arial" w:cs="Arial"/>
          <w:kern w:val="0"/>
          <w:sz w:val="20"/>
          <w:szCs w:val="20"/>
          <w:lang w:val="en-US"/>
          <w14:ligatures w14:val="none"/>
        </w:rPr>
      </w:pPr>
      <w:r w:rsidRPr="008B2C29">
        <w:rPr>
          <w:rFonts w:ascii="Arial" w:eastAsia="Times New Roman" w:hAnsi="Arial" w:cs="Arial"/>
          <w:kern w:val="0"/>
          <w:sz w:val="20"/>
          <w:szCs w:val="20"/>
          <w:lang w:val="en-US"/>
          <w14:ligatures w14:val="none"/>
        </w:rPr>
        <w:t>Future studies would be enhanced by comparative research across regions, more in-depth examination of long-term effects with the use of panel data, and more focused gender analysis to further guide inclusive land policy reforms.</w:t>
      </w:r>
    </w:p>
    <w:p w14:paraId="5A472656" w14:textId="77777777" w:rsidR="00D23553" w:rsidRPr="008B2C29" w:rsidRDefault="00D23553" w:rsidP="00D23553">
      <w:pPr>
        <w:spacing w:before="0" w:after="200" w:line="276" w:lineRule="auto"/>
        <w:jc w:val="left"/>
        <w:rPr>
          <w:rFonts w:ascii="Calibri" w:eastAsia="Calibri" w:hAnsi="Calibri" w:cs="Times New Roman"/>
          <w:b/>
          <w:bCs/>
          <w:sz w:val="22"/>
          <w:lang w:val="en-US" w:eastAsia="en-US"/>
        </w:rPr>
      </w:pPr>
      <w:r w:rsidRPr="008B2C29">
        <w:rPr>
          <w:rFonts w:ascii="Calibri" w:eastAsia="Calibri" w:hAnsi="Calibri" w:cs="Times New Roman"/>
          <w:b/>
          <w:bCs/>
          <w:sz w:val="22"/>
          <w:lang w:val="en-US" w:eastAsia="en-US"/>
        </w:rPr>
        <w:t>Disclaimer (Artificial intelligence)</w:t>
      </w:r>
    </w:p>
    <w:p w14:paraId="76969C76" w14:textId="77777777" w:rsidR="00D23553" w:rsidRPr="008B2C29" w:rsidRDefault="00D23553" w:rsidP="00D23553">
      <w:pPr>
        <w:spacing w:before="0" w:after="200" w:line="276" w:lineRule="auto"/>
        <w:jc w:val="left"/>
        <w:rPr>
          <w:rFonts w:ascii="Arial" w:eastAsia="Calibri" w:hAnsi="Arial" w:cs="Arial"/>
          <w:sz w:val="20"/>
          <w:szCs w:val="20"/>
          <w:lang w:val="en-US" w:eastAsia="en-US"/>
        </w:rPr>
      </w:pPr>
      <w:r w:rsidRPr="008B2C29">
        <w:rPr>
          <w:rFonts w:ascii="Arial" w:eastAsia="Calibri" w:hAnsi="Arial" w:cs="Arial"/>
          <w:sz w:val="20"/>
          <w:szCs w:val="20"/>
          <w:lang w:val="en-US" w:eastAsia="en-US"/>
        </w:rPr>
        <w:t xml:space="preserve">Author(s) hereby declare that NO generative AI technologies such as Large Language Models (ChatGPT, COPILOT, etc.) and text-to-image generators have been used during the writing or editing of this manuscript. </w:t>
      </w:r>
    </w:p>
    <w:p w14:paraId="372605EB" w14:textId="77777777" w:rsidR="009E2B65" w:rsidRPr="008B2C29" w:rsidRDefault="009E2B65" w:rsidP="00D23553">
      <w:pPr>
        <w:spacing w:before="0" w:after="200" w:line="276" w:lineRule="auto"/>
        <w:jc w:val="left"/>
        <w:rPr>
          <w:rFonts w:ascii="Arial" w:eastAsia="Calibri" w:hAnsi="Arial" w:cs="Arial"/>
          <w:sz w:val="20"/>
          <w:szCs w:val="20"/>
          <w:lang w:val="en-US" w:eastAsia="en-US"/>
        </w:rPr>
      </w:pPr>
    </w:p>
    <w:p w14:paraId="55851E85" w14:textId="77777777" w:rsidR="009E2B65" w:rsidRPr="008B2C29" w:rsidRDefault="009E2B65" w:rsidP="009E2B65">
      <w:pPr>
        <w:spacing w:before="0" w:after="200" w:line="276" w:lineRule="auto"/>
        <w:jc w:val="left"/>
        <w:rPr>
          <w:rFonts w:ascii="Arial" w:eastAsia="Calibri" w:hAnsi="Arial" w:cs="Arial"/>
          <w:sz w:val="20"/>
          <w:szCs w:val="20"/>
          <w:lang w:val="en-US" w:eastAsia="en-US"/>
        </w:rPr>
      </w:pPr>
      <w:r w:rsidRPr="008B2C29">
        <w:rPr>
          <w:rFonts w:ascii="Arial" w:eastAsia="Calibri" w:hAnsi="Arial" w:cs="Arial"/>
          <w:sz w:val="20"/>
          <w:szCs w:val="20"/>
          <w:lang w:val="en-US" w:eastAsia="en-US"/>
        </w:rPr>
        <w:lastRenderedPageBreak/>
        <w:t>COMPETING INTERESTS DISCLAIMER:</w:t>
      </w:r>
    </w:p>
    <w:p w14:paraId="33B97009" w14:textId="5B611BEC" w:rsidR="009E2B65" w:rsidRPr="008B2C29" w:rsidRDefault="009E2B65" w:rsidP="009E2B65">
      <w:pPr>
        <w:spacing w:before="0" w:after="200" w:line="276" w:lineRule="auto"/>
        <w:jc w:val="left"/>
        <w:rPr>
          <w:rFonts w:ascii="Arial" w:eastAsia="Calibri" w:hAnsi="Arial" w:cs="Arial"/>
          <w:sz w:val="20"/>
          <w:szCs w:val="20"/>
          <w:lang w:val="en-US" w:eastAsia="en-US"/>
        </w:rPr>
      </w:pPr>
      <w:r w:rsidRPr="008B2C29">
        <w:rPr>
          <w:rFonts w:ascii="Arial" w:eastAsia="Calibri" w:hAnsi="Arial" w:cs="Arial"/>
          <w:sz w:val="20"/>
          <w:szCs w:val="20"/>
          <w:lang w:val="en-US" w:eastAsia="en-US"/>
        </w:rPr>
        <w:t>Authors have declared that they have no known competing financial interests OR non-financial interests</w:t>
      </w:r>
      <w:r w:rsidR="00787231" w:rsidRPr="008B2C29">
        <w:rPr>
          <w:rFonts w:ascii="Arial" w:eastAsia="Calibri" w:hAnsi="Arial" w:cs="Arial"/>
          <w:sz w:val="20"/>
          <w:szCs w:val="20"/>
          <w:lang w:val="en-US" w:eastAsia="en-US"/>
        </w:rPr>
        <w:t>,</w:t>
      </w:r>
      <w:r w:rsidRPr="008B2C29">
        <w:rPr>
          <w:rFonts w:ascii="Arial" w:eastAsia="Calibri" w:hAnsi="Arial" w:cs="Arial"/>
          <w:sz w:val="20"/>
          <w:szCs w:val="20"/>
          <w:lang w:val="en-US" w:eastAsia="en-US"/>
        </w:rPr>
        <w:t xml:space="preserve"> OR personal relationships that could have appeared to influence the work reported in this paper.</w:t>
      </w:r>
    </w:p>
    <w:p w14:paraId="7327D5EF" w14:textId="77777777" w:rsidR="00D23553" w:rsidRPr="008B2C29" w:rsidRDefault="00D23553" w:rsidP="002C7DB3">
      <w:pPr>
        <w:spacing w:line="276" w:lineRule="auto"/>
        <w:rPr>
          <w:rFonts w:ascii="Arial" w:hAnsi="Arial" w:cs="Arial"/>
          <w:bCs/>
          <w:sz w:val="20"/>
          <w:szCs w:val="20"/>
          <w:lang w:val="en-US"/>
        </w:rPr>
      </w:pPr>
    </w:p>
    <w:p w14:paraId="07A0DBC1" w14:textId="62AF55FC" w:rsidR="00646DF4" w:rsidRPr="008B2C29" w:rsidRDefault="009512E8" w:rsidP="002C7DB3">
      <w:pPr>
        <w:spacing w:line="276" w:lineRule="auto"/>
        <w:rPr>
          <w:rFonts w:ascii="Arial" w:hAnsi="Arial" w:cs="Arial"/>
          <w:b/>
          <w:bCs/>
          <w:sz w:val="20"/>
          <w:szCs w:val="20"/>
        </w:rPr>
      </w:pPr>
      <w:r w:rsidRPr="008B2C29">
        <w:rPr>
          <w:rFonts w:ascii="Arial" w:hAnsi="Arial" w:cs="Arial"/>
          <w:b/>
          <w:bCs/>
          <w:sz w:val="20"/>
          <w:szCs w:val="20"/>
        </w:rPr>
        <w:t>References</w:t>
      </w:r>
    </w:p>
    <w:p w14:paraId="6876C4BB" w14:textId="77777777" w:rsidR="008C1F96"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rPr>
      </w:pPr>
      <w:r w:rsidRPr="008B2C29">
        <w:rPr>
          <w:rFonts w:ascii="Arial" w:hAnsi="Arial" w:cs="Arial"/>
          <w:color w:val="auto"/>
          <w:sz w:val="20"/>
          <w:szCs w:val="20"/>
          <w:lang w:val="en-GB"/>
        </w:rPr>
        <w:t xml:space="preserve">Abdulai, R., &amp; Antwi, A. (2007). Land registration and security of tenure: Case studies of Kumasi, Tamale, Bolgatanga and </w:t>
      </w:r>
      <w:proofErr w:type="spellStart"/>
      <w:r w:rsidRPr="008B2C29">
        <w:rPr>
          <w:rFonts w:ascii="Arial" w:hAnsi="Arial" w:cs="Arial"/>
          <w:color w:val="auto"/>
          <w:sz w:val="20"/>
          <w:szCs w:val="20"/>
          <w:lang w:val="en-GB"/>
        </w:rPr>
        <w:t>Wa</w:t>
      </w:r>
      <w:proofErr w:type="spellEnd"/>
      <w:r w:rsidRPr="008B2C29">
        <w:rPr>
          <w:rFonts w:ascii="Arial" w:hAnsi="Arial" w:cs="Arial"/>
          <w:color w:val="auto"/>
          <w:sz w:val="20"/>
          <w:szCs w:val="20"/>
          <w:lang w:val="en-GB"/>
        </w:rPr>
        <w:t xml:space="preserve"> in Ghana. </w:t>
      </w:r>
      <w:r w:rsidRPr="008B2C29">
        <w:rPr>
          <w:rFonts w:ascii="Arial" w:eastAsiaTheme="majorEastAsia" w:hAnsi="Arial" w:cs="Arial"/>
          <w:i/>
          <w:iCs/>
          <w:color w:val="auto"/>
          <w:sz w:val="20"/>
          <w:szCs w:val="20"/>
          <w:lang w:val="en-GB"/>
        </w:rPr>
        <w:t>Habitat International</w:t>
      </w:r>
      <w:r w:rsidRPr="008B2C29">
        <w:rPr>
          <w:rFonts w:ascii="Arial" w:hAnsi="Arial" w:cs="Arial"/>
          <w:color w:val="auto"/>
          <w:sz w:val="20"/>
          <w:szCs w:val="20"/>
          <w:lang w:val="en-GB"/>
        </w:rPr>
        <w:t xml:space="preserve">, 31(3), 312–322. </w:t>
      </w:r>
      <w:hyperlink r:id="rId11" w:history="1">
        <w:r w:rsidRPr="008B2C29">
          <w:rPr>
            <w:rStyle w:val="Hyperlink"/>
            <w:rFonts w:ascii="Arial" w:eastAsiaTheme="majorEastAsia" w:hAnsi="Arial" w:cs="Arial"/>
            <w:color w:val="auto"/>
            <w:sz w:val="20"/>
            <w:szCs w:val="20"/>
            <w:lang w:val="en-GB"/>
          </w:rPr>
          <w:t>https://doi.org/10.1016/j.habitatint.2007.03.002</w:t>
        </w:r>
      </w:hyperlink>
    </w:p>
    <w:p w14:paraId="73D799E2" w14:textId="71A1B99A" w:rsidR="005D6D0B" w:rsidRPr="008B2C29" w:rsidRDefault="005D6D0B" w:rsidP="00064BF5">
      <w:pPr>
        <w:pStyle w:val="ListParagraph1"/>
        <w:numPr>
          <w:ilvl w:val="0"/>
          <w:numId w:val="5"/>
        </w:numPr>
        <w:spacing w:after="891" w:line="276" w:lineRule="auto"/>
        <w:ind w:right="136"/>
        <w:jc w:val="both"/>
        <w:rPr>
          <w:rFonts w:ascii="Arial" w:hAnsi="Arial" w:cs="Arial"/>
          <w:color w:val="auto"/>
          <w:sz w:val="20"/>
          <w:szCs w:val="20"/>
          <w:highlight w:val="cyan"/>
          <w:lang w:val="en-GB"/>
        </w:rPr>
      </w:pPr>
      <w:proofErr w:type="spellStart"/>
      <w:r w:rsidRPr="008B2C29">
        <w:rPr>
          <w:rFonts w:ascii="Arial" w:hAnsi="Arial" w:cs="Arial"/>
          <w:color w:val="auto"/>
          <w:sz w:val="20"/>
          <w:szCs w:val="20"/>
          <w:highlight w:val="cyan"/>
          <w:lang w:val="en-GB"/>
        </w:rPr>
        <w:t>Afrane</w:t>
      </w:r>
      <w:proofErr w:type="spellEnd"/>
      <w:r w:rsidRPr="008B2C29">
        <w:rPr>
          <w:rFonts w:ascii="Arial" w:hAnsi="Arial" w:cs="Arial"/>
          <w:color w:val="auto"/>
          <w:sz w:val="20"/>
          <w:szCs w:val="20"/>
          <w:highlight w:val="cyan"/>
          <w:lang w:val="en-GB"/>
        </w:rPr>
        <w:t>, S. K., &amp; Adjei-Poku, B. (201</w:t>
      </w:r>
      <w:r w:rsidR="00A62F3F" w:rsidRPr="008B2C29">
        <w:rPr>
          <w:rFonts w:ascii="Arial" w:hAnsi="Arial" w:cs="Arial"/>
          <w:color w:val="auto"/>
          <w:sz w:val="20"/>
          <w:szCs w:val="20"/>
          <w:highlight w:val="cyan"/>
          <w:lang w:val="en-GB"/>
        </w:rPr>
        <w:t>6</w:t>
      </w:r>
      <w:r w:rsidRPr="008B2C29">
        <w:rPr>
          <w:rFonts w:ascii="Arial" w:hAnsi="Arial" w:cs="Arial"/>
          <w:color w:val="auto"/>
          <w:sz w:val="20"/>
          <w:szCs w:val="20"/>
          <w:highlight w:val="cyan"/>
          <w:lang w:val="en-GB"/>
        </w:rPr>
        <w:t xml:space="preserve">). Land use dynamics in urbanized area: A case study of Sunyani (Ghana). </w:t>
      </w:r>
      <w:r w:rsidRPr="008B2C29">
        <w:rPr>
          <w:rFonts w:ascii="Arial" w:hAnsi="Arial" w:cs="Arial"/>
          <w:i/>
          <w:iCs/>
          <w:color w:val="auto"/>
          <w:sz w:val="20"/>
          <w:szCs w:val="20"/>
          <w:highlight w:val="cyan"/>
          <w:lang w:val="en-GB"/>
        </w:rPr>
        <w:t>Journal of Applied Science and Technology (JAST)</w:t>
      </w:r>
      <w:r w:rsidRPr="008B2C29">
        <w:rPr>
          <w:rFonts w:ascii="Arial" w:hAnsi="Arial" w:cs="Arial"/>
          <w:color w:val="auto"/>
          <w:sz w:val="20"/>
          <w:szCs w:val="20"/>
          <w:highlight w:val="cyan"/>
          <w:lang w:val="en-GB"/>
        </w:rPr>
        <w:t xml:space="preserve">, </w:t>
      </w:r>
      <w:r w:rsidRPr="008B2C29">
        <w:rPr>
          <w:rFonts w:ascii="Arial" w:hAnsi="Arial" w:cs="Arial"/>
          <w:i/>
          <w:iCs/>
          <w:color w:val="auto"/>
          <w:sz w:val="20"/>
          <w:szCs w:val="20"/>
          <w:highlight w:val="cyan"/>
          <w:lang w:val="en-GB"/>
        </w:rPr>
        <w:t>18</w:t>
      </w:r>
      <w:r w:rsidRPr="008B2C29">
        <w:rPr>
          <w:rFonts w:ascii="Arial" w:hAnsi="Arial" w:cs="Arial"/>
          <w:color w:val="auto"/>
          <w:sz w:val="20"/>
          <w:szCs w:val="20"/>
          <w:highlight w:val="cyan"/>
          <w:lang w:val="en-GB"/>
        </w:rPr>
        <w:t>(1 &amp; 2), 59–65.</w:t>
      </w:r>
      <w:r w:rsidR="00A62F3F" w:rsidRPr="008B2C29">
        <w:rPr>
          <w:rFonts w:ascii="Arial" w:hAnsi="Arial" w:cs="Arial"/>
          <w:color w:val="auto"/>
          <w:sz w:val="20"/>
          <w:szCs w:val="20"/>
          <w:highlight w:val="cyan"/>
          <w:lang w:val="en-GB"/>
        </w:rPr>
        <w:t xml:space="preserve"> </w:t>
      </w:r>
      <w:hyperlink r:id="rId12" w:history="1">
        <w:r w:rsidR="00A62F3F" w:rsidRPr="008B2C29">
          <w:rPr>
            <w:rStyle w:val="Hyperlink"/>
            <w:rFonts w:ascii="Arial" w:hAnsi="Arial" w:cs="Arial"/>
            <w:color w:val="auto"/>
            <w:sz w:val="20"/>
            <w:szCs w:val="20"/>
            <w:highlight w:val="cyan"/>
            <w:lang w:val="en-GB"/>
          </w:rPr>
          <w:t>https://scholar.google.com/scholar?hl=en&amp;as_sdt=0%2C5&amp;q=%22Afrane%2C+S.+K.%2C+%26+Adjei-Poku%2C+B.+%282013%29.+Land+use+dynamics+in+urbanized+area%3A+A+case+study+of+Sunyani+%28Ghana%29.+Journal+of+Applied+Science+and+Technology+%28JAST%29%2C+18%281+%26+2%29%2C+59%E2%80%9365.%22&amp;btnG</w:t>
        </w:r>
      </w:hyperlink>
    </w:p>
    <w:p w14:paraId="6EFE7E8E" w14:textId="6488EC21"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Agbosu</w:t>
      </w:r>
      <w:proofErr w:type="spellEnd"/>
      <w:r w:rsidRPr="008B2C29">
        <w:rPr>
          <w:rFonts w:ascii="Arial" w:hAnsi="Arial" w:cs="Arial"/>
          <w:color w:val="auto"/>
          <w:sz w:val="20"/>
          <w:szCs w:val="20"/>
          <w:lang w:val="en-GB"/>
        </w:rPr>
        <w:t xml:space="preserve">, L. (1990). Land registration in Ghana: Past, present and the future. </w:t>
      </w:r>
      <w:r w:rsidRPr="008B2C29">
        <w:rPr>
          <w:rFonts w:ascii="Arial" w:eastAsiaTheme="majorEastAsia" w:hAnsi="Arial" w:cs="Arial"/>
          <w:i/>
          <w:iCs/>
          <w:color w:val="auto"/>
          <w:sz w:val="20"/>
          <w:szCs w:val="20"/>
          <w:lang w:val="en-GB"/>
        </w:rPr>
        <w:t>Journal of African Law</w:t>
      </w:r>
      <w:r w:rsidRPr="008B2C29">
        <w:rPr>
          <w:rFonts w:ascii="Arial" w:hAnsi="Arial" w:cs="Arial"/>
          <w:color w:val="auto"/>
          <w:sz w:val="20"/>
          <w:szCs w:val="20"/>
          <w:lang w:val="en-GB"/>
        </w:rPr>
        <w:t xml:space="preserve">, 34(2), 104–127. </w:t>
      </w:r>
      <w:hyperlink r:id="rId13" w:history="1">
        <w:r w:rsidRPr="008B2C29">
          <w:rPr>
            <w:rStyle w:val="Hyperlink"/>
            <w:rFonts w:ascii="Arial" w:eastAsiaTheme="majorEastAsia" w:hAnsi="Arial" w:cs="Arial"/>
            <w:color w:val="auto"/>
            <w:sz w:val="20"/>
            <w:szCs w:val="20"/>
            <w:lang w:val="en-GB"/>
          </w:rPr>
          <w:t>https://doi.org/10.1017/S0021855300004092</w:t>
        </w:r>
      </w:hyperlink>
    </w:p>
    <w:p w14:paraId="7FA9A52A" w14:textId="50663B99" w:rsidR="00B24A90" w:rsidRPr="008B2C29" w:rsidRDefault="00B24A90"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Agyei-Holmes, A., </w:t>
      </w:r>
      <w:proofErr w:type="spellStart"/>
      <w:r w:rsidRPr="008B2C29">
        <w:rPr>
          <w:rFonts w:ascii="Arial" w:hAnsi="Arial" w:cs="Arial"/>
          <w:color w:val="auto"/>
          <w:sz w:val="20"/>
          <w:szCs w:val="20"/>
          <w:lang w:val="en-GB"/>
        </w:rPr>
        <w:t>Buehren</w:t>
      </w:r>
      <w:proofErr w:type="spellEnd"/>
      <w:r w:rsidRPr="008B2C29">
        <w:rPr>
          <w:rFonts w:ascii="Arial" w:hAnsi="Arial" w:cs="Arial"/>
          <w:color w:val="auto"/>
          <w:sz w:val="20"/>
          <w:szCs w:val="20"/>
          <w:lang w:val="en-GB"/>
        </w:rPr>
        <w:t xml:space="preserve">, N., Goldstein, M., Osei, R. D., Osei-Akoto, I., &amp; </w:t>
      </w:r>
      <w:proofErr w:type="spellStart"/>
      <w:r w:rsidRPr="008B2C29">
        <w:rPr>
          <w:rFonts w:ascii="Arial" w:hAnsi="Arial" w:cs="Arial"/>
          <w:color w:val="auto"/>
          <w:sz w:val="20"/>
          <w:szCs w:val="20"/>
          <w:lang w:val="en-GB"/>
        </w:rPr>
        <w:t>Udry</w:t>
      </w:r>
      <w:proofErr w:type="spellEnd"/>
      <w:r w:rsidRPr="008B2C29">
        <w:rPr>
          <w:rFonts w:ascii="Arial" w:hAnsi="Arial" w:cs="Arial"/>
          <w:color w:val="auto"/>
          <w:sz w:val="20"/>
          <w:szCs w:val="20"/>
          <w:lang w:val="en-GB"/>
        </w:rPr>
        <w:t xml:space="preserve">, C. (2020). </w:t>
      </w:r>
      <w:r w:rsidRPr="008B2C29">
        <w:rPr>
          <w:rFonts w:ascii="Arial" w:hAnsi="Arial" w:cs="Arial"/>
          <w:i/>
          <w:iCs/>
          <w:color w:val="auto"/>
          <w:sz w:val="20"/>
          <w:szCs w:val="20"/>
          <w:lang w:val="en-GB"/>
        </w:rPr>
        <w:t>The effects of land title registration on tenure security, investment and the allocation of productive resources: Evidence from Ghana</w:t>
      </w:r>
      <w:r w:rsidRPr="008B2C29">
        <w:rPr>
          <w:rFonts w:ascii="Arial" w:hAnsi="Arial" w:cs="Arial"/>
          <w:color w:val="auto"/>
          <w:sz w:val="20"/>
          <w:szCs w:val="20"/>
          <w:lang w:val="en-GB"/>
        </w:rPr>
        <w:t xml:space="preserve"> (Policy Research Working Paper No. 9376). World Bank. </w:t>
      </w:r>
      <w:hyperlink r:id="rId14" w:history="1">
        <w:r w:rsidRPr="008B2C29">
          <w:rPr>
            <w:rStyle w:val="Hyperlink"/>
            <w:rFonts w:ascii="Arial" w:hAnsi="Arial" w:cs="Arial"/>
            <w:color w:val="auto"/>
            <w:sz w:val="20"/>
            <w:szCs w:val="20"/>
            <w:lang w:val="en-GB"/>
          </w:rPr>
          <w:t>https://ssrn.com/abstract=3694776</w:t>
        </w:r>
      </w:hyperlink>
    </w:p>
    <w:p w14:paraId="344A0C85" w14:textId="108955B4"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Agyei-Holmes, A., Goldstein, M., &amp; </w:t>
      </w:r>
      <w:proofErr w:type="spellStart"/>
      <w:r w:rsidRPr="008B2C29">
        <w:rPr>
          <w:rFonts w:ascii="Arial" w:hAnsi="Arial" w:cs="Arial"/>
          <w:color w:val="auto"/>
          <w:sz w:val="20"/>
          <w:szCs w:val="20"/>
          <w:lang w:val="en-GB"/>
        </w:rPr>
        <w:t>Udry</w:t>
      </w:r>
      <w:proofErr w:type="spellEnd"/>
      <w:r w:rsidRPr="008B2C29">
        <w:rPr>
          <w:rFonts w:ascii="Arial" w:hAnsi="Arial" w:cs="Arial"/>
          <w:color w:val="auto"/>
          <w:sz w:val="20"/>
          <w:szCs w:val="20"/>
          <w:lang w:val="en-GB"/>
        </w:rPr>
        <w:t xml:space="preserve">, C. (2020). The effects of land title registration on tenure security, investment and the allocation of productive resources: Evidence from Ghana. </w:t>
      </w:r>
      <w:r w:rsidRPr="008B2C29">
        <w:rPr>
          <w:rFonts w:ascii="Arial" w:eastAsiaTheme="majorEastAsia" w:hAnsi="Arial" w:cs="Arial"/>
          <w:i/>
          <w:iCs/>
          <w:color w:val="auto"/>
          <w:sz w:val="20"/>
          <w:szCs w:val="20"/>
          <w:lang w:val="en-GB"/>
        </w:rPr>
        <w:t>World Bank Policy Research Working Paper</w:t>
      </w:r>
      <w:r w:rsidRPr="008B2C29">
        <w:rPr>
          <w:rFonts w:ascii="Arial" w:hAnsi="Arial" w:cs="Arial"/>
          <w:color w:val="auto"/>
          <w:sz w:val="20"/>
          <w:szCs w:val="20"/>
          <w:lang w:val="en-GB"/>
        </w:rPr>
        <w:t xml:space="preserve">. </w:t>
      </w:r>
      <w:hyperlink r:id="rId15" w:history="1">
        <w:r w:rsidRPr="008B2C29">
          <w:rPr>
            <w:rStyle w:val="Hyperlink"/>
            <w:rFonts w:ascii="Arial" w:eastAsiaTheme="majorEastAsia" w:hAnsi="Arial" w:cs="Arial"/>
            <w:color w:val="auto"/>
            <w:sz w:val="20"/>
            <w:szCs w:val="20"/>
            <w:lang w:val="en-GB"/>
          </w:rPr>
          <w:t>https://doi.org/10.2139/ssrn.3703389</w:t>
        </w:r>
      </w:hyperlink>
    </w:p>
    <w:p w14:paraId="599C891C" w14:textId="32F55A9A" w:rsidR="00A62F3F" w:rsidRPr="008B2C29" w:rsidRDefault="00A62F3F"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Alhola</w:t>
      </w:r>
      <w:proofErr w:type="spellEnd"/>
      <w:r w:rsidRPr="008B2C29">
        <w:rPr>
          <w:rFonts w:ascii="Arial" w:hAnsi="Arial" w:cs="Arial"/>
          <w:color w:val="auto"/>
          <w:sz w:val="20"/>
          <w:szCs w:val="20"/>
          <w:lang w:val="en-GB"/>
        </w:rPr>
        <w:t xml:space="preserve">, S., &amp; </w:t>
      </w:r>
      <w:proofErr w:type="spellStart"/>
      <w:r w:rsidRPr="008B2C29">
        <w:rPr>
          <w:rFonts w:ascii="Arial" w:hAnsi="Arial" w:cs="Arial"/>
          <w:color w:val="auto"/>
          <w:sz w:val="20"/>
          <w:szCs w:val="20"/>
          <w:lang w:val="en-GB"/>
        </w:rPr>
        <w:t>Gwaindepi</w:t>
      </w:r>
      <w:proofErr w:type="spellEnd"/>
      <w:r w:rsidRPr="008B2C29">
        <w:rPr>
          <w:rFonts w:ascii="Arial" w:hAnsi="Arial" w:cs="Arial"/>
          <w:color w:val="auto"/>
          <w:sz w:val="20"/>
          <w:szCs w:val="20"/>
          <w:lang w:val="en-GB"/>
        </w:rPr>
        <w:t xml:space="preserve">, A. (2024). </w:t>
      </w:r>
      <w:r w:rsidRPr="008B2C29">
        <w:rPr>
          <w:rFonts w:ascii="Arial" w:hAnsi="Arial" w:cs="Arial"/>
          <w:i/>
          <w:iCs/>
          <w:color w:val="auto"/>
          <w:sz w:val="20"/>
          <w:szCs w:val="20"/>
          <w:lang w:val="en-GB"/>
        </w:rPr>
        <w:t>Land tenure formalisation and perceived tenure security: Two decades of the land administration project in Ghana</w:t>
      </w:r>
      <w:r w:rsidRPr="008B2C29">
        <w:rPr>
          <w:rFonts w:ascii="Arial" w:hAnsi="Arial" w:cs="Arial"/>
          <w:color w:val="auto"/>
          <w:sz w:val="20"/>
          <w:szCs w:val="20"/>
          <w:lang w:val="en-GB"/>
        </w:rPr>
        <w:t xml:space="preserve">. </w:t>
      </w:r>
      <w:r w:rsidRPr="008B2C29">
        <w:rPr>
          <w:rFonts w:ascii="Arial" w:hAnsi="Arial" w:cs="Arial"/>
          <w:i/>
          <w:iCs/>
          <w:color w:val="auto"/>
          <w:sz w:val="20"/>
          <w:szCs w:val="20"/>
          <w:lang w:val="en-GB"/>
        </w:rPr>
        <w:t>Land Use Policy, 143</w:t>
      </w:r>
      <w:r w:rsidRPr="008B2C29">
        <w:rPr>
          <w:rFonts w:ascii="Arial" w:hAnsi="Arial" w:cs="Arial"/>
          <w:color w:val="auto"/>
          <w:sz w:val="20"/>
          <w:szCs w:val="20"/>
          <w:lang w:val="en-GB"/>
        </w:rPr>
        <w:t xml:space="preserve">, 107195. </w:t>
      </w:r>
      <w:hyperlink r:id="rId16" w:history="1">
        <w:r w:rsidRPr="008B2C29">
          <w:rPr>
            <w:rStyle w:val="Hyperlink"/>
            <w:rFonts w:ascii="Arial" w:hAnsi="Arial" w:cs="Arial"/>
            <w:color w:val="auto"/>
            <w:sz w:val="20"/>
            <w:szCs w:val="20"/>
            <w:lang w:val="en-GB"/>
          </w:rPr>
          <w:t>https://doi.org/10.1016/j.landusepol.2024.107195</w:t>
        </w:r>
      </w:hyperlink>
    </w:p>
    <w:p w14:paraId="31B807DE" w14:textId="7063963E"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Ali, D. A., Deininger, K., &amp; Goldstein, M. (2014). </w:t>
      </w:r>
      <w:r w:rsidRPr="008B2C29">
        <w:rPr>
          <w:rFonts w:ascii="Arial" w:hAnsi="Arial" w:cs="Arial"/>
          <w:i/>
          <w:iCs/>
          <w:color w:val="auto"/>
          <w:sz w:val="20"/>
          <w:szCs w:val="20"/>
          <w:lang w:val="en-GB"/>
        </w:rPr>
        <w:t>Environmental and gender impacts of land tenure regularization in Africa: Pilot evidence from Rwanda</w:t>
      </w:r>
      <w:r w:rsidRPr="008B2C29">
        <w:rPr>
          <w:rFonts w:ascii="Arial" w:hAnsi="Arial" w:cs="Arial"/>
          <w:color w:val="auto"/>
          <w:sz w:val="20"/>
          <w:szCs w:val="20"/>
          <w:lang w:val="en-GB"/>
        </w:rPr>
        <w:t>. Journal of Development Economics, 110, 262–275.</w:t>
      </w:r>
      <w:r w:rsidR="00A62F3F" w:rsidRPr="008B2C29">
        <w:rPr>
          <w:rFonts w:ascii="Arial" w:hAnsi="Arial" w:cs="Arial"/>
          <w:color w:val="auto"/>
          <w:sz w:val="20"/>
          <w:szCs w:val="20"/>
          <w:lang w:val="en-GB"/>
        </w:rPr>
        <w:t xml:space="preserve"> </w:t>
      </w:r>
      <w:hyperlink r:id="rId17" w:history="1">
        <w:r w:rsidR="00A62F3F" w:rsidRPr="008B2C29">
          <w:rPr>
            <w:rStyle w:val="Hyperlink"/>
            <w:rFonts w:ascii="Arial" w:hAnsi="Arial" w:cs="Arial"/>
            <w:color w:val="auto"/>
            <w:sz w:val="20"/>
            <w:szCs w:val="20"/>
            <w:lang w:val="en-GB"/>
          </w:rPr>
          <w:t>https://www.sciencedirect.com/science/article/pii/S0304387813001818</w:t>
        </w:r>
      </w:hyperlink>
    </w:p>
    <w:p w14:paraId="76DF6FDD" w14:textId="74836A31" w:rsidR="005D6D0B" w:rsidRPr="008B2C29" w:rsidRDefault="005D6D0B"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Amanor</w:t>
      </w:r>
      <w:proofErr w:type="spellEnd"/>
      <w:r w:rsidRPr="008B2C29">
        <w:rPr>
          <w:rFonts w:ascii="Arial" w:hAnsi="Arial" w:cs="Arial"/>
          <w:color w:val="auto"/>
          <w:sz w:val="20"/>
          <w:szCs w:val="20"/>
          <w:lang w:val="en-GB"/>
        </w:rPr>
        <w:t xml:space="preserve">, K. S. (2007). Customary land, mobile </w:t>
      </w:r>
      <w:proofErr w:type="spellStart"/>
      <w:r w:rsidRPr="008B2C29">
        <w:rPr>
          <w:rFonts w:ascii="Arial" w:hAnsi="Arial" w:cs="Arial"/>
          <w:color w:val="auto"/>
          <w:sz w:val="20"/>
          <w:szCs w:val="20"/>
          <w:lang w:val="en-GB"/>
        </w:rPr>
        <w:t>labor</w:t>
      </w:r>
      <w:proofErr w:type="spellEnd"/>
      <w:r w:rsidRPr="008B2C29">
        <w:rPr>
          <w:rFonts w:ascii="Arial" w:hAnsi="Arial" w:cs="Arial"/>
          <w:color w:val="auto"/>
          <w:sz w:val="20"/>
          <w:szCs w:val="20"/>
          <w:lang w:val="en-GB"/>
        </w:rPr>
        <w:t xml:space="preserve"> and alienation in the Eastern Region of Ghana. In R. Kuba &amp; C. Lentz (Eds.), </w:t>
      </w:r>
      <w:r w:rsidRPr="008B2C29">
        <w:rPr>
          <w:rFonts w:ascii="Arial" w:hAnsi="Arial" w:cs="Arial"/>
          <w:i/>
          <w:iCs/>
          <w:color w:val="auto"/>
          <w:sz w:val="20"/>
          <w:szCs w:val="20"/>
          <w:lang w:val="en-GB"/>
        </w:rPr>
        <w:t>Land and the politics of belonging in West Africa</w:t>
      </w:r>
      <w:r w:rsidRPr="008B2C29">
        <w:rPr>
          <w:rFonts w:ascii="Arial" w:hAnsi="Arial" w:cs="Arial"/>
          <w:color w:val="auto"/>
          <w:sz w:val="20"/>
          <w:szCs w:val="20"/>
          <w:lang w:val="en-GB"/>
        </w:rPr>
        <w:t xml:space="preserve"> (pp. 137–159). Brill. </w:t>
      </w:r>
      <w:hyperlink r:id="rId18" w:history="1">
        <w:r w:rsidRPr="008B2C29">
          <w:rPr>
            <w:rStyle w:val="Hyperlink"/>
            <w:rFonts w:ascii="Arial" w:hAnsi="Arial" w:cs="Arial"/>
            <w:color w:val="auto"/>
            <w:sz w:val="20"/>
            <w:szCs w:val="20"/>
            <w:lang w:val="en-GB"/>
          </w:rPr>
          <w:t>https://doi.org/10.1163/9789047417033_009</w:t>
        </w:r>
      </w:hyperlink>
    </w:p>
    <w:p w14:paraId="407F7470" w14:textId="09AE181B" w:rsidR="00EB2CB4" w:rsidRPr="008B2C29" w:rsidRDefault="00EB2CB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Ankamah, S., </w:t>
      </w:r>
      <w:proofErr w:type="spellStart"/>
      <w:r w:rsidRPr="008B2C29">
        <w:rPr>
          <w:rFonts w:ascii="Arial" w:hAnsi="Arial" w:cs="Arial"/>
          <w:color w:val="auto"/>
          <w:sz w:val="20"/>
          <w:szCs w:val="20"/>
          <w:lang w:val="en-GB"/>
        </w:rPr>
        <w:t>Nokoe</w:t>
      </w:r>
      <w:proofErr w:type="spellEnd"/>
      <w:r w:rsidRPr="008B2C29">
        <w:rPr>
          <w:rFonts w:ascii="Arial" w:hAnsi="Arial" w:cs="Arial"/>
          <w:color w:val="auto"/>
          <w:sz w:val="20"/>
          <w:szCs w:val="20"/>
          <w:lang w:val="en-GB"/>
        </w:rPr>
        <w:t xml:space="preserve">, K. S., &amp; Abdul, I. W. (2018). Modelling trends of climatic variability and malaria in Ghana using vector autoregression. </w:t>
      </w:r>
      <w:r w:rsidRPr="008B2C29">
        <w:rPr>
          <w:rFonts w:ascii="Arial" w:hAnsi="Arial" w:cs="Arial"/>
          <w:i/>
          <w:iCs/>
          <w:color w:val="auto"/>
          <w:sz w:val="20"/>
          <w:szCs w:val="20"/>
          <w:lang w:val="en-GB"/>
        </w:rPr>
        <w:t>Malaria Research and Treatment, 2018</w:t>
      </w:r>
      <w:r w:rsidRPr="008B2C29">
        <w:rPr>
          <w:rFonts w:ascii="Arial" w:hAnsi="Arial" w:cs="Arial"/>
          <w:color w:val="auto"/>
          <w:sz w:val="20"/>
          <w:szCs w:val="20"/>
          <w:lang w:val="en-GB"/>
        </w:rPr>
        <w:t xml:space="preserve">(9), 1–11. </w:t>
      </w:r>
      <w:hyperlink r:id="rId19" w:history="1">
        <w:r w:rsidRPr="008B2C29">
          <w:rPr>
            <w:rStyle w:val="Hyperlink"/>
            <w:rFonts w:ascii="Arial" w:hAnsi="Arial" w:cs="Arial"/>
            <w:color w:val="auto"/>
            <w:sz w:val="20"/>
            <w:szCs w:val="20"/>
            <w:lang w:val="en-GB"/>
          </w:rPr>
          <w:t>https://doi.org/10.1155/2018/6124321</w:t>
        </w:r>
      </w:hyperlink>
    </w:p>
    <w:p w14:paraId="7C129D1F" w14:textId="190C0E43"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Arko-Adjei, A. (2011). </w:t>
      </w:r>
      <w:r w:rsidRPr="008B2C29">
        <w:rPr>
          <w:rFonts w:ascii="Arial" w:hAnsi="Arial" w:cs="Arial"/>
          <w:i/>
          <w:iCs/>
          <w:color w:val="auto"/>
          <w:sz w:val="20"/>
          <w:szCs w:val="20"/>
          <w:lang w:val="en-GB"/>
        </w:rPr>
        <w:t>Adapting land administration to the institutional framework of customary tenure: The case of peri-urban Ghana</w:t>
      </w:r>
      <w:r w:rsidRPr="008B2C29">
        <w:rPr>
          <w:rFonts w:ascii="Arial" w:hAnsi="Arial" w:cs="Arial"/>
          <w:color w:val="auto"/>
          <w:sz w:val="20"/>
          <w:szCs w:val="20"/>
          <w:lang w:val="en-GB"/>
        </w:rPr>
        <w:t>. IOS Press.</w:t>
      </w:r>
      <w:r w:rsidR="00787231" w:rsidRPr="008B2C29">
        <w:rPr>
          <w:rFonts w:ascii="Arial" w:hAnsi="Arial" w:cs="Arial"/>
          <w:color w:val="auto"/>
          <w:sz w:val="20"/>
          <w:szCs w:val="20"/>
          <w:lang w:val="en-GB"/>
        </w:rPr>
        <w:t xml:space="preserve"> </w:t>
      </w:r>
      <w:hyperlink r:id="rId20" w:history="1">
        <w:r w:rsidR="00787231" w:rsidRPr="008B2C29">
          <w:rPr>
            <w:rStyle w:val="Hyperlink"/>
            <w:rFonts w:ascii="Arial" w:hAnsi="Arial" w:cs="Arial"/>
            <w:color w:val="auto"/>
            <w:sz w:val="20"/>
            <w:szCs w:val="20"/>
            <w:lang w:val="en-GB"/>
          </w:rPr>
          <w:t>https://scholar.google.com/scholar?hl=en&amp;as_sdt=0%2C5&amp;q=%22Arko-Adjei%2C+A.+%282011%29.+Adapting+land+administration+to+the+institutional+framework+of+customary+tenure%3A+The+case+of+peri-urban+Ghana.+IOS+Press.%22&amp;btnG</w:t>
        </w:r>
      </w:hyperlink>
    </w:p>
    <w:p w14:paraId="4BCA173A" w14:textId="512C8E11" w:rsidR="00066BA2" w:rsidRPr="008B2C29" w:rsidRDefault="00066BA2"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Boamah, N. A. (2010). Housing affordability in Ghana: A focus on Kumasi and Tamale. </w:t>
      </w:r>
      <w:r w:rsidRPr="008B2C29">
        <w:rPr>
          <w:rFonts w:ascii="Arial" w:hAnsi="Arial" w:cs="Arial"/>
          <w:i/>
          <w:iCs/>
          <w:color w:val="auto"/>
          <w:sz w:val="20"/>
          <w:szCs w:val="20"/>
          <w:lang w:val="en-GB"/>
        </w:rPr>
        <w:t>Ethiopian Journal of Environmental Studies and Management</w:t>
      </w:r>
      <w:r w:rsidRPr="008B2C29">
        <w:rPr>
          <w:rFonts w:ascii="Arial" w:hAnsi="Arial" w:cs="Arial"/>
          <w:color w:val="auto"/>
          <w:sz w:val="20"/>
          <w:szCs w:val="20"/>
          <w:lang w:val="en-GB"/>
        </w:rPr>
        <w:t xml:space="preserve">, </w:t>
      </w:r>
      <w:r w:rsidRPr="008B2C29">
        <w:rPr>
          <w:rFonts w:ascii="Arial" w:hAnsi="Arial" w:cs="Arial"/>
          <w:i/>
          <w:iCs/>
          <w:color w:val="auto"/>
          <w:sz w:val="20"/>
          <w:szCs w:val="20"/>
          <w:lang w:val="en-GB"/>
        </w:rPr>
        <w:t>3</w:t>
      </w:r>
      <w:r w:rsidRPr="008B2C29">
        <w:rPr>
          <w:rFonts w:ascii="Arial" w:hAnsi="Arial" w:cs="Arial"/>
          <w:color w:val="auto"/>
          <w:sz w:val="20"/>
          <w:szCs w:val="20"/>
          <w:lang w:val="en-GB"/>
        </w:rPr>
        <w:t xml:space="preserve">(3), 35–43. </w:t>
      </w:r>
      <w:hyperlink r:id="rId21" w:history="1">
        <w:r w:rsidRPr="008B2C29">
          <w:rPr>
            <w:rStyle w:val="Hyperlink"/>
            <w:rFonts w:ascii="Arial" w:hAnsi="Arial" w:cs="Arial"/>
            <w:color w:val="auto"/>
            <w:sz w:val="20"/>
            <w:szCs w:val="20"/>
            <w:lang w:val="en-GB"/>
          </w:rPr>
          <w:t>https://doi.org/10.4314/ejesm.v3i3.63958</w:t>
        </w:r>
      </w:hyperlink>
    </w:p>
    <w:p w14:paraId="14E444CD" w14:textId="6E881097" w:rsidR="00B24A90" w:rsidRPr="008B2C29" w:rsidRDefault="00B24A90" w:rsidP="00064BF5">
      <w:pPr>
        <w:pStyle w:val="ListParagraph1"/>
        <w:numPr>
          <w:ilvl w:val="0"/>
          <w:numId w:val="5"/>
        </w:numPr>
        <w:spacing w:after="891" w:line="276" w:lineRule="auto"/>
        <w:ind w:right="136"/>
        <w:jc w:val="both"/>
        <w:rPr>
          <w:rFonts w:ascii="Arial" w:hAnsi="Arial" w:cs="Arial"/>
          <w:color w:val="auto"/>
          <w:sz w:val="20"/>
          <w:szCs w:val="20"/>
          <w:highlight w:val="cyan"/>
          <w:lang w:val="en-GB"/>
        </w:rPr>
      </w:pPr>
      <w:r w:rsidRPr="008B2C29">
        <w:rPr>
          <w:rFonts w:ascii="Arial" w:hAnsi="Arial" w:cs="Arial"/>
          <w:color w:val="auto"/>
          <w:sz w:val="20"/>
          <w:szCs w:val="20"/>
          <w:highlight w:val="cyan"/>
          <w:lang w:val="en-GB"/>
        </w:rPr>
        <w:t xml:space="preserve">Borras, S. M., &amp; Franco, J. C. (2021). Strategies for securing tenure: The promise and pitfalls of formalization. In J. C. Franco &amp; S. M. Borras (Eds.), </w:t>
      </w:r>
      <w:r w:rsidRPr="008B2C29">
        <w:rPr>
          <w:rFonts w:ascii="Arial" w:hAnsi="Arial" w:cs="Arial"/>
          <w:i/>
          <w:iCs/>
          <w:color w:val="auto"/>
          <w:sz w:val="20"/>
          <w:szCs w:val="20"/>
          <w:highlight w:val="cyan"/>
          <w:lang w:val="en-GB"/>
        </w:rPr>
        <w:t>The politics of land and the limits of formalization</w:t>
      </w:r>
      <w:r w:rsidRPr="008B2C29">
        <w:rPr>
          <w:rFonts w:ascii="Arial" w:hAnsi="Arial" w:cs="Arial"/>
          <w:color w:val="auto"/>
          <w:sz w:val="20"/>
          <w:szCs w:val="20"/>
          <w:highlight w:val="cyan"/>
          <w:lang w:val="en-GB"/>
        </w:rPr>
        <w:t xml:space="preserve"> (pp. 215–236). Springer. </w:t>
      </w:r>
      <w:hyperlink r:id="rId22" w:history="1">
        <w:r w:rsidRPr="008B2C29">
          <w:rPr>
            <w:rStyle w:val="Hyperlink"/>
            <w:rFonts w:ascii="Arial" w:hAnsi="Arial" w:cs="Arial"/>
            <w:color w:val="auto"/>
            <w:sz w:val="20"/>
            <w:szCs w:val="20"/>
            <w:highlight w:val="cyan"/>
            <w:lang w:val="en-GB"/>
          </w:rPr>
          <w:t>https://link.springer.com/chapter/10.1007/978-3-030-81881-4_11</w:t>
        </w:r>
      </w:hyperlink>
    </w:p>
    <w:p w14:paraId="429D7C69" w14:textId="1E935302" w:rsidR="004715AF" w:rsidRPr="008B2C29" w:rsidRDefault="004715AF" w:rsidP="00064BF5">
      <w:pPr>
        <w:pStyle w:val="ListParagraph1"/>
        <w:numPr>
          <w:ilvl w:val="0"/>
          <w:numId w:val="5"/>
        </w:numPr>
        <w:spacing w:after="891" w:line="276" w:lineRule="auto"/>
        <w:ind w:right="136"/>
        <w:jc w:val="both"/>
        <w:rPr>
          <w:rFonts w:ascii="Arial" w:hAnsi="Arial" w:cs="Arial"/>
          <w:color w:val="auto"/>
          <w:sz w:val="20"/>
          <w:szCs w:val="20"/>
          <w:highlight w:val="cyan"/>
          <w:lang w:val="en-GB"/>
        </w:rPr>
      </w:pPr>
      <w:proofErr w:type="spellStart"/>
      <w:r w:rsidRPr="008B2C29">
        <w:rPr>
          <w:rFonts w:ascii="Arial" w:hAnsi="Arial" w:cs="Arial"/>
          <w:color w:val="auto"/>
          <w:sz w:val="20"/>
          <w:szCs w:val="20"/>
          <w:highlight w:val="cyan"/>
          <w:lang w:val="en-GB"/>
        </w:rPr>
        <w:lastRenderedPageBreak/>
        <w:t>Buehren</w:t>
      </w:r>
      <w:proofErr w:type="spellEnd"/>
      <w:r w:rsidRPr="008B2C29">
        <w:rPr>
          <w:rFonts w:ascii="Arial" w:hAnsi="Arial" w:cs="Arial"/>
          <w:color w:val="auto"/>
          <w:sz w:val="20"/>
          <w:szCs w:val="20"/>
          <w:highlight w:val="cyan"/>
          <w:lang w:val="en-GB"/>
        </w:rPr>
        <w:t xml:space="preserve">, N. (2018). </w:t>
      </w:r>
      <w:r w:rsidRPr="008B2C29">
        <w:rPr>
          <w:rFonts w:ascii="Arial" w:hAnsi="Arial" w:cs="Arial"/>
          <w:i/>
          <w:iCs/>
          <w:color w:val="auto"/>
          <w:sz w:val="20"/>
          <w:szCs w:val="20"/>
          <w:highlight w:val="cyan"/>
          <w:lang w:val="en-GB"/>
        </w:rPr>
        <w:t>The effects of land title registration on tenure security, investment, and production: Evidence from Ghana</w:t>
      </w:r>
      <w:r w:rsidRPr="008B2C29">
        <w:rPr>
          <w:rFonts w:ascii="Arial" w:hAnsi="Arial" w:cs="Arial"/>
          <w:color w:val="auto"/>
          <w:sz w:val="20"/>
          <w:szCs w:val="20"/>
          <w:highlight w:val="cyan"/>
          <w:lang w:val="en-GB"/>
        </w:rPr>
        <w:t>. World Bank.</w:t>
      </w:r>
      <w:r w:rsidR="006B5BF4" w:rsidRPr="008B2C29">
        <w:rPr>
          <w:rFonts w:ascii="Arial" w:hAnsi="Arial" w:cs="Arial"/>
          <w:color w:val="auto"/>
          <w:sz w:val="20"/>
          <w:szCs w:val="20"/>
          <w:highlight w:val="cyan"/>
          <w:lang w:val="en-GB"/>
        </w:rPr>
        <w:t xml:space="preserve"> </w:t>
      </w:r>
      <w:hyperlink r:id="rId23" w:history="1">
        <w:r w:rsidR="006B5BF4" w:rsidRPr="008B2C29">
          <w:rPr>
            <w:rStyle w:val="Hyperlink"/>
            <w:rFonts w:ascii="Arial" w:hAnsi="Arial" w:cs="Arial"/>
            <w:color w:val="auto"/>
            <w:sz w:val="20"/>
            <w:szCs w:val="20"/>
            <w:highlight w:val="cyan"/>
            <w:lang w:val="en-GB"/>
          </w:rPr>
          <w:t>https://poverty-action.org/sites/default/files/Buehren-land-title-registration.pdf</w:t>
        </w:r>
      </w:hyperlink>
      <w:r w:rsidRPr="008B2C29">
        <w:rPr>
          <w:rFonts w:ascii="Arial" w:hAnsi="Arial" w:cs="Arial"/>
          <w:color w:val="auto"/>
          <w:sz w:val="20"/>
          <w:szCs w:val="20"/>
          <w:highlight w:val="cyan"/>
          <w:lang w:val="en-GB"/>
        </w:rPr>
        <w:t>.</w:t>
      </w:r>
      <w:r w:rsidR="006B5BF4" w:rsidRPr="008B2C29">
        <w:rPr>
          <w:rFonts w:ascii="Arial" w:hAnsi="Arial" w:cs="Arial"/>
          <w:color w:val="auto"/>
          <w:sz w:val="20"/>
          <w:szCs w:val="20"/>
          <w:highlight w:val="cyan"/>
          <w:lang w:val="en-GB"/>
        </w:rPr>
        <w:t xml:space="preserve"> </w:t>
      </w:r>
    </w:p>
    <w:p w14:paraId="7122B2EB" w14:textId="7DA38291"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highlight w:val="cyan"/>
          <w:lang w:val="en-GB"/>
        </w:rPr>
      </w:pPr>
      <w:proofErr w:type="spellStart"/>
      <w:r w:rsidRPr="008B2C29">
        <w:rPr>
          <w:rFonts w:ascii="Arial" w:hAnsi="Arial" w:cs="Arial"/>
          <w:color w:val="auto"/>
          <w:sz w:val="20"/>
          <w:szCs w:val="20"/>
          <w:highlight w:val="cyan"/>
          <w:lang w:val="en-GB"/>
        </w:rPr>
        <w:t>Chimhowu</w:t>
      </w:r>
      <w:proofErr w:type="spellEnd"/>
      <w:r w:rsidRPr="008B2C29">
        <w:rPr>
          <w:rFonts w:ascii="Arial" w:hAnsi="Arial" w:cs="Arial"/>
          <w:color w:val="auto"/>
          <w:sz w:val="20"/>
          <w:szCs w:val="20"/>
          <w:highlight w:val="cyan"/>
          <w:lang w:val="en-GB"/>
        </w:rPr>
        <w:t xml:space="preserve">, A. (2019). </w:t>
      </w:r>
      <w:r w:rsidRPr="008B2C29">
        <w:rPr>
          <w:rFonts w:ascii="Arial" w:hAnsi="Arial" w:cs="Arial"/>
          <w:i/>
          <w:iCs/>
          <w:color w:val="auto"/>
          <w:sz w:val="20"/>
          <w:szCs w:val="20"/>
          <w:highlight w:val="cyan"/>
          <w:lang w:val="en-GB"/>
        </w:rPr>
        <w:t>The “new” African customary land tenure: Characteristics, features and policy implications of a new paradigm</w:t>
      </w:r>
      <w:r w:rsidRPr="008B2C29">
        <w:rPr>
          <w:rFonts w:ascii="Arial" w:hAnsi="Arial" w:cs="Arial"/>
          <w:color w:val="auto"/>
          <w:sz w:val="20"/>
          <w:szCs w:val="20"/>
          <w:highlight w:val="cyan"/>
          <w:lang w:val="en-GB"/>
        </w:rPr>
        <w:t>. Land Use Policy, 81, 897–903.</w:t>
      </w:r>
      <w:r w:rsidR="00404802" w:rsidRPr="008B2C29">
        <w:rPr>
          <w:rFonts w:ascii="Arial" w:hAnsi="Arial" w:cs="Arial"/>
          <w:color w:val="auto"/>
          <w:sz w:val="20"/>
          <w:szCs w:val="20"/>
          <w:highlight w:val="cyan"/>
          <w:lang w:val="en-GB"/>
        </w:rPr>
        <w:t xml:space="preserve"> </w:t>
      </w:r>
      <w:hyperlink r:id="rId24" w:history="1">
        <w:r w:rsidR="00404802" w:rsidRPr="008B2C29">
          <w:rPr>
            <w:rStyle w:val="Hyperlink"/>
            <w:rFonts w:ascii="Arial" w:hAnsi="Arial" w:cs="Arial"/>
            <w:color w:val="auto"/>
            <w:sz w:val="20"/>
            <w:szCs w:val="20"/>
            <w:highlight w:val="cyan"/>
            <w:lang w:val="en-GB"/>
          </w:rPr>
          <w:t>https://scholar.google.com/scholar?hl=en&amp;as_sdt=0%2C5&amp;q=%22Chimhowu%2C+A.+%282019%29.+The+%E2%80%9Cnew%E2%80%9D+African+customary+land+tenure%3A+Characteristics%2C+features+and+policy+implications+of+a+new+paradigm.+Land+Use+Policy%2C+81%2C+897%E2%80%93903.%22&amp;btnG</w:t>
        </w:r>
      </w:hyperlink>
    </w:p>
    <w:p w14:paraId="5B36E552" w14:textId="1F9810B2"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Deininger, K. (2003). </w:t>
      </w:r>
      <w:r w:rsidRPr="008B2C29">
        <w:rPr>
          <w:rFonts w:ascii="Arial" w:hAnsi="Arial" w:cs="Arial"/>
          <w:i/>
          <w:iCs/>
          <w:color w:val="auto"/>
          <w:sz w:val="20"/>
          <w:szCs w:val="20"/>
          <w:lang w:val="en-GB"/>
        </w:rPr>
        <w:t>Land Policies for Growth and Poverty Reduction</w:t>
      </w:r>
      <w:r w:rsidRPr="008B2C29">
        <w:rPr>
          <w:rFonts w:ascii="Arial" w:hAnsi="Arial" w:cs="Arial"/>
          <w:color w:val="auto"/>
          <w:sz w:val="20"/>
          <w:szCs w:val="20"/>
          <w:lang w:val="en-GB"/>
        </w:rPr>
        <w:t>. World Bank and Oxford University Press.</w:t>
      </w:r>
      <w:r w:rsidR="00404802" w:rsidRPr="008B2C29">
        <w:rPr>
          <w:rFonts w:ascii="Arial" w:hAnsi="Arial" w:cs="Arial"/>
          <w:color w:val="auto"/>
          <w:sz w:val="20"/>
          <w:szCs w:val="20"/>
          <w:lang w:val="en-GB"/>
        </w:rPr>
        <w:t xml:space="preserve"> </w:t>
      </w:r>
      <w:hyperlink r:id="rId25" w:history="1">
        <w:r w:rsidR="00404802" w:rsidRPr="008B2C29">
          <w:rPr>
            <w:rStyle w:val="Hyperlink"/>
            <w:rFonts w:ascii="Arial" w:hAnsi="Arial" w:cs="Arial"/>
            <w:color w:val="auto"/>
            <w:sz w:val="20"/>
            <w:szCs w:val="20"/>
            <w:lang w:val="en-GB"/>
          </w:rPr>
          <w:t>https://scholar.google.com/scholar?hl=en&amp;as_sdt=0%2C5&amp;q=%22Deininger%2C+K.+%282003%29.+Land+Policies+for+Growth+and+Poverty+Reduction.+World+Bank+and+Oxford+University+Press.%22&amp;btnG</w:t>
        </w:r>
      </w:hyperlink>
    </w:p>
    <w:p w14:paraId="61D18F80" w14:textId="77777777"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Deininger, K., &amp; Feder, G. (2009). Land registration, governance, and development: Evidence and implications for policy. </w:t>
      </w:r>
      <w:r w:rsidRPr="008B2C29">
        <w:rPr>
          <w:rFonts w:ascii="Arial" w:eastAsiaTheme="majorEastAsia" w:hAnsi="Arial" w:cs="Arial"/>
          <w:i/>
          <w:iCs/>
          <w:color w:val="auto"/>
          <w:sz w:val="20"/>
          <w:szCs w:val="20"/>
          <w:lang w:val="en-GB"/>
        </w:rPr>
        <w:t>World Bank Research Observer</w:t>
      </w:r>
      <w:r w:rsidRPr="008B2C29">
        <w:rPr>
          <w:rFonts w:ascii="Arial" w:hAnsi="Arial" w:cs="Arial"/>
          <w:color w:val="auto"/>
          <w:sz w:val="20"/>
          <w:szCs w:val="20"/>
          <w:lang w:val="en-GB"/>
        </w:rPr>
        <w:t xml:space="preserve">, 24(2), 233–266. </w:t>
      </w:r>
      <w:hyperlink r:id="rId26" w:history="1">
        <w:r w:rsidRPr="008B2C29">
          <w:rPr>
            <w:rStyle w:val="Hyperlink"/>
            <w:rFonts w:ascii="Arial" w:eastAsiaTheme="majorEastAsia" w:hAnsi="Arial" w:cs="Arial"/>
            <w:color w:val="auto"/>
            <w:sz w:val="20"/>
            <w:szCs w:val="20"/>
            <w:lang w:val="en-GB"/>
          </w:rPr>
          <w:t>https://doi.org/10.1093/wbro/lkp007</w:t>
        </w:r>
      </w:hyperlink>
    </w:p>
    <w:p w14:paraId="3F7AFD5D" w14:textId="77777777"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Deininger, K., Ali, D. A., &amp; Alemu, T. (2011). Impacts of land certification on tenure security, investment, and land market participation: Evidence from Ethiopia. </w:t>
      </w:r>
      <w:r w:rsidRPr="008B2C29">
        <w:rPr>
          <w:rFonts w:ascii="Arial" w:eastAsiaTheme="majorEastAsia" w:hAnsi="Arial" w:cs="Arial"/>
          <w:i/>
          <w:iCs/>
          <w:color w:val="auto"/>
          <w:sz w:val="20"/>
          <w:szCs w:val="20"/>
          <w:lang w:val="en-GB"/>
        </w:rPr>
        <w:t>Land Economics</w:t>
      </w:r>
      <w:r w:rsidRPr="008B2C29">
        <w:rPr>
          <w:rFonts w:ascii="Arial" w:hAnsi="Arial" w:cs="Arial"/>
          <w:color w:val="auto"/>
          <w:sz w:val="20"/>
          <w:szCs w:val="20"/>
          <w:lang w:val="en-GB"/>
        </w:rPr>
        <w:t xml:space="preserve">, 87(2), 312–334. </w:t>
      </w:r>
      <w:hyperlink r:id="rId27" w:history="1">
        <w:r w:rsidRPr="008B2C29">
          <w:rPr>
            <w:rStyle w:val="Hyperlink"/>
            <w:rFonts w:ascii="Arial" w:eastAsiaTheme="majorEastAsia" w:hAnsi="Arial" w:cs="Arial"/>
            <w:color w:val="auto"/>
            <w:sz w:val="20"/>
            <w:szCs w:val="20"/>
            <w:lang w:val="en-GB"/>
          </w:rPr>
          <w:t>https://doi.org/10.3368/le.87.2.312</w:t>
        </w:r>
      </w:hyperlink>
    </w:p>
    <w:p w14:paraId="6C56A6C8" w14:textId="77777777"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Edwin, D., </w:t>
      </w:r>
      <w:proofErr w:type="spellStart"/>
      <w:r w:rsidRPr="008B2C29">
        <w:rPr>
          <w:rFonts w:ascii="Arial" w:hAnsi="Arial" w:cs="Arial"/>
          <w:color w:val="auto"/>
          <w:sz w:val="20"/>
          <w:szCs w:val="20"/>
          <w:lang w:val="en-GB"/>
        </w:rPr>
        <w:t>Kuusaana</w:t>
      </w:r>
      <w:proofErr w:type="spellEnd"/>
      <w:r w:rsidRPr="008B2C29">
        <w:rPr>
          <w:rFonts w:ascii="Arial" w:hAnsi="Arial" w:cs="Arial"/>
          <w:color w:val="auto"/>
          <w:sz w:val="20"/>
          <w:szCs w:val="20"/>
          <w:lang w:val="en-GB"/>
        </w:rPr>
        <w:t xml:space="preserve">, E. D., &amp; Boamah, N. A. (2020). When tradition meets modernity in land registration: Evidence from </w:t>
      </w:r>
      <w:proofErr w:type="spellStart"/>
      <w:r w:rsidRPr="008B2C29">
        <w:rPr>
          <w:rFonts w:ascii="Arial" w:hAnsi="Arial" w:cs="Arial"/>
          <w:color w:val="auto"/>
          <w:sz w:val="20"/>
          <w:szCs w:val="20"/>
          <w:lang w:val="en-GB"/>
        </w:rPr>
        <w:t>Dagbon</w:t>
      </w:r>
      <w:proofErr w:type="spellEnd"/>
      <w:r w:rsidRPr="008B2C29">
        <w:rPr>
          <w:rFonts w:ascii="Arial" w:hAnsi="Arial" w:cs="Arial"/>
          <w:color w:val="auto"/>
          <w:sz w:val="20"/>
          <w:szCs w:val="20"/>
          <w:lang w:val="en-GB"/>
        </w:rPr>
        <w:t xml:space="preserve">, Ghana. </w:t>
      </w:r>
      <w:r w:rsidRPr="008B2C29">
        <w:rPr>
          <w:rFonts w:ascii="Arial" w:eastAsiaTheme="majorEastAsia" w:hAnsi="Arial" w:cs="Arial"/>
          <w:i/>
          <w:iCs/>
          <w:color w:val="auto"/>
          <w:sz w:val="20"/>
          <w:szCs w:val="20"/>
          <w:lang w:val="en-GB"/>
        </w:rPr>
        <w:t>Land</w:t>
      </w:r>
      <w:r w:rsidRPr="008B2C29">
        <w:rPr>
          <w:rFonts w:ascii="Arial" w:hAnsi="Arial" w:cs="Arial"/>
          <w:color w:val="auto"/>
          <w:sz w:val="20"/>
          <w:szCs w:val="20"/>
          <w:lang w:val="en-GB"/>
        </w:rPr>
        <w:t xml:space="preserve">, 9(3), 90. </w:t>
      </w:r>
      <w:hyperlink r:id="rId28" w:history="1">
        <w:r w:rsidRPr="008B2C29">
          <w:rPr>
            <w:rStyle w:val="Hyperlink"/>
            <w:rFonts w:ascii="Arial" w:eastAsiaTheme="majorEastAsia" w:hAnsi="Arial" w:cs="Arial"/>
            <w:color w:val="auto"/>
            <w:sz w:val="20"/>
            <w:szCs w:val="20"/>
            <w:lang w:val="en-GB"/>
          </w:rPr>
          <w:t>https://doi.org/10.3390/land9030090</w:t>
        </w:r>
      </w:hyperlink>
    </w:p>
    <w:p w14:paraId="005F6F4C" w14:textId="77777777" w:rsidR="008C1F96"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Ehwi</w:t>
      </w:r>
      <w:proofErr w:type="spellEnd"/>
      <w:r w:rsidRPr="008B2C29">
        <w:rPr>
          <w:rFonts w:ascii="Arial" w:hAnsi="Arial" w:cs="Arial"/>
          <w:color w:val="auto"/>
          <w:sz w:val="20"/>
          <w:szCs w:val="20"/>
          <w:lang w:val="en-GB"/>
        </w:rPr>
        <w:t xml:space="preserve">, R. J., &amp; Asante, L. A. (2016). Ex-post analysis of land title registration in Ghana since the 2008 merger. </w:t>
      </w:r>
      <w:r w:rsidRPr="008B2C29">
        <w:rPr>
          <w:rFonts w:ascii="Arial" w:eastAsiaTheme="majorEastAsia" w:hAnsi="Arial" w:cs="Arial"/>
          <w:i/>
          <w:iCs/>
          <w:color w:val="auto"/>
          <w:sz w:val="20"/>
          <w:szCs w:val="20"/>
          <w:lang w:val="en-GB"/>
        </w:rPr>
        <w:t>Research Journal of Social Science and Management</w:t>
      </w:r>
      <w:r w:rsidRPr="008B2C29">
        <w:rPr>
          <w:rFonts w:ascii="Arial" w:hAnsi="Arial" w:cs="Arial"/>
          <w:color w:val="auto"/>
          <w:sz w:val="20"/>
          <w:szCs w:val="20"/>
          <w:lang w:val="en-GB"/>
        </w:rPr>
        <w:t>, 5(11), 21–30.</w:t>
      </w:r>
    </w:p>
    <w:p w14:paraId="60109DB7" w14:textId="3D35827D" w:rsidR="008C1F96" w:rsidRPr="008B2C29" w:rsidRDefault="008C1F96"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bCs/>
          <w:color w:val="auto"/>
          <w:sz w:val="20"/>
          <w:szCs w:val="20"/>
        </w:rPr>
        <w:t xml:space="preserve">Ghana Statistical Service. (2021). </w:t>
      </w:r>
      <w:r w:rsidRPr="008B2C29">
        <w:rPr>
          <w:rFonts w:ascii="Arial" w:eastAsiaTheme="majorEastAsia" w:hAnsi="Arial" w:cs="Arial"/>
          <w:bCs/>
          <w:i/>
          <w:iCs/>
          <w:color w:val="auto"/>
          <w:sz w:val="20"/>
          <w:szCs w:val="20"/>
        </w:rPr>
        <w:t>2021 Population and Housing Census: General report—Ashanti Region</w:t>
      </w:r>
      <w:r w:rsidRPr="008B2C29">
        <w:rPr>
          <w:rFonts w:ascii="Arial" w:hAnsi="Arial" w:cs="Arial"/>
          <w:bCs/>
          <w:color w:val="auto"/>
          <w:sz w:val="20"/>
          <w:szCs w:val="20"/>
        </w:rPr>
        <w:t>. Accra: GSS.</w:t>
      </w:r>
      <w:r w:rsidR="00404802" w:rsidRPr="008B2C29">
        <w:rPr>
          <w:rFonts w:ascii="Arial" w:hAnsi="Arial" w:cs="Arial"/>
          <w:bCs/>
          <w:color w:val="auto"/>
          <w:sz w:val="20"/>
          <w:szCs w:val="20"/>
        </w:rPr>
        <w:t xml:space="preserve"> </w:t>
      </w:r>
      <w:hyperlink r:id="rId29" w:history="1">
        <w:r w:rsidR="00404802" w:rsidRPr="008B2C29">
          <w:rPr>
            <w:rStyle w:val="Hyperlink"/>
            <w:rFonts w:ascii="Arial" w:hAnsi="Arial" w:cs="Arial"/>
            <w:bCs/>
            <w:color w:val="auto"/>
            <w:sz w:val="20"/>
            <w:szCs w:val="20"/>
            <w:lang w:val="en-GB"/>
          </w:rPr>
          <w:t>https://scholar.google.com/scholar?hl=en&amp;as_sdt=0%2C5&amp;q=%22Ghana+Statistical+Service.+%282021%29.+2021+Population+and+Housing+Census%3A+General+report%E2%80%94Ashanti+Region.+Accra%3A+GSS.%22&amp;btnG</w:t>
        </w:r>
      </w:hyperlink>
    </w:p>
    <w:p w14:paraId="0EE2674C" w14:textId="77777777" w:rsidR="008C1F96" w:rsidRPr="008B2C29" w:rsidRDefault="008C1F96" w:rsidP="002C7DB3">
      <w:pPr>
        <w:pStyle w:val="ListParagraph1"/>
        <w:spacing w:after="891" w:line="276" w:lineRule="auto"/>
        <w:ind w:left="993" w:right="136" w:hanging="993"/>
        <w:jc w:val="both"/>
        <w:rPr>
          <w:rFonts w:ascii="Arial" w:hAnsi="Arial" w:cs="Arial"/>
          <w:color w:val="auto"/>
          <w:sz w:val="20"/>
          <w:szCs w:val="20"/>
          <w:lang w:val="en-GB"/>
        </w:rPr>
      </w:pPr>
    </w:p>
    <w:p w14:paraId="2E6F87EA" w14:textId="078DC68B"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Ghebru</w:t>
      </w:r>
      <w:proofErr w:type="spellEnd"/>
      <w:r w:rsidRPr="008B2C29">
        <w:rPr>
          <w:rFonts w:ascii="Arial" w:hAnsi="Arial" w:cs="Arial"/>
          <w:color w:val="auto"/>
          <w:sz w:val="20"/>
          <w:szCs w:val="20"/>
          <w:lang w:val="en-GB"/>
        </w:rPr>
        <w:t xml:space="preserve">, H., Ali, D. A., &amp; Deininger, K. (2016). Perceived land tenure security and rural transformation: Empirical evidence from Ghana. </w:t>
      </w:r>
      <w:r w:rsidRPr="008B2C29">
        <w:rPr>
          <w:rFonts w:ascii="Arial" w:eastAsiaTheme="majorEastAsia" w:hAnsi="Arial" w:cs="Arial"/>
          <w:i/>
          <w:iCs/>
          <w:color w:val="auto"/>
          <w:sz w:val="20"/>
          <w:szCs w:val="20"/>
          <w:lang w:val="en-GB"/>
        </w:rPr>
        <w:t>IFPRI Discussion Paper 01583</w:t>
      </w:r>
      <w:r w:rsidRPr="008B2C29">
        <w:rPr>
          <w:rFonts w:ascii="Arial" w:hAnsi="Arial" w:cs="Arial"/>
          <w:color w:val="auto"/>
          <w:sz w:val="20"/>
          <w:szCs w:val="20"/>
          <w:lang w:val="en-GB"/>
        </w:rPr>
        <w:t xml:space="preserve">. </w:t>
      </w:r>
      <w:hyperlink r:id="rId30" w:history="1">
        <w:r w:rsidR="00404802" w:rsidRPr="008B2C29">
          <w:rPr>
            <w:rStyle w:val="Hyperlink"/>
            <w:color w:val="auto"/>
            <w:lang w:val="en-GB"/>
          </w:rPr>
          <w:t>https://scholar.google.com/scholar?hl=en&amp;as_sdt=0%2C5&amp;q=%22Ghana+Statistical+Service.+%282021%29.+2021+Population+and+Housing+Census%3A+General+report%E2%80%94Ashanti+Region.+Accra%3A+GSS.%22&amp;btnG</w:t>
        </w:r>
      </w:hyperlink>
    </w:p>
    <w:p w14:paraId="07BDE179" w14:textId="4DBEF6DB" w:rsidR="00646DF4" w:rsidRPr="008B2C29" w:rsidRDefault="00404802" w:rsidP="00064BF5">
      <w:pPr>
        <w:pStyle w:val="ListParagraph1"/>
        <w:numPr>
          <w:ilvl w:val="0"/>
          <w:numId w:val="5"/>
        </w:numPr>
        <w:spacing w:after="891" w:line="276" w:lineRule="auto"/>
        <w:ind w:right="136"/>
        <w:jc w:val="both"/>
        <w:rPr>
          <w:rFonts w:ascii="Arial" w:hAnsi="Arial" w:cs="Arial"/>
          <w:color w:val="auto"/>
          <w:sz w:val="20"/>
          <w:szCs w:val="20"/>
          <w:highlight w:val="yellow"/>
          <w:lang w:val="en-GB"/>
        </w:rPr>
      </w:pPr>
      <w:r w:rsidRPr="008B2C29">
        <w:rPr>
          <w:rFonts w:ascii="Arial" w:hAnsi="Arial" w:cs="Arial"/>
          <w:color w:val="auto"/>
          <w:sz w:val="20"/>
          <w:szCs w:val="20"/>
          <w:highlight w:val="yellow"/>
          <w:lang w:val="en-GB"/>
        </w:rPr>
        <w:t>Government of Ghana</w:t>
      </w:r>
      <w:r w:rsidRPr="008B2C29">
        <w:rPr>
          <w:rFonts w:ascii="Arial" w:hAnsi="Arial" w:cs="Arial"/>
          <w:b/>
          <w:bCs/>
          <w:color w:val="auto"/>
          <w:sz w:val="20"/>
          <w:szCs w:val="20"/>
          <w:highlight w:val="yellow"/>
          <w:lang w:val="en-GB"/>
        </w:rPr>
        <w:t>.</w:t>
      </w:r>
      <w:r w:rsidRPr="008B2C29">
        <w:rPr>
          <w:rFonts w:ascii="Arial" w:hAnsi="Arial" w:cs="Arial"/>
          <w:color w:val="auto"/>
          <w:sz w:val="20"/>
          <w:szCs w:val="20"/>
          <w:highlight w:val="yellow"/>
          <w:lang w:val="en-GB"/>
        </w:rPr>
        <w:t xml:space="preserve"> (2003). </w:t>
      </w:r>
      <w:r w:rsidRPr="008B2C29">
        <w:rPr>
          <w:rFonts w:ascii="Arial" w:hAnsi="Arial" w:cs="Arial"/>
          <w:i/>
          <w:iCs/>
          <w:color w:val="auto"/>
          <w:sz w:val="20"/>
          <w:szCs w:val="20"/>
          <w:highlight w:val="yellow"/>
          <w:lang w:val="en-GB"/>
        </w:rPr>
        <w:t>Land Administration Project (LAP): Project Implementation Document</w:t>
      </w:r>
      <w:r w:rsidRPr="008B2C29">
        <w:rPr>
          <w:rFonts w:ascii="Arial" w:hAnsi="Arial" w:cs="Arial"/>
          <w:color w:val="auto"/>
          <w:sz w:val="20"/>
          <w:szCs w:val="20"/>
          <w:highlight w:val="yellow"/>
          <w:lang w:val="en-GB"/>
        </w:rPr>
        <w:t xml:space="preserve">. Accra: Ministry of Lands and Forestry. </w:t>
      </w:r>
      <w:hyperlink r:id="rId31" w:history="1">
        <w:r w:rsidRPr="008B2C29">
          <w:rPr>
            <w:rStyle w:val="Hyperlink"/>
            <w:rFonts w:ascii="Arial" w:hAnsi="Arial" w:cs="Arial"/>
            <w:color w:val="auto"/>
            <w:sz w:val="20"/>
            <w:szCs w:val="20"/>
            <w:highlight w:val="yellow"/>
            <w:lang w:val="en-GB"/>
          </w:rPr>
          <w:t>https://www.ghanaweb.com/GhanaHomePage/features/Land-Administration-Project-in-Ghana-A-Way-forward-43522</w:t>
        </w:r>
      </w:hyperlink>
      <w:r w:rsidRPr="008B2C29">
        <w:rPr>
          <w:rFonts w:ascii="Arial" w:hAnsi="Arial" w:cs="Arial"/>
          <w:color w:val="auto"/>
          <w:sz w:val="20"/>
          <w:szCs w:val="20"/>
          <w:highlight w:val="yellow"/>
          <w:lang w:val="en-GB"/>
        </w:rPr>
        <w:t xml:space="preserve">. </w:t>
      </w:r>
    </w:p>
    <w:p w14:paraId="1A7F91B0" w14:textId="3033ED7A"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Kasanga, K., &amp; Kotey, N. A. (2001). </w:t>
      </w:r>
      <w:r w:rsidRPr="008B2C29">
        <w:rPr>
          <w:rFonts w:ascii="Arial" w:hAnsi="Arial" w:cs="Arial"/>
          <w:i/>
          <w:iCs/>
          <w:color w:val="auto"/>
          <w:sz w:val="20"/>
          <w:szCs w:val="20"/>
          <w:lang w:val="en-GB"/>
        </w:rPr>
        <w:t>Land Management in Ghana: Building on Tradition and Modernity</w:t>
      </w:r>
      <w:r w:rsidRPr="008B2C29">
        <w:rPr>
          <w:rFonts w:ascii="Arial" w:hAnsi="Arial" w:cs="Arial"/>
          <w:color w:val="auto"/>
          <w:sz w:val="20"/>
          <w:szCs w:val="20"/>
          <w:lang w:val="en-GB"/>
        </w:rPr>
        <w:t>. London: IIED.</w:t>
      </w:r>
      <w:r w:rsidR="00404802" w:rsidRPr="008B2C29">
        <w:rPr>
          <w:rFonts w:ascii="Arial" w:hAnsi="Arial" w:cs="Arial"/>
          <w:color w:val="auto"/>
          <w:sz w:val="20"/>
          <w:szCs w:val="20"/>
          <w:lang w:val="en-GB"/>
        </w:rPr>
        <w:t xml:space="preserve"> </w:t>
      </w:r>
      <w:hyperlink r:id="rId32" w:history="1">
        <w:r w:rsidR="00404802" w:rsidRPr="008B2C29">
          <w:rPr>
            <w:rStyle w:val="Hyperlink"/>
            <w:rFonts w:ascii="Arial" w:hAnsi="Arial" w:cs="Arial"/>
            <w:color w:val="auto"/>
            <w:sz w:val="20"/>
            <w:szCs w:val="20"/>
            <w:lang w:val="en-GB"/>
          </w:rPr>
          <w:t>https://scholar.google.com/scholar?hl=en&amp;as_sdt=0%2C5&amp;q=%22Kasanga%2C+K.%2C+%26+Kotey%2C+N.+A.+%282001%29.+Land+Management+in+Ghana%3A+Building+on+Tradition+and+Modernity.+London%3A+IIED.%22&amp;btnG</w:t>
        </w:r>
      </w:hyperlink>
    </w:p>
    <w:p w14:paraId="0873A9D2" w14:textId="29E251EA" w:rsidR="00AF1F80" w:rsidRPr="008B2C29" w:rsidRDefault="00AF1F80"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Kombonaah</w:t>
      </w:r>
      <w:proofErr w:type="spellEnd"/>
      <w:r w:rsidRPr="008B2C29">
        <w:rPr>
          <w:rFonts w:ascii="Arial" w:hAnsi="Arial" w:cs="Arial"/>
          <w:color w:val="auto"/>
          <w:sz w:val="20"/>
          <w:szCs w:val="20"/>
          <w:lang w:val="en-GB"/>
        </w:rPr>
        <w:t xml:space="preserve">, N. (2025). Urban growth and the challenges of land use planning in </w:t>
      </w:r>
      <w:proofErr w:type="spellStart"/>
      <w:r w:rsidRPr="008B2C29">
        <w:rPr>
          <w:rFonts w:ascii="Arial" w:hAnsi="Arial" w:cs="Arial"/>
          <w:color w:val="auto"/>
          <w:sz w:val="20"/>
          <w:szCs w:val="20"/>
          <w:lang w:val="en-GB"/>
        </w:rPr>
        <w:t>Dambai</w:t>
      </w:r>
      <w:proofErr w:type="spellEnd"/>
      <w:r w:rsidRPr="008B2C29">
        <w:rPr>
          <w:rFonts w:ascii="Arial" w:hAnsi="Arial" w:cs="Arial"/>
          <w:color w:val="auto"/>
          <w:sz w:val="20"/>
          <w:szCs w:val="20"/>
          <w:lang w:val="en-GB"/>
        </w:rPr>
        <w:t xml:space="preserve">, Ghana. </w:t>
      </w:r>
      <w:r w:rsidRPr="008B2C29">
        <w:rPr>
          <w:rFonts w:ascii="Arial" w:hAnsi="Arial" w:cs="Arial"/>
          <w:i/>
          <w:iCs/>
          <w:color w:val="auto"/>
          <w:sz w:val="20"/>
          <w:szCs w:val="20"/>
          <w:lang w:val="en-GB"/>
        </w:rPr>
        <w:t>Discover Cities, 2</w:t>
      </w:r>
      <w:r w:rsidRPr="008B2C29">
        <w:rPr>
          <w:rFonts w:ascii="Arial" w:hAnsi="Arial" w:cs="Arial"/>
          <w:color w:val="auto"/>
          <w:sz w:val="20"/>
          <w:szCs w:val="20"/>
          <w:lang w:val="en-GB"/>
        </w:rPr>
        <w:t xml:space="preserve">(29). </w:t>
      </w:r>
      <w:hyperlink r:id="rId33" w:history="1">
        <w:r w:rsidRPr="008B2C29">
          <w:rPr>
            <w:rStyle w:val="Hyperlink"/>
            <w:rFonts w:ascii="Arial" w:hAnsi="Arial" w:cs="Arial"/>
            <w:color w:val="auto"/>
            <w:sz w:val="20"/>
            <w:szCs w:val="20"/>
            <w:lang w:val="en-GB"/>
          </w:rPr>
          <w:t>https://link.springer.com/article/10.1007/s44327-025-00061-7</w:t>
        </w:r>
      </w:hyperlink>
      <w:r w:rsidRPr="008B2C29">
        <w:rPr>
          <w:rFonts w:ascii="Arial" w:hAnsi="Arial" w:cs="Arial"/>
          <w:color w:val="auto"/>
          <w:sz w:val="20"/>
          <w:szCs w:val="20"/>
          <w:lang w:val="en-GB"/>
        </w:rPr>
        <w:t xml:space="preserve">. </w:t>
      </w:r>
    </w:p>
    <w:p w14:paraId="382CC43D" w14:textId="47CE7090" w:rsidR="002E4EA7"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Larbi, W. O., Antwi, A., &amp; </w:t>
      </w:r>
      <w:proofErr w:type="spellStart"/>
      <w:r w:rsidRPr="008B2C29">
        <w:rPr>
          <w:rFonts w:ascii="Arial" w:hAnsi="Arial" w:cs="Arial"/>
          <w:color w:val="auto"/>
          <w:sz w:val="20"/>
          <w:szCs w:val="20"/>
          <w:lang w:val="en-GB"/>
        </w:rPr>
        <w:t>Olomolaiye</w:t>
      </w:r>
      <w:proofErr w:type="spellEnd"/>
      <w:r w:rsidRPr="008B2C29">
        <w:rPr>
          <w:rFonts w:ascii="Arial" w:hAnsi="Arial" w:cs="Arial"/>
          <w:color w:val="auto"/>
          <w:sz w:val="20"/>
          <w:szCs w:val="20"/>
          <w:lang w:val="en-GB"/>
        </w:rPr>
        <w:t xml:space="preserve">, P. (2004). </w:t>
      </w:r>
      <w:r w:rsidRPr="008B2C29">
        <w:rPr>
          <w:rFonts w:ascii="Arial" w:hAnsi="Arial" w:cs="Arial"/>
          <w:i/>
          <w:iCs/>
          <w:color w:val="auto"/>
          <w:sz w:val="20"/>
          <w:szCs w:val="20"/>
          <w:lang w:val="en-GB"/>
        </w:rPr>
        <w:t>Compulsory land acquisition in Ghana—policy and praxis</w:t>
      </w:r>
      <w:r w:rsidRPr="008B2C29">
        <w:rPr>
          <w:rFonts w:ascii="Arial" w:hAnsi="Arial" w:cs="Arial"/>
          <w:color w:val="auto"/>
          <w:sz w:val="20"/>
          <w:szCs w:val="20"/>
          <w:lang w:val="en-GB"/>
        </w:rPr>
        <w:t>. Land Use Policy, 21(2), 115–127.</w:t>
      </w:r>
      <w:r w:rsidR="002E4EA7" w:rsidRPr="008B2C29">
        <w:rPr>
          <w:rFonts w:ascii="Arial" w:hAnsi="Arial" w:cs="Arial"/>
          <w:bCs/>
          <w:color w:val="auto"/>
          <w:sz w:val="20"/>
          <w:szCs w:val="20"/>
          <w:lang w:val="en-GB"/>
        </w:rPr>
        <w:t xml:space="preserve"> </w:t>
      </w:r>
      <w:hyperlink r:id="rId34" w:history="1">
        <w:r w:rsidR="009B2621" w:rsidRPr="008B2C29">
          <w:rPr>
            <w:rStyle w:val="Hyperlink"/>
            <w:rFonts w:ascii="Arial" w:hAnsi="Arial" w:cs="Arial"/>
            <w:bCs/>
            <w:color w:val="auto"/>
            <w:sz w:val="20"/>
            <w:szCs w:val="20"/>
            <w:lang w:val="en-GB"/>
          </w:rPr>
          <w:t>https://scholar.google.com/scholar?hl=en&amp;as_sdt=0%2C5&amp;q=%22Larbi%2C+W.+O.%2C+Antwi%2C+A.%2C+%26+Olomolaiye%2C+P.+%282004%29.+Compulsory+land+acquisition</w:t>
        </w:r>
        <w:r w:rsidR="009B2621" w:rsidRPr="008B2C29">
          <w:rPr>
            <w:rStyle w:val="Hyperlink"/>
            <w:rFonts w:ascii="Arial" w:hAnsi="Arial" w:cs="Arial"/>
            <w:bCs/>
            <w:color w:val="auto"/>
            <w:sz w:val="20"/>
            <w:szCs w:val="20"/>
            <w:lang w:val="en-GB"/>
          </w:rPr>
          <w:lastRenderedPageBreak/>
          <w:t>+in+Ghana%E2%80%94policy+and+praxis.+Land+Use+Policy%2C+21%282%29%2C+115%E2%80%93127.%22&amp;btnG</w:t>
        </w:r>
      </w:hyperlink>
    </w:p>
    <w:p w14:paraId="51A0B5E7" w14:textId="6C4120D3" w:rsidR="002E4EA7" w:rsidRPr="008B2C29" w:rsidRDefault="001F4502" w:rsidP="00064BF5">
      <w:pPr>
        <w:pStyle w:val="ListParagraph1"/>
        <w:numPr>
          <w:ilvl w:val="0"/>
          <w:numId w:val="5"/>
        </w:numPr>
        <w:spacing w:after="891" w:line="276" w:lineRule="auto"/>
        <w:ind w:right="136"/>
        <w:jc w:val="both"/>
        <w:rPr>
          <w:rFonts w:ascii="Arial" w:hAnsi="Arial" w:cs="Arial"/>
          <w:bCs/>
          <w:color w:val="auto"/>
          <w:sz w:val="20"/>
          <w:szCs w:val="20"/>
          <w:lang w:val="en-GB"/>
        </w:rPr>
      </w:pPr>
      <w:r w:rsidRPr="008B2C29">
        <w:rPr>
          <w:rFonts w:ascii="Arial" w:hAnsi="Arial" w:cs="Arial"/>
          <w:color w:val="auto"/>
          <w:sz w:val="20"/>
          <w:szCs w:val="20"/>
          <w:highlight w:val="yellow"/>
          <w:lang w:val="en-GB"/>
        </w:rPr>
        <w:t>Ministry of Lands and Natural Resources.</w:t>
      </w:r>
      <w:r w:rsidRPr="008B2C29">
        <w:rPr>
          <w:rFonts w:ascii="Arial" w:hAnsi="Arial" w:cs="Arial"/>
          <w:bCs/>
          <w:color w:val="auto"/>
          <w:sz w:val="20"/>
          <w:szCs w:val="20"/>
          <w:highlight w:val="yellow"/>
          <w:lang w:val="en-GB"/>
        </w:rPr>
        <w:t xml:space="preserve"> (2011). </w:t>
      </w:r>
      <w:r w:rsidRPr="008B2C29">
        <w:rPr>
          <w:rFonts w:ascii="Arial" w:hAnsi="Arial" w:cs="Arial"/>
          <w:bCs/>
          <w:i/>
          <w:iCs/>
          <w:color w:val="auto"/>
          <w:sz w:val="20"/>
          <w:szCs w:val="20"/>
          <w:highlight w:val="yellow"/>
          <w:lang w:val="en-GB"/>
        </w:rPr>
        <w:t>Land Administration Project Phase Two: Project Implementation Manual</w:t>
      </w:r>
      <w:r w:rsidRPr="008B2C29">
        <w:rPr>
          <w:rFonts w:ascii="Arial" w:hAnsi="Arial" w:cs="Arial"/>
          <w:bCs/>
          <w:color w:val="auto"/>
          <w:sz w:val="20"/>
          <w:szCs w:val="20"/>
          <w:highlight w:val="yellow"/>
          <w:lang w:val="en-GB"/>
        </w:rPr>
        <w:t xml:space="preserve">. Accra, Ghana. </w:t>
      </w:r>
      <w:hyperlink r:id="rId35" w:history="1">
        <w:r w:rsidRPr="008B2C29">
          <w:rPr>
            <w:rStyle w:val="Hyperlink"/>
            <w:rFonts w:ascii="Arial" w:hAnsi="Arial" w:cs="Arial"/>
            <w:bCs/>
            <w:color w:val="auto"/>
            <w:sz w:val="20"/>
            <w:szCs w:val="20"/>
            <w:highlight w:val="yellow"/>
            <w:lang w:val="en-GB"/>
          </w:rPr>
          <w:t>https://www.cedidollar.com/wp-content/uploads/2019/01/Land-Administration-Project-Phase-2-2011.pdf</w:t>
        </w:r>
      </w:hyperlink>
      <w:r w:rsidRPr="008B2C29">
        <w:rPr>
          <w:rFonts w:ascii="Arial" w:hAnsi="Arial" w:cs="Arial"/>
          <w:bCs/>
          <w:color w:val="auto"/>
          <w:sz w:val="20"/>
          <w:szCs w:val="20"/>
          <w:lang w:val="en-GB"/>
        </w:rPr>
        <w:t xml:space="preserve">. </w:t>
      </w:r>
      <w:r w:rsidR="002E4EA7" w:rsidRPr="008B2C29">
        <w:rPr>
          <w:rFonts w:ascii="Arial" w:hAnsi="Arial" w:cs="Arial"/>
          <w:color w:val="auto"/>
          <w:sz w:val="20"/>
          <w:szCs w:val="20"/>
          <w:lang w:val="en-GB"/>
        </w:rPr>
        <w:t xml:space="preserve">  </w:t>
      </w:r>
    </w:p>
    <w:p w14:paraId="53DA0304" w14:textId="68B3B402" w:rsidR="00395B91" w:rsidRPr="008B2C29" w:rsidRDefault="00395B91"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Muyombano</w:t>
      </w:r>
      <w:proofErr w:type="spellEnd"/>
      <w:r w:rsidRPr="008B2C29">
        <w:rPr>
          <w:rFonts w:ascii="Arial" w:hAnsi="Arial" w:cs="Arial"/>
          <w:color w:val="auto"/>
          <w:sz w:val="20"/>
          <w:szCs w:val="20"/>
          <w:lang w:val="en-GB"/>
        </w:rPr>
        <w:t xml:space="preserve">, E., &amp; Bergsma, E. (2018). </w:t>
      </w:r>
      <w:r w:rsidRPr="008B2C29">
        <w:rPr>
          <w:rFonts w:ascii="Arial" w:hAnsi="Arial" w:cs="Arial"/>
          <w:i/>
          <w:iCs/>
          <w:color w:val="auto"/>
          <w:sz w:val="20"/>
          <w:szCs w:val="20"/>
          <w:lang w:val="en-GB"/>
        </w:rPr>
        <w:t>Land registration and titling and the Rural Grouped Settlement Programme: Experiences of local communities of land tenure security in Musanze District, Northern Rwanda</w:t>
      </w:r>
      <w:r w:rsidRPr="008B2C29">
        <w:rPr>
          <w:rFonts w:ascii="Arial" w:hAnsi="Arial" w:cs="Arial"/>
          <w:color w:val="auto"/>
          <w:sz w:val="20"/>
          <w:szCs w:val="20"/>
          <w:lang w:val="en-GB"/>
        </w:rPr>
        <w:t xml:space="preserve">. University of Rwanda. </w:t>
      </w:r>
      <w:hyperlink r:id="rId36" w:history="1">
        <w:r w:rsidRPr="008B2C29">
          <w:rPr>
            <w:rStyle w:val="Hyperlink"/>
            <w:rFonts w:ascii="Arial" w:hAnsi="Arial" w:cs="Arial"/>
            <w:color w:val="auto"/>
            <w:sz w:val="20"/>
            <w:szCs w:val="20"/>
            <w:lang w:val="en-GB"/>
          </w:rPr>
          <w:t>Paper 1_Okt_3_ME</w:t>
        </w:r>
      </w:hyperlink>
      <w:r w:rsidRPr="008B2C29">
        <w:rPr>
          <w:rFonts w:ascii="Arial" w:hAnsi="Arial" w:cs="Arial"/>
          <w:color w:val="auto"/>
          <w:sz w:val="20"/>
          <w:szCs w:val="20"/>
          <w:lang w:val="en-GB"/>
        </w:rPr>
        <w:t xml:space="preserve">. </w:t>
      </w:r>
    </w:p>
    <w:p w14:paraId="136A62E8" w14:textId="5A2C442D" w:rsidR="008C1F96"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Owusu-Ansah, A., &amp; O’Connor, K. (2010). </w:t>
      </w:r>
      <w:r w:rsidRPr="008B2C29">
        <w:rPr>
          <w:rFonts w:ascii="Arial" w:hAnsi="Arial" w:cs="Arial"/>
          <w:i/>
          <w:iCs/>
          <w:color w:val="auto"/>
          <w:sz w:val="20"/>
          <w:szCs w:val="20"/>
          <w:lang w:val="en-GB"/>
        </w:rPr>
        <w:t>Housing demand in the urban fringe around Kumasi, Ghana</w:t>
      </w:r>
      <w:r w:rsidRPr="008B2C29">
        <w:rPr>
          <w:rFonts w:ascii="Arial" w:hAnsi="Arial" w:cs="Arial"/>
          <w:color w:val="auto"/>
          <w:sz w:val="20"/>
          <w:szCs w:val="20"/>
          <w:lang w:val="en-GB"/>
        </w:rPr>
        <w:t>. Journal of Housing and the Built Environment, 25(1), 1–17.</w:t>
      </w:r>
      <w:r w:rsidR="009B2621" w:rsidRPr="008B2C29">
        <w:rPr>
          <w:rFonts w:ascii="Arial" w:hAnsi="Arial" w:cs="Arial"/>
          <w:color w:val="auto"/>
          <w:sz w:val="20"/>
          <w:szCs w:val="20"/>
          <w:lang w:val="en-GB"/>
        </w:rPr>
        <w:t xml:space="preserve"> </w:t>
      </w:r>
      <w:hyperlink r:id="rId37" w:history="1">
        <w:r w:rsidR="009B2621" w:rsidRPr="008B2C29">
          <w:rPr>
            <w:rStyle w:val="Hyperlink"/>
            <w:rFonts w:ascii="Arial" w:hAnsi="Arial" w:cs="Arial"/>
            <w:color w:val="auto"/>
            <w:sz w:val="20"/>
            <w:szCs w:val="20"/>
            <w:lang w:val="en-GB"/>
          </w:rPr>
          <w:t>https://scholar.google.com/scholar?hl=en&amp;as_sdt=0%2C5&amp;q=%22Owusu-Ansah%2C+A.%2C+%26+O%E2%80%99Connor%2C+K.+%282010%29.+Housing+demand+in+the+urban+fringe+around+Kumasi%2C+Ghana.+Journal+of+Housing+and+the+Built+Environment%2C+25%281%29%2C+1%E2%80%9317.%22&amp;btnG</w:t>
        </w:r>
      </w:hyperlink>
    </w:p>
    <w:p w14:paraId="417D1AC7" w14:textId="78B80D10"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Payne, G., Durand-</w:t>
      </w:r>
      <w:proofErr w:type="spellStart"/>
      <w:r w:rsidRPr="008B2C29">
        <w:rPr>
          <w:rFonts w:ascii="Arial" w:hAnsi="Arial" w:cs="Arial"/>
          <w:color w:val="auto"/>
          <w:sz w:val="20"/>
          <w:szCs w:val="20"/>
          <w:lang w:val="en-GB"/>
        </w:rPr>
        <w:t>Lasserve</w:t>
      </w:r>
      <w:proofErr w:type="spellEnd"/>
      <w:r w:rsidRPr="008B2C29">
        <w:rPr>
          <w:rFonts w:ascii="Arial" w:hAnsi="Arial" w:cs="Arial"/>
          <w:color w:val="auto"/>
          <w:sz w:val="20"/>
          <w:szCs w:val="20"/>
          <w:lang w:val="en-GB"/>
        </w:rPr>
        <w:t xml:space="preserve">, A., &amp; </w:t>
      </w:r>
      <w:proofErr w:type="spellStart"/>
      <w:r w:rsidRPr="008B2C29">
        <w:rPr>
          <w:rFonts w:ascii="Arial" w:hAnsi="Arial" w:cs="Arial"/>
          <w:color w:val="auto"/>
          <w:sz w:val="20"/>
          <w:szCs w:val="20"/>
          <w:lang w:val="en-GB"/>
        </w:rPr>
        <w:t>Rakodi</w:t>
      </w:r>
      <w:proofErr w:type="spellEnd"/>
      <w:r w:rsidRPr="008B2C29">
        <w:rPr>
          <w:rFonts w:ascii="Arial" w:hAnsi="Arial" w:cs="Arial"/>
          <w:color w:val="auto"/>
          <w:sz w:val="20"/>
          <w:szCs w:val="20"/>
          <w:lang w:val="en-GB"/>
        </w:rPr>
        <w:t xml:space="preserve">, C. (2009). </w:t>
      </w:r>
      <w:r w:rsidRPr="008B2C29">
        <w:rPr>
          <w:rFonts w:ascii="Arial" w:hAnsi="Arial" w:cs="Arial"/>
          <w:i/>
          <w:iCs/>
          <w:color w:val="auto"/>
          <w:sz w:val="20"/>
          <w:szCs w:val="20"/>
          <w:lang w:val="en-GB"/>
        </w:rPr>
        <w:t>The limits of land titling and home ownership</w:t>
      </w:r>
      <w:r w:rsidRPr="008B2C29">
        <w:rPr>
          <w:rFonts w:ascii="Arial" w:hAnsi="Arial" w:cs="Arial"/>
          <w:color w:val="auto"/>
          <w:sz w:val="20"/>
          <w:szCs w:val="20"/>
          <w:lang w:val="en-GB"/>
        </w:rPr>
        <w:t>. Environment and Urbanization, 21(2), 443–462.</w:t>
      </w:r>
      <w:r w:rsidR="009B2621" w:rsidRPr="008B2C29">
        <w:rPr>
          <w:rFonts w:ascii="Arial" w:hAnsi="Arial" w:cs="Arial"/>
          <w:color w:val="auto"/>
          <w:sz w:val="20"/>
          <w:szCs w:val="20"/>
          <w:lang w:val="en-GB"/>
        </w:rPr>
        <w:t xml:space="preserve"> </w:t>
      </w:r>
      <w:hyperlink r:id="rId38" w:history="1">
        <w:r w:rsidR="009B2621" w:rsidRPr="008B2C29">
          <w:rPr>
            <w:rStyle w:val="Hyperlink"/>
            <w:rFonts w:ascii="Arial" w:hAnsi="Arial" w:cs="Arial"/>
            <w:color w:val="auto"/>
            <w:sz w:val="20"/>
            <w:szCs w:val="20"/>
            <w:lang w:val="en-GB"/>
          </w:rPr>
          <w:t>https://scholar.google.com/scholar?hl=en&amp;as_sdt=0%2C5&amp;q=%22Payne%2C+G.%2C+Durand-Lasserve%2C+A.%2C+%26+Rakodi%2C+C.+%282009%29.+The+limits+of+land+titling+and+home+ownership.+Environment+and+Urbanization%2C+21%282%29%2C+443%E2%80%93462.%22&amp;btnG</w:t>
        </w:r>
      </w:hyperlink>
    </w:p>
    <w:p w14:paraId="77792C71" w14:textId="1A077AFB" w:rsidR="00646DF4" w:rsidRPr="008B2C29" w:rsidRDefault="00F60A8D"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Quaye, B. A. (2020). </w:t>
      </w:r>
      <w:r w:rsidRPr="008B2C29">
        <w:rPr>
          <w:rFonts w:ascii="Arial" w:hAnsi="Arial" w:cs="Arial"/>
          <w:i/>
          <w:iCs/>
          <w:color w:val="auto"/>
          <w:sz w:val="20"/>
          <w:szCs w:val="20"/>
          <w:lang w:val="en-GB"/>
        </w:rPr>
        <w:t>Factors impacting on effective implementation of land title registration – a perspective from Ghana</w:t>
      </w:r>
      <w:r w:rsidRPr="008B2C29">
        <w:rPr>
          <w:rFonts w:ascii="Arial" w:hAnsi="Arial" w:cs="Arial"/>
          <w:color w:val="auto"/>
          <w:sz w:val="20"/>
          <w:szCs w:val="20"/>
          <w:lang w:val="en-GB"/>
        </w:rPr>
        <w:t xml:space="preserve">. </w:t>
      </w:r>
      <w:r w:rsidRPr="008B2C29">
        <w:rPr>
          <w:rFonts w:ascii="Arial" w:hAnsi="Arial" w:cs="Arial"/>
          <w:i/>
          <w:iCs/>
          <w:color w:val="auto"/>
          <w:sz w:val="20"/>
          <w:szCs w:val="20"/>
          <w:lang w:val="en-GB"/>
        </w:rPr>
        <w:t>Journal of Planning and Land Management, 1</w:t>
      </w:r>
      <w:r w:rsidRPr="008B2C29">
        <w:rPr>
          <w:rFonts w:ascii="Arial" w:hAnsi="Arial" w:cs="Arial"/>
          <w:color w:val="auto"/>
          <w:sz w:val="20"/>
          <w:szCs w:val="20"/>
          <w:lang w:val="en-GB"/>
        </w:rPr>
        <w:t>(2), 1–20</w:t>
      </w:r>
      <w:r w:rsidR="00646DF4" w:rsidRPr="008B2C29">
        <w:rPr>
          <w:rFonts w:ascii="Arial" w:hAnsi="Arial" w:cs="Arial"/>
          <w:color w:val="auto"/>
          <w:sz w:val="20"/>
          <w:szCs w:val="20"/>
          <w:lang w:val="en-GB"/>
        </w:rPr>
        <w:t>.</w:t>
      </w:r>
      <w:r w:rsidRPr="008B2C29">
        <w:rPr>
          <w:rFonts w:ascii="Arial" w:hAnsi="Arial" w:cs="Arial"/>
          <w:color w:val="auto"/>
          <w:sz w:val="20"/>
          <w:szCs w:val="20"/>
          <w:lang w:val="en-GB"/>
        </w:rPr>
        <w:t xml:space="preserve"> </w:t>
      </w:r>
      <w:hyperlink r:id="rId39" w:history="1">
        <w:r w:rsidRPr="008B2C29">
          <w:rPr>
            <w:rStyle w:val="Hyperlink"/>
            <w:rFonts w:ascii="Arial" w:hAnsi="Arial" w:cs="Arial"/>
            <w:color w:val="auto"/>
            <w:sz w:val="20"/>
            <w:szCs w:val="20"/>
            <w:lang w:val="en-GB"/>
          </w:rPr>
          <w:t>https://fplm.ubids.edu.gh/journal/index.php/jplm/article/download/25/12</w:t>
        </w:r>
      </w:hyperlink>
      <w:r w:rsidRPr="008B2C29">
        <w:rPr>
          <w:rFonts w:ascii="Arial" w:hAnsi="Arial" w:cs="Arial"/>
          <w:color w:val="auto"/>
          <w:sz w:val="20"/>
          <w:szCs w:val="20"/>
          <w:lang w:val="en-GB"/>
        </w:rPr>
        <w:t xml:space="preserve">. </w:t>
      </w:r>
    </w:p>
    <w:p w14:paraId="3D074AF6" w14:textId="77777777" w:rsidR="00066BA2"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rPr>
      </w:pPr>
      <w:proofErr w:type="spellStart"/>
      <w:r w:rsidRPr="008B2C29">
        <w:rPr>
          <w:rFonts w:ascii="Arial" w:hAnsi="Arial" w:cs="Arial"/>
          <w:color w:val="auto"/>
          <w:sz w:val="20"/>
          <w:szCs w:val="20"/>
          <w:lang w:val="en-GB"/>
        </w:rPr>
        <w:t>Singirankabo</w:t>
      </w:r>
      <w:proofErr w:type="spellEnd"/>
      <w:r w:rsidRPr="008B2C29">
        <w:rPr>
          <w:rFonts w:ascii="Arial" w:hAnsi="Arial" w:cs="Arial"/>
          <w:color w:val="auto"/>
          <w:sz w:val="20"/>
          <w:szCs w:val="20"/>
          <w:lang w:val="en-GB"/>
        </w:rPr>
        <w:t xml:space="preserve">, U. A., &amp; Ertsen, M. W. (2020). Relations between land tenure security and agricultural productivity: Exploring the effect of land registration. </w:t>
      </w:r>
      <w:r w:rsidRPr="008B2C29">
        <w:rPr>
          <w:rFonts w:ascii="Arial" w:eastAsiaTheme="majorEastAsia" w:hAnsi="Arial" w:cs="Arial"/>
          <w:i/>
          <w:iCs/>
          <w:color w:val="auto"/>
          <w:sz w:val="20"/>
          <w:szCs w:val="20"/>
          <w:lang w:val="en-GB"/>
        </w:rPr>
        <w:t>Land</w:t>
      </w:r>
      <w:r w:rsidRPr="008B2C29">
        <w:rPr>
          <w:rFonts w:ascii="Arial" w:hAnsi="Arial" w:cs="Arial"/>
          <w:color w:val="auto"/>
          <w:sz w:val="20"/>
          <w:szCs w:val="20"/>
          <w:lang w:val="en-GB"/>
        </w:rPr>
        <w:t xml:space="preserve">, 9(5), 138. </w:t>
      </w:r>
      <w:hyperlink r:id="rId40" w:history="1">
        <w:r w:rsidRPr="008B2C29">
          <w:rPr>
            <w:rStyle w:val="Hyperlink"/>
            <w:rFonts w:ascii="Arial" w:eastAsiaTheme="majorEastAsia" w:hAnsi="Arial" w:cs="Arial"/>
            <w:color w:val="auto"/>
            <w:sz w:val="20"/>
            <w:szCs w:val="20"/>
            <w:lang w:val="en-GB"/>
          </w:rPr>
          <w:t>https://doi.org/10.3390/land9050138</w:t>
        </w:r>
      </w:hyperlink>
    </w:p>
    <w:p w14:paraId="617599CD" w14:textId="4A78254D" w:rsidR="00066BA2" w:rsidRPr="008B2C29" w:rsidRDefault="00066BA2"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bCs/>
          <w:color w:val="auto"/>
          <w:sz w:val="20"/>
          <w:szCs w:val="20"/>
        </w:rPr>
        <w:t>Songsore</w:t>
      </w:r>
      <w:proofErr w:type="spellEnd"/>
      <w:r w:rsidRPr="008B2C29">
        <w:rPr>
          <w:rFonts w:ascii="Arial" w:hAnsi="Arial" w:cs="Arial"/>
          <w:bCs/>
          <w:color w:val="auto"/>
          <w:sz w:val="20"/>
          <w:szCs w:val="20"/>
        </w:rPr>
        <w:t xml:space="preserve">, J. (2003). </w:t>
      </w:r>
      <w:r w:rsidRPr="008B2C29">
        <w:rPr>
          <w:rFonts w:ascii="Arial" w:hAnsi="Arial" w:cs="Arial"/>
          <w:bCs/>
          <w:i/>
          <w:iCs/>
          <w:color w:val="auto"/>
          <w:sz w:val="20"/>
          <w:szCs w:val="20"/>
        </w:rPr>
        <w:t>Regional development in Ghana: The theory and the reality</w:t>
      </w:r>
      <w:r w:rsidRPr="008B2C29">
        <w:rPr>
          <w:rFonts w:ascii="Arial" w:hAnsi="Arial" w:cs="Arial"/>
          <w:bCs/>
          <w:color w:val="auto"/>
          <w:sz w:val="20"/>
          <w:szCs w:val="20"/>
        </w:rPr>
        <w:t>. Woeli Publishing Services.</w:t>
      </w:r>
      <w:r w:rsidR="00F60A8D" w:rsidRPr="008B2C29">
        <w:rPr>
          <w:rFonts w:ascii="Arial" w:hAnsi="Arial" w:cs="Arial"/>
          <w:bCs/>
          <w:color w:val="auto"/>
          <w:sz w:val="20"/>
          <w:szCs w:val="20"/>
        </w:rPr>
        <w:t xml:space="preserve"> </w:t>
      </w:r>
      <w:hyperlink r:id="rId41" w:history="1">
        <w:r w:rsidR="00F60A8D" w:rsidRPr="008B2C29">
          <w:rPr>
            <w:rStyle w:val="Hyperlink"/>
            <w:rFonts w:ascii="Arial" w:hAnsi="Arial" w:cs="Arial"/>
            <w:bCs/>
            <w:color w:val="auto"/>
            <w:sz w:val="20"/>
            <w:szCs w:val="20"/>
            <w:lang w:val="en-GB"/>
          </w:rPr>
          <w:t>https://scholar.google.com/scholar?hl=en&amp;as_sdt=0%2C5&amp;q=%22Songsore%2C+J.+%282003%29.+Regional+development+in+Ghana%3A+The+theory+and+the+reality.+Woeli+Publishing+Services.%22&amp;btnG</w:t>
        </w:r>
      </w:hyperlink>
    </w:p>
    <w:p w14:paraId="4ADF8FC5" w14:textId="65FB3B9A"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Toulmin, C. (2009). </w:t>
      </w:r>
      <w:r w:rsidRPr="008B2C29">
        <w:rPr>
          <w:rFonts w:ascii="Arial" w:hAnsi="Arial" w:cs="Arial"/>
          <w:i/>
          <w:iCs/>
          <w:color w:val="auto"/>
          <w:sz w:val="20"/>
          <w:szCs w:val="20"/>
          <w:lang w:val="en-GB"/>
        </w:rPr>
        <w:t>Securing land and property rights in sub-Saharan Africa: The role of local institutions</w:t>
      </w:r>
      <w:r w:rsidRPr="008B2C29">
        <w:rPr>
          <w:rFonts w:ascii="Arial" w:hAnsi="Arial" w:cs="Arial"/>
          <w:color w:val="auto"/>
          <w:sz w:val="20"/>
          <w:szCs w:val="20"/>
          <w:lang w:val="en-GB"/>
        </w:rPr>
        <w:t>. Land Use Policy, 26(1), 10–19.</w:t>
      </w:r>
      <w:r w:rsidR="00F60A8D" w:rsidRPr="008B2C29">
        <w:rPr>
          <w:rFonts w:ascii="Arial" w:hAnsi="Arial" w:cs="Arial"/>
          <w:color w:val="auto"/>
          <w:sz w:val="20"/>
          <w:szCs w:val="20"/>
          <w:lang w:val="en-GB"/>
        </w:rPr>
        <w:t xml:space="preserve"> </w:t>
      </w:r>
      <w:hyperlink r:id="rId42" w:history="1">
        <w:r w:rsidR="00F60A8D" w:rsidRPr="008B2C29">
          <w:rPr>
            <w:rStyle w:val="Hyperlink"/>
            <w:rFonts w:ascii="Arial" w:hAnsi="Arial" w:cs="Arial"/>
            <w:color w:val="auto"/>
            <w:sz w:val="20"/>
            <w:szCs w:val="20"/>
            <w:lang w:val="en-GB"/>
          </w:rPr>
          <w:t>https://scholar.google.com/scholar?hl=en&amp;as_sdt=0%2C5&amp;q=%22Toulmin%2C+C.+%282009%29.+Securing+land+and+property+rights+in+sub-Saharan+Africa%3A+The+role+of+local+institutions.+Land+Use+Policy%2C+26%281%29%2C+10%E2%80%9319.%22&amp;btnG</w:t>
        </w:r>
      </w:hyperlink>
    </w:p>
    <w:p w14:paraId="7D9B5792" w14:textId="7DE7AB9C" w:rsidR="00646DF4" w:rsidRPr="008B2C29" w:rsidRDefault="00B37003"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Ubink</w:t>
      </w:r>
      <w:proofErr w:type="spellEnd"/>
      <w:r w:rsidR="00646DF4" w:rsidRPr="008B2C29">
        <w:rPr>
          <w:rFonts w:ascii="Arial" w:hAnsi="Arial" w:cs="Arial"/>
          <w:color w:val="auto"/>
          <w:sz w:val="20"/>
          <w:szCs w:val="20"/>
          <w:lang w:val="en-GB"/>
        </w:rPr>
        <w:t xml:space="preserve">, J. M. (2007). Tenure security: Wishful policy thinking or reality? A case from peri-urban Ghana. </w:t>
      </w:r>
      <w:r w:rsidR="00646DF4" w:rsidRPr="008B2C29">
        <w:rPr>
          <w:rFonts w:ascii="Arial" w:eastAsiaTheme="majorEastAsia" w:hAnsi="Arial" w:cs="Arial"/>
          <w:i/>
          <w:iCs/>
          <w:color w:val="auto"/>
          <w:sz w:val="20"/>
          <w:szCs w:val="20"/>
          <w:lang w:val="en-GB"/>
        </w:rPr>
        <w:t>Journal of African Law</w:t>
      </w:r>
      <w:r w:rsidR="00646DF4" w:rsidRPr="008B2C29">
        <w:rPr>
          <w:rFonts w:ascii="Arial" w:hAnsi="Arial" w:cs="Arial"/>
          <w:color w:val="auto"/>
          <w:sz w:val="20"/>
          <w:szCs w:val="20"/>
          <w:lang w:val="en-GB"/>
        </w:rPr>
        <w:t xml:space="preserve">, 51(2), 215–248. </w:t>
      </w:r>
      <w:hyperlink r:id="rId43" w:history="1">
        <w:r w:rsidR="00646DF4" w:rsidRPr="008B2C29">
          <w:rPr>
            <w:rStyle w:val="Hyperlink"/>
            <w:rFonts w:ascii="Arial" w:eastAsiaTheme="majorEastAsia" w:hAnsi="Arial" w:cs="Arial"/>
            <w:color w:val="auto"/>
            <w:sz w:val="20"/>
            <w:szCs w:val="20"/>
            <w:lang w:val="en-GB"/>
          </w:rPr>
          <w:t>https://doi.org/10.1017/S0021855307000182</w:t>
        </w:r>
      </w:hyperlink>
    </w:p>
    <w:p w14:paraId="4A307B4D" w14:textId="5C5C99D0" w:rsidR="008C1F96"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Ubink</w:t>
      </w:r>
      <w:proofErr w:type="spellEnd"/>
      <w:r w:rsidRPr="008B2C29">
        <w:rPr>
          <w:rFonts w:ascii="Arial" w:hAnsi="Arial" w:cs="Arial"/>
          <w:color w:val="auto"/>
          <w:sz w:val="20"/>
          <w:szCs w:val="20"/>
          <w:lang w:val="en-GB"/>
        </w:rPr>
        <w:t xml:space="preserve">, J. M. (2008). </w:t>
      </w:r>
      <w:r w:rsidRPr="008B2C29">
        <w:rPr>
          <w:rFonts w:ascii="Arial" w:hAnsi="Arial" w:cs="Arial"/>
          <w:i/>
          <w:iCs/>
          <w:color w:val="auto"/>
          <w:sz w:val="20"/>
          <w:szCs w:val="20"/>
          <w:lang w:val="en-GB"/>
        </w:rPr>
        <w:t>In the land of the chiefs: Customary law, land conflicts, and the role of the state in peri-urban Ghana</w:t>
      </w:r>
      <w:r w:rsidRPr="008B2C29">
        <w:rPr>
          <w:rFonts w:ascii="Arial" w:hAnsi="Arial" w:cs="Arial"/>
          <w:color w:val="auto"/>
          <w:sz w:val="20"/>
          <w:szCs w:val="20"/>
          <w:lang w:val="en-GB"/>
        </w:rPr>
        <w:t>. Leiden University Press.</w:t>
      </w:r>
      <w:r w:rsidR="00F60A8D" w:rsidRPr="008B2C29">
        <w:rPr>
          <w:rFonts w:ascii="Arial" w:hAnsi="Arial" w:cs="Arial"/>
          <w:color w:val="auto"/>
          <w:sz w:val="20"/>
          <w:szCs w:val="20"/>
          <w:lang w:val="en-GB"/>
        </w:rPr>
        <w:t xml:space="preserve"> </w:t>
      </w:r>
      <w:hyperlink r:id="rId44" w:history="1">
        <w:r w:rsidR="00F60A8D" w:rsidRPr="008B2C29">
          <w:rPr>
            <w:rStyle w:val="Hyperlink"/>
            <w:rFonts w:ascii="Arial" w:hAnsi="Arial" w:cs="Arial"/>
            <w:color w:val="auto"/>
            <w:sz w:val="20"/>
            <w:szCs w:val="20"/>
            <w:lang w:val="en-GB"/>
          </w:rPr>
          <w:t>https://scholar.google.com/scholar?hl=en&amp;as_sdt=0%2C5&amp;q=%22Ubink%2C+J.+M.+%282008%29.+In+the+land+of+the+chiefs%3A+Customary+law%2C+land+conflicts%2C+and+the+role+of+the+state+in+peri-urban+Ghana.+Leiden+University+Press.%22&amp;btnG</w:t>
        </w:r>
      </w:hyperlink>
    </w:p>
    <w:p w14:paraId="51E3957E" w14:textId="106EBAC4" w:rsidR="00646DF4" w:rsidRPr="008B2C29" w:rsidRDefault="00646DF4" w:rsidP="00064BF5">
      <w:pPr>
        <w:pStyle w:val="ListParagraph1"/>
        <w:numPr>
          <w:ilvl w:val="0"/>
          <w:numId w:val="5"/>
        </w:numPr>
        <w:spacing w:after="891" w:line="276" w:lineRule="auto"/>
        <w:ind w:right="136"/>
        <w:jc w:val="both"/>
        <w:rPr>
          <w:rFonts w:ascii="Arial" w:hAnsi="Arial" w:cs="Arial"/>
          <w:color w:val="auto"/>
          <w:sz w:val="20"/>
          <w:szCs w:val="20"/>
          <w:lang w:val="en-GB"/>
        </w:rPr>
      </w:pPr>
      <w:proofErr w:type="spellStart"/>
      <w:r w:rsidRPr="008B2C29">
        <w:rPr>
          <w:rFonts w:ascii="Arial" w:hAnsi="Arial" w:cs="Arial"/>
          <w:color w:val="auto"/>
          <w:sz w:val="20"/>
          <w:szCs w:val="20"/>
          <w:lang w:val="en-GB"/>
        </w:rPr>
        <w:t>Ubink</w:t>
      </w:r>
      <w:proofErr w:type="spellEnd"/>
      <w:r w:rsidRPr="008B2C29">
        <w:rPr>
          <w:rFonts w:ascii="Arial" w:hAnsi="Arial" w:cs="Arial"/>
          <w:color w:val="auto"/>
          <w:sz w:val="20"/>
          <w:szCs w:val="20"/>
          <w:lang w:val="en-GB"/>
        </w:rPr>
        <w:t xml:space="preserve">, J. M., Hoekema, A., &amp; Assies, W. (2009). </w:t>
      </w:r>
      <w:r w:rsidRPr="008B2C29">
        <w:rPr>
          <w:rFonts w:ascii="Arial" w:eastAsiaTheme="majorEastAsia" w:hAnsi="Arial" w:cs="Arial"/>
          <w:i/>
          <w:iCs/>
          <w:color w:val="auto"/>
          <w:sz w:val="20"/>
          <w:szCs w:val="20"/>
          <w:lang w:val="en-GB"/>
        </w:rPr>
        <w:t>Legalising land rights: Local practices, state responses and tenure security in Africa, Asia and Latin America</w:t>
      </w:r>
      <w:r w:rsidRPr="008B2C29">
        <w:rPr>
          <w:rFonts w:ascii="Arial" w:hAnsi="Arial" w:cs="Arial"/>
          <w:color w:val="auto"/>
          <w:sz w:val="20"/>
          <w:szCs w:val="20"/>
          <w:lang w:val="en-GB"/>
        </w:rPr>
        <w:t>. Leiden University Press.</w:t>
      </w:r>
      <w:r w:rsidR="009B2621" w:rsidRPr="008B2C29">
        <w:rPr>
          <w:rFonts w:ascii="Arial" w:hAnsi="Arial" w:cs="Arial"/>
          <w:color w:val="auto"/>
          <w:sz w:val="20"/>
          <w:szCs w:val="20"/>
          <w:lang w:val="en-GB"/>
        </w:rPr>
        <w:t xml:space="preserve"> </w:t>
      </w:r>
      <w:hyperlink r:id="rId45" w:history="1">
        <w:r w:rsidR="009B2621" w:rsidRPr="008B2C29">
          <w:rPr>
            <w:rStyle w:val="Hyperlink"/>
            <w:rFonts w:ascii="Arial" w:hAnsi="Arial" w:cs="Arial"/>
            <w:color w:val="auto"/>
            <w:sz w:val="20"/>
            <w:szCs w:val="20"/>
            <w:lang w:val="en-GB"/>
          </w:rPr>
          <w:t>https://scholar.google.com/scholar?hl=en&amp;as_sdt=0%2C5&amp;q=%22Ubink%2C+J.+M.%2C+Hoekema%2C+A.%2C+%26+Assies%2C+W.+%282009%29.+Legalising+land+rights%3A+Local+practices%2C+state+responses+and+tenure+security+in+Africa%2C+Asia+and+Latin+America.+Leiden+University+Press.%22&amp;btnG</w:t>
        </w:r>
      </w:hyperlink>
    </w:p>
    <w:p w14:paraId="5EBE7B61" w14:textId="00B46C00" w:rsidR="009B2621" w:rsidRPr="008B2C29" w:rsidRDefault="009B2621" w:rsidP="00064BF5">
      <w:pPr>
        <w:pStyle w:val="ListParagraph1"/>
        <w:numPr>
          <w:ilvl w:val="0"/>
          <w:numId w:val="5"/>
        </w:numPr>
        <w:spacing w:after="891" w:line="276" w:lineRule="auto"/>
        <w:ind w:right="136"/>
        <w:jc w:val="both"/>
        <w:rPr>
          <w:rFonts w:ascii="Arial" w:hAnsi="Arial" w:cs="Arial"/>
          <w:color w:val="auto"/>
          <w:sz w:val="20"/>
          <w:szCs w:val="20"/>
          <w:highlight w:val="cyan"/>
          <w:lang w:val="en-GB"/>
        </w:rPr>
      </w:pPr>
      <w:r w:rsidRPr="008B2C29">
        <w:rPr>
          <w:rFonts w:ascii="Arial" w:hAnsi="Arial" w:cs="Arial"/>
          <w:color w:val="auto"/>
          <w:sz w:val="20"/>
          <w:szCs w:val="20"/>
          <w:highlight w:val="cyan"/>
          <w:lang w:val="en-GB"/>
        </w:rPr>
        <w:lastRenderedPageBreak/>
        <w:t xml:space="preserve">United Nations Department of Economic and Social Affairs, Population Division. (2024). </w:t>
      </w:r>
      <w:r w:rsidRPr="008B2C29">
        <w:rPr>
          <w:rFonts w:ascii="Arial" w:hAnsi="Arial" w:cs="Arial"/>
          <w:i/>
          <w:iCs/>
          <w:color w:val="auto"/>
          <w:sz w:val="20"/>
          <w:szCs w:val="20"/>
          <w:highlight w:val="cyan"/>
          <w:lang w:val="en-GB"/>
        </w:rPr>
        <w:t>World Urbanization Prospects: The 2024 Revision</w:t>
      </w:r>
      <w:r w:rsidRPr="008B2C29">
        <w:rPr>
          <w:rFonts w:ascii="Arial" w:hAnsi="Arial" w:cs="Arial"/>
          <w:color w:val="auto"/>
          <w:sz w:val="20"/>
          <w:szCs w:val="20"/>
          <w:highlight w:val="cyan"/>
          <w:lang w:val="en-GB"/>
        </w:rPr>
        <w:t xml:space="preserve">. </w:t>
      </w:r>
      <w:hyperlink r:id="rId46" w:history="1">
        <w:r w:rsidRPr="008B2C29">
          <w:rPr>
            <w:rStyle w:val="Hyperlink"/>
            <w:rFonts w:ascii="Arial" w:hAnsi="Arial" w:cs="Arial"/>
            <w:color w:val="auto"/>
            <w:sz w:val="20"/>
            <w:szCs w:val="20"/>
            <w:highlight w:val="cyan"/>
            <w:lang w:val="en-GB"/>
          </w:rPr>
          <w:t>https://population.un.org/wup/</w:t>
        </w:r>
      </w:hyperlink>
      <w:r w:rsidRPr="008B2C29">
        <w:rPr>
          <w:rFonts w:ascii="Arial" w:hAnsi="Arial" w:cs="Arial"/>
          <w:color w:val="auto"/>
          <w:sz w:val="20"/>
          <w:szCs w:val="20"/>
          <w:highlight w:val="cyan"/>
          <w:lang w:val="en-GB"/>
        </w:rPr>
        <w:t xml:space="preserve">. </w:t>
      </w:r>
    </w:p>
    <w:p w14:paraId="50D6D4FF" w14:textId="53CCCF90" w:rsidR="009B2621" w:rsidRPr="008B2C29" w:rsidRDefault="009B2621"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color w:val="auto"/>
          <w:sz w:val="20"/>
          <w:szCs w:val="20"/>
          <w:lang w:val="en-GB"/>
        </w:rPr>
        <w:t xml:space="preserve">Yami, M., &amp; Snyder, K. A. (2016). </w:t>
      </w:r>
      <w:r w:rsidRPr="008B2C29">
        <w:rPr>
          <w:rFonts w:ascii="Arial" w:hAnsi="Arial" w:cs="Arial"/>
          <w:i/>
          <w:iCs/>
          <w:color w:val="auto"/>
          <w:sz w:val="20"/>
          <w:szCs w:val="20"/>
          <w:lang w:val="en-GB"/>
        </w:rPr>
        <w:t>After all, land belongs to the state: Examining the benefits of land registration for smallholders in Ethiopia</w:t>
      </w:r>
      <w:r w:rsidRPr="008B2C29">
        <w:rPr>
          <w:rFonts w:ascii="Arial" w:hAnsi="Arial" w:cs="Arial"/>
          <w:color w:val="auto"/>
          <w:sz w:val="20"/>
          <w:szCs w:val="20"/>
          <w:lang w:val="en-GB"/>
        </w:rPr>
        <w:t xml:space="preserve">. </w:t>
      </w:r>
      <w:r w:rsidRPr="008B2C29">
        <w:rPr>
          <w:rFonts w:ascii="Arial" w:hAnsi="Arial" w:cs="Arial"/>
          <w:i/>
          <w:iCs/>
          <w:color w:val="auto"/>
          <w:sz w:val="20"/>
          <w:szCs w:val="20"/>
          <w:lang w:val="en-GB"/>
        </w:rPr>
        <w:t>Land Degradation &amp; Development, 27</w:t>
      </w:r>
      <w:r w:rsidRPr="008B2C29">
        <w:rPr>
          <w:rFonts w:ascii="Arial" w:hAnsi="Arial" w:cs="Arial"/>
          <w:color w:val="auto"/>
          <w:sz w:val="20"/>
          <w:szCs w:val="20"/>
          <w:lang w:val="en-GB"/>
        </w:rPr>
        <w:t xml:space="preserve">(3), 465–478. </w:t>
      </w:r>
      <w:hyperlink r:id="rId47" w:history="1">
        <w:r w:rsidRPr="008B2C29">
          <w:rPr>
            <w:rStyle w:val="Hyperlink"/>
            <w:rFonts w:ascii="Arial" w:hAnsi="Arial" w:cs="Arial"/>
            <w:color w:val="auto"/>
            <w:sz w:val="20"/>
            <w:szCs w:val="20"/>
            <w:lang w:val="en-GB"/>
          </w:rPr>
          <w:t>https://doi.org/10.1002/ldr.2371</w:t>
        </w:r>
      </w:hyperlink>
    </w:p>
    <w:p w14:paraId="6ABE1DEC" w14:textId="38091E29" w:rsidR="00066BA2" w:rsidRPr="008B2C29" w:rsidRDefault="00066BA2" w:rsidP="00064BF5">
      <w:pPr>
        <w:pStyle w:val="ListParagraph1"/>
        <w:numPr>
          <w:ilvl w:val="0"/>
          <w:numId w:val="5"/>
        </w:numPr>
        <w:spacing w:after="891" w:line="276" w:lineRule="auto"/>
        <w:ind w:right="136"/>
        <w:jc w:val="both"/>
        <w:rPr>
          <w:rFonts w:ascii="Arial" w:hAnsi="Arial" w:cs="Arial"/>
          <w:color w:val="auto"/>
          <w:sz w:val="20"/>
          <w:szCs w:val="20"/>
          <w:lang w:val="en-GB"/>
        </w:rPr>
      </w:pPr>
      <w:r w:rsidRPr="008B2C29">
        <w:rPr>
          <w:rFonts w:ascii="Arial" w:hAnsi="Arial" w:cs="Arial"/>
          <w:bCs/>
          <w:color w:val="auto"/>
          <w:sz w:val="20"/>
          <w:szCs w:val="20"/>
        </w:rPr>
        <w:t xml:space="preserve">Yeboah, E., &amp; Shaw, D. (2013). </w:t>
      </w:r>
      <w:r w:rsidRPr="008B2C29">
        <w:rPr>
          <w:rFonts w:ascii="Arial" w:hAnsi="Arial" w:cs="Arial"/>
          <w:bCs/>
          <w:i/>
          <w:iCs/>
          <w:color w:val="auto"/>
          <w:sz w:val="20"/>
          <w:szCs w:val="20"/>
        </w:rPr>
        <w:t>Customary land tenure practices in Ghana: Examining the relationship with land use planning delivery</w:t>
      </w:r>
      <w:r w:rsidRPr="008B2C29">
        <w:rPr>
          <w:rFonts w:ascii="Arial" w:hAnsi="Arial" w:cs="Arial"/>
          <w:bCs/>
          <w:color w:val="auto"/>
          <w:sz w:val="20"/>
          <w:szCs w:val="20"/>
        </w:rPr>
        <w:t xml:space="preserve">. </w:t>
      </w:r>
      <w:r w:rsidRPr="008B2C29">
        <w:rPr>
          <w:rFonts w:ascii="Arial" w:hAnsi="Arial" w:cs="Arial"/>
          <w:bCs/>
          <w:i/>
          <w:iCs/>
          <w:color w:val="auto"/>
          <w:sz w:val="20"/>
          <w:szCs w:val="20"/>
        </w:rPr>
        <w:t>International Development Planning Review</w:t>
      </w:r>
      <w:r w:rsidRPr="008B2C29">
        <w:rPr>
          <w:rFonts w:ascii="Arial" w:hAnsi="Arial" w:cs="Arial"/>
          <w:bCs/>
          <w:color w:val="auto"/>
          <w:sz w:val="20"/>
          <w:szCs w:val="20"/>
        </w:rPr>
        <w:t xml:space="preserve">, 35(1), 21–39. </w:t>
      </w:r>
      <w:hyperlink r:id="rId48" w:history="1">
        <w:r w:rsidRPr="008B2C29">
          <w:rPr>
            <w:rStyle w:val="Hyperlink"/>
            <w:rFonts w:ascii="Arial" w:hAnsi="Arial" w:cs="Arial"/>
            <w:bCs/>
            <w:color w:val="auto"/>
            <w:sz w:val="20"/>
            <w:szCs w:val="20"/>
          </w:rPr>
          <w:t>http://dx.doi.org/10.3828/idpr.2013.3</w:t>
        </w:r>
      </w:hyperlink>
      <w:r w:rsidRPr="008B2C29">
        <w:rPr>
          <w:rFonts w:ascii="Arial" w:hAnsi="Arial" w:cs="Arial"/>
          <w:bCs/>
          <w:color w:val="auto"/>
          <w:sz w:val="20"/>
          <w:szCs w:val="20"/>
        </w:rPr>
        <w:t xml:space="preserve">. </w:t>
      </w:r>
    </w:p>
    <w:p w14:paraId="493507D4" w14:textId="53E85D84" w:rsidR="00D46B17" w:rsidRPr="008B2C29" w:rsidRDefault="00646DF4" w:rsidP="00AE7EAE">
      <w:pPr>
        <w:pStyle w:val="ListParagraph1"/>
        <w:numPr>
          <w:ilvl w:val="0"/>
          <w:numId w:val="5"/>
        </w:numPr>
        <w:spacing w:after="891" w:line="276" w:lineRule="auto"/>
        <w:ind w:left="993" w:right="136" w:hanging="993"/>
        <w:jc w:val="both"/>
        <w:rPr>
          <w:rFonts w:ascii="Arial" w:hAnsi="Arial" w:cs="Arial"/>
          <w:color w:val="auto"/>
          <w:sz w:val="20"/>
          <w:szCs w:val="20"/>
          <w:lang w:val="en-GB"/>
        </w:rPr>
      </w:pPr>
      <w:r w:rsidRPr="008B2C29">
        <w:rPr>
          <w:rFonts w:ascii="Arial" w:hAnsi="Arial" w:cs="Arial"/>
          <w:color w:val="auto"/>
          <w:sz w:val="20"/>
          <w:szCs w:val="20"/>
          <w:lang w:val="en-GB"/>
        </w:rPr>
        <w:t xml:space="preserve">Zevenbergen, J., Augustinus, C., Antonio, D., &amp; Bennett, R. (2013). </w:t>
      </w:r>
      <w:r w:rsidRPr="008B2C29">
        <w:rPr>
          <w:rFonts w:ascii="Arial" w:hAnsi="Arial" w:cs="Arial"/>
          <w:i/>
          <w:iCs/>
          <w:color w:val="auto"/>
          <w:sz w:val="20"/>
          <w:szCs w:val="20"/>
          <w:lang w:val="en-GB"/>
        </w:rPr>
        <w:t>Pro-poor land administration: Principles for recording the land rights of the underrepresented</w:t>
      </w:r>
      <w:r w:rsidRPr="008B2C29">
        <w:rPr>
          <w:rFonts w:ascii="Arial" w:hAnsi="Arial" w:cs="Arial"/>
          <w:color w:val="auto"/>
          <w:sz w:val="20"/>
          <w:szCs w:val="20"/>
          <w:lang w:val="en-GB"/>
        </w:rPr>
        <w:t>. Land Use Policy, 31, 595–604.</w:t>
      </w:r>
      <w:r w:rsidR="009B2621" w:rsidRPr="008B2C29">
        <w:rPr>
          <w:rFonts w:ascii="Arial" w:hAnsi="Arial" w:cs="Arial"/>
          <w:color w:val="auto"/>
          <w:sz w:val="20"/>
          <w:szCs w:val="20"/>
          <w:lang w:val="en-GB"/>
        </w:rPr>
        <w:t xml:space="preserve"> </w:t>
      </w:r>
    </w:p>
    <w:p w14:paraId="712F048D" w14:textId="77777777" w:rsidR="00D46B17" w:rsidRPr="008B2C29" w:rsidRDefault="00D46B17" w:rsidP="002C7DB3">
      <w:pPr>
        <w:pStyle w:val="ListParagraph1"/>
        <w:spacing w:after="891" w:line="276" w:lineRule="auto"/>
        <w:ind w:left="993" w:right="136" w:hanging="993"/>
        <w:jc w:val="both"/>
        <w:rPr>
          <w:rFonts w:ascii="Arial" w:hAnsi="Arial" w:cs="Arial"/>
          <w:color w:val="auto"/>
          <w:sz w:val="20"/>
          <w:szCs w:val="20"/>
          <w:lang w:val="en-GB"/>
        </w:rPr>
      </w:pPr>
    </w:p>
    <w:bookmarkEnd w:id="0"/>
    <w:p w14:paraId="147B88A0" w14:textId="77777777" w:rsidR="00D46B17" w:rsidRPr="008B2C29" w:rsidRDefault="00D46B17" w:rsidP="002C7DB3">
      <w:pPr>
        <w:pStyle w:val="ListParagraph1"/>
        <w:spacing w:after="891" w:line="276" w:lineRule="auto"/>
        <w:ind w:left="993" w:right="136" w:hanging="993"/>
        <w:jc w:val="both"/>
        <w:rPr>
          <w:rFonts w:ascii="Arial" w:hAnsi="Arial" w:cs="Arial"/>
          <w:color w:val="auto"/>
          <w:sz w:val="20"/>
          <w:szCs w:val="20"/>
          <w:lang w:val="en-GB"/>
        </w:rPr>
      </w:pPr>
    </w:p>
    <w:sectPr w:rsidR="00D46B17" w:rsidRPr="008B2C29" w:rsidSect="00EA2AE9">
      <w:headerReference w:type="even" r:id="rId49"/>
      <w:headerReference w:type="default" r:id="rId50"/>
      <w:footerReference w:type="even" r:id="rId51"/>
      <w:footerReference w:type="default" r:id="rId52"/>
      <w:headerReference w:type="first" r:id="rId53"/>
      <w:footerReference w:type="first" r:id="rId5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6C6A6" w14:textId="77777777" w:rsidR="006472E7" w:rsidRDefault="006472E7" w:rsidP="00B21A63">
      <w:pPr>
        <w:spacing w:before="0" w:after="0" w:line="240" w:lineRule="auto"/>
      </w:pPr>
      <w:r>
        <w:separator/>
      </w:r>
    </w:p>
  </w:endnote>
  <w:endnote w:type="continuationSeparator" w:id="0">
    <w:p w14:paraId="1DAB0AE1" w14:textId="77777777" w:rsidR="006472E7" w:rsidRDefault="006472E7" w:rsidP="00B21A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2A30" w14:textId="77777777" w:rsidR="00B21A63" w:rsidRDefault="00B21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26F7" w14:textId="77777777" w:rsidR="00B21A63" w:rsidRDefault="00B21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CC63" w14:textId="77777777" w:rsidR="00B21A63" w:rsidRDefault="00B2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FA70B" w14:textId="77777777" w:rsidR="006472E7" w:rsidRDefault="006472E7" w:rsidP="00B21A63">
      <w:pPr>
        <w:spacing w:before="0" w:after="0" w:line="240" w:lineRule="auto"/>
      </w:pPr>
      <w:r>
        <w:separator/>
      </w:r>
    </w:p>
  </w:footnote>
  <w:footnote w:type="continuationSeparator" w:id="0">
    <w:p w14:paraId="5CE5224F" w14:textId="77777777" w:rsidR="006472E7" w:rsidRDefault="006472E7" w:rsidP="00B21A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A2F5" w14:textId="46E6B470" w:rsidR="00B21A63" w:rsidRDefault="008B2C29">
    <w:pPr>
      <w:pStyle w:val="Header"/>
    </w:pPr>
    <w:r>
      <w:rPr>
        <w:noProof/>
      </w:rPr>
      <w:pict w14:anchorId="0CC39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6356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CE30" w14:textId="0ACC4D55" w:rsidR="00B21A63" w:rsidRDefault="008B2C29">
    <w:pPr>
      <w:pStyle w:val="Header"/>
    </w:pPr>
    <w:r>
      <w:rPr>
        <w:noProof/>
      </w:rPr>
      <w:pict w14:anchorId="5F563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6356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61BF" w14:textId="46F6D80F" w:rsidR="00B21A63" w:rsidRDefault="008B2C29">
    <w:pPr>
      <w:pStyle w:val="Header"/>
    </w:pPr>
    <w:r>
      <w:rPr>
        <w:noProof/>
      </w:rPr>
      <w:pict w14:anchorId="0D9FC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6356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97"/>
    <w:multiLevelType w:val="multilevel"/>
    <w:tmpl w:val="A2B0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1CB2"/>
    <w:multiLevelType w:val="multilevel"/>
    <w:tmpl w:val="88825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8C3271"/>
    <w:multiLevelType w:val="multilevel"/>
    <w:tmpl w:val="B9A8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E49F5"/>
    <w:multiLevelType w:val="multilevel"/>
    <w:tmpl w:val="FDE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A5A05"/>
    <w:multiLevelType w:val="hybridMultilevel"/>
    <w:tmpl w:val="8B9C65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E9"/>
    <w:rsid w:val="000146CA"/>
    <w:rsid w:val="000159F3"/>
    <w:rsid w:val="00026A38"/>
    <w:rsid w:val="0003358A"/>
    <w:rsid w:val="00053E3B"/>
    <w:rsid w:val="0006081C"/>
    <w:rsid w:val="000623A4"/>
    <w:rsid w:val="00064BF5"/>
    <w:rsid w:val="00066BA2"/>
    <w:rsid w:val="00097DB8"/>
    <w:rsid w:val="000A5ECF"/>
    <w:rsid w:val="000D6589"/>
    <w:rsid w:val="000F4037"/>
    <w:rsid w:val="000F7A4B"/>
    <w:rsid w:val="001048D2"/>
    <w:rsid w:val="00107677"/>
    <w:rsid w:val="00120568"/>
    <w:rsid w:val="00136E49"/>
    <w:rsid w:val="001773C7"/>
    <w:rsid w:val="001778EC"/>
    <w:rsid w:val="00183566"/>
    <w:rsid w:val="001B38B0"/>
    <w:rsid w:val="001C17EB"/>
    <w:rsid w:val="001E083A"/>
    <w:rsid w:val="001F0DC7"/>
    <w:rsid w:val="001F4502"/>
    <w:rsid w:val="00204688"/>
    <w:rsid w:val="0021242F"/>
    <w:rsid w:val="00232104"/>
    <w:rsid w:val="0025480B"/>
    <w:rsid w:val="002722C7"/>
    <w:rsid w:val="00274013"/>
    <w:rsid w:val="002824F0"/>
    <w:rsid w:val="002861AB"/>
    <w:rsid w:val="002A5A12"/>
    <w:rsid w:val="002C4BE9"/>
    <w:rsid w:val="002C7DB3"/>
    <w:rsid w:val="002D00F1"/>
    <w:rsid w:val="002D1DCF"/>
    <w:rsid w:val="002D3A61"/>
    <w:rsid w:val="002E4EA7"/>
    <w:rsid w:val="00302F49"/>
    <w:rsid w:val="00313592"/>
    <w:rsid w:val="00317AF2"/>
    <w:rsid w:val="00367AD8"/>
    <w:rsid w:val="00375CDD"/>
    <w:rsid w:val="003779BE"/>
    <w:rsid w:val="00380228"/>
    <w:rsid w:val="00390B20"/>
    <w:rsid w:val="003926C5"/>
    <w:rsid w:val="00395B91"/>
    <w:rsid w:val="003A1FB1"/>
    <w:rsid w:val="003A4B34"/>
    <w:rsid w:val="003D20EC"/>
    <w:rsid w:val="003E3A2C"/>
    <w:rsid w:val="003F2414"/>
    <w:rsid w:val="00404802"/>
    <w:rsid w:val="004131B7"/>
    <w:rsid w:val="00416798"/>
    <w:rsid w:val="00423B5E"/>
    <w:rsid w:val="00426087"/>
    <w:rsid w:val="00427850"/>
    <w:rsid w:val="00432352"/>
    <w:rsid w:val="00436C04"/>
    <w:rsid w:val="00441A8C"/>
    <w:rsid w:val="00467CF4"/>
    <w:rsid w:val="00470D9F"/>
    <w:rsid w:val="004715AF"/>
    <w:rsid w:val="004761F0"/>
    <w:rsid w:val="004770F7"/>
    <w:rsid w:val="0048733D"/>
    <w:rsid w:val="004A1FB5"/>
    <w:rsid w:val="004A3D22"/>
    <w:rsid w:val="004B3BC5"/>
    <w:rsid w:val="004C050F"/>
    <w:rsid w:val="004C7C47"/>
    <w:rsid w:val="004D2F32"/>
    <w:rsid w:val="004F3A4C"/>
    <w:rsid w:val="00503795"/>
    <w:rsid w:val="0050506A"/>
    <w:rsid w:val="0051029E"/>
    <w:rsid w:val="00510BFA"/>
    <w:rsid w:val="00531F30"/>
    <w:rsid w:val="00532E67"/>
    <w:rsid w:val="005414F8"/>
    <w:rsid w:val="005464F5"/>
    <w:rsid w:val="005504FB"/>
    <w:rsid w:val="005568BD"/>
    <w:rsid w:val="00556C85"/>
    <w:rsid w:val="00557A62"/>
    <w:rsid w:val="00576D52"/>
    <w:rsid w:val="005B6FB4"/>
    <w:rsid w:val="005C72F7"/>
    <w:rsid w:val="005C7A5C"/>
    <w:rsid w:val="005D6D0B"/>
    <w:rsid w:val="00612CDA"/>
    <w:rsid w:val="00646DF4"/>
    <w:rsid w:val="006472E7"/>
    <w:rsid w:val="006474E6"/>
    <w:rsid w:val="006811C1"/>
    <w:rsid w:val="0068621B"/>
    <w:rsid w:val="00693595"/>
    <w:rsid w:val="006B5BF4"/>
    <w:rsid w:val="006C6775"/>
    <w:rsid w:val="006E6720"/>
    <w:rsid w:val="0072638F"/>
    <w:rsid w:val="007538CA"/>
    <w:rsid w:val="007546F9"/>
    <w:rsid w:val="00760D26"/>
    <w:rsid w:val="00770E3F"/>
    <w:rsid w:val="00783F23"/>
    <w:rsid w:val="00787231"/>
    <w:rsid w:val="007976F0"/>
    <w:rsid w:val="007A252D"/>
    <w:rsid w:val="007B4160"/>
    <w:rsid w:val="007B6225"/>
    <w:rsid w:val="007C0359"/>
    <w:rsid w:val="007E64AF"/>
    <w:rsid w:val="007F10F4"/>
    <w:rsid w:val="007F6F86"/>
    <w:rsid w:val="008034DE"/>
    <w:rsid w:val="008248BF"/>
    <w:rsid w:val="00825C25"/>
    <w:rsid w:val="0085205F"/>
    <w:rsid w:val="00856F1E"/>
    <w:rsid w:val="008647FC"/>
    <w:rsid w:val="00886734"/>
    <w:rsid w:val="008B0186"/>
    <w:rsid w:val="008B0BCB"/>
    <w:rsid w:val="008B220F"/>
    <w:rsid w:val="008B231A"/>
    <w:rsid w:val="008B2C29"/>
    <w:rsid w:val="008C1F96"/>
    <w:rsid w:val="008C44D4"/>
    <w:rsid w:val="008E3988"/>
    <w:rsid w:val="008E526A"/>
    <w:rsid w:val="008F4ED8"/>
    <w:rsid w:val="00910133"/>
    <w:rsid w:val="00912101"/>
    <w:rsid w:val="00933223"/>
    <w:rsid w:val="009365FB"/>
    <w:rsid w:val="009512E8"/>
    <w:rsid w:val="00953793"/>
    <w:rsid w:val="0096380A"/>
    <w:rsid w:val="00970D4B"/>
    <w:rsid w:val="00980044"/>
    <w:rsid w:val="009A59CE"/>
    <w:rsid w:val="009B2621"/>
    <w:rsid w:val="009B6024"/>
    <w:rsid w:val="009C27EF"/>
    <w:rsid w:val="009E2B65"/>
    <w:rsid w:val="009E5EE6"/>
    <w:rsid w:val="009E717D"/>
    <w:rsid w:val="00A07714"/>
    <w:rsid w:val="00A130FC"/>
    <w:rsid w:val="00A3275C"/>
    <w:rsid w:val="00A416F6"/>
    <w:rsid w:val="00A5432C"/>
    <w:rsid w:val="00A62F3F"/>
    <w:rsid w:val="00A8240A"/>
    <w:rsid w:val="00AA0E58"/>
    <w:rsid w:val="00AA2CCB"/>
    <w:rsid w:val="00AB2F28"/>
    <w:rsid w:val="00AC5BE0"/>
    <w:rsid w:val="00AD2700"/>
    <w:rsid w:val="00AD68EA"/>
    <w:rsid w:val="00AD743F"/>
    <w:rsid w:val="00AE39F1"/>
    <w:rsid w:val="00AE75B6"/>
    <w:rsid w:val="00AF1F80"/>
    <w:rsid w:val="00AF22A6"/>
    <w:rsid w:val="00B02557"/>
    <w:rsid w:val="00B21A63"/>
    <w:rsid w:val="00B24A90"/>
    <w:rsid w:val="00B37003"/>
    <w:rsid w:val="00B625D0"/>
    <w:rsid w:val="00BA5403"/>
    <w:rsid w:val="00BD13ED"/>
    <w:rsid w:val="00BE077B"/>
    <w:rsid w:val="00BE6009"/>
    <w:rsid w:val="00BE688B"/>
    <w:rsid w:val="00BF1B73"/>
    <w:rsid w:val="00BF6AC0"/>
    <w:rsid w:val="00C001F7"/>
    <w:rsid w:val="00C4226D"/>
    <w:rsid w:val="00C45E15"/>
    <w:rsid w:val="00C85040"/>
    <w:rsid w:val="00CB5B5C"/>
    <w:rsid w:val="00CB761F"/>
    <w:rsid w:val="00CC043F"/>
    <w:rsid w:val="00CC4EA0"/>
    <w:rsid w:val="00CD093D"/>
    <w:rsid w:val="00CD1529"/>
    <w:rsid w:val="00CE4146"/>
    <w:rsid w:val="00CE5FEF"/>
    <w:rsid w:val="00CF56BB"/>
    <w:rsid w:val="00D01A30"/>
    <w:rsid w:val="00D15A1F"/>
    <w:rsid w:val="00D23553"/>
    <w:rsid w:val="00D26704"/>
    <w:rsid w:val="00D367CC"/>
    <w:rsid w:val="00D46B17"/>
    <w:rsid w:val="00D7657F"/>
    <w:rsid w:val="00D96612"/>
    <w:rsid w:val="00D97385"/>
    <w:rsid w:val="00DA5539"/>
    <w:rsid w:val="00DC12DE"/>
    <w:rsid w:val="00DC1734"/>
    <w:rsid w:val="00DD0E89"/>
    <w:rsid w:val="00DD1870"/>
    <w:rsid w:val="00E058E9"/>
    <w:rsid w:val="00E21732"/>
    <w:rsid w:val="00E50112"/>
    <w:rsid w:val="00E5579D"/>
    <w:rsid w:val="00E800DD"/>
    <w:rsid w:val="00EA1AE2"/>
    <w:rsid w:val="00EA2AE9"/>
    <w:rsid w:val="00EB2CB4"/>
    <w:rsid w:val="00EC052B"/>
    <w:rsid w:val="00EE0FFE"/>
    <w:rsid w:val="00EE66E6"/>
    <w:rsid w:val="00EE7C45"/>
    <w:rsid w:val="00EF0F5E"/>
    <w:rsid w:val="00F25BC7"/>
    <w:rsid w:val="00F43847"/>
    <w:rsid w:val="00F445BB"/>
    <w:rsid w:val="00F4473C"/>
    <w:rsid w:val="00F5182D"/>
    <w:rsid w:val="00F52A3D"/>
    <w:rsid w:val="00F55BA0"/>
    <w:rsid w:val="00F60A8D"/>
    <w:rsid w:val="00F74D68"/>
    <w:rsid w:val="00F83AB1"/>
    <w:rsid w:val="00F85168"/>
    <w:rsid w:val="00F91CFA"/>
    <w:rsid w:val="00FA2E81"/>
    <w:rsid w:val="00FA5870"/>
    <w:rsid w:val="00FA6BFF"/>
    <w:rsid w:val="00FB36FE"/>
    <w:rsid w:val="00FB6098"/>
    <w:rsid w:val="00FC7AC7"/>
    <w:rsid w:val="00FD03B2"/>
    <w:rsid w:val="00FF5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11E518"/>
  <w15:chartTrackingRefBased/>
  <w15:docId w15:val="{26A74BE7-22E7-481A-ABCA-0B2F8F2D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0F4"/>
    <w:rPr>
      <w:lang w:val="en-GB"/>
    </w:rPr>
  </w:style>
  <w:style w:type="paragraph" w:styleId="Heading1">
    <w:name w:val="heading 1"/>
    <w:basedOn w:val="Normal"/>
    <w:next w:val="Normal"/>
    <w:link w:val="Heading1Char"/>
    <w:uiPriority w:val="9"/>
    <w:qFormat/>
    <w:rsid w:val="00EA2A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2A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AE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2AE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2AE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A2A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2AE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2AE9"/>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2AE9"/>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AE9"/>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EA2AE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EA2AE9"/>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EA2AE9"/>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EA2AE9"/>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EA2AE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A2AE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EA2AE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A2AE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EA2AE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AE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A2A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AE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A2A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2AE9"/>
    <w:rPr>
      <w:i/>
      <w:iCs/>
      <w:color w:val="404040" w:themeColor="text1" w:themeTint="BF"/>
      <w:lang w:val="en-GB"/>
    </w:rPr>
  </w:style>
  <w:style w:type="paragraph" w:styleId="ListParagraph">
    <w:name w:val="List Paragraph"/>
    <w:basedOn w:val="Normal"/>
    <w:uiPriority w:val="34"/>
    <w:qFormat/>
    <w:rsid w:val="00EA2AE9"/>
    <w:pPr>
      <w:ind w:left="720"/>
      <w:contextualSpacing/>
    </w:pPr>
  </w:style>
  <w:style w:type="character" w:styleId="IntenseEmphasis">
    <w:name w:val="Intense Emphasis"/>
    <w:basedOn w:val="DefaultParagraphFont"/>
    <w:uiPriority w:val="21"/>
    <w:qFormat/>
    <w:rsid w:val="00EA2AE9"/>
    <w:rPr>
      <w:i/>
      <w:iCs/>
      <w:color w:val="2F5496" w:themeColor="accent1" w:themeShade="BF"/>
    </w:rPr>
  </w:style>
  <w:style w:type="paragraph" w:styleId="IntenseQuote">
    <w:name w:val="Intense Quote"/>
    <w:basedOn w:val="Normal"/>
    <w:next w:val="Normal"/>
    <w:link w:val="IntenseQuoteChar"/>
    <w:uiPriority w:val="30"/>
    <w:qFormat/>
    <w:rsid w:val="00EA2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2AE9"/>
    <w:rPr>
      <w:i/>
      <w:iCs/>
      <w:color w:val="2F5496" w:themeColor="accent1" w:themeShade="BF"/>
      <w:lang w:val="en-GB"/>
    </w:rPr>
  </w:style>
  <w:style w:type="character" w:styleId="IntenseReference">
    <w:name w:val="Intense Reference"/>
    <w:basedOn w:val="DefaultParagraphFont"/>
    <w:uiPriority w:val="32"/>
    <w:qFormat/>
    <w:rsid w:val="00EA2AE9"/>
    <w:rPr>
      <w:b/>
      <w:bCs/>
      <w:smallCaps/>
      <w:color w:val="2F5496" w:themeColor="accent1" w:themeShade="BF"/>
      <w:spacing w:val="5"/>
    </w:rPr>
  </w:style>
  <w:style w:type="character" w:styleId="Hyperlink">
    <w:name w:val="Hyperlink"/>
    <w:basedOn w:val="DefaultParagraphFont"/>
    <w:uiPriority w:val="99"/>
    <w:unhideWhenUsed/>
    <w:rsid w:val="006C6775"/>
    <w:rPr>
      <w:color w:val="0563C1" w:themeColor="hyperlink"/>
      <w:u w:val="single"/>
    </w:rPr>
  </w:style>
  <w:style w:type="character" w:styleId="UnresolvedMention">
    <w:name w:val="Unresolved Mention"/>
    <w:basedOn w:val="DefaultParagraphFont"/>
    <w:uiPriority w:val="99"/>
    <w:semiHidden/>
    <w:unhideWhenUsed/>
    <w:rsid w:val="006C6775"/>
    <w:rPr>
      <w:color w:val="605E5C"/>
      <w:shd w:val="clear" w:color="auto" w:fill="E1DFDD"/>
    </w:rPr>
  </w:style>
  <w:style w:type="paragraph" w:customStyle="1" w:styleId="ListParagraph1">
    <w:name w:val="List Paragraph1"/>
    <w:basedOn w:val="Normal"/>
    <w:uiPriority w:val="34"/>
    <w:qFormat/>
    <w:rsid w:val="00CC4EA0"/>
    <w:pPr>
      <w:spacing w:before="0" w:after="234" w:line="264" w:lineRule="auto"/>
      <w:ind w:left="720" w:right="67" w:hanging="10"/>
      <w:contextualSpacing/>
      <w:jc w:val="left"/>
    </w:pPr>
    <w:rPr>
      <w:rFonts w:eastAsia="Times New Roman" w:cs="Times New Roman"/>
      <w:color w:val="000008"/>
      <w:kern w:val="0"/>
      <w:lang w:val="en-US" w:eastAsia="en-US"/>
      <w14:ligatures w14:val="none"/>
    </w:rPr>
  </w:style>
  <w:style w:type="character" w:styleId="CommentReference">
    <w:name w:val="annotation reference"/>
    <w:basedOn w:val="DefaultParagraphFont"/>
    <w:uiPriority w:val="99"/>
    <w:semiHidden/>
    <w:unhideWhenUsed/>
    <w:rsid w:val="00C4226D"/>
    <w:rPr>
      <w:sz w:val="16"/>
      <w:szCs w:val="16"/>
    </w:rPr>
  </w:style>
  <w:style w:type="paragraph" w:styleId="CommentText">
    <w:name w:val="annotation text"/>
    <w:basedOn w:val="Normal"/>
    <w:link w:val="CommentTextChar"/>
    <w:uiPriority w:val="99"/>
    <w:semiHidden/>
    <w:unhideWhenUsed/>
    <w:rsid w:val="00C4226D"/>
    <w:pPr>
      <w:spacing w:line="240" w:lineRule="auto"/>
    </w:pPr>
    <w:rPr>
      <w:sz w:val="20"/>
      <w:szCs w:val="20"/>
    </w:rPr>
  </w:style>
  <w:style w:type="character" w:customStyle="1" w:styleId="CommentTextChar">
    <w:name w:val="Comment Text Char"/>
    <w:basedOn w:val="DefaultParagraphFont"/>
    <w:link w:val="CommentText"/>
    <w:uiPriority w:val="99"/>
    <w:semiHidden/>
    <w:rsid w:val="00C4226D"/>
    <w:rPr>
      <w:sz w:val="20"/>
      <w:szCs w:val="20"/>
      <w:lang w:val="en-GB"/>
    </w:rPr>
  </w:style>
  <w:style w:type="paragraph" w:styleId="CommentSubject">
    <w:name w:val="annotation subject"/>
    <w:basedOn w:val="CommentText"/>
    <w:next w:val="CommentText"/>
    <w:link w:val="CommentSubjectChar"/>
    <w:uiPriority w:val="99"/>
    <w:semiHidden/>
    <w:unhideWhenUsed/>
    <w:rsid w:val="00C4226D"/>
    <w:rPr>
      <w:b/>
      <w:bCs/>
    </w:rPr>
  </w:style>
  <w:style w:type="character" w:customStyle="1" w:styleId="CommentSubjectChar">
    <w:name w:val="Comment Subject Char"/>
    <w:basedOn w:val="CommentTextChar"/>
    <w:link w:val="CommentSubject"/>
    <w:uiPriority w:val="99"/>
    <w:semiHidden/>
    <w:rsid w:val="00C4226D"/>
    <w:rPr>
      <w:b/>
      <w:bCs/>
      <w:sz w:val="20"/>
      <w:szCs w:val="20"/>
      <w:lang w:val="en-GB"/>
    </w:rPr>
  </w:style>
  <w:style w:type="character" w:styleId="FollowedHyperlink">
    <w:name w:val="FollowedHyperlink"/>
    <w:basedOn w:val="DefaultParagraphFont"/>
    <w:uiPriority w:val="99"/>
    <w:semiHidden/>
    <w:unhideWhenUsed/>
    <w:rsid w:val="00DA5539"/>
    <w:rPr>
      <w:color w:val="954F72" w:themeColor="followedHyperlink"/>
      <w:u w:val="single"/>
    </w:rPr>
  </w:style>
  <w:style w:type="table" w:styleId="TableGrid">
    <w:name w:val="Table Grid"/>
    <w:basedOn w:val="TableNormal"/>
    <w:uiPriority w:val="39"/>
    <w:rsid w:val="00BA540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E67"/>
    <w:pPr>
      <w:spacing w:before="100" w:beforeAutospacing="1" w:after="100" w:afterAutospacing="1" w:line="240" w:lineRule="auto"/>
      <w:jc w:val="left"/>
    </w:pPr>
    <w:rPr>
      <w:rFonts w:eastAsia="Times New Roman" w:cs="Times New Roman"/>
      <w:kern w:val="0"/>
      <w:szCs w:val="24"/>
      <w:lang w:val="en-US"/>
      <w14:ligatures w14:val="none"/>
    </w:rPr>
  </w:style>
  <w:style w:type="paragraph" w:styleId="Header">
    <w:name w:val="header"/>
    <w:basedOn w:val="Normal"/>
    <w:link w:val="HeaderChar"/>
    <w:uiPriority w:val="99"/>
    <w:unhideWhenUsed/>
    <w:rsid w:val="00B21A6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1A63"/>
    <w:rPr>
      <w:lang w:val="en-GB"/>
    </w:rPr>
  </w:style>
  <w:style w:type="paragraph" w:styleId="Footer">
    <w:name w:val="footer"/>
    <w:basedOn w:val="Normal"/>
    <w:link w:val="FooterChar"/>
    <w:uiPriority w:val="99"/>
    <w:unhideWhenUsed/>
    <w:rsid w:val="00B21A6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21A6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0730">
      <w:bodyDiv w:val="1"/>
      <w:marLeft w:val="0"/>
      <w:marRight w:val="0"/>
      <w:marTop w:val="0"/>
      <w:marBottom w:val="0"/>
      <w:divBdr>
        <w:top w:val="none" w:sz="0" w:space="0" w:color="auto"/>
        <w:left w:val="none" w:sz="0" w:space="0" w:color="auto"/>
        <w:bottom w:val="none" w:sz="0" w:space="0" w:color="auto"/>
        <w:right w:val="none" w:sz="0" w:space="0" w:color="auto"/>
      </w:divBdr>
    </w:div>
    <w:div w:id="267811580">
      <w:bodyDiv w:val="1"/>
      <w:marLeft w:val="0"/>
      <w:marRight w:val="0"/>
      <w:marTop w:val="0"/>
      <w:marBottom w:val="0"/>
      <w:divBdr>
        <w:top w:val="none" w:sz="0" w:space="0" w:color="auto"/>
        <w:left w:val="none" w:sz="0" w:space="0" w:color="auto"/>
        <w:bottom w:val="none" w:sz="0" w:space="0" w:color="auto"/>
        <w:right w:val="none" w:sz="0" w:space="0" w:color="auto"/>
      </w:divBdr>
    </w:div>
    <w:div w:id="289480152">
      <w:bodyDiv w:val="1"/>
      <w:marLeft w:val="0"/>
      <w:marRight w:val="0"/>
      <w:marTop w:val="0"/>
      <w:marBottom w:val="0"/>
      <w:divBdr>
        <w:top w:val="none" w:sz="0" w:space="0" w:color="auto"/>
        <w:left w:val="none" w:sz="0" w:space="0" w:color="auto"/>
        <w:bottom w:val="none" w:sz="0" w:space="0" w:color="auto"/>
        <w:right w:val="none" w:sz="0" w:space="0" w:color="auto"/>
      </w:divBdr>
    </w:div>
    <w:div w:id="306399775">
      <w:bodyDiv w:val="1"/>
      <w:marLeft w:val="0"/>
      <w:marRight w:val="0"/>
      <w:marTop w:val="0"/>
      <w:marBottom w:val="0"/>
      <w:divBdr>
        <w:top w:val="none" w:sz="0" w:space="0" w:color="auto"/>
        <w:left w:val="none" w:sz="0" w:space="0" w:color="auto"/>
        <w:bottom w:val="none" w:sz="0" w:space="0" w:color="auto"/>
        <w:right w:val="none" w:sz="0" w:space="0" w:color="auto"/>
      </w:divBdr>
    </w:div>
    <w:div w:id="415976770">
      <w:bodyDiv w:val="1"/>
      <w:marLeft w:val="0"/>
      <w:marRight w:val="0"/>
      <w:marTop w:val="0"/>
      <w:marBottom w:val="0"/>
      <w:divBdr>
        <w:top w:val="none" w:sz="0" w:space="0" w:color="auto"/>
        <w:left w:val="none" w:sz="0" w:space="0" w:color="auto"/>
        <w:bottom w:val="none" w:sz="0" w:space="0" w:color="auto"/>
        <w:right w:val="none" w:sz="0" w:space="0" w:color="auto"/>
      </w:divBdr>
    </w:div>
    <w:div w:id="459147837">
      <w:bodyDiv w:val="1"/>
      <w:marLeft w:val="0"/>
      <w:marRight w:val="0"/>
      <w:marTop w:val="0"/>
      <w:marBottom w:val="0"/>
      <w:divBdr>
        <w:top w:val="none" w:sz="0" w:space="0" w:color="auto"/>
        <w:left w:val="none" w:sz="0" w:space="0" w:color="auto"/>
        <w:bottom w:val="none" w:sz="0" w:space="0" w:color="auto"/>
        <w:right w:val="none" w:sz="0" w:space="0" w:color="auto"/>
      </w:divBdr>
    </w:div>
    <w:div w:id="492916997">
      <w:bodyDiv w:val="1"/>
      <w:marLeft w:val="0"/>
      <w:marRight w:val="0"/>
      <w:marTop w:val="0"/>
      <w:marBottom w:val="0"/>
      <w:divBdr>
        <w:top w:val="none" w:sz="0" w:space="0" w:color="auto"/>
        <w:left w:val="none" w:sz="0" w:space="0" w:color="auto"/>
        <w:bottom w:val="none" w:sz="0" w:space="0" w:color="auto"/>
        <w:right w:val="none" w:sz="0" w:space="0" w:color="auto"/>
      </w:divBdr>
    </w:div>
    <w:div w:id="573129579">
      <w:bodyDiv w:val="1"/>
      <w:marLeft w:val="0"/>
      <w:marRight w:val="0"/>
      <w:marTop w:val="0"/>
      <w:marBottom w:val="0"/>
      <w:divBdr>
        <w:top w:val="none" w:sz="0" w:space="0" w:color="auto"/>
        <w:left w:val="none" w:sz="0" w:space="0" w:color="auto"/>
        <w:bottom w:val="none" w:sz="0" w:space="0" w:color="auto"/>
        <w:right w:val="none" w:sz="0" w:space="0" w:color="auto"/>
      </w:divBdr>
    </w:div>
    <w:div w:id="593590649">
      <w:bodyDiv w:val="1"/>
      <w:marLeft w:val="0"/>
      <w:marRight w:val="0"/>
      <w:marTop w:val="0"/>
      <w:marBottom w:val="0"/>
      <w:divBdr>
        <w:top w:val="none" w:sz="0" w:space="0" w:color="auto"/>
        <w:left w:val="none" w:sz="0" w:space="0" w:color="auto"/>
        <w:bottom w:val="none" w:sz="0" w:space="0" w:color="auto"/>
        <w:right w:val="none" w:sz="0" w:space="0" w:color="auto"/>
      </w:divBdr>
    </w:div>
    <w:div w:id="612788596">
      <w:bodyDiv w:val="1"/>
      <w:marLeft w:val="0"/>
      <w:marRight w:val="0"/>
      <w:marTop w:val="0"/>
      <w:marBottom w:val="0"/>
      <w:divBdr>
        <w:top w:val="none" w:sz="0" w:space="0" w:color="auto"/>
        <w:left w:val="none" w:sz="0" w:space="0" w:color="auto"/>
        <w:bottom w:val="none" w:sz="0" w:space="0" w:color="auto"/>
        <w:right w:val="none" w:sz="0" w:space="0" w:color="auto"/>
      </w:divBdr>
    </w:div>
    <w:div w:id="633174300">
      <w:bodyDiv w:val="1"/>
      <w:marLeft w:val="0"/>
      <w:marRight w:val="0"/>
      <w:marTop w:val="0"/>
      <w:marBottom w:val="0"/>
      <w:divBdr>
        <w:top w:val="none" w:sz="0" w:space="0" w:color="auto"/>
        <w:left w:val="none" w:sz="0" w:space="0" w:color="auto"/>
        <w:bottom w:val="none" w:sz="0" w:space="0" w:color="auto"/>
        <w:right w:val="none" w:sz="0" w:space="0" w:color="auto"/>
      </w:divBdr>
    </w:div>
    <w:div w:id="734932591">
      <w:bodyDiv w:val="1"/>
      <w:marLeft w:val="0"/>
      <w:marRight w:val="0"/>
      <w:marTop w:val="0"/>
      <w:marBottom w:val="0"/>
      <w:divBdr>
        <w:top w:val="none" w:sz="0" w:space="0" w:color="auto"/>
        <w:left w:val="none" w:sz="0" w:space="0" w:color="auto"/>
        <w:bottom w:val="none" w:sz="0" w:space="0" w:color="auto"/>
        <w:right w:val="none" w:sz="0" w:space="0" w:color="auto"/>
      </w:divBdr>
    </w:div>
    <w:div w:id="839395556">
      <w:bodyDiv w:val="1"/>
      <w:marLeft w:val="0"/>
      <w:marRight w:val="0"/>
      <w:marTop w:val="0"/>
      <w:marBottom w:val="0"/>
      <w:divBdr>
        <w:top w:val="none" w:sz="0" w:space="0" w:color="auto"/>
        <w:left w:val="none" w:sz="0" w:space="0" w:color="auto"/>
        <w:bottom w:val="none" w:sz="0" w:space="0" w:color="auto"/>
        <w:right w:val="none" w:sz="0" w:space="0" w:color="auto"/>
      </w:divBdr>
    </w:div>
    <w:div w:id="1106461009">
      <w:bodyDiv w:val="1"/>
      <w:marLeft w:val="0"/>
      <w:marRight w:val="0"/>
      <w:marTop w:val="0"/>
      <w:marBottom w:val="0"/>
      <w:divBdr>
        <w:top w:val="none" w:sz="0" w:space="0" w:color="auto"/>
        <w:left w:val="none" w:sz="0" w:space="0" w:color="auto"/>
        <w:bottom w:val="none" w:sz="0" w:space="0" w:color="auto"/>
        <w:right w:val="none" w:sz="0" w:space="0" w:color="auto"/>
      </w:divBdr>
    </w:div>
    <w:div w:id="1199246318">
      <w:bodyDiv w:val="1"/>
      <w:marLeft w:val="0"/>
      <w:marRight w:val="0"/>
      <w:marTop w:val="0"/>
      <w:marBottom w:val="0"/>
      <w:divBdr>
        <w:top w:val="none" w:sz="0" w:space="0" w:color="auto"/>
        <w:left w:val="none" w:sz="0" w:space="0" w:color="auto"/>
        <w:bottom w:val="none" w:sz="0" w:space="0" w:color="auto"/>
        <w:right w:val="none" w:sz="0" w:space="0" w:color="auto"/>
      </w:divBdr>
    </w:div>
    <w:div w:id="1234512519">
      <w:bodyDiv w:val="1"/>
      <w:marLeft w:val="0"/>
      <w:marRight w:val="0"/>
      <w:marTop w:val="0"/>
      <w:marBottom w:val="0"/>
      <w:divBdr>
        <w:top w:val="none" w:sz="0" w:space="0" w:color="auto"/>
        <w:left w:val="none" w:sz="0" w:space="0" w:color="auto"/>
        <w:bottom w:val="none" w:sz="0" w:space="0" w:color="auto"/>
        <w:right w:val="none" w:sz="0" w:space="0" w:color="auto"/>
      </w:divBdr>
    </w:div>
    <w:div w:id="1266883920">
      <w:bodyDiv w:val="1"/>
      <w:marLeft w:val="0"/>
      <w:marRight w:val="0"/>
      <w:marTop w:val="0"/>
      <w:marBottom w:val="0"/>
      <w:divBdr>
        <w:top w:val="none" w:sz="0" w:space="0" w:color="auto"/>
        <w:left w:val="none" w:sz="0" w:space="0" w:color="auto"/>
        <w:bottom w:val="none" w:sz="0" w:space="0" w:color="auto"/>
        <w:right w:val="none" w:sz="0" w:space="0" w:color="auto"/>
      </w:divBdr>
    </w:div>
    <w:div w:id="1270968948">
      <w:bodyDiv w:val="1"/>
      <w:marLeft w:val="0"/>
      <w:marRight w:val="0"/>
      <w:marTop w:val="0"/>
      <w:marBottom w:val="0"/>
      <w:divBdr>
        <w:top w:val="none" w:sz="0" w:space="0" w:color="auto"/>
        <w:left w:val="none" w:sz="0" w:space="0" w:color="auto"/>
        <w:bottom w:val="none" w:sz="0" w:space="0" w:color="auto"/>
        <w:right w:val="none" w:sz="0" w:space="0" w:color="auto"/>
      </w:divBdr>
    </w:div>
    <w:div w:id="1310860979">
      <w:bodyDiv w:val="1"/>
      <w:marLeft w:val="0"/>
      <w:marRight w:val="0"/>
      <w:marTop w:val="0"/>
      <w:marBottom w:val="0"/>
      <w:divBdr>
        <w:top w:val="none" w:sz="0" w:space="0" w:color="auto"/>
        <w:left w:val="none" w:sz="0" w:space="0" w:color="auto"/>
        <w:bottom w:val="none" w:sz="0" w:space="0" w:color="auto"/>
        <w:right w:val="none" w:sz="0" w:space="0" w:color="auto"/>
      </w:divBdr>
    </w:div>
    <w:div w:id="1325665421">
      <w:bodyDiv w:val="1"/>
      <w:marLeft w:val="0"/>
      <w:marRight w:val="0"/>
      <w:marTop w:val="0"/>
      <w:marBottom w:val="0"/>
      <w:divBdr>
        <w:top w:val="none" w:sz="0" w:space="0" w:color="auto"/>
        <w:left w:val="none" w:sz="0" w:space="0" w:color="auto"/>
        <w:bottom w:val="none" w:sz="0" w:space="0" w:color="auto"/>
        <w:right w:val="none" w:sz="0" w:space="0" w:color="auto"/>
      </w:divBdr>
    </w:div>
    <w:div w:id="1360428687">
      <w:bodyDiv w:val="1"/>
      <w:marLeft w:val="0"/>
      <w:marRight w:val="0"/>
      <w:marTop w:val="0"/>
      <w:marBottom w:val="0"/>
      <w:divBdr>
        <w:top w:val="none" w:sz="0" w:space="0" w:color="auto"/>
        <w:left w:val="none" w:sz="0" w:space="0" w:color="auto"/>
        <w:bottom w:val="none" w:sz="0" w:space="0" w:color="auto"/>
        <w:right w:val="none" w:sz="0" w:space="0" w:color="auto"/>
      </w:divBdr>
    </w:div>
    <w:div w:id="1434592231">
      <w:bodyDiv w:val="1"/>
      <w:marLeft w:val="0"/>
      <w:marRight w:val="0"/>
      <w:marTop w:val="0"/>
      <w:marBottom w:val="0"/>
      <w:divBdr>
        <w:top w:val="none" w:sz="0" w:space="0" w:color="auto"/>
        <w:left w:val="none" w:sz="0" w:space="0" w:color="auto"/>
        <w:bottom w:val="none" w:sz="0" w:space="0" w:color="auto"/>
        <w:right w:val="none" w:sz="0" w:space="0" w:color="auto"/>
      </w:divBdr>
    </w:div>
    <w:div w:id="1474101840">
      <w:bodyDiv w:val="1"/>
      <w:marLeft w:val="0"/>
      <w:marRight w:val="0"/>
      <w:marTop w:val="0"/>
      <w:marBottom w:val="0"/>
      <w:divBdr>
        <w:top w:val="none" w:sz="0" w:space="0" w:color="auto"/>
        <w:left w:val="none" w:sz="0" w:space="0" w:color="auto"/>
        <w:bottom w:val="none" w:sz="0" w:space="0" w:color="auto"/>
        <w:right w:val="none" w:sz="0" w:space="0" w:color="auto"/>
      </w:divBdr>
    </w:div>
    <w:div w:id="1508863251">
      <w:bodyDiv w:val="1"/>
      <w:marLeft w:val="0"/>
      <w:marRight w:val="0"/>
      <w:marTop w:val="0"/>
      <w:marBottom w:val="0"/>
      <w:divBdr>
        <w:top w:val="none" w:sz="0" w:space="0" w:color="auto"/>
        <w:left w:val="none" w:sz="0" w:space="0" w:color="auto"/>
        <w:bottom w:val="none" w:sz="0" w:space="0" w:color="auto"/>
        <w:right w:val="none" w:sz="0" w:space="0" w:color="auto"/>
      </w:divBdr>
    </w:div>
    <w:div w:id="1530416397">
      <w:bodyDiv w:val="1"/>
      <w:marLeft w:val="0"/>
      <w:marRight w:val="0"/>
      <w:marTop w:val="0"/>
      <w:marBottom w:val="0"/>
      <w:divBdr>
        <w:top w:val="none" w:sz="0" w:space="0" w:color="auto"/>
        <w:left w:val="none" w:sz="0" w:space="0" w:color="auto"/>
        <w:bottom w:val="none" w:sz="0" w:space="0" w:color="auto"/>
        <w:right w:val="none" w:sz="0" w:space="0" w:color="auto"/>
      </w:divBdr>
    </w:div>
    <w:div w:id="1533180515">
      <w:bodyDiv w:val="1"/>
      <w:marLeft w:val="0"/>
      <w:marRight w:val="0"/>
      <w:marTop w:val="0"/>
      <w:marBottom w:val="0"/>
      <w:divBdr>
        <w:top w:val="none" w:sz="0" w:space="0" w:color="auto"/>
        <w:left w:val="none" w:sz="0" w:space="0" w:color="auto"/>
        <w:bottom w:val="none" w:sz="0" w:space="0" w:color="auto"/>
        <w:right w:val="none" w:sz="0" w:space="0" w:color="auto"/>
      </w:divBdr>
    </w:div>
    <w:div w:id="1642884068">
      <w:bodyDiv w:val="1"/>
      <w:marLeft w:val="0"/>
      <w:marRight w:val="0"/>
      <w:marTop w:val="0"/>
      <w:marBottom w:val="0"/>
      <w:divBdr>
        <w:top w:val="none" w:sz="0" w:space="0" w:color="auto"/>
        <w:left w:val="none" w:sz="0" w:space="0" w:color="auto"/>
        <w:bottom w:val="none" w:sz="0" w:space="0" w:color="auto"/>
        <w:right w:val="none" w:sz="0" w:space="0" w:color="auto"/>
      </w:divBdr>
    </w:div>
    <w:div w:id="1750421157">
      <w:bodyDiv w:val="1"/>
      <w:marLeft w:val="0"/>
      <w:marRight w:val="0"/>
      <w:marTop w:val="0"/>
      <w:marBottom w:val="0"/>
      <w:divBdr>
        <w:top w:val="none" w:sz="0" w:space="0" w:color="auto"/>
        <w:left w:val="none" w:sz="0" w:space="0" w:color="auto"/>
        <w:bottom w:val="none" w:sz="0" w:space="0" w:color="auto"/>
        <w:right w:val="none" w:sz="0" w:space="0" w:color="auto"/>
      </w:divBdr>
    </w:div>
    <w:div w:id="1783496926">
      <w:bodyDiv w:val="1"/>
      <w:marLeft w:val="0"/>
      <w:marRight w:val="0"/>
      <w:marTop w:val="0"/>
      <w:marBottom w:val="0"/>
      <w:divBdr>
        <w:top w:val="none" w:sz="0" w:space="0" w:color="auto"/>
        <w:left w:val="none" w:sz="0" w:space="0" w:color="auto"/>
        <w:bottom w:val="none" w:sz="0" w:space="0" w:color="auto"/>
        <w:right w:val="none" w:sz="0" w:space="0" w:color="auto"/>
      </w:divBdr>
    </w:div>
    <w:div w:id="1838306099">
      <w:bodyDiv w:val="1"/>
      <w:marLeft w:val="0"/>
      <w:marRight w:val="0"/>
      <w:marTop w:val="0"/>
      <w:marBottom w:val="0"/>
      <w:divBdr>
        <w:top w:val="none" w:sz="0" w:space="0" w:color="auto"/>
        <w:left w:val="none" w:sz="0" w:space="0" w:color="auto"/>
        <w:bottom w:val="none" w:sz="0" w:space="0" w:color="auto"/>
        <w:right w:val="none" w:sz="0" w:space="0" w:color="auto"/>
      </w:divBdr>
    </w:div>
    <w:div w:id="1875581867">
      <w:bodyDiv w:val="1"/>
      <w:marLeft w:val="0"/>
      <w:marRight w:val="0"/>
      <w:marTop w:val="0"/>
      <w:marBottom w:val="0"/>
      <w:divBdr>
        <w:top w:val="none" w:sz="0" w:space="0" w:color="auto"/>
        <w:left w:val="none" w:sz="0" w:space="0" w:color="auto"/>
        <w:bottom w:val="none" w:sz="0" w:space="0" w:color="auto"/>
        <w:right w:val="none" w:sz="0" w:space="0" w:color="auto"/>
      </w:divBdr>
    </w:div>
    <w:div w:id="1886454216">
      <w:bodyDiv w:val="1"/>
      <w:marLeft w:val="0"/>
      <w:marRight w:val="0"/>
      <w:marTop w:val="0"/>
      <w:marBottom w:val="0"/>
      <w:divBdr>
        <w:top w:val="none" w:sz="0" w:space="0" w:color="auto"/>
        <w:left w:val="none" w:sz="0" w:space="0" w:color="auto"/>
        <w:bottom w:val="none" w:sz="0" w:space="0" w:color="auto"/>
        <w:right w:val="none" w:sz="0" w:space="0" w:color="auto"/>
      </w:divBdr>
    </w:div>
    <w:div w:id="1906529518">
      <w:bodyDiv w:val="1"/>
      <w:marLeft w:val="0"/>
      <w:marRight w:val="0"/>
      <w:marTop w:val="0"/>
      <w:marBottom w:val="0"/>
      <w:divBdr>
        <w:top w:val="none" w:sz="0" w:space="0" w:color="auto"/>
        <w:left w:val="none" w:sz="0" w:space="0" w:color="auto"/>
        <w:bottom w:val="none" w:sz="0" w:space="0" w:color="auto"/>
        <w:right w:val="none" w:sz="0" w:space="0" w:color="auto"/>
      </w:divBdr>
    </w:div>
    <w:div w:id="1934121912">
      <w:bodyDiv w:val="1"/>
      <w:marLeft w:val="0"/>
      <w:marRight w:val="0"/>
      <w:marTop w:val="0"/>
      <w:marBottom w:val="0"/>
      <w:divBdr>
        <w:top w:val="none" w:sz="0" w:space="0" w:color="auto"/>
        <w:left w:val="none" w:sz="0" w:space="0" w:color="auto"/>
        <w:bottom w:val="none" w:sz="0" w:space="0" w:color="auto"/>
        <w:right w:val="none" w:sz="0" w:space="0" w:color="auto"/>
      </w:divBdr>
    </w:div>
    <w:div w:id="2017656979">
      <w:bodyDiv w:val="1"/>
      <w:marLeft w:val="0"/>
      <w:marRight w:val="0"/>
      <w:marTop w:val="0"/>
      <w:marBottom w:val="0"/>
      <w:divBdr>
        <w:top w:val="none" w:sz="0" w:space="0" w:color="auto"/>
        <w:left w:val="none" w:sz="0" w:space="0" w:color="auto"/>
        <w:bottom w:val="none" w:sz="0" w:space="0" w:color="auto"/>
        <w:right w:val="none" w:sz="0" w:space="0" w:color="auto"/>
      </w:divBdr>
    </w:div>
    <w:div w:id="2115396780">
      <w:bodyDiv w:val="1"/>
      <w:marLeft w:val="0"/>
      <w:marRight w:val="0"/>
      <w:marTop w:val="0"/>
      <w:marBottom w:val="0"/>
      <w:divBdr>
        <w:top w:val="none" w:sz="0" w:space="0" w:color="auto"/>
        <w:left w:val="none" w:sz="0" w:space="0" w:color="auto"/>
        <w:bottom w:val="none" w:sz="0" w:space="0" w:color="auto"/>
        <w:right w:val="none" w:sz="0" w:space="0" w:color="auto"/>
      </w:divBdr>
    </w:div>
    <w:div w:id="2115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0021855300004092" TargetMode="External"/><Relationship Id="rId18" Type="http://schemas.openxmlformats.org/officeDocument/2006/relationships/hyperlink" Target="https://doi.org/10.1163/9789047417033_009" TargetMode="External"/><Relationship Id="rId26" Type="http://schemas.openxmlformats.org/officeDocument/2006/relationships/hyperlink" Target="https://doi.org/10.1093/wbro/lkp007" TargetMode="External"/><Relationship Id="rId39" Type="http://schemas.openxmlformats.org/officeDocument/2006/relationships/hyperlink" Target="https://fplm.ubids.edu.gh/journal/index.php/jplm/article/download/25/12" TargetMode="External"/><Relationship Id="rId21" Type="http://schemas.openxmlformats.org/officeDocument/2006/relationships/hyperlink" Target="https://doi.org/10.4314/ejesm.v3i3.63958" TargetMode="External"/><Relationship Id="rId34" Type="http://schemas.openxmlformats.org/officeDocument/2006/relationships/hyperlink" Target="https://scholar.google.com/scholar?hl=en&amp;as_sdt=0%2C5&amp;q=%22Larbi%2C+W.+O.%2C+Antwi%2C+A.%2C+%26+Olomolaiye%2C+P.+%282004%29.+Compulsory+land+acquisition+in+Ghana%E2%80%94policy+and+praxis.+Land+Use+Policy%2C+21%282%29%2C+115%E2%80%93127.%22&amp;btnG" TargetMode="External"/><Relationship Id="rId42" Type="http://schemas.openxmlformats.org/officeDocument/2006/relationships/hyperlink" Target="https://scholar.google.com/scholar?hl=en&amp;as_sdt=0%2C5&amp;q=%22Toulmin%2C+C.+%282009%29.+Securing+land+and+property+rights+in+sub-Saharan+Africa%3A+The+role+of+local+institutions.+Land+Use+Policy%2C+26%281%29%2C+10%E2%80%9319.%22&amp;btnG" TargetMode="External"/><Relationship Id="rId47" Type="http://schemas.openxmlformats.org/officeDocument/2006/relationships/hyperlink" Target="https://doi.org/10.1002/ldr.2371"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oi.org/10.1016/j.landusepol.2024.107195" TargetMode="External"/><Relationship Id="rId29" Type="http://schemas.openxmlformats.org/officeDocument/2006/relationships/hyperlink" Target="https://scholar.google.com/scholar?hl=en&amp;as_sdt=0%2C5&amp;q=%22Ghana+Statistical+Service.+%282021%29.+2021+Population+and+Housing+Census%3A+General+report%E2%80%94Ashanti+Region.+Accra%3A+GSS.%22&amp;btnG" TargetMode="External"/><Relationship Id="rId11" Type="http://schemas.openxmlformats.org/officeDocument/2006/relationships/hyperlink" Target="https://doi.org/10.1016/j.habitatint.2007.03.002" TargetMode="External"/><Relationship Id="rId24" Type="http://schemas.openxmlformats.org/officeDocument/2006/relationships/hyperlink" Target="https://scholar.google.com/scholar?hl=en&amp;as_sdt=0%2C5&amp;q=%22Chimhowu%2C+A.+%282019%29.+The+%E2%80%9Cnew%E2%80%9D+African+customary+land+tenure%3A+Characteristics%2C+features+and+policy+implications+of+a+new+paradigm.+Land+Use+Policy%2C+81%2C+897%E2%80%93903.%22&amp;btnG" TargetMode="External"/><Relationship Id="rId32" Type="http://schemas.openxmlformats.org/officeDocument/2006/relationships/hyperlink" Target="https://scholar.google.com/scholar?hl=en&amp;as_sdt=0%2C5&amp;q=%22Kasanga%2C+K.%2C+%26+Kotey%2C+N.+A.+%282001%29.+Land+Management+in+Ghana%3A+Building+on+Tradition+and+Modernity.+London%3A+IIED.%22&amp;btnG" TargetMode="External"/><Relationship Id="rId37" Type="http://schemas.openxmlformats.org/officeDocument/2006/relationships/hyperlink" Target="https://scholar.google.com/scholar?hl=en&amp;as_sdt=0%2C5&amp;q=%22Owusu-Ansah%2C+A.%2C+%26+O%E2%80%99Connor%2C+K.+%282010%29.+Housing+demand+in+the+urban+fringe+around+Kumasi%2C+Ghana.+Journal+of+Housing+and+the+Built+Environment%2C+25%281%29%2C+1%E2%80%9317.%22&amp;btnG" TargetMode="External"/><Relationship Id="rId40" Type="http://schemas.openxmlformats.org/officeDocument/2006/relationships/hyperlink" Target="https://doi.org/10.3390/land9050138" TargetMode="External"/><Relationship Id="rId45" Type="http://schemas.openxmlformats.org/officeDocument/2006/relationships/hyperlink" Target="https://scholar.google.com/scholar?hl=en&amp;as_sdt=0%2C5&amp;q=%22Ubink%2C+J.+M.%2C+Hoekema%2C+A.%2C+%26+Assies%2C+W.+%282009%29.+Legalising+land+rights%3A+Local+practices%2C+state+responses+and+tenure+security+in+Africa%2C+Asia+and+Latin+America.+Leiden+University+Press.%22&amp;btnG"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chart" Target="charts/chart3.xml"/><Relationship Id="rId19" Type="http://schemas.openxmlformats.org/officeDocument/2006/relationships/hyperlink" Target="https://doi.org/10.1155/2018/6124321" TargetMode="External"/><Relationship Id="rId31" Type="http://schemas.openxmlformats.org/officeDocument/2006/relationships/hyperlink" Target="https://www.ghanaweb.com/GhanaHomePage/features/Land-Administration-Project-in-Ghana-A-Way-forward-43522" TargetMode="External"/><Relationship Id="rId44" Type="http://schemas.openxmlformats.org/officeDocument/2006/relationships/hyperlink" Target="https://scholar.google.com/scholar?hl=en&amp;as_sdt=0%2C5&amp;q=%22Ubink%2C+J.+M.+%282008%29.+In+the+land+of+the+chiefs%3A+Customary+law%2C+land+conflicts%2C+and+the+role+of+the+state+in+peri-urban+Ghana.+Leiden+University+Press.%22&amp;btnG"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ssrn.com/abstract=3694776" TargetMode="External"/><Relationship Id="rId22" Type="http://schemas.openxmlformats.org/officeDocument/2006/relationships/hyperlink" Target="https://link.springer.com/chapter/10.1007/978-3-030-81881-4_11" TargetMode="External"/><Relationship Id="rId27" Type="http://schemas.openxmlformats.org/officeDocument/2006/relationships/hyperlink" Target="https://doi.org/10.3368/le.87.2.312" TargetMode="External"/><Relationship Id="rId30" Type="http://schemas.openxmlformats.org/officeDocument/2006/relationships/hyperlink" Target="https://scholar.google.com/scholar?hl=en&amp;as_sdt=0%2C5&amp;q=%22Ghana+Statistical+Service.+%282021%29.+2021+Population+and+Housing+Census%3A+General+report%E2%80%94Ashanti+Region.+Accra%3A+GSS.%22&amp;btnG" TargetMode="External"/><Relationship Id="rId35" Type="http://schemas.openxmlformats.org/officeDocument/2006/relationships/hyperlink" Target="https://www.cedidollar.com/wp-content/uploads/2019/01/Land-Administration-Project-Phase-2-2011.pdf" TargetMode="External"/><Relationship Id="rId43" Type="http://schemas.openxmlformats.org/officeDocument/2006/relationships/hyperlink" Target="https://doi.org/10.1017/S0021855307000182" TargetMode="External"/><Relationship Id="rId48" Type="http://schemas.openxmlformats.org/officeDocument/2006/relationships/hyperlink" Target="http://dx.doi.org/10.3828/idpr.2013.3" TargetMode="Externa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scholar.google.com/scholar?hl=en&amp;as_sdt=0%2C5&amp;q=%22Afrane%2C+S.+K.%2C+%26+Adjei-Poku%2C+B.+%282013%29.+Land+use+dynamics+in+urbanized+area%3A+A+case+study+of+Sunyani+%28Ghana%29.+Journal+of+Applied+Science+and+Technology+%28JAST%29%2C+18%281+%26+2%29%2C+59%E2%80%9365.%22&amp;btnG" TargetMode="External"/><Relationship Id="rId17" Type="http://schemas.openxmlformats.org/officeDocument/2006/relationships/hyperlink" Target="https://www.sciencedirect.com/science/article/pii/S0304387813001818" TargetMode="External"/><Relationship Id="rId25" Type="http://schemas.openxmlformats.org/officeDocument/2006/relationships/hyperlink" Target="https://scholar.google.com/scholar?hl=en&amp;as_sdt=0%2C5&amp;q=%22Deininger%2C+K.+%282003%29.+Land+Policies+for+Growth+and+Poverty+Reduction.+World+Bank+and+Oxford+University+Press.%22&amp;btnG" TargetMode="External"/><Relationship Id="rId33" Type="http://schemas.openxmlformats.org/officeDocument/2006/relationships/hyperlink" Target="https://link.springer.com/article/10.1007/s44327-025-00061-7" TargetMode="External"/><Relationship Id="rId38" Type="http://schemas.openxmlformats.org/officeDocument/2006/relationships/hyperlink" Target="https://scholar.google.com/scholar?hl=en&amp;as_sdt=0%2C5&amp;q=%22Payne%2C+G.%2C+Durand-Lasserve%2C+A.%2C+%26+Rakodi%2C+C.+%282009%29.+The+limits+of+land+titling+and+home+ownership.+Environment+and+Urbanization%2C+21%282%29%2C+443%E2%80%93462.%22&amp;btnG" TargetMode="External"/><Relationship Id="rId46" Type="http://schemas.openxmlformats.org/officeDocument/2006/relationships/hyperlink" Target="https://population.un.org/wup/" TargetMode="External"/><Relationship Id="rId20" Type="http://schemas.openxmlformats.org/officeDocument/2006/relationships/hyperlink" Target="https://scholar.google.com/scholar?hl=en&amp;as_sdt=0%2C5&amp;q=%22Arko-Adjei%2C+A.+%282011%29.+Adapting+land+administration+to+the+institutional+framework+of+customary+tenure%3A+The+case+of+peri-urban+Ghana.+IOS+Press.%22&amp;btnG" TargetMode="External"/><Relationship Id="rId41" Type="http://schemas.openxmlformats.org/officeDocument/2006/relationships/hyperlink" Target="https://scholar.google.com/scholar?hl=en&amp;as_sdt=0%2C5&amp;q=%22Songsore%2C+J.+%282003%29.+Regional+development+in+Ghana%3A+The+theory+and+the+reality.+Woeli+Publishing+Services.%22&amp;btnG"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2139/ssrn.3703389" TargetMode="External"/><Relationship Id="rId23" Type="http://schemas.openxmlformats.org/officeDocument/2006/relationships/hyperlink" Target="https://poverty-action.org/sites/default/files/Buehren-land-title-registration.pdf" TargetMode="External"/><Relationship Id="rId28" Type="http://schemas.openxmlformats.org/officeDocument/2006/relationships/hyperlink" Target="https://doi.org/10.3390/land9030090" TargetMode="External"/><Relationship Id="rId36" Type="http://schemas.openxmlformats.org/officeDocument/2006/relationships/hyperlink" Target="https://gupea.ub.gu.se/bitstream/handle/2077/69740/gupea_2077_69740_4.pdf?sequence=4" TargetMode="Externa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Sheet1!$D$4:$D$7</c:f>
              <c:strCache>
                <c:ptCount val="4"/>
                <c:pt idx="0">
                  <c:v>Inheritance</c:v>
                </c:pt>
                <c:pt idx="1">
                  <c:v>Purchase</c:v>
                </c:pt>
                <c:pt idx="2">
                  <c:v>Gift</c:v>
                </c:pt>
                <c:pt idx="3">
                  <c:v>Lease from family/stool</c:v>
                </c:pt>
              </c:strCache>
            </c:strRef>
          </c:cat>
          <c:val>
            <c:numRef>
              <c:f>Sheet1!$E$4:$E$7</c:f>
              <c:numCache>
                <c:formatCode>General</c:formatCode>
                <c:ptCount val="4"/>
                <c:pt idx="0">
                  <c:v>41</c:v>
                </c:pt>
                <c:pt idx="1">
                  <c:v>32</c:v>
                </c:pt>
                <c:pt idx="2">
                  <c:v>19</c:v>
                </c:pt>
                <c:pt idx="3">
                  <c:v>8</c:v>
                </c:pt>
              </c:numCache>
            </c:numRef>
          </c:val>
          <c:extLst>
            <c:ext xmlns:c16="http://schemas.microsoft.com/office/drawing/2014/chart" uri="{C3380CC4-5D6E-409C-BE32-E72D297353CC}">
              <c16:uniqueId val="{00000000-ACC1-40BB-8FB0-F303DBFB5E18}"/>
            </c:ext>
          </c:extLst>
        </c:ser>
        <c:dLbls>
          <c:dLblPos val="outEnd"/>
          <c:showLegendKey val="0"/>
          <c:showVal val="1"/>
          <c:showCatName val="0"/>
          <c:showSerName val="0"/>
          <c:showPercent val="0"/>
          <c:showBubbleSize val="0"/>
        </c:dLbls>
        <c:gapWidth val="219"/>
        <c:overlap val="-27"/>
        <c:axId val="863063695"/>
        <c:axId val="863062735"/>
      </c:barChart>
      <c:catAx>
        <c:axId val="863063695"/>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Mode of Acquisition</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062735"/>
        <c:crosses val="autoZero"/>
        <c:auto val="1"/>
        <c:lblAlgn val="ctr"/>
        <c:lblOffset val="100"/>
        <c:noMultiLvlLbl val="0"/>
      </c:catAx>
      <c:valAx>
        <c:axId val="8630627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Respondents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063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Purpose</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Sheet1!$H$3</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9A-4132-A16E-55BA64FA5C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9A-4132-A16E-55BA64FA5C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9A-4132-A16E-55BA64FA5C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9A-4132-A16E-55BA64FA5C7F}"/>
              </c:ext>
            </c:extLst>
          </c:dPt>
          <c:dLbls>
            <c:dLbl>
              <c:idx val="1"/>
              <c:spPr>
                <a:noFill/>
                <a:ln>
                  <a:noFill/>
                </a:ln>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3-289A-4132-A16E-55BA64FA5C7F}"/>
                </c:ext>
              </c:extLst>
            </c:dLbl>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Sheet1!$G$4:$G$7</c:f>
              <c:strCache>
                <c:ptCount val="4"/>
                <c:pt idx="0">
                  <c:v>Residential</c:v>
                </c:pt>
                <c:pt idx="1">
                  <c:v>Commercial</c:v>
                </c:pt>
                <c:pt idx="2">
                  <c:v>Agricultural</c:v>
                </c:pt>
                <c:pt idx="3">
                  <c:v>Industrial</c:v>
                </c:pt>
              </c:strCache>
            </c:strRef>
          </c:cat>
          <c:val>
            <c:numRef>
              <c:f>Sheet1!$H$4:$H$7</c:f>
              <c:numCache>
                <c:formatCode>0%</c:formatCode>
                <c:ptCount val="4"/>
                <c:pt idx="0">
                  <c:v>0.57999999999999996</c:v>
                </c:pt>
                <c:pt idx="1">
                  <c:v>0.27</c:v>
                </c:pt>
                <c:pt idx="2">
                  <c:v>0.1</c:v>
                </c:pt>
                <c:pt idx="3">
                  <c:v>0.05</c:v>
                </c:pt>
              </c:numCache>
            </c:numRef>
          </c:val>
          <c:extLst>
            <c:ext xmlns:c16="http://schemas.microsoft.com/office/drawing/2014/chart" uri="{C3380CC4-5D6E-409C-BE32-E72D297353CC}">
              <c16:uniqueId val="{00000008-289A-4132-A16E-55BA64FA5C7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Sheet1!$H$13</c:f>
              <c:strCache>
                <c:ptCount val="1"/>
                <c:pt idx="0">
                  <c:v>Percentage of Respondents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Sheet1!$G$14:$G$17</c:f>
              <c:strCache>
                <c:ptCount val="4"/>
                <c:pt idx="0">
                  <c:v>Bureaucratic Delays</c:v>
                </c:pt>
                <c:pt idx="1">
                  <c:v>Lack of Transparency and Accountability</c:v>
                </c:pt>
                <c:pt idx="2">
                  <c:v>Inefficient Record Keeping</c:v>
                </c:pt>
                <c:pt idx="3">
                  <c:v>Reluctance of Personnel</c:v>
                </c:pt>
              </c:strCache>
            </c:strRef>
          </c:cat>
          <c:val>
            <c:numRef>
              <c:f>Sheet1!$H$14:$H$17</c:f>
              <c:numCache>
                <c:formatCode>General</c:formatCode>
                <c:ptCount val="4"/>
                <c:pt idx="0">
                  <c:v>71</c:v>
                </c:pt>
                <c:pt idx="1">
                  <c:v>19</c:v>
                </c:pt>
                <c:pt idx="2">
                  <c:v>7</c:v>
                </c:pt>
                <c:pt idx="3">
                  <c:v>3</c:v>
                </c:pt>
              </c:numCache>
            </c:numRef>
          </c:val>
          <c:smooth val="0"/>
          <c:extLst>
            <c:ext xmlns:c16="http://schemas.microsoft.com/office/drawing/2014/chart" uri="{C3380CC4-5D6E-409C-BE32-E72D297353CC}">
              <c16:uniqueId val="{00000000-1A57-4E67-B73D-C31559C8D17C}"/>
            </c:ext>
          </c:extLst>
        </c:ser>
        <c:dLbls>
          <c:dLblPos val="t"/>
          <c:showLegendKey val="0"/>
          <c:showVal val="1"/>
          <c:showCatName val="0"/>
          <c:showSerName val="0"/>
          <c:showPercent val="0"/>
          <c:showBubbleSize val="0"/>
        </c:dLbls>
        <c:smooth val="0"/>
        <c:axId val="863040175"/>
        <c:axId val="863048335"/>
      </c:lineChart>
      <c:catAx>
        <c:axId val="863040175"/>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Barriers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048335"/>
        <c:crosses val="autoZero"/>
        <c:auto val="1"/>
        <c:lblAlgn val="ctr"/>
        <c:lblOffset val="100"/>
        <c:noMultiLvlLbl val="0"/>
      </c:catAx>
      <c:valAx>
        <c:axId val="863048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Respondents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0401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18</Pages>
  <Words>9459</Words>
  <Characters>53922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PC New 16</cp:lastModifiedBy>
  <cp:revision>85</cp:revision>
  <dcterms:created xsi:type="dcterms:W3CDTF">2025-06-24T00:57:00Z</dcterms:created>
  <dcterms:modified xsi:type="dcterms:W3CDTF">2025-07-10T12:16:00Z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731ee7fd-07f1-4b37-a645-ea597d326076</vt:lpwstr>
  </property>
</Properties>
</file>