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FD5322" w14:textId="608C064B" w:rsidR="00482957" w:rsidRPr="0079339C" w:rsidRDefault="00C43178" w:rsidP="00482957">
      <w:pPr>
        <w:jc w:val="both"/>
        <w:rPr>
          <w:rFonts w:ascii="Times New Roman" w:hAnsi="Times New Roman" w:cs="Times New Roman"/>
          <w:b/>
          <w:bCs/>
          <w:sz w:val="24"/>
          <w:szCs w:val="24"/>
        </w:rPr>
      </w:pPr>
      <w:r w:rsidRPr="00C43178">
        <w:rPr>
          <w:rFonts w:ascii="Times New Roman" w:hAnsi="Times New Roman" w:cs="Times New Roman"/>
          <w:b/>
          <w:bCs/>
          <w:sz w:val="24"/>
          <w:szCs w:val="24"/>
        </w:rPr>
        <w:t>Conservation Agriculture Practices and Their Impact on Soil Health and Pest Dynamics</w:t>
      </w:r>
    </w:p>
    <w:p w14:paraId="696B039C" w14:textId="77777777" w:rsidR="00482957" w:rsidRDefault="00482957" w:rsidP="00482957">
      <w:pPr>
        <w:jc w:val="both"/>
        <w:rPr>
          <w:rFonts w:ascii="Times New Roman" w:hAnsi="Times New Roman" w:cs="Times New Roman"/>
          <w:b/>
          <w:bCs/>
          <w:sz w:val="24"/>
          <w:szCs w:val="24"/>
        </w:rPr>
      </w:pPr>
      <w:bookmarkStart w:id="0" w:name="_GoBack"/>
      <w:bookmarkEnd w:id="0"/>
    </w:p>
    <w:p w14:paraId="1CB7AE5E" w14:textId="42590F4D" w:rsidR="00246A5D" w:rsidRPr="009D718B" w:rsidRDefault="00246A5D" w:rsidP="00267CE1">
      <w:pPr>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14:paraId="10482C25" w14:textId="77777777" w:rsidR="00482957" w:rsidRPr="00D65EFE" w:rsidRDefault="00482957" w:rsidP="00482957">
      <w:pPr>
        <w:ind w:firstLine="720"/>
        <w:jc w:val="both"/>
        <w:rPr>
          <w:rFonts w:ascii="Times New Roman" w:hAnsi="Times New Roman" w:cs="Times New Roman"/>
          <w:sz w:val="24"/>
          <w:szCs w:val="24"/>
        </w:rPr>
      </w:pPr>
    </w:p>
    <w:p w14:paraId="3BD25405" w14:textId="77777777" w:rsidR="00482957" w:rsidRPr="00E22036" w:rsidRDefault="00482957" w:rsidP="00482957">
      <w:pPr>
        <w:jc w:val="both"/>
        <w:rPr>
          <w:rFonts w:ascii="Times New Roman" w:hAnsi="Times New Roman" w:cs="Times New Roman"/>
          <w:b/>
          <w:bCs/>
          <w:sz w:val="24"/>
          <w:szCs w:val="24"/>
        </w:rPr>
      </w:pPr>
      <w:r w:rsidRPr="00E22036">
        <w:rPr>
          <w:rFonts w:ascii="Times New Roman" w:hAnsi="Times New Roman" w:cs="Times New Roman"/>
          <w:b/>
          <w:bCs/>
          <w:sz w:val="24"/>
          <w:szCs w:val="24"/>
        </w:rPr>
        <w:t xml:space="preserve">Abstract: </w:t>
      </w:r>
    </w:p>
    <w:p w14:paraId="695B8129" w14:textId="33F95CE9" w:rsidR="00D27D0C"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Conservation agriculture</w:t>
      </w:r>
      <w:r w:rsidR="00D27D0C">
        <w:rPr>
          <w:rFonts w:ascii="Times New Roman" w:hAnsi="Times New Roman" w:cs="Times New Roman"/>
          <w:sz w:val="24"/>
          <w:szCs w:val="24"/>
        </w:rPr>
        <w:t xml:space="preserve"> (CA)</w:t>
      </w:r>
      <w:r w:rsidRPr="00482957">
        <w:rPr>
          <w:rFonts w:ascii="Times New Roman" w:hAnsi="Times New Roman" w:cs="Times New Roman"/>
          <w:sz w:val="24"/>
          <w:szCs w:val="24"/>
        </w:rPr>
        <w:t xml:space="preserve"> practices, including reduced tillage, crop residue retention, and crop rotation, have gained prominence as sustainable farming methods. This review explores the impact of these practices on soil health parameters such as organic matter </w:t>
      </w:r>
      <w:r w:rsidR="005E0ABB">
        <w:rPr>
          <w:rFonts w:ascii="Times New Roman" w:hAnsi="Times New Roman" w:cs="Times New Roman"/>
          <w:sz w:val="24"/>
          <w:szCs w:val="24"/>
        </w:rPr>
        <w:t xml:space="preserve">(OM) </w:t>
      </w:r>
      <w:r w:rsidRPr="00482957">
        <w:rPr>
          <w:rFonts w:ascii="Times New Roman" w:hAnsi="Times New Roman" w:cs="Times New Roman"/>
          <w:sz w:val="24"/>
          <w:szCs w:val="24"/>
        </w:rPr>
        <w:t xml:space="preserve">content, nutrient availability, water retention capacity, and microbial diversity. Additionally, the article examines how </w:t>
      </w:r>
      <w:r w:rsidR="00D27D0C">
        <w:rPr>
          <w:rFonts w:ascii="Times New Roman" w:hAnsi="Times New Roman" w:cs="Times New Roman"/>
          <w:sz w:val="24"/>
          <w:szCs w:val="24"/>
        </w:rPr>
        <w:t>CA practices</w:t>
      </w:r>
      <w:r w:rsidRPr="00482957">
        <w:rPr>
          <w:rFonts w:ascii="Times New Roman" w:hAnsi="Times New Roman" w:cs="Times New Roman"/>
          <w:sz w:val="24"/>
          <w:szCs w:val="24"/>
        </w:rPr>
        <w:t xml:space="preserve"> influence pest dynamics, including weed, insect, and pathogen populations. The complex interactions between soil health and pest pressure under </w:t>
      </w:r>
      <w:r w:rsidR="00D27D0C">
        <w:rPr>
          <w:rFonts w:ascii="Times New Roman" w:hAnsi="Times New Roman" w:cs="Times New Roman"/>
          <w:sz w:val="24"/>
          <w:szCs w:val="24"/>
        </w:rPr>
        <w:t xml:space="preserve">CA </w:t>
      </w:r>
      <w:r w:rsidRPr="00482957">
        <w:rPr>
          <w:rFonts w:ascii="Times New Roman" w:hAnsi="Times New Roman" w:cs="Times New Roman"/>
          <w:sz w:val="24"/>
          <w:szCs w:val="24"/>
        </w:rPr>
        <w:t xml:space="preserve">systems are discussed. The review highlights the potential of </w:t>
      </w:r>
      <w:r w:rsidR="00D27D0C">
        <w:rPr>
          <w:rFonts w:ascii="Times New Roman" w:hAnsi="Times New Roman" w:cs="Times New Roman"/>
          <w:sz w:val="24"/>
          <w:szCs w:val="24"/>
        </w:rPr>
        <w:t xml:space="preserve">CA </w:t>
      </w:r>
      <w:r w:rsidRPr="00482957">
        <w:rPr>
          <w:rFonts w:ascii="Times New Roman" w:hAnsi="Times New Roman" w:cs="Times New Roman"/>
          <w:sz w:val="24"/>
          <w:szCs w:val="24"/>
        </w:rPr>
        <w:t xml:space="preserve">to improve soil quality while presenting challenges in pest management that require integrated approaches. Future research directions to optimize </w:t>
      </w:r>
      <w:r w:rsidR="00D27D0C">
        <w:rPr>
          <w:rFonts w:ascii="Times New Roman" w:hAnsi="Times New Roman" w:cs="Times New Roman"/>
          <w:sz w:val="24"/>
          <w:szCs w:val="24"/>
        </w:rPr>
        <w:t>CA</w:t>
      </w:r>
      <w:r w:rsidRPr="00482957">
        <w:rPr>
          <w:rFonts w:ascii="Times New Roman" w:hAnsi="Times New Roman" w:cs="Times New Roman"/>
          <w:sz w:val="24"/>
          <w:szCs w:val="24"/>
        </w:rPr>
        <w:t xml:space="preserve"> practices for enhanced soil health and sustainable pest management are suggested. </w:t>
      </w:r>
    </w:p>
    <w:p w14:paraId="0EEE0FB9" w14:textId="7E0D9008"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Keywords: conservation agriculture, soil health, pest dynamics, sustainability, agroecosystems</w:t>
      </w:r>
    </w:p>
    <w:p w14:paraId="5DDDDFC2" w14:textId="77777777" w:rsidR="00C43178" w:rsidRDefault="00482957" w:rsidP="00482957">
      <w:pPr>
        <w:jc w:val="both"/>
        <w:rPr>
          <w:rFonts w:ascii="Times New Roman" w:hAnsi="Times New Roman" w:cs="Times New Roman"/>
          <w:b/>
          <w:bCs/>
          <w:sz w:val="24"/>
          <w:szCs w:val="24"/>
        </w:rPr>
      </w:pPr>
      <w:r w:rsidRPr="00482957">
        <w:rPr>
          <w:rFonts w:ascii="Times New Roman" w:hAnsi="Times New Roman" w:cs="Times New Roman"/>
          <w:b/>
          <w:bCs/>
          <w:sz w:val="24"/>
          <w:szCs w:val="24"/>
        </w:rPr>
        <w:t>1. Introduction</w:t>
      </w:r>
    </w:p>
    <w:p w14:paraId="23DDEE1E"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 Conservation agriculture (CA) has emerged as a promising approach to sustainable food production, aiming to minimize soil disturbance, maintain permanent soil cover, and diversify crop rotations [1]. As concerns about soil degradation, water scarcity, and the environmental impact of conventional agriculture grow, CA practices have gained attention worldwide [2]. CA encompasses three key principles: reduced or no tillage, retention of crop residues on the soil surface, and implementation of diverse crop rotations [3].</w:t>
      </w:r>
    </w:p>
    <w:p w14:paraId="1404CA2B"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The adoption of CA practices has been driven by their potential to improve soil health, reduce erosion, enhance water retention, and sequester carbon [4]. Healthy soils are the foundation of sustainable agriculture, as they support plant growth, nutrient cycling, and ecosystem services [5]. CA practices promote soil health by increasing organic matter content, improving soil structure, and fostering diverse microbial communities [6].</w:t>
      </w:r>
    </w:p>
    <w:p w14:paraId="16CCA239" w14:textId="4091C9B6"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However, the transition from conventional to </w:t>
      </w:r>
      <w:r w:rsidR="00D27D0C">
        <w:rPr>
          <w:rFonts w:ascii="Times New Roman" w:hAnsi="Times New Roman" w:cs="Times New Roman"/>
          <w:sz w:val="24"/>
          <w:szCs w:val="24"/>
        </w:rPr>
        <w:t>CA</w:t>
      </w:r>
      <w:r w:rsidRPr="00482957">
        <w:rPr>
          <w:rFonts w:ascii="Times New Roman" w:hAnsi="Times New Roman" w:cs="Times New Roman"/>
          <w:sz w:val="24"/>
          <w:szCs w:val="24"/>
        </w:rPr>
        <w:t xml:space="preserve"> also presents challenges, particularly in terms of pest management [7]. Reduced tillage and crop residue retention can create favorable conditions for certain </w:t>
      </w:r>
      <w:r w:rsidR="00D27D0C" w:rsidRPr="00482957">
        <w:rPr>
          <w:rFonts w:ascii="Times New Roman" w:hAnsi="Times New Roman" w:cs="Times New Roman"/>
          <w:sz w:val="24"/>
          <w:szCs w:val="24"/>
        </w:rPr>
        <w:t>weeds</w:t>
      </w:r>
      <w:r w:rsidRPr="00482957">
        <w:rPr>
          <w:rFonts w:ascii="Times New Roman" w:hAnsi="Times New Roman" w:cs="Times New Roman"/>
          <w:sz w:val="24"/>
          <w:szCs w:val="24"/>
        </w:rPr>
        <w:t xml:space="preserve">, </w:t>
      </w:r>
      <w:r w:rsidR="00D27D0C">
        <w:rPr>
          <w:rFonts w:ascii="Times New Roman" w:hAnsi="Times New Roman" w:cs="Times New Roman"/>
          <w:sz w:val="24"/>
          <w:szCs w:val="24"/>
        </w:rPr>
        <w:t>insects</w:t>
      </w:r>
      <w:r w:rsidRPr="00482957">
        <w:rPr>
          <w:rFonts w:ascii="Times New Roman" w:hAnsi="Times New Roman" w:cs="Times New Roman"/>
          <w:sz w:val="24"/>
          <w:szCs w:val="24"/>
        </w:rPr>
        <w:t>, and pathogen populations [8]. Understanding the complex interactions between CA practices, soil health, and pest dynamics is crucial for developing effective and sustainable management strategies [9].</w:t>
      </w:r>
    </w:p>
    <w:p w14:paraId="43782CF0" w14:textId="33F41A48"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This review aims to synthesize current knowledge on the impact of </w:t>
      </w:r>
      <w:r w:rsidR="00D27D0C">
        <w:rPr>
          <w:rFonts w:ascii="Times New Roman" w:hAnsi="Times New Roman" w:cs="Times New Roman"/>
          <w:sz w:val="24"/>
          <w:szCs w:val="24"/>
        </w:rPr>
        <w:t>CA</w:t>
      </w:r>
      <w:r w:rsidRPr="00482957">
        <w:rPr>
          <w:rFonts w:ascii="Times New Roman" w:hAnsi="Times New Roman" w:cs="Times New Roman"/>
          <w:sz w:val="24"/>
          <w:szCs w:val="24"/>
        </w:rPr>
        <w:t xml:space="preserve"> practices on soil health and pest dynamics. It will discuss the benefits and challenges associated with CA in terms of soil quality and pest management, highlighting the need for integrated approaches. The review will also identify research gaps and future directions to optimize CA practices for enhanced agroecosystem sustainability.</w:t>
      </w:r>
    </w:p>
    <w:p w14:paraId="7460D0EB" w14:textId="77777777" w:rsidR="00C43178" w:rsidRDefault="00482957" w:rsidP="00482957">
      <w:pPr>
        <w:jc w:val="both"/>
        <w:rPr>
          <w:rFonts w:ascii="Times New Roman" w:hAnsi="Times New Roman" w:cs="Times New Roman"/>
          <w:b/>
          <w:bCs/>
          <w:sz w:val="24"/>
          <w:szCs w:val="24"/>
        </w:rPr>
      </w:pPr>
      <w:r w:rsidRPr="00482957">
        <w:rPr>
          <w:rFonts w:ascii="Times New Roman" w:hAnsi="Times New Roman" w:cs="Times New Roman"/>
          <w:b/>
          <w:bCs/>
          <w:sz w:val="24"/>
          <w:szCs w:val="24"/>
        </w:rPr>
        <w:lastRenderedPageBreak/>
        <w:t>2. Conservation Agriculture Practices</w:t>
      </w:r>
    </w:p>
    <w:p w14:paraId="413BD07D" w14:textId="77777777" w:rsidR="00C43178"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 </w:t>
      </w:r>
      <w:r w:rsidRPr="00482957">
        <w:rPr>
          <w:rFonts w:ascii="Times New Roman" w:hAnsi="Times New Roman" w:cs="Times New Roman"/>
          <w:b/>
          <w:bCs/>
          <w:sz w:val="24"/>
          <w:szCs w:val="24"/>
        </w:rPr>
        <w:t>2.1 Reduced Tillage</w:t>
      </w:r>
      <w:r w:rsidRPr="00482957">
        <w:rPr>
          <w:rFonts w:ascii="Times New Roman" w:hAnsi="Times New Roman" w:cs="Times New Roman"/>
          <w:sz w:val="24"/>
          <w:szCs w:val="24"/>
        </w:rPr>
        <w:t xml:space="preserve"> </w:t>
      </w:r>
    </w:p>
    <w:p w14:paraId="2EBA34D6"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Reduced tillage, also known as minimum tillage or no-till, involves minimizing soil disturbance by eliminating or reducing the frequency and intensity of plowing [10]. This practice aims to preserve soil structure, reduce erosion, and maintain soil organic matter [11]. Reduced tillage systems rely on direct seeding or planting into undisturbed soil, often using specialized equipment [12].</w:t>
      </w:r>
    </w:p>
    <w:p w14:paraId="3889BF06" w14:textId="77777777" w:rsidR="00C43178" w:rsidRDefault="00482957" w:rsidP="00482957">
      <w:pPr>
        <w:jc w:val="both"/>
        <w:rPr>
          <w:rFonts w:ascii="Times New Roman" w:hAnsi="Times New Roman" w:cs="Times New Roman"/>
          <w:sz w:val="24"/>
          <w:szCs w:val="24"/>
        </w:rPr>
      </w:pPr>
      <w:r w:rsidRPr="00482957">
        <w:rPr>
          <w:rFonts w:ascii="Times New Roman" w:hAnsi="Times New Roman" w:cs="Times New Roman"/>
          <w:b/>
          <w:bCs/>
          <w:sz w:val="24"/>
          <w:szCs w:val="24"/>
        </w:rPr>
        <w:t>2.2 Crop Residue Retention</w:t>
      </w:r>
      <w:r w:rsidRPr="00482957">
        <w:rPr>
          <w:rFonts w:ascii="Times New Roman" w:hAnsi="Times New Roman" w:cs="Times New Roman"/>
          <w:sz w:val="24"/>
          <w:szCs w:val="24"/>
        </w:rPr>
        <w:t xml:space="preserve"> </w:t>
      </w:r>
    </w:p>
    <w:p w14:paraId="17721562" w14:textId="659029D1"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Crop residue retention involves leaving plant residues from previous crops on the soil surface instead of removing or burning them [13]. This practice provides a protective layer that reduces soil erosion, moderates soil temperature, and conserves soil moisture [14]. Crop residues also serve as a source of </w:t>
      </w:r>
      <w:r w:rsidR="005E0ABB">
        <w:rPr>
          <w:rFonts w:ascii="Times New Roman" w:hAnsi="Times New Roman" w:cs="Times New Roman"/>
          <w:sz w:val="24"/>
          <w:szCs w:val="24"/>
        </w:rPr>
        <w:t>(OM)</w:t>
      </w:r>
      <w:r w:rsidRPr="00482957">
        <w:rPr>
          <w:rFonts w:ascii="Times New Roman" w:hAnsi="Times New Roman" w:cs="Times New Roman"/>
          <w:sz w:val="24"/>
          <w:szCs w:val="24"/>
        </w:rPr>
        <w:t>, gradually decomposing and contributing to soil nutrient cycling [15].</w:t>
      </w:r>
    </w:p>
    <w:p w14:paraId="0EAB2007" w14:textId="77777777" w:rsidR="00C43178" w:rsidRDefault="00482957" w:rsidP="00482957">
      <w:pPr>
        <w:jc w:val="both"/>
        <w:rPr>
          <w:rFonts w:ascii="Times New Roman" w:hAnsi="Times New Roman" w:cs="Times New Roman"/>
          <w:sz w:val="24"/>
          <w:szCs w:val="24"/>
        </w:rPr>
      </w:pPr>
      <w:r w:rsidRPr="00482957">
        <w:rPr>
          <w:rFonts w:ascii="Times New Roman" w:hAnsi="Times New Roman" w:cs="Times New Roman"/>
          <w:b/>
          <w:bCs/>
          <w:sz w:val="24"/>
          <w:szCs w:val="24"/>
        </w:rPr>
        <w:t>2.3 Crop Rotation</w:t>
      </w:r>
      <w:r w:rsidRPr="00482957">
        <w:rPr>
          <w:rFonts w:ascii="Times New Roman" w:hAnsi="Times New Roman" w:cs="Times New Roman"/>
          <w:sz w:val="24"/>
          <w:szCs w:val="24"/>
        </w:rPr>
        <w:t xml:space="preserve"> </w:t>
      </w:r>
    </w:p>
    <w:p w14:paraId="55F874B3" w14:textId="4B350AA2"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Crop rotation involves the sequential cultivation of different crops on the same land over successive seasons [16]. Diversifying crop rotations helps break pest and disease cycles, improve soil fertility, and enhance biodiversity [17]. Leguminous crops, such as soybeans or peas, are often included in rotations to fix atmospheric nitrogen</w:t>
      </w:r>
      <w:r w:rsidR="005E0ABB">
        <w:rPr>
          <w:rFonts w:ascii="Times New Roman" w:hAnsi="Times New Roman" w:cs="Times New Roman"/>
          <w:sz w:val="24"/>
          <w:szCs w:val="24"/>
        </w:rPr>
        <w:t xml:space="preserve"> (N)</w:t>
      </w:r>
      <w:r w:rsidRPr="00482957">
        <w:rPr>
          <w:rFonts w:ascii="Times New Roman" w:hAnsi="Times New Roman" w:cs="Times New Roman"/>
          <w:sz w:val="24"/>
          <w:szCs w:val="24"/>
        </w:rPr>
        <w:t xml:space="preserve"> and reduce reliance on synthetic fertilizers [18].</w:t>
      </w:r>
    </w:p>
    <w:p w14:paraId="37A1CDCC" w14:textId="77777777" w:rsidR="00C43178" w:rsidRDefault="00482957" w:rsidP="00482957">
      <w:pPr>
        <w:jc w:val="both"/>
        <w:rPr>
          <w:rFonts w:ascii="Times New Roman" w:hAnsi="Times New Roman" w:cs="Times New Roman"/>
          <w:sz w:val="24"/>
          <w:szCs w:val="24"/>
        </w:rPr>
      </w:pPr>
      <w:r w:rsidRPr="00482957">
        <w:rPr>
          <w:rFonts w:ascii="Times New Roman" w:hAnsi="Times New Roman" w:cs="Times New Roman"/>
          <w:b/>
          <w:bCs/>
          <w:sz w:val="24"/>
          <w:szCs w:val="24"/>
        </w:rPr>
        <w:t>3. Impact on Soil Health</w:t>
      </w:r>
      <w:r w:rsidRPr="00482957">
        <w:rPr>
          <w:rFonts w:ascii="Times New Roman" w:hAnsi="Times New Roman" w:cs="Times New Roman"/>
          <w:sz w:val="24"/>
          <w:szCs w:val="24"/>
        </w:rPr>
        <w:t xml:space="preserve"> </w:t>
      </w:r>
    </w:p>
    <w:p w14:paraId="5560CB9F" w14:textId="77777777" w:rsidR="00C43178" w:rsidRDefault="00482957" w:rsidP="00482957">
      <w:pPr>
        <w:jc w:val="both"/>
        <w:rPr>
          <w:rFonts w:ascii="Times New Roman" w:hAnsi="Times New Roman" w:cs="Times New Roman"/>
          <w:b/>
          <w:bCs/>
          <w:sz w:val="24"/>
          <w:szCs w:val="24"/>
        </w:rPr>
      </w:pPr>
      <w:r w:rsidRPr="00482957">
        <w:rPr>
          <w:rFonts w:ascii="Times New Roman" w:hAnsi="Times New Roman" w:cs="Times New Roman"/>
          <w:b/>
          <w:bCs/>
          <w:sz w:val="24"/>
          <w:szCs w:val="24"/>
        </w:rPr>
        <w:t>3.1 Organic Matter and Soil Structure</w:t>
      </w:r>
    </w:p>
    <w:p w14:paraId="7D707BA8"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 CA practices have been shown to increase soil organic matter content over time [19]. Reduced tillage minimizes the disturbance and oxidation of soil organic matter, while crop residues provide a continuous input of organic material [20]. Increased organic matter improves soil structure, enhancing aggregation and porosity [21]. Well-structured soils have better water infiltration, aeration, and root growth [22].</w:t>
      </w:r>
    </w:p>
    <w:p w14:paraId="5F44E79F" w14:textId="77777777" w:rsidR="00C43178" w:rsidRDefault="00482957" w:rsidP="00482957">
      <w:pPr>
        <w:jc w:val="both"/>
        <w:rPr>
          <w:rFonts w:ascii="Times New Roman" w:hAnsi="Times New Roman" w:cs="Times New Roman"/>
          <w:b/>
          <w:bCs/>
          <w:sz w:val="24"/>
          <w:szCs w:val="24"/>
        </w:rPr>
      </w:pPr>
      <w:r w:rsidRPr="00482957">
        <w:rPr>
          <w:rFonts w:ascii="Times New Roman" w:hAnsi="Times New Roman" w:cs="Times New Roman"/>
          <w:b/>
          <w:bCs/>
          <w:sz w:val="24"/>
          <w:szCs w:val="24"/>
        </w:rPr>
        <w:t>3.2 Nutrient Availability and Cycling</w:t>
      </w:r>
    </w:p>
    <w:p w14:paraId="7176A7E2"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 CA practices influence nutrient availability and cycling in soils. Crop residues release nutrients slowly as they decompose, providing a steady supply to subsequent crops [23]. Leguminous cover crops in rotations fix atmospheric nitrogen, reducing the need for synthetic fertilizers [24]. However, the immobilization of nutrients in crop residues can sometimes lead to temporary nutrient deficiencies, especially in the early stages of CA adoption [25].</w:t>
      </w:r>
    </w:p>
    <w:p w14:paraId="7013833B" w14:textId="77777777" w:rsidR="00C43178" w:rsidRDefault="00482957" w:rsidP="00482957">
      <w:pPr>
        <w:jc w:val="both"/>
        <w:rPr>
          <w:rFonts w:ascii="Times New Roman" w:hAnsi="Times New Roman" w:cs="Times New Roman"/>
          <w:sz w:val="24"/>
          <w:szCs w:val="24"/>
        </w:rPr>
      </w:pPr>
      <w:r w:rsidRPr="00482957">
        <w:rPr>
          <w:rFonts w:ascii="Times New Roman" w:hAnsi="Times New Roman" w:cs="Times New Roman"/>
          <w:b/>
          <w:bCs/>
          <w:sz w:val="24"/>
          <w:szCs w:val="24"/>
        </w:rPr>
        <w:t>3.3 Water Retention and Conservation</w:t>
      </w:r>
      <w:r w:rsidRPr="00482957">
        <w:rPr>
          <w:rFonts w:ascii="Times New Roman" w:hAnsi="Times New Roman" w:cs="Times New Roman"/>
          <w:sz w:val="24"/>
          <w:szCs w:val="24"/>
        </w:rPr>
        <w:t xml:space="preserve"> </w:t>
      </w:r>
    </w:p>
    <w:p w14:paraId="379E71A2"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Crop residues and improved soil structure under CA enhance water retention and infiltration [26]. Mulching with residues reduces evaporation losses and moderates soil temperature fluctuations [27]. Improved water holding capacity is particularly beneficial in drought-prone regions, where CA practices can help mitigate water stress [28].</w:t>
      </w:r>
    </w:p>
    <w:p w14:paraId="547A2FCA" w14:textId="77777777" w:rsidR="00C43178" w:rsidRDefault="00482957" w:rsidP="00482957">
      <w:pPr>
        <w:jc w:val="both"/>
        <w:rPr>
          <w:rFonts w:ascii="Times New Roman" w:hAnsi="Times New Roman" w:cs="Times New Roman"/>
          <w:b/>
          <w:bCs/>
          <w:sz w:val="24"/>
          <w:szCs w:val="24"/>
        </w:rPr>
      </w:pPr>
      <w:r w:rsidRPr="00482957">
        <w:rPr>
          <w:rFonts w:ascii="Times New Roman" w:hAnsi="Times New Roman" w:cs="Times New Roman"/>
          <w:b/>
          <w:bCs/>
          <w:sz w:val="24"/>
          <w:szCs w:val="24"/>
        </w:rPr>
        <w:lastRenderedPageBreak/>
        <w:t>3.4 Microbial Diversity and Activity</w:t>
      </w:r>
    </w:p>
    <w:p w14:paraId="6E882D59"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 CA practices foster diverse and abundant soil microbial communities [29]. Reduced tillage and crop residues provide a stable habitat and substrate for soil microorganisms [30]. Increased microbial biomass and activity contribute to nutrient cycling, organic matter decomposition, and the formation of stable soil aggregates [31]. Diverse microbial communities also play a role in suppressing soil-borne pathogens through competition and antagonism [32].</w:t>
      </w:r>
    </w:p>
    <w:p w14:paraId="7940AEC8" w14:textId="77777777" w:rsidR="00C43178" w:rsidRDefault="00482957" w:rsidP="00482957">
      <w:pPr>
        <w:jc w:val="both"/>
        <w:rPr>
          <w:rFonts w:ascii="Times New Roman" w:hAnsi="Times New Roman" w:cs="Times New Roman"/>
          <w:sz w:val="24"/>
          <w:szCs w:val="24"/>
        </w:rPr>
      </w:pPr>
      <w:r w:rsidRPr="00482957">
        <w:rPr>
          <w:rFonts w:ascii="Times New Roman" w:hAnsi="Times New Roman" w:cs="Times New Roman"/>
          <w:b/>
          <w:bCs/>
          <w:sz w:val="24"/>
          <w:szCs w:val="24"/>
        </w:rPr>
        <w:t>4. Impact on Pest Dynamics</w:t>
      </w:r>
      <w:r w:rsidRPr="00482957">
        <w:rPr>
          <w:rFonts w:ascii="Times New Roman" w:hAnsi="Times New Roman" w:cs="Times New Roman"/>
          <w:sz w:val="24"/>
          <w:szCs w:val="24"/>
        </w:rPr>
        <w:t xml:space="preserve"> </w:t>
      </w:r>
    </w:p>
    <w:p w14:paraId="417E2DCF" w14:textId="77777777" w:rsidR="00C43178" w:rsidRDefault="00482957" w:rsidP="00482957">
      <w:pPr>
        <w:jc w:val="both"/>
        <w:rPr>
          <w:rFonts w:ascii="Times New Roman" w:hAnsi="Times New Roman" w:cs="Times New Roman"/>
          <w:b/>
          <w:bCs/>
          <w:sz w:val="24"/>
          <w:szCs w:val="24"/>
        </w:rPr>
      </w:pPr>
      <w:r w:rsidRPr="00482957">
        <w:rPr>
          <w:rFonts w:ascii="Times New Roman" w:hAnsi="Times New Roman" w:cs="Times New Roman"/>
          <w:b/>
          <w:bCs/>
          <w:sz w:val="24"/>
          <w:szCs w:val="24"/>
        </w:rPr>
        <w:t>4.1 Weed Populations and Management</w:t>
      </w:r>
    </w:p>
    <w:p w14:paraId="20B0417B"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 CA practices, particularly reduced tillage, can lead to changes in weed populations and management challenges [33]. Without regular tillage to disrupt weed growth, certain weed species may thrive, especially perennials [34]. Crop residues can also create favorable conditions for weed seed germination [35]. However, CA systems can employ integrated weed management strategies, such as cover crops, crop rotations, and targeted herbicide applications, to suppress weed growth [36].</w:t>
      </w:r>
    </w:p>
    <w:p w14:paraId="24CCD903" w14:textId="77777777" w:rsidR="00C43178" w:rsidRDefault="00482957" w:rsidP="00482957">
      <w:pPr>
        <w:jc w:val="both"/>
        <w:rPr>
          <w:rFonts w:ascii="Times New Roman" w:hAnsi="Times New Roman" w:cs="Times New Roman"/>
          <w:sz w:val="24"/>
          <w:szCs w:val="24"/>
        </w:rPr>
      </w:pPr>
      <w:r w:rsidRPr="00482957">
        <w:rPr>
          <w:rFonts w:ascii="Times New Roman" w:hAnsi="Times New Roman" w:cs="Times New Roman"/>
          <w:b/>
          <w:bCs/>
          <w:sz w:val="24"/>
          <w:szCs w:val="24"/>
        </w:rPr>
        <w:t>4.2 Insect Pests and Natural Enemies</w:t>
      </w:r>
      <w:r w:rsidRPr="00482957">
        <w:rPr>
          <w:rFonts w:ascii="Times New Roman" w:hAnsi="Times New Roman" w:cs="Times New Roman"/>
          <w:sz w:val="24"/>
          <w:szCs w:val="24"/>
        </w:rPr>
        <w:t xml:space="preserve"> </w:t>
      </w:r>
    </w:p>
    <w:p w14:paraId="61AE0CF2"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The impact of CA on insect pest populations is complex and varies depending on the specific pest and agroecosystem [37]. Crop residues can provide shelter and overwintering sites for certain insect pests, leading to higher pest pressure [38]. However, CA practices also support diverse communities of natural enemies, such as predatory insects and spiders, which can contribute to pest suppression [39]. Crop rotations can disrupt the life cycles of host-specific pests, reducing their populations over time [40].</w:t>
      </w:r>
    </w:p>
    <w:p w14:paraId="6D339D57" w14:textId="77777777" w:rsidR="00C43178" w:rsidRDefault="00482957" w:rsidP="00482957">
      <w:pPr>
        <w:jc w:val="both"/>
        <w:rPr>
          <w:rFonts w:ascii="Times New Roman" w:hAnsi="Times New Roman" w:cs="Times New Roman"/>
          <w:b/>
          <w:bCs/>
          <w:sz w:val="24"/>
          <w:szCs w:val="24"/>
        </w:rPr>
      </w:pPr>
      <w:r w:rsidRPr="00482957">
        <w:rPr>
          <w:rFonts w:ascii="Times New Roman" w:hAnsi="Times New Roman" w:cs="Times New Roman"/>
          <w:b/>
          <w:bCs/>
          <w:sz w:val="24"/>
          <w:szCs w:val="24"/>
        </w:rPr>
        <w:t>4.3 Plant Pathogens and Disease Management</w:t>
      </w:r>
    </w:p>
    <w:p w14:paraId="7028155A"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 CA practices can influence the incidence and severity of plant diseases [41]. Crop residues can serve as a reservoir for plant pathogens, increasing the risk of disease outbreaks [42]. Reduced tillage may also favor the survival and spread of soil-borne pathogens [43]. However, CA systems can employ cultural practices, such as crop rotations and residue management, to break disease cycles and reduce inoculum levels [44]. Improved soil health under CA can also enhance plant resistance to diseases [45].</w:t>
      </w:r>
    </w:p>
    <w:p w14:paraId="4CC81C8C" w14:textId="77777777" w:rsidR="00C43178" w:rsidRDefault="00482957" w:rsidP="00482957">
      <w:pPr>
        <w:jc w:val="both"/>
        <w:rPr>
          <w:rFonts w:ascii="Times New Roman" w:hAnsi="Times New Roman" w:cs="Times New Roman"/>
          <w:b/>
          <w:bCs/>
          <w:sz w:val="24"/>
          <w:szCs w:val="24"/>
        </w:rPr>
      </w:pPr>
      <w:r w:rsidRPr="00482957">
        <w:rPr>
          <w:rFonts w:ascii="Times New Roman" w:hAnsi="Times New Roman" w:cs="Times New Roman"/>
          <w:b/>
          <w:bCs/>
          <w:sz w:val="24"/>
          <w:szCs w:val="24"/>
        </w:rPr>
        <w:t>5. Integrated Pest Management in Conservation Agriculture</w:t>
      </w:r>
    </w:p>
    <w:p w14:paraId="33FC14A1"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 Effective pest management in CA systems requires an integrated approach that combines cultural, biological, and chemical control methods [46]. Cultural practices, such as diverse crop rotations and cover cropping, can disrupt pest life cycles and create habitats for natural enemies [47]. Biological control, through the conservation and augmentation of beneficial organisms, can help regulate pest populations [48]. Targeted and judicious use of pesticides, guided by economic thresholds and pest monitoring, can complement other management strategies [49].</w:t>
      </w:r>
    </w:p>
    <w:p w14:paraId="68B0424C" w14:textId="77777777" w:rsidR="00C43178" w:rsidRDefault="00482957" w:rsidP="00482957">
      <w:pPr>
        <w:jc w:val="both"/>
        <w:rPr>
          <w:rFonts w:ascii="Times New Roman" w:hAnsi="Times New Roman" w:cs="Times New Roman"/>
          <w:sz w:val="24"/>
          <w:szCs w:val="24"/>
        </w:rPr>
      </w:pPr>
      <w:r w:rsidRPr="00482957">
        <w:rPr>
          <w:rFonts w:ascii="Times New Roman" w:hAnsi="Times New Roman" w:cs="Times New Roman"/>
          <w:b/>
          <w:bCs/>
          <w:sz w:val="24"/>
          <w:szCs w:val="24"/>
        </w:rPr>
        <w:t>6. Future Research Directions</w:t>
      </w:r>
      <w:r w:rsidRPr="00482957">
        <w:rPr>
          <w:rFonts w:ascii="Times New Roman" w:hAnsi="Times New Roman" w:cs="Times New Roman"/>
          <w:sz w:val="24"/>
          <w:szCs w:val="24"/>
        </w:rPr>
        <w:t xml:space="preserve"> </w:t>
      </w:r>
    </w:p>
    <w:p w14:paraId="4CEC4755"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lastRenderedPageBreak/>
        <w:t>While CA practices have shown promise in improving soil health and sustainability, further research is needed to optimize their implementation and address pest management challenges [50]. Future research should focus on:</w:t>
      </w:r>
    </w:p>
    <w:p w14:paraId="1F796D09" w14:textId="77777777" w:rsidR="00482957" w:rsidRPr="00482957" w:rsidRDefault="00482957" w:rsidP="00482957">
      <w:pPr>
        <w:numPr>
          <w:ilvl w:val="0"/>
          <w:numId w:val="1"/>
        </w:numPr>
        <w:tabs>
          <w:tab w:val="clear" w:pos="360"/>
          <w:tab w:val="num" w:pos="720"/>
        </w:tabs>
        <w:jc w:val="both"/>
        <w:rPr>
          <w:rFonts w:ascii="Times New Roman" w:hAnsi="Times New Roman" w:cs="Times New Roman"/>
          <w:sz w:val="24"/>
          <w:szCs w:val="24"/>
        </w:rPr>
      </w:pPr>
      <w:r w:rsidRPr="00482957">
        <w:rPr>
          <w:rFonts w:ascii="Times New Roman" w:hAnsi="Times New Roman" w:cs="Times New Roman"/>
          <w:sz w:val="24"/>
          <w:szCs w:val="24"/>
        </w:rPr>
        <w:t>Long-term studies to assess the cumulative effects of CA on soil health and pest dynamics across different agroecosystems [51].</w:t>
      </w:r>
    </w:p>
    <w:p w14:paraId="1058ADFE" w14:textId="77777777" w:rsidR="00482957" w:rsidRPr="00482957" w:rsidRDefault="00482957" w:rsidP="00482957">
      <w:pPr>
        <w:numPr>
          <w:ilvl w:val="0"/>
          <w:numId w:val="1"/>
        </w:numPr>
        <w:tabs>
          <w:tab w:val="clear" w:pos="360"/>
          <w:tab w:val="num" w:pos="720"/>
        </w:tabs>
        <w:jc w:val="both"/>
        <w:rPr>
          <w:rFonts w:ascii="Times New Roman" w:hAnsi="Times New Roman" w:cs="Times New Roman"/>
          <w:sz w:val="24"/>
          <w:szCs w:val="24"/>
        </w:rPr>
      </w:pPr>
      <w:r w:rsidRPr="00482957">
        <w:rPr>
          <w:rFonts w:ascii="Times New Roman" w:hAnsi="Times New Roman" w:cs="Times New Roman"/>
          <w:sz w:val="24"/>
          <w:szCs w:val="24"/>
        </w:rPr>
        <w:t>Development of improved crop varieties and cover crops that are well-suited to CA systems and resistant to pests and diseases [52].</w:t>
      </w:r>
    </w:p>
    <w:p w14:paraId="351793D5" w14:textId="77777777" w:rsidR="00482957" w:rsidRPr="00482957" w:rsidRDefault="00482957" w:rsidP="00482957">
      <w:pPr>
        <w:numPr>
          <w:ilvl w:val="0"/>
          <w:numId w:val="1"/>
        </w:numPr>
        <w:tabs>
          <w:tab w:val="clear" w:pos="360"/>
          <w:tab w:val="num" w:pos="720"/>
        </w:tabs>
        <w:jc w:val="both"/>
        <w:rPr>
          <w:rFonts w:ascii="Times New Roman" w:hAnsi="Times New Roman" w:cs="Times New Roman"/>
          <w:sz w:val="24"/>
          <w:szCs w:val="24"/>
        </w:rPr>
      </w:pPr>
      <w:r w:rsidRPr="00482957">
        <w:rPr>
          <w:rFonts w:ascii="Times New Roman" w:hAnsi="Times New Roman" w:cs="Times New Roman"/>
          <w:sz w:val="24"/>
          <w:szCs w:val="24"/>
        </w:rPr>
        <w:t>Exploration of innovative weed management strategies, such as precision agriculture techniques and targeted herbicide applications [53].</w:t>
      </w:r>
    </w:p>
    <w:p w14:paraId="648F32CF" w14:textId="77777777" w:rsidR="00482957" w:rsidRPr="00482957" w:rsidRDefault="00482957" w:rsidP="00482957">
      <w:pPr>
        <w:numPr>
          <w:ilvl w:val="0"/>
          <w:numId w:val="1"/>
        </w:numPr>
        <w:tabs>
          <w:tab w:val="clear" w:pos="360"/>
          <w:tab w:val="num" w:pos="720"/>
        </w:tabs>
        <w:jc w:val="both"/>
        <w:rPr>
          <w:rFonts w:ascii="Times New Roman" w:hAnsi="Times New Roman" w:cs="Times New Roman"/>
          <w:sz w:val="24"/>
          <w:szCs w:val="24"/>
        </w:rPr>
      </w:pPr>
      <w:r w:rsidRPr="00482957">
        <w:rPr>
          <w:rFonts w:ascii="Times New Roman" w:hAnsi="Times New Roman" w:cs="Times New Roman"/>
          <w:sz w:val="24"/>
          <w:szCs w:val="24"/>
        </w:rPr>
        <w:t>Investigation of the potential synergies between CA practices and biological control agents for effective pest management [54].</w:t>
      </w:r>
    </w:p>
    <w:p w14:paraId="649D26A2" w14:textId="77777777" w:rsidR="00482957" w:rsidRPr="00482957" w:rsidRDefault="00482957" w:rsidP="00482957">
      <w:pPr>
        <w:numPr>
          <w:ilvl w:val="0"/>
          <w:numId w:val="1"/>
        </w:numPr>
        <w:tabs>
          <w:tab w:val="clear" w:pos="360"/>
          <w:tab w:val="num" w:pos="720"/>
        </w:tabs>
        <w:jc w:val="both"/>
        <w:rPr>
          <w:rFonts w:ascii="Times New Roman" w:hAnsi="Times New Roman" w:cs="Times New Roman"/>
          <w:sz w:val="24"/>
          <w:szCs w:val="24"/>
        </w:rPr>
      </w:pPr>
      <w:r w:rsidRPr="00482957">
        <w:rPr>
          <w:rFonts w:ascii="Times New Roman" w:hAnsi="Times New Roman" w:cs="Times New Roman"/>
          <w:sz w:val="24"/>
          <w:szCs w:val="24"/>
        </w:rPr>
        <w:t>Economic and social assessments of CA adoption, considering factors such as labor requirements, input costs, and farmer perceptions [55].</w:t>
      </w:r>
    </w:p>
    <w:p w14:paraId="7BE00338" w14:textId="77777777" w:rsidR="008B212B" w:rsidRPr="008B212B" w:rsidRDefault="008B212B" w:rsidP="008B212B">
      <w:pPr>
        <w:ind w:firstLine="360"/>
        <w:jc w:val="both"/>
        <w:rPr>
          <w:rFonts w:ascii="Times New Roman" w:hAnsi="Times New Roman" w:cs="Times New Roman"/>
          <w:sz w:val="24"/>
          <w:szCs w:val="24"/>
        </w:rPr>
      </w:pPr>
      <w:r w:rsidRPr="008B212B">
        <w:rPr>
          <w:rFonts w:ascii="Times New Roman" w:hAnsi="Times New Roman" w:cs="Times New Roman"/>
          <w:sz w:val="24"/>
          <w:szCs w:val="24"/>
        </w:rPr>
        <w:t>Conservation Agriculture (CA) represents a paradigm shift in agricultural practices, moving away from conventional tillage-based systems toward more sustainable approaches that prioritize soil health, biodiversity, and ecological balance. As global concerns about food security, climate change, and environmental degradation intensify, CA has emerged as a promising framework to address these interconnected challenges. This comprehensive exploration examines how conservation agriculture practices influence soil health parameters and pest dynamics, highlighting both the benefits and challenges of implementing these systems across diverse agroecological contexts.</w:t>
      </w:r>
    </w:p>
    <w:p w14:paraId="5BE86A89" w14:textId="77777777" w:rsidR="008B212B" w:rsidRPr="008B212B" w:rsidRDefault="008B212B" w:rsidP="008B212B">
      <w:pPr>
        <w:ind w:firstLine="360"/>
        <w:jc w:val="both"/>
        <w:rPr>
          <w:rFonts w:ascii="Times New Roman" w:hAnsi="Times New Roman" w:cs="Times New Roman"/>
          <w:sz w:val="24"/>
          <w:szCs w:val="24"/>
        </w:rPr>
      </w:pPr>
      <w:r w:rsidRPr="008B212B">
        <w:rPr>
          <w:rFonts w:ascii="Times New Roman" w:hAnsi="Times New Roman" w:cs="Times New Roman"/>
          <w:sz w:val="24"/>
          <w:szCs w:val="24"/>
        </w:rPr>
        <w:t>Conservation Agriculture is built upon three fundamental principles: minimal soil disturbance (reduced or no-tillage), permanent soil cover (through cover crops or crop residues), and crop diversification (through rotation or intercropping). These principles work synergistically to create resilient agricultural systems that maintain productivity while enhancing ecological functions. The holistic approach of CA recognizes that soil is not merely a substrate for plant growth but a complex living ecosystem whose health directly influences crop performance, pest pressure, and overall system sustainability.</w:t>
      </w:r>
    </w:p>
    <w:p w14:paraId="7E4BF8E2" w14:textId="77777777" w:rsidR="008B212B" w:rsidRPr="008B212B" w:rsidRDefault="008B212B" w:rsidP="008B212B">
      <w:pPr>
        <w:jc w:val="both"/>
        <w:rPr>
          <w:rFonts w:ascii="Times New Roman" w:hAnsi="Times New Roman" w:cs="Times New Roman"/>
          <w:sz w:val="24"/>
          <w:szCs w:val="24"/>
        </w:rPr>
      </w:pPr>
      <w:r w:rsidRPr="008B212B">
        <w:rPr>
          <w:rFonts w:ascii="Times New Roman" w:hAnsi="Times New Roman" w:cs="Times New Roman"/>
          <w:sz w:val="24"/>
          <w:szCs w:val="24"/>
        </w:rPr>
        <w:t>Soil health represents the continued capacity of soil to function as a vital living ecosystem that sustains plants, animals, and humans. It encompasses physical, chemical, and biological parameters that interact in complex ways. Conservation Agriculture practices significantly influence these parameters, often with profound implications for agricultural productivity and environmental sustainability. The physical structure of soil, for instance, undergoes remarkable transformation under CA systems. By minimizing mechanical disturbance through reduced or zero tillage, CA helps maintain soil aggregates – the building blocks of soil structure. These aggregates create a network of pores of varying sizes that facilitate water infiltration, gas exchange, and root penetration. Long-term studies across diverse agroecological zones have demonstrated that CA practices lead to improved soil aggregation, increased porosity, and enhanced structural stability compared to conventional tillage systems.</w:t>
      </w:r>
    </w:p>
    <w:p w14:paraId="4398049E" w14:textId="77777777" w:rsidR="008B212B" w:rsidRPr="008B212B" w:rsidRDefault="008B212B" w:rsidP="008B212B">
      <w:pPr>
        <w:jc w:val="both"/>
        <w:rPr>
          <w:rFonts w:ascii="Times New Roman" w:hAnsi="Times New Roman" w:cs="Times New Roman"/>
          <w:sz w:val="24"/>
          <w:szCs w:val="24"/>
        </w:rPr>
      </w:pPr>
      <w:r w:rsidRPr="008B212B">
        <w:rPr>
          <w:rFonts w:ascii="Times New Roman" w:hAnsi="Times New Roman" w:cs="Times New Roman"/>
          <w:sz w:val="24"/>
          <w:szCs w:val="24"/>
        </w:rPr>
        <w:lastRenderedPageBreak/>
        <w:t>Water dynamics within agricultural systems are also profoundly influenced by CA practices. The improved soil structure under CA enhances water infiltration rates, reducing surface runoff and erosion. Furthermore, the presence of crop residues or cover crops on the soil surface acts as a protective barrier that minimizes evaporation losses and moderates soil temperature fluctuations. This moisture conservation aspect of CA is particularly valuable in rain-fed agricultural systems and regions experiencing increasing climate variability. Research from semi-arid regions has documented substantial improvements in water use efficiency under CA systems, with some studies reporting water savings of 15-40% compared to conventional practices. The enhanced water retention capacity not only supports crop growth during dry spells but also contributes to groundwater recharge and reduced flooding risks during intense rainfall events.</w:t>
      </w:r>
    </w:p>
    <w:p w14:paraId="39F5E775" w14:textId="77777777" w:rsidR="008B212B" w:rsidRPr="008B212B" w:rsidRDefault="008B212B" w:rsidP="008B212B">
      <w:pPr>
        <w:jc w:val="both"/>
        <w:rPr>
          <w:rFonts w:ascii="Times New Roman" w:hAnsi="Times New Roman" w:cs="Times New Roman"/>
          <w:sz w:val="24"/>
          <w:szCs w:val="24"/>
        </w:rPr>
      </w:pPr>
      <w:r w:rsidRPr="008B212B">
        <w:rPr>
          <w:rFonts w:ascii="Times New Roman" w:hAnsi="Times New Roman" w:cs="Times New Roman"/>
          <w:sz w:val="24"/>
          <w:szCs w:val="24"/>
        </w:rPr>
        <w:t xml:space="preserve">The chemical properties of soil undergo significant changes under Conservation Agriculture regimes. One of the most notable transformations is the gradual increase in soil organic carbon (SOC) content. By minimizing soil disturbance and providing continuous organic inputs through crop residues and cover crops, CA creates favorable conditions for carbon sequestration. The accumulation of SOC represents a win-win scenario: it mitigates climate change by removing carbon dioxide from the atmosphere while simultaneously improving soil fertility and structure. Meta-analyses of global data have shown that conversion from conventional tillage to no-till systems can increase SOC stocks by 0.3-0.6 </w:t>
      </w:r>
      <w:proofErr w:type="spellStart"/>
      <w:r w:rsidRPr="008B212B">
        <w:rPr>
          <w:rFonts w:ascii="Times New Roman" w:hAnsi="Times New Roman" w:cs="Times New Roman"/>
          <w:sz w:val="24"/>
          <w:szCs w:val="24"/>
        </w:rPr>
        <w:t>tonnes</w:t>
      </w:r>
      <w:proofErr w:type="spellEnd"/>
      <w:r w:rsidRPr="008B212B">
        <w:rPr>
          <w:rFonts w:ascii="Times New Roman" w:hAnsi="Times New Roman" w:cs="Times New Roman"/>
          <w:sz w:val="24"/>
          <w:szCs w:val="24"/>
        </w:rPr>
        <w:t xml:space="preserve"> per hectare per year, although the rates vary considerably depending on climate, soil type, and management practices.</w:t>
      </w:r>
    </w:p>
    <w:p w14:paraId="29BD46FA" w14:textId="77777777" w:rsidR="008B212B" w:rsidRPr="008B212B" w:rsidRDefault="008B212B" w:rsidP="008B212B">
      <w:pPr>
        <w:jc w:val="both"/>
        <w:rPr>
          <w:rFonts w:ascii="Times New Roman" w:hAnsi="Times New Roman" w:cs="Times New Roman"/>
          <w:sz w:val="24"/>
          <w:szCs w:val="24"/>
        </w:rPr>
      </w:pPr>
      <w:r w:rsidRPr="008B212B">
        <w:rPr>
          <w:rFonts w:ascii="Times New Roman" w:hAnsi="Times New Roman" w:cs="Times New Roman"/>
          <w:sz w:val="24"/>
          <w:szCs w:val="24"/>
        </w:rPr>
        <w:t>The nutrient cycling dynamics in CA systems differ markedly from conventional agriculture. The stratification of nutrients, particularly phosphorus and potassium, is commonly observed in no-till systems, with higher concentrations in the surface layers. While this pattern raises concerns about potential nutrient imbalances, research indicates that the enhanced biological activity in CA soils often compensates by improving nutrient accessibility. The decomposition of crop residues and the activities of soil organisms contribute to a more gradual release of nutrients, potentially reducing leaching losses and increasing nutrient use efficiency. Additionally, the improved soil structure and water infiltration under CA can reduce the loss of dissolved nutrients through runoff, further enhancing the system's resource efficiency.</w:t>
      </w:r>
    </w:p>
    <w:p w14:paraId="5D58A5A2" w14:textId="77777777" w:rsidR="008B212B" w:rsidRPr="008B212B" w:rsidRDefault="008B212B" w:rsidP="008B212B">
      <w:pPr>
        <w:jc w:val="both"/>
        <w:rPr>
          <w:rFonts w:ascii="Times New Roman" w:hAnsi="Times New Roman" w:cs="Times New Roman"/>
          <w:sz w:val="24"/>
          <w:szCs w:val="24"/>
        </w:rPr>
      </w:pPr>
      <w:r w:rsidRPr="008B212B">
        <w:rPr>
          <w:rFonts w:ascii="Times New Roman" w:hAnsi="Times New Roman" w:cs="Times New Roman"/>
          <w:sz w:val="24"/>
          <w:szCs w:val="24"/>
        </w:rPr>
        <w:t>Perhaps the most dramatic changes under CA occur in soil biological properties. The combination of minimal disturbance, permanent soil cover, and diverse crop rotations creates a favorable habitat for soil organisms, from microscopic bacteria and fungi to larger fauna like earthworms and arthropods. These organisms perform crucial ecosystem services, including organic matter decomposition, nutrient cycling, pest suppression, and soil structure formation. Studies comparing conventional and CA systems have consistently documented higher microbial biomass, diversity, and activity in soils under conservation management. The fungal community, in particular, tends to flourish under no-till conditions, with mycorrhizal fungi forming extensive networks that enhance nutrient uptake for crops. Earthworm populations often increase several-fold under CA, contributing to improved soil structure through their burrowing activities and the formation of stable organo-mineral complexes.</w:t>
      </w:r>
    </w:p>
    <w:p w14:paraId="2CD71643" w14:textId="77777777" w:rsidR="008B212B" w:rsidRPr="008B212B" w:rsidRDefault="008B212B" w:rsidP="008B212B">
      <w:pPr>
        <w:jc w:val="both"/>
        <w:rPr>
          <w:rFonts w:ascii="Times New Roman" w:hAnsi="Times New Roman" w:cs="Times New Roman"/>
          <w:sz w:val="24"/>
          <w:szCs w:val="24"/>
        </w:rPr>
      </w:pPr>
      <w:r w:rsidRPr="008B212B">
        <w:rPr>
          <w:rFonts w:ascii="Times New Roman" w:hAnsi="Times New Roman" w:cs="Times New Roman"/>
          <w:sz w:val="24"/>
          <w:szCs w:val="24"/>
        </w:rPr>
        <w:t xml:space="preserve">The transition to Conservation Agriculture fundamentally alters the ecological context in which pests and their natural enemies interact. These changes in pest dynamics result from multiple </w:t>
      </w:r>
      <w:r w:rsidRPr="008B212B">
        <w:rPr>
          <w:rFonts w:ascii="Times New Roman" w:hAnsi="Times New Roman" w:cs="Times New Roman"/>
          <w:sz w:val="24"/>
          <w:szCs w:val="24"/>
        </w:rPr>
        <w:lastRenderedPageBreak/>
        <w:t>interacting factors, including modifications to the physical environment, shifts in resource availability, alterations to predator-prey relationships, and changes in the timing of ecological processes. Understanding these complex interactions is essential for developing effective integrated pest management strategies within CA systems.</w:t>
      </w:r>
    </w:p>
    <w:p w14:paraId="527DDD15" w14:textId="77777777" w:rsidR="008B212B" w:rsidRPr="008B212B" w:rsidRDefault="008B212B" w:rsidP="008B212B">
      <w:pPr>
        <w:jc w:val="both"/>
        <w:rPr>
          <w:rFonts w:ascii="Times New Roman" w:hAnsi="Times New Roman" w:cs="Times New Roman"/>
          <w:sz w:val="24"/>
          <w:szCs w:val="24"/>
        </w:rPr>
      </w:pPr>
      <w:r w:rsidRPr="008B212B">
        <w:rPr>
          <w:rFonts w:ascii="Times New Roman" w:hAnsi="Times New Roman" w:cs="Times New Roman"/>
          <w:sz w:val="24"/>
          <w:szCs w:val="24"/>
        </w:rPr>
        <w:t>The physical habitat created by CA practices significantly influences pest populations. The presence of crop residues on the soil surface modifies microclimate conditions, often creating cooler and moister environments that can favor certain organisms. For soil-dwelling pests, the reduced soil disturbance under CA can either provide stable habitats that increase their abundance or disrupt their life cycles by preserving natural enemy populations. The research literature presents mixed findings regarding pest responses to CA, highlighting the context-specific nature of these interactions. For instance, studies from temperate regions have reported increased problems with slugs and snails in no-till systems, attributed to the favorable microclimate and shelter provided by surface residues. Conversely, research from tropical systems has documented reduced incidence of certain insect pests under CA, often linked to enhanced natural enemy populations and improved crop vigor.</w:t>
      </w:r>
    </w:p>
    <w:p w14:paraId="4197592D" w14:textId="77777777" w:rsidR="008B212B" w:rsidRPr="008B212B" w:rsidRDefault="008B212B" w:rsidP="008B212B">
      <w:pPr>
        <w:jc w:val="both"/>
        <w:rPr>
          <w:rFonts w:ascii="Times New Roman" w:hAnsi="Times New Roman" w:cs="Times New Roman"/>
          <w:sz w:val="24"/>
          <w:szCs w:val="24"/>
        </w:rPr>
      </w:pPr>
      <w:r w:rsidRPr="008B212B">
        <w:rPr>
          <w:rFonts w:ascii="Times New Roman" w:hAnsi="Times New Roman" w:cs="Times New Roman"/>
          <w:sz w:val="24"/>
          <w:szCs w:val="24"/>
        </w:rPr>
        <w:t>Weed management represents one of the most significant challenges in CA systems, particularly during the transition phase. The shift from tillage-based weed control to integrated approaches requires careful planning and adaptation. Initially, weed pressure may increase as the seed bank established under conventional management expresses itself. However, long-term studies indicate that weed communities typically undergo succession under CA, with a gradual shift from annual to perennial species and often an overall reduction in weed density after several years of consistent management. The mechanisms driving these changes include altered germination cues due to the absence of soil disturbance, physical suppression by mulch layers, competition from cover crops, and predation of weed seeds by enhanced populations of seed predators. Successful weed management in CA systems generally combines multiple strategies, including strategic use of herbicides, competitive crop varieties, optimized planting arrangements, cover crop selection, and occasional mechanical interventions.</w:t>
      </w:r>
    </w:p>
    <w:p w14:paraId="6644F86D" w14:textId="77777777" w:rsidR="008B212B" w:rsidRPr="008B212B" w:rsidRDefault="008B212B" w:rsidP="008B212B">
      <w:pPr>
        <w:jc w:val="both"/>
        <w:rPr>
          <w:rFonts w:ascii="Times New Roman" w:hAnsi="Times New Roman" w:cs="Times New Roman"/>
          <w:sz w:val="24"/>
          <w:szCs w:val="24"/>
        </w:rPr>
      </w:pPr>
      <w:r w:rsidRPr="008B212B">
        <w:rPr>
          <w:rFonts w:ascii="Times New Roman" w:hAnsi="Times New Roman" w:cs="Times New Roman"/>
          <w:sz w:val="24"/>
          <w:szCs w:val="24"/>
        </w:rPr>
        <w:t xml:space="preserve">The dynamics of soil-borne pathogens under Conservation Agriculture are particularly complex, influenced by changes in soil physical and chemical properties, shifts in microbial communities, and alterations to crop-pathogen interactions. The retention of crop residues can potentially provide habitat and survival mechanisms for certain pathogens, especially those causing diseases in the subsequent crop of the same family. This risk highlights the critical importance of diverse crop rotations in CA systems to break disease cycles. However, the enhanced biological activity and diversity observed in CA soils often contribute to disease suppression through multiple mechanisms, including competition, antagonism, parasitism, and induced systemic resistance in host plants. Research from various cropping systems has demonstrated that well-managed CA practices can reduce the incidence of certain soil-borne diseases by fostering suppressive soil microbiomes, although the outcomes depend on the specific </w:t>
      </w:r>
      <w:proofErr w:type="spellStart"/>
      <w:r w:rsidRPr="008B212B">
        <w:rPr>
          <w:rFonts w:ascii="Times New Roman" w:hAnsi="Times New Roman" w:cs="Times New Roman"/>
          <w:sz w:val="24"/>
          <w:szCs w:val="24"/>
        </w:rPr>
        <w:t>pathosystem</w:t>
      </w:r>
      <w:proofErr w:type="spellEnd"/>
      <w:r w:rsidRPr="008B212B">
        <w:rPr>
          <w:rFonts w:ascii="Times New Roman" w:hAnsi="Times New Roman" w:cs="Times New Roman"/>
          <w:sz w:val="24"/>
          <w:szCs w:val="24"/>
        </w:rPr>
        <w:t xml:space="preserve"> and management context.</w:t>
      </w:r>
    </w:p>
    <w:p w14:paraId="7EFB48B5" w14:textId="77777777" w:rsidR="008B212B" w:rsidRPr="008B212B" w:rsidRDefault="008B212B" w:rsidP="008B212B">
      <w:pPr>
        <w:jc w:val="both"/>
        <w:rPr>
          <w:rFonts w:ascii="Times New Roman" w:hAnsi="Times New Roman" w:cs="Times New Roman"/>
          <w:sz w:val="24"/>
          <w:szCs w:val="24"/>
        </w:rPr>
      </w:pPr>
      <w:r w:rsidRPr="008B212B">
        <w:rPr>
          <w:rFonts w:ascii="Times New Roman" w:hAnsi="Times New Roman" w:cs="Times New Roman"/>
          <w:sz w:val="24"/>
          <w:szCs w:val="24"/>
        </w:rPr>
        <w:t xml:space="preserve">Above-ground pests and diseases respond to the complex habitat modifications created by CA practices. The increased vegetation diversity through intercropping, relay cropping, or rotational </w:t>
      </w:r>
      <w:r w:rsidRPr="008B212B">
        <w:rPr>
          <w:rFonts w:ascii="Times New Roman" w:hAnsi="Times New Roman" w:cs="Times New Roman"/>
          <w:sz w:val="24"/>
          <w:szCs w:val="24"/>
        </w:rPr>
        <w:lastRenderedPageBreak/>
        <w:t>diversity can disrupt pest location of host plants and reduce the spread of specialist herbivores. The "resource concentration hypothesis" suggests that pests are more likely to find and remain on host plants that are grown in pure stands than when interspersed with non-host plants. Additionally, the "</w:t>
      </w:r>
      <w:proofErr w:type="gramStart"/>
      <w:r w:rsidRPr="008B212B">
        <w:rPr>
          <w:rFonts w:ascii="Times New Roman" w:hAnsi="Times New Roman" w:cs="Times New Roman"/>
          <w:sz w:val="24"/>
          <w:szCs w:val="24"/>
        </w:rPr>
        <w:t>enemies</w:t>
      </w:r>
      <w:proofErr w:type="gramEnd"/>
      <w:r w:rsidRPr="008B212B">
        <w:rPr>
          <w:rFonts w:ascii="Times New Roman" w:hAnsi="Times New Roman" w:cs="Times New Roman"/>
          <w:sz w:val="24"/>
          <w:szCs w:val="24"/>
        </w:rPr>
        <w:t xml:space="preserve"> hypothesis" proposes that diverse cropping systems support higher populations of natural enemies that help regulate pest populations. Evidence supporting these hypotheses comes from studies across different agricultural systems, showing reduced pest incidence and damage in diverse CA arrangements compared to monocultures. However, the outcomes are not universally positive and depend on the specific pest-crop combination, the surrounding landscape context, and the particular implementation of CA principles.</w:t>
      </w:r>
    </w:p>
    <w:p w14:paraId="0921432A" w14:textId="77777777" w:rsidR="008B212B" w:rsidRPr="008B212B" w:rsidRDefault="008B212B" w:rsidP="008B212B">
      <w:pPr>
        <w:jc w:val="both"/>
        <w:rPr>
          <w:rFonts w:ascii="Times New Roman" w:hAnsi="Times New Roman" w:cs="Times New Roman"/>
          <w:sz w:val="24"/>
          <w:szCs w:val="24"/>
        </w:rPr>
      </w:pPr>
      <w:r w:rsidRPr="008B212B">
        <w:rPr>
          <w:rFonts w:ascii="Times New Roman" w:hAnsi="Times New Roman" w:cs="Times New Roman"/>
          <w:sz w:val="24"/>
          <w:szCs w:val="24"/>
        </w:rPr>
        <w:t>The conservation of natural enemies represents one of the most significant potential benefits of CA systems for pest management. The reduced disturbance, habitat diversity, and resource continuity provided by CA practices create favorable conditions for predators and parasitoids. Numerous studies have documented higher abundance and diversity of beneficial arthropods in CA systems compared to conventional agriculture. These natural enemies provide valuable ecosystem services through biological control of pests, potentially reducing the need for pesticide applications. The economic value of these services is substantial, although often underappreciated in conventional cost-benefit analyses of agricultural systems. Conservation biological control – the practice of modifying the environment to protect and enhance natural enemies – aligns perfectly with CA principles and offers significant potential for synergistic integration.</w:t>
      </w:r>
    </w:p>
    <w:p w14:paraId="5C1A5C07" w14:textId="77777777" w:rsidR="008B212B" w:rsidRPr="008B212B" w:rsidRDefault="008B212B" w:rsidP="008B212B">
      <w:pPr>
        <w:jc w:val="both"/>
        <w:rPr>
          <w:rFonts w:ascii="Times New Roman" w:hAnsi="Times New Roman" w:cs="Times New Roman"/>
          <w:sz w:val="24"/>
          <w:szCs w:val="24"/>
        </w:rPr>
      </w:pPr>
      <w:r w:rsidRPr="008B212B">
        <w:rPr>
          <w:rFonts w:ascii="Times New Roman" w:hAnsi="Times New Roman" w:cs="Times New Roman"/>
          <w:sz w:val="24"/>
          <w:szCs w:val="24"/>
        </w:rPr>
        <w:t>The transition to Conservation Agriculture involves complex trade-offs and context-specific challenges that must be addressed for successful implementation. During the initial years of conversion from conventional to CA practices, farmers often face increased weed pressure, potential yield penalties, and technical difficulties in adapting equipment and management approaches. These challenges can be particularly daunting for resource-limited farmers without access to appropriate technology, knowledge, or financial support. The time lag between adoption of CA practices and the realization of soil health benefits requires patience and long-term planning, which may conflict with immediate economic pressures faced by many farmers.</w:t>
      </w:r>
    </w:p>
    <w:p w14:paraId="7A49541A" w14:textId="77777777" w:rsidR="008B212B" w:rsidRPr="008B212B" w:rsidRDefault="008B212B" w:rsidP="008B212B">
      <w:pPr>
        <w:jc w:val="both"/>
        <w:rPr>
          <w:rFonts w:ascii="Times New Roman" w:hAnsi="Times New Roman" w:cs="Times New Roman"/>
          <w:sz w:val="24"/>
          <w:szCs w:val="24"/>
        </w:rPr>
      </w:pPr>
      <w:r w:rsidRPr="008B212B">
        <w:rPr>
          <w:rFonts w:ascii="Times New Roman" w:hAnsi="Times New Roman" w:cs="Times New Roman"/>
          <w:sz w:val="24"/>
          <w:szCs w:val="24"/>
        </w:rPr>
        <w:t>The successful implementation of CA requires a systems approach that considers the entire production context, including socioeconomic factors, local knowledge, and institutional support. Adaptations of CA principles to fit specific agroecological and socioeconomic contexts are essential, as blanket recommendations rarely succeed across diverse farming systems. Participatory approaches that engage farmers in the co-development of locally appropriate CA practices have shown greater success rates than top-down technology transfer models. Additionally, enabling policies, market incentives, and institutional support are crucial for widespread adoption and sustained implementation of CA systems.</w:t>
      </w:r>
    </w:p>
    <w:p w14:paraId="6A2C684C" w14:textId="77777777" w:rsidR="008B212B" w:rsidRPr="008B212B" w:rsidRDefault="008B212B" w:rsidP="008B212B">
      <w:pPr>
        <w:jc w:val="both"/>
        <w:rPr>
          <w:rFonts w:ascii="Times New Roman" w:hAnsi="Times New Roman" w:cs="Times New Roman"/>
          <w:sz w:val="24"/>
          <w:szCs w:val="24"/>
        </w:rPr>
      </w:pPr>
      <w:r w:rsidRPr="008B212B">
        <w:rPr>
          <w:rFonts w:ascii="Times New Roman" w:hAnsi="Times New Roman" w:cs="Times New Roman"/>
          <w:sz w:val="24"/>
          <w:szCs w:val="24"/>
        </w:rPr>
        <w:t xml:space="preserve">The integration of emerging technologies offers promising avenues to enhance the effectiveness and adoption of Conservation Agriculture. Precision agriculture tools, including GPS-guided equipment, variable rate technology, and remote sensing, can improve the efficiency of resource use and management precision in CA systems. Digital decision support tools that incorporate real-time data on weather, soil conditions, and pest pressure can help farmers optimize their </w:t>
      </w:r>
      <w:r w:rsidRPr="008B212B">
        <w:rPr>
          <w:rFonts w:ascii="Times New Roman" w:hAnsi="Times New Roman" w:cs="Times New Roman"/>
          <w:sz w:val="24"/>
          <w:szCs w:val="24"/>
        </w:rPr>
        <w:lastRenderedPageBreak/>
        <w:t>management practices. Advanced breeding programs focused on developing crop varieties specifically adapted to CA conditions – such as those with vigorous early growth under mulch, enhanced weed competitiveness, or improved nutrient acquisition efficiency – could address some of the challenges currently faced in CA implementation.</w:t>
      </w:r>
    </w:p>
    <w:p w14:paraId="44AA1961" w14:textId="77777777" w:rsidR="00C43178" w:rsidRDefault="00482957" w:rsidP="00482957">
      <w:pPr>
        <w:jc w:val="both"/>
        <w:rPr>
          <w:rFonts w:ascii="Times New Roman" w:hAnsi="Times New Roman" w:cs="Times New Roman"/>
          <w:sz w:val="24"/>
          <w:szCs w:val="24"/>
        </w:rPr>
      </w:pPr>
      <w:r w:rsidRPr="00482957">
        <w:rPr>
          <w:rFonts w:ascii="Times New Roman" w:hAnsi="Times New Roman" w:cs="Times New Roman"/>
          <w:b/>
          <w:bCs/>
          <w:sz w:val="24"/>
          <w:szCs w:val="24"/>
        </w:rPr>
        <w:t xml:space="preserve"> Conclusion</w:t>
      </w:r>
      <w:r w:rsidRPr="00482957">
        <w:rPr>
          <w:rFonts w:ascii="Times New Roman" w:hAnsi="Times New Roman" w:cs="Times New Roman"/>
          <w:sz w:val="24"/>
          <w:szCs w:val="24"/>
        </w:rPr>
        <w:t xml:space="preserve"> </w:t>
      </w:r>
    </w:p>
    <w:p w14:paraId="4C9C7C0C" w14:textId="60974BEC" w:rsid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Conservation agriculture practices, including reduced tillage, crop residue retention, and crop rotation, have the potential to improve soil health and sustainability in agroecosystems. These practices enhance soil organic matter, nutrient cycling, water retention, and microbial diversity. However, CA systems also present challenges in terms of pest management, requiring integrated approaches that combine cultural, biological, and chemical control methods. Future research should focus on optimizing CA practices, developing innovative pest management strategies, and assessing the long-term impacts on soil health and agroecosystem sustainability. By addressing these research gaps, conservation agriculture can contribute to the development of resilient and productive farming systems that meet the growing demand for food while preserving natural resources.</w:t>
      </w:r>
    </w:p>
    <w:p w14:paraId="27489213" w14:textId="2618A79D" w:rsidR="008719AF" w:rsidRDefault="008719AF" w:rsidP="00482957">
      <w:pPr>
        <w:jc w:val="both"/>
        <w:rPr>
          <w:rFonts w:ascii="Times New Roman" w:hAnsi="Times New Roman" w:cs="Times New Roman"/>
          <w:sz w:val="24"/>
          <w:szCs w:val="24"/>
        </w:rPr>
      </w:pPr>
    </w:p>
    <w:p w14:paraId="10CA5EE4" w14:textId="77777777" w:rsidR="008719AF" w:rsidRDefault="008719AF" w:rsidP="008719AF">
      <w:r>
        <w:t>Disclaimer (Artificial intelligence)</w:t>
      </w:r>
    </w:p>
    <w:p w14:paraId="3EA70222" w14:textId="77777777" w:rsidR="008719AF" w:rsidRDefault="008719AF" w:rsidP="008719AF">
      <w:r>
        <w:t xml:space="preserve">Option 1: </w:t>
      </w:r>
    </w:p>
    <w:p w14:paraId="280999C3" w14:textId="77777777" w:rsidR="008719AF" w:rsidRDefault="008719AF" w:rsidP="008719AF">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135C854A" w14:textId="77777777" w:rsidR="008719AF" w:rsidRDefault="008719AF" w:rsidP="008719AF">
      <w:r>
        <w:t xml:space="preserve">Option 2: </w:t>
      </w:r>
    </w:p>
    <w:p w14:paraId="5F722B3E" w14:textId="77777777" w:rsidR="008719AF" w:rsidRDefault="008719AF" w:rsidP="008719AF">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9F1CEAD" w14:textId="77777777" w:rsidR="008719AF" w:rsidRDefault="008719AF" w:rsidP="008719AF">
      <w:r>
        <w:t>Details of the AI usage are given below:</w:t>
      </w:r>
    </w:p>
    <w:p w14:paraId="0C92A4EF" w14:textId="77777777" w:rsidR="008719AF" w:rsidRDefault="008719AF" w:rsidP="008719AF">
      <w:r>
        <w:t>1.</w:t>
      </w:r>
    </w:p>
    <w:p w14:paraId="70CE0F61" w14:textId="77777777" w:rsidR="008719AF" w:rsidRDefault="008719AF" w:rsidP="008719AF">
      <w:r>
        <w:t>2.</w:t>
      </w:r>
    </w:p>
    <w:p w14:paraId="2C310309" w14:textId="77777777" w:rsidR="008719AF" w:rsidRPr="00D047BB" w:rsidRDefault="008719AF" w:rsidP="008719AF">
      <w:r>
        <w:t>3.</w:t>
      </w:r>
    </w:p>
    <w:p w14:paraId="6F4E416A" w14:textId="77777777" w:rsidR="008719AF" w:rsidRPr="0063354D" w:rsidRDefault="008719AF" w:rsidP="008719AF"/>
    <w:p w14:paraId="1AE2FB2B" w14:textId="77777777" w:rsidR="008719AF" w:rsidRPr="00482957" w:rsidRDefault="008719AF" w:rsidP="00482957">
      <w:pPr>
        <w:jc w:val="both"/>
        <w:rPr>
          <w:rFonts w:ascii="Times New Roman" w:hAnsi="Times New Roman" w:cs="Times New Roman"/>
          <w:sz w:val="24"/>
          <w:szCs w:val="24"/>
        </w:rPr>
      </w:pPr>
    </w:p>
    <w:p w14:paraId="2A4FC216" w14:textId="77777777" w:rsidR="00E97043" w:rsidRPr="00E65FA2" w:rsidRDefault="00482957" w:rsidP="00482957">
      <w:pPr>
        <w:jc w:val="both"/>
        <w:rPr>
          <w:rFonts w:ascii="Times New Roman" w:hAnsi="Times New Roman" w:cs="Times New Roman"/>
          <w:b/>
          <w:bCs/>
          <w:sz w:val="24"/>
          <w:szCs w:val="24"/>
        </w:rPr>
      </w:pPr>
      <w:r w:rsidRPr="00E65FA2">
        <w:rPr>
          <w:rFonts w:ascii="Times New Roman" w:hAnsi="Times New Roman" w:cs="Times New Roman"/>
          <w:b/>
          <w:bCs/>
          <w:sz w:val="24"/>
          <w:szCs w:val="24"/>
        </w:rPr>
        <w:t>References:</w:t>
      </w:r>
    </w:p>
    <w:p w14:paraId="50D584C8"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[1] FAO. (2017). Conservation Agriculture. Food and Agriculture Organization of the United Nations. </w:t>
      </w:r>
      <w:hyperlink r:id="rId7" w:history="1">
        <w:r w:rsidRPr="00482957">
          <w:rPr>
            <w:rStyle w:val="Hyperlink"/>
            <w:rFonts w:ascii="Times New Roman" w:hAnsi="Times New Roman" w:cs="Times New Roman"/>
            <w:sz w:val="24"/>
            <w:szCs w:val="24"/>
          </w:rPr>
          <w:t>http://www.fao.org/conservation-agriculture/en/</w:t>
        </w:r>
      </w:hyperlink>
    </w:p>
    <w:p w14:paraId="2A53CEBD"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lastRenderedPageBreak/>
        <w:t xml:space="preserve">[2] Kassam, A., Friedrich, T., &amp; Derpsch, R. (2019). Global spread of conservation agriculture. International Journal of Environmental Studies, 76(1), 29-51. </w:t>
      </w:r>
      <w:hyperlink r:id="rId8" w:history="1">
        <w:r w:rsidRPr="00482957">
          <w:rPr>
            <w:rStyle w:val="Hyperlink"/>
            <w:rFonts w:ascii="Times New Roman" w:hAnsi="Times New Roman" w:cs="Times New Roman"/>
            <w:sz w:val="24"/>
            <w:szCs w:val="24"/>
          </w:rPr>
          <w:t>https://doi.org/10.1080/00207233.2018.1494927</w:t>
        </w:r>
      </w:hyperlink>
    </w:p>
    <w:p w14:paraId="6C2EF995"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 [3] Hobbs, P. R., Sayre, K., &amp; Gupta, R. (2008). The role of conservation agriculture in sustainable agriculture. Philosophical Transactions of the Royal Society B: Biological Sciences, 363(1491), 543-555. </w:t>
      </w:r>
      <w:hyperlink r:id="rId9" w:tgtFrame="_blank" w:history="1">
        <w:r w:rsidRPr="00482957">
          <w:rPr>
            <w:rStyle w:val="Hyperlink"/>
            <w:rFonts w:ascii="Times New Roman" w:hAnsi="Times New Roman" w:cs="Times New Roman"/>
            <w:sz w:val="24"/>
            <w:szCs w:val="24"/>
          </w:rPr>
          <w:t>https://doi.org/10.1098/rstb.2007.2169</w:t>
        </w:r>
      </w:hyperlink>
    </w:p>
    <w:p w14:paraId="6129A98F" w14:textId="77777777" w:rsidR="00482957" w:rsidRPr="00D27D0C" w:rsidRDefault="00C43178" w:rsidP="00482957">
      <w:pPr>
        <w:jc w:val="both"/>
        <w:rPr>
          <w:rFonts w:ascii="Times New Roman" w:hAnsi="Times New Roman" w:cs="Times New Roman"/>
          <w:sz w:val="24"/>
          <w:szCs w:val="24"/>
          <w:lang w:val="it-IT"/>
        </w:rPr>
      </w:pPr>
      <w:r w:rsidRPr="00482957">
        <w:rPr>
          <w:rFonts w:ascii="Times New Roman" w:hAnsi="Times New Roman" w:cs="Times New Roman"/>
          <w:sz w:val="24"/>
          <w:szCs w:val="24"/>
        </w:rPr>
        <w:t xml:space="preserve"> </w:t>
      </w:r>
      <w:r w:rsidR="00482957" w:rsidRPr="00482957">
        <w:rPr>
          <w:rFonts w:ascii="Times New Roman" w:hAnsi="Times New Roman" w:cs="Times New Roman"/>
          <w:sz w:val="24"/>
          <w:szCs w:val="24"/>
        </w:rPr>
        <w:t xml:space="preserve">[4] Pittelkow, C. M., Liang, X., Linquist, B. A., Van </w:t>
      </w:r>
      <w:proofErr w:type="spellStart"/>
      <w:r w:rsidR="00482957" w:rsidRPr="00482957">
        <w:rPr>
          <w:rFonts w:ascii="Times New Roman" w:hAnsi="Times New Roman" w:cs="Times New Roman"/>
          <w:sz w:val="24"/>
          <w:szCs w:val="24"/>
        </w:rPr>
        <w:t>Groenigen</w:t>
      </w:r>
      <w:proofErr w:type="spellEnd"/>
      <w:r w:rsidR="00482957" w:rsidRPr="00482957">
        <w:rPr>
          <w:rFonts w:ascii="Times New Roman" w:hAnsi="Times New Roman" w:cs="Times New Roman"/>
          <w:sz w:val="24"/>
          <w:szCs w:val="24"/>
        </w:rPr>
        <w:t xml:space="preserve">, K. J., Lee, J., Lundy, M. E., ... &amp; van Kessel, C. (2015). Productivity limits and potentials of the principles of conservation agriculture. </w:t>
      </w:r>
      <w:r w:rsidR="00482957" w:rsidRPr="00D27D0C">
        <w:rPr>
          <w:rFonts w:ascii="Times New Roman" w:hAnsi="Times New Roman" w:cs="Times New Roman"/>
          <w:sz w:val="24"/>
          <w:szCs w:val="24"/>
          <w:lang w:val="it-IT"/>
        </w:rPr>
        <w:t xml:space="preserve">Nature, 517(7534), 365-368. </w:t>
      </w:r>
      <w:hyperlink r:id="rId10" w:history="1">
        <w:r w:rsidR="00482957" w:rsidRPr="00D27D0C">
          <w:rPr>
            <w:rStyle w:val="Hyperlink"/>
            <w:rFonts w:ascii="Times New Roman" w:hAnsi="Times New Roman" w:cs="Times New Roman"/>
            <w:sz w:val="24"/>
            <w:szCs w:val="24"/>
            <w:lang w:val="it-IT"/>
          </w:rPr>
          <w:t>https://doi.org/10.1038/nature13809</w:t>
        </w:r>
      </w:hyperlink>
    </w:p>
    <w:p w14:paraId="165ACA76" w14:textId="77777777" w:rsidR="00482957" w:rsidRPr="00482957" w:rsidRDefault="00482957" w:rsidP="00482957">
      <w:pPr>
        <w:jc w:val="both"/>
        <w:rPr>
          <w:rFonts w:ascii="Times New Roman" w:hAnsi="Times New Roman" w:cs="Times New Roman"/>
          <w:sz w:val="24"/>
          <w:szCs w:val="24"/>
        </w:rPr>
      </w:pPr>
      <w:r w:rsidRPr="00D27D0C">
        <w:rPr>
          <w:rFonts w:ascii="Times New Roman" w:hAnsi="Times New Roman" w:cs="Times New Roman"/>
          <w:sz w:val="24"/>
          <w:szCs w:val="24"/>
          <w:lang w:val="it-IT"/>
        </w:rPr>
        <w:t xml:space="preserve">[5] Doran, J. W., &amp; Zeiss, M. R. (2000). </w:t>
      </w:r>
      <w:r w:rsidRPr="00482957">
        <w:rPr>
          <w:rFonts w:ascii="Times New Roman" w:hAnsi="Times New Roman" w:cs="Times New Roman"/>
          <w:sz w:val="24"/>
          <w:szCs w:val="24"/>
        </w:rPr>
        <w:t xml:space="preserve">Soil health and sustainability: managing the biotic component of soil quality. Applied Soil Ecology, 15(1), 3-11. </w:t>
      </w:r>
      <w:hyperlink r:id="rId11" w:history="1">
        <w:r w:rsidRPr="00482957">
          <w:rPr>
            <w:rStyle w:val="Hyperlink"/>
            <w:rFonts w:ascii="Times New Roman" w:hAnsi="Times New Roman" w:cs="Times New Roman"/>
            <w:sz w:val="24"/>
            <w:szCs w:val="24"/>
          </w:rPr>
          <w:t>https://doi.org/10.1016/S0929-1393(00)00067-6</w:t>
        </w:r>
      </w:hyperlink>
    </w:p>
    <w:p w14:paraId="3415DFD8"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[6] Verhulst, N., Govaerts, B., </w:t>
      </w:r>
      <w:proofErr w:type="spellStart"/>
      <w:r w:rsidRPr="00482957">
        <w:rPr>
          <w:rFonts w:ascii="Times New Roman" w:hAnsi="Times New Roman" w:cs="Times New Roman"/>
          <w:sz w:val="24"/>
          <w:szCs w:val="24"/>
        </w:rPr>
        <w:t>Verachtert</w:t>
      </w:r>
      <w:proofErr w:type="spellEnd"/>
      <w:r w:rsidRPr="00482957">
        <w:rPr>
          <w:rFonts w:ascii="Times New Roman" w:hAnsi="Times New Roman" w:cs="Times New Roman"/>
          <w:sz w:val="24"/>
          <w:szCs w:val="24"/>
        </w:rPr>
        <w:t xml:space="preserve">, E., Castellanos-Navarrete, A., </w:t>
      </w:r>
      <w:proofErr w:type="spellStart"/>
      <w:r w:rsidRPr="00482957">
        <w:rPr>
          <w:rFonts w:ascii="Times New Roman" w:hAnsi="Times New Roman" w:cs="Times New Roman"/>
          <w:sz w:val="24"/>
          <w:szCs w:val="24"/>
        </w:rPr>
        <w:t>Mezzalama</w:t>
      </w:r>
      <w:proofErr w:type="spellEnd"/>
      <w:r w:rsidRPr="00482957">
        <w:rPr>
          <w:rFonts w:ascii="Times New Roman" w:hAnsi="Times New Roman" w:cs="Times New Roman"/>
          <w:sz w:val="24"/>
          <w:szCs w:val="24"/>
        </w:rPr>
        <w:t xml:space="preserve">, M., Wall, P., ... &amp; Sayre, K. D. (2010). Conservation agriculture, improving soil quality for sustainable production systems. Advances in Soil Science: Food Security and Soil Quality, 137-208. </w:t>
      </w:r>
      <w:hyperlink r:id="rId12" w:history="1">
        <w:r w:rsidRPr="00482957">
          <w:rPr>
            <w:rStyle w:val="Hyperlink"/>
            <w:rFonts w:ascii="Times New Roman" w:hAnsi="Times New Roman" w:cs="Times New Roman"/>
            <w:sz w:val="24"/>
            <w:szCs w:val="24"/>
          </w:rPr>
          <w:t>https://doi.org/10.1201/EBK1439800577-7</w:t>
        </w:r>
      </w:hyperlink>
    </w:p>
    <w:p w14:paraId="4639262E"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[7] Nichols, V., Verhulst, N., Cox, R., &amp; Govaerts, B. (2015). Weed dynamics and conservation agriculture principles: A review. Field Crops Research, 183, 56-68. </w:t>
      </w:r>
      <w:hyperlink r:id="rId13" w:history="1">
        <w:r w:rsidRPr="00482957">
          <w:rPr>
            <w:rStyle w:val="Hyperlink"/>
            <w:rFonts w:ascii="Times New Roman" w:hAnsi="Times New Roman" w:cs="Times New Roman"/>
            <w:sz w:val="24"/>
            <w:szCs w:val="24"/>
          </w:rPr>
          <w:t>https://doi.org/10.1016/j.fcr.2015.07.012</w:t>
        </w:r>
      </w:hyperlink>
    </w:p>
    <w:p w14:paraId="197A7BD8"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[8] Sturz, A. V., Carter, M. R., &amp; Johnston, H. W. (1997). A review of plant disease, pathogen interactions and microbial antagonism under conservation tillage in temperate humid agriculture. Soil and Tillage Research, 41(3-4), 169-189. </w:t>
      </w:r>
      <w:hyperlink r:id="rId14" w:history="1">
        <w:r w:rsidRPr="00482957">
          <w:rPr>
            <w:rStyle w:val="Hyperlink"/>
            <w:rFonts w:ascii="Times New Roman" w:hAnsi="Times New Roman" w:cs="Times New Roman"/>
            <w:sz w:val="24"/>
            <w:szCs w:val="24"/>
          </w:rPr>
          <w:t>https://doi.org/10.1016/S0167-1987(96)01095-1</w:t>
        </w:r>
      </w:hyperlink>
    </w:p>
    <w:p w14:paraId="0AEDCBBD"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[9] Farooq, M., &amp; Siddique, K. H. (2015). Conservation agriculture: concepts, brief history, and impacts on agricultural systems. In Conservation agriculture (pp. 3-17). Springer, Cham. </w:t>
      </w:r>
      <w:hyperlink r:id="rId15" w:history="1">
        <w:r w:rsidRPr="00482957">
          <w:rPr>
            <w:rStyle w:val="Hyperlink"/>
            <w:rFonts w:ascii="Times New Roman" w:hAnsi="Times New Roman" w:cs="Times New Roman"/>
            <w:sz w:val="24"/>
            <w:szCs w:val="24"/>
          </w:rPr>
          <w:t>https://doi.org/10.1007/978-3-319-11620-4_1</w:t>
        </w:r>
      </w:hyperlink>
    </w:p>
    <w:p w14:paraId="5FADC2F6"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[10] Triplett, G. B., &amp; Dick, W. A. (2008). No-tillage crop production: A revolution in </w:t>
      </w:r>
      <w:proofErr w:type="gramStart"/>
      <w:r w:rsidRPr="00482957">
        <w:rPr>
          <w:rFonts w:ascii="Times New Roman" w:hAnsi="Times New Roman" w:cs="Times New Roman"/>
          <w:sz w:val="24"/>
          <w:szCs w:val="24"/>
        </w:rPr>
        <w:t>agriculture!.</w:t>
      </w:r>
      <w:proofErr w:type="gramEnd"/>
      <w:r w:rsidRPr="00482957">
        <w:rPr>
          <w:rFonts w:ascii="Times New Roman" w:hAnsi="Times New Roman" w:cs="Times New Roman"/>
          <w:sz w:val="24"/>
          <w:szCs w:val="24"/>
        </w:rPr>
        <w:t xml:space="preserve"> Agronomy Journal, 100(Supplement_3), S-153. </w:t>
      </w:r>
      <w:hyperlink r:id="rId16" w:history="1">
        <w:r w:rsidRPr="00482957">
          <w:rPr>
            <w:rStyle w:val="Hyperlink"/>
            <w:rFonts w:ascii="Times New Roman" w:hAnsi="Times New Roman" w:cs="Times New Roman"/>
            <w:sz w:val="24"/>
            <w:szCs w:val="24"/>
          </w:rPr>
          <w:t>https://doi.org/10.2134/agronj2007.0005c</w:t>
        </w:r>
      </w:hyperlink>
    </w:p>
    <w:p w14:paraId="281D4524"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[11] Busari, M. A., Kukal, S. S., Kaur, A., Bhatt, R., &amp; </w:t>
      </w:r>
      <w:proofErr w:type="spellStart"/>
      <w:r w:rsidRPr="00482957">
        <w:rPr>
          <w:rFonts w:ascii="Times New Roman" w:hAnsi="Times New Roman" w:cs="Times New Roman"/>
          <w:sz w:val="24"/>
          <w:szCs w:val="24"/>
        </w:rPr>
        <w:t>Dulazi</w:t>
      </w:r>
      <w:proofErr w:type="spellEnd"/>
      <w:r w:rsidRPr="00482957">
        <w:rPr>
          <w:rFonts w:ascii="Times New Roman" w:hAnsi="Times New Roman" w:cs="Times New Roman"/>
          <w:sz w:val="24"/>
          <w:szCs w:val="24"/>
        </w:rPr>
        <w:t xml:space="preserve">, A. A. (2015). Conservation tillage impacts on soil, crop and the environment. International Soil and Water Conservation Research, 3(2), 119-129. </w:t>
      </w:r>
      <w:hyperlink r:id="rId17" w:history="1">
        <w:r w:rsidRPr="00482957">
          <w:rPr>
            <w:rStyle w:val="Hyperlink"/>
            <w:rFonts w:ascii="Times New Roman" w:hAnsi="Times New Roman" w:cs="Times New Roman"/>
            <w:sz w:val="24"/>
            <w:szCs w:val="24"/>
          </w:rPr>
          <w:t>https://doi.org/10.1016/j.iswcr.2015.05.002</w:t>
        </w:r>
      </w:hyperlink>
    </w:p>
    <w:p w14:paraId="05F22D87"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[12] Derpsch, R., Friedrich, T., Kassam, A., &amp; Li, H. (2010). Current status of adoption of no-till farming in the world and some of its main benefits. International Journal of Agricultural and Biological Engineering, 3(1), 1-25. </w:t>
      </w:r>
      <w:hyperlink r:id="rId18" w:history="1">
        <w:r w:rsidRPr="00482957">
          <w:rPr>
            <w:rStyle w:val="Hyperlink"/>
            <w:rFonts w:ascii="Times New Roman" w:hAnsi="Times New Roman" w:cs="Times New Roman"/>
            <w:sz w:val="24"/>
            <w:szCs w:val="24"/>
          </w:rPr>
          <w:t>https://doi.org/10.3965/j.issn.1934-6344.2010.01.001-025</w:t>
        </w:r>
      </w:hyperlink>
    </w:p>
    <w:p w14:paraId="36C95768"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[13] Turmel, M. S., </w:t>
      </w:r>
      <w:proofErr w:type="spellStart"/>
      <w:r w:rsidRPr="00482957">
        <w:rPr>
          <w:rFonts w:ascii="Times New Roman" w:hAnsi="Times New Roman" w:cs="Times New Roman"/>
          <w:sz w:val="24"/>
          <w:szCs w:val="24"/>
        </w:rPr>
        <w:t>Speratti</w:t>
      </w:r>
      <w:proofErr w:type="spellEnd"/>
      <w:r w:rsidRPr="00482957">
        <w:rPr>
          <w:rFonts w:ascii="Times New Roman" w:hAnsi="Times New Roman" w:cs="Times New Roman"/>
          <w:sz w:val="24"/>
          <w:szCs w:val="24"/>
        </w:rPr>
        <w:t xml:space="preserve">, A., </w:t>
      </w:r>
      <w:proofErr w:type="spellStart"/>
      <w:r w:rsidRPr="00482957">
        <w:rPr>
          <w:rFonts w:ascii="Times New Roman" w:hAnsi="Times New Roman" w:cs="Times New Roman"/>
          <w:sz w:val="24"/>
          <w:szCs w:val="24"/>
        </w:rPr>
        <w:t>Baudron</w:t>
      </w:r>
      <w:proofErr w:type="spellEnd"/>
      <w:r w:rsidRPr="00482957">
        <w:rPr>
          <w:rFonts w:ascii="Times New Roman" w:hAnsi="Times New Roman" w:cs="Times New Roman"/>
          <w:sz w:val="24"/>
          <w:szCs w:val="24"/>
        </w:rPr>
        <w:t xml:space="preserve">, F., Verhulst, N., &amp; Govaerts, B. (2015). Crop residue management and soil health: A systems analysis. Agricultural Systems, 134, 6-16. </w:t>
      </w:r>
      <w:hyperlink r:id="rId19" w:history="1">
        <w:r w:rsidRPr="00482957">
          <w:rPr>
            <w:rStyle w:val="Hyperlink"/>
            <w:rFonts w:ascii="Times New Roman" w:hAnsi="Times New Roman" w:cs="Times New Roman"/>
            <w:sz w:val="24"/>
            <w:szCs w:val="24"/>
          </w:rPr>
          <w:t>https://doi.org/10.1016/j.agsy.2014.05.009</w:t>
        </w:r>
      </w:hyperlink>
    </w:p>
    <w:p w14:paraId="652AEF92"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lastRenderedPageBreak/>
        <w:t xml:space="preserve">[14] Ranaivoson, L., Naudin, K., </w:t>
      </w:r>
      <w:proofErr w:type="spellStart"/>
      <w:r w:rsidRPr="00482957">
        <w:rPr>
          <w:rFonts w:ascii="Times New Roman" w:hAnsi="Times New Roman" w:cs="Times New Roman"/>
          <w:sz w:val="24"/>
          <w:szCs w:val="24"/>
        </w:rPr>
        <w:t>Ripoche</w:t>
      </w:r>
      <w:proofErr w:type="spellEnd"/>
      <w:r w:rsidRPr="00482957">
        <w:rPr>
          <w:rFonts w:ascii="Times New Roman" w:hAnsi="Times New Roman" w:cs="Times New Roman"/>
          <w:sz w:val="24"/>
          <w:szCs w:val="24"/>
        </w:rPr>
        <w:t xml:space="preserve">, A., Affholder, F., </w:t>
      </w:r>
      <w:proofErr w:type="spellStart"/>
      <w:r w:rsidRPr="00482957">
        <w:rPr>
          <w:rFonts w:ascii="Times New Roman" w:hAnsi="Times New Roman" w:cs="Times New Roman"/>
          <w:sz w:val="24"/>
          <w:szCs w:val="24"/>
        </w:rPr>
        <w:t>Rabeharisoa</w:t>
      </w:r>
      <w:proofErr w:type="spellEnd"/>
      <w:r w:rsidRPr="00482957">
        <w:rPr>
          <w:rFonts w:ascii="Times New Roman" w:hAnsi="Times New Roman" w:cs="Times New Roman"/>
          <w:sz w:val="24"/>
          <w:szCs w:val="24"/>
        </w:rPr>
        <w:t xml:space="preserve">, L., &amp; </w:t>
      </w:r>
      <w:proofErr w:type="spellStart"/>
      <w:r w:rsidRPr="00482957">
        <w:rPr>
          <w:rFonts w:ascii="Times New Roman" w:hAnsi="Times New Roman" w:cs="Times New Roman"/>
          <w:sz w:val="24"/>
          <w:szCs w:val="24"/>
        </w:rPr>
        <w:t>Corbeels</w:t>
      </w:r>
      <w:proofErr w:type="spellEnd"/>
      <w:r w:rsidRPr="00482957">
        <w:rPr>
          <w:rFonts w:ascii="Times New Roman" w:hAnsi="Times New Roman" w:cs="Times New Roman"/>
          <w:sz w:val="24"/>
          <w:szCs w:val="24"/>
        </w:rPr>
        <w:t xml:space="preserve">, M. (2017). Agro-ecological functions of crop residues under conservation agriculture. A review. Agronomy for Sustainable Development, 37(4), 1-17. </w:t>
      </w:r>
      <w:hyperlink r:id="rId20" w:history="1">
        <w:r w:rsidRPr="00482957">
          <w:rPr>
            <w:rStyle w:val="Hyperlink"/>
            <w:rFonts w:ascii="Times New Roman" w:hAnsi="Times New Roman" w:cs="Times New Roman"/>
            <w:sz w:val="24"/>
            <w:szCs w:val="24"/>
          </w:rPr>
          <w:t>https://doi.org/10.1007/s13593-017-0432-z</w:t>
        </w:r>
      </w:hyperlink>
    </w:p>
    <w:p w14:paraId="3B35961F"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[15] Kumar, K., &amp; Goh, K. M. (1999). Crop residues and management practices: effects on soil quality, soil nitrogen dynamics, crop yield, and nitrogen recovery. Advances in Agronomy, 68, 197-319. </w:t>
      </w:r>
      <w:hyperlink r:id="rId21" w:history="1">
        <w:r w:rsidRPr="00482957">
          <w:rPr>
            <w:rStyle w:val="Hyperlink"/>
            <w:rFonts w:ascii="Times New Roman" w:hAnsi="Times New Roman" w:cs="Times New Roman"/>
            <w:sz w:val="24"/>
            <w:szCs w:val="24"/>
          </w:rPr>
          <w:t>https://doi.org/10.1016/S0065-2113(08)60846-9</w:t>
        </w:r>
      </w:hyperlink>
    </w:p>
    <w:p w14:paraId="11CCF430"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[16] </w:t>
      </w:r>
      <w:proofErr w:type="spellStart"/>
      <w:r w:rsidRPr="00482957">
        <w:rPr>
          <w:rFonts w:ascii="Times New Roman" w:hAnsi="Times New Roman" w:cs="Times New Roman"/>
          <w:sz w:val="24"/>
          <w:szCs w:val="24"/>
        </w:rPr>
        <w:t>Castellazzi</w:t>
      </w:r>
      <w:proofErr w:type="spellEnd"/>
      <w:r w:rsidRPr="00482957">
        <w:rPr>
          <w:rFonts w:ascii="Times New Roman" w:hAnsi="Times New Roman" w:cs="Times New Roman"/>
          <w:sz w:val="24"/>
          <w:szCs w:val="24"/>
        </w:rPr>
        <w:t xml:space="preserve">, M. S., Wood, G. A., Burgess, P. J., Morris, J., Conrad, K. F., &amp; Perry, J. N. (2008). A systematic representation of crop rotations. Agricultural Systems, 97(1-2), 26-33. </w:t>
      </w:r>
      <w:hyperlink r:id="rId22" w:history="1">
        <w:r w:rsidRPr="00482957">
          <w:rPr>
            <w:rStyle w:val="Hyperlink"/>
            <w:rFonts w:ascii="Times New Roman" w:hAnsi="Times New Roman" w:cs="Times New Roman"/>
            <w:sz w:val="24"/>
            <w:szCs w:val="24"/>
          </w:rPr>
          <w:t>https://doi.org/10.1016/j.agsy.2007.10.006</w:t>
        </w:r>
      </w:hyperlink>
    </w:p>
    <w:p w14:paraId="7EC08F81"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[17] Karlen, D. L., Varvel, G. E., Bullock, D. G., &amp; Cruse, R. M. (1994). Crop rotations for the 21st century. Advances in Agronomy, 53, 1-45. </w:t>
      </w:r>
      <w:hyperlink r:id="rId23" w:history="1">
        <w:r w:rsidRPr="00482957">
          <w:rPr>
            <w:rStyle w:val="Hyperlink"/>
            <w:rFonts w:ascii="Times New Roman" w:hAnsi="Times New Roman" w:cs="Times New Roman"/>
            <w:sz w:val="24"/>
            <w:szCs w:val="24"/>
          </w:rPr>
          <w:t>https://doi.org/10.1016/S0065-2113(08)60611-2</w:t>
        </w:r>
      </w:hyperlink>
    </w:p>
    <w:p w14:paraId="3C4E3F4D"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[18] Peoples, M. B., Herridge, D. F., &amp; Ladha, J. K. (1995). Biological nitrogen fixation: an efficient source of nitrogen for sustainable agricultural </w:t>
      </w:r>
      <w:proofErr w:type="gramStart"/>
      <w:r w:rsidRPr="00482957">
        <w:rPr>
          <w:rFonts w:ascii="Times New Roman" w:hAnsi="Times New Roman" w:cs="Times New Roman"/>
          <w:sz w:val="24"/>
          <w:szCs w:val="24"/>
        </w:rPr>
        <w:t>production?.</w:t>
      </w:r>
      <w:proofErr w:type="gramEnd"/>
      <w:r w:rsidRPr="00482957">
        <w:rPr>
          <w:rFonts w:ascii="Times New Roman" w:hAnsi="Times New Roman" w:cs="Times New Roman"/>
          <w:sz w:val="24"/>
          <w:szCs w:val="24"/>
        </w:rPr>
        <w:t xml:space="preserve"> Plant and Soil, 174(1), 3-28. </w:t>
      </w:r>
      <w:hyperlink r:id="rId24" w:history="1">
        <w:r w:rsidRPr="00482957">
          <w:rPr>
            <w:rStyle w:val="Hyperlink"/>
            <w:rFonts w:ascii="Times New Roman" w:hAnsi="Times New Roman" w:cs="Times New Roman"/>
            <w:sz w:val="24"/>
            <w:szCs w:val="24"/>
          </w:rPr>
          <w:t>https://doi.org/10.1007/BF00032239</w:t>
        </w:r>
      </w:hyperlink>
    </w:p>
    <w:p w14:paraId="20DF3521"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[19] West, T. O., &amp; Post, W. M. (2002). Soil organic carbon sequestration rates by tillage and crop rotation: a global data analysis. Soil Science Society of America Journal, 66(6), 1930-1946. </w:t>
      </w:r>
      <w:hyperlink r:id="rId25" w:history="1">
        <w:r w:rsidRPr="00482957">
          <w:rPr>
            <w:rStyle w:val="Hyperlink"/>
            <w:rFonts w:ascii="Times New Roman" w:hAnsi="Times New Roman" w:cs="Times New Roman"/>
            <w:sz w:val="24"/>
            <w:szCs w:val="24"/>
          </w:rPr>
          <w:t>https://doi.org/10.2136/sssaj2002.1930</w:t>
        </w:r>
      </w:hyperlink>
    </w:p>
    <w:p w14:paraId="2E0609C2"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[20] Govaerts, B., Verhulst, N., Castellanos-Navarrete, A., Sayre, K. D., Dixon, J., &amp; </w:t>
      </w:r>
      <w:proofErr w:type="spellStart"/>
      <w:r w:rsidRPr="00482957">
        <w:rPr>
          <w:rFonts w:ascii="Times New Roman" w:hAnsi="Times New Roman" w:cs="Times New Roman"/>
          <w:sz w:val="24"/>
          <w:szCs w:val="24"/>
        </w:rPr>
        <w:t>Dendooven</w:t>
      </w:r>
      <w:proofErr w:type="spellEnd"/>
      <w:r w:rsidRPr="00482957">
        <w:rPr>
          <w:rFonts w:ascii="Times New Roman" w:hAnsi="Times New Roman" w:cs="Times New Roman"/>
          <w:sz w:val="24"/>
          <w:szCs w:val="24"/>
        </w:rPr>
        <w:t xml:space="preserve">, L. (2009). Conservation agriculture and soil carbon sequestration: between myth and farmer reality. Critical Reviews in Plant Science, 28(3), 97-122. </w:t>
      </w:r>
      <w:hyperlink r:id="rId26" w:history="1">
        <w:r w:rsidRPr="00482957">
          <w:rPr>
            <w:rStyle w:val="Hyperlink"/>
            <w:rFonts w:ascii="Times New Roman" w:hAnsi="Times New Roman" w:cs="Times New Roman"/>
            <w:sz w:val="24"/>
            <w:szCs w:val="24"/>
          </w:rPr>
          <w:t>https://doi.org/10.1080/07352680902776358</w:t>
        </w:r>
      </w:hyperlink>
    </w:p>
    <w:p w14:paraId="38B117FE"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[21] Six, J., Elliott, E. T., &amp; Paustian, K. (2000). Soil macroaggregate turnover and microaggregate formation: a mechanism for C sequestration under no-tillage agriculture. Soil Biology and Biochemistry, 32(14), 2099-2103. </w:t>
      </w:r>
      <w:hyperlink r:id="rId27" w:history="1">
        <w:r w:rsidRPr="00482957">
          <w:rPr>
            <w:rStyle w:val="Hyperlink"/>
            <w:rFonts w:ascii="Times New Roman" w:hAnsi="Times New Roman" w:cs="Times New Roman"/>
            <w:sz w:val="24"/>
            <w:szCs w:val="24"/>
          </w:rPr>
          <w:t>https://doi.org/10.1016/S0038-0717(00)00179-6</w:t>
        </w:r>
      </w:hyperlink>
    </w:p>
    <w:p w14:paraId="7CF22DCE"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[22] Verhulst, N., Nelissen, V., Jespers, N., Haven, H., Sayre, K. D., Raes, D., ... &amp; Govaerts, B. (2011). Soil water content, maize yield and its stability as affected by tillage and crop residue management in rainfed semi-arid highlands. Plant and Soil, 344(1), 73-85. </w:t>
      </w:r>
      <w:hyperlink r:id="rId28" w:history="1">
        <w:r w:rsidRPr="00482957">
          <w:rPr>
            <w:rStyle w:val="Hyperlink"/>
            <w:rFonts w:ascii="Times New Roman" w:hAnsi="Times New Roman" w:cs="Times New Roman"/>
            <w:sz w:val="24"/>
            <w:szCs w:val="24"/>
          </w:rPr>
          <w:t>https://doi.org/10.1007/s11104-011-0728-8</w:t>
        </w:r>
      </w:hyperlink>
    </w:p>
    <w:p w14:paraId="71D4436D"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[23] Govaerts, B., Fuentes, M., </w:t>
      </w:r>
      <w:proofErr w:type="spellStart"/>
      <w:r w:rsidRPr="00482957">
        <w:rPr>
          <w:rFonts w:ascii="Times New Roman" w:hAnsi="Times New Roman" w:cs="Times New Roman"/>
          <w:sz w:val="24"/>
          <w:szCs w:val="24"/>
        </w:rPr>
        <w:t>Mezzalama</w:t>
      </w:r>
      <w:proofErr w:type="spellEnd"/>
      <w:r w:rsidRPr="00482957">
        <w:rPr>
          <w:rFonts w:ascii="Times New Roman" w:hAnsi="Times New Roman" w:cs="Times New Roman"/>
          <w:sz w:val="24"/>
          <w:szCs w:val="24"/>
        </w:rPr>
        <w:t xml:space="preserve">, M., Nicol, J. M., Deckers, J., </w:t>
      </w:r>
      <w:proofErr w:type="spellStart"/>
      <w:r w:rsidRPr="00482957">
        <w:rPr>
          <w:rFonts w:ascii="Times New Roman" w:hAnsi="Times New Roman" w:cs="Times New Roman"/>
          <w:sz w:val="24"/>
          <w:szCs w:val="24"/>
        </w:rPr>
        <w:t>Etchevers</w:t>
      </w:r>
      <w:proofErr w:type="spellEnd"/>
      <w:r w:rsidRPr="00482957">
        <w:rPr>
          <w:rFonts w:ascii="Times New Roman" w:hAnsi="Times New Roman" w:cs="Times New Roman"/>
          <w:sz w:val="24"/>
          <w:szCs w:val="24"/>
        </w:rPr>
        <w:t xml:space="preserve">, J. D., ... &amp; Sayre, K. D. (2007). Infiltration, soil moisture, root rot and nematode populations after 12 years of different tillage, residue and crop rotation managements. Soil and Tillage Research, 94(1), 209-219. </w:t>
      </w:r>
      <w:hyperlink r:id="rId29" w:history="1">
        <w:r w:rsidRPr="00482957">
          <w:rPr>
            <w:rStyle w:val="Hyperlink"/>
            <w:rFonts w:ascii="Times New Roman" w:hAnsi="Times New Roman" w:cs="Times New Roman"/>
            <w:sz w:val="24"/>
            <w:szCs w:val="24"/>
          </w:rPr>
          <w:t>https://doi.org/10.1016/j.still.2006.07.013</w:t>
        </w:r>
      </w:hyperlink>
    </w:p>
    <w:p w14:paraId="772B95B8"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[24] </w:t>
      </w:r>
      <w:proofErr w:type="spellStart"/>
      <w:r w:rsidRPr="00482957">
        <w:rPr>
          <w:rFonts w:ascii="Times New Roman" w:hAnsi="Times New Roman" w:cs="Times New Roman"/>
          <w:sz w:val="24"/>
          <w:szCs w:val="24"/>
        </w:rPr>
        <w:t>Tonitto</w:t>
      </w:r>
      <w:proofErr w:type="spellEnd"/>
      <w:r w:rsidRPr="00482957">
        <w:rPr>
          <w:rFonts w:ascii="Times New Roman" w:hAnsi="Times New Roman" w:cs="Times New Roman"/>
          <w:sz w:val="24"/>
          <w:szCs w:val="24"/>
        </w:rPr>
        <w:t xml:space="preserve">, C., David, M. B., &amp; Drinkwater, L. E. (2006). Replacing bare fallows with cover crops in fertilizer-intensive cropping systems: A meta-analysis of crop yield and N dynamics. Agriculture, Ecosystems &amp; Environment, 112(1), 58-72. </w:t>
      </w:r>
      <w:hyperlink r:id="rId30" w:history="1">
        <w:r w:rsidRPr="00482957">
          <w:rPr>
            <w:rStyle w:val="Hyperlink"/>
            <w:rFonts w:ascii="Times New Roman" w:hAnsi="Times New Roman" w:cs="Times New Roman"/>
            <w:sz w:val="24"/>
            <w:szCs w:val="24"/>
          </w:rPr>
          <w:t>https://doi.org/10.1016/j.agee.2005.07.003</w:t>
        </w:r>
      </w:hyperlink>
    </w:p>
    <w:p w14:paraId="5E1BAE0D"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lastRenderedPageBreak/>
        <w:t xml:space="preserve">[25] Kirkegaard, J., Christen, O., Krupinsky, J., &amp; </w:t>
      </w:r>
      <w:proofErr w:type="spellStart"/>
      <w:r w:rsidRPr="00482957">
        <w:rPr>
          <w:rFonts w:ascii="Times New Roman" w:hAnsi="Times New Roman" w:cs="Times New Roman"/>
          <w:sz w:val="24"/>
          <w:szCs w:val="24"/>
        </w:rPr>
        <w:t>Layzell</w:t>
      </w:r>
      <w:proofErr w:type="spellEnd"/>
      <w:r w:rsidRPr="00482957">
        <w:rPr>
          <w:rFonts w:ascii="Times New Roman" w:hAnsi="Times New Roman" w:cs="Times New Roman"/>
          <w:sz w:val="24"/>
          <w:szCs w:val="24"/>
        </w:rPr>
        <w:t xml:space="preserve">, D. (2008). Break crop benefits in temperate wheat production. Field Crops Research, 107(3), 185-195. </w:t>
      </w:r>
      <w:hyperlink r:id="rId31" w:history="1">
        <w:r w:rsidRPr="00482957">
          <w:rPr>
            <w:rStyle w:val="Hyperlink"/>
            <w:rFonts w:ascii="Times New Roman" w:hAnsi="Times New Roman" w:cs="Times New Roman"/>
            <w:sz w:val="24"/>
            <w:szCs w:val="24"/>
          </w:rPr>
          <w:t>https://doi.org/10.1016/j.fcr.2008.02.010</w:t>
        </w:r>
      </w:hyperlink>
    </w:p>
    <w:p w14:paraId="66F10C73"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[26] Thierfelder, C., &amp; Wall, P. C. (2009). Effects of conservation agriculture techniques on infiltration and soil water content in Zambia and Zimbabwe. Soil and Tillage Research, 105(2), 217-227. </w:t>
      </w:r>
      <w:hyperlink r:id="rId32" w:history="1">
        <w:r w:rsidRPr="00482957">
          <w:rPr>
            <w:rStyle w:val="Hyperlink"/>
            <w:rFonts w:ascii="Times New Roman" w:hAnsi="Times New Roman" w:cs="Times New Roman"/>
            <w:sz w:val="24"/>
            <w:szCs w:val="24"/>
          </w:rPr>
          <w:t>https://doi.org/10.1016/j.still.2009.07.007</w:t>
        </w:r>
      </w:hyperlink>
    </w:p>
    <w:p w14:paraId="48778EEA"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[27] Klocke, N. L., Currie, R. S., &amp; Aiken, R. M. (2009). Soil water evaporation and crop residues. Transactions of the ASABE, 52(1), 103-110. </w:t>
      </w:r>
      <w:hyperlink r:id="rId33" w:history="1">
        <w:r w:rsidRPr="00482957">
          <w:rPr>
            <w:rStyle w:val="Hyperlink"/>
            <w:rFonts w:ascii="Times New Roman" w:hAnsi="Times New Roman" w:cs="Times New Roman"/>
            <w:sz w:val="24"/>
            <w:szCs w:val="24"/>
          </w:rPr>
          <w:t>https://doi.org/10.13031/2013.25951</w:t>
        </w:r>
      </w:hyperlink>
    </w:p>
    <w:p w14:paraId="2DB27981"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[28] Thierfelder, C., </w:t>
      </w:r>
      <w:proofErr w:type="spellStart"/>
      <w:r w:rsidRPr="00482957">
        <w:rPr>
          <w:rFonts w:ascii="Times New Roman" w:hAnsi="Times New Roman" w:cs="Times New Roman"/>
          <w:sz w:val="24"/>
          <w:szCs w:val="24"/>
        </w:rPr>
        <w:t>Rusinamhodzi</w:t>
      </w:r>
      <w:proofErr w:type="spellEnd"/>
      <w:r w:rsidRPr="00482957">
        <w:rPr>
          <w:rFonts w:ascii="Times New Roman" w:hAnsi="Times New Roman" w:cs="Times New Roman"/>
          <w:sz w:val="24"/>
          <w:szCs w:val="24"/>
        </w:rPr>
        <w:t xml:space="preserve">, L., Ngwira, A. R., </w:t>
      </w:r>
      <w:proofErr w:type="spellStart"/>
      <w:r w:rsidRPr="00482957">
        <w:rPr>
          <w:rFonts w:ascii="Times New Roman" w:hAnsi="Times New Roman" w:cs="Times New Roman"/>
          <w:sz w:val="24"/>
          <w:szCs w:val="24"/>
        </w:rPr>
        <w:t>Mupangwa</w:t>
      </w:r>
      <w:proofErr w:type="spellEnd"/>
      <w:r w:rsidRPr="00482957">
        <w:rPr>
          <w:rFonts w:ascii="Times New Roman" w:hAnsi="Times New Roman" w:cs="Times New Roman"/>
          <w:sz w:val="24"/>
          <w:szCs w:val="24"/>
        </w:rPr>
        <w:t xml:space="preserve">, W., </w:t>
      </w:r>
      <w:proofErr w:type="spellStart"/>
      <w:r w:rsidRPr="00482957">
        <w:rPr>
          <w:rFonts w:ascii="Times New Roman" w:hAnsi="Times New Roman" w:cs="Times New Roman"/>
          <w:sz w:val="24"/>
          <w:szCs w:val="24"/>
        </w:rPr>
        <w:t>Nyagumbo</w:t>
      </w:r>
      <w:proofErr w:type="spellEnd"/>
      <w:r w:rsidRPr="00482957">
        <w:rPr>
          <w:rFonts w:ascii="Times New Roman" w:hAnsi="Times New Roman" w:cs="Times New Roman"/>
          <w:sz w:val="24"/>
          <w:szCs w:val="24"/>
        </w:rPr>
        <w:t xml:space="preserve">, I., Kassie, G. T., &amp; Cairns, J. E. (2015). Conservation agriculture in Southern Africa: Advances in knowledge. Renewable Agriculture and Food Systems, 30(4), 328-348. </w:t>
      </w:r>
      <w:hyperlink r:id="rId34" w:history="1">
        <w:r w:rsidRPr="00482957">
          <w:rPr>
            <w:rStyle w:val="Hyperlink"/>
            <w:rFonts w:ascii="Times New Roman" w:hAnsi="Times New Roman" w:cs="Times New Roman"/>
            <w:sz w:val="24"/>
            <w:szCs w:val="24"/>
          </w:rPr>
          <w:t>https://doi.org/10.1017/S1742170513000550</w:t>
        </w:r>
      </w:hyperlink>
    </w:p>
    <w:p w14:paraId="32EC232E" w14:textId="77777777" w:rsidR="00482957" w:rsidRPr="00D27D0C" w:rsidRDefault="00482957" w:rsidP="00482957">
      <w:pPr>
        <w:jc w:val="both"/>
        <w:rPr>
          <w:rFonts w:ascii="Times New Roman" w:hAnsi="Times New Roman" w:cs="Times New Roman"/>
          <w:sz w:val="24"/>
          <w:szCs w:val="24"/>
          <w:lang w:val="it-IT"/>
        </w:rPr>
      </w:pPr>
      <w:r w:rsidRPr="00482957">
        <w:rPr>
          <w:rFonts w:ascii="Times New Roman" w:hAnsi="Times New Roman" w:cs="Times New Roman"/>
          <w:sz w:val="24"/>
          <w:szCs w:val="24"/>
        </w:rPr>
        <w:t>[29] García-</w:t>
      </w:r>
      <w:proofErr w:type="spellStart"/>
      <w:r w:rsidRPr="00482957">
        <w:rPr>
          <w:rFonts w:ascii="Times New Roman" w:hAnsi="Times New Roman" w:cs="Times New Roman"/>
          <w:sz w:val="24"/>
          <w:szCs w:val="24"/>
        </w:rPr>
        <w:t>Orenes</w:t>
      </w:r>
      <w:proofErr w:type="spellEnd"/>
      <w:r w:rsidRPr="00482957">
        <w:rPr>
          <w:rFonts w:ascii="Times New Roman" w:hAnsi="Times New Roman" w:cs="Times New Roman"/>
          <w:sz w:val="24"/>
          <w:szCs w:val="24"/>
        </w:rPr>
        <w:t xml:space="preserve">, F., </w:t>
      </w:r>
      <w:proofErr w:type="spellStart"/>
      <w:r w:rsidRPr="00482957">
        <w:rPr>
          <w:rFonts w:ascii="Times New Roman" w:hAnsi="Times New Roman" w:cs="Times New Roman"/>
          <w:sz w:val="24"/>
          <w:szCs w:val="24"/>
        </w:rPr>
        <w:t>Morugán</w:t>
      </w:r>
      <w:proofErr w:type="spellEnd"/>
      <w:r w:rsidRPr="00482957">
        <w:rPr>
          <w:rFonts w:ascii="Times New Roman" w:hAnsi="Times New Roman" w:cs="Times New Roman"/>
          <w:sz w:val="24"/>
          <w:szCs w:val="24"/>
        </w:rPr>
        <w:t xml:space="preserve">-Coronado, A., </w:t>
      </w:r>
      <w:proofErr w:type="spellStart"/>
      <w:r w:rsidRPr="00482957">
        <w:rPr>
          <w:rFonts w:ascii="Times New Roman" w:hAnsi="Times New Roman" w:cs="Times New Roman"/>
          <w:sz w:val="24"/>
          <w:szCs w:val="24"/>
        </w:rPr>
        <w:t>Zornoza</w:t>
      </w:r>
      <w:proofErr w:type="spellEnd"/>
      <w:r w:rsidRPr="00482957">
        <w:rPr>
          <w:rFonts w:ascii="Times New Roman" w:hAnsi="Times New Roman" w:cs="Times New Roman"/>
          <w:sz w:val="24"/>
          <w:szCs w:val="24"/>
        </w:rPr>
        <w:t xml:space="preserve">, R., &amp; Scow, K. (2013). Changes in soil microbial community structure influenced by agricultural management practices in a </w:t>
      </w:r>
      <w:proofErr w:type="spellStart"/>
      <w:r w:rsidRPr="00482957">
        <w:rPr>
          <w:rFonts w:ascii="Times New Roman" w:hAnsi="Times New Roman" w:cs="Times New Roman"/>
          <w:sz w:val="24"/>
          <w:szCs w:val="24"/>
        </w:rPr>
        <w:t>mediterranean</w:t>
      </w:r>
      <w:proofErr w:type="spellEnd"/>
      <w:r w:rsidRPr="00482957">
        <w:rPr>
          <w:rFonts w:ascii="Times New Roman" w:hAnsi="Times New Roman" w:cs="Times New Roman"/>
          <w:sz w:val="24"/>
          <w:szCs w:val="24"/>
        </w:rPr>
        <w:t xml:space="preserve"> </w:t>
      </w:r>
      <w:proofErr w:type="spellStart"/>
      <w:r w:rsidRPr="00482957">
        <w:rPr>
          <w:rFonts w:ascii="Times New Roman" w:hAnsi="Times New Roman" w:cs="Times New Roman"/>
          <w:sz w:val="24"/>
          <w:szCs w:val="24"/>
        </w:rPr>
        <w:t>agro</w:t>
      </w:r>
      <w:proofErr w:type="spellEnd"/>
      <w:r w:rsidRPr="00482957">
        <w:rPr>
          <w:rFonts w:ascii="Times New Roman" w:hAnsi="Times New Roman" w:cs="Times New Roman"/>
          <w:sz w:val="24"/>
          <w:szCs w:val="24"/>
        </w:rPr>
        <w:t xml:space="preserve">-ecosystem. </w:t>
      </w:r>
      <w:r w:rsidRPr="00D27D0C">
        <w:rPr>
          <w:rFonts w:ascii="Times New Roman" w:hAnsi="Times New Roman" w:cs="Times New Roman"/>
          <w:sz w:val="24"/>
          <w:szCs w:val="24"/>
          <w:lang w:val="it-IT"/>
        </w:rPr>
        <w:t xml:space="preserve">PloS One, 8(11), e80522. </w:t>
      </w:r>
      <w:hyperlink r:id="rId35" w:history="1">
        <w:r w:rsidRPr="00D27D0C">
          <w:rPr>
            <w:rStyle w:val="Hyperlink"/>
            <w:rFonts w:ascii="Times New Roman" w:hAnsi="Times New Roman" w:cs="Times New Roman"/>
            <w:sz w:val="24"/>
            <w:szCs w:val="24"/>
            <w:lang w:val="it-IT"/>
          </w:rPr>
          <w:t>https://doi.org/10.1371/journal.pone.0080522</w:t>
        </w:r>
      </w:hyperlink>
    </w:p>
    <w:p w14:paraId="280E62F8" w14:textId="77777777" w:rsidR="00482957" w:rsidRPr="00482957" w:rsidRDefault="00482957" w:rsidP="00482957">
      <w:pPr>
        <w:jc w:val="both"/>
        <w:rPr>
          <w:rFonts w:ascii="Times New Roman" w:hAnsi="Times New Roman" w:cs="Times New Roman"/>
          <w:sz w:val="24"/>
          <w:szCs w:val="24"/>
        </w:rPr>
      </w:pPr>
      <w:r w:rsidRPr="00D27D0C">
        <w:rPr>
          <w:rFonts w:ascii="Times New Roman" w:hAnsi="Times New Roman" w:cs="Times New Roman"/>
          <w:sz w:val="24"/>
          <w:szCs w:val="24"/>
          <w:lang w:val="it-IT"/>
        </w:rPr>
        <w:t xml:space="preserve">[30] Sapkota, T. B., Mazzoncini, M., Bàrberi, P., Antichi, D., &amp; Silvestri, N. (2012). </w:t>
      </w:r>
      <w:r w:rsidRPr="00482957">
        <w:rPr>
          <w:rFonts w:ascii="Times New Roman" w:hAnsi="Times New Roman" w:cs="Times New Roman"/>
          <w:sz w:val="24"/>
          <w:szCs w:val="24"/>
        </w:rPr>
        <w:t xml:space="preserve">Fifteen years of no till increase soil organic matter, microbial biomass and arthropod diversity in cover crop-based arable cropping systems. Agronomy for Sustainable Development, 32(4), 853-863. </w:t>
      </w:r>
      <w:hyperlink r:id="rId36" w:history="1">
        <w:r w:rsidRPr="00482957">
          <w:rPr>
            <w:rStyle w:val="Hyperlink"/>
            <w:rFonts w:ascii="Times New Roman" w:hAnsi="Times New Roman" w:cs="Times New Roman"/>
            <w:sz w:val="24"/>
            <w:szCs w:val="24"/>
          </w:rPr>
          <w:t>https://doi.org/10.1007/s13593-011-0079-0</w:t>
        </w:r>
      </w:hyperlink>
    </w:p>
    <w:p w14:paraId="4AF793F8"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[31] </w:t>
      </w:r>
      <w:proofErr w:type="spellStart"/>
      <w:r w:rsidRPr="00482957">
        <w:rPr>
          <w:rFonts w:ascii="Times New Roman" w:hAnsi="Times New Roman" w:cs="Times New Roman"/>
          <w:sz w:val="24"/>
          <w:szCs w:val="24"/>
        </w:rPr>
        <w:t>Balota</w:t>
      </w:r>
      <w:proofErr w:type="spellEnd"/>
      <w:r w:rsidRPr="00482957">
        <w:rPr>
          <w:rFonts w:ascii="Times New Roman" w:hAnsi="Times New Roman" w:cs="Times New Roman"/>
          <w:sz w:val="24"/>
          <w:szCs w:val="24"/>
        </w:rPr>
        <w:t xml:space="preserve">, E. L., Colozzi Filho, A., Andrade, D. S., &amp; Dick, R. P. (2004). Long-term tillage and crop rotation effects on microbial biomass and C and N mineralization in a Brazilian </w:t>
      </w:r>
      <w:proofErr w:type="spellStart"/>
      <w:r w:rsidRPr="00482957">
        <w:rPr>
          <w:rFonts w:ascii="Times New Roman" w:hAnsi="Times New Roman" w:cs="Times New Roman"/>
          <w:sz w:val="24"/>
          <w:szCs w:val="24"/>
        </w:rPr>
        <w:t>Oxisol</w:t>
      </w:r>
      <w:proofErr w:type="spellEnd"/>
      <w:r w:rsidRPr="00482957">
        <w:rPr>
          <w:rFonts w:ascii="Times New Roman" w:hAnsi="Times New Roman" w:cs="Times New Roman"/>
          <w:sz w:val="24"/>
          <w:szCs w:val="24"/>
        </w:rPr>
        <w:t xml:space="preserve">. Soil and Tillage Research, 77(2), 137-145. </w:t>
      </w:r>
      <w:hyperlink r:id="rId37" w:history="1">
        <w:r w:rsidRPr="00482957">
          <w:rPr>
            <w:rStyle w:val="Hyperlink"/>
            <w:rFonts w:ascii="Times New Roman" w:hAnsi="Times New Roman" w:cs="Times New Roman"/>
            <w:sz w:val="24"/>
            <w:szCs w:val="24"/>
          </w:rPr>
          <w:t>https://doi.org/10.1016/j.still.2003.12.003</w:t>
        </w:r>
      </w:hyperlink>
    </w:p>
    <w:p w14:paraId="16F45CB3"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[32] Weller, D. M., Raaijmakers, J. M., Gardener, B. B. M., &amp; Thomashow, L. S. (2002). Microbial populations responsible for specific soil suppressiveness to plant pathogens. Annual Review of Phytopathology, 40(1), 309-348. </w:t>
      </w:r>
      <w:hyperlink r:id="rId38" w:history="1">
        <w:r w:rsidRPr="00482957">
          <w:rPr>
            <w:rStyle w:val="Hyperlink"/>
            <w:rFonts w:ascii="Times New Roman" w:hAnsi="Times New Roman" w:cs="Times New Roman"/>
            <w:sz w:val="24"/>
            <w:szCs w:val="24"/>
          </w:rPr>
          <w:t>https://doi.org/10.1146/annurev.phyto.40.030402.110010</w:t>
        </w:r>
      </w:hyperlink>
    </w:p>
    <w:p w14:paraId="3794FD12"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[33] Chauhan, B. S., Singh, R. G., &amp; Mahajan, G. (2012). Ecology and management of weeds under conservation agriculture: A review. Crop Protection, 38, 57-65. </w:t>
      </w:r>
      <w:hyperlink r:id="rId39" w:history="1">
        <w:r w:rsidRPr="00482957">
          <w:rPr>
            <w:rStyle w:val="Hyperlink"/>
            <w:rFonts w:ascii="Times New Roman" w:hAnsi="Times New Roman" w:cs="Times New Roman"/>
            <w:sz w:val="24"/>
            <w:szCs w:val="24"/>
          </w:rPr>
          <w:t>https://doi.org/10.1016/j.cropro.2012.03.010</w:t>
        </w:r>
      </w:hyperlink>
    </w:p>
    <w:p w14:paraId="69BD5E4C"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[34] Moyer, J. R., Roman, E. S., Lindwall, C. W., &amp; Blackshaw, R. E. (1994). Weed management in conservation tillage systems for wheat production in North and South America. Crop Protection, 13(4), 243-259. </w:t>
      </w:r>
      <w:hyperlink r:id="rId40" w:history="1">
        <w:r w:rsidRPr="00482957">
          <w:rPr>
            <w:rStyle w:val="Hyperlink"/>
            <w:rFonts w:ascii="Times New Roman" w:hAnsi="Times New Roman" w:cs="Times New Roman"/>
            <w:sz w:val="24"/>
            <w:szCs w:val="24"/>
          </w:rPr>
          <w:t>https://doi.org/10.1016/0261-2194(94)90012-4</w:t>
        </w:r>
      </w:hyperlink>
    </w:p>
    <w:p w14:paraId="20D783BF"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[35] Cardina, J., Herms, C. P., &amp; Doohan, D. J. (2002). Crop rotation and tillage system effects on weed seedbanks. Weed Science, 50(4), 448-460. </w:t>
      </w:r>
      <w:hyperlink r:id="rId41" w:history="1">
        <w:r w:rsidRPr="00482957">
          <w:rPr>
            <w:rStyle w:val="Hyperlink"/>
            <w:rFonts w:ascii="Times New Roman" w:hAnsi="Times New Roman" w:cs="Times New Roman"/>
            <w:sz w:val="24"/>
            <w:szCs w:val="24"/>
          </w:rPr>
          <w:t>https://doi.org/10.1614/0043-1745(2002)050[0448:CRATSE]2.0.CO;2</w:t>
        </w:r>
      </w:hyperlink>
    </w:p>
    <w:p w14:paraId="06E5ECB7"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lastRenderedPageBreak/>
        <w:t xml:space="preserve">[36] Bajwa, A. A. (2014). Sustainable weed management in conservation agriculture. Crop Protection, 65, 105-113. </w:t>
      </w:r>
      <w:hyperlink r:id="rId42" w:history="1">
        <w:r w:rsidRPr="00482957">
          <w:rPr>
            <w:rStyle w:val="Hyperlink"/>
            <w:rFonts w:ascii="Times New Roman" w:hAnsi="Times New Roman" w:cs="Times New Roman"/>
            <w:sz w:val="24"/>
            <w:szCs w:val="24"/>
          </w:rPr>
          <w:t>https://doi.org/10.1016/j.cropro.2014.07.014</w:t>
        </w:r>
      </w:hyperlink>
    </w:p>
    <w:p w14:paraId="3DB6D00B"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[37] Soane, B. D., Ball, B. C., Arvidsson, J., Basch, G., Moreno, F., &amp; Roger-Estrade, J. (2012). No-till in northern, western and south-western Europe: A review of problems and opportunities for crop production and the environment. Soil and Tillage Research, 118, 66-87. </w:t>
      </w:r>
      <w:hyperlink r:id="rId43" w:history="1">
        <w:r w:rsidRPr="00482957">
          <w:rPr>
            <w:rStyle w:val="Hyperlink"/>
            <w:rFonts w:ascii="Times New Roman" w:hAnsi="Times New Roman" w:cs="Times New Roman"/>
            <w:sz w:val="24"/>
            <w:szCs w:val="24"/>
          </w:rPr>
          <w:t>https://doi.org/10.1016/j.still.2011.10.015</w:t>
        </w:r>
      </w:hyperlink>
    </w:p>
    <w:p w14:paraId="29580C3E"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[38] Stinner, B. R., &amp; House, G. J. (1990). Arthropods and other invertebrates in conservation-tillage agriculture. Annual Review of Entomology, 35(1), 299-318. </w:t>
      </w:r>
      <w:hyperlink r:id="rId44" w:history="1">
        <w:r w:rsidRPr="00482957">
          <w:rPr>
            <w:rStyle w:val="Hyperlink"/>
            <w:rFonts w:ascii="Times New Roman" w:hAnsi="Times New Roman" w:cs="Times New Roman"/>
            <w:sz w:val="24"/>
            <w:szCs w:val="24"/>
          </w:rPr>
          <w:t>https://doi.org/10.1146/annurev.en.35.010190.001503</w:t>
        </w:r>
      </w:hyperlink>
    </w:p>
    <w:p w14:paraId="31DA5C9F"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[39] Landis, D. A., Wratten, S. D., &amp; Gurr, G. M. (2000). Habitat management to conserve natural enemies of arthropod pests in agriculture. Annual Review of Entomology, 45(1), 175-201. </w:t>
      </w:r>
      <w:hyperlink r:id="rId45" w:history="1">
        <w:r w:rsidRPr="00482957">
          <w:rPr>
            <w:rStyle w:val="Hyperlink"/>
            <w:rFonts w:ascii="Times New Roman" w:hAnsi="Times New Roman" w:cs="Times New Roman"/>
            <w:sz w:val="24"/>
            <w:szCs w:val="24"/>
          </w:rPr>
          <w:t>https://doi.org/10.1146/annurev.ento.45.1.175</w:t>
        </w:r>
      </w:hyperlink>
    </w:p>
    <w:p w14:paraId="21201F26"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[40] Cook, S. M., Khan, Z. R., &amp; Pickett, J. A. (2007). The use of push-pull strategies in integrated pest management. Annual Review of Entomology, 52, 375-400. </w:t>
      </w:r>
      <w:hyperlink r:id="rId46" w:history="1">
        <w:r w:rsidRPr="00482957">
          <w:rPr>
            <w:rStyle w:val="Hyperlink"/>
            <w:rFonts w:ascii="Times New Roman" w:hAnsi="Times New Roman" w:cs="Times New Roman"/>
            <w:sz w:val="24"/>
            <w:szCs w:val="24"/>
          </w:rPr>
          <w:t>https://doi.org/10.1146/annurev.ento.52.110405.091407</w:t>
        </w:r>
      </w:hyperlink>
    </w:p>
    <w:p w14:paraId="6857B10B"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[41] Bailey, K. L., &amp; Lazarovits, G. (2003). Suppressing soil-borne diseases with residue management and organic amendments. Soil and Tillage Research, 72(2), 169-180. </w:t>
      </w:r>
      <w:hyperlink r:id="rId47" w:history="1">
        <w:r w:rsidRPr="00482957">
          <w:rPr>
            <w:rStyle w:val="Hyperlink"/>
            <w:rFonts w:ascii="Times New Roman" w:hAnsi="Times New Roman" w:cs="Times New Roman"/>
            <w:sz w:val="24"/>
            <w:szCs w:val="24"/>
          </w:rPr>
          <w:t>https://doi.org/10.1016/S0167-1987(03)00086-2</w:t>
        </w:r>
      </w:hyperlink>
    </w:p>
    <w:p w14:paraId="072FF4B3"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[42] Bockus, W. W., &amp; Shroyer, J. P. (1998). The impact of reduced tillage on soilborne plant pathogens. Annual Review of Phytopathology, 36(1), 485-500. </w:t>
      </w:r>
      <w:hyperlink r:id="rId48" w:history="1">
        <w:r w:rsidRPr="00482957">
          <w:rPr>
            <w:rStyle w:val="Hyperlink"/>
            <w:rFonts w:ascii="Times New Roman" w:hAnsi="Times New Roman" w:cs="Times New Roman"/>
            <w:sz w:val="24"/>
            <w:szCs w:val="24"/>
          </w:rPr>
          <w:t>https://doi.org/10.1146/annurev.phyto.36.1.485</w:t>
        </w:r>
      </w:hyperlink>
    </w:p>
    <w:p w14:paraId="55CB3A9D"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[43] Peters, R. D., Sturz, A. V., Carter, M. R., &amp; Sanderson, J. B. (2003). Developing disease-suppressive soils through crop rotation and tillage management practices. Soil and Tillage Research, 72(2), 181-192. </w:t>
      </w:r>
      <w:hyperlink r:id="rId49" w:history="1">
        <w:r w:rsidRPr="00482957">
          <w:rPr>
            <w:rStyle w:val="Hyperlink"/>
            <w:rFonts w:ascii="Times New Roman" w:hAnsi="Times New Roman" w:cs="Times New Roman"/>
            <w:sz w:val="24"/>
            <w:szCs w:val="24"/>
          </w:rPr>
          <w:t>https://doi.org/10.1016/S0167-1987(03)00087-4</w:t>
        </w:r>
      </w:hyperlink>
    </w:p>
    <w:p w14:paraId="70946CBA"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[44] Bailey, K. L., Gossen, B. D., Lafond, G. P., Watson, P. R., &amp; Derksen, D. A. (2001). Effect of tillage and crop rotation on root and foliar diseases of wheat and pea in Saskatchewan from 1991 to 1998: univariate and multivariate analyses. Canadian Journal of Plant Science, 81(4), 789-803. </w:t>
      </w:r>
      <w:hyperlink r:id="rId50" w:history="1">
        <w:r w:rsidRPr="00482957">
          <w:rPr>
            <w:rStyle w:val="Hyperlink"/>
            <w:rFonts w:ascii="Times New Roman" w:hAnsi="Times New Roman" w:cs="Times New Roman"/>
            <w:sz w:val="24"/>
            <w:szCs w:val="24"/>
          </w:rPr>
          <w:t>https://doi.org/10.4141/P00-116</w:t>
        </w:r>
      </w:hyperlink>
    </w:p>
    <w:p w14:paraId="091C17A8"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[45] Stone, A. G., Scheuerell, S. J., &amp; Darby, H. M. (2004). Suppression of soilborne diseases in field agricultural systems: organic matter management, cover cropping, and other cultural practices. In Soil organic matter in sustainable agriculture (pp. 131-177). CRC Press. </w:t>
      </w:r>
      <w:hyperlink r:id="rId51" w:history="1">
        <w:r w:rsidRPr="00482957">
          <w:rPr>
            <w:rStyle w:val="Hyperlink"/>
            <w:rFonts w:ascii="Times New Roman" w:hAnsi="Times New Roman" w:cs="Times New Roman"/>
            <w:sz w:val="24"/>
            <w:szCs w:val="24"/>
          </w:rPr>
          <w:t>https://doi.org/10.1201/9780203496374.ch5</w:t>
        </w:r>
      </w:hyperlink>
    </w:p>
    <w:p w14:paraId="15C433B8"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[46] Krupinsky, J. M., Bailey, K. L., McMullen, M. P., Gossen, B. D., &amp; Turkington, T. K. (2002). Managing plant disease risk in diversified cropping systems. Agronomy Journal, 94(2), 198-209. </w:t>
      </w:r>
      <w:hyperlink r:id="rId52" w:history="1">
        <w:r w:rsidRPr="00482957">
          <w:rPr>
            <w:rStyle w:val="Hyperlink"/>
            <w:rFonts w:ascii="Times New Roman" w:hAnsi="Times New Roman" w:cs="Times New Roman"/>
            <w:sz w:val="24"/>
            <w:szCs w:val="24"/>
          </w:rPr>
          <w:t>https://doi.org/10.2134/agronj2002.1980</w:t>
        </w:r>
      </w:hyperlink>
    </w:p>
    <w:p w14:paraId="2300C95A"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[47] Abawi, G. S., &amp; Widmer, T. L. (2000). Impact of soil health management practices on soilborne pathogens</w:t>
      </w:r>
    </w:p>
    <w:p w14:paraId="70393B50" w14:textId="77777777" w:rsidR="00482957" w:rsidRPr="00482957" w:rsidRDefault="00C43178" w:rsidP="00482957">
      <w:pPr>
        <w:jc w:val="both"/>
        <w:rPr>
          <w:rFonts w:ascii="Times New Roman" w:hAnsi="Times New Roman" w:cs="Times New Roman"/>
          <w:sz w:val="24"/>
          <w:szCs w:val="24"/>
        </w:rPr>
      </w:pPr>
      <w:r w:rsidRPr="00482957">
        <w:rPr>
          <w:rFonts w:ascii="Times New Roman" w:hAnsi="Times New Roman" w:cs="Times New Roman"/>
          <w:sz w:val="24"/>
          <w:szCs w:val="24"/>
        </w:rPr>
        <w:lastRenderedPageBreak/>
        <w:t xml:space="preserve"> </w:t>
      </w:r>
      <w:r w:rsidR="00482957" w:rsidRPr="00D27D0C">
        <w:rPr>
          <w:rFonts w:ascii="Times New Roman" w:hAnsi="Times New Roman" w:cs="Times New Roman"/>
          <w:sz w:val="24"/>
          <w:szCs w:val="24"/>
          <w:lang w:val="it-IT"/>
        </w:rPr>
        <w:t xml:space="preserve">[48] Gurr, G. M., Wratten, S. D., &amp; Luna, J. M. (2003). </w:t>
      </w:r>
      <w:r w:rsidR="00482957" w:rsidRPr="00482957">
        <w:rPr>
          <w:rFonts w:ascii="Times New Roman" w:hAnsi="Times New Roman" w:cs="Times New Roman"/>
          <w:sz w:val="24"/>
          <w:szCs w:val="24"/>
        </w:rPr>
        <w:t xml:space="preserve">Multi-function agricultural biodiversity: pest management and other benefits. Basic and Applied Ecology, 4(2), 107-116. </w:t>
      </w:r>
      <w:hyperlink r:id="rId53" w:history="1">
        <w:r w:rsidR="00482957" w:rsidRPr="00482957">
          <w:rPr>
            <w:rStyle w:val="Hyperlink"/>
            <w:rFonts w:ascii="Times New Roman" w:hAnsi="Times New Roman" w:cs="Times New Roman"/>
            <w:sz w:val="24"/>
            <w:szCs w:val="24"/>
          </w:rPr>
          <w:t>https://doi.org/10.1078/1439-1791-00122</w:t>
        </w:r>
      </w:hyperlink>
    </w:p>
    <w:p w14:paraId="5EA5600D"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[49] Radcliffe, E. B., Hutchison, W. D., &amp; </w:t>
      </w:r>
      <w:proofErr w:type="spellStart"/>
      <w:r w:rsidRPr="00482957">
        <w:rPr>
          <w:rFonts w:ascii="Times New Roman" w:hAnsi="Times New Roman" w:cs="Times New Roman"/>
          <w:sz w:val="24"/>
          <w:szCs w:val="24"/>
        </w:rPr>
        <w:t>Cancelado</w:t>
      </w:r>
      <w:proofErr w:type="spellEnd"/>
      <w:r w:rsidRPr="00482957">
        <w:rPr>
          <w:rFonts w:ascii="Times New Roman" w:hAnsi="Times New Roman" w:cs="Times New Roman"/>
          <w:sz w:val="24"/>
          <w:szCs w:val="24"/>
        </w:rPr>
        <w:t xml:space="preserve">, R. E. (Eds.). (2009). Integrated pest management: concepts, tactics, strategies and case studies. Cambridge University Press. </w:t>
      </w:r>
      <w:hyperlink r:id="rId54" w:history="1">
        <w:r w:rsidRPr="00482957">
          <w:rPr>
            <w:rStyle w:val="Hyperlink"/>
            <w:rFonts w:ascii="Times New Roman" w:hAnsi="Times New Roman" w:cs="Times New Roman"/>
            <w:sz w:val="24"/>
            <w:szCs w:val="24"/>
          </w:rPr>
          <w:t>https://doi.org/10.1017/CBO9780511626463</w:t>
        </w:r>
      </w:hyperlink>
    </w:p>
    <w:p w14:paraId="0962B375"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[50] Kassam, A., Friedrich, T., </w:t>
      </w:r>
      <w:proofErr w:type="spellStart"/>
      <w:r w:rsidRPr="00482957">
        <w:rPr>
          <w:rFonts w:ascii="Times New Roman" w:hAnsi="Times New Roman" w:cs="Times New Roman"/>
          <w:sz w:val="24"/>
          <w:szCs w:val="24"/>
        </w:rPr>
        <w:t>Shaxson</w:t>
      </w:r>
      <w:proofErr w:type="spellEnd"/>
      <w:r w:rsidRPr="00482957">
        <w:rPr>
          <w:rFonts w:ascii="Times New Roman" w:hAnsi="Times New Roman" w:cs="Times New Roman"/>
          <w:sz w:val="24"/>
          <w:szCs w:val="24"/>
        </w:rPr>
        <w:t xml:space="preserve">, F., &amp; Pretty, J. (2009). The spread of conservation agriculture: justification, sustainability and uptake. International Journal of Agricultural Sustainability, 7(4), 292-320. </w:t>
      </w:r>
      <w:hyperlink r:id="rId55" w:history="1">
        <w:r w:rsidRPr="00482957">
          <w:rPr>
            <w:rStyle w:val="Hyperlink"/>
            <w:rFonts w:ascii="Times New Roman" w:hAnsi="Times New Roman" w:cs="Times New Roman"/>
            <w:sz w:val="24"/>
            <w:szCs w:val="24"/>
          </w:rPr>
          <w:t>https://doi.org/10.3763/ijas.2009.0477</w:t>
        </w:r>
      </w:hyperlink>
    </w:p>
    <w:p w14:paraId="2A8B5617"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[51] Brouder, S. M., &amp; Gomez-Macpherson, H. (2014). The impact of conservation agriculture on smallholder agricultural yields: A scoping review of the evidence. Agriculture, Ecosystems &amp; Environment, 187, 11-32. </w:t>
      </w:r>
      <w:hyperlink r:id="rId56" w:history="1">
        <w:r w:rsidRPr="00482957">
          <w:rPr>
            <w:rStyle w:val="Hyperlink"/>
            <w:rFonts w:ascii="Times New Roman" w:hAnsi="Times New Roman" w:cs="Times New Roman"/>
            <w:sz w:val="24"/>
            <w:szCs w:val="24"/>
          </w:rPr>
          <w:t>https://doi.org/10.1016/j.agee.2013.08.010</w:t>
        </w:r>
      </w:hyperlink>
    </w:p>
    <w:p w14:paraId="3E7267E1"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[52] Giller, K. E., Witter, E., </w:t>
      </w:r>
      <w:proofErr w:type="spellStart"/>
      <w:r w:rsidRPr="00482957">
        <w:rPr>
          <w:rFonts w:ascii="Times New Roman" w:hAnsi="Times New Roman" w:cs="Times New Roman"/>
          <w:sz w:val="24"/>
          <w:szCs w:val="24"/>
        </w:rPr>
        <w:t>Corbeels</w:t>
      </w:r>
      <w:proofErr w:type="spellEnd"/>
      <w:r w:rsidRPr="00482957">
        <w:rPr>
          <w:rFonts w:ascii="Times New Roman" w:hAnsi="Times New Roman" w:cs="Times New Roman"/>
          <w:sz w:val="24"/>
          <w:szCs w:val="24"/>
        </w:rPr>
        <w:t xml:space="preserve">, M., &amp; </w:t>
      </w:r>
      <w:proofErr w:type="spellStart"/>
      <w:r w:rsidRPr="00482957">
        <w:rPr>
          <w:rFonts w:ascii="Times New Roman" w:hAnsi="Times New Roman" w:cs="Times New Roman"/>
          <w:sz w:val="24"/>
          <w:szCs w:val="24"/>
        </w:rPr>
        <w:t>Tittonell</w:t>
      </w:r>
      <w:proofErr w:type="spellEnd"/>
      <w:r w:rsidRPr="00482957">
        <w:rPr>
          <w:rFonts w:ascii="Times New Roman" w:hAnsi="Times New Roman" w:cs="Times New Roman"/>
          <w:sz w:val="24"/>
          <w:szCs w:val="24"/>
        </w:rPr>
        <w:t xml:space="preserve">, P. (2009). Conservation agriculture and smallholder farming in Africa: the heretics' view. Field Crops Research, 114(1), 23-34. </w:t>
      </w:r>
      <w:hyperlink r:id="rId57" w:history="1">
        <w:r w:rsidRPr="00482957">
          <w:rPr>
            <w:rStyle w:val="Hyperlink"/>
            <w:rFonts w:ascii="Times New Roman" w:hAnsi="Times New Roman" w:cs="Times New Roman"/>
            <w:sz w:val="24"/>
            <w:szCs w:val="24"/>
          </w:rPr>
          <w:t>https://doi.org/10.1016/j.fcr.2009.06.017</w:t>
        </w:r>
      </w:hyperlink>
    </w:p>
    <w:p w14:paraId="4607ED11"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[53] Chauhan, B. S., &amp; Gill, G. S. (2014). Weed management using crop competition in Australia. Crop Protection, 64, 8-13. </w:t>
      </w:r>
      <w:hyperlink r:id="rId58" w:history="1">
        <w:r w:rsidRPr="00482957">
          <w:rPr>
            <w:rStyle w:val="Hyperlink"/>
            <w:rFonts w:ascii="Times New Roman" w:hAnsi="Times New Roman" w:cs="Times New Roman"/>
            <w:sz w:val="24"/>
            <w:szCs w:val="24"/>
          </w:rPr>
          <w:t>https://doi.org/10.1016/j.cropro.2014.06.009</w:t>
        </w:r>
      </w:hyperlink>
    </w:p>
    <w:p w14:paraId="391E8635"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[54] Rusch, A., </w:t>
      </w:r>
      <w:proofErr w:type="spellStart"/>
      <w:r w:rsidRPr="00482957">
        <w:rPr>
          <w:rFonts w:ascii="Times New Roman" w:hAnsi="Times New Roman" w:cs="Times New Roman"/>
          <w:sz w:val="24"/>
          <w:szCs w:val="24"/>
        </w:rPr>
        <w:t>Bommarco</w:t>
      </w:r>
      <w:proofErr w:type="spellEnd"/>
      <w:r w:rsidRPr="00482957">
        <w:rPr>
          <w:rFonts w:ascii="Times New Roman" w:hAnsi="Times New Roman" w:cs="Times New Roman"/>
          <w:sz w:val="24"/>
          <w:szCs w:val="24"/>
        </w:rPr>
        <w:t xml:space="preserve">, R., Jonsson, M., Smith, H. G., &amp; Ekbom, B. (2013). Flow and stability of natural pest control services depend on complexity and crop rotation at the landscape scale. Journal of Applied Ecology, 50(2), 345-354. </w:t>
      </w:r>
      <w:hyperlink r:id="rId59" w:history="1">
        <w:r w:rsidRPr="00482957">
          <w:rPr>
            <w:rStyle w:val="Hyperlink"/>
            <w:rFonts w:ascii="Times New Roman" w:hAnsi="Times New Roman" w:cs="Times New Roman"/>
            <w:sz w:val="24"/>
            <w:szCs w:val="24"/>
          </w:rPr>
          <w:t>https://doi.org/10.1111/1365-2664.12055</w:t>
        </w:r>
      </w:hyperlink>
    </w:p>
    <w:p w14:paraId="630F81B5"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[55] Knowler, D., &amp; Bradshaw, B. (2007). Farmers' adoption of conservation agriculture: A review and synthesis of recent research. Food Policy, 32(1), 25-48. </w:t>
      </w:r>
      <w:hyperlink r:id="rId60" w:history="1">
        <w:r w:rsidRPr="00482957">
          <w:rPr>
            <w:rStyle w:val="Hyperlink"/>
            <w:rFonts w:ascii="Times New Roman" w:hAnsi="Times New Roman" w:cs="Times New Roman"/>
            <w:sz w:val="24"/>
            <w:szCs w:val="24"/>
          </w:rPr>
          <w:t>https://doi.org/10.1016/j.foodpol.2006.01.003</w:t>
        </w:r>
      </w:hyperlink>
    </w:p>
    <w:p w14:paraId="64EFF084" w14:textId="44BDA717" w:rsidR="00482957" w:rsidRPr="00482957" w:rsidRDefault="00482957" w:rsidP="00482957">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363"/>
        <w:gridCol w:w="6382"/>
      </w:tblGrid>
      <w:tr w:rsidR="00482957" w:rsidRPr="00482957" w14:paraId="22EF92BA" w14:textId="77777777" w:rsidTr="00C43178">
        <w:tc>
          <w:tcPr>
            <w:tcW w:w="0" w:type="auto"/>
            <w:hideMark/>
          </w:tcPr>
          <w:p w14:paraId="63EAEA24" w14:textId="77777777" w:rsidR="00482957" w:rsidRPr="00482957" w:rsidRDefault="00482957" w:rsidP="00482957">
            <w:pPr>
              <w:jc w:val="both"/>
              <w:rPr>
                <w:rFonts w:ascii="Times New Roman" w:hAnsi="Times New Roman" w:cs="Times New Roman"/>
                <w:b/>
                <w:bCs/>
                <w:sz w:val="24"/>
                <w:szCs w:val="24"/>
              </w:rPr>
            </w:pPr>
            <w:r w:rsidRPr="00482957">
              <w:rPr>
                <w:rFonts w:ascii="Times New Roman" w:hAnsi="Times New Roman" w:cs="Times New Roman"/>
                <w:b/>
                <w:bCs/>
                <w:sz w:val="24"/>
                <w:szCs w:val="24"/>
              </w:rPr>
              <w:t>Principle</w:t>
            </w:r>
          </w:p>
        </w:tc>
        <w:tc>
          <w:tcPr>
            <w:tcW w:w="0" w:type="auto"/>
            <w:hideMark/>
          </w:tcPr>
          <w:p w14:paraId="46256063" w14:textId="77777777" w:rsidR="00482957" w:rsidRPr="00482957" w:rsidRDefault="00482957" w:rsidP="00482957">
            <w:pPr>
              <w:jc w:val="both"/>
              <w:rPr>
                <w:rFonts w:ascii="Times New Roman" w:hAnsi="Times New Roman" w:cs="Times New Roman"/>
                <w:b/>
                <w:bCs/>
                <w:sz w:val="24"/>
                <w:szCs w:val="24"/>
              </w:rPr>
            </w:pPr>
            <w:r w:rsidRPr="00482957">
              <w:rPr>
                <w:rFonts w:ascii="Times New Roman" w:hAnsi="Times New Roman" w:cs="Times New Roman"/>
                <w:b/>
                <w:bCs/>
                <w:sz w:val="24"/>
                <w:szCs w:val="24"/>
              </w:rPr>
              <w:t>Description</w:t>
            </w:r>
          </w:p>
        </w:tc>
      </w:tr>
      <w:tr w:rsidR="00482957" w:rsidRPr="00482957" w14:paraId="5C9E3288" w14:textId="77777777" w:rsidTr="00C43178">
        <w:tc>
          <w:tcPr>
            <w:tcW w:w="0" w:type="auto"/>
            <w:hideMark/>
          </w:tcPr>
          <w:p w14:paraId="5BDCBE76"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Reduced tillage</w:t>
            </w:r>
          </w:p>
        </w:tc>
        <w:tc>
          <w:tcPr>
            <w:tcW w:w="0" w:type="auto"/>
            <w:hideMark/>
          </w:tcPr>
          <w:p w14:paraId="3E83AD5A"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Minimizing soil disturbance by reducing or eliminating plowing</w:t>
            </w:r>
          </w:p>
        </w:tc>
      </w:tr>
      <w:tr w:rsidR="00482957" w:rsidRPr="00482957" w14:paraId="583EB963" w14:textId="77777777" w:rsidTr="00C43178">
        <w:tc>
          <w:tcPr>
            <w:tcW w:w="0" w:type="auto"/>
            <w:hideMark/>
          </w:tcPr>
          <w:p w14:paraId="3C056745"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Crop residue retention</w:t>
            </w:r>
          </w:p>
        </w:tc>
        <w:tc>
          <w:tcPr>
            <w:tcW w:w="0" w:type="auto"/>
            <w:hideMark/>
          </w:tcPr>
          <w:p w14:paraId="36579011"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Leaving plant residues from previous crops on the soil surface</w:t>
            </w:r>
          </w:p>
        </w:tc>
      </w:tr>
      <w:tr w:rsidR="00482957" w:rsidRPr="00482957" w14:paraId="575002F4" w14:textId="77777777" w:rsidTr="00C43178">
        <w:tc>
          <w:tcPr>
            <w:tcW w:w="0" w:type="auto"/>
            <w:hideMark/>
          </w:tcPr>
          <w:p w14:paraId="795AE34D"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Crop rotation</w:t>
            </w:r>
          </w:p>
        </w:tc>
        <w:tc>
          <w:tcPr>
            <w:tcW w:w="0" w:type="auto"/>
            <w:hideMark/>
          </w:tcPr>
          <w:p w14:paraId="2ECF0718"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Sequential cultivation of different crops on the same land</w:t>
            </w:r>
          </w:p>
        </w:tc>
      </w:tr>
    </w:tbl>
    <w:p w14:paraId="338E1F50" w14:textId="77777777" w:rsidR="00E97043" w:rsidRPr="00C43178" w:rsidRDefault="00482957" w:rsidP="00482957">
      <w:pPr>
        <w:jc w:val="both"/>
        <w:rPr>
          <w:rFonts w:ascii="Times New Roman" w:hAnsi="Times New Roman" w:cs="Times New Roman"/>
          <w:b/>
          <w:bCs/>
          <w:sz w:val="24"/>
          <w:szCs w:val="24"/>
        </w:rPr>
      </w:pPr>
      <w:r w:rsidRPr="00C43178">
        <w:rPr>
          <w:rFonts w:ascii="Times New Roman" w:hAnsi="Times New Roman" w:cs="Times New Roman"/>
          <w:b/>
          <w:bCs/>
          <w:i/>
          <w:iCs/>
          <w:sz w:val="24"/>
          <w:szCs w:val="24"/>
        </w:rPr>
        <w:t>Table 1. Key principles of conservation agriculture</w:t>
      </w:r>
    </w:p>
    <w:tbl>
      <w:tblPr>
        <w:tblStyle w:val="TableGrid"/>
        <w:tblW w:w="0" w:type="auto"/>
        <w:tblLook w:val="04A0" w:firstRow="1" w:lastRow="0" w:firstColumn="1" w:lastColumn="0" w:noHBand="0" w:noVBand="1"/>
      </w:tblPr>
      <w:tblGrid>
        <w:gridCol w:w="2125"/>
        <w:gridCol w:w="7451"/>
      </w:tblGrid>
      <w:tr w:rsidR="00482957" w:rsidRPr="00482957" w14:paraId="56436C03" w14:textId="77777777" w:rsidTr="00C43178">
        <w:tc>
          <w:tcPr>
            <w:tcW w:w="0" w:type="auto"/>
            <w:hideMark/>
          </w:tcPr>
          <w:p w14:paraId="6E53FD47" w14:textId="77777777" w:rsidR="00482957" w:rsidRPr="00482957" w:rsidRDefault="00482957" w:rsidP="00482957">
            <w:pPr>
              <w:jc w:val="both"/>
              <w:rPr>
                <w:rFonts w:ascii="Times New Roman" w:hAnsi="Times New Roman" w:cs="Times New Roman"/>
                <w:b/>
                <w:bCs/>
                <w:sz w:val="24"/>
                <w:szCs w:val="24"/>
              </w:rPr>
            </w:pPr>
            <w:r w:rsidRPr="00482957">
              <w:rPr>
                <w:rFonts w:ascii="Times New Roman" w:hAnsi="Times New Roman" w:cs="Times New Roman"/>
                <w:b/>
                <w:bCs/>
                <w:sz w:val="24"/>
                <w:szCs w:val="24"/>
              </w:rPr>
              <w:t>Soil Health Parameter</w:t>
            </w:r>
          </w:p>
        </w:tc>
        <w:tc>
          <w:tcPr>
            <w:tcW w:w="0" w:type="auto"/>
            <w:hideMark/>
          </w:tcPr>
          <w:p w14:paraId="272875FE" w14:textId="77777777" w:rsidR="00482957" w:rsidRPr="00482957" w:rsidRDefault="00482957" w:rsidP="00482957">
            <w:pPr>
              <w:jc w:val="both"/>
              <w:rPr>
                <w:rFonts w:ascii="Times New Roman" w:hAnsi="Times New Roman" w:cs="Times New Roman"/>
                <w:b/>
                <w:bCs/>
                <w:sz w:val="24"/>
                <w:szCs w:val="24"/>
              </w:rPr>
            </w:pPr>
            <w:r w:rsidRPr="00482957">
              <w:rPr>
                <w:rFonts w:ascii="Times New Roman" w:hAnsi="Times New Roman" w:cs="Times New Roman"/>
                <w:b/>
                <w:bCs/>
                <w:sz w:val="24"/>
                <w:szCs w:val="24"/>
              </w:rPr>
              <w:t>Impact of Conservation Agriculture</w:t>
            </w:r>
          </w:p>
        </w:tc>
      </w:tr>
      <w:tr w:rsidR="00482957" w:rsidRPr="00482957" w14:paraId="7DA7BDAC" w14:textId="77777777" w:rsidTr="00C43178">
        <w:tc>
          <w:tcPr>
            <w:tcW w:w="0" w:type="auto"/>
            <w:hideMark/>
          </w:tcPr>
          <w:p w14:paraId="739387A7"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Organic matter content</w:t>
            </w:r>
          </w:p>
        </w:tc>
        <w:tc>
          <w:tcPr>
            <w:tcW w:w="0" w:type="auto"/>
            <w:hideMark/>
          </w:tcPr>
          <w:p w14:paraId="7DC80654"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Increased over time due to reduced tillage and crop residue retention</w:t>
            </w:r>
          </w:p>
        </w:tc>
      </w:tr>
      <w:tr w:rsidR="00482957" w:rsidRPr="00482957" w14:paraId="580FA9E5" w14:textId="77777777" w:rsidTr="00C43178">
        <w:tc>
          <w:tcPr>
            <w:tcW w:w="0" w:type="auto"/>
            <w:hideMark/>
          </w:tcPr>
          <w:p w14:paraId="272464C0"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Soil structure</w:t>
            </w:r>
          </w:p>
        </w:tc>
        <w:tc>
          <w:tcPr>
            <w:tcW w:w="0" w:type="auto"/>
            <w:hideMark/>
          </w:tcPr>
          <w:p w14:paraId="3A39D791"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Improved aggregation and porosity, enhancing water infiltration and aeration</w:t>
            </w:r>
          </w:p>
        </w:tc>
      </w:tr>
      <w:tr w:rsidR="00482957" w:rsidRPr="00482957" w14:paraId="320B4A1F" w14:textId="77777777" w:rsidTr="00C43178">
        <w:tc>
          <w:tcPr>
            <w:tcW w:w="0" w:type="auto"/>
            <w:hideMark/>
          </w:tcPr>
          <w:p w14:paraId="6BF59652"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Nutrient availability</w:t>
            </w:r>
          </w:p>
        </w:tc>
        <w:tc>
          <w:tcPr>
            <w:tcW w:w="0" w:type="auto"/>
            <w:hideMark/>
          </w:tcPr>
          <w:p w14:paraId="4794C9B7"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Slow release of nutrients from decomposing crop residues; nitrogen fixation by leguminous cover crops</w:t>
            </w:r>
          </w:p>
        </w:tc>
      </w:tr>
      <w:tr w:rsidR="00482957" w:rsidRPr="00482957" w14:paraId="5B0EC108" w14:textId="77777777" w:rsidTr="00C43178">
        <w:tc>
          <w:tcPr>
            <w:tcW w:w="0" w:type="auto"/>
            <w:hideMark/>
          </w:tcPr>
          <w:p w14:paraId="76275C87"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Water retention</w:t>
            </w:r>
          </w:p>
        </w:tc>
        <w:tc>
          <w:tcPr>
            <w:tcW w:w="0" w:type="auto"/>
            <w:hideMark/>
          </w:tcPr>
          <w:p w14:paraId="5F159C01"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 xml:space="preserve">Enhanced by crop residues and improved soil structure, reducing </w:t>
            </w:r>
            <w:r w:rsidRPr="00482957">
              <w:rPr>
                <w:rFonts w:ascii="Times New Roman" w:hAnsi="Times New Roman" w:cs="Times New Roman"/>
                <w:sz w:val="24"/>
                <w:szCs w:val="24"/>
              </w:rPr>
              <w:lastRenderedPageBreak/>
              <w:t>evaporation losses</w:t>
            </w:r>
          </w:p>
        </w:tc>
      </w:tr>
      <w:tr w:rsidR="00482957" w:rsidRPr="00482957" w14:paraId="07BA50FD" w14:textId="77777777" w:rsidTr="00C43178">
        <w:tc>
          <w:tcPr>
            <w:tcW w:w="0" w:type="auto"/>
            <w:hideMark/>
          </w:tcPr>
          <w:p w14:paraId="6010349C"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lastRenderedPageBreak/>
              <w:t>Microbial diversity</w:t>
            </w:r>
          </w:p>
        </w:tc>
        <w:tc>
          <w:tcPr>
            <w:tcW w:w="0" w:type="auto"/>
            <w:hideMark/>
          </w:tcPr>
          <w:p w14:paraId="68BF234E"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Fostered by reduced tillage and crop residues, contributing to nutrient cycling and pathogen suppression</w:t>
            </w:r>
          </w:p>
        </w:tc>
      </w:tr>
    </w:tbl>
    <w:p w14:paraId="11C1B1BC" w14:textId="77777777" w:rsidR="00E97043" w:rsidRPr="00C43178" w:rsidRDefault="00482957" w:rsidP="00482957">
      <w:pPr>
        <w:jc w:val="both"/>
        <w:rPr>
          <w:rFonts w:ascii="Times New Roman" w:hAnsi="Times New Roman" w:cs="Times New Roman"/>
          <w:b/>
          <w:bCs/>
          <w:sz w:val="24"/>
          <w:szCs w:val="24"/>
        </w:rPr>
      </w:pPr>
      <w:r w:rsidRPr="00C43178">
        <w:rPr>
          <w:rFonts w:ascii="Times New Roman" w:hAnsi="Times New Roman" w:cs="Times New Roman"/>
          <w:b/>
          <w:bCs/>
          <w:i/>
          <w:iCs/>
          <w:sz w:val="24"/>
          <w:szCs w:val="24"/>
        </w:rPr>
        <w:t>Table 2. Impact of conservation agriculture on soil health parameters</w:t>
      </w:r>
    </w:p>
    <w:tbl>
      <w:tblPr>
        <w:tblStyle w:val="TableGrid"/>
        <w:tblW w:w="0" w:type="auto"/>
        <w:tblLook w:val="04A0" w:firstRow="1" w:lastRow="0" w:firstColumn="1" w:lastColumn="0" w:noHBand="0" w:noVBand="1"/>
      </w:tblPr>
      <w:tblGrid>
        <w:gridCol w:w="1354"/>
        <w:gridCol w:w="3884"/>
        <w:gridCol w:w="4338"/>
      </w:tblGrid>
      <w:tr w:rsidR="00482957" w:rsidRPr="00482957" w14:paraId="32867CED" w14:textId="77777777" w:rsidTr="00C43178">
        <w:tc>
          <w:tcPr>
            <w:tcW w:w="0" w:type="auto"/>
            <w:hideMark/>
          </w:tcPr>
          <w:p w14:paraId="4ECC3923" w14:textId="77777777" w:rsidR="00482957" w:rsidRPr="00482957" w:rsidRDefault="00482957" w:rsidP="00482957">
            <w:pPr>
              <w:jc w:val="both"/>
              <w:rPr>
                <w:rFonts w:ascii="Times New Roman" w:hAnsi="Times New Roman" w:cs="Times New Roman"/>
                <w:b/>
                <w:bCs/>
                <w:sz w:val="24"/>
                <w:szCs w:val="24"/>
              </w:rPr>
            </w:pPr>
            <w:r w:rsidRPr="00482957">
              <w:rPr>
                <w:rFonts w:ascii="Times New Roman" w:hAnsi="Times New Roman" w:cs="Times New Roman"/>
                <w:b/>
                <w:bCs/>
                <w:sz w:val="24"/>
                <w:szCs w:val="24"/>
              </w:rPr>
              <w:t>Pest Type</w:t>
            </w:r>
          </w:p>
        </w:tc>
        <w:tc>
          <w:tcPr>
            <w:tcW w:w="0" w:type="auto"/>
            <w:hideMark/>
          </w:tcPr>
          <w:p w14:paraId="0BB8C444" w14:textId="77777777" w:rsidR="00482957" w:rsidRPr="00482957" w:rsidRDefault="00482957" w:rsidP="00482957">
            <w:pPr>
              <w:jc w:val="both"/>
              <w:rPr>
                <w:rFonts w:ascii="Times New Roman" w:hAnsi="Times New Roman" w:cs="Times New Roman"/>
                <w:b/>
                <w:bCs/>
                <w:sz w:val="24"/>
                <w:szCs w:val="24"/>
              </w:rPr>
            </w:pPr>
            <w:r w:rsidRPr="00482957">
              <w:rPr>
                <w:rFonts w:ascii="Times New Roman" w:hAnsi="Times New Roman" w:cs="Times New Roman"/>
                <w:b/>
                <w:bCs/>
                <w:sz w:val="24"/>
                <w:szCs w:val="24"/>
              </w:rPr>
              <w:t>Challenges</w:t>
            </w:r>
          </w:p>
        </w:tc>
        <w:tc>
          <w:tcPr>
            <w:tcW w:w="0" w:type="auto"/>
            <w:hideMark/>
          </w:tcPr>
          <w:p w14:paraId="4A4E224B" w14:textId="77777777" w:rsidR="00482957" w:rsidRPr="00482957" w:rsidRDefault="00482957" w:rsidP="00482957">
            <w:pPr>
              <w:jc w:val="both"/>
              <w:rPr>
                <w:rFonts w:ascii="Times New Roman" w:hAnsi="Times New Roman" w:cs="Times New Roman"/>
                <w:b/>
                <w:bCs/>
                <w:sz w:val="24"/>
                <w:szCs w:val="24"/>
              </w:rPr>
            </w:pPr>
            <w:r w:rsidRPr="00482957">
              <w:rPr>
                <w:rFonts w:ascii="Times New Roman" w:hAnsi="Times New Roman" w:cs="Times New Roman"/>
                <w:b/>
                <w:bCs/>
                <w:sz w:val="24"/>
                <w:szCs w:val="24"/>
              </w:rPr>
              <w:t>Management Strategies</w:t>
            </w:r>
          </w:p>
        </w:tc>
      </w:tr>
      <w:tr w:rsidR="00482957" w:rsidRPr="00482957" w14:paraId="4C9E47D5" w14:textId="77777777" w:rsidTr="00C43178">
        <w:tc>
          <w:tcPr>
            <w:tcW w:w="0" w:type="auto"/>
            <w:hideMark/>
          </w:tcPr>
          <w:p w14:paraId="6C73563A"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Weeds</w:t>
            </w:r>
          </w:p>
        </w:tc>
        <w:tc>
          <w:tcPr>
            <w:tcW w:w="0" w:type="auto"/>
            <w:hideMark/>
          </w:tcPr>
          <w:p w14:paraId="1FBFEFE0"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Increased populations of certain weed species, especially perennials</w:t>
            </w:r>
          </w:p>
        </w:tc>
        <w:tc>
          <w:tcPr>
            <w:tcW w:w="0" w:type="auto"/>
            <w:hideMark/>
          </w:tcPr>
          <w:p w14:paraId="21622125"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Integrated weed management: cover crops, crop rotations, targeted herbicide applications</w:t>
            </w:r>
          </w:p>
        </w:tc>
      </w:tr>
      <w:tr w:rsidR="00482957" w:rsidRPr="00482957" w14:paraId="70648A39" w14:textId="77777777" w:rsidTr="00C43178">
        <w:tc>
          <w:tcPr>
            <w:tcW w:w="0" w:type="auto"/>
            <w:hideMark/>
          </w:tcPr>
          <w:p w14:paraId="6F36837A"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Insect pests</w:t>
            </w:r>
          </w:p>
        </w:tc>
        <w:tc>
          <w:tcPr>
            <w:tcW w:w="0" w:type="auto"/>
            <w:hideMark/>
          </w:tcPr>
          <w:p w14:paraId="195EDC01"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Crop residues provide shelter and overwintering sites for some pests</w:t>
            </w:r>
          </w:p>
        </w:tc>
        <w:tc>
          <w:tcPr>
            <w:tcW w:w="0" w:type="auto"/>
            <w:hideMark/>
          </w:tcPr>
          <w:p w14:paraId="672ACF6E"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Conservation and augmentation of natural enemies; crop rotations to disrupt pest life cycles</w:t>
            </w:r>
          </w:p>
        </w:tc>
      </w:tr>
      <w:tr w:rsidR="00482957" w:rsidRPr="00482957" w14:paraId="79C8DEF6" w14:textId="77777777" w:rsidTr="00C43178">
        <w:tc>
          <w:tcPr>
            <w:tcW w:w="0" w:type="auto"/>
            <w:hideMark/>
          </w:tcPr>
          <w:p w14:paraId="5C178FB0"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Plant pathogens</w:t>
            </w:r>
          </w:p>
        </w:tc>
        <w:tc>
          <w:tcPr>
            <w:tcW w:w="0" w:type="auto"/>
            <w:hideMark/>
          </w:tcPr>
          <w:p w14:paraId="0EF02AD5"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Crop residues can serve as pathogen reservoirs; reduced tillage may favor soil-borne pathogens</w:t>
            </w:r>
          </w:p>
        </w:tc>
        <w:tc>
          <w:tcPr>
            <w:tcW w:w="0" w:type="auto"/>
            <w:hideMark/>
          </w:tcPr>
          <w:p w14:paraId="2EA7E354"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Cultural practices: crop rotations, residue management; improved plant resistance through enhanced soil health</w:t>
            </w:r>
          </w:p>
        </w:tc>
      </w:tr>
    </w:tbl>
    <w:p w14:paraId="2A1E6E37" w14:textId="77777777" w:rsidR="00E97043" w:rsidRPr="00C43178" w:rsidRDefault="00482957" w:rsidP="00482957">
      <w:pPr>
        <w:jc w:val="both"/>
        <w:rPr>
          <w:rFonts w:ascii="Times New Roman" w:hAnsi="Times New Roman" w:cs="Times New Roman"/>
          <w:b/>
          <w:bCs/>
          <w:sz w:val="24"/>
          <w:szCs w:val="24"/>
        </w:rPr>
      </w:pPr>
      <w:r w:rsidRPr="00C43178">
        <w:rPr>
          <w:rFonts w:ascii="Times New Roman" w:hAnsi="Times New Roman" w:cs="Times New Roman"/>
          <w:b/>
          <w:bCs/>
          <w:i/>
          <w:iCs/>
          <w:sz w:val="24"/>
          <w:szCs w:val="24"/>
        </w:rPr>
        <w:t>Table 3. Pest management challenges and strategies in conservation agriculture</w:t>
      </w:r>
    </w:p>
    <w:tbl>
      <w:tblPr>
        <w:tblStyle w:val="TableGrid"/>
        <w:tblW w:w="0" w:type="auto"/>
        <w:tblLook w:val="04A0" w:firstRow="1" w:lastRow="0" w:firstColumn="1" w:lastColumn="0" w:noHBand="0" w:noVBand="1"/>
      </w:tblPr>
      <w:tblGrid>
        <w:gridCol w:w="1523"/>
        <w:gridCol w:w="1332"/>
        <w:gridCol w:w="1292"/>
        <w:gridCol w:w="1149"/>
        <w:gridCol w:w="4280"/>
      </w:tblGrid>
      <w:tr w:rsidR="00482957" w:rsidRPr="00482957" w14:paraId="57DF7B71" w14:textId="77777777" w:rsidTr="00C43178">
        <w:tc>
          <w:tcPr>
            <w:tcW w:w="0" w:type="auto"/>
            <w:hideMark/>
          </w:tcPr>
          <w:p w14:paraId="6C770EB7" w14:textId="77777777" w:rsidR="00482957" w:rsidRPr="00482957" w:rsidRDefault="00482957" w:rsidP="00482957">
            <w:pPr>
              <w:jc w:val="both"/>
              <w:rPr>
                <w:rFonts w:ascii="Times New Roman" w:hAnsi="Times New Roman" w:cs="Times New Roman"/>
                <w:b/>
                <w:bCs/>
                <w:sz w:val="24"/>
                <w:szCs w:val="24"/>
              </w:rPr>
            </w:pPr>
            <w:r w:rsidRPr="00482957">
              <w:rPr>
                <w:rFonts w:ascii="Times New Roman" w:hAnsi="Times New Roman" w:cs="Times New Roman"/>
                <w:b/>
                <w:bCs/>
                <w:sz w:val="24"/>
                <w:szCs w:val="24"/>
              </w:rPr>
              <w:t>Study</w:t>
            </w:r>
          </w:p>
        </w:tc>
        <w:tc>
          <w:tcPr>
            <w:tcW w:w="0" w:type="auto"/>
            <w:hideMark/>
          </w:tcPr>
          <w:p w14:paraId="2E7C8169" w14:textId="77777777" w:rsidR="00482957" w:rsidRPr="00482957" w:rsidRDefault="00482957" w:rsidP="00482957">
            <w:pPr>
              <w:jc w:val="both"/>
              <w:rPr>
                <w:rFonts w:ascii="Times New Roman" w:hAnsi="Times New Roman" w:cs="Times New Roman"/>
                <w:b/>
                <w:bCs/>
                <w:sz w:val="24"/>
                <w:szCs w:val="24"/>
              </w:rPr>
            </w:pPr>
            <w:r w:rsidRPr="00482957">
              <w:rPr>
                <w:rFonts w:ascii="Times New Roman" w:hAnsi="Times New Roman" w:cs="Times New Roman"/>
                <w:b/>
                <w:bCs/>
                <w:sz w:val="24"/>
                <w:szCs w:val="24"/>
              </w:rPr>
              <w:t>Location</w:t>
            </w:r>
          </w:p>
        </w:tc>
        <w:tc>
          <w:tcPr>
            <w:tcW w:w="0" w:type="auto"/>
            <w:hideMark/>
          </w:tcPr>
          <w:p w14:paraId="797D6797" w14:textId="77777777" w:rsidR="00482957" w:rsidRPr="00482957" w:rsidRDefault="00482957" w:rsidP="00482957">
            <w:pPr>
              <w:jc w:val="both"/>
              <w:rPr>
                <w:rFonts w:ascii="Times New Roman" w:hAnsi="Times New Roman" w:cs="Times New Roman"/>
                <w:b/>
                <w:bCs/>
                <w:sz w:val="24"/>
                <w:szCs w:val="24"/>
              </w:rPr>
            </w:pPr>
            <w:r w:rsidRPr="00482957">
              <w:rPr>
                <w:rFonts w:ascii="Times New Roman" w:hAnsi="Times New Roman" w:cs="Times New Roman"/>
                <w:b/>
                <w:bCs/>
                <w:sz w:val="24"/>
                <w:szCs w:val="24"/>
              </w:rPr>
              <w:t>Duration (years)</w:t>
            </w:r>
          </w:p>
        </w:tc>
        <w:tc>
          <w:tcPr>
            <w:tcW w:w="0" w:type="auto"/>
            <w:hideMark/>
          </w:tcPr>
          <w:p w14:paraId="5AFC12E0" w14:textId="77777777" w:rsidR="00482957" w:rsidRPr="00482957" w:rsidRDefault="00482957" w:rsidP="00482957">
            <w:pPr>
              <w:jc w:val="both"/>
              <w:rPr>
                <w:rFonts w:ascii="Times New Roman" w:hAnsi="Times New Roman" w:cs="Times New Roman"/>
                <w:b/>
                <w:bCs/>
                <w:sz w:val="24"/>
                <w:szCs w:val="24"/>
              </w:rPr>
            </w:pPr>
            <w:r w:rsidRPr="00482957">
              <w:rPr>
                <w:rFonts w:ascii="Times New Roman" w:hAnsi="Times New Roman" w:cs="Times New Roman"/>
                <w:b/>
                <w:bCs/>
                <w:sz w:val="24"/>
                <w:szCs w:val="24"/>
              </w:rPr>
              <w:t>Crops</w:t>
            </w:r>
          </w:p>
        </w:tc>
        <w:tc>
          <w:tcPr>
            <w:tcW w:w="0" w:type="auto"/>
            <w:hideMark/>
          </w:tcPr>
          <w:p w14:paraId="136D0181" w14:textId="77777777" w:rsidR="00482957" w:rsidRPr="00482957" w:rsidRDefault="00482957" w:rsidP="00482957">
            <w:pPr>
              <w:jc w:val="both"/>
              <w:rPr>
                <w:rFonts w:ascii="Times New Roman" w:hAnsi="Times New Roman" w:cs="Times New Roman"/>
                <w:b/>
                <w:bCs/>
                <w:sz w:val="24"/>
                <w:szCs w:val="24"/>
              </w:rPr>
            </w:pPr>
            <w:r w:rsidRPr="00482957">
              <w:rPr>
                <w:rFonts w:ascii="Times New Roman" w:hAnsi="Times New Roman" w:cs="Times New Roman"/>
                <w:b/>
                <w:bCs/>
                <w:sz w:val="24"/>
                <w:szCs w:val="24"/>
              </w:rPr>
              <w:t>Key Findings</w:t>
            </w:r>
          </w:p>
        </w:tc>
      </w:tr>
      <w:tr w:rsidR="00482957" w:rsidRPr="00482957" w14:paraId="121CCB0D" w14:textId="77777777" w:rsidTr="00C43178">
        <w:tc>
          <w:tcPr>
            <w:tcW w:w="0" w:type="auto"/>
            <w:hideMark/>
          </w:tcPr>
          <w:p w14:paraId="338F8621"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Pittelkow et al. (2015)</w:t>
            </w:r>
          </w:p>
        </w:tc>
        <w:tc>
          <w:tcPr>
            <w:tcW w:w="0" w:type="auto"/>
            <w:hideMark/>
          </w:tcPr>
          <w:p w14:paraId="24195EEE"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Global meta-analysis</w:t>
            </w:r>
          </w:p>
        </w:tc>
        <w:tc>
          <w:tcPr>
            <w:tcW w:w="0" w:type="auto"/>
            <w:hideMark/>
          </w:tcPr>
          <w:p w14:paraId="7C5B9A1D"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Variable</w:t>
            </w:r>
          </w:p>
        </w:tc>
        <w:tc>
          <w:tcPr>
            <w:tcW w:w="0" w:type="auto"/>
            <w:hideMark/>
          </w:tcPr>
          <w:p w14:paraId="61343994"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Various</w:t>
            </w:r>
          </w:p>
        </w:tc>
        <w:tc>
          <w:tcPr>
            <w:tcW w:w="0" w:type="auto"/>
            <w:hideMark/>
          </w:tcPr>
          <w:p w14:paraId="2B91C419"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Conservation agriculture practices resulted in yield reductions of 2.5% on average, but with significant variability depending on crop, climate, and management practices.</w:t>
            </w:r>
          </w:p>
        </w:tc>
      </w:tr>
      <w:tr w:rsidR="00482957" w:rsidRPr="00482957" w14:paraId="58B8076E" w14:textId="77777777" w:rsidTr="00C43178">
        <w:tc>
          <w:tcPr>
            <w:tcW w:w="0" w:type="auto"/>
            <w:hideMark/>
          </w:tcPr>
          <w:p w14:paraId="75A66EA3"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Kassam et al. (2019)</w:t>
            </w:r>
          </w:p>
        </w:tc>
        <w:tc>
          <w:tcPr>
            <w:tcW w:w="0" w:type="auto"/>
            <w:hideMark/>
          </w:tcPr>
          <w:p w14:paraId="0CEF56E8"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Global review</w:t>
            </w:r>
          </w:p>
        </w:tc>
        <w:tc>
          <w:tcPr>
            <w:tcW w:w="0" w:type="auto"/>
            <w:hideMark/>
          </w:tcPr>
          <w:p w14:paraId="54E5C724"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Variable</w:t>
            </w:r>
          </w:p>
        </w:tc>
        <w:tc>
          <w:tcPr>
            <w:tcW w:w="0" w:type="auto"/>
            <w:hideMark/>
          </w:tcPr>
          <w:p w14:paraId="0E158726"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Various</w:t>
            </w:r>
          </w:p>
        </w:tc>
        <w:tc>
          <w:tcPr>
            <w:tcW w:w="0" w:type="auto"/>
            <w:hideMark/>
          </w:tcPr>
          <w:p w14:paraId="6AEE72D3"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Conservation agriculture is practiced on over 180 million hectares worldwide, with adoption rates varying by region and cropping system.</w:t>
            </w:r>
          </w:p>
        </w:tc>
      </w:tr>
      <w:tr w:rsidR="00482957" w:rsidRPr="00482957" w14:paraId="583A92B2" w14:textId="77777777" w:rsidTr="00C43178">
        <w:tc>
          <w:tcPr>
            <w:tcW w:w="0" w:type="auto"/>
            <w:hideMark/>
          </w:tcPr>
          <w:p w14:paraId="2701EDB1"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Thierfelder et al. (2015)</w:t>
            </w:r>
          </w:p>
        </w:tc>
        <w:tc>
          <w:tcPr>
            <w:tcW w:w="0" w:type="auto"/>
            <w:hideMark/>
          </w:tcPr>
          <w:p w14:paraId="100853E7"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Southern Africa</w:t>
            </w:r>
          </w:p>
        </w:tc>
        <w:tc>
          <w:tcPr>
            <w:tcW w:w="0" w:type="auto"/>
            <w:hideMark/>
          </w:tcPr>
          <w:p w14:paraId="2A878C07"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2-5</w:t>
            </w:r>
          </w:p>
        </w:tc>
        <w:tc>
          <w:tcPr>
            <w:tcW w:w="0" w:type="auto"/>
            <w:hideMark/>
          </w:tcPr>
          <w:p w14:paraId="2D13AA7B"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Maize, legumes</w:t>
            </w:r>
          </w:p>
        </w:tc>
        <w:tc>
          <w:tcPr>
            <w:tcW w:w="0" w:type="auto"/>
            <w:hideMark/>
          </w:tcPr>
          <w:p w14:paraId="66800487"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Conservation agriculture improved soil quality, water infiltration, and crop yields compared to conventional tillage, particularly in drought years.</w:t>
            </w:r>
          </w:p>
        </w:tc>
      </w:tr>
    </w:tbl>
    <w:p w14:paraId="5A1AA6D5" w14:textId="77777777" w:rsidR="00E97043" w:rsidRPr="00C43178" w:rsidRDefault="00482957" w:rsidP="00482957">
      <w:pPr>
        <w:jc w:val="both"/>
        <w:rPr>
          <w:rFonts w:ascii="Times New Roman" w:hAnsi="Times New Roman" w:cs="Times New Roman"/>
          <w:b/>
          <w:bCs/>
          <w:sz w:val="24"/>
          <w:szCs w:val="24"/>
        </w:rPr>
      </w:pPr>
      <w:r w:rsidRPr="00C43178">
        <w:rPr>
          <w:rFonts w:ascii="Times New Roman" w:hAnsi="Times New Roman" w:cs="Times New Roman"/>
          <w:b/>
          <w:bCs/>
          <w:i/>
          <w:iCs/>
          <w:sz w:val="24"/>
          <w:szCs w:val="24"/>
        </w:rPr>
        <w:t>Table 4. Selected studies on the adoption and impacts of conservation agriculture</w:t>
      </w:r>
    </w:p>
    <w:tbl>
      <w:tblPr>
        <w:tblStyle w:val="TableGrid"/>
        <w:tblW w:w="0" w:type="auto"/>
        <w:tblLook w:val="04A0" w:firstRow="1" w:lastRow="0" w:firstColumn="1" w:lastColumn="0" w:noHBand="0" w:noVBand="1"/>
      </w:tblPr>
      <w:tblGrid>
        <w:gridCol w:w="3556"/>
        <w:gridCol w:w="2357"/>
        <w:gridCol w:w="2849"/>
      </w:tblGrid>
      <w:tr w:rsidR="00482957" w:rsidRPr="00482957" w14:paraId="0002E2FB" w14:textId="77777777" w:rsidTr="00C43178">
        <w:tc>
          <w:tcPr>
            <w:tcW w:w="0" w:type="auto"/>
            <w:hideMark/>
          </w:tcPr>
          <w:p w14:paraId="4B7F0FFF" w14:textId="77777777" w:rsidR="00482957" w:rsidRPr="00482957" w:rsidRDefault="00482957" w:rsidP="00482957">
            <w:pPr>
              <w:jc w:val="both"/>
              <w:rPr>
                <w:rFonts w:ascii="Times New Roman" w:hAnsi="Times New Roman" w:cs="Times New Roman"/>
                <w:b/>
                <w:bCs/>
                <w:sz w:val="24"/>
                <w:szCs w:val="24"/>
              </w:rPr>
            </w:pPr>
            <w:r w:rsidRPr="00482957">
              <w:rPr>
                <w:rFonts w:ascii="Times New Roman" w:hAnsi="Times New Roman" w:cs="Times New Roman"/>
                <w:b/>
                <w:bCs/>
                <w:sz w:val="24"/>
                <w:szCs w:val="24"/>
              </w:rPr>
              <w:t>Soil Property</w:t>
            </w:r>
          </w:p>
        </w:tc>
        <w:tc>
          <w:tcPr>
            <w:tcW w:w="0" w:type="auto"/>
            <w:hideMark/>
          </w:tcPr>
          <w:p w14:paraId="64958293" w14:textId="77777777" w:rsidR="00482957" w:rsidRPr="00482957" w:rsidRDefault="00482957" w:rsidP="00482957">
            <w:pPr>
              <w:jc w:val="both"/>
              <w:rPr>
                <w:rFonts w:ascii="Times New Roman" w:hAnsi="Times New Roman" w:cs="Times New Roman"/>
                <w:b/>
                <w:bCs/>
                <w:sz w:val="24"/>
                <w:szCs w:val="24"/>
              </w:rPr>
            </w:pPr>
            <w:r w:rsidRPr="00482957">
              <w:rPr>
                <w:rFonts w:ascii="Times New Roman" w:hAnsi="Times New Roman" w:cs="Times New Roman"/>
                <w:b/>
                <w:bCs/>
                <w:sz w:val="24"/>
                <w:szCs w:val="24"/>
              </w:rPr>
              <w:t>Conventional Tillage</w:t>
            </w:r>
          </w:p>
        </w:tc>
        <w:tc>
          <w:tcPr>
            <w:tcW w:w="0" w:type="auto"/>
            <w:hideMark/>
          </w:tcPr>
          <w:p w14:paraId="56BF328B" w14:textId="77777777" w:rsidR="00482957" w:rsidRPr="00482957" w:rsidRDefault="00482957" w:rsidP="00482957">
            <w:pPr>
              <w:jc w:val="both"/>
              <w:rPr>
                <w:rFonts w:ascii="Times New Roman" w:hAnsi="Times New Roman" w:cs="Times New Roman"/>
                <w:b/>
                <w:bCs/>
                <w:sz w:val="24"/>
                <w:szCs w:val="24"/>
              </w:rPr>
            </w:pPr>
            <w:r w:rsidRPr="00482957">
              <w:rPr>
                <w:rFonts w:ascii="Times New Roman" w:hAnsi="Times New Roman" w:cs="Times New Roman"/>
                <w:b/>
                <w:bCs/>
                <w:sz w:val="24"/>
                <w:szCs w:val="24"/>
              </w:rPr>
              <w:t>Conservation Agriculture</w:t>
            </w:r>
          </w:p>
        </w:tc>
      </w:tr>
      <w:tr w:rsidR="00482957" w:rsidRPr="00482957" w14:paraId="3CBBB16C" w14:textId="77777777" w:rsidTr="00C43178">
        <w:tc>
          <w:tcPr>
            <w:tcW w:w="0" w:type="auto"/>
            <w:hideMark/>
          </w:tcPr>
          <w:p w14:paraId="09CA5A8E"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Bulk density (g/cm³)</w:t>
            </w:r>
          </w:p>
        </w:tc>
        <w:tc>
          <w:tcPr>
            <w:tcW w:w="0" w:type="auto"/>
            <w:hideMark/>
          </w:tcPr>
          <w:p w14:paraId="3300A2E0"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1.35 ± 0.08</w:t>
            </w:r>
          </w:p>
        </w:tc>
        <w:tc>
          <w:tcPr>
            <w:tcW w:w="0" w:type="auto"/>
            <w:hideMark/>
          </w:tcPr>
          <w:p w14:paraId="3A752FE8"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1.28 ± 0.06</w:t>
            </w:r>
          </w:p>
        </w:tc>
      </w:tr>
      <w:tr w:rsidR="00482957" w:rsidRPr="00482957" w14:paraId="6FB6BF7B" w14:textId="77777777" w:rsidTr="00C43178">
        <w:tc>
          <w:tcPr>
            <w:tcW w:w="0" w:type="auto"/>
            <w:hideMark/>
          </w:tcPr>
          <w:p w14:paraId="0792436C"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Organic carbon (%)</w:t>
            </w:r>
          </w:p>
        </w:tc>
        <w:tc>
          <w:tcPr>
            <w:tcW w:w="0" w:type="auto"/>
            <w:hideMark/>
          </w:tcPr>
          <w:p w14:paraId="113128C8"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1.42 ± 0.12</w:t>
            </w:r>
          </w:p>
        </w:tc>
        <w:tc>
          <w:tcPr>
            <w:tcW w:w="0" w:type="auto"/>
            <w:hideMark/>
          </w:tcPr>
          <w:p w14:paraId="25F62A05"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1.78 ± 0.15</w:t>
            </w:r>
          </w:p>
        </w:tc>
      </w:tr>
      <w:tr w:rsidR="00482957" w:rsidRPr="00482957" w14:paraId="104EBBE5" w14:textId="77777777" w:rsidTr="00C43178">
        <w:tc>
          <w:tcPr>
            <w:tcW w:w="0" w:type="auto"/>
            <w:hideMark/>
          </w:tcPr>
          <w:p w14:paraId="50DCBE54"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Aggregate stability (%)</w:t>
            </w:r>
          </w:p>
        </w:tc>
        <w:tc>
          <w:tcPr>
            <w:tcW w:w="0" w:type="auto"/>
            <w:hideMark/>
          </w:tcPr>
          <w:p w14:paraId="3F7E850A"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45.2 ± 6.3</w:t>
            </w:r>
          </w:p>
        </w:tc>
        <w:tc>
          <w:tcPr>
            <w:tcW w:w="0" w:type="auto"/>
            <w:hideMark/>
          </w:tcPr>
          <w:p w14:paraId="73C2B961"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67.8 ± 8.1</w:t>
            </w:r>
          </w:p>
        </w:tc>
      </w:tr>
      <w:tr w:rsidR="00482957" w:rsidRPr="00482957" w14:paraId="5FCCF5AF" w14:textId="77777777" w:rsidTr="00C43178">
        <w:tc>
          <w:tcPr>
            <w:tcW w:w="0" w:type="auto"/>
            <w:hideMark/>
          </w:tcPr>
          <w:p w14:paraId="378B0B32"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Infiltration rate (mm/h)</w:t>
            </w:r>
          </w:p>
        </w:tc>
        <w:tc>
          <w:tcPr>
            <w:tcW w:w="0" w:type="auto"/>
            <w:hideMark/>
          </w:tcPr>
          <w:p w14:paraId="6C39502F"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24.6 ± 5.2</w:t>
            </w:r>
          </w:p>
        </w:tc>
        <w:tc>
          <w:tcPr>
            <w:tcW w:w="0" w:type="auto"/>
            <w:hideMark/>
          </w:tcPr>
          <w:p w14:paraId="6DC5FECD"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38.4 ± 7.6</w:t>
            </w:r>
          </w:p>
        </w:tc>
      </w:tr>
      <w:tr w:rsidR="00482957" w:rsidRPr="00482957" w14:paraId="1D2F30DD" w14:textId="77777777" w:rsidTr="00C43178">
        <w:tc>
          <w:tcPr>
            <w:tcW w:w="0" w:type="auto"/>
            <w:hideMark/>
          </w:tcPr>
          <w:p w14:paraId="54FA141D"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Microbial biomass carbon (mg/kg)</w:t>
            </w:r>
          </w:p>
        </w:tc>
        <w:tc>
          <w:tcPr>
            <w:tcW w:w="0" w:type="auto"/>
            <w:hideMark/>
          </w:tcPr>
          <w:p w14:paraId="18E278B3"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178 ± 22</w:t>
            </w:r>
          </w:p>
        </w:tc>
        <w:tc>
          <w:tcPr>
            <w:tcW w:w="0" w:type="auto"/>
            <w:hideMark/>
          </w:tcPr>
          <w:p w14:paraId="433D2E8A"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256 ± 31</w:t>
            </w:r>
          </w:p>
        </w:tc>
      </w:tr>
    </w:tbl>
    <w:p w14:paraId="367241C3" w14:textId="77777777" w:rsidR="00E97043" w:rsidRPr="00C43178" w:rsidRDefault="00482957" w:rsidP="00482957">
      <w:pPr>
        <w:jc w:val="both"/>
        <w:rPr>
          <w:rFonts w:ascii="Times New Roman" w:hAnsi="Times New Roman" w:cs="Times New Roman"/>
          <w:b/>
          <w:bCs/>
          <w:sz w:val="24"/>
          <w:szCs w:val="24"/>
        </w:rPr>
      </w:pPr>
      <w:r w:rsidRPr="00C43178">
        <w:rPr>
          <w:rFonts w:ascii="Times New Roman" w:hAnsi="Times New Roman" w:cs="Times New Roman"/>
          <w:b/>
          <w:bCs/>
          <w:i/>
          <w:iCs/>
          <w:sz w:val="24"/>
          <w:szCs w:val="24"/>
        </w:rPr>
        <w:t>Table 5. Comparison of soil properties under conventional tillage and conservation agriculture (mean ± standard deviation)</w:t>
      </w:r>
    </w:p>
    <w:tbl>
      <w:tblPr>
        <w:tblStyle w:val="TableGrid"/>
        <w:tblW w:w="0" w:type="auto"/>
        <w:tblLook w:val="04A0" w:firstRow="1" w:lastRow="0" w:firstColumn="1" w:lastColumn="0" w:noHBand="0" w:noVBand="1"/>
      </w:tblPr>
      <w:tblGrid>
        <w:gridCol w:w="1831"/>
        <w:gridCol w:w="3031"/>
        <w:gridCol w:w="4714"/>
      </w:tblGrid>
      <w:tr w:rsidR="00482957" w:rsidRPr="00482957" w14:paraId="6DF173E5" w14:textId="77777777" w:rsidTr="00C43178">
        <w:tc>
          <w:tcPr>
            <w:tcW w:w="0" w:type="auto"/>
            <w:hideMark/>
          </w:tcPr>
          <w:p w14:paraId="5851A783" w14:textId="77777777" w:rsidR="00482957" w:rsidRPr="00482957" w:rsidRDefault="00482957" w:rsidP="00482957">
            <w:pPr>
              <w:jc w:val="both"/>
              <w:rPr>
                <w:rFonts w:ascii="Times New Roman" w:hAnsi="Times New Roman" w:cs="Times New Roman"/>
                <w:b/>
                <w:bCs/>
                <w:sz w:val="24"/>
                <w:szCs w:val="24"/>
              </w:rPr>
            </w:pPr>
            <w:r w:rsidRPr="00482957">
              <w:rPr>
                <w:rFonts w:ascii="Times New Roman" w:hAnsi="Times New Roman" w:cs="Times New Roman"/>
                <w:b/>
                <w:bCs/>
                <w:sz w:val="24"/>
                <w:szCs w:val="24"/>
              </w:rPr>
              <w:t>Ecosystem Service</w:t>
            </w:r>
          </w:p>
        </w:tc>
        <w:tc>
          <w:tcPr>
            <w:tcW w:w="0" w:type="auto"/>
            <w:hideMark/>
          </w:tcPr>
          <w:p w14:paraId="4F9425FB" w14:textId="77777777" w:rsidR="00482957" w:rsidRPr="00482957" w:rsidRDefault="00482957" w:rsidP="00482957">
            <w:pPr>
              <w:jc w:val="both"/>
              <w:rPr>
                <w:rFonts w:ascii="Times New Roman" w:hAnsi="Times New Roman" w:cs="Times New Roman"/>
                <w:b/>
                <w:bCs/>
                <w:sz w:val="24"/>
                <w:szCs w:val="24"/>
              </w:rPr>
            </w:pPr>
            <w:r w:rsidRPr="00482957">
              <w:rPr>
                <w:rFonts w:ascii="Times New Roman" w:hAnsi="Times New Roman" w:cs="Times New Roman"/>
                <w:b/>
                <w:bCs/>
                <w:sz w:val="24"/>
                <w:szCs w:val="24"/>
              </w:rPr>
              <w:t>Indicators</w:t>
            </w:r>
          </w:p>
        </w:tc>
        <w:tc>
          <w:tcPr>
            <w:tcW w:w="0" w:type="auto"/>
            <w:hideMark/>
          </w:tcPr>
          <w:p w14:paraId="0181DC6A" w14:textId="77777777" w:rsidR="00482957" w:rsidRPr="00482957" w:rsidRDefault="00482957" w:rsidP="00482957">
            <w:pPr>
              <w:jc w:val="both"/>
              <w:rPr>
                <w:rFonts w:ascii="Times New Roman" w:hAnsi="Times New Roman" w:cs="Times New Roman"/>
                <w:b/>
                <w:bCs/>
                <w:sz w:val="24"/>
                <w:szCs w:val="24"/>
              </w:rPr>
            </w:pPr>
            <w:r w:rsidRPr="00482957">
              <w:rPr>
                <w:rFonts w:ascii="Times New Roman" w:hAnsi="Times New Roman" w:cs="Times New Roman"/>
                <w:b/>
                <w:bCs/>
                <w:sz w:val="24"/>
                <w:szCs w:val="24"/>
              </w:rPr>
              <w:t>Potential Impact of Conservation Agriculture</w:t>
            </w:r>
          </w:p>
        </w:tc>
      </w:tr>
      <w:tr w:rsidR="00482957" w:rsidRPr="00482957" w14:paraId="63895B39" w14:textId="77777777" w:rsidTr="00C43178">
        <w:tc>
          <w:tcPr>
            <w:tcW w:w="0" w:type="auto"/>
            <w:hideMark/>
          </w:tcPr>
          <w:p w14:paraId="62F80A88"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Climate regulation</w:t>
            </w:r>
          </w:p>
        </w:tc>
        <w:tc>
          <w:tcPr>
            <w:tcW w:w="0" w:type="auto"/>
            <w:hideMark/>
          </w:tcPr>
          <w:p w14:paraId="60B8EFD3"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Soil carbon sequestration, greenhouse gas emissions</w:t>
            </w:r>
          </w:p>
        </w:tc>
        <w:tc>
          <w:tcPr>
            <w:tcW w:w="0" w:type="auto"/>
            <w:hideMark/>
          </w:tcPr>
          <w:p w14:paraId="31D56B7D"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Increased soil carbon storage; reduced emissions from soil disturbance and fuel use</w:t>
            </w:r>
          </w:p>
        </w:tc>
      </w:tr>
      <w:tr w:rsidR="00482957" w:rsidRPr="00482957" w14:paraId="3378F9B4" w14:textId="77777777" w:rsidTr="00C43178">
        <w:tc>
          <w:tcPr>
            <w:tcW w:w="0" w:type="auto"/>
            <w:hideMark/>
          </w:tcPr>
          <w:p w14:paraId="277D781E"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lastRenderedPageBreak/>
              <w:t>Water regulation</w:t>
            </w:r>
          </w:p>
        </w:tc>
        <w:tc>
          <w:tcPr>
            <w:tcW w:w="0" w:type="auto"/>
            <w:hideMark/>
          </w:tcPr>
          <w:p w14:paraId="1375EBA5"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Soil water holding capacity, infiltration, runoff</w:t>
            </w:r>
          </w:p>
        </w:tc>
        <w:tc>
          <w:tcPr>
            <w:tcW w:w="0" w:type="auto"/>
            <w:hideMark/>
          </w:tcPr>
          <w:p w14:paraId="2DDDDD21"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Improved water retention and infiltration; reduced runoff and erosion</w:t>
            </w:r>
          </w:p>
        </w:tc>
      </w:tr>
      <w:tr w:rsidR="00482957" w:rsidRPr="00482957" w14:paraId="629F1033" w14:textId="77777777" w:rsidTr="00C43178">
        <w:tc>
          <w:tcPr>
            <w:tcW w:w="0" w:type="auto"/>
            <w:hideMark/>
          </w:tcPr>
          <w:p w14:paraId="43104981"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Nutrient cycling</w:t>
            </w:r>
          </w:p>
        </w:tc>
        <w:tc>
          <w:tcPr>
            <w:tcW w:w="0" w:type="auto"/>
            <w:hideMark/>
          </w:tcPr>
          <w:p w14:paraId="62E0AEE8"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Soil organic matter, nutrient availability, nutrient use efficiency</w:t>
            </w:r>
          </w:p>
        </w:tc>
        <w:tc>
          <w:tcPr>
            <w:tcW w:w="0" w:type="auto"/>
            <w:hideMark/>
          </w:tcPr>
          <w:p w14:paraId="60A2DA56"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Enhanced nutrient cycling and use efficiency through crop residues and cover crops</w:t>
            </w:r>
          </w:p>
        </w:tc>
      </w:tr>
      <w:tr w:rsidR="00482957" w:rsidRPr="00482957" w14:paraId="6D1ACAF0" w14:textId="77777777" w:rsidTr="00C43178">
        <w:tc>
          <w:tcPr>
            <w:tcW w:w="0" w:type="auto"/>
            <w:hideMark/>
          </w:tcPr>
          <w:p w14:paraId="0B3D5124"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Pest regulation</w:t>
            </w:r>
          </w:p>
        </w:tc>
        <w:tc>
          <w:tcPr>
            <w:tcW w:w="0" w:type="auto"/>
            <w:hideMark/>
          </w:tcPr>
          <w:p w14:paraId="4A5E9909"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Pest populations, natural enemy populations, crop damage</w:t>
            </w:r>
          </w:p>
        </w:tc>
        <w:tc>
          <w:tcPr>
            <w:tcW w:w="0" w:type="auto"/>
            <w:hideMark/>
          </w:tcPr>
          <w:p w14:paraId="2A21C8A2"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Reduced pest pressure through diverse rotations and habitat for natural enemies; potential challenges with certain pests</w:t>
            </w:r>
          </w:p>
        </w:tc>
      </w:tr>
      <w:tr w:rsidR="00482957" w:rsidRPr="00482957" w14:paraId="476A9B45" w14:textId="77777777" w:rsidTr="00C43178">
        <w:tc>
          <w:tcPr>
            <w:tcW w:w="0" w:type="auto"/>
            <w:hideMark/>
          </w:tcPr>
          <w:p w14:paraId="37E83C18"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Biodiversity conservation</w:t>
            </w:r>
          </w:p>
        </w:tc>
        <w:tc>
          <w:tcPr>
            <w:tcW w:w="0" w:type="auto"/>
            <w:hideMark/>
          </w:tcPr>
          <w:p w14:paraId="63563591"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Soil biota, above-ground biodiversity, habitat quality</w:t>
            </w:r>
          </w:p>
        </w:tc>
        <w:tc>
          <w:tcPr>
            <w:tcW w:w="0" w:type="auto"/>
            <w:hideMark/>
          </w:tcPr>
          <w:p w14:paraId="7D51D523" w14:textId="77777777" w:rsidR="00482957" w:rsidRPr="00482957" w:rsidRDefault="00482957" w:rsidP="00482957">
            <w:pPr>
              <w:jc w:val="both"/>
              <w:rPr>
                <w:rFonts w:ascii="Times New Roman" w:hAnsi="Times New Roman" w:cs="Times New Roman"/>
                <w:sz w:val="24"/>
                <w:szCs w:val="24"/>
              </w:rPr>
            </w:pPr>
            <w:r w:rsidRPr="00482957">
              <w:rPr>
                <w:rFonts w:ascii="Times New Roman" w:hAnsi="Times New Roman" w:cs="Times New Roman"/>
                <w:sz w:val="24"/>
                <w:szCs w:val="24"/>
              </w:rPr>
              <w:t>Enhanced soil biodiversity; potential benefits for above-ground biodiversity through increased habitat complexity</w:t>
            </w:r>
          </w:p>
        </w:tc>
      </w:tr>
    </w:tbl>
    <w:p w14:paraId="5FD39422" w14:textId="77777777" w:rsidR="00E97043" w:rsidRPr="00C43178" w:rsidRDefault="00482957" w:rsidP="00482957">
      <w:pPr>
        <w:jc w:val="both"/>
        <w:rPr>
          <w:rFonts w:ascii="Times New Roman" w:hAnsi="Times New Roman" w:cs="Times New Roman"/>
          <w:b/>
          <w:bCs/>
          <w:sz w:val="24"/>
          <w:szCs w:val="24"/>
        </w:rPr>
      </w:pPr>
      <w:r w:rsidRPr="00C43178">
        <w:rPr>
          <w:rFonts w:ascii="Times New Roman" w:hAnsi="Times New Roman" w:cs="Times New Roman"/>
          <w:b/>
          <w:bCs/>
          <w:i/>
          <w:iCs/>
          <w:sz w:val="24"/>
          <w:szCs w:val="24"/>
        </w:rPr>
        <w:t>Table 6. Potential impacts of conservation agriculture on ecosystem services</w:t>
      </w:r>
    </w:p>
    <w:p w14:paraId="52E6D609" w14:textId="77777777" w:rsidR="00482957" w:rsidRDefault="00482957" w:rsidP="00482957">
      <w:pPr>
        <w:jc w:val="both"/>
        <w:rPr>
          <w:rFonts w:ascii="Times New Roman" w:hAnsi="Times New Roman" w:cs="Times New Roman"/>
          <w:b/>
          <w:bCs/>
          <w:i/>
          <w:iCs/>
          <w:sz w:val="24"/>
          <w:szCs w:val="24"/>
        </w:rPr>
      </w:pPr>
      <w:r w:rsidRPr="00E65FA2">
        <w:rPr>
          <w:rFonts w:ascii="Times New Roman" w:hAnsi="Times New Roman" w:cs="Times New Roman"/>
          <w:b/>
          <w:bCs/>
          <w:i/>
          <w:iCs/>
          <w:sz w:val="24"/>
          <w:szCs w:val="24"/>
        </w:rPr>
        <w:t>Figure 1. Schematic representation of the three key principles of conservation agriculture: reduced tillage, crop residue retention, and crop rotation.</w:t>
      </w:r>
    </w:p>
    <w:p w14:paraId="7CADF081" w14:textId="77777777" w:rsidR="00E65FA2" w:rsidRDefault="00E65FA2" w:rsidP="00E65FA2">
      <w:pPr>
        <w:pStyle w:val="NormalWeb"/>
        <w:jc w:val="center"/>
      </w:pPr>
      <w:r>
        <w:rPr>
          <w:noProof/>
          <w:lang w:val="en-IN" w:eastAsia="en-IN"/>
        </w:rPr>
        <w:drawing>
          <wp:inline distT="0" distB="0" distL="0" distR="0" wp14:anchorId="7BD2AE43" wp14:editId="5C744928">
            <wp:extent cx="4582599" cy="3457575"/>
            <wp:effectExtent l="0" t="0" r="8890" b="0"/>
            <wp:docPr id="1" name="Picture 1" descr="C:\Users\Lenovo\Downloads\Schematic-representation-of-conservation-agriculture-systems-with-three-principles-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Schematic-representation-of-conservation-agriculture-systems-with-three-principles-and.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87518" cy="3461287"/>
                    </a:xfrm>
                    <a:prstGeom prst="rect">
                      <a:avLst/>
                    </a:prstGeom>
                    <a:noFill/>
                    <a:ln>
                      <a:noFill/>
                    </a:ln>
                  </pic:spPr>
                </pic:pic>
              </a:graphicData>
            </a:graphic>
          </wp:inline>
        </w:drawing>
      </w:r>
    </w:p>
    <w:p w14:paraId="37F091E1" w14:textId="77777777" w:rsidR="00482957" w:rsidRDefault="00482957" w:rsidP="00482957">
      <w:pPr>
        <w:jc w:val="both"/>
        <w:rPr>
          <w:rFonts w:ascii="Times New Roman" w:hAnsi="Times New Roman" w:cs="Times New Roman"/>
          <w:b/>
          <w:bCs/>
          <w:i/>
          <w:iCs/>
          <w:sz w:val="24"/>
          <w:szCs w:val="24"/>
        </w:rPr>
      </w:pPr>
      <w:r w:rsidRPr="00E65FA2">
        <w:rPr>
          <w:rFonts w:ascii="Times New Roman" w:hAnsi="Times New Roman" w:cs="Times New Roman"/>
          <w:b/>
          <w:bCs/>
          <w:i/>
          <w:iCs/>
          <w:sz w:val="24"/>
          <w:szCs w:val="24"/>
        </w:rPr>
        <w:t>Figure 2. Comparison of soil organic matter content under conventional tillage and conservation agriculture practices over time.</w:t>
      </w:r>
    </w:p>
    <w:p w14:paraId="231938E3" w14:textId="77777777" w:rsidR="00E65FA2" w:rsidRDefault="00E65FA2" w:rsidP="00E65FA2">
      <w:pPr>
        <w:pStyle w:val="NormalWeb"/>
        <w:jc w:val="center"/>
      </w:pPr>
      <w:r>
        <w:rPr>
          <w:noProof/>
          <w:lang w:val="en-IN" w:eastAsia="en-IN"/>
        </w:rPr>
        <w:lastRenderedPageBreak/>
        <w:drawing>
          <wp:inline distT="0" distB="0" distL="0" distR="0" wp14:anchorId="74277771" wp14:editId="291E2A2E">
            <wp:extent cx="5601192" cy="2095500"/>
            <wp:effectExtent l="0" t="0" r="0" b="0"/>
            <wp:docPr id="2" name="Picture 2" descr="C:\Users\Lenovo\Downloads\soilsystems-07-00017-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soilsystems-07-00017-g003.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22215" cy="2103365"/>
                    </a:xfrm>
                    <a:prstGeom prst="rect">
                      <a:avLst/>
                    </a:prstGeom>
                    <a:noFill/>
                    <a:ln>
                      <a:noFill/>
                    </a:ln>
                  </pic:spPr>
                </pic:pic>
              </a:graphicData>
            </a:graphic>
          </wp:inline>
        </w:drawing>
      </w:r>
    </w:p>
    <w:p w14:paraId="19A80F45" w14:textId="77777777" w:rsidR="00482957" w:rsidRDefault="00482957" w:rsidP="00482957">
      <w:pPr>
        <w:jc w:val="both"/>
        <w:rPr>
          <w:rFonts w:ascii="Times New Roman" w:hAnsi="Times New Roman" w:cs="Times New Roman"/>
          <w:b/>
          <w:bCs/>
          <w:i/>
          <w:iCs/>
          <w:sz w:val="24"/>
          <w:szCs w:val="24"/>
        </w:rPr>
      </w:pPr>
      <w:r w:rsidRPr="00E65FA2">
        <w:rPr>
          <w:rFonts w:ascii="Times New Roman" w:hAnsi="Times New Roman" w:cs="Times New Roman"/>
          <w:b/>
          <w:bCs/>
          <w:i/>
          <w:iCs/>
          <w:sz w:val="24"/>
          <w:szCs w:val="24"/>
        </w:rPr>
        <w:t>Figure 3. Illustration of the impact of crop residue retention on water retention and evaporation in conservation agriculture systems.</w:t>
      </w:r>
    </w:p>
    <w:p w14:paraId="5F5E8363" w14:textId="77777777" w:rsidR="00E65FA2" w:rsidRDefault="00E65FA2" w:rsidP="00E65FA2">
      <w:pPr>
        <w:pStyle w:val="NormalWeb"/>
        <w:jc w:val="center"/>
      </w:pPr>
      <w:r>
        <w:rPr>
          <w:noProof/>
          <w:lang w:val="en-IN" w:eastAsia="en-IN"/>
        </w:rPr>
        <w:drawing>
          <wp:inline distT="0" distB="0" distL="0" distR="0" wp14:anchorId="0544F191" wp14:editId="40F40CC3">
            <wp:extent cx="5364608" cy="3362325"/>
            <wp:effectExtent l="0" t="0" r="7620" b="0"/>
            <wp:docPr id="3" name="Picture 3" descr="C:\Users\Lenovo\Downloads\images - 2025-05-15T182022.2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images - 2025-05-15T182022.262.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85050" cy="3375138"/>
                    </a:xfrm>
                    <a:prstGeom prst="rect">
                      <a:avLst/>
                    </a:prstGeom>
                    <a:noFill/>
                    <a:ln>
                      <a:noFill/>
                    </a:ln>
                  </pic:spPr>
                </pic:pic>
              </a:graphicData>
            </a:graphic>
          </wp:inline>
        </w:drawing>
      </w:r>
    </w:p>
    <w:p w14:paraId="47E34515" w14:textId="77777777" w:rsidR="00482957" w:rsidRDefault="00482957" w:rsidP="00482957">
      <w:pPr>
        <w:jc w:val="both"/>
        <w:rPr>
          <w:rFonts w:ascii="Times New Roman" w:hAnsi="Times New Roman" w:cs="Times New Roman"/>
          <w:b/>
          <w:bCs/>
          <w:i/>
          <w:iCs/>
          <w:sz w:val="24"/>
          <w:szCs w:val="24"/>
        </w:rPr>
      </w:pPr>
      <w:r w:rsidRPr="00E65FA2">
        <w:rPr>
          <w:rFonts w:ascii="Times New Roman" w:hAnsi="Times New Roman" w:cs="Times New Roman"/>
          <w:b/>
          <w:bCs/>
          <w:i/>
          <w:iCs/>
          <w:sz w:val="24"/>
          <w:szCs w:val="24"/>
        </w:rPr>
        <w:t>Figure 4. Diagram showing the complex interactions between conservation agriculture practices, soil health, and pest dynamics.</w:t>
      </w:r>
    </w:p>
    <w:p w14:paraId="74DE017B" w14:textId="77777777" w:rsidR="00E65FA2" w:rsidRDefault="00E65FA2" w:rsidP="00E65FA2">
      <w:pPr>
        <w:pStyle w:val="NormalWeb"/>
        <w:jc w:val="center"/>
      </w:pPr>
      <w:r>
        <w:rPr>
          <w:noProof/>
          <w:lang w:val="en-IN" w:eastAsia="en-IN"/>
        </w:rPr>
        <w:lastRenderedPageBreak/>
        <w:drawing>
          <wp:inline distT="0" distB="0" distL="0" distR="0" wp14:anchorId="6D9A5A72" wp14:editId="558CBDCD">
            <wp:extent cx="5448300" cy="2726529"/>
            <wp:effectExtent l="0" t="0" r="0" b="0"/>
            <wp:docPr id="4" name="Picture 4" descr="C:\Users\Lenovo\AppData\Local\Temp\{07DCF24F-7676-4584-9D14-291EEE52AA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AppData\Local\Temp\{07DCF24F-7676-4584-9D14-291EEE52AAA0}.tm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58441" cy="2731604"/>
                    </a:xfrm>
                    <a:prstGeom prst="rect">
                      <a:avLst/>
                    </a:prstGeom>
                    <a:noFill/>
                    <a:ln>
                      <a:noFill/>
                    </a:ln>
                  </pic:spPr>
                </pic:pic>
              </a:graphicData>
            </a:graphic>
          </wp:inline>
        </w:drawing>
      </w:r>
    </w:p>
    <w:p w14:paraId="03EBB723" w14:textId="77777777" w:rsidR="00482957" w:rsidRDefault="00482957" w:rsidP="00482957">
      <w:pPr>
        <w:jc w:val="both"/>
        <w:rPr>
          <w:rFonts w:ascii="Times New Roman" w:hAnsi="Times New Roman" w:cs="Times New Roman"/>
          <w:b/>
          <w:bCs/>
          <w:i/>
          <w:iCs/>
          <w:sz w:val="24"/>
          <w:szCs w:val="24"/>
        </w:rPr>
      </w:pPr>
      <w:r w:rsidRPr="00E65FA2">
        <w:rPr>
          <w:rFonts w:ascii="Times New Roman" w:hAnsi="Times New Roman" w:cs="Times New Roman"/>
          <w:b/>
          <w:bCs/>
          <w:i/>
          <w:iCs/>
          <w:sz w:val="24"/>
          <w:szCs w:val="24"/>
        </w:rPr>
        <w:t>Figure 5. Conceptual framework for integrated pest management in conservation agriculture systems, incorporating cultural, biological, and chemical control methods.</w:t>
      </w:r>
    </w:p>
    <w:p w14:paraId="04DD591D" w14:textId="77777777" w:rsidR="00E65FA2" w:rsidRDefault="00E65FA2" w:rsidP="00E65FA2">
      <w:pPr>
        <w:pStyle w:val="NormalWeb"/>
        <w:jc w:val="center"/>
      </w:pPr>
      <w:r>
        <w:rPr>
          <w:noProof/>
          <w:lang w:val="en-IN" w:eastAsia="en-IN"/>
        </w:rPr>
        <w:drawing>
          <wp:inline distT="0" distB="0" distL="0" distR="0" wp14:anchorId="135A3B04" wp14:editId="0796BE41">
            <wp:extent cx="4718213" cy="3305175"/>
            <wp:effectExtent l="0" t="0" r="6350" b="0"/>
            <wp:docPr id="5" name="Picture 5" descr="C:\Users\Lenovo\Downloads\Conceptual-diagram-of-IPM-emphasizing-the-importance-of-the-underlying-foundation-of-p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wnloads\Conceptual-diagram-of-IPM-emphasizing-the-importance-of-the-underlying-foundation-of-pest.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20618" cy="3306860"/>
                    </a:xfrm>
                    <a:prstGeom prst="rect">
                      <a:avLst/>
                    </a:prstGeom>
                    <a:noFill/>
                    <a:ln>
                      <a:noFill/>
                    </a:ln>
                  </pic:spPr>
                </pic:pic>
              </a:graphicData>
            </a:graphic>
          </wp:inline>
        </w:drawing>
      </w:r>
    </w:p>
    <w:p w14:paraId="3AB06522" w14:textId="77777777" w:rsidR="00482957" w:rsidRDefault="00482957" w:rsidP="00482957">
      <w:pPr>
        <w:jc w:val="both"/>
        <w:rPr>
          <w:rFonts w:ascii="Times New Roman" w:hAnsi="Times New Roman" w:cs="Times New Roman"/>
          <w:b/>
          <w:bCs/>
          <w:i/>
          <w:iCs/>
          <w:sz w:val="24"/>
          <w:szCs w:val="24"/>
        </w:rPr>
      </w:pPr>
      <w:r w:rsidRPr="00E65FA2">
        <w:rPr>
          <w:rFonts w:ascii="Times New Roman" w:hAnsi="Times New Roman" w:cs="Times New Roman"/>
          <w:b/>
          <w:bCs/>
          <w:i/>
          <w:iCs/>
          <w:sz w:val="24"/>
          <w:szCs w:val="24"/>
        </w:rPr>
        <w:t>Figure 6. Global map showing the adoption of conservation agriculture practices by country.</w:t>
      </w:r>
    </w:p>
    <w:p w14:paraId="1C249AA7" w14:textId="77777777" w:rsidR="00E65FA2" w:rsidRDefault="00E65FA2" w:rsidP="00E65FA2">
      <w:pPr>
        <w:pStyle w:val="NormalWeb"/>
        <w:jc w:val="center"/>
      </w:pPr>
      <w:r>
        <w:rPr>
          <w:noProof/>
          <w:lang w:val="en-IN" w:eastAsia="en-IN"/>
        </w:rPr>
        <w:lastRenderedPageBreak/>
        <w:drawing>
          <wp:inline distT="0" distB="0" distL="0" distR="0" wp14:anchorId="3D0D8720" wp14:editId="4B05A35A">
            <wp:extent cx="5095875" cy="3057525"/>
            <wp:effectExtent l="0" t="0" r="9525" b="9525"/>
            <wp:docPr id="6" name="Picture 6" descr="C:\Users\Lenovo\Downloads\img-1-small5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ownloads\img-1-small580.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95875" cy="3057525"/>
                    </a:xfrm>
                    <a:prstGeom prst="rect">
                      <a:avLst/>
                    </a:prstGeom>
                    <a:noFill/>
                    <a:ln>
                      <a:noFill/>
                    </a:ln>
                  </pic:spPr>
                </pic:pic>
              </a:graphicData>
            </a:graphic>
          </wp:inline>
        </w:drawing>
      </w:r>
    </w:p>
    <w:p w14:paraId="434DAF37" w14:textId="77777777" w:rsidR="00482957" w:rsidRDefault="00482957" w:rsidP="00482957">
      <w:pPr>
        <w:jc w:val="both"/>
        <w:rPr>
          <w:rFonts w:ascii="Times New Roman" w:hAnsi="Times New Roman" w:cs="Times New Roman"/>
          <w:b/>
          <w:bCs/>
          <w:i/>
          <w:iCs/>
          <w:sz w:val="24"/>
          <w:szCs w:val="24"/>
        </w:rPr>
      </w:pPr>
      <w:r w:rsidRPr="00E65FA2">
        <w:rPr>
          <w:rFonts w:ascii="Times New Roman" w:hAnsi="Times New Roman" w:cs="Times New Roman"/>
          <w:b/>
          <w:bCs/>
          <w:i/>
          <w:iCs/>
          <w:sz w:val="24"/>
          <w:szCs w:val="24"/>
        </w:rPr>
        <w:t>Figure 7. Comparison of soil microbial biomass carbon under conventional tillage and conservation agriculture practices.</w:t>
      </w:r>
    </w:p>
    <w:p w14:paraId="1647B3D0" w14:textId="77777777" w:rsidR="00E65FA2" w:rsidRDefault="00E65FA2" w:rsidP="00E65FA2">
      <w:pPr>
        <w:pStyle w:val="NormalWeb"/>
        <w:jc w:val="center"/>
      </w:pPr>
      <w:r>
        <w:rPr>
          <w:noProof/>
          <w:lang w:val="en-IN" w:eastAsia="en-IN"/>
        </w:rPr>
        <w:drawing>
          <wp:inline distT="0" distB="0" distL="0" distR="0" wp14:anchorId="32588D89" wp14:editId="0A3A9272">
            <wp:extent cx="5581650" cy="3187742"/>
            <wp:effectExtent l="0" t="0" r="0" b="0"/>
            <wp:docPr id="8" name="Picture 8" descr="C:\Users\Lenovo\Downloads\alberta-soil-carbon-econom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Downloads\alberta-soil-carbon-economy.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87157" cy="3190887"/>
                    </a:xfrm>
                    <a:prstGeom prst="rect">
                      <a:avLst/>
                    </a:prstGeom>
                    <a:noFill/>
                    <a:ln>
                      <a:noFill/>
                    </a:ln>
                  </pic:spPr>
                </pic:pic>
              </a:graphicData>
            </a:graphic>
          </wp:inline>
        </w:drawing>
      </w:r>
    </w:p>
    <w:p w14:paraId="57C9FC71" w14:textId="77777777" w:rsidR="00482957" w:rsidRPr="00E65FA2" w:rsidRDefault="00482957" w:rsidP="00482957">
      <w:pPr>
        <w:jc w:val="both"/>
        <w:rPr>
          <w:rFonts w:ascii="Times New Roman" w:hAnsi="Times New Roman" w:cs="Times New Roman"/>
          <w:b/>
          <w:bCs/>
          <w:sz w:val="24"/>
          <w:szCs w:val="24"/>
        </w:rPr>
      </w:pPr>
      <w:r w:rsidRPr="00E65FA2">
        <w:rPr>
          <w:rFonts w:ascii="Times New Roman" w:hAnsi="Times New Roman" w:cs="Times New Roman"/>
          <w:b/>
          <w:bCs/>
          <w:i/>
          <w:iCs/>
          <w:sz w:val="24"/>
          <w:szCs w:val="24"/>
        </w:rPr>
        <w:t>Figure 8. Schematic representation of the potential impacts of conservation agriculture on various ecosystem services.</w:t>
      </w:r>
    </w:p>
    <w:p w14:paraId="7AE658A2" w14:textId="77777777" w:rsidR="00E65FA2" w:rsidRDefault="00E65FA2" w:rsidP="00E65FA2">
      <w:pPr>
        <w:pStyle w:val="NormalWeb"/>
      </w:pPr>
    </w:p>
    <w:p w14:paraId="71E33A08" w14:textId="77777777" w:rsidR="00482957" w:rsidRPr="0022155B" w:rsidRDefault="00E65FA2" w:rsidP="00E65FA2">
      <w:pPr>
        <w:jc w:val="center"/>
        <w:rPr>
          <w:rFonts w:ascii="Times New Roman" w:hAnsi="Times New Roman" w:cs="Times New Roman"/>
          <w:sz w:val="24"/>
          <w:szCs w:val="24"/>
        </w:rPr>
      </w:pPr>
      <w:r>
        <w:rPr>
          <w:noProof/>
          <w:lang w:val="en-IN" w:eastAsia="en-IN" w:bidi="hi-IN"/>
        </w:rPr>
        <w:lastRenderedPageBreak/>
        <w:drawing>
          <wp:inline distT="0" distB="0" distL="0" distR="0" wp14:anchorId="0410D272" wp14:editId="14660747">
            <wp:extent cx="4983616" cy="2790825"/>
            <wp:effectExtent l="0" t="0" r="7620" b="0"/>
            <wp:docPr id="9" name="Picture 9" descr="C:\Users\Lenovo\Downloads\images - 2025-05-15T182506.2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Downloads\images - 2025-05-15T182506.244.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94666" cy="2797013"/>
                    </a:xfrm>
                    <a:prstGeom prst="rect">
                      <a:avLst/>
                    </a:prstGeom>
                    <a:noFill/>
                    <a:ln>
                      <a:noFill/>
                    </a:ln>
                  </pic:spPr>
                </pic:pic>
              </a:graphicData>
            </a:graphic>
          </wp:inline>
        </w:drawing>
      </w:r>
    </w:p>
    <w:p w14:paraId="3536366C" w14:textId="77777777" w:rsidR="00C960C9" w:rsidRDefault="00C960C9"/>
    <w:sectPr w:rsidR="00C960C9">
      <w:headerReference w:type="even" r:id="rId69"/>
      <w:headerReference w:type="default" r:id="rId70"/>
      <w:footerReference w:type="even" r:id="rId71"/>
      <w:footerReference w:type="default" r:id="rId72"/>
      <w:headerReference w:type="first" r:id="rId73"/>
      <w:footerReference w:type="first" r:id="rId74"/>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369820A" w16cex:dateUtc="2025-05-21T20:52:00Z"/>
  <w16cex:commentExtensible w16cex:durableId="0A72753E" w16cex:dateUtc="2025-05-21T20:59:00Z"/>
  <w16cex:commentExtensible w16cex:durableId="6A0A85D8" w16cex:dateUtc="2025-05-21T21:0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D59125" w14:textId="77777777" w:rsidR="000A232C" w:rsidRDefault="000A232C" w:rsidP="00710924">
      <w:pPr>
        <w:spacing w:after="0" w:line="240" w:lineRule="auto"/>
      </w:pPr>
      <w:r>
        <w:separator/>
      </w:r>
    </w:p>
  </w:endnote>
  <w:endnote w:type="continuationSeparator" w:id="0">
    <w:p w14:paraId="4D250384" w14:textId="77777777" w:rsidR="000A232C" w:rsidRDefault="000A232C" w:rsidP="007109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D847A" w14:textId="77777777" w:rsidR="00710924" w:rsidRDefault="007109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E0636" w14:textId="77777777" w:rsidR="00710924" w:rsidRDefault="007109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E7773" w14:textId="77777777" w:rsidR="00710924" w:rsidRDefault="007109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5BF494" w14:textId="77777777" w:rsidR="000A232C" w:rsidRDefault="000A232C" w:rsidP="00710924">
      <w:pPr>
        <w:spacing w:after="0" w:line="240" w:lineRule="auto"/>
      </w:pPr>
      <w:r>
        <w:separator/>
      </w:r>
    </w:p>
  </w:footnote>
  <w:footnote w:type="continuationSeparator" w:id="0">
    <w:p w14:paraId="0C34B1E6" w14:textId="77777777" w:rsidR="000A232C" w:rsidRDefault="000A232C" w:rsidP="007109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22D07" w14:textId="29C7FE78" w:rsidR="00710924" w:rsidRDefault="000A232C">
    <w:pPr>
      <w:pStyle w:val="Header"/>
    </w:pPr>
    <w:r>
      <w:rPr>
        <w:noProof/>
      </w:rPr>
      <w:pict w14:anchorId="44D13A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53129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3FCA4" w14:textId="2C4FF33D" w:rsidR="00710924" w:rsidRDefault="000A232C">
    <w:pPr>
      <w:pStyle w:val="Header"/>
    </w:pPr>
    <w:r>
      <w:rPr>
        <w:noProof/>
      </w:rPr>
      <w:pict w14:anchorId="405F8A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53129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F78E8" w14:textId="0E90E69D" w:rsidR="00710924" w:rsidRDefault="000A232C">
    <w:pPr>
      <w:pStyle w:val="Header"/>
    </w:pPr>
    <w:r>
      <w:rPr>
        <w:noProof/>
      </w:rPr>
      <w:pict w14:anchorId="45E573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53129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3960D5"/>
    <w:multiLevelType w:val="multilevel"/>
    <w:tmpl w:val="07767DC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c1NzW1NDSxtLSwsDRS0lEKTi0uzszPAykwrAUAZn+4oCwAAAA="/>
  </w:docVars>
  <w:rsids>
    <w:rsidRoot w:val="00482957"/>
    <w:rsid w:val="000732BE"/>
    <w:rsid w:val="000A232C"/>
    <w:rsid w:val="000D090D"/>
    <w:rsid w:val="001725A2"/>
    <w:rsid w:val="002338C0"/>
    <w:rsid w:val="00242501"/>
    <w:rsid w:val="00246A5D"/>
    <w:rsid w:val="002536A1"/>
    <w:rsid w:val="00267CE1"/>
    <w:rsid w:val="002C0CCD"/>
    <w:rsid w:val="003C3C64"/>
    <w:rsid w:val="003F510C"/>
    <w:rsid w:val="00482957"/>
    <w:rsid w:val="00491A6D"/>
    <w:rsid w:val="005911BE"/>
    <w:rsid w:val="005E0ABB"/>
    <w:rsid w:val="00710924"/>
    <w:rsid w:val="00777246"/>
    <w:rsid w:val="00864889"/>
    <w:rsid w:val="008719AF"/>
    <w:rsid w:val="00883B87"/>
    <w:rsid w:val="008B212B"/>
    <w:rsid w:val="008D3F15"/>
    <w:rsid w:val="008D6F27"/>
    <w:rsid w:val="00922774"/>
    <w:rsid w:val="00987D25"/>
    <w:rsid w:val="00C43178"/>
    <w:rsid w:val="00C960C9"/>
    <w:rsid w:val="00D27D0C"/>
    <w:rsid w:val="00E65FA2"/>
    <w:rsid w:val="00E97043"/>
    <w:rsid w:val="00FE01A1"/>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DA52AA0"/>
  <w15:docId w15:val="{B0A13836-5269-45EC-88FE-C0743729D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29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82957"/>
    <w:rPr>
      <w:color w:val="0563C1" w:themeColor="hyperlink"/>
      <w:u w:val="single"/>
    </w:rPr>
  </w:style>
  <w:style w:type="paragraph" w:styleId="ListParagraph">
    <w:name w:val="List Paragraph"/>
    <w:basedOn w:val="Normal"/>
    <w:uiPriority w:val="34"/>
    <w:qFormat/>
    <w:rsid w:val="00C43178"/>
    <w:pPr>
      <w:ind w:left="720"/>
      <w:contextualSpacing/>
    </w:pPr>
  </w:style>
  <w:style w:type="table" w:styleId="TableGrid">
    <w:name w:val="Table Grid"/>
    <w:basedOn w:val="TableNormal"/>
    <w:uiPriority w:val="39"/>
    <w:rsid w:val="00C431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65FA2"/>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UnresolvedMention1">
    <w:name w:val="Unresolved Mention1"/>
    <w:basedOn w:val="DefaultParagraphFont"/>
    <w:uiPriority w:val="99"/>
    <w:semiHidden/>
    <w:unhideWhenUsed/>
    <w:rsid w:val="00246A5D"/>
    <w:rPr>
      <w:color w:val="605E5C"/>
      <w:shd w:val="clear" w:color="auto" w:fill="E1DFDD"/>
    </w:rPr>
  </w:style>
  <w:style w:type="paragraph" w:styleId="Header">
    <w:name w:val="header"/>
    <w:basedOn w:val="Normal"/>
    <w:link w:val="HeaderChar"/>
    <w:uiPriority w:val="99"/>
    <w:unhideWhenUsed/>
    <w:rsid w:val="007109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0924"/>
  </w:style>
  <w:style w:type="paragraph" w:styleId="Footer">
    <w:name w:val="footer"/>
    <w:basedOn w:val="Normal"/>
    <w:link w:val="FooterChar"/>
    <w:uiPriority w:val="99"/>
    <w:unhideWhenUsed/>
    <w:rsid w:val="007109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0924"/>
  </w:style>
  <w:style w:type="paragraph" w:styleId="Revision">
    <w:name w:val="Revision"/>
    <w:hidden/>
    <w:uiPriority w:val="99"/>
    <w:semiHidden/>
    <w:rsid w:val="00D27D0C"/>
    <w:pPr>
      <w:spacing w:after="0" w:line="240" w:lineRule="auto"/>
    </w:pPr>
  </w:style>
  <w:style w:type="character" w:styleId="CommentReference">
    <w:name w:val="annotation reference"/>
    <w:basedOn w:val="DefaultParagraphFont"/>
    <w:uiPriority w:val="99"/>
    <w:semiHidden/>
    <w:unhideWhenUsed/>
    <w:rsid w:val="00D27D0C"/>
    <w:rPr>
      <w:sz w:val="16"/>
      <w:szCs w:val="16"/>
    </w:rPr>
  </w:style>
  <w:style w:type="paragraph" w:styleId="CommentText">
    <w:name w:val="annotation text"/>
    <w:basedOn w:val="Normal"/>
    <w:link w:val="CommentTextChar"/>
    <w:uiPriority w:val="99"/>
    <w:unhideWhenUsed/>
    <w:rsid w:val="00D27D0C"/>
    <w:pPr>
      <w:spacing w:line="240" w:lineRule="auto"/>
    </w:pPr>
    <w:rPr>
      <w:sz w:val="20"/>
      <w:szCs w:val="20"/>
    </w:rPr>
  </w:style>
  <w:style w:type="character" w:customStyle="1" w:styleId="CommentTextChar">
    <w:name w:val="Comment Text Char"/>
    <w:basedOn w:val="DefaultParagraphFont"/>
    <w:link w:val="CommentText"/>
    <w:uiPriority w:val="99"/>
    <w:rsid w:val="00D27D0C"/>
    <w:rPr>
      <w:sz w:val="20"/>
      <w:szCs w:val="20"/>
    </w:rPr>
  </w:style>
  <w:style w:type="paragraph" w:styleId="CommentSubject">
    <w:name w:val="annotation subject"/>
    <w:basedOn w:val="CommentText"/>
    <w:next w:val="CommentText"/>
    <w:link w:val="CommentSubjectChar"/>
    <w:uiPriority w:val="99"/>
    <w:semiHidden/>
    <w:unhideWhenUsed/>
    <w:rsid w:val="00D27D0C"/>
    <w:rPr>
      <w:b/>
      <w:bCs/>
    </w:rPr>
  </w:style>
  <w:style w:type="character" w:customStyle="1" w:styleId="CommentSubjectChar">
    <w:name w:val="Comment Subject Char"/>
    <w:basedOn w:val="CommentTextChar"/>
    <w:link w:val="CommentSubject"/>
    <w:uiPriority w:val="99"/>
    <w:semiHidden/>
    <w:rsid w:val="00D27D0C"/>
    <w:rPr>
      <w:b/>
      <w:bCs/>
      <w:sz w:val="20"/>
      <w:szCs w:val="20"/>
    </w:rPr>
  </w:style>
  <w:style w:type="paragraph" w:styleId="BalloonText">
    <w:name w:val="Balloon Text"/>
    <w:basedOn w:val="Normal"/>
    <w:link w:val="BalloonTextChar"/>
    <w:uiPriority w:val="99"/>
    <w:semiHidden/>
    <w:unhideWhenUsed/>
    <w:rsid w:val="000D09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09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77110">
      <w:bodyDiv w:val="1"/>
      <w:marLeft w:val="0"/>
      <w:marRight w:val="0"/>
      <w:marTop w:val="0"/>
      <w:marBottom w:val="0"/>
      <w:divBdr>
        <w:top w:val="none" w:sz="0" w:space="0" w:color="auto"/>
        <w:left w:val="none" w:sz="0" w:space="0" w:color="auto"/>
        <w:bottom w:val="none" w:sz="0" w:space="0" w:color="auto"/>
        <w:right w:val="none" w:sz="0" w:space="0" w:color="auto"/>
      </w:divBdr>
    </w:div>
    <w:div w:id="71507663">
      <w:bodyDiv w:val="1"/>
      <w:marLeft w:val="0"/>
      <w:marRight w:val="0"/>
      <w:marTop w:val="0"/>
      <w:marBottom w:val="0"/>
      <w:divBdr>
        <w:top w:val="none" w:sz="0" w:space="0" w:color="auto"/>
        <w:left w:val="none" w:sz="0" w:space="0" w:color="auto"/>
        <w:bottom w:val="none" w:sz="0" w:space="0" w:color="auto"/>
        <w:right w:val="none" w:sz="0" w:space="0" w:color="auto"/>
      </w:divBdr>
    </w:div>
    <w:div w:id="74865246">
      <w:bodyDiv w:val="1"/>
      <w:marLeft w:val="0"/>
      <w:marRight w:val="0"/>
      <w:marTop w:val="0"/>
      <w:marBottom w:val="0"/>
      <w:divBdr>
        <w:top w:val="none" w:sz="0" w:space="0" w:color="auto"/>
        <w:left w:val="none" w:sz="0" w:space="0" w:color="auto"/>
        <w:bottom w:val="none" w:sz="0" w:space="0" w:color="auto"/>
        <w:right w:val="none" w:sz="0" w:space="0" w:color="auto"/>
      </w:divBdr>
    </w:div>
    <w:div w:id="375542863">
      <w:bodyDiv w:val="1"/>
      <w:marLeft w:val="0"/>
      <w:marRight w:val="0"/>
      <w:marTop w:val="0"/>
      <w:marBottom w:val="0"/>
      <w:divBdr>
        <w:top w:val="none" w:sz="0" w:space="0" w:color="auto"/>
        <w:left w:val="none" w:sz="0" w:space="0" w:color="auto"/>
        <w:bottom w:val="none" w:sz="0" w:space="0" w:color="auto"/>
        <w:right w:val="none" w:sz="0" w:space="0" w:color="auto"/>
      </w:divBdr>
      <w:divsChild>
        <w:div w:id="136072475">
          <w:marLeft w:val="0"/>
          <w:marRight w:val="0"/>
          <w:marTop w:val="0"/>
          <w:marBottom w:val="0"/>
          <w:divBdr>
            <w:top w:val="none" w:sz="0" w:space="0" w:color="auto"/>
            <w:left w:val="none" w:sz="0" w:space="0" w:color="auto"/>
            <w:bottom w:val="none" w:sz="0" w:space="0" w:color="auto"/>
            <w:right w:val="none" w:sz="0" w:space="0" w:color="auto"/>
          </w:divBdr>
          <w:divsChild>
            <w:div w:id="196322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880701">
      <w:bodyDiv w:val="1"/>
      <w:marLeft w:val="0"/>
      <w:marRight w:val="0"/>
      <w:marTop w:val="0"/>
      <w:marBottom w:val="0"/>
      <w:divBdr>
        <w:top w:val="none" w:sz="0" w:space="0" w:color="auto"/>
        <w:left w:val="none" w:sz="0" w:space="0" w:color="auto"/>
        <w:bottom w:val="none" w:sz="0" w:space="0" w:color="auto"/>
        <w:right w:val="none" w:sz="0" w:space="0" w:color="auto"/>
      </w:divBdr>
      <w:divsChild>
        <w:div w:id="2034112572">
          <w:marLeft w:val="0"/>
          <w:marRight w:val="0"/>
          <w:marTop w:val="0"/>
          <w:marBottom w:val="0"/>
          <w:divBdr>
            <w:top w:val="none" w:sz="0" w:space="0" w:color="auto"/>
            <w:left w:val="none" w:sz="0" w:space="0" w:color="auto"/>
            <w:bottom w:val="none" w:sz="0" w:space="0" w:color="auto"/>
            <w:right w:val="none" w:sz="0" w:space="0" w:color="auto"/>
          </w:divBdr>
          <w:divsChild>
            <w:div w:id="141704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757367">
      <w:bodyDiv w:val="1"/>
      <w:marLeft w:val="0"/>
      <w:marRight w:val="0"/>
      <w:marTop w:val="0"/>
      <w:marBottom w:val="0"/>
      <w:divBdr>
        <w:top w:val="none" w:sz="0" w:space="0" w:color="auto"/>
        <w:left w:val="none" w:sz="0" w:space="0" w:color="auto"/>
        <w:bottom w:val="none" w:sz="0" w:space="0" w:color="auto"/>
        <w:right w:val="none" w:sz="0" w:space="0" w:color="auto"/>
      </w:divBdr>
      <w:divsChild>
        <w:div w:id="103234051">
          <w:marLeft w:val="0"/>
          <w:marRight w:val="0"/>
          <w:marTop w:val="0"/>
          <w:marBottom w:val="0"/>
          <w:divBdr>
            <w:top w:val="none" w:sz="0" w:space="0" w:color="auto"/>
            <w:left w:val="none" w:sz="0" w:space="0" w:color="auto"/>
            <w:bottom w:val="none" w:sz="0" w:space="0" w:color="auto"/>
            <w:right w:val="none" w:sz="0" w:space="0" w:color="auto"/>
          </w:divBdr>
          <w:divsChild>
            <w:div w:id="1400590606">
              <w:marLeft w:val="0"/>
              <w:marRight w:val="0"/>
              <w:marTop w:val="0"/>
              <w:marBottom w:val="0"/>
              <w:divBdr>
                <w:top w:val="none" w:sz="0" w:space="0" w:color="auto"/>
                <w:left w:val="none" w:sz="0" w:space="0" w:color="auto"/>
                <w:bottom w:val="none" w:sz="0" w:space="0" w:color="auto"/>
                <w:right w:val="none" w:sz="0" w:space="0" w:color="auto"/>
              </w:divBdr>
              <w:divsChild>
                <w:div w:id="649483502">
                  <w:marLeft w:val="0"/>
                  <w:marRight w:val="0"/>
                  <w:marTop w:val="0"/>
                  <w:marBottom w:val="0"/>
                  <w:divBdr>
                    <w:top w:val="none" w:sz="0" w:space="0" w:color="auto"/>
                    <w:left w:val="none" w:sz="0" w:space="0" w:color="auto"/>
                    <w:bottom w:val="none" w:sz="0" w:space="0" w:color="auto"/>
                    <w:right w:val="none" w:sz="0" w:space="0" w:color="auto"/>
                  </w:divBdr>
                  <w:divsChild>
                    <w:div w:id="131408139">
                      <w:marLeft w:val="0"/>
                      <w:marRight w:val="0"/>
                      <w:marTop w:val="0"/>
                      <w:marBottom w:val="0"/>
                      <w:divBdr>
                        <w:top w:val="none" w:sz="0" w:space="0" w:color="auto"/>
                        <w:left w:val="none" w:sz="0" w:space="0" w:color="auto"/>
                        <w:bottom w:val="none" w:sz="0" w:space="0" w:color="auto"/>
                        <w:right w:val="none" w:sz="0" w:space="0" w:color="auto"/>
                      </w:divBdr>
                      <w:divsChild>
                        <w:div w:id="112481273">
                          <w:marLeft w:val="0"/>
                          <w:marRight w:val="0"/>
                          <w:marTop w:val="0"/>
                          <w:marBottom w:val="0"/>
                          <w:divBdr>
                            <w:top w:val="none" w:sz="0" w:space="0" w:color="auto"/>
                            <w:left w:val="none" w:sz="0" w:space="0" w:color="auto"/>
                            <w:bottom w:val="none" w:sz="0" w:space="0" w:color="auto"/>
                            <w:right w:val="none" w:sz="0" w:space="0" w:color="auto"/>
                          </w:divBdr>
                          <w:divsChild>
                            <w:div w:id="2046325418">
                              <w:marLeft w:val="0"/>
                              <w:marRight w:val="0"/>
                              <w:marTop w:val="0"/>
                              <w:marBottom w:val="0"/>
                              <w:divBdr>
                                <w:top w:val="none" w:sz="0" w:space="0" w:color="auto"/>
                                <w:left w:val="none" w:sz="0" w:space="0" w:color="auto"/>
                                <w:bottom w:val="none" w:sz="0" w:space="0" w:color="auto"/>
                                <w:right w:val="none" w:sz="0" w:space="0" w:color="auto"/>
                              </w:divBdr>
                              <w:divsChild>
                                <w:div w:id="99190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207323">
                          <w:marLeft w:val="0"/>
                          <w:marRight w:val="0"/>
                          <w:marTop w:val="0"/>
                          <w:marBottom w:val="0"/>
                          <w:divBdr>
                            <w:top w:val="none" w:sz="0" w:space="0" w:color="auto"/>
                            <w:left w:val="none" w:sz="0" w:space="0" w:color="auto"/>
                            <w:bottom w:val="none" w:sz="0" w:space="0" w:color="auto"/>
                            <w:right w:val="none" w:sz="0" w:space="0" w:color="auto"/>
                          </w:divBdr>
                          <w:divsChild>
                            <w:div w:id="582878405">
                              <w:marLeft w:val="0"/>
                              <w:marRight w:val="0"/>
                              <w:marTop w:val="0"/>
                              <w:marBottom w:val="0"/>
                              <w:divBdr>
                                <w:top w:val="none" w:sz="0" w:space="0" w:color="auto"/>
                                <w:left w:val="none" w:sz="0" w:space="0" w:color="auto"/>
                                <w:bottom w:val="none" w:sz="0" w:space="0" w:color="auto"/>
                                <w:right w:val="none" w:sz="0" w:space="0" w:color="auto"/>
                              </w:divBdr>
                              <w:divsChild>
                                <w:div w:id="2086294485">
                                  <w:marLeft w:val="0"/>
                                  <w:marRight w:val="0"/>
                                  <w:marTop w:val="0"/>
                                  <w:marBottom w:val="0"/>
                                  <w:divBdr>
                                    <w:top w:val="none" w:sz="0" w:space="0" w:color="auto"/>
                                    <w:left w:val="none" w:sz="0" w:space="0" w:color="auto"/>
                                    <w:bottom w:val="none" w:sz="0" w:space="0" w:color="auto"/>
                                    <w:right w:val="none" w:sz="0" w:space="0" w:color="auto"/>
                                  </w:divBdr>
                                  <w:divsChild>
                                    <w:div w:id="36709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05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476166">
              <w:marLeft w:val="0"/>
              <w:marRight w:val="0"/>
              <w:marTop w:val="0"/>
              <w:marBottom w:val="0"/>
              <w:divBdr>
                <w:top w:val="none" w:sz="0" w:space="0" w:color="auto"/>
                <w:left w:val="none" w:sz="0" w:space="0" w:color="auto"/>
                <w:bottom w:val="none" w:sz="0" w:space="0" w:color="auto"/>
                <w:right w:val="none" w:sz="0" w:space="0" w:color="auto"/>
              </w:divBdr>
              <w:divsChild>
                <w:div w:id="784272398">
                  <w:marLeft w:val="0"/>
                  <w:marRight w:val="0"/>
                  <w:marTop w:val="0"/>
                  <w:marBottom w:val="0"/>
                  <w:divBdr>
                    <w:top w:val="none" w:sz="0" w:space="0" w:color="auto"/>
                    <w:left w:val="none" w:sz="0" w:space="0" w:color="auto"/>
                    <w:bottom w:val="none" w:sz="0" w:space="0" w:color="auto"/>
                    <w:right w:val="none" w:sz="0" w:space="0" w:color="auto"/>
                  </w:divBdr>
                  <w:divsChild>
                    <w:div w:id="1581450702">
                      <w:marLeft w:val="0"/>
                      <w:marRight w:val="0"/>
                      <w:marTop w:val="0"/>
                      <w:marBottom w:val="0"/>
                      <w:divBdr>
                        <w:top w:val="none" w:sz="0" w:space="0" w:color="auto"/>
                        <w:left w:val="none" w:sz="0" w:space="0" w:color="auto"/>
                        <w:bottom w:val="none" w:sz="0" w:space="0" w:color="auto"/>
                        <w:right w:val="none" w:sz="0" w:space="0" w:color="auto"/>
                      </w:divBdr>
                      <w:divsChild>
                        <w:div w:id="1566992755">
                          <w:marLeft w:val="0"/>
                          <w:marRight w:val="0"/>
                          <w:marTop w:val="0"/>
                          <w:marBottom w:val="0"/>
                          <w:divBdr>
                            <w:top w:val="none" w:sz="0" w:space="0" w:color="auto"/>
                            <w:left w:val="none" w:sz="0" w:space="0" w:color="auto"/>
                            <w:bottom w:val="none" w:sz="0" w:space="0" w:color="auto"/>
                            <w:right w:val="none" w:sz="0" w:space="0" w:color="auto"/>
                          </w:divBdr>
                          <w:divsChild>
                            <w:div w:id="735474527">
                              <w:marLeft w:val="0"/>
                              <w:marRight w:val="0"/>
                              <w:marTop w:val="0"/>
                              <w:marBottom w:val="0"/>
                              <w:divBdr>
                                <w:top w:val="none" w:sz="0" w:space="0" w:color="auto"/>
                                <w:left w:val="none" w:sz="0" w:space="0" w:color="auto"/>
                                <w:bottom w:val="none" w:sz="0" w:space="0" w:color="auto"/>
                                <w:right w:val="none" w:sz="0" w:space="0" w:color="auto"/>
                              </w:divBdr>
                              <w:divsChild>
                                <w:div w:id="825392738">
                                  <w:marLeft w:val="0"/>
                                  <w:marRight w:val="0"/>
                                  <w:marTop w:val="0"/>
                                  <w:marBottom w:val="0"/>
                                  <w:divBdr>
                                    <w:top w:val="none" w:sz="0" w:space="0" w:color="auto"/>
                                    <w:left w:val="none" w:sz="0" w:space="0" w:color="auto"/>
                                    <w:bottom w:val="none" w:sz="0" w:space="0" w:color="auto"/>
                                    <w:right w:val="none" w:sz="0" w:space="0" w:color="auto"/>
                                  </w:divBdr>
                                </w:div>
                              </w:divsChild>
                            </w:div>
                            <w:div w:id="597101057">
                              <w:marLeft w:val="0"/>
                              <w:marRight w:val="0"/>
                              <w:marTop w:val="0"/>
                              <w:marBottom w:val="0"/>
                              <w:divBdr>
                                <w:top w:val="none" w:sz="0" w:space="0" w:color="auto"/>
                                <w:left w:val="none" w:sz="0" w:space="0" w:color="auto"/>
                                <w:bottom w:val="none" w:sz="0" w:space="0" w:color="auto"/>
                                <w:right w:val="none" w:sz="0" w:space="0" w:color="auto"/>
                              </w:divBdr>
                            </w:div>
                          </w:divsChild>
                        </w:div>
                        <w:div w:id="1009329404">
                          <w:marLeft w:val="0"/>
                          <w:marRight w:val="0"/>
                          <w:marTop w:val="0"/>
                          <w:marBottom w:val="0"/>
                          <w:divBdr>
                            <w:top w:val="none" w:sz="0" w:space="0" w:color="auto"/>
                            <w:left w:val="none" w:sz="0" w:space="0" w:color="auto"/>
                            <w:bottom w:val="none" w:sz="0" w:space="0" w:color="auto"/>
                            <w:right w:val="none" w:sz="0" w:space="0" w:color="auto"/>
                          </w:divBdr>
                          <w:divsChild>
                            <w:div w:id="1888296830">
                              <w:marLeft w:val="0"/>
                              <w:marRight w:val="0"/>
                              <w:marTop w:val="0"/>
                              <w:marBottom w:val="0"/>
                              <w:divBdr>
                                <w:top w:val="none" w:sz="0" w:space="0" w:color="auto"/>
                                <w:left w:val="none" w:sz="0" w:space="0" w:color="auto"/>
                                <w:bottom w:val="none" w:sz="0" w:space="0" w:color="auto"/>
                                <w:right w:val="none" w:sz="0" w:space="0" w:color="auto"/>
                              </w:divBdr>
                              <w:divsChild>
                                <w:div w:id="211328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8810">
              <w:marLeft w:val="0"/>
              <w:marRight w:val="0"/>
              <w:marTop w:val="0"/>
              <w:marBottom w:val="0"/>
              <w:divBdr>
                <w:top w:val="none" w:sz="0" w:space="0" w:color="auto"/>
                <w:left w:val="none" w:sz="0" w:space="0" w:color="auto"/>
                <w:bottom w:val="none" w:sz="0" w:space="0" w:color="auto"/>
                <w:right w:val="none" w:sz="0" w:space="0" w:color="auto"/>
              </w:divBdr>
              <w:divsChild>
                <w:div w:id="1143766398">
                  <w:marLeft w:val="0"/>
                  <w:marRight w:val="0"/>
                  <w:marTop w:val="0"/>
                  <w:marBottom w:val="0"/>
                  <w:divBdr>
                    <w:top w:val="none" w:sz="0" w:space="0" w:color="auto"/>
                    <w:left w:val="none" w:sz="0" w:space="0" w:color="auto"/>
                    <w:bottom w:val="none" w:sz="0" w:space="0" w:color="auto"/>
                    <w:right w:val="none" w:sz="0" w:space="0" w:color="auto"/>
                  </w:divBdr>
                  <w:divsChild>
                    <w:div w:id="555630004">
                      <w:marLeft w:val="0"/>
                      <w:marRight w:val="0"/>
                      <w:marTop w:val="0"/>
                      <w:marBottom w:val="0"/>
                      <w:divBdr>
                        <w:top w:val="none" w:sz="0" w:space="0" w:color="auto"/>
                        <w:left w:val="none" w:sz="0" w:space="0" w:color="auto"/>
                        <w:bottom w:val="none" w:sz="0" w:space="0" w:color="auto"/>
                        <w:right w:val="none" w:sz="0" w:space="0" w:color="auto"/>
                      </w:divBdr>
                      <w:divsChild>
                        <w:div w:id="1933852039">
                          <w:marLeft w:val="0"/>
                          <w:marRight w:val="0"/>
                          <w:marTop w:val="0"/>
                          <w:marBottom w:val="0"/>
                          <w:divBdr>
                            <w:top w:val="none" w:sz="0" w:space="0" w:color="auto"/>
                            <w:left w:val="none" w:sz="0" w:space="0" w:color="auto"/>
                            <w:bottom w:val="none" w:sz="0" w:space="0" w:color="auto"/>
                            <w:right w:val="none" w:sz="0" w:space="0" w:color="auto"/>
                          </w:divBdr>
                          <w:divsChild>
                            <w:div w:id="1509521596">
                              <w:marLeft w:val="0"/>
                              <w:marRight w:val="0"/>
                              <w:marTop w:val="0"/>
                              <w:marBottom w:val="0"/>
                              <w:divBdr>
                                <w:top w:val="none" w:sz="0" w:space="0" w:color="auto"/>
                                <w:left w:val="none" w:sz="0" w:space="0" w:color="auto"/>
                                <w:bottom w:val="none" w:sz="0" w:space="0" w:color="auto"/>
                                <w:right w:val="none" w:sz="0" w:space="0" w:color="auto"/>
                              </w:divBdr>
                              <w:divsChild>
                                <w:div w:id="148007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410251">
                          <w:marLeft w:val="0"/>
                          <w:marRight w:val="0"/>
                          <w:marTop w:val="0"/>
                          <w:marBottom w:val="0"/>
                          <w:divBdr>
                            <w:top w:val="none" w:sz="0" w:space="0" w:color="auto"/>
                            <w:left w:val="none" w:sz="0" w:space="0" w:color="auto"/>
                            <w:bottom w:val="none" w:sz="0" w:space="0" w:color="auto"/>
                            <w:right w:val="none" w:sz="0" w:space="0" w:color="auto"/>
                          </w:divBdr>
                          <w:divsChild>
                            <w:div w:id="1626302877">
                              <w:marLeft w:val="0"/>
                              <w:marRight w:val="0"/>
                              <w:marTop w:val="0"/>
                              <w:marBottom w:val="0"/>
                              <w:divBdr>
                                <w:top w:val="none" w:sz="0" w:space="0" w:color="auto"/>
                                <w:left w:val="none" w:sz="0" w:space="0" w:color="auto"/>
                                <w:bottom w:val="none" w:sz="0" w:space="0" w:color="auto"/>
                                <w:right w:val="none" w:sz="0" w:space="0" w:color="auto"/>
                              </w:divBdr>
                              <w:divsChild>
                                <w:div w:id="840042435">
                                  <w:marLeft w:val="0"/>
                                  <w:marRight w:val="0"/>
                                  <w:marTop w:val="0"/>
                                  <w:marBottom w:val="0"/>
                                  <w:divBdr>
                                    <w:top w:val="none" w:sz="0" w:space="0" w:color="auto"/>
                                    <w:left w:val="none" w:sz="0" w:space="0" w:color="auto"/>
                                    <w:bottom w:val="none" w:sz="0" w:space="0" w:color="auto"/>
                                    <w:right w:val="none" w:sz="0" w:space="0" w:color="auto"/>
                                  </w:divBdr>
                                  <w:divsChild>
                                    <w:div w:id="20271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75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755841">
              <w:marLeft w:val="0"/>
              <w:marRight w:val="0"/>
              <w:marTop w:val="0"/>
              <w:marBottom w:val="0"/>
              <w:divBdr>
                <w:top w:val="none" w:sz="0" w:space="0" w:color="auto"/>
                <w:left w:val="none" w:sz="0" w:space="0" w:color="auto"/>
                <w:bottom w:val="none" w:sz="0" w:space="0" w:color="auto"/>
                <w:right w:val="none" w:sz="0" w:space="0" w:color="auto"/>
              </w:divBdr>
              <w:divsChild>
                <w:div w:id="284891019">
                  <w:marLeft w:val="0"/>
                  <w:marRight w:val="0"/>
                  <w:marTop w:val="0"/>
                  <w:marBottom w:val="0"/>
                  <w:divBdr>
                    <w:top w:val="none" w:sz="0" w:space="0" w:color="auto"/>
                    <w:left w:val="none" w:sz="0" w:space="0" w:color="auto"/>
                    <w:bottom w:val="none" w:sz="0" w:space="0" w:color="auto"/>
                    <w:right w:val="none" w:sz="0" w:space="0" w:color="auto"/>
                  </w:divBdr>
                  <w:divsChild>
                    <w:div w:id="1837921555">
                      <w:marLeft w:val="0"/>
                      <w:marRight w:val="0"/>
                      <w:marTop w:val="0"/>
                      <w:marBottom w:val="0"/>
                      <w:divBdr>
                        <w:top w:val="none" w:sz="0" w:space="0" w:color="auto"/>
                        <w:left w:val="none" w:sz="0" w:space="0" w:color="auto"/>
                        <w:bottom w:val="none" w:sz="0" w:space="0" w:color="auto"/>
                        <w:right w:val="none" w:sz="0" w:space="0" w:color="auto"/>
                      </w:divBdr>
                      <w:divsChild>
                        <w:div w:id="1716343354">
                          <w:marLeft w:val="0"/>
                          <w:marRight w:val="0"/>
                          <w:marTop w:val="0"/>
                          <w:marBottom w:val="0"/>
                          <w:divBdr>
                            <w:top w:val="none" w:sz="0" w:space="0" w:color="auto"/>
                            <w:left w:val="none" w:sz="0" w:space="0" w:color="auto"/>
                            <w:bottom w:val="none" w:sz="0" w:space="0" w:color="auto"/>
                            <w:right w:val="none" w:sz="0" w:space="0" w:color="auto"/>
                          </w:divBdr>
                          <w:divsChild>
                            <w:div w:id="2093431992">
                              <w:marLeft w:val="0"/>
                              <w:marRight w:val="0"/>
                              <w:marTop w:val="0"/>
                              <w:marBottom w:val="0"/>
                              <w:divBdr>
                                <w:top w:val="none" w:sz="0" w:space="0" w:color="auto"/>
                                <w:left w:val="none" w:sz="0" w:space="0" w:color="auto"/>
                                <w:bottom w:val="none" w:sz="0" w:space="0" w:color="auto"/>
                                <w:right w:val="none" w:sz="0" w:space="0" w:color="auto"/>
                              </w:divBdr>
                              <w:divsChild>
                                <w:div w:id="224217967">
                                  <w:marLeft w:val="0"/>
                                  <w:marRight w:val="0"/>
                                  <w:marTop w:val="0"/>
                                  <w:marBottom w:val="0"/>
                                  <w:divBdr>
                                    <w:top w:val="none" w:sz="0" w:space="0" w:color="auto"/>
                                    <w:left w:val="none" w:sz="0" w:space="0" w:color="auto"/>
                                    <w:bottom w:val="none" w:sz="0" w:space="0" w:color="auto"/>
                                    <w:right w:val="none" w:sz="0" w:space="0" w:color="auto"/>
                                  </w:divBdr>
                                </w:div>
                              </w:divsChild>
                            </w:div>
                            <w:div w:id="1959220352">
                              <w:marLeft w:val="0"/>
                              <w:marRight w:val="0"/>
                              <w:marTop w:val="0"/>
                              <w:marBottom w:val="0"/>
                              <w:divBdr>
                                <w:top w:val="none" w:sz="0" w:space="0" w:color="auto"/>
                                <w:left w:val="none" w:sz="0" w:space="0" w:color="auto"/>
                                <w:bottom w:val="none" w:sz="0" w:space="0" w:color="auto"/>
                                <w:right w:val="none" w:sz="0" w:space="0" w:color="auto"/>
                              </w:divBdr>
                            </w:div>
                          </w:divsChild>
                        </w:div>
                        <w:div w:id="2007324661">
                          <w:marLeft w:val="0"/>
                          <w:marRight w:val="0"/>
                          <w:marTop w:val="0"/>
                          <w:marBottom w:val="0"/>
                          <w:divBdr>
                            <w:top w:val="none" w:sz="0" w:space="0" w:color="auto"/>
                            <w:left w:val="none" w:sz="0" w:space="0" w:color="auto"/>
                            <w:bottom w:val="none" w:sz="0" w:space="0" w:color="auto"/>
                            <w:right w:val="none" w:sz="0" w:space="0" w:color="auto"/>
                          </w:divBdr>
                          <w:divsChild>
                            <w:div w:id="560991539">
                              <w:marLeft w:val="0"/>
                              <w:marRight w:val="0"/>
                              <w:marTop w:val="0"/>
                              <w:marBottom w:val="0"/>
                              <w:divBdr>
                                <w:top w:val="none" w:sz="0" w:space="0" w:color="auto"/>
                                <w:left w:val="none" w:sz="0" w:space="0" w:color="auto"/>
                                <w:bottom w:val="none" w:sz="0" w:space="0" w:color="auto"/>
                                <w:right w:val="none" w:sz="0" w:space="0" w:color="auto"/>
                              </w:divBdr>
                              <w:divsChild>
                                <w:div w:id="24415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214948">
              <w:marLeft w:val="0"/>
              <w:marRight w:val="0"/>
              <w:marTop w:val="0"/>
              <w:marBottom w:val="0"/>
              <w:divBdr>
                <w:top w:val="none" w:sz="0" w:space="0" w:color="auto"/>
                <w:left w:val="none" w:sz="0" w:space="0" w:color="auto"/>
                <w:bottom w:val="none" w:sz="0" w:space="0" w:color="auto"/>
                <w:right w:val="none" w:sz="0" w:space="0" w:color="auto"/>
              </w:divBdr>
              <w:divsChild>
                <w:div w:id="1229073027">
                  <w:marLeft w:val="0"/>
                  <w:marRight w:val="0"/>
                  <w:marTop w:val="0"/>
                  <w:marBottom w:val="0"/>
                  <w:divBdr>
                    <w:top w:val="none" w:sz="0" w:space="0" w:color="auto"/>
                    <w:left w:val="none" w:sz="0" w:space="0" w:color="auto"/>
                    <w:bottom w:val="none" w:sz="0" w:space="0" w:color="auto"/>
                    <w:right w:val="none" w:sz="0" w:space="0" w:color="auto"/>
                  </w:divBdr>
                  <w:divsChild>
                    <w:div w:id="344358886">
                      <w:marLeft w:val="0"/>
                      <w:marRight w:val="0"/>
                      <w:marTop w:val="0"/>
                      <w:marBottom w:val="0"/>
                      <w:divBdr>
                        <w:top w:val="none" w:sz="0" w:space="0" w:color="auto"/>
                        <w:left w:val="none" w:sz="0" w:space="0" w:color="auto"/>
                        <w:bottom w:val="none" w:sz="0" w:space="0" w:color="auto"/>
                        <w:right w:val="none" w:sz="0" w:space="0" w:color="auto"/>
                      </w:divBdr>
                      <w:divsChild>
                        <w:div w:id="1666394229">
                          <w:marLeft w:val="0"/>
                          <w:marRight w:val="0"/>
                          <w:marTop w:val="0"/>
                          <w:marBottom w:val="0"/>
                          <w:divBdr>
                            <w:top w:val="none" w:sz="0" w:space="0" w:color="auto"/>
                            <w:left w:val="none" w:sz="0" w:space="0" w:color="auto"/>
                            <w:bottom w:val="none" w:sz="0" w:space="0" w:color="auto"/>
                            <w:right w:val="none" w:sz="0" w:space="0" w:color="auto"/>
                          </w:divBdr>
                          <w:divsChild>
                            <w:div w:id="1050377921">
                              <w:marLeft w:val="0"/>
                              <w:marRight w:val="0"/>
                              <w:marTop w:val="0"/>
                              <w:marBottom w:val="0"/>
                              <w:divBdr>
                                <w:top w:val="none" w:sz="0" w:space="0" w:color="auto"/>
                                <w:left w:val="none" w:sz="0" w:space="0" w:color="auto"/>
                                <w:bottom w:val="none" w:sz="0" w:space="0" w:color="auto"/>
                                <w:right w:val="none" w:sz="0" w:space="0" w:color="auto"/>
                              </w:divBdr>
                              <w:divsChild>
                                <w:div w:id="213667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7449">
                          <w:marLeft w:val="0"/>
                          <w:marRight w:val="0"/>
                          <w:marTop w:val="0"/>
                          <w:marBottom w:val="0"/>
                          <w:divBdr>
                            <w:top w:val="none" w:sz="0" w:space="0" w:color="auto"/>
                            <w:left w:val="none" w:sz="0" w:space="0" w:color="auto"/>
                            <w:bottom w:val="none" w:sz="0" w:space="0" w:color="auto"/>
                            <w:right w:val="none" w:sz="0" w:space="0" w:color="auto"/>
                          </w:divBdr>
                          <w:divsChild>
                            <w:div w:id="1214124088">
                              <w:marLeft w:val="0"/>
                              <w:marRight w:val="0"/>
                              <w:marTop w:val="0"/>
                              <w:marBottom w:val="0"/>
                              <w:divBdr>
                                <w:top w:val="none" w:sz="0" w:space="0" w:color="auto"/>
                                <w:left w:val="none" w:sz="0" w:space="0" w:color="auto"/>
                                <w:bottom w:val="none" w:sz="0" w:space="0" w:color="auto"/>
                                <w:right w:val="none" w:sz="0" w:space="0" w:color="auto"/>
                              </w:divBdr>
                              <w:divsChild>
                                <w:div w:id="530995058">
                                  <w:marLeft w:val="0"/>
                                  <w:marRight w:val="0"/>
                                  <w:marTop w:val="0"/>
                                  <w:marBottom w:val="0"/>
                                  <w:divBdr>
                                    <w:top w:val="none" w:sz="0" w:space="0" w:color="auto"/>
                                    <w:left w:val="none" w:sz="0" w:space="0" w:color="auto"/>
                                    <w:bottom w:val="none" w:sz="0" w:space="0" w:color="auto"/>
                                    <w:right w:val="none" w:sz="0" w:space="0" w:color="auto"/>
                                  </w:divBdr>
                                  <w:divsChild>
                                    <w:div w:id="77614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38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430621">
              <w:marLeft w:val="0"/>
              <w:marRight w:val="0"/>
              <w:marTop w:val="0"/>
              <w:marBottom w:val="0"/>
              <w:divBdr>
                <w:top w:val="none" w:sz="0" w:space="0" w:color="auto"/>
                <w:left w:val="none" w:sz="0" w:space="0" w:color="auto"/>
                <w:bottom w:val="none" w:sz="0" w:space="0" w:color="auto"/>
                <w:right w:val="none" w:sz="0" w:space="0" w:color="auto"/>
              </w:divBdr>
              <w:divsChild>
                <w:div w:id="12997297">
                  <w:marLeft w:val="0"/>
                  <w:marRight w:val="0"/>
                  <w:marTop w:val="0"/>
                  <w:marBottom w:val="0"/>
                  <w:divBdr>
                    <w:top w:val="none" w:sz="0" w:space="0" w:color="auto"/>
                    <w:left w:val="none" w:sz="0" w:space="0" w:color="auto"/>
                    <w:bottom w:val="none" w:sz="0" w:space="0" w:color="auto"/>
                    <w:right w:val="none" w:sz="0" w:space="0" w:color="auto"/>
                  </w:divBdr>
                  <w:divsChild>
                    <w:div w:id="18664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969221">
          <w:marLeft w:val="0"/>
          <w:marRight w:val="0"/>
          <w:marTop w:val="0"/>
          <w:marBottom w:val="0"/>
          <w:divBdr>
            <w:top w:val="none" w:sz="0" w:space="0" w:color="auto"/>
            <w:left w:val="none" w:sz="0" w:space="0" w:color="auto"/>
            <w:bottom w:val="none" w:sz="0" w:space="0" w:color="auto"/>
            <w:right w:val="none" w:sz="0" w:space="0" w:color="auto"/>
          </w:divBdr>
          <w:divsChild>
            <w:div w:id="339890057">
              <w:marLeft w:val="0"/>
              <w:marRight w:val="0"/>
              <w:marTop w:val="0"/>
              <w:marBottom w:val="0"/>
              <w:divBdr>
                <w:top w:val="none" w:sz="0" w:space="0" w:color="auto"/>
                <w:left w:val="none" w:sz="0" w:space="0" w:color="auto"/>
                <w:bottom w:val="none" w:sz="0" w:space="0" w:color="auto"/>
                <w:right w:val="none" w:sz="0" w:space="0" w:color="auto"/>
              </w:divBdr>
              <w:divsChild>
                <w:div w:id="1634167299">
                  <w:marLeft w:val="0"/>
                  <w:marRight w:val="0"/>
                  <w:marTop w:val="0"/>
                  <w:marBottom w:val="0"/>
                  <w:divBdr>
                    <w:top w:val="none" w:sz="0" w:space="0" w:color="auto"/>
                    <w:left w:val="none" w:sz="0" w:space="0" w:color="auto"/>
                    <w:bottom w:val="none" w:sz="0" w:space="0" w:color="auto"/>
                    <w:right w:val="none" w:sz="0" w:space="0" w:color="auto"/>
                  </w:divBdr>
                  <w:divsChild>
                    <w:div w:id="1299192276">
                      <w:marLeft w:val="0"/>
                      <w:marRight w:val="0"/>
                      <w:marTop w:val="0"/>
                      <w:marBottom w:val="0"/>
                      <w:divBdr>
                        <w:top w:val="none" w:sz="0" w:space="0" w:color="auto"/>
                        <w:left w:val="none" w:sz="0" w:space="0" w:color="auto"/>
                        <w:bottom w:val="none" w:sz="0" w:space="0" w:color="auto"/>
                        <w:right w:val="none" w:sz="0" w:space="0" w:color="auto"/>
                      </w:divBdr>
                      <w:divsChild>
                        <w:div w:id="573006527">
                          <w:marLeft w:val="0"/>
                          <w:marRight w:val="0"/>
                          <w:marTop w:val="0"/>
                          <w:marBottom w:val="0"/>
                          <w:divBdr>
                            <w:top w:val="none" w:sz="0" w:space="0" w:color="auto"/>
                            <w:left w:val="none" w:sz="0" w:space="0" w:color="auto"/>
                            <w:bottom w:val="none" w:sz="0" w:space="0" w:color="auto"/>
                            <w:right w:val="none" w:sz="0" w:space="0" w:color="auto"/>
                          </w:divBdr>
                          <w:divsChild>
                            <w:div w:id="33561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50135">
                      <w:marLeft w:val="0"/>
                      <w:marRight w:val="0"/>
                      <w:marTop w:val="0"/>
                      <w:marBottom w:val="0"/>
                      <w:divBdr>
                        <w:top w:val="none" w:sz="0" w:space="0" w:color="auto"/>
                        <w:left w:val="none" w:sz="0" w:space="0" w:color="auto"/>
                        <w:bottom w:val="none" w:sz="0" w:space="0" w:color="auto"/>
                        <w:right w:val="none" w:sz="0" w:space="0" w:color="auto"/>
                      </w:divBdr>
                      <w:divsChild>
                        <w:div w:id="1292898828">
                          <w:marLeft w:val="0"/>
                          <w:marRight w:val="0"/>
                          <w:marTop w:val="0"/>
                          <w:marBottom w:val="0"/>
                          <w:divBdr>
                            <w:top w:val="none" w:sz="0" w:space="0" w:color="auto"/>
                            <w:left w:val="none" w:sz="0" w:space="0" w:color="auto"/>
                            <w:bottom w:val="none" w:sz="0" w:space="0" w:color="auto"/>
                            <w:right w:val="none" w:sz="0" w:space="0" w:color="auto"/>
                          </w:divBdr>
                          <w:divsChild>
                            <w:div w:id="1762987568">
                              <w:marLeft w:val="0"/>
                              <w:marRight w:val="0"/>
                              <w:marTop w:val="0"/>
                              <w:marBottom w:val="0"/>
                              <w:divBdr>
                                <w:top w:val="none" w:sz="0" w:space="0" w:color="auto"/>
                                <w:left w:val="none" w:sz="0" w:space="0" w:color="auto"/>
                                <w:bottom w:val="none" w:sz="0" w:space="0" w:color="auto"/>
                                <w:right w:val="none" w:sz="0" w:space="0" w:color="auto"/>
                              </w:divBdr>
                              <w:divsChild>
                                <w:div w:id="2082366847">
                                  <w:marLeft w:val="0"/>
                                  <w:marRight w:val="0"/>
                                  <w:marTop w:val="0"/>
                                  <w:marBottom w:val="0"/>
                                  <w:divBdr>
                                    <w:top w:val="none" w:sz="0" w:space="0" w:color="auto"/>
                                    <w:left w:val="none" w:sz="0" w:space="0" w:color="auto"/>
                                    <w:bottom w:val="none" w:sz="0" w:space="0" w:color="auto"/>
                                    <w:right w:val="none" w:sz="0" w:space="0" w:color="auto"/>
                                  </w:divBdr>
                                  <w:divsChild>
                                    <w:div w:id="170532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6340901">
      <w:bodyDiv w:val="1"/>
      <w:marLeft w:val="0"/>
      <w:marRight w:val="0"/>
      <w:marTop w:val="0"/>
      <w:marBottom w:val="0"/>
      <w:divBdr>
        <w:top w:val="none" w:sz="0" w:space="0" w:color="auto"/>
        <w:left w:val="none" w:sz="0" w:space="0" w:color="auto"/>
        <w:bottom w:val="none" w:sz="0" w:space="0" w:color="auto"/>
        <w:right w:val="none" w:sz="0" w:space="0" w:color="auto"/>
      </w:divBdr>
    </w:div>
    <w:div w:id="1528330932">
      <w:bodyDiv w:val="1"/>
      <w:marLeft w:val="0"/>
      <w:marRight w:val="0"/>
      <w:marTop w:val="0"/>
      <w:marBottom w:val="0"/>
      <w:divBdr>
        <w:top w:val="none" w:sz="0" w:space="0" w:color="auto"/>
        <w:left w:val="none" w:sz="0" w:space="0" w:color="auto"/>
        <w:bottom w:val="none" w:sz="0" w:space="0" w:color="auto"/>
        <w:right w:val="none" w:sz="0" w:space="0" w:color="auto"/>
      </w:divBdr>
    </w:div>
    <w:div w:id="1556576551">
      <w:bodyDiv w:val="1"/>
      <w:marLeft w:val="0"/>
      <w:marRight w:val="0"/>
      <w:marTop w:val="0"/>
      <w:marBottom w:val="0"/>
      <w:divBdr>
        <w:top w:val="none" w:sz="0" w:space="0" w:color="auto"/>
        <w:left w:val="none" w:sz="0" w:space="0" w:color="auto"/>
        <w:bottom w:val="none" w:sz="0" w:space="0" w:color="auto"/>
        <w:right w:val="none" w:sz="0" w:space="0" w:color="auto"/>
      </w:divBdr>
    </w:div>
    <w:div w:id="1583954095">
      <w:bodyDiv w:val="1"/>
      <w:marLeft w:val="0"/>
      <w:marRight w:val="0"/>
      <w:marTop w:val="0"/>
      <w:marBottom w:val="0"/>
      <w:divBdr>
        <w:top w:val="none" w:sz="0" w:space="0" w:color="auto"/>
        <w:left w:val="none" w:sz="0" w:space="0" w:color="auto"/>
        <w:bottom w:val="none" w:sz="0" w:space="0" w:color="auto"/>
        <w:right w:val="none" w:sz="0" w:space="0" w:color="auto"/>
      </w:divBdr>
    </w:div>
    <w:div w:id="1809661831">
      <w:bodyDiv w:val="1"/>
      <w:marLeft w:val="0"/>
      <w:marRight w:val="0"/>
      <w:marTop w:val="0"/>
      <w:marBottom w:val="0"/>
      <w:divBdr>
        <w:top w:val="none" w:sz="0" w:space="0" w:color="auto"/>
        <w:left w:val="none" w:sz="0" w:space="0" w:color="auto"/>
        <w:bottom w:val="none" w:sz="0" w:space="0" w:color="auto"/>
        <w:right w:val="none" w:sz="0" w:space="0" w:color="auto"/>
      </w:divBdr>
    </w:div>
    <w:div w:id="1886528884">
      <w:bodyDiv w:val="1"/>
      <w:marLeft w:val="0"/>
      <w:marRight w:val="0"/>
      <w:marTop w:val="0"/>
      <w:marBottom w:val="0"/>
      <w:divBdr>
        <w:top w:val="none" w:sz="0" w:space="0" w:color="auto"/>
        <w:left w:val="none" w:sz="0" w:space="0" w:color="auto"/>
        <w:bottom w:val="none" w:sz="0" w:space="0" w:color="auto"/>
        <w:right w:val="none" w:sz="0" w:space="0" w:color="auto"/>
      </w:divBdr>
    </w:div>
    <w:div w:id="189184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80/07352680902776358" TargetMode="External"/><Relationship Id="rId21" Type="http://schemas.openxmlformats.org/officeDocument/2006/relationships/hyperlink" Target="https://doi.org/10.1016/S0065-2113(08)60846-9" TargetMode="External"/><Relationship Id="rId42" Type="http://schemas.openxmlformats.org/officeDocument/2006/relationships/hyperlink" Target="https://doi.org/10.1016/j.cropro.2014.07.014" TargetMode="External"/><Relationship Id="rId47" Type="http://schemas.openxmlformats.org/officeDocument/2006/relationships/hyperlink" Target="https://doi.org/10.1016/S0167-1987(03)00086-2" TargetMode="External"/><Relationship Id="rId63" Type="http://schemas.openxmlformats.org/officeDocument/2006/relationships/image" Target="media/image3.jpeg"/><Relationship Id="rId68" Type="http://schemas.openxmlformats.org/officeDocument/2006/relationships/image" Target="media/image8.jpeg"/><Relationship Id="rId16" Type="http://schemas.openxmlformats.org/officeDocument/2006/relationships/hyperlink" Target="https://doi.org/10.2134/agronj2007.0005c" TargetMode="External"/><Relationship Id="rId11" Type="http://schemas.openxmlformats.org/officeDocument/2006/relationships/hyperlink" Target="https://doi.org/10.1016/S0929-1393(00)00067-6" TargetMode="External"/><Relationship Id="rId24" Type="http://schemas.openxmlformats.org/officeDocument/2006/relationships/hyperlink" Target="https://doi.org/10.1007/BF00032239" TargetMode="External"/><Relationship Id="rId32" Type="http://schemas.openxmlformats.org/officeDocument/2006/relationships/hyperlink" Target="https://doi.org/10.1016/j.still.2009.07.007" TargetMode="External"/><Relationship Id="rId37" Type="http://schemas.openxmlformats.org/officeDocument/2006/relationships/hyperlink" Target="https://doi.org/10.1016/j.still.2003.12.003" TargetMode="External"/><Relationship Id="rId40" Type="http://schemas.openxmlformats.org/officeDocument/2006/relationships/hyperlink" Target="https://doi.org/10.1016/0261-2194(94)90012-4" TargetMode="External"/><Relationship Id="rId45" Type="http://schemas.openxmlformats.org/officeDocument/2006/relationships/hyperlink" Target="https://doi.org/10.1146/annurev.ento.45.1.175" TargetMode="External"/><Relationship Id="rId53" Type="http://schemas.openxmlformats.org/officeDocument/2006/relationships/hyperlink" Target="https://doi.org/10.1078/1439-1791-00122" TargetMode="External"/><Relationship Id="rId58" Type="http://schemas.openxmlformats.org/officeDocument/2006/relationships/hyperlink" Target="https://doi.org/10.1016/j.cropro.2014.06.009" TargetMode="External"/><Relationship Id="rId66" Type="http://schemas.openxmlformats.org/officeDocument/2006/relationships/image" Target="media/image6.png"/><Relationship Id="rId74"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image" Target="media/image1.png"/><Relationship Id="rId19" Type="http://schemas.openxmlformats.org/officeDocument/2006/relationships/hyperlink" Target="https://doi.org/10.1016/j.agsy.2014.05.009" TargetMode="External"/><Relationship Id="rId14" Type="http://schemas.openxmlformats.org/officeDocument/2006/relationships/hyperlink" Target="https://doi.org/10.1016/S0167-1987(96)01095-1" TargetMode="External"/><Relationship Id="rId22" Type="http://schemas.openxmlformats.org/officeDocument/2006/relationships/hyperlink" Target="https://doi.org/10.1016/j.agsy.2007.10.006" TargetMode="External"/><Relationship Id="rId27" Type="http://schemas.openxmlformats.org/officeDocument/2006/relationships/hyperlink" Target="https://doi.org/10.1016/S0038-0717(00)00179-6" TargetMode="External"/><Relationship Id="rId30" Type="http://schemas.openxmlformats.org/officeDocument/2006/relationships/hyperlink" Target="https://doi.org/10.1016/j.agee.2005.07.003" TargetMode="External"/><Relationship Id="rId35" Type="http://schemas.openxmlformats.org/officeDocument/2006/relationships/hyperlink" Target="https://doi.org/10.1371/journal.pone.0080522" TargetMode="External"/><Relationship Id="rId43" Type="http://schemas.openxmlformats.org/officeDocument/2006/relationships/hyperlink" Target="https://doi.org/10.1016/j.still.2011.10.015" TargetMode="External"/><Relationship Id="rId48" Type="http://schemas.openxmlformats.org/officeDocument/2006/relationships/hyperlink" Target="https://doi.org/10.1146/annurev.phyto.36.1.485" TargetMode="External"/><Relationship Id="rId56" Type="http://schemas.openxmlformats.org/officeDocument/2006/relationships/hyperlink" Target="https://doi.org/10.1016/j.agee.2013.08.010" TargetMode="External"/><Relationship Id="rId64" Type="http://schemas.openxmlformats.org/officeDocument/2006/relationships/image" Target="media/image4.jpeg"/><Relationship Id="rId69" Type="http://schemas.openxmlformats.org/officeDocument/2006/relationships/header" Target="header1.xml"/><Relationship Id="rId77" Type="http://schemas.microsoft.com/office/2018/08/relationships/commentsExtensible" Target="commentsExtensible.xml"/><Relationship Id="rId8" Type="http://schemas.openxmlformats.org/officeDocument/2006/relationships/hyperlink" Target="https://doi.org/10.1080/00207233.2018.1494927" TargetMode="External"/><Relationship Id="rId51" Type="http://schemas.openxmlformats.org/officeDocument/2006/relationships/hyperlink" Target="https://doi.org/10.1201/9780203496374.ch5" TargetMode="External"/><Relationship Id="rId7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s://doi.org/10.1201/EBK1439800577-7" TargetMode="External"/><Relationship Id="rId17" Type="http://schemas.openxmlformats.org/officeDocument/2006/relationships/hyperlink" Target="https://doi.org/10.1016/j.iswcr.2015.05.002" TargetMode="External"/><Relationship Id="rId25" Type="http://schemas.openxmlformats.org/officeDocument/2006/relationships/hyperlink" Target="https://doi.org/10.2136/sssaj2002.1930" TargetMode="External"/><Relationship Id="rId33" Type="http://schemas.openxmlformats.org/officeDocument/2006/relationships/hyperlink" Target="https://doi.org/10.13031/2013.25951" TargetMode="External"/><Relationship Id="rId38" Type="http://schemas.openxmlformats.org/officeDocument/2006/relationships/hyperlink" Target="https://doi.org/10.1146/annurev.phyto.40.030402.110010" TargetMode="External"/><Relationship Id="rId46" Type="http://schemas.openxmlformats.org/officeDocument/2006/relationships/hyperlink" Target="https://doi.org/10.1146/annurev.ento.52.110405.091407" TargetMode="External"/><Relationship Id="rId59" Type="http://schemas.openxmlformats.org/officeDocument/2006/relationships/hyperlink" Target="https://doi.org/10.1111/1365-2664.12055" TargetMode="External"/><Relationship Id="rId67" Type="http://schemas.openxmlformats.org/officeDocument/2006/relationships/image" Target="media/image7.jpeg"/><Relationship Id="rId20" Type="http://schemas.openxmlformats.org/officeDocument/2006/relationships/hyperlink" Target="https://doi.org/10.1007/s13593-017-0432-z" TargetMode="External"/><Relationship Id="rId41" Type="http://schemas.openxmlformats.org/officeDocument/2006/relationships/hyperlink" Target="https://doi.org/10.1614/0043-1745(2002)050%5B0448:CRATSE%5D2.0.CO;2" TargetMode="External"/><Relationship Id="rId54" Type="http://schemas.openxmlformats.org/officeDocument/2006/relationships/hyperlink" Target="https://doi.org/10.1017/CBO9780511626463" TargetMode="External"/><Relationship Id="rId62" Type="http://schemas.openxmlformats.org/officeDocument/2006/relationships/image" Target="media/image2.png"/><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07/978-3-319-11620-4_1" TargetMode="External"/><Relationship Id="rId23" Type="http://schemas.openxmlformats.org/officeDocument/2006/relationships/hyperlink" Target="https://doi.org/10.1016/S0065-2113(08)60611-2" TargetMode="External"/><Relationship Id="rId28" Type="http://schemas.openxmlformats.org/officeDocument/2006/relationships/hyperlink" Target="https://doi.org/10.1007/s11104-011-0728-8" TargetMode="External"/><Relationship Id="rId36" Type="http://schemas.openxmlformats.org/officeDocument/2006/relationships/hyperlink" Target="https://doi.org/10.1007/s13593-011-0079-0" TargetMode="External"/><Relationship Id="rId49" Type="http://schemas.openxmlformats.org/officeDocument/2006/relationships/hyperlink" Target="https://doi.org/10.1016/S0167-1987(03)00087-4" TargetMode="External"/><Relationship Id="rId57" Type="http://schemas.openxmlformats.org/officeDocument/2006/relationships/hyperlink" Target="https://doi.org/10.1016/j.fcr.2009.06.017" TargetMode="External"/><Relationship Id="rId10" Type="http://schemas.openxmlformats.org/officeDocument/2006/relationships/hyperlink" Target="https://doi.org/10.1038/nature13809" TargetMode="External"/><Relationship Id="rId31" Type="http://schemas.openxmlformats.org/officeDocument/2006/relationships/hyperlink" Target="https://doi.org/10.1016/j.fcr.2008.02.010" TargetMode="External"/><Relationship Id="rId44" Type="http://schemas.openxmlformats.org/officeDocument/2006/relationships/hyperlink" Target="https://doi.org/10.1146/annurev.en.35.010190.001503" TargetMode="External"/><Relationship Id="rId52" Type="http://schemas.openxmlformats.org/officeDocument/2006/relationships/hyperlink" Target="https://doi.org/10.2134/agronj2002.1980" TargetMode="External"/><Relationship Id="rId60" Type="http://schemas.openxmlformats.org/officeDocument/2006/relationships/hyperlink" Target="https://doi.org/10.1016/j.foodpol.2006.01.003" TargetMode="External"/><Relationship Id="rId65" Type="http://schemas.openxmlformats.org/officeDocument/2006/relationships/image" Target="media/image5.png"/><Relationship Id="rId73"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doi.org/10.1098/rstb.2007.2169" TargetMode="External"/><Relationship Id="rId13" Type="http://schemas.openxmlformats.org/officeDocument/2006/relationships/hyperlink" Target="https://doi.org/10.1016/j.fcr.2015.07.012" TargetMode="External"/><Relationship Id="rId18" Type="http://schemas.openxmlformats.org/officeDocument/2006/relationships/hyperlink" Target="https://doi.org/10.3965/j.issn.1934-6344.2010.01.001-025" TargetMode="External"/><Relationship Id="rId39" Type="http://schemas.openxmlformats.org/officeDocument/2006/relationships/hyperlink" Target="https://doi.org/10.1016/j.cropro.2012.03.010" TargetMode="External"/><Relationship Id="rId34" Type="http://schemas.openxmlformats.org/officeDocument/2006/relationships/hyperlink" Target="https://doi.org/10.1017/S1742170513000550" TargetMode="External"/><Relationship Id="rId50" Type="http://schemas.openxmlformats.org/officeDocument/2006/relationships/hyperlink" Target="https://doi.org/10.4141/P00-116" TargetMode="External"/><Relationship Id="rId55" Type="http://schemas.openxmlformats.org/officeDocument/2006/relationships/hyperlink" Target="https://doi.org/10.3763/ijas.2009.0477" TargetMode="External"/><Relationship Id="rId76" Type="http://schemas.openxmlformats.org/officeDocument/2006/relationships/theme" Target="theme/theme1.xml"/><Relationship Id="rId7" Type="http://schemas.openxmlformats.org/officeDocument/2006/relationships/hyperlink" Target="http://www.fao.org/conservation-agriculture/en/" TargetMode="External"/><Relationship Id="rId71" Type="http://schemas.openxmlformats.org/officeDocument/2006/relationships/footer" Target="footer1.xml"/><Relationship Id="rId2" Type="http://schemas.openxmlformats.org/officeDocument/2006/relationships/styles" Target="styles.xml"/><Relationship Id="rId29" Type="http://schemas.openxmlformats.org/officeDocument/2006/relationships/hyperlink" Target="https://doi.org/10.1016/j.still.2006.07.0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19</Pages>
  <Words>6846</Words>
  <Characters>39024</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1158</cp:lastModifiedBy>
  <cp:revision>21</cp:revision>
  <dcterms:created xsi:type="dcterms:W3CDTF">2025-05-15T08:17:00Z</dcterms:created>
  <dcterms:modified xsi:type="dcterms:W3CDTF">2025-07-23T11:51:00Z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218954ef-5aff-4b94-be54-7016c8d210fa</vt:lpwstr>
  </property>
</Properties>
</file>