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4"/>
        </w:rPr>
      </w:pPr>
      <w:r>
        <w:rPr>
          <w:rFonts w:ascii="Times New Roman" w:cs="Times New Roman" w:hAnsi="Times New Roman"/>
          <w:b/>
          <w:bCs/>
          <w:sz w:val="24"/>
        </w:rPr>
        <w:t xml:space="preserve">New productivity enables the development of </w:t>
      </w:r>
      <w:r>
        <w:rPr>
          <w:rFonts w:ascii="Times New Roman" w:cs="Times New Roman" w:hAnsi="Times New Roman"/>
          <w:b/>
          <w:bCs/>
          <w:sz w:val="24"/>
        </w:rPr>
        <w:t xml:space="preserve">a </w:t>
      </w:r>
      <w:r>
        <w:rPr>
          <w:rFonts w:ascii="Times New Roman" w:cs="Times New Roman" w:hAnsi="Times New Roman"/>
          <w:b/>
          <w:bCs/>
          <w:sz w:val="24"/>
        </w:rPr>
        <w:t>' silver hair economy '</w:t>
      </w:r>
    </w:p>
    <w:p>
      <w:pPr>
        <w:pStyle w:val="style0"/>
        <w:jc w:val="center"/>
        <w:rPr>
          <w:rFonts w:ascii="Times New Roman" w:cs="Times New Roman" w:hAnsi="Times New Roman"/>
          <w:b/>
          <w:bCs/>
          <w:sz w:val="24"/>
        </w:rPr>
      </w:pPr>
    </w:p>
    <w:bookmarkStart w:id="0" w:name="_GoBack"/>
    <w:bookmarkEnd w:id="0"/>
    <w:p>
      <w:pPr>
        <w:pStyle w:val="style0"/>
        <w:snapToGrid w:val="false"/>
        <w:spacing w:lineRule="exact" w:line="300"/>
        <w:jc w:val="center"/>
        <w:rPr/>
      </w:pPr>
    </w:p>
    <w:p>
      <w:pPr>
        <w:pStyle w:val="style0"/>
        <w:snapToGrid w:val="false"/>
        <w:spacing w:lineRule="exact" w:line="300"/>
        <w:jc w:val="center"/>
        <w:rPr>
          <w:rFonts w:ascii="Times New Roman" w:hAnsi="Times New Roman"/>
          <w:kern w:val="0"/>
          <w:sz w:val="20"/>
          <w:szCs w:val="20"/>
        </w:rPr>
      </w:pPr>
    </w:p>
    <w:commentRangeStart w:id="1"/>
    <w:p>
      <w:pPr>
        <w:pStyle w:val="style0"/>
        <w:snapToGrid w:val="false"/>
        <w:spacing w:lineRule="exact" w:line="300"/>
        <w:rPr>
          <w:rFonts w:ascii="Times New Roman" w:hAnsi="Times New Roman"/>
          <w:kern w:val="0"/>
          <w:sz w:val="24"/>
        </w:rPr>
      </w:pPr>
      <w:r>
        <w:rPr>
          <w:rFonts w:ascii="Times New Roman" w:hAnsi="Times New Roman"/>
          <w:b/>
          <w:bCs/>
          <w:kern w:val="0"/>
          <w:sz w:val="24"/>
        </w:rPr>
        <w:t xml:space="preserve">Abstract: </w:t>
      </w:r>
      <w:r>
        <w:rPr>
          <w:rFonts w:ascii="Times New Roman" w:hAnsi="Times New Roman"/>
          <w:kern w:val="0"/>
          <w:sz w:val="24"/>
        </w:rPr>
        <w:t>At present, China's population aging is developing too fast, and the problem o</w:t>
      </w:r>
      <w:r>
        <w:rPr>
          <w:rFonts w:ascii="Times New Roman" w:hAnsi="Times New Roman"/>
          <w:kern w:val="0"/>
          <w:sz w:val="24"/>
        </w:rPr>
        <w:t xml:space="preserve">f aging is becoming more and more prominent. The development of </w:t>
      </w:r>
      <w:r>
        <w:rPr>
          <w:rFonts w:ascii="Times New Roman" w:hAnsi="Times New Roman"/>
          <w:kern w:val="0"/>
          <w:sz w:val="24"/>
        </w:rPr>
        <w:t xml:space="preserve">the </w:t>
      </w:r>
      <w:r>
        <w:rPr>
          <w:rFonts w:ascii="Times New Roman" w:hAnsi="Times New Roman"/>
          <w:kern w:val="0"/>
          <w:sz w:val="24"/>
        </w:rPr>
        <w:t>silver economy is an important measure for the country to actively respond to the aging of the population, and the productivity of the new quality of old-age care is the key focus of the d</w:t>
      </w:r>
      <w:r>
        <w:rPr>
          <w:rFonts w:ascii="Times New Roman" w:hAnsi="Times New Roman"/>
          <w:kern w:val="0"/>
          <w:sz w:val="24"/>
        </w:rPr>
        <w:t xml:space="preserve">evelopment of </w:t>
      </w:r>
      <w:r>
        <w:rPr>
          <w:rFonts w:ascii="Times New Roman" w:hAnsi="Times New Roman"/>
          <w:kern w:val="0"/>
          <w:sz w:val="24"/>
        </w:rPr>
        <w:t xml:space="preserve">the </w:t>
      </w:r>
      <w:r>
        <w:rPr>
          <w:rFonts w:ascii="Times New Roman" w:hAnsi="Times New Roman"/>
          <w:kern w:val="0"/>
          <w:sz w:val="24"/>
        </w:rPr>
        <w:t>silver economy. It is also the core entry point to actively respond to the problem of population aging. Through combing the theoretical basis, this paper clarifies the basic connotation of new productivity and silver-haired economy. At pr</w:t>
      </w:r>
      <w:r>
        <w:rPr>
          <w:rFonts w:ascii="Times New Roman" w:hAnsi="Times New Roman"/>
          <w:kern w:val="0"/>
          <w:sz w:val="24"/>
        </w:rPr>
        <w:t xml:space="preserve">esent, there are some problems in </w:t>
      </w:r>
      <w:r>
        <w:rPr>
          <w:rFonts w:ascii="Times New Roman" w:hAnsi="Times New Roman"/>
          <w:kern w:val="0"/>
          <w:sz w:val="24"/>
        </w:rPr>
        <w:t xml:space="preserve">the </w:t>
      </w:r>
      <w:r>
        <w:rPr>
          <w:rFonts w:ascii="Times New Roman" w:hAnsi="Times New Roman"/>
          <w:kern w:val="0"/>
          <w:sz w:val="24"/>
        </w:rPr>
        <w:t xml:space="preserve">silver-haired economy, such as </w:t>
      </w:r>
      <w:r>
        <w:rPr>
          <w:rFonts w:ascii="Times New Roman" w:hAnsi="Times New Roman"/>
          <w:kern w:val="0"/>
          <w:sz w:val="24"/>
        </w:rPr>
        <w:t xml:space="preserve">an </w:t>
      </w:r>
      <w:r>
        <w:rPr>
          <w:rFonts w:ascii="Times New Roman" w:hAnsi="Times New Roman"/>
          <w:kern w:val="0"/>
          <w:sz w:val="24"/>
        </w:rPr>
        <w:t>imbalance between supply and demand, uneven distribution of resources, insufficient talent reserve</w:t>
      </w:r>
      <w:r>
        <w:rPr>
          <w:rFonts w:ascii="Times New Roman" w:hAnsi="Times New Roman"/>
          <w:kern w:val="0"/>
          <w:sz w:val="24"/>
        </w:rPr>
        <w:t>,</w:t>
      </w:r>
      <w:r>
        <w:rPr>
          <w:rFonts w:ascii="Times New Roman" w:hAnsi="Times New Roman"/>
          <w:kern w:val="0"/>
          <w:sz w:val="24"/>
        </w:rPr>
        <w:t xml:space="preserve"> and </w:t>
      </w:r>
      <w:r>
        <w:rPr>
          <w:rFonts w:ascii="Times New Roman" w:hAnsi="Times New Roman"/>
          <w:kern w:val="0"/>
          <w:sz w:val="24"/>
        </w:rPr>
        <w:t xml:space="preserve">an </w:t>
      </w:r>
      <w:r>
        <w:rPr>
          <w:rFonts w:ascii="Times New Roman" w:hAnsi="Times New Roman"/>
          <w:kern w:val="0"/>
          <w:sz w:val="24"/>
        </w:rPr>
        <w:t>imperfect system. To solve these problems, it is necessary to cultivate new p</w:t>
      </w:r>
      <w:r>
        <w:rPr>
          <w:rFonts w:ascii="Times New Roman" w:hAnsi="Times New Roman"/>
          <w:kern w:val="0"/>
          <w:sz w:val="24"/>
        </w:rPr>
        <w:t xml:space="preserve">roductivity, optimize </w:t>
      </w:r>
      <w:r>
        <w:rPr>
          <w:rFonts w:ascii="Times New Roman" w:hAnsi="Times New Roman"/>
          <w:kern w:val="0"/>
          <w:sz w:val="24"/>
        </w:rPr>
        <w:t xml:space="preserve">the </w:t>
      </w:r>
      <w:r>
        <w:rPr>
          <w:rFonts w:ascii="Times New Roman" w:hAnsi="Times New Roman"/>
          <w:kern w:val="0"/>
          <w:sz w:val="24"/>
        </w:rPr>
        <w:t xml:space="preserve">employment environment, </w:t>
      </w:r>
      <w:r>
        <w:rPr>
          <w:rFonts w:ascii="Times New Roman" w:hAnsi="Times New Roman"/>
          <w:kern w:val="0"/>
          <w:sz w:val="24"/>
        </w:rPr>
        <w:t xml:space="preserve">and </w:t>
      </w:r>
      <w:r>
        <w:rPr>
          <w:rFonts w:ascii="Times New Roman" w:hAnsi="Times New Roman"/>
          <w:kern w:val="0"/>
          <w:sz w:val="24"/>
        </w:rPr>
        <w:t>vigorously develop scientific and technological innovation, policy support</w:t>
      </w:r>
      <w:r>
        <w:rPr>
          <w:rFonts w:ascii="Times New Roman" w:hAnsi="Times New Roman"/>
          <w:kern w:val="0"/>
          <w:sz w:val="24"/>
        </w:rPr>
        <w:t>,</w:t>
      </w:r>
      <w:r>
        <w:rPr>
          <w:rFonts w:ascii="Times New Roman" w:hAnsi="Times New Roman"/>
          <w:kern w:val="0"/>
          <w:sz w:val="24"/>
        </w:rPr>
        <w:t xml:space="preserve"> and other measures, so as to promote the high-quality development of </w:t>
      </w:r>
      <w:r>
        <w:rPr>
          <w:rFonts w:ascii="Times New Roman" w:hAnsi="Times New Roman"/>
          <w:kern w:val="0"/>
          <w:sz w:val="24"/>
        </w:rPr>
        <w:t xml:space="preserve">the </w:t>
      </w:r>
      <w:r>
        <w:rPr>
          <w:rFonts w:ascii="Times New Roman" w:hAnsi="Times New Roman"/>
          <w:kern w:val="0"/>
          <w:sz w:val="24"/>
        </w:rPr>
        <w:t>silver-haired economy.</w:t>
      </w:r>
    </w:p>
    <w:commentRangeEnd w:id="1"/>
    <w:p>
      <w:pPr>
        <w:pStyle w:val="style0"/>
        <w:snapToGrid w:val="false"/>
        <w:spacing w:lineRule="exact" w:line="300"/>
        <w:rPr>
          <w:rFonts w:ascii="Times New Roman" w:hAnsi="Times New Roman"/>
          <w:kern w:val="0"/>
          <w:sz w:val="24"/>
        </w:rPr>
      </w:pPr>
      <w:r>
        <w:rPr/>
        <w:commentReference w:id="1"/>
      </w:r>
      <w:r>
        <w:rPr>
          <w:rFonts w:ascii="Times New Roman" w:hAnsi="Times New Roman"/>
          <w:b/>
          <w:bCs/>
          <w:kern w:val="0"/>
          <w:sz w:val="24"/>
        </w:rPr>
        <w:t>Keywords :</w:t>
      </w:r>
      <w:r>
        <w:rPr>
          <w:rFonts w:ascii="Times New Roman" w:hAnsi="Times New Roman"/>
          <w:kern w:val="0"/>
          <w:sz w:val="24"/>
        </w:rPr>
        <w:t xml:space="preserve"> new quality productivity ; silver economy ; active aging</w:t>
      </w:r>
    </w:p>
    <w:p>
      <w:pPr>
        <w:pStyle w:val="style0"/>
        <w:snapToGrid w:val="false"/>
        <w:spacing w:lineRule="exact" w:line="300"/>
        <w:rPr>
          <w:rFonts w:ascii="Times New Roman" w:hAnsi="Times New Roman"/>
          <w:kern w:val="0"/>
          <w:sz w:val="24"/>
        </w:rPr>
      </w:pPr>
    </w:p>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b/>
          <w:bCs/>
          <w:kern w:val="0"/>
          <w:sz w:val="24"/>
        </w:rPr>
        <w:t>Introduction.</w:t>
      </w:r>
    </w:p>
    <w:p>
      <w:pPr>
        <w:pStyle w:val="style0"/>
        <w:snapToGrid w:val="false"/>
        <w:spacing w:lineRule="exact" w:line="300"/>
        <w:rPr>
          <w:rFonts w:ascii="Times New Roman" w:hAnsi="Times New Roman"/>
          <w:kern w:val="0"/>
          <w:sz w:val="24"/>
        </w:rPr>
      </w:pPr>
      <w:r>
        <w:rPr>
          <w:rFonts w:ascii="Times New Roman" w:hAnsi="Times New Roman"/>
          <w:kern w:val="0"/>
          <w:sz w:val="24"/>
        </w:rPr>
        <w:t xml:space="preserve">Since the 21st century, China's population aging process has continued to accelerate </w:t>
      </w:r>
      <w:r>
        <w:rPr>
          <w:rFonts w:ascii="Times New Roman" w:hAnsi="Times New Roman"/>
          <w:kern w:val="0"/>
          <w:sz w:val="24"/>
        </w:rPr>
        <w:t>( Wei</w:t>
      </w:r>
      <w:r>
        <w:rPr>
          <w:rFonts w:ascii="Times New Roman" w:hAnsi="Times New Roman"/>
          <w:kern w:val="0"/>
          <w:sz w:val="24"/>
        </w:rPr>
        <w:t xml:space="preserve"> et al., 2024 ). According to the data of the National Bureau of Statistics, in 2024, the pro</w:t>
      </w:r>
      <w:r>
        <w:rPr>
          <w:rFonts w:ascii="Times New Roman" w:hAnsi="Times New Roman"/>
          <w:kern w:val="0"/>
          <w:sz w:val="24"/>
        </w:rPr>
        <w:t>portion of people aged 60 and over in China will be 22.0 %, of which the proportion of people aged 65 and over will reach 15.6 %. It is expected to break through the 400 million mark by 2035</w:t>
      </w:r>
      <w:r>
        <w:rPr>
          <w:rFonts w:ascii="Times New Roman" w:hAnsi="Times New Roman"/>
          <w:kern w:val="0"/>
          <w:sz w:val="24"/>
        </w:rPr>
        <w:t xml:space="preserve"> (Zhang et al., 2024; </w:t>
      </w:r>
      <w:r>
        <w:rPr>
          <w:rFonts w:ascii="Times New Roman" w:hAnsi="Times New Roman"/>
          <w:kern w:val="0"/>
          <w:sz w:val="24"/>
        </w:rPr>
        <w:t>Ren et al., 2023</w:t>
      </w:r>
      <w:r>
        <w:rPr>
          <w:rFonts w:ascii="Times New Roman" w:hAnsi="Times New Roman"/>
          <w:kern w:val="0"/>
          <w:sz w:val="24"/>
        </w:rPr>
        <w:t>)</w:t>
      </w:r>
      <w:r>
        <w:rPr>
          <w:rFonts w:ascii="Times New Roman" w:hAnsi="Times New Roman"/>
          <w:kern w:val="0"/>
          <w:sz w:val="24"/>
        </w:rPr>
        <w:t xml:space="preserve">. </w:t>
      </w:r>
      <w:r>
        <w:rPr>
          <w:rFonts w:ascii="Times New Roman" w:hAnsi="Times New Roman"/>
          <w:kern w:val="0"/>
          <w:sz w:val="24"/>
        </w:rPr>
        <w:t>T</w:t>
      </w:r>
      <w:r>
        <w:rPr>
          <w:rFonts w:ascii="Times New Roman" w:hAnsi="Times New Roman"/>
          <w:kern w:val="0"/>
          <w:sz w:val="24"/>
        </w:rPr>
        <w:t>o actively respond to th</w:t>
      </w:r>
      <w:r>
        <w:rPr>
          <w:rFonts w:ascii="Times New Roman" w:hAnsi="Times New Roman"/>
          <w:kern w:val="0"/>
          <w:sz w:val="24"/>
        </w:rPr>
        <w:t>e challenges of population aging and cultivate new kinetic energy for economic development, the " Decision of the Central Committee of the Communist Party of China on Further Deepening Reform and Promoting Chinese-style Modernization " adopted at the Third</w:t>
      </w:r>
      <w:r>
        <w:rPr>
          <w:rFonts w:ascii="Times New Roman" w:hAnsi="Times New Roman"/>
          <w:kern w:val="0"/>
          <w:sz w:val="24"/>
        </w:rPr>
        <w:t xml:space="preserve"> Plenary Session of the 20 </w:t>
      </w:r>
      <w:r>
        <w:rPr>
          <w:rFonts w:ascii="Times New Roman" w:hAnsi="Times New Roman"/>
          <w:kern w:val="0"/>
          <w:sz w:val="24"/>
        </w:rPr>
        <w:t>th</w:t>
      </w:r>
      <w:r>
        <w:rPr>
          <w:rFonts w:ascii="Times New Roman" w:hAnsi="Times New Roman"/>
          <w:kern w:val="0"/>
          <w:sz w:val="24"/>
        </w:rPr>
        <w:t xml:space="preserve"> Central Committee of the Communist Party of China put forward important measures such as " developing new quality productivity according to local conditions " and " developing silver economy. " Then, how the new quality produc</w:t>
      </w:r>
      <w:r>
        <w:rPr>
          <w:rFonts w:ascii="Times New Roman" w:hAnsi="Times New Roman"/>
          <w:kern w:val="0"/>
          <w:sz w:val="24"/>
        </w:rPr>
        <w:t xml:space="preserve">tivity promotes the development of the silver economy, how we should cultivate the new quality productivity and promote the deep integration of the two is a major issue with great practical value and significance of the times. This paper attempts to solve </w:t>
      </w:r>
      <w:r>
        <w:rPr>
          <w:rFonts w:ascii="Times New Roman" w:hAnsi="Times New Roman"/>
          <w:kern w:val="0"/>
          <w:sz w:val="24"/>
        </w:rPr>
        <w:t>the practical dilemma of the silver-haired economy from the connotation and mechanism of the new productivity and the silver-haired economy.</w:t>
      </w:r>
    </w:p>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b/>
          <w:bCs/>
          <w:kern w:val="0"/>
          <w:sz w:val="24"/>
        </w:rPr>
        <w:t>Literature Review.</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New mass productivity</w:t>
      </w:r>
    </w:p>
    <w:p>
      <w:pPr>
        <w:pStyle w:val="style0"/>
        <w:snapToGrid w:val="false"/>
        <w:spacing w:lineRule="exact" w:line="300"/>
        <w:rPr>
          <w:rFonts w:ascii="Times New Roman" w:hAnsi="Times New Roman"/>
          <w:kern w:val="0"/>
          <w:sz w:val="24"/>
        </w:rPr>
      </w:pPr>
      <w:r>
        <w:rPr>
          <w:rFonts w:ascii="Times New Roman" w:hAnsi="Times New Roman"/>
          <w:kern w:val="0"/>
          <w:sz w:val="24"/>
        </w:rPr>
        <w:t>This important exposition provides new ideas and points out a new directio</w:t>
      </w:r>
      <w:r>
        <w:rPr>
          <w:rFonts w:ascii="Times New Roman" w:hAnsi="Times New Roman"/>
          <w:kern w:val="0"/>
          <w:sz w:val="24"/>
        </w:rPr>
        <w:t xml:space="preserve">n for the comprehensive deepening of China's economic and social reform in the new era. With the improvement of people's living standards and the iteration of advanced science and technology, the growing good life of the elderly in China urgently needs to </w:t>
      </w:r>
      <w:r>
        <w:rPr>
          <w:rFonts w:ascii="Times New Roman" w:hAnsi="Times New Roman"/>
          <w:kern w:val="0"/>
          <w:sz w:val="24"/>
        </w:rPr>
        <w:t>be further satisfied by the new productivity of the old-age care field with the help of digital technology</w:t>
      </w:r>
      <w:r>
        <w:rPr>
          <w:rFonts w:ascii="Times New Roman" w:hAnsi="Times New Roman"/>
          <w:kern w:val="0"/>
          <w:sz w:val="24"/>
        </w:rPr>
        <w:t xml:space="preserve"> (Qian, 2017)</w:t>
      </w:r>
      <w:r>
        <w:rPr>
          <w:rFonts w:ascii="Times New Roman" w:hAnsi="Times New Roman"/>
          <w:kern w:val="0"/>
          <w:sz w:val="24"/>
        </w:rPr>
        <w:t xml:space="preserve">. Different from general productivity, the use of </w:t>
      </w:r>
      <w:r>
        <w:rPr>
          <w:rFonts w:ascii="Times New Roman" w:hAnsi="Times New Roman"/>
          <w:kern w:val="0"/>
          <w:sz w:val="24"/>
        </w:rPr>
        <w:t>factors in new productivity extends to more complex organizations and technologies of d</w:t>
      </w:r>
      <w:r>
        <w:rPr>
          <w:rFonts w:ascii="Times New Roman" w:hAnsi="Times New Roman"/>
          <w:kern w:val="0"/>
          <w:sz w:val="24"/>
        </w:rPr>
        <w:t xml:space="preserve">ata and factor combinations, new industrial forms appear, and more emphasis is placed on the stability and flexibility of economic systems </w:t>
      </w:r>
      <w:r>
        <w:rPr>
          <w:rFonts w:ascii="Times New Roman" w:hAnsi="Times New Roman"/>
          <w:kern w:val="0"/>
          <w:sz w:val="24"/>
        </w:rPr>
        <w:t>( Gao</w:t>
      </w:r>
      <w:r>
        <w:rPr>
          <w:rFonts w:ascii="Times New Roman" w:hAnsi="Times New Roman"/>
          <w:kern w:val="0"/>
          <w:sz w:val="24"/>
        </w:rPr>
        <w:t>, 2023</w:t>
      </w:r>
      <w:r>
        <w:rPr>
          <w:rFonts w:ascii="Times New Roman" w:hAnsi="Times New Roman"/>
          <w:kern w:val="0"/>
          <w:sz w:val="24"/>
        </w:rPr>
        <w:t>; Yang &amp; Zhao, 2018</w:t>
      </w:r>
      <w:r>
        <w:rPr>
          <w:rFonts w:ascii="Times New Roman" w:hAnsi="Times New Roman"/>
          <w:kern w:val="0"/>
          <w:sz w:val="24"/>
        </w:rPr>
        <w:t>). In a word, new quality productivity not only promotes economic development by improv</w:t>
      </w:r>
      <w:r>
        <w:rPr>
          <w:rFonts w:ascii="Times New Roman" w:hAnsi="Times New Roman"/>
          <w:kern w:val="0"/>
          <w:sz w:val="24"/>
        </w:rPr>
        <w:t>ing technical level but also forms a comprehensive force to support high-quality development through the optimization of system, organization</w:t>
      </w:r>
      <w:r>
        <w:rPr>
          <w:rFonts w:ascii="Times New Roman" w:hAnsi="Times New Roman"/>
          <w:kern w:val="0"/>
          <w:sz w:val="24"/>
        </w:rPr>
        <w:t>,</w:t>
      </w:r>
      <w:r>
        <w:rPr>
          <w:rFonts w:ascii="Times New Roman" w:hAnsi="Times New Roman"/>
          <w:kern w:val="0"/>
          <w:sz w:val="24"/>
        </w:rPr>
        <w:t xml:space="preserve"> and system.</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Silver hair economy</w:t>
      </w:r>
    </w:p>
    <w:p>
      <w:pPr>
        <w:pStyle w:val="style0"/>
        <w:snapToGrid w:val="false"/>
        <w:spacing w:lineRule="exact" w:line="300"/>
        <w:rPr>
          <w:rFonts w:ascii="Times New Roman" w:hAnsi="Times New Roman"/>
          <w:kern w:val="0"/>
          <w:sz w:val="24"/>
        </w:rPr>
      </w:pPr>
      <w:r>
        <w:rPr>
          <w:rFonts w:ascii="Times New Roman" w:hAnsi="Times New Roman"/>
          <w:kern w:val="0"/>
          <w:sz w:val="24"/>
        </w:rPr>
        <w:t xml:space="preserve">The concept of </w:t>
      </w:r>
      <w:r>
        <w:rPr>
          <w:rFonts w:ascii="Times New Roman" w:hAnsi="Times New Roman"/>
          <w:kern w:val="0"/>
          <w:sz w:val="24"/>
        </w:rPr>
        <w:t xml:space="preserve">the </w:t>
      </w:r>
      <w:r>
        <w:rPr>
          <w:rFonts w:ascii="Times New Roman" w:hAnsi="Times New Roman"/>
          <w:kern w:val="0"/>
          <w:sz w:val="24"/>
        </w:rPr>
        <w:t xml:space="preserve">' silver hair economy ' originated from the ' silver hair </w:t>
      </w:r>
      <w:r>
        <w:rPr>
          <w:rFonts w:ascii="Times New Roman" w:hAnsi="Times New Roman"/>
          <w:kern w:val="0"/>
          <w:sz w:val="24"/>
        </w:rPr>
        <w:t>market ' proposed by Japan in the 1970s, which mainly refers to the provision of goods and services for the rich elderly. With the intensification of global aging, the silver economy has gradually been valued by all countries</w:t>
      </w:r>
      <w:r>
        <w:rPr>
          <w:rFonts w:ascii="Times New Roman" w:hAnsi="Times New Roman"/>
          <w:kern w:val="0"/>
          <w:sz w:val="24"/>
        </w:rPr>
        <w:t xml:space="preserve"> (Wang et al., 2022)</w:t>
      </w:r>
      <w:r>
        <w:rPr>
          <w:rFonts w:ascii="Times New Roman" w:hAnsi="Times New Roman"/>
          <w:kern w:val="0"/>
          <w:sz w:val="24"/>
        </w:rPr>
        <w:t>. The devel</w:t>
      </w:r>
      <w:r>
        <w:rPr>
          <w:rFonts w:ascii="Times New Roman" w:hAnsi="Times New Roman"/>
          <w:kern w:val="0"/>
          <w:sz w:val="24"/>
        </w:rPr>
        <w:t>opment of the silver economy is an important starting point for China to actively respond to the aging of the population and improve the well-being of the elderly. In October 2020, the Fifth Plenary Session of the Nineteenth Central Committee of the Commun</w:t>
      </w:r>
      <w:r>
        <w:rPr>
          <w:rFonts w:ascii="Times New Roman" w:hAnsi="Times New Roman"/>
          <w:kern w:val="0"/>
          <w:sz w:val="24"/>
        </w:rPr>
        <w:t>ist Party of China put forward the development of the silver economy and put the silver economy at the national strategic level for the first time. Subsequently, a series of policy documents were issued, which gradually clarified the connotation and develo</w:t>
      </w:r>
      <w:r>
        <w:rPr>
          <w:rFonts w:ascii="Times New Roman" w:hAnsi="Times New Roman"/>
          <w:kern w:val="0"/>
          <w:sz w:val="24"/>
        </w:rPr>
        <w:t>pment direction of the silver-haired economy</w:t>
      </w:r>
      <w:r>
        <w:rPr>
          <w:rFonts w:ascii="Times New Roman" w:hAnsi="Times New Roman"/>
          <w:kern w:val="0"/>
          <w:sz w:val="24"/>
        </w:rPr>
        <w:t xml:space="preserve"> (Akimov et al., 2021; </w:t>
      </w:r>
      <w:r>
        <w:rPr>
          <w:rFonts w:ascii="Times New Roman" w:hAnsi="Times New Roman"/>
          <w:kern w:val="0"/>
          <w:sz w:val="24"/>
        </w:rPr>
        <w:t>He et al., 2022</w:t>
      </w:r>
      <w:r>
        <w:rPr>
          <w:rFonts w:ascii="Times New Roman" w:hAnsi="Times New Roman"/>
          <w:kern w:val="0"/>
          <w:sz w:val="24"/>
        </w:rPr>
        <w:t>)</w:t>
      </w:r>
      <w:r>
        <w:rPr>
          <w:rFonts w:ascii="Times New Roman" w:hAnsi="Times New Roman"/>
          <w:kern w:val="0"/>
          <w:sz w:val="24"/>
        </w:rPr>
        <w:t xml:space="preserve">. It mainly refers to the economic sum of providing corresponding products and services based on the needs of the elderly group and the preparatory elderly group, involving </w:t>
      </w:r>
      <w:r>
        <w:rPr>
          <w:rFonts w:ascii="Times New Roman" w:hAnsi="Times New Roman"/>
          <w:kern w:val="0"/>
          <w:sz w:val="24"/>
        </w:rPr>
        <w:t>pension finance, health care, tourism services, smart pension</w:t>
      </w:r>
      <w:r>
        <w:rPr>
          <w:rFonts w:ascii="Times New Roman" w:hAnsi="Times New Roman"/>
          <w:kern w:val="0"/>
          <w:sz w:val="24"/>
        </w:rPr>
        <w:t>,</w:t>
      </w:r>
      <w:r>
        <w:rPr>
          <w:rFonts w:ascii="Times New Roman" w:hAnsi="Times New Roman"/>
          <w:kern w:val="0"/>
          <w:sz w:val="24"/>
        </w:rPr>
        <w:t xml:space="preserve"> and other industries. Compared with Japan and the European Union, China's connotation of the silver-haired economy is more forward-looking and extensive. It not only includes the ' aging econom</w:t>
      </w:r>
      <w:r>
        <w:rPr>
          <w:rFonts w:ascii="Times New Roman" w:hAnsi="Times New Roman"/>
          <w:kern w:val="0"/>
          <w:sz w:val="24"/>
        </w:rPr>
        <w:t>y in the old age ', providing products and services such as smart health care products and rehabilitation aids for the elderly at this stage but also includes the ' preparation economy in the young age ', providing products and services such as pension fin</w:t>
      </w:r>
      <w:r>
        <w:rPr>
          <w:rFonts w:ascii="Times New Roman" w:hAnsi="Times New Roman"/>
          <w:kern w:val="0"/>
          <w:sz w:val="24"/>
        </w:rPr>
        <w:t>ancial planning and health management advancement for people who are about to enter the old age.</w:t>
      </w:r>
    </w:p>
    <w:commentRangeStart w:id="2"/>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 xml:space="preserve">New productivity promotes </w:t>
      </w:r>
      <w:r>
        <w:rPr>
          <w:rFonts w:ascii="Times New Roman" w:hAnsi="Times New Roman"/>
          <w:b/>
          <w:bCs/>
          <w:kern w:val="0"/>
          <w:sz w:val="24"/>
        </w:rPr>
        <w:t xml:space="preserve">the </w:t>
      </w:r>
      <w:r>
        <w:rPr>
          <w:rFonts w:ascii="Times New Roman" w:hAnsi="Times New Roman" w:hint="eastAsia"/>
          <w:b/>
          <w:bCs/>
          <w:kern w:val="0"/>
          <w:sz w:val="24"/>
        </w:rPr>
        <w:t>silver economy</w:t>
      </w:r>
    </w:p>
    <w:commentRangeEnd w:id="2"/>
    <w:p>
      <w:pPr>
        <w:pStyle w:val="style0"/>
        <w:snapToGrid w:val="false"/>
        <w:spacing w:lineRule="exact" w:line="300"/>
        <w:rPr>
          <w:rFonts w:ascii="Times New Roman" w:hAnsi="Times New Roman"/>
          <w:kern w:val="0"/>
          <w:sz w:val="24"/>
        </w:rPr>
      </w:pPr>
      <w:r>
        <w:rPr/>
        <w:commentReference w:id="2"/>
      </w:r>
      <w:r>
        <w:rPr>
          <w:rFonts w:ascii="Times New Roman" w:hAnsi="Times New Roman"/>
          <w:kern w:val="0"/>
          <w:sz w:val="24"/>
        </w:rPr>
        <w:t>With the intensification of China's aging trend, the structure of the elderly population</w:t>
      </w:r>
      <w:r>
        <w:rPr>
          <w:rFonts w:ascii="Times New Roman" w:hAnsi="Times New Roman"/>
          <w:kern w:val="0"/>
          <w:sz w:val="24"/>
        </w:rPr>
        <w:t>,</w:t>
      </w:r>
      <w:r>
        <w:rPr>
          <w:rFonts w:ascii="Times New Roman" w:hAnsi="Times New Roman"/>
          <w:kern w:val="0"/>
          <w:sz w:val="24"/>
        </w:rPr>
        <w:t xml:space="preserve"> and the change of the co</w:t>
      </w:r>
      <w:r>
        <w:rPr>
          <w:rFonts w:ascii="Times New Roman" w:hAnsi="Times New Roman"/>
          <w:kern w:val="0"/>
          <w:sz w:val="24"/>
        </w:rPr>
        <w:t>ncept of old-age care, by the middle of the 21st century, the consumption potential of China's elderly population is about 40 trillion yuan, and the market potential of the silver economy is huge</w:t>
      </w:r>
      <w:r>
        <w:rPr>
          <w:rFonts w:ascii="Times New Roman" w:hAnsi="Times New Roman"/>
          <w:kern w:val="0"/>
          <w:sz w:val="24"/>
        </w:rPr>
        <w:t xml:space="preserve"> (Chen, 2024)</w:t>
      </w:r>
      <w:r>
        <w:rPr>
          <w:rFonts w:ascii="Times New Roman" w:hAnsi="Times New Roman"/>
          <w:kern w:val="0"/>
          <w:sz w:val="24"/>
        </w:rPr>
        <w:t>. The rapid development of the silver economy an</w:t>
      </w:r>
      <w:r>
        <w:rPr>
          <w:rFonts w:ascii="Times New Roman" w:hAnsi="Times New Roman"/>
          <w:kern w:val="0"/>
          <w:sz w:val="24"/>
        </w:rPr>
        <w:t>d the increasing consumption demand of the elderly have provided new opportunities for the development of the pension service industry. The pension service industry is a service supply model based on the relationship between market supply and demand, chara</w:t>
      </w:r>
      <w:r>
        <w:rPr>
          <w:rFonts w:ascii="Times New Roman" w:hAnsi="Times New Roman"/>
          <w:kern w:val="0"/>
          <w:sz w:val="24"/>
        </w:rPr>
        <w:t>cterized by the payment of care demand groups, supported by the continuous operation of the supply side, and based on the path of industrial development</w:t>
      </w:r>
      <w:r>
        <w:rPr>
          <w:rFonts w:ascii="Times New Roman" w:hAnsi="Times New Roman"/>
          <w:kern w:val="0"/>
          <w:sz w:val="24"/>
        </w:rPr>
        <w:t xml:space="preserve"> (Zhang, 2017)</w:t>
      </w:r>
      <w:r>
        <w:rPr>
          <w:rFonts w:ascii="Times New Roman" w:hAnsi="Times New Roman"/>
          <w:kern w:val="0"/>
          <w:sz w:val="24"/>
        </w:rPr>
        <w:t xml:space="preserve">. The integrated development of modern information technology and </w:t>
      </w:r>
      <w:r>
        <w:rPr>
          <w:rFonts w:ascii="Times New Roman" w:hAnsi="Times New Roman"/>
          <w:kern w:val="0"/>
          <w:sz w:val="24"/>
        </w:rPr>
        <w:t xml:space="preserve">the </w:t>
      </w:r>
      <w:r>
        <w:rPr>
          <w:rFonts w:ascii="Times New Roman" w:hAnsi="Times New Roman"/>
          <w:kern w:val="0"/>
          <w:sz w:val="24"/>
        </w:rPr>
        <w:t>pension service indu</w:t>
      </w:r>
      <w:r>
        <w:rPr>
          <w:rFonts w:ascii="Times New Roman" w:hAnsi="Times New Roman"/>
          <w:kern w:val="0"/>
          <w:sz w:val="24"/>
        </w:rPr>
        <w:t xml:space="preserve">stry can effectively help the development of </w:t>
      </w:r>
      <w:r>
        <w:rPr>
          <w:rFonts w:ascii="Times New Roman" w:hAnsi="Times New Roman"/>
          <w:kern w:val="0"/>
          <w:sz w:val="24"/>
        </w:rPr>
        <w:t xml:space="preserve">the </w:t>
      </w:r>
      <w:r>
        <w:rPr>
          <w:rFonts w:ascii="Times New Roman" w:hAnsi="Times New Roman"/>
          <w:kern w:val="0"/>
          <w:sz w:val="24"/>
        </w:rPr>
        <w:t>pension service industry.</w:t>
      </w:r>
    </w:p>
    <w:p>
      <w:pPr>
        <w:pStyle w:val="style0"/>
        <w:snapToGrid w:val="false"/>
        <w:spacing w:lineRule="exact" w:line="300"/>
        <w:rPr>
          <w:rFonts w:ascii="Times New Roman" w:hAnsi="Times New Roman"/>
          <w:kern w:val="0"/>
          <w:sz w:val="24"/>
        </w:rPr>
      </w:pPr>
      <w:r>
        <w:rPr>
          <w:rFonts w:ascii="Times New Roman" w:hAnsi="Times New Roman"/>
          <w:kern w:val="0"/>
          <w:sz w:val="24"/>
        </w:rPr>
        <w:t>New productivity can promote the development of the silver-haired economy and fundamentally change the employment pattern and production mode of the silver-haired economy</w:t>
      </w:r>
      <w:r>
        <w:rPr>
          <w:rFonts w:ascii="Times New Roman" w:hAnsi="Times New Roman"/>
          <w:kern w:val="0"/>
          <w:sz w:val="24"/>
        </w:rPr>
        <w:t xml:space="preserve"> (</w:t>
      </w:r>
      <w:r>
        <w:rPr>
          <w:rFonts w:ascii="Times New Roman" w:hAnsi="Times New Roman"/>
          <w:kern w:val="0"/>
          <w:sz w:val="24"/>
        </w:rPr>
        <w:t>Huang, 2020</w:t>
      </w:r>
      <w:r>
        <w:rPr>
          <w:rFonts w:ascii="Times New Roman" w:hAnsi="Times New Roman"/>
          <w:kern w:val="0"/>
          <w:sz w:val="24"/>
        </w:rPr>
        <w:t>)</w:t>
      </w:r>
      <w:r>
        <w:rPr>
          <w:rFonts w:ascii="Times New Roman" w:hAnsi="Times New Roman"/>
          <w:kern w:val="0"/>
          <w:sz w:val="24"/>
        </w:rPr>
        <w:t xml:space="preserve">. First, new productivity changes the production mode of the silver-haired economy through artificial intelligence. Emerging industries </w:t>
      </w:r>
      <w:r>
        <w:rPr>
          <w:rFonts w:ascii="Times New Roman" w:hAnsi="Times New Roman"/>
          <w:kern w:val="0"/>
          <w:sz w:val="24"/>
        </w:rPr>
        <w:t xml:space="preserve">such as artificial intelligence and big data have entered the silver-haired economy, replacing the repetitive labor </w:t>
      </w:r>
      <w:r>
        <w:rPr>
          <w:rFonts w:ascii="Times New Roman" w:hAnsi="Times New Roman"/>
          <w:kern w:val="0"/>
          <w:sz w:val="24"/>
        </w:rPr>
        <w:t>of caring for the elderly, breaking the restrictions of the traditional silver-haired economy that cannot meet the needs of the people and the needs of economic development due to its high dependence on manpower, thus stimulating the vitality of silver-hai</w:t>
      </w:r>
      <w:r>
        <w:rPr>
          <w:rFonts w:ascii="Times New Roman" w:hAnsi="Times New Roman"/>
          <w:kern w:val="0"/>
          <w:sz w:val="24"/>
        </w:rPr>
        <w:t>red economic growth. Secondly, new productivity provides a large number of jobs for the silver economy</w:t>
      </w:r>
      <w:r>
        <w:rPr>
          <w:rFonts w:ascii="Times New Roman" w:hAnsi="Times New Roman"/>
          <w:kern w:val="0"/>
          <w:sz w:val="24"/>
        </w:rPr>
        <w:t xml:space="preserve"> (Chen et al., 2024)</w:t>
      </w:r>
      <w:r>
        <w:rPr>
          <w:rFonts w:ascii="Times New Roman" w:hAnsi="Times New Roman"/>
          <w:kern w:val="0"/>
          <w:sz w:val="24"/>
        </w:rPr>
        <w:t>. With the integration and application of big data, artificial intelligence</w:t>
      </w:r>
      <w:r>
        <w:rPr>
          <w:rFonts w:ascii="Times New Roman" w:hAnsi="Times New Roman"/>
          <w:kern w:val="0"/>
          <w:sz w:val="24"/>
        </w:rPr>
        <w:t>,</w:t>
      </w:r>
      <w:r>
        <w:rPr>
          <w:rFonts w:ascii="Times New Roman" w:hAnsi="Times New Roman"/>
          <w:kern w:val="0"/>
          <w:sz w:val="24"/>
        </w:rPr>
        <w:t xml:space="preserve"> and Internet of Things technology, the silver-haired econ</w:t>
      </w:r>
      <w:r>
        <w:rPr>
          <w:rFonts w:ascii="Times New Roman" w:hAnsi="Times New Roman"/>
          <w:kern w:val="0"/>
          <w:sz w:val="24"/>
        </w:rPr>
        <w:t>omy has expanded to a wider range of fields, such as smart home, health management, cultural entertainment, online education, etc., providing more suitable employment methods and opportunities for the elderly, thus promoting the deep development of the sil</w:t>
      </w:r>
      <w:r>
        <w:rPr>
          <w:rFonts w:ascii="Times New Roman" w:hAnsi="Times New Roman"/>
          <w:kern w:val="0"/>
          <w:sz w:val="24"/>
        </w:rPr>
        <w:t>ver-haired economy. The diversified needs of the elderly for old-age care services have created a broad market prospect for the old-age care service industry. Although in the era of new quality productivity, the mainstream in the industry is still ordinary</w:t>
      </w:r>
      <w:r>
        <w:rPr>
          <w:rFonts w:ascii="Times New Roman" w:hAnsi="Times New Roman"/>
          <w:kern w:val="0"/>
          <w:sz w:val="24"/>
        </w:rPr>
        <w:t xml:space="preserve"> physical and mental workers, with the improvement of population quality, the role of new quality workers as the first factor to promote the high-quality development of </w:t>
      </w:r>
      <w:r>
        <w:rPr>
          <w:rFonts w:ascii="Times New Roman" w:hAnsi="Times New Roman"/>
          <w:kern w:val="0"/>
          <w:sz w:val="24"/>
        </w:rPr>
        <w:t xml:space="preserve">the </w:t>
      </w:r>
      <w:r>
        <w:rPr>
          <w:rFonts w:ascii="Times New Roman" w:hAnsi="Times New Roman"/>
          <w:kern w:val="0"/>
          <w:sz w:val="24"/>
        </w:rPr>
        <w:t>silver-haired economy will become more and more prominent.</w:t>
      </w:r>
    </w:p>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Predicament</w:t>
      </w:r>
    </w:p>
    <w:p>
      <w:pPr>
        <w:pStyle w:val="style0"/>
        <w:snapToGrid w:val="false"/>
        <w:spacing w:lineRule="exact" w:line="300"/>
        <w:rPr>
          <w:rFonts w:ascii="Times New Roman" w:hAnsi="Times New Roman"/>
          <w:kern w:val="0"/>
          <w:sz w:val="24"/>
        </w:rPr>
      </w:pPr>
      <w:r>
        <w:rPr>
          <w:rFonts w:ascii="Times New Roman" w:hAnsi="Times New Roman"/>
          <w:kern w:val="0"/>
          <w:sz w:val="24"/>
        </w:rPr>
        <w:t>Although the</w:t>
      </w:r>
      <w:r>
        <w:rPr>
          <w:rFonts w:ascii="Times New Roman" w:hAnsi="Times New Roman"/>
          <w:kern w:val="0"/>
          <w:sz w:val="24"/>
        </w:rPr>
        <w:t xml:space="preserve"> development of new productivity of old-age care services can effectively improve the high-quality development of the silver-haired economy, due to the weak foundation of old-age care services in China, the lagging concept of old-age care services, and the</w:t>
      </w:r>
      <w:r>
        <w:rPr>
          <w:rFonts w:ascii="Times New Roman" w:hAnsi="Times New Roman"/>
          <w:kern w:val="0"/>
          <w:sz w:val="24"/>
        </w:rPr>
        <w:t xml:space="preserve"> imperfection of old-age care policies, the development and formation of new productivity of old-age care services still face many challenges and obstacles</w:t>
      </w:r>
      <w:r>
        <w:rPr>
          <w:rFonts w:ascii="Times New Roman" w:hAnsi="Times New Roman"/>
          <w:kern w:val="0"/>
          <w:sz w:val="24"/>
        </w:rPr>
        <w:t xml:space="preserve"> (Huang, 2020)</w:t>
      </w:r>
      <w:r>
        <w:rPr>
          <w:rFonts w:ascii="Times New Roman" w:hAnsi="Times New Roman"/>
          <w:kern w:val="0"/>
          <w:sz w:val="24"/>
        </w:rPr>
        <w:t>.</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Maladjustment of supply and demand</w:t>
      </w:r>
    </w:p>
    <w:p>
      <w:pPr>
        <w:pStyle w:val="style0"/>
        <w:snapToGrid w:val="false"/>
        <w:spacing w:lineRule="exact" w:line="300"/>
        <w:rPr>
          <w:rFonts w:ascii="Times New Roman" w:hAnsi="Times New Roman"/>
          <w:kern w:val="0"/>
          <w:sz w:val="24"/>
        </w:rPr>
      </w:pPr>
      <w:r>
        <w:rPr>
          <w:rFonts w:ascii="Times New Roman" w:hAnsi="Times New Roman"/>
          <w:kern w:val="0"/>
          <w:sz w:val="24"/>
        </w:rPr>
        <w:t>The most important factor of new quality productiv</w:t>
      </w:r>
      <w:r>
        <w:rPr>
          <w:rFonts w:ascii="Times New Roman" w:hAnsi="Times New Roman"/>
          <w:kern w:val="0"/>
          <w:sz w:val="24"/>
        </w:rPr>
        <w:t>ity is new quality workers, and the new quality workers needed by China's pension industry are facing the problem of insufficient effective supply, which will lead to the shortage of new quality workers in the development of new quality productivity. On th</w:t>
      </w:r>
      <w:r>
        <w:rPr>
          <w:rFonts w:ascii="Times New Roman" w:hAnsi="Times New Roman"/>
          <w:kern w:val="0"/>
          <w:sz w:val="24"/>
        </w:rPr>
        <w:t>e one hand, the demand of consumer groups in China's silver economy has changed significantly, but the pension service has not improved significantly. At present, the professional setting, curriculum setting</w:t>
      </w:r>
      <w:r>
        <w:rPr>
          <w:rFonts w:ascii="Times New Roman" w:hAnsi="Times New Roman"/>
          <w:kern w:val="0"/>
          <w:sz w:val="24"/>
        </w:rPr>
        <w:t>,</w:t>
      </w:r>
      <w:r>
        <w:rPr>
          <w:rFonts w:ascii="Times New Roman" w:hAnsi="Times New Roman"/>
          <w:kern w:val="0"/>
          <w:sz w:val="24"/>
        </w:rPr>
        <w:t xml:space="preserve"> and talent training of colleges and universitie</w:t>
      </w:r>
      <w:r>
        <w:rPr>
          <w:rFonts w:ascii="Times New Roman" w:hAnsi="Times New Roman"/>
          <w:kern w:val="0"/>
          <w:sz w:val="24"/>
        </w:rPr>
        <w:t>s in China have a certain lag compared with the market demand. The lack of systematic practical training makes the trained pension service personnel unable to meet the market's demand for new knowledge and new skills. On the other hand, due to the multiple</w:t>
      </w:r>
      <w:r>
        <w:rPr>
          <w:rFonts w:ascii="Times New Roman" w:hAnsi="Times New Roman"/>
          <w:kern w:val="0"/>
          <w:sz w:val="24"/>
        </w:rPr>
        <w:t xml:space="preserve"> difficulties faced by the pension service industry, such as long working hours, high labor intensity, low social recognition</w:t>
      </w:r>
      <w:r>
        <w:rPr>
          <w:rFonts w:ascii="Times New Roman" w:hAnsi="Times New Roman"/>
          <w:kern w:val="0"/>
          <w:sz w:val="24"/>
        </w:rPr>
        <w:t>,</w:t>
      </w:r>
      <w:r>
        <w:rPr>
          <w:rFonts w:ascii="Times New Roman" w:hAnsi="Times New Roman"/>
          <w:kern w:val="0"/>
          <w:sz w:val="24"/>
        </w:rPr>
        <w:t xml:space="preserve"> and low wages, many employees </w:t>
      </w:r>
      <w:r>
        <w:rPr>
          <w:rFonts w:ascii="Times New Roman" w:hAnsi="Times New Roman"/>
          <w:kern w:val="0"/>
          <w:sz w:val="24"/>
        </w:rPr>
        <w:t>find it</w:t>
      </w:r>
      <w:r>
        <w:rPr>
          <w:rFonts w:ascii="Times New Roman" w:hAnsi="Times New Roman"/>
          <w:kern w:val="0"/>
          <w:sz w:val="24"/>
        </w:rPr>
        <w:t xml:space="preserve"> difficult to stick to their posts for a long time, and frequent turnover occurs, which seri</w:t>
      </w:r>
      <w:r>
        <w:rPr>
          <w:rFonts w:ascii="Times New Roman" w:hAnsi="Times New Roman"/>
          <w:kern w:val="0"/>
          <w:sz w:val="24"/>
        </w:rPr>
        <w:t>ously restricts the stability and continuity of the pension service team.</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Single service</w:t>
      </w:r>
    </w:p>
    <w:p>
      <w:pPr>
        <w:pStyle w:val="style0"/>
        <w:snapToGrid w:val="false"/>
        <w:spacing w:lineRule="exact" w:line="300"/>
        <w:rPr>
          <w:rFonts w:ascii="Times New Roman" w:hAnsi="Times New Roman"/>
          <w:kern w:val="0"/>
          <w:sz w:val="24"/>
        </w:rPr>
      </w:pPr>
      <w:r>
        <w:rPr>
          <w:rFonts w:ascii="Times New Roman" w:hAnsi="Times New Roman"/>
          <w:kern w:val="0"/>
          <w:sz w:val="24"/>
        </w:rPr>
        <w:t>As people's demand for a better life grows, the elderly 's demand for old-age care also presents rich and diverse characteristics. However, at present, China's pension</w:t>
      </w:r>
      <w:r>
        <w:rPr>
          <w:rFonts w:ascii="Times New Roman" w:hAnsi="Times New Roman"/>
          <w:kern w:val="0"/>
          <w:sz w:val="24"/>
        </w:rPr>
        <w:t xml:space="preserve"> projects are relatively single, failing to </w:t>
      </w:r>
      <w:r>
        <w:rPr>
          <w:rFonts w:ascii="Times New Roman" w:hAnsi="Times New Roman"/>
          <w:kern w:val="0"/>
          <w:sz w:val="24"/>
        </w:rPr>
        <w:t>take into account</w:t>
      </w:r>
      <w:r>
        <w:rPr>
          <w:rFonts w:ascii="Times New Roman" w:hAnsi="Times New Roman"/>
          <w:kern w:val="0"/>
          <w:sz w:val="24"/>
        </w:rPr>
        <w:t xml:space="preserve"> the multi-faceted and characteristic needs of the elderly. Due to individual differences, the elderly 's pension needs will also be different. At present, a large number of young people in socie</w:t>
      </w:r>
      <w:r>
        <w:rPr>
          <w:rFonts w:ascii="Times New Roman" w:hAnsi="Times New Roman"/>
          <w:kern w:val="0"/>
          <w:sz w:val="24"/>
        </w:rPr>
        <w:t xml:space="preserve">ty choose to stay in large cities for employment, which makes the elderly stay at home </w:t>
      </w:r>
      <w:r>
        <w:rPr>
          <w:rFonts w:ascii="Times New Roman" w:hAnsi="Times New Roman"/>
          <w:kern w:val="0"/>
          <w:sz w:val="24"/>
        </w:rPr>
        <w:t xml:space="preserve">alone for a long time. According to statistics, in China, the elderly fall 25 million times a year, and 60 % of the elderly fall accidentally at home. A wire, a heating </w:t>
      </w:r>
      <w:r>
        <w:rPr>
          <w:rFonts w:ascii="Times New Roman" w:hAnsi="Times New Roman"/>
          <w:kern w:val="0"/>
          <w:sz w:val="24"/>
        </w:rPr>
        <w:t>blanket, and a water cup may bring danger to the elderly who are inconvenient to move. The pension problems faced by the elderly living alone, in addition to the need to take care of their own lives, there are many problems such as economic pressure, physi</w:t>
      </w:r>
      <w:r>
        <w:rPr>
          <w:rFonts w:ascii="Times New Roman" w:hAnsi="Times New Roman"/>
          <w:kern w:val="0"/>
          <w:sz w:val="24"/>
        </w:rPr>
        <w:t>cal disease, mental health</w:t>
      </w:r>
      <w:r>
        <w:rPr>
          <w:rFonts w:ascii="Times New Roman" w:hAnsi="Times New Roman"/>
          <w:kern w:val="0"/>
          <w:sz w:val="24"/>
        </w:rPr>
        <w:t>,</w:t>
      </w:r>
      <w:r>
        <w:rPr>
          <w:rFonts w:ascii="Times New Roman" w:hAnsi="Times New Roman"/>
          <w:kern w:val="0"/>
          <w:sz w:val="24"/>
        </w:rPr>
        <w:t xml:space="preserve"> and so on. In addition, some elderly people will be more eager to resonate with the spirit and seek spiritual care because of their long time alone. However, the lack of </w:t>
      </w:r>
      <w:r>
        <w:rPr>
          <w:rFonts w:ascii="Times New Roman" w:hAnsi="Times New Roman"/>
          <w:kern w:val="0"/>
          <w:sz w:val="24"/>
        </w:rPr>
        <w:t xml:space="preserve">a </w:t>
      </w:r>
      <w:r>
        <w:rPr>
          <w:rFonts w:ascii="Times New Roman" w:hAnsi="Times New Roman"/>
          <w:kern w:val="0"/>
          <w:sz w:val="24"/>
        </w:rPr>
        <w:t>platform, imperfect market mechanism</w:t>
      </w:r>
      <w:r>
        <w:rPr>
          <w:rFonts w:ascii="Times New Roman" w:hAnsi="Times New Roman"/>
          <w:kern w:val="0"/>
          <w:sz w:val="24"/>
        </w:rPr>
        <w:t>,</w:t>
      </w:r>
      <w:r>
        <w:rPr>
          <w:rFonts w:ascii="Times New Roman" w:hAnsi="Times New Roman"/>
          <w:kern w:val="0"/>
          <w:sz w:val="24"/>
        </w:rPr>
        <w:t xml:space="preserve"> and lack of safegu</w:t>
      </w:r>
      <w:r>
        <w:rPr>
          <w:rFonts w:ascii="Times New Roman" w:hAnsi="Times New Roman"/>
          <w:kern w:val="0"/>
          <w:sz w:val="24"/>
        </w:rPr>
        <w:t>ard measures make it difficult to meet the differentiated needs of the elderly.</w:t>
      </w:r>
    </w:p>
    <w:p>
      <w:pPr>
        <w:pStyle w:val="style0"/>
        <w:snapToGrid w:val="false"/>
        <w:spacing w:lineRule="exact" w:line="300"/>
        <w:rPr>
          <w:rFonts w:ascii="Times New Roman" w:hAnsi="Times New Roman"/>
          <w:b/>
          <w:bCs/>
          <w:kern w:val="0"/>
          <w:sz w:val="24"/>
        </w:rPr>
      </w:pPr>
      <w:r>
        <w:rPr>
          <w:rFonts w:ascii="Times New Roman" w:hAnsi="Times New Roman" w:hint="eastAsia"/>
          <w:b/>
          <w:bCs/>
          <w:kern w:val="0"/>
          <w:sz w:val="24"/>
        </w:rPr>
        <w:t>4.</w:t>
      </w:r>
      <w:r>
        <w:rPr>
          <w:rFonts w:ascii="Times New Roman" w:hAnsi="Times New Roman" w:hint="eastAsia"/>
          <w:b/>
          <w:bCs/>
          <w:kern w:val="0"/>
          <w:sz w:val="24"/>
        </w:rPr>
        <w:t>3.</w:t>
      </w:r>
      <w:r>
        <w:rPr>
          <w:rFonts w:ascii="Times New Roman" w:hAnsi="Times New Roman"/>
          <w:b/>
          <w:bCs/>
          <w:kern w:val="0"/>
          <w:sz w:val="24"/>
        </w:rPr>
        <w:t>Uneven</w:t>
      </w:r>
      <w:r>
        <w:rPr>
          <w:rFonts w:ascii="Times New Roman" w:hAnsi="Times New Roman"/>
          <w:b/>
          <w:bCs/>
          <w:kern w:val="0"/>
          <w:sz w:val="24"/>
        </w:rPr>
        <w:t xml:space="preserve"> distribution of resources</w:t>
      </w:r>
    </w:p>
    <w:p>
      <w:pPr>
        <w:pStyle w:val="style0"/>
        <w:snapToGrid w:val="false"/>
        <w:spacing w:lineRule="exact" w:line="300"/>
        <w:rPr>
          <w:rFonts w:ascii="Times New Roman" w:hAnsi="Times New Roman"/>
          <w:kern w:val="0"/>
          <w:sz w:val="24"/>
        </w:rPr>
      </w:pPr>
      <w:r>
        <w:rPr>
          <w:rFonts w:ascii="Times New Roman" w:hAnsi="Times New Roman"/>
          <w:kern w:val="0"/>
          <w:sz w:val="24"/>
        </w:rPr>
        <w:t xml:space="preserve">The differential impact of inter-regional population aging on the development of new productivity is essentially the spatial heterogeneity of the dynamic adaptation mechanism of population structure and industrial system. The imbalance of </w:t>
      </w:r>
      <w:r>
        <w:rPr>
          <w:rFonts w:ascii="Times New Roman" w:hAnsi="Times New Roman"/>
          <w:kern w:val="0"/>
          <w:sz w:val="24"/>
        </w:rPr>
        <w:t xml:space="preserve">the </w:t>
      </w:r>
      <w:r>
        <w:rPr>
          <w:rFonts w:ascii="Times New Roman" w:hAnsi="Times New Roman"/>
          <w:kern w:val="0"/>
          <w:sz w:val="24"/>
        </w:rPr>
        <w:t>regional dist</w:t>
      </w:r>
      <w:r>
        <w:rPr>
          <w:rFonts w:ascii="Times New Roman" w:hAnsi="Times New Roman"/>
          <w:kern w:val="0"/>
          <w:sz w:val="24"/>
        </w:rPr>
        <w:t xml:space="preserve">ribution of </w:t>
      </w:r>
      <w:r>
        <w:rPr>
          <w:rFonts w:ascii="Times New Roman" w:hAnsi="Times New Roman"/>
          <w:kern w:val="0"/>
          <w:sz w:val="24"/>
        </w:rPr>
        <w:t xml:space="preserve">the </w:t>
      </w:r>
      <w:r>
        <w:rPr>
          <w:rFonts w:ascii="Times New Roman" w:hAnsi="Times New Roman"/>
          <w:kern w:val="0"/>
          <w:sz w:val="24"/>
        </w:rPr>
        <w:t>silver industry and resources has become a real obstacle to the diffusion of technology and the flow of talent. At present, the central and western regions of China maintain the development path of traditional industries due to the dominanc</w:t>
      </w:r>
      <w:r>
        <w:rPr>
          <w:rFonts w:ascii="Times New Roman" w:hAnsi="Times New Roman"/>
          <w:kern w:val="0"/>
          <w:sz w:val="24"/>
        </w:rPr>
        <w:t>e of labor-intensive human capital, and the eastern region relies on the accumulation of innovative human capital to form a high-tech industry development path. In the central and western regions, the spatial distribution of basic industries is unreasonabl</w:t>
      </w:r>
      <w:r>
        <w:rPr>
          <w:rFonts w:ascii="Times New Roman" w:hAnsi="Times New Roman"/>
          <w:kern w:val="0"/>
          <w:sz w:val="24"/>
        </w:rPr>
        <w:t xml:space="preserve">e, the aging population leads to the reduction of labor supply in traditional industries, and the industrial transformation and upgrading are under pressure; in the eastern region, the structural contradiction between the aging population and the shortage </w:t>
      </w:r>
      <w:r>
        <w:rPr>
          <w:rFonts w:ascii="Times New Roman" w:hAnsi="Times New Roman"/>
          <w:kern w:val="0"/>
          <w:sz w:val="24"/>
        </w:rPr>
        <w:t>of highly skilled talents restricts the innovation efficiency and upgrading process of high-tech industries.</w:t>
      </w:r>
    </w:p>
    <w:p>
      <w:pPr>
        <w:pStyle w:val="style0"/>
        <w:snapToGrid w:val="false"/>
        <w:spacing w:lineRule="exact" w:line="300"/>
        <w:rPr>
          <w:rFonts w:ascii="Times New Roman" w:hAnsi="Times New Roman"/>
          <w:b/>
          <w:bCs/>
          <w:kern w:val="0"/>
          <w:sz w:val="24"/>
        </w:rPr>
      </w:pPr>
      <w:r>
        <w:rPr>
          <w:rFonts w:ascii="Times New Roman" w:hAnsi="Times New Roman" w:hint="eastAsia"/>
          <w:b/>
          <w:bCs/>
          <w:kern w:val="0"/>
          <w:sz w:val="24"/>
        </w:rPr>
        <w:t>4.</w:t>
      </w:r>
      <w:r>
        <w:rPr>
          <w:rFonts w:ascii="Times New Roman" w:hAnsi="Times New Roman" w:hint="eastAsia"/>
          <w:b/>
          <w:bCs/>
          <w:kern w:val="0"/>
          <w:sz w:val="24"/>
        </w:rPr>
        <w:t>4.</w:t>
      </w:r>
      <w:bookmarkStart w:id="1" w:name="_Hlk204426884"/>
      <w:r>
        <w:rPr>
          <w:rFonts w:ascii="Times New Roman" w:hAnsi="Times New Roman"/>
          <w:b/>
          <w:bCs/>
          <w:kern w:val="0"/>
          <w:sz w:val="24"/>
        </w:rPr>
        <w:t>The</w:t>
      </w:r>
      <w:r>
        <w:rPr>
          <w:rFonts w:ascii="Times New Roman" w:hAnsi="Times New Roman"/>
          <w:b/>
          <w:bCs/>
          <w:kern w:val="0"/>
          <w:sz w:val="24"/>
        </w:rPr>
        <w:t xml:space="preserve"> policy is not perfect enough</w:t>
      </w:r>
      <w:bookmarkEnd w:id="1"/>
    </w:p>
    <w:p>
      <w:pPr>
        <w:pStyle w:val="style0"/>
        <w:snapToGrid w:val="false"/>
        <w:spacing w:lineRule="exact" w:line="300"/>
        <w:rPr>
          <w:rFonts w:ascii="Times New Roman" w:hAnsi="Times New Roman"/>
          <w:kern w:val="0"/>
          <w:sz w:val="24"/>
        </w:rPr>
      </w:pPr>
      <w:r>
        <w:rPr>
          <w:rFonts w:ascii="Times New Roman" w:hAnsi="Times New Roman"/>
          <w:kern w:val="0"/>
          <w:sz w:val="24"/>
        </w:rPr>
        <w:t>On the one hand, many bad merchants abuse the name of technological innovation to disrupt the market with infe</w:t>
      </w:r>
      <w:r>
        <w:rPr>
          <w:rFonts w:ascii="Times New Roman" w:hAnsi="Times New Roman"/>
          <w:kern w:val="0"/>
          <w:sz w:val="24"/>
        </w:rPr>
        <w:t xml:space="preserve">rior products or services. The endless stream of " three noes " elderly health care products, high-priced " special drugs " and investment in pension apartments and other fraudulent means reflect the lag of market supervision in the silver economy and the </w:t>
      </w:r>
      <w:r>
        <w:rPr>
          <w:rFonts w:ascii="Times New Roman" w:hAnsi="Times New Roman"/>
          <w:kern w:val="0"/>
          <w:sz w:val="24"/>
        </w:rPr>
        <w:t>lack of practical market supervision policies, resulting in market disorder, which in turn affects the confidence and security of consumption of the elderly. On the other hand, the industry norms and standards of the silver economy have not yet formed a un</w:t>
      </w:r>
      <w:r>
        <w:rPr>
          <w:rFonts w:ascii="Times New Roman" w:hAnsi="Times New Roman"/>
          <w:kern w:val="0"/>
          <w:sz w:val="24"/>
        </w:rPr>
        <w:t xml:space="preserve">ified system. In the process of purchasing pension products and services, the elderly </w:t>
      </w:r>
      <w:r>
        <w:rPr>
          <w:rFonts w:ascii="Times New Roman" w:hAnsi="Times New Roman"/>
          <w:kern w:val="0"/>
          <w:sz w:val="24"/>
        </w:rPr>
        <w:t>have</w:t>
      </w:r>
      <w:r>
        <w:rPr>
          <w:rFonts w:ascii="Times New Roman" w:hAnsi="Times New Roman"/>
          <w:kern w:val="0"/>
          <w:sz w:val="24"/>
        </w:rPr>
        <w:t xml:space="preserve"> problems such as weak screening ability, insufficient awareness of rights protection</w:t>
      </w:r>
      <w:r>
        <w:rPr>
          <w:rFonts w:ascii="Times New Roman" w:hAnsi="Times New Roman"/>
          <w:kern w:val="0"/>
          <w:sz w:val="24"/>
        </w:rPr>
        <w:t>,</w:t>
      </w:r>
      <w:r>
        <w:rPr>
          <w:rFonts w:ascii="Times New Roman" w:hAnsi="Times New Roman"/>
          <w:kern w:val="0"/>
          <w:sz w:val="24"/>
        </w:rPr>
        <w:t xml:space="preserve"> and poor rights protection ability.</w:t>
      </w:r>
    </w:p>
    <w:commentRangeStart w:id="3"/>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commentRangeEnd w:id="3"/>
      <w:r>
        <w:rPr/>
        <w:commentReference w:id="3"/>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Cultivate new productive forces</w:t>
      </w:r>
      <w:r>
        <w:rPr>
          <w:rFonts w:ascii="Times New Roman" w:hAnsi="Times New Roman"/>
          <w:b/>
          <w:bCs/>
          <w:kern w:val="0"/>
          <w:sz w:val="24"/>
        </w:rPr>
        <w:t>.</w:t>
      </w:r>
    </w:p>
    <w:p>
      <w:pPr>
        <w:pStyle w:val="style0"/>
        <w:snapToGrid w:val="false"/>
        <w:spacing w:lineRule="exact" w:line="300"/>
        <w:rPr>
          <w:rFonts w:ascii="Times New Roman" w:hAnsi="Times New Roman"/>
          <w:kern w:val="0"/>
          <w:sz w:val="24"/>
        </w:rPr>
      </w:pPr>
      <w:r>
        <w:rPr>
          <w:rFonts w:ascii="Times New Roman" w:hAnsi="Times New Roman"/>
          <w:kern w:val="0"/>
          <w:sz w:val="24"/>
        </w:rPr>
        <w:t>The role of talents is particularly critical in improving the level and quality of smart old-age care services. Talents are the core elements to promote industrial modernization. Only by accelerating the cultivation of new quality workers can we effectiv</w:t>
      </w:r>
      <w:r>
        <w:rPr>
          <w:rFonts w:ascii="Times New Roman" w:hAnsi="Times New Roman"/>
          <w:kern w:val="0"/>
          <w:sz w:val="24"/>
        </w:rPr>
        <w:t xml:space="preserve">ely promote the development and practice of new quality productivity. First, school-enterprise joint training of old-age talents. In colleges and vocational colleges, we should add professional disciplines related to </w:t>
      </w:r>
      <w:r>
        <w:rPr>
          <w:rFonts w:ascii="Times New Roman" w:hAnsi="Times New Roman"/>
          <w:kern w:val="0"/>
          <w:sz w:val="24"/>
        </w:rPr>
        <w:t xml:space="preserve">the </w:t>
      </w:r>
      <w:r>
        <w:rPr>
          <w:rFonts w:ascii="Times New Roman" w:hAnsi="Times New Roman"/>
          <w:kern w:val="0"/>
          <w:sz w:val="24"/>
        </w:rPr>
        <w:t>silver economy, optimize curriculum</w:t>
      </w:r>
      <w:r>
        <w:rPr>
          <w:rFonts w:ascii="Times New Roman" w:hAnsi="Times New Roman"/>
          <w:kern w:val="0"/>
          <w:sz w:val="24"/>
        </w:rPr>
        <w:t xml:space="preserve"> setting, pay attention to practical teaching, and cultivate professional talents to meet the needs of the development of new productivity. Second, cultivate high-tech talents. With the advent of the era of big data, artificial intelligence, and 5G, </w:t>
      </w:r>
      <w:r>
        <w:rPr>
          <w:rFonts w:ascii="Times New Roman" w:hAnsi="Times New Roman"/>
          <w:kern w:val="0"/>
          <w:sz w:val="24"/>
        </w:rPr>
        <w:t>combin</w:t>
      </w:r>
      <w:r>
        <w:rPr>
          <w:rFonts w:ascii="Times New Roman" w:hAnsi="Times New Roman"/>
          <w:kern w:val="0"/>
          <w:sz w:val="24"/>
        </w:rPr>
        <w:t>ed with the educational system of colleges and universities and the practical advantages of enterprises, we should make full use of the resources of colleges and universities, vocational schools, vocational training institutions, etc., cultivate applied ta</w:t>
      </w:r>
      <w:r>
        <w:rPr>
          <w:rFonts w:ascii="Times New Roman" w:hAnsi="Times New Roman"/>
          <w:kern w:val="0"/>
          <w:sz w:val="24"/>
        </w:rPr>
        <w:t>lents with professional knowledge and skills, and ensure the stable output of silver-haired economic pension talents. Third, carry out international exchanges and cooperation. Actively integrate with the frontier dynamics of related fields at home and abro</w:t>
      </w:r>
      <w:r>
        <w:rPr>
          <w:rFonts w:ascii="Times New Roman" w:hAnsi="Times New Roman"/>
          <w:kern w:val="0"/>
          <w:sz w:val="24"/>
        </w:rPr>
        <w:t>ad, with the help of various training institutions, carry out organized training and learning for business needs, promote the close integration of industry practitioners in the digital age with the knowledge system of the times and the real technology syst</w:t>
      </w:r>
      <w:r>
        <w:rPr>
          <w:rFonts w:ascii="Times New Roman" w:hAnsi="Times New Roman"/>
          <w:kern w:val="0"/>
          <w:sz w:val="24"/>
        </w:rPr>
        <w:t>em, and continuously improve the digital literacy of practitioners. Provide a good environment for the cultivation, development</w:t>
      </w:r>
      <w:r>
        <w:rPr>
          <w:rFonts w:ascii="Times New Roman" w:hAnsi="Times New Roman"/>
          <w:kern w:val="0"/>
          <w:sz w:val="24"/>
        </w:rPr>
        <w:t>,</w:t>
      </w:r>
      <w:r>
        <w:rPr>
          <w:rFonts w:ascii="Times New Roman" w:hAnsi="Times New Roman"/>
          <w:kern w:val="0"/>
          <w:sz w:val="24"/>
        </w:rPr>
        <w:t xml:space="preserve"> and practice of new productivity.</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Optimize the employment environment</w:t>
      </w:r>
      <w:r>
        <w:rPr>
          <w:rFonts w:ascii="Times New Roman" w:hAnsi="Times New Roman"/>
          <w:b/>
          <w:bCs/>
          <w:kern w:val="0"/>
          <w:sz w:val="24"/>
        </w:rPr>
        <w:t>.</w:t>
      </w:r>
    </w:p>
    <w:p>
      <w:pPr>
        <w:pStyle w:val="style0"/>
        <w:snapToGrid w:val="false"/>
        <w:spacing w:lineRule="exact" w:line="300"/>
        <w:rPr>
          <w:rFonts w:ascii="Times New Roman" w:hAnsi="Times New Roman"/>
          <w:kern w:val="0"/>
          <w:sz w:val="24"/>
        </w:rPr>
      </w:pPr>
      <w:r>
        <w:rPr>
          <w:rFonts w:ascii="Times New Roman" w:hAnsi="Times New Roman"/>
          <w:kern w:val="0"/>
          <w:sz w:val="24"/>
        </w:rPr>
        <w:t xml:space="preserve">Optimizing the employment environment, fully mobilizing </w:t>
      </w:r>
      <w:r>
        <w:rPr>
          <w:rFonts w:ascii="Times New Roman" w:hAnsi="Times New Roman"/>
          <w:kern w:val="0"/>
          <w:sz w:val="24"/>
        </w:rPr>
        <w:t>the subjective initiative of workers in the silver-haired economy, and introducing and training more professional talents are the key factors for the new productivity to empower the silver-haired economy. The first is to build a hierarchical and classified</w:t>
      </w:r>
      <w:r>
        <w:rPr>
          <w:rFonts w:ascii="Times New Roman" w:hAnsi="Times New Roman"/>
          <w:kern w:val="0"/>
          <w:sz w:val="24"/>
        </w:rPr>
        <w:t xml:space="preserve"> career promotion system to adapt to the production technology and mode of new quality productivity. Specifically, the implementation of a unified national pension caregiver vocational skills level identification, breaking regional differences, so that sim</w:t>
      </w:r>
      <w:r>
        <w:rPr>
          <w:rFonts w:ascii="Times New Roman" w:hAnsi="Times New Roman"/>
          <w:kern w:val="0"/>
          <w:sz w:val="24"/>
        </w:rPr>
        <w:t>ple workers will also have more upward channels, by optimizing the vocational skills training system, to help them adapt to and actively participate in the high value-added industries of the silver economy, to realize the positive interaction between worke</w:t>
      </w:r>
      <w:r>
        <w:rPr>
          <w:rFonts w:ascii="Times New Roman" w:hAnsi="Times New Roman"/>
          <w:kern w:val="0"/>
          <w:sz w:val="24"/>
        </w:rPr>
        <w:t>rs and new quality productivity. Second, the introduction of more scientific and technological innovation professionals to enhance the overall quality of the original workers. Specifically, we should give full play to the advantages of talent training in u</w:t>
      </w:r>
      <w:r>
        <w:rPr>
          <w:rFonts w:ascii="Times New Roman" w:hAnsi="Times New Roman"/>
          <w:kern w:val="0"/>
          <w:sz w:val="24"/>
        </w:rPr>
        <w:t>niversities and research institutes, establish an innovative platform for the combination of production, education</w:t>
      </w:r>
      <w:r>
        <w:rPr>
          <w:rFonts w:ascii="Times New Roman" w:hAnsi="Times New Roman"/>
          <w:kern w:val="0"/>
          <w:sz w:val="24"/>
        </w:rPr>
        <w:t>,</w:t>
      </w:r>
      <w:r>
        <w:rPr>
          <w:rFonts w:ascii="Times New Roman" w:hAnsi="Times New Roman"/>
          <w:kern w:val="0"/>
          <w:sz w:val="24"/>
        </w:rPr>
        <w:t xml:space="preserve"> and research, introduce more talents with emerging science and technology to join the silver-haired economy and promote cross-border coopera</w:t>
      </w:r>
      <w:r>
        <w:rPr>
          <w:rFonts w:ascii="Times New Roman" w:hAnsi="Times New Roman"/>
          <w:kern w:val="0"/>
          <w:sz w:val="24"/>
        </w:rPr>
        <w:t>tion and resource sharing.</w:t>
      </w:r>
    </w:p>
    <w:p>
      <w:pPr>
        <w:pStyle w:val="style0"/>
        <w:numPr>
          <w:ilvl w:val="1"/>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Vigorously develop scientific and technological innovation</w:t>
      </w:r>
      <w:r>
        <w:rPr>
          <w:rFonts w:ascii="Times New Roman" w:hAnsi="Times New Roman"/>
          <w:b/>
          <w:bCs/>
          <w:kern w:val="0"/>
          <w:sz w:val="24"/>
        </w:rPr>
        <w:t>.</w:t>
      </w:r>
    </w:p>
    <w:p>
      <w:pPr>
        <w:pStyle w:val="style0"/>
        <w:snapToGrid w:val="false"/>
        <w:spacing w:lineRule="exact" w:line="300"/>
        <w:rPr>
          <w:rFonts w:ascii="Times New Roman" w:hAnsi="Times New Roman"/>
          <w:kern w:val="0"/>
          <w:sz w:val="24"/>
        </w:rPr>
      </w:pPr>
      <w:r>
        <w:rPr>
          <w:rFonts w:ascii="Times New Roman" w:hAnsi="Times New Roman"/>
          <w:kern w:val="0"/>
          <w:sz w:val="24"/>
        </w:rPr>
        <w:t>Scientific and technological innovation is the core driving force for the new productivity of old-age care services, but the problem of technical " neck sticking " in th</w:t>
      </w:r>
      <w:r>
        <w:rPr>
          <w:rFonts w:ascii="Times New Roman" w:hAnsi="Times New Roman"/>
          <w:kern w:val="0"/>
          <w:sz w:val="24"/>
        </w:rPr>
        <w:t xml:space="preserve">e field of old-age care still exists. The lack of independent innovation of old-age care products and the weak core competitiveness limit the transformation and upgrading of old-age care services. It is necessary to comprehensively promote the digital and </w:t>
      </w:r>
      <w:r>
        <w:rPr>
          <w:rFonts w:ascii="Times New Roman" w:hAnsi="Times New Roman"/>
          <w:kern w:val="0"/>
          <w:sz w:val="24"/>
        </w:rPr>
        <w:t>intelligent construction of pension services, and provide scientific and technological support for the formation of new quality productivity of pension services in China. It is necessary to popularize modern artificial intelligence services for the elderly</w:t>
      </w:r>
      <w:r>
        <w:rPr>
          <w:rFonts w:ascii="Times New Roman" w:hAnsi="Times New Roman"/>
          <w:kern w:val="0"/>
          <w:sz w:val="24"/>
        </w:rPr>
        <w:t xml:space="preserve"> and help the elderly integrate into digital life. It is necessary to popularize the common sense of digital pension services to the elderly through video, publicity, lectures</w:t>
      </w:r>
      <w:r>
        <w:rPr>
          <w:rFonts w:ascii="Times New Roman" w:hAnsi="Times New Roman"/>
          <w:kern w:val="0"/>
          <w:sz w:val="24"/>
        </w:rPr>
        <w:t>,</w:t>
      </w:r>
      <w:r>
        <w:rPr>
          <w:rFonts w:ascii="Times New Roman" w:hAnsi="Times New Roman"/>
          <w:kern w:val="0"/>
          <w:sz w:val="24"/>
        </w:rPr>
        <w:t xml:space="preserve"> and other forms, and guide the elderly to use digital pension service products.</w:t>
      </w:r>
      <w:r>
        <w:rPr>
          <w:rFonts w:ascii="Times New Roman" w:hAnsi="Times New Roman"/>
          <w:kern w:val="0"/>
          <w:sz w:val="24"/>
        </w:rPr>
        <w:t xml:space="preserve"> At the same time, in the life scene to set up ' old mode ', such as mobile phone app</w:t>
      </w:r>
      <w:r>
        <w:rPr>
          <w:rFonts w:ascii="Times New Roman" w:hAnsi="Times New Roman"/>
          <w:kern w:val="0"/>
          <w:sz w:val="24"/>
        </w:rPr>
        <w:t>s</w:t>
      </w:r>
      <w:r>
        <w:rPr>
          <w:rFonts w:ascii="Times New Roman" w:hAnsi="Times New Roman"/>
          <w:kern w:val="0"/>
          <w:sz w:val="24"/>
        </w:rPr>
        <w:t xml:space="preserve">, supermarket payment services, and subway ride services, inventions to adapt to the characteristics of the elderly digital products, promote the development of </w:t>
      </w:r>
      <w:r>
        <w:rPr>
          <w:rFonts w:ascii="Times New Roman" w:hAnsi="Times New Roman"/>
          <w:kern w:val="0"/>
          <w:sz w:val="24"/>
        </w:rPr>
        <w:t xml:space="preserve">the </w:t>
      </w:r>
      <w:r>
        <w:rPr>
          <w:rFonts w:ascii="Times New Roman" w:hAnsi="Times New Roman"/>
          <w:kern w:val="0"/>
          <w:sz w:val="24"/>
        </w:rPr>
        <w:t>silve</w:t>
      </w:r>
      <w:r>
        <w:rPr>
          <w:rFonts w:ascii="Times New Roman" w:hAnsi="Times New Roman"/>
          <w:kern w:val="0"/>
          <w:sz w:val="24"/>
        </w:rPr>
        <w:t>r economy.</w:t>
      </w:r>
    </w:p>
    <w:p>
      <w:pPr>
        <w:pStyle w:val="style0"/>
        <w:snapToGrid w:val="false"/>
        <w:spacing w:lineRule="exact" w:line="300"/>
        <w:rPr>
          <w:rFonts w:ascii="Times New Roman" w:hAnsi="Times New Roman"/>
          <w:b/>
          <w:bCs/>
          <w:kern w:val="0"/>
          <w:sz w:val="24"/>
        </w:rPr>
      </w:pPr>
      <w:r>
        <w:rPr>
          <w:rFonts w:ascii="Times New Roman" w:hAnsi="Times New Roman" w:hint="eastAsia"/>
          <w:b/>
          <w:bCs/>
          <w:kern w:val="0"/>
          <w:sz w:val="24"/>
        </w:rPr>
        <w:t>5.</w:t>
      </w:r>
      <w:r>
        <w:rPr>
          <w:rFonts w:ascii="Times New Roman" w:hAnsi="Times New Roman" w:hint="eastAsia"/>
          <w:b/>
          <w:bCs/>
          <w:kern w:val="0"/>
          <w:sz w:val="24"/>
        </w:rPr>
        <w:t>4.Policy</w:t>
      </w:r>
      <w:r>
        <w:rPr>
          <w:rFonts w:ascii="Times New Roman" w:hAnsi="Times New Roman" w:hint="eastAsia"/>
          <w:b/>
          <w:bCs/>
          <w:kern w:val="0"/>
          <w:sz w:val="24"/>
        </w:rPr>
        <w:t xml:space="preserve"> support</w:t>
      </w:r>
    </w:p>
    <w:p>
      <w:pPr>
        <w:pStyle w:val="style0"/>
        <w:snapToGrid w:val="false"/>
        <w:spacing w:lineRule="exact" w:line="300"/>
        <w:rPr>
          <w:rFonts w:ascii="Times New Roman" w:hAnsi="Times New Roman"/>
          <w:kern w:val="0"/>
          <w:sz w:val="24"/>
        </w:rPr>
      </w:pPr>
      <w:r>
        <w:rPr>
          <w:rFonts w:ascii="Times New Roman" w:hAnsi="Times New Roman"/>
          <w:kern w:val="0"/>
          <w:sz w:val="24"/>
        </w:rPr>
        <w:t>The development of new productivity requires policy focus, the establishment of a social system that is compatible with the level of productivity development, and the provision of a solid guarantee for the innovation and coord</w:t>
      </w:r>
      <w:r>
        <w:rPr>
          <w:rFonts w:ascii="Times New Roman" w:hAnsi="Times New Roman"/>
          <w:kern w:val="0"/>
          <w:sz w:val="24"/>
        </w:rPr>
        <w:t>ination of silver-haired economic policy tools. The first is to formulate a special plan for science and technology pension. Incorporate the research and development of old-age care technology into national and local science and technology development plan</w:t>
      </w:r>
      <w:r>
        <w:rPr>
          <w:rFonts w:ascii="Times New Roman" w:hAnsi="Times New Roman"/>
          <w:kern w:val="0"/>
          <w:sz w:val="24"/>
        </w:rPr>
        <w:t xml:space="preserve">s, and clarify phased goals and key tasks. If it is set in the next five years, the rate of independent innovation of key technologies </w:t>
      </w:r>
      <w:r>
        <w:rPr>
          <w:rFonts w:ascii="Times New Roman" w:hAnsi="Times New Roman"/>
          <w:kern w:val="0"/>
          <w:sz w:val="24"/>
        </w:rPr>
        <w:t>( such</w:t>
      </w:r>
      <w:r>
        <w:rPr>
          <w:rFonts w:ascii="Times New Roman" w:hAnsi="Times New Roman"/>
          <w:kern w:val="0"/>
          <w:sz w:val="24"/>
        </w:rPr>
        <w:t xml:space="preserve"> as intelligent monitoring, </w:t>
      </w:r>
      <w:r>
        <w:rPr>
          <w:rFonts w:ascii="Times New Roman" w:hAnsi="Times New Roman"/>
          <w:kern w:val="0"/>
          <w:sz w:val="24"/>
        </w:rPr>
        <w:t xml:space="preserve">and </w:t>
      </w:r>
      <w:r>
        <w:rPr>
          <w:rFonts w:ascii="Times New Roman" w:hAnsi="Times New Roman"/>
          <w:kern w:val="0"/>
          <w:sz w:val="24"/>
        </w:rPr>
        <w:t xml:space="preserve">rehabilitation assistance technology ) in the field of pension services will reach </w:t>
      </w:r>
      <w:r>
        <w:rPr>
          <w:rFonts w:ascii="Times New Roman" w:hAnsi="Times New Roman"/>
          <w:kern w:val="0"/>
          <w:sz w:val="24"/>
        </w:rPr>
        <w:t>a certain proportion. The second is to establish a unified industry standard for the silver economy and strengthen the innovation and coordination of policy tools. The multi-level policy incentive mechanism established around the new quality productivity p</w:t>
      </w:r>
      <w:r>
        <w:rPr>
          <w:rFonts w:ascii="Times New Roman" w:hAnsi="Times New Roman"/>
          <w:kern w:val="0"/>
          <w:sz w:val="24"/>
        </w:rPr>
        <w:t>rovides priority approval and financial support to enterprises or institutions undertaking innovative projects of silver economic standards and promotes technological breakthroughs in smart pension products and services. Strengthen the safety supervision o</w:t>
      </w:r>
      <w:r>
        <w:rPr>
          <w:rFonts w:ascii="Times New Roman" w:hAnsi="Times New Roman"/>
          <w:kern w:val="0"/>
          <w:sz w:val="24"/>
        </w:rPr>
        <w:t xml:space="preserve">f pension technology products and services, </w:t>
      </w:r>
      <w:r>
        <w:rPr>
          <w:rFonts w:ascii="Times New Roman" w:hAnsi="Times New Roman"/>
          <w:kern w:val="0"/>
          <w:sz w:val="24"/>
        </w:rPr>
        <w:t xml:space="preserve">and </w:t>
      </w:r>
      <w:r>
        <w:rPr>
          <w:rFonts w:ascii="Times New Roman" w:hAnsi="Times New Roman"/>
          <w:kern w:val="0"/>
          <w:sz w:val="24"/>
        </w:rPr>
        <w:t>establish a safety assessment and risk monitoring mechanism to ensure the information security and use safety of the elderly. Strict data protection system</w:t>
      </w:r>
      <w:r>
        <w:rPr>
          <w:rFonts w:ascii="Times New Roman" w:hAnsi="Times New Roman"/>
          <w:kern w:val="0"/>
          <w:sz w:val="24"/>
        </w:rPr>
        <w:t>s</w:t>
      </w:r>
      <w:r>
        <w:rPr>
          <w:rFonts w:ascii="Times New Roman" w:hAnsi="Times New Roman"/>
          <w:kern w:val="0"/>
          <w:sz w:val="24"/>
        </w:rPr>
        <w:t xml:space="preserve"> should be implemented for enterprises and instituti</w:t>
      </w:r>
      <w:r>
        <w:rPr>
          <w:rFonts w:ascii="Times New Roman" w:hAnsi="Times New Roman"/>
          <w:kern w:val="0"/>
          <w:sz w:val="24"/>
        </w:rPr>
        <w:t>ons involved in the personal information of the elderly.</w:t>
      </w:r>
    </w:p>
    <w:commentRangeStart w:id="4"/>
    <w:p>
      <w:pPr>
        <w:pStyle w:val="style0"/>
        <w:numPr>
          <w:ilvl w:val="0"/>
          <w:numId w:val="1"/>
        </w:numPr>
        <w:snapToGrid w:val="false"/>
        <w:spacing w:lineRule="exact" w:line="300"/>
        <w:rPr>
          <w:rFonts w:ascii="Times New Roman" w:hAnsi="Times New Roman"/>
          <w:b/>
          <w:bCs/>
          <w:kern w:val="0"/>
          <w:sz w:val="24"/>
        </w:rPr>
      </w:pPr>
      <w:r>
        <w:rPr>
          <w:rFonts w:ascii="Times New Roman" w:hAnsi="Times New Roman" w:hint="eastAsia"/>
          <w:b/>
          <w:bCs/>
          <w:kern w:val="0"/>
          <w:sz w:val="24"/>
        </w:rPr>
        <w:t>References</w:t>
      </w:r>
      <w:commentRangeEnd w:id="4"/>
      <w:r>
        <w:rPr/>
        <w:commentReference w:id="4"/>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lang w:val="es-US"/>
        </w:rPr>
        <w:t>Ikuta</w:t>
      </w:r>
      <w:r>
        <w:rPr>
          <w:rFonts w:ascii="Times New Roman" w:hAnsi="Times New Roman"/>
          <w:kern w:val="0"/>
          <w:sz w:val="20"/>
          <w:szCs w:val="20"/>
          <w:lang w:val="es-US"/>
        </w:rPr>
        <w:t xml:space="preserve">, K., Ogata, T., </w:t>
      </w:r>
      <w:r>
        <w:rPr>
          <w:rFonts w:ascii="Times New Roman" w:hAnsi="Times New Roman"/>
          <w:kern w:val="0"/>
          <w:sz w:val="20"/>
          <w:szCs w:val="20"/>
          <w:lang w:val="es-US"/>
        </w:rPr>
        <w:t>Tsubio</w:t>
      </w:r>
      <w:r>
        <w:rPr>
          <w:rFonts w:ascii="Times New Roman" w:hAnsi="Times New Roman"/>
          <w:kern w:val="0"/>
          <w:sz w:val="20"/>
          <w:szCs w:val="20"/>
          <w:lang w:val="es-US"/>
        </w:rPr>
        <w:t xml:space="preserve">, M., &amp; </w:t>
      </w:r>
      <w:r>
        <w:rPr>
          <w:rFonts w:ascii="Times New Roman" w:hAnsi="Times New Roman"/>
          <w:kern w:val="0"/>
          <w:sz w:val="20"/>
          <w:szCs w:val="20"/>
          <w:lang w:val="es-US"/>
        </w:rPr>
        <w:t>Kojima</w:t>
      </w:r>
      <w:r>
        <w:rPr>
          <w:rFonts w:ascii="Times New Roman" w:hAnsi="Times New Roman"/>
          <w:kern w:val="0"/>
          <w:sz w:val="20"/>
          <w:szCs w:val="20"/>
          <w:lang w:val="es-US"/>
        </w:rPr>
        <w:t xml:space="preserve">, S. (1996, </w:t>
      </w:r>
      <w:r>
        <w:rPr>
          <w:rFonts w:ascii="Times New Roman" w:hAnsi="Times New Roman"/>
          <w:kern w:val="0"/>
          <w:sz w:val="20"/>
          <w:szCs w:val="20"/>
          <w:lang w:val="es-US"/>
        </w:rPr>
        <w:t>February</w:t>
      </w:r>
      <w:r>
        <w:rPr>
          <w:rFonts w:ascii="Times New Roman" w:hAnsi="Times New Roman"/>
          <w:kern w:val="0"/>
          <w:sz w:val="20"/>
          <w:szCs w:val="20"/>
          <w:lang w:val="es-US"/>
        </w:rPr>
        <w:t xml:space="preserve">). </w:t>
      </w:r>
      <w:r>
        <w:rPr>
          <w:rFonts w:ascii="Times New Roman" w:hAnsi="Times New Roman"/>
          <w:kern w:val="0"/>
          <w:sz w:val="20"/>
          <w:szCs w:val="20"/>
        </w:rPr>
        <w:t xml:space="preserve">Development of mass productive micro stereo lithography (Mass-IH Process). In Proceedings of ninth international workshop </w:t>
      </w:r>
      <w:r>
        <w:rPr>
          <w:rFonts w:ascii="Times New Roman" w:hAnsi="Times New Roman"/>
          <w:kern w:val="0"/>
          <w:sz w:val="20"/>
          <w:szCs w:val="20"/>
        </w:rPr>
        <w:t>on micro electromechanical systems (pp. 301-306). IEEE.</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 xml:space="preserve">Drucker, P. F. (2018). The new productivity </w:t>
      </w:r>
      <w:r>
        <w:rPr>
          <w:rFonts w:ascii="Times New Roman" w:hAnsi="Times New Roman"/>
          <w:kern w:val="0"/>
          <w:sz w:val="20"/>
          <w:szCs w:val="20"/>
        </w:rPr>
        <w:t>challenge</w:t>
      </w:r>
      <w:r>
        <w:rPr>
          <w:rFonts w:ascii="Times New Roman" w:hAnsi="Times New Roman"/>
          <w:kern w:val="0"/>
          <w:sz w:val="20"/>
          <w:szCs w:val="20"/>
        </w:rPr>
        <w:t>. In Quality in Higher Education (pp. 37-46). Routledge.</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Sklair</w:t>
      </w:r>
      <w:r>
        <w:rPr>
          <w:rFonts w:ascii="Times New Roman" w:hAnsi="Times New Roman"/>
          <w:kern w:val="0"/>
          <w:sz w:val="20"/>
          <w:szCs w:val="20"/>
        </w:rPr>
        <w:t>, L. (1979). Relations of production, productive forces and the mass line in the for</w:t>
      </w:r>
      <w:r>
        <w:rPr>
          <w:rFonts w:ascii="Times New Roman" w:hAnsi="Times New Roman"/>
          <w:kern w:val="0"/>
          <w:sz w:val="20"/>
          <w:szCs w:val="20"/>
        </w:rPr>
        <w:t>mation of the rural people's communes in China. The Journal of Peasant Studies, 6(3), 311-341.</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lang w:val="es-US"/>
        </w:rPr>
        <w:t>Firmino</w:t>
      </w:r>
      <w:r>
        <w:rPr>
          <w:rFonts w:ascii="Times New Roman" w:hAnsi="Times New Roman"/>
          <w:kern w:val="0"/>
          <w:sz w:val="20"/>
          <w:szCs w:val="20"/>
          <w:lang w:val="es-US"/>
        </w:rPr>
        <w:t xml:space="preserve">, P. C., </w:t>
      </w:r>
      <w:r>
        <w:rPr>
          <w:rFonts w:ascii="Times New Roman" w:hAnsi="Times New Roman"/>
          <w:kern w:val="0"/>
          <w:sz w:val="20"/>
          <w:szCs w:val="20"/>
          <w:lang w:val="es-US"/>
        </w:rPr>
        <w:t>Vianna</w:t>
      </w:r>
      <w:r>
        <w:rPr>
          <w:rFonts w:ascii="Times New Roman" w:hAnsi="Times New Roman"/>
          <w:kern w:val="0"/>
          <w:sz w:val="20"/>
          <w:szCs w:val="20"/>
          <w:lang w:val="es-US"/>
        </w:rPr>
        <w:t xml:space="preserve">, S. S., da Costa, O. M., </w:t>
      </w:r>
      <w:r>
        <w:rPr>
          <w:rFonts w:ascii="Times New Roman" w:hAnsi="Times New Roman"/>
          <w:kern w:val="0"/>
          <w:sz w:val="20"/>
          <w:szCs w:val="20"/>
          <w:lang w:val="es-US"/>
        </w:rPr>
        <w:t>Malfatti-Gasperini</w:t>
      </w:r>
      <w:r>
        <w:rPr>
          <w:rFonts w:ascii="Times New Roman" w:hAnsi="Times New Roman"/>
          <w:kern w:val="0"/>
          <w:sz w:val="20"/>
          <w:szCs w:val="20"/>
          <w:lang w:val="es-US"/>
        </w:rPr>
        <w:t xml:space="preserve">, A. A., </w:t>
      </w:r>
      <w:r>
        <w:rPr>
          <w:rFonts w:ascii="Times New Roman" w:hAnsi="Times New Roman"/>
          <w:kern w:val="0"/>
          <w:sz w:val="20"/>
          <w:szCs w:val="20"/>
          <w:lang w:val="es-US"/>
        </w:rPr>
        <w:t>Gobbi</w:t>
      </w:r>
      <w:r>
        <w:rPr>
          <w:rFonts w:ascii="Times New Roman" w:hAnsi="Times New Roman"/>
          <w:kern w:val="0"/>
          <w:sz w:val="20"/>
          <w:szCs w:val="20"/>
          <w:lang w:val="es-US"/>
        </w:rPr>
        <w:t xml:space="preserve">, A. L., Lima, R. S., &amp; de la Torre, L. G. (2021). </w:t>
      </w:r>
      <w:r>
        <w:rPr>
          <w:rFonts w:ascii="Times New Roman" w:hAnsi="Times New Roman"/>
          <w:kern w:val="0"/>
          <w:sz w:val="20"/>
          <w:szCs w:val="20"/>
        </w:rPr>
        <w:t>3D micromixer for nanoliposome</w:t>
      </w:r>
      <w:r>
        <w:rPr>
          <w:rFonts w:ascii="Times New Roman" w:hAnsi="Times New Roman"/>
          <w:kern w:val="0"/>
          <w:sz w:val="20"/>
          <w:szCs w:val="20"/>
        </w:rPr>
        <w:t xml:space="preserve"> synthesis: A promising advance in high mass productivity. Lab on a Chip, 21(15), 2971-2985.</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Conway Lenihan, A., &amp; McGuirk, H. (2022). Small enterprises and the silver economy. Small Enterprise Research, 29(1), 1-5.</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Goodman, R. (2010). Silver‐haired societ</w:t>
      </w:r>
      <w:r>
        <w:rPr>
          <w:rFonts w:ascii="Times New Roman" w:hAnsi="Times New Roman"/>
          <w:kern w:val="0"/>
          <w:sz w:val="20"/>
          <w:szCs w:val="20"/>
        </w:rPr>
        <w:t xml:space="preserve">y: What are the </w:t>
      </w:r>
      <w:r>
        <w:rPr>
          <w:rFonts w:ascii="Times New Roman" w:hAnsi="Times New Roman"/>
          <w:kern w:val="0"/>
          <w:sz w:val="20"/>
          <w:szCs w:val="20"/>
        </w:rPr>
        <w:t>implications?.</w:t>
      </w:r>
      <w:r>
        <w:rPr>
          <w:rFonts w:ascii="Times New Roman" w:hAnsi="Times New Roman"/>
          <w:kern w:val="0"/>
          <w:sz w:val="20"/>
          <w:szCs w:val="20"/>
        </w:rPr>
        <w:t xml:space="preserve"> Social Anthropology/Anthropologie </w:t>
      </w:r>
      <w:r>
        <w:rPr>
          <w:rFonts w:ascii="Times New Roman" w:hAnsi="Times New Roman"/>
          <w:kern w:val="0"/>
          <w:sz w:val="20"/>
          <w:szCs w:val="20"/>
        </w:rPr>
        <w:t>sociale</w:t>
      </w:r>
      <w:r>
        <w:rPr>
          <w:rFonts w:ascii="Times New Roman" w:hAnsi="Times New Roman"/>
          <w:kern w:val="0"/>
          <w:sz w:val="20"/>
          <w:szCs w:val="20"/>
        </w:rPr>
        <w:t>, 18(2), 210-212.</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Huang, J. W., &amp; Liao, Y. M. (2024). Application of problem-based learning in marketing studies combined with silver-haired business opportunities. Thinking Skills and</w:t>
      </w:r>
      <w:r>
        <w:rPr>
          <w:rFonts w:ascii="Times New Roman" w:hAnsi="Times New Roman"/>
          <w:kern w:val="0"/>
          <w:sz w:val="20"/>
          <w:szCs w:val="20"/>
        </w:rPr>
        <w:t xml:space="preserve"> Creativity, 53, 101571.</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Moss, S. H. Recovery Strategy for the Silver Hair Moss (</w:t>
      </w:r>
      <w:r>
        <w:rPr>
          <w:rFonts w:ascii="Times New Roman" w:hAnsi="Times New Roman"/>
          <w:kern w:val="0"/>
          <w:sz w:val="20"/>
          <w:szCs w:val="20"/>
        </w:rPr>
        <w:t>Fabronia</w:t>
      </w:r>
      <w:r>
        <w:rPr>
          <w:rFonts w:ascii="Times New Roman" w:hAnsi="Times New Roman"/>
          <w:kern w:val="0"/>
          <w:sz w:val="20"/>
          <w:szCs w:val="20"/>
        </w:rPr>
        <w:t xml:space="preserve"> </w:t>
      </w:r>
      <w:r>
        <w:rPr>
          <w:rFonts w:ascii="Times New Roman" w:hAnsi="Times New Roman"/>
          <w:kern w:val="0"/>
          <w:sz w:val="20"/>
          <w:szCs w:val="20"/>
        </w:rPr>
        <w:t>pusilla</w:t>
      </w:r>
      <w:r>
        <w:rPr>
          <w:rFonts w:ascii="Times New Roman" w:hAnsi="Times New Roman"/>
          <w:kern w:val="0"/>
          <w:sz w:val="20"/>
          <w:szCs w:val="20"/>
        </w:rPr>
        <w:t>) in Canada.</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Zhang, M., Chen, C., Zhou, X., Wang, X., Wang, B., Huan, F., &amp; Liu, J. (2024). The impact of accelerating population aging on service industry development: Evidence from China. </w:t>
      </w:r>
      <w:r>
        <w:rPr>
          <w:rFonts w:ascii="Times New Roman" w:hAnsi="Times New Roman"/>
          <w:i/>
          <w:iCs/>
          <w:kern w:val="0"/>
          <w:sz w:val="20"/>
          <w:szCs w:val="20"/>
        </w:rPr>
        <w:t>PloS</w:t>
      </w:r>
      <w:r>
        <w:rPr>
          <w:rFonts w:ascii="Times New Roman" w:hAnsi="Times New Roman"/>
          <w:i/>
          <w:iCs/>
          <w:kern w:val="0"/>
          <w:sz w:val="20"/>
          <w:szCs w:val="20"/>
        </w:rPr>
        <w:t xml:space="preserve"> one</w:t>
      </w:r>
      <w:r>
        <w:rPr>
          <w:rFonts w:ascii="Times New Roman" w:hAnsi="Times New Roman"/>
          <w:kern w:val="0"/>
          <w:sz w:val="20"/>
          <w:szCs w:val="20"/>
        </w:rPr>
        <w:t>, </w:t>
      </w:r>
      <w:r>
        <w:rPr>
          <w:rFonts w:ascii="Times New Roman" w:hAnsi="Times New Roman"/>
          <w:i/>
          <w:iCs/>
          <w:kern w:val="0"/>
          <w:sz w:val="20"/>
          <w:szCs w:val="20"/>
        </w:rPr>
        <w:t>19</w:t>
      </w:r>
      <w:r>
        <w:rPr>
          <w:rFonts w:ascii="Times New Roman" w:hAnsi="Times New Roman"/>
          <w:kern w:val="0"/>
          <w:sz w:val="20"/>
          <w:szCs w:val="20"/>
        </w:rPr>
        <w:t>(6), e0296623.</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Ren, C., Zhou, X., Wang, C., Guo, Y., Diao, Y., Shen, S., ... &amp; Gu, B. (2023). Ageing threatens sustainability of smallholder farming in China. </w:t>
      </w:r>
      <w:r>
        <w:rPr>
          <w:rFonts w:ascii="Times New Roman" w:hAnsi="Times New Roman"/>
          <w:i/>
          <w:iCs/>
          <w:kern w:val="0"/>
          <w:sz w:val="20"/>
          <w:szCs w:val="20"/>
        </w:rPr>
        <w:t>Nature</w:t>
      </w:r>
      <w:r>
        <w:rPr>
          <w:rFonts w:ascii="Times New Roman" w:hAnsi="Times New Roman"/>
          <w:kern w:val="0"/>
          <w:sz w:val="20"/>
          <w:szCs w:val="20"/>
        </w:rPr>
        <w:t>, </w:t>
      </w:r>
      <w:r>
        <w:rPr>
          <w:rFonts w:ascii="Times New Roman" w:hAnsi="Times New Roman"/>
          <w:i/>
          <w:iCs/>
          <w:kern w:val="0"/>
          <w:sz w:val="20"/>
          <w:szCs w:val="20"/>
        </w:rPr>
        <w:t>616</w:t>
      </w:r>
      <w:r>
        <w:rPr>
          <w:rFonts w:ascii="Times New Roman" w:hAnsi="Times New Roman"/>
          <w:kern w:val="0"/>
          <w:sz w:val="20"/>
          <w:szCs w:val="20"/>
        </w:rPr>
        <w:t>(7955), 96-103.</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Qian, Y. (2017). </w:t>
      </w:r>
      <w:r>
        <w:rPr>
          <w:rFonts w:ascii="Times New Roman" w:hAnsi="Times New Roman"/>
          <w:i/>
          <w:iCs/>
          <w:kern w:val="0"/>
          <w:sz w:val="20"/>
          <w:szCs w:val="20"/>
        </w:rPr>
        <w:t>How reform worked in China: The transition from plan to market</w:t>
      </w:r>
      <w:r>
        <w:rPr>
          <w:rFonts w:ascii="Times New Roman" w:hAnsi="Times New Roman"/>
          <w:kern w:val="0"/>
          <w:sz w:val="20"/>
          <w:szCs w:val="20"/>
        </w:rPr>
        <w:t>. MIT Press.</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Yang, H., &amp; Zhao, D. (2018). Performance legitimacy, state autonomy and China's economic miracle. In </w:t>
      </w:r>
      <w:r>
        <w:rPr>
          <w:rFonts w:ascii="Times New Roman" w:hAnsi="Times New Roman"/>
          <w:i/>
          <w:iCs/>
          <w:kern w:val="0"/>
          <w:sz w:val="20"/>
          <w:szCs w:val="20"/>
        </w:rPr>
        <w:t>Debating regime legitimacy in contemporary China</w:t>
      </w:r>
      <w:r>
        <w:rPr>
          <w:rFonts w:ascii="Times New Roman" w:hAnsi="Times New Roman"/>
          <w:kern w:val="0"/>
          <w:sz w:val="20"/>
          <w:szCs w:val="20"/>
        </w:rPr>
        <w:t> (pp. 174-192). Routledge.</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Wang, Y., Zhao, W., &amp; Meng, W. (2022). Bilateral effect of aging population on consumption structure: Evidence from China. </w:t>
      </w:r>
      <w:r>
        <w:rPr>
          <w:rFonts w:ascii="Times New Roman" w:hAnsi="Times New Roman"/>
          <w:i/>
          <w:iCs/>
          <w:kern w:val="0"/>
          <w:sz w:val="20"/>
          <w:szCs w:val="20"/>
        </w:rPr>
        <w:t>Frontiers in Public Health</w:t>
      </w:r>
      <w:r>
        <w:rPr>
          <w:rFonts w:ascii="Times New Roman" w:hAnsi="Times New Roman"/>
          <w:kern w:val="0"/>
          <w:sz w:val="20"/>
          <w:szCs w:val="20"/>
        </w:rPr>
        <w:t>, </w:t>
      </w:r>
      <w:r>
        <w:rPr>
          <w:rFonts w:ascii="Times New Roman" w:hAnsi="Times New Roman"/>
          <w:i/>
          <w:iCs/>
          <w:kern w:val="0"/>
          <w:sz w:val="20"/>
          <w:szCs w:val="20"/>
        </w:rPr>
        <w:t>10</w:t>
      </w:r>
      <w:r>
        <w:rPr>
          <w:rFonts w:ascii="Times New Roman" w:hAnsi="Times New Roman"/>
          <w:kern w:val="0"/>
          <w:sz w:val="20"/>
          <w:szCs w:val="20"/>
        </w:rPr>
        <w:t>, 941485.</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lang w:val="es-US"/>
        </w:rPr>
        <w:t>Akimov</w:t>
      </w:r>
      <w:r>
        <w:rPr>
          <w:rFonts w:ascii="Times New Roman" w:hAnsi="Times New Roman"/>
          <w:kern w:val="0"/>
          <w:sz w:val="20"/>
          <w:szCs w:val="20"/>
          <w:lang w:val="es-US"/>
        </w:rPr>
        <w:t xml:space="preserve">, A. V., </w:t>
      </w:r>
      <w:r>
        <w:rPr>
          <w:rFonts w:ascii="Times New Roman" w:hAnsi="Times New Roman"/>
          <w:kern w:val="0"/>
          <w:sz w:val="20"/>
          <w:szCs w:val="20"/>
          <w:lang w:val="es-US"/>
        </w:rPr>
        <w:t>Gemueva</w:t>
      </w:r>
      <w:r>
        <w:rPr>
          <w:rFonts w:ascii="Times New Roman" w:hAnsi="Times New Roman"/>
          <w:kern w:val="0"/>
          <w:sz w:val="20"/>
          <w:szCs w:val="20"/>
          <w:lang w:val="es-US"/>
        </w:rPr>
        <w:t xml:space="preserve">, K. A., &amp; </w:t>
      </w:r>
      <w:r>
        <w:rPr>
          <w:rFonts w:ascii="Times New Roman" w:hAnsi="Times New Roman"/>
          <w:kern w:val="0"/>
          <w:sz w:val="20"/>
          <w:szCs w:val="20"/>
          <w:lang w:val="es-US"/>
        </w:rPr>
        <w:t>Semenova</w:t>
      </w:r>
      <w:r>
        <w:rPr>
          <w:rFonts w:ascii="Times New Roman" w:hAnsi="Times New Roman"/>
          <w:kern w:val="0"/>
          <w:sz w:val="20"/>
          <w:szCs w:val="20"/>
          <w:lang w:val="es-US"/>
        </w:rPr>
        <w:t xml:space="preserve">, N. K. (2021). </w:t>
      </w:r>
      <w:r>
        <w:rPr>
          <w:rFonts w:ascii="Times New Roman" w:hAnsi="Times New Roman"/>
          <w:kern w:val="0"/>
          <w:sz w:val="20"/>
          <w:szCs w:val="20"/>
        </w:rPr>
        <w:t>The seventh population census in the PRC: results and prospects of the country’s demographic development. </w:t>
      </w:r>
      <w:r>
        <w:rPr>
          <w:rFonts w:ascii="Times New Roman" w:hAnsi="Times New Roman"/>
          <w:i/>
          <w:iCs/>
          <w:kern w:val="0"/>
          <w:sz w:val="20"/>
          <w:szCs w:val="20"/>
        </w:rPr>
        <w:t>Herald of the Russian Academy of Sciences</w:t>
      </w:r>
      <w:r>
        <w:rPr>
          <w:rFonts w:ascii="Times New Roman" w:hAnsi="Times New Roman"/>
          <w:kern w:val="0"/>
          <w:sz w:val="20"/>
          <w:szCs w:val="20"/>
        </w:rPr>
        <w:t>, </w:t>
      </w:r>
      <w:r>
        <w:rPr>
          <w:rFonts w:ascii="Times New Roman" w:hAnsi="Times New Roman"/>
          <w:i/>
          <w:iCs/>
          <w:kern w:val="0"/>
          <w:sz w:val="20"/>
          <w:szCs w:val="20"/>
        </w:rPr>
        <w:t>91</w:t>
      </w:r>
      <w:r>
        <w:rPr>
          <w:rFonts w:ascii="Times New Roman" w:hAnsi="Times New Roman"/>
          <w:kern w:val="0"/>
          <w:sz w:val="20"/>
          <w:szCs w:val="20"/>
        </w:rPr>
        <w:t>(6), 724-735.</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He, X., He, B., &amp; Li, C. (2022, December). Research on the Development Path and Countermeasures of the Silver Economy. In </w:t>
      </w:r>
      <w:r>
        <w:rPr>
          <w:rFonts w:ascii="Times New Roman" w:hAnsi="Times New Roman"/>
          <w:i/>
          <w:iCs/>
          <w:kern w:val="0"/>
          <w:sz w:val="20"/>
          <w:szCs w:val="20"/>
        </w:rPr>
        <w:t>2022 International Conference on Economics, Smart Finance and Contemporary Trade (ESFCT 2022)</w:t>
      </w:r>
      <w:r>
        <w:rPr>
          <w:rFonts w:ascii="Times New Roman" w:hAnsi="Times New Roman"/>
          <w:kern w:val="0"/>
          <w:sz w:val="20"/>
          <w:szCs w:val="20"/>
        </w:rPr>
        <w:t> (pp. 79-86). Atlantis Press.</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Chen, X. (2024). The Benefits of Re-employment Among the Elderly: Perspectives on the Silver Economy and Re-employment Willingness. </w:t>
      </w:r>
      <w:r>
        <w:rPr>
          <w:rFonts w:ascii="Times New Roman" w:hAnsi="Times New Roman"/>
          <w:i/>
          <w:iCs/>
          <w:kern w:val="0"/>
          <w:sz w:val="20"/>
          <w:szCs w:val="20"/>
        </w:rPr>
        <w:t>Advances in Economics and Management Research</w:t>
      </w:r>
      <w:r>
        <w:rPr>
          <w:rFonts w:ascii="Times New Roman" w:hAnsi="Times New Roman"/>
          <w:kern w:val="0"/>
          <w:sz w:val="20"/>
          <w:szCs w:val="20"/>
        </w:rPr>
        <w:t>, </w:t>
      </w:r>
      <w:r>
        <w:rPr>
          <w:rFonts w:ascii="Times New Roman" w:hAnsi="Times New Roman"/>
          <w:i/>
          <w:iCs/>
          <w:kern w:val="0"/>
          <w:sz w:val="20"/>
          <w:szCs w:val="20"/>
        </w:rPr>
        <w:t>12</w:t>
      </w:r>
      <w:r>
        <w:rPr>
          <w:rFonts w:ascii="Times New Roman" w:hAnsi="Times New Roman"/>
          <w:kern w:val="0"/>
          <w:sz w:val="20"/>
          <w:szCs w:val="20"/>
        </w:rPr>
        <w:t>(1), 874-874.</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Zhang, Y. (2017). Productivity in China: Past success and future challenges. </w:t>
      </w:r>
      <w:r>
        <w:rPr>
          <w:rFonts w:ascii="Times New Roman" w:hAnsi="Times New Roman"/>
          <w:i/>
          <w:iCs/>
          <w:kern w:val="0"/>
          <w:sz w:val="20"/>
          <w:szCs w:val="20"/>
        </w:rPr>
        <w:t>Asia-Pacific Development Journal</w:t>
      </w:r>
      <w:r>
        <w:rPr>
          <w:rFonts w:ascii="Times New Roman" w:hAnsi="Times New Roman"/>
          <w:kern w:val="0"/>
          <w:sz w:val="20"/>
          <w:szCs w:val="20"/>
        </w:rPr>
        <w:t>, </w:t>
      </w:r>
      <w:r>
        <w:rPr>
          <w:rFonts w:ascii="Times New Roman" w:hAnsi="Times New Roman"/>
          <w:i/>
          <w:iCs/>
          <w:kern w:val="0"/>
          <w:sz w:val="20"/>
          <w:szCs w:val="20"/>
        </w:rPr>
        <w:t>24</w:t>
      </w:r>
      <w:r>
        <w:rPr>
          <w:rFonts w:ascii="Times New Roman" w:hAnsi="Times New Roman"/>
          <w:kern w:val="0"/>
          <w:sz w:val="20"/>
          <w:szCs w:val="20"/>
        </w:rPr>
        <w:t>(1), 1-21.</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Huang, Y. (2020). Silver-Haired Working Women: Intergenerational Contract, Elderly Care and Gender in Lianhe. In </w:t>
      </w:r>
      <w:r>
        <w:rPr>
          <w:rFonts w:ascii="Times New Roman" w:hAnsi="Times New Roman"/>
          <w:i/>
          <w:iCs/>
          <w:kern w:val="0"/>
          <w:sz w:val="20"/>
          <w:szCs w:val="20"/>
        </w:rPr>
        <w:t xml:space="preserve">Transforming the Gendered </w:t>
      </w:r>
      <w:r>
        <w:rPr>
          <w:rFonts w:ascii="Times New Roman" w:hAnsi="Times New Roman"/>
          <w:i/>
          <w:iCs/>
          <w:kern w:val="0"/>
          <w:sz w:val="20"/>
          <w:szCs w:val="20"/>
        </w:rPr>
        <w:t>Organisation</w:t>
      </w:r>
      <w:r>
        <w:rPr>
          <w:rFonts w:ascii="Times New Roman" w:hAnsi="Times New Roman"/>
          <w:i/>
          <w:iCs/>
          <w:kern w:val="0"/>
          <w:sz w:val="20"/>
          <w:szCs w:val="20"/>
        </w:rPr>
        <w:t xml:space="preserve"> of </w:t>
      </w:r>
      <w:r>
        <w:rPr>
          <w:rFonts w:ascii="Times New Roman" w:hAnsi="Times New Roman"/>
          <w:i/>
          <w:iCs/>
          <w:kern w:val="0"/>
          <w:sz w:val="20"/>
          <w:szCs w:val="20"/>
        </w:rPr>
        <w:t>Labour</w:t>
      </w:r>
      <w:r>
        <w:rPr>
          <w:rFonts w:ascii="Times New Roman" w:hAnsi="Times New Roman"/>
          <w:i/>
          <w:iCs/>
          <w:kern w:val="0"/>
          <w:sz w:val="20"/>
          <w:szCs w:val="20"/>
        </w:rPr>
        <w:t xml:space="preserve"> and Leisure: Women, </w:t>
      </w:r>
      <w:r>
        <w:rPr>
          <w:rFonts w:ascii="Times New Roman" w:hAnsi="Times New Roman"/>
          <w:i/>
          <w:iCs/>
          <w:kern w:val="0"/>
          <w:sz w:val="20"/>
          <w:szCs w:val="20"/>
        </w:rPr>
        <w:t>Labour</w:t>
      </w:r>
      <w:r>
        <w:rPr>
          <w:rFonts w:ascii="Times New Roman" w:hAnsi="Times New Roman"/>
          <w:i/>
          <w:iCs/>
          <w:kern w:val="0"/>
          <w:sz w:val="20"/>
          <w:szCs w:val="20"/>
        </w:rPr>
        <w:t>, Leisure and Family in Lianhe Village, Central China, 1926–2013</w:t>
      </w:r>
      <w:r>
        <w:rPr>
          <w:rFonts w:ascii="Times New Roman" w:hAnsi="Times New Roman"/>
          <w:kern w:val="0"/>
          <w:sz w:val="20"/>
          <w:szCs w:val="20"/>
        </w:rPr>
        <w:t> (pp. 151-175). Singapore: Springer Singapore.</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Chen, C. C., Liao, C. C., Zhang, Z. L., Chen, S. Y., Liao, Q. L., &amp; Yang, Y. R. (2024, July). Researching the rural revitalization information service platform base on aging population-Guangdong's rural areas as an example. In </w:t>
      </w:r>
      <w:r>
        <w:rPr>
          <w:rFonts w:ascii="Times New Roman" w:hAnsi="Times New Roman"/>
          <w:i/>
          <w:iCs/>
          <w:kern w:val="0"/>
          <w:sz w:val="20"/>
          <w:szCs w:val="20"/>
        </w:rPr>
        <w:t>2024 International Conference on Consumer Electronics-Taiwan (ICCE-Taiwan)</w:t>
      </w:r>
      <w:r>
        <w:rPr>
          <w:rFonts w:ascii="Times New Roman" w:hAnsi="Times New Roman"/>
          <w:kern w:val="0"/>
          <w:sz w:val="20"/>
          <w:szCs w:val="20"/>
        </w:rPr>
        <w:t> (pp. 501-502). IEEE.</w:t>
      </w:r>
    </w:p>
    <w:p>
      <w:pPr>
        <w:pStyle w:val="style0"/>
        <w:numPr>
          <w:ilvl w:val="0"/>
          <w:numId w:val="2"/>
        </w:numPr>
        <w:snapToGrid w:val="false"/>
        <w:spacing w:lineRule="exact" w:line="300"/>
        <w:rPr>
          <w:rFonts w:ascii="Times New Roman" w:hAnsi="Times New Roman"/>
          <w:kern w:val="0"/>
          <w:sz w:val="20"/>
          <w:szCs w:val="20"/>
        </w:rPr>
      </w:pPr>
      <w:r>
        <w:rPr>
          <w:rFonts w:ascii="Times New Roman" w:hAnsi="Times New Roman"/>
          <w:kern w:val="0"/>
          <w:sz w:val="20"/>
          <w:szCs w:val="20"/>
        </w:rPr>
        <w:t xml:space="preserve">Huang, Y. (2020). Mother’s Daughter: Girls’ </w:t>
      </w:r>
      <w:r>
        <w:rPr>
          <w:rFonts w:ascii="Times New Roman" w:hAnsi="Times New Roman"/>
          <w:kern w:val="0"/>
          <w:sz w:val="20"/>
          <w:szCs w:val="20"/>
        </w:rPr>
        <w:t>Labour</w:t>
      </w:r>
      <w:r>
        <w:rPr>
          <w:rFonts w:ascii="Times New Roman" w:hAnsi="Times New Roman"/>
          <w:kern w:val="0"/>
          <w:sz w:val="20"/>
          <w:szCs w:val="20"/>
        </w:rPr>
        <w:t xml:space="preserve"> and Leisure in the Pre-collective Era (1926–1956). In </w:t>
      </w:r>
      <w:r>
        <w:rPr>
          <w:rFonts w:ascii="Times New Roman" w:hAnsi="Times New Roman"/>
          <w:i/>
          <w:iCs/>
          <w:kern w:val="0"/>
          <w:sz w:val="20"/>
          <w:szCs w:val="20"/>
        </w:rPr>
        <w:t xml:space="preserve">Transforming the Gendered </w:t>
      </w:r>
      <w:r>
        <w:rPr>
          <w:rFonts w:ascii="Times New Roman" w:hAnsi="Times New Roman"/>
          <w:i/>
          <w:iCs/>
          <w:kern w:val="0"/>
          <w:sz w:val="20"/>
          <w:szCs w:val="20"/>
        </w:rPr>
        <w:t>Organisation</w:t>
      </w:r>
      <w:r>
        <w:rPr>
          <w:rFonts w:ascii="Times New Roman" w:hAnsi="Times New Roman"/>
          <w:i/>
          <w:iCs/>
          <w:kern w:val="0"/>
          <w:sz w:val="20"/>
          <w:szCs w:val="20"/>
        </w:rPr>
        <w:t xml:space="preserve"> of </w:t>
      </w:r>
      <w:r>
        <w:rPr>
          <w:rFonts w:ascii="Times New Roman" w:hAnsi="Times New Roman"/>
          <w:i/>
          <w:iCs/>
          <w:kern w:val="0"/>
          <w:sz w:val="20"/>
          <w:szCs w:val="20"/>
        </w:rPr>
        <w:t>Labour</w:t>
      </w:r>
      <w:r>
        <w:rPr>
          <w:rFonts w:ascii="Times New Roman" w:hAnsi="Times New Roman"/>
          <w:i/>
          <w:iCs/>
          <w:kern w:val="0"/>
          <w:sz w:val="20"/>
          <w:szCs w:val="20"/>
        </w:rPr>
        <w:t xml:space="preserve"> and Leisure: Women, </w:t>
      </w:r>
      <w:r>
        <w:rPr>
          <w:rFonts w:ascii="Times New Roman" w:hAnsi="Times New Roman"/>
          <w:i/>
          <w:iCs/>
          <w:kern w:val="0"/>
          <w:sz w:val="20"/>
          <w:szCs w:val="20"/>
        </w:rPr>
        <w:t>Labour</w:t>
      </w:r>
      <w:r>
        <w:rPr>
          <w:rFonts w:ascii="Times New Roman" w:hAnsi="Times New Roman"/>
          <w:i/>
          <w:iCs/>
          <w:kern w:val="0"/>
          <w:sz w:val="20"/>
          <w:szCs w:val="20"/>
        </w:rPr>
        <w:t>, Leisure and Family in Lianhe Village, Central China, 1926–2013</w:t>
      </w:r>
      <w:r>
        <w:rPr>
          <w:rFonts w:ascii="Times New Roman" w:hAnsi="Times New Roman"/>
          <w:kern w:val="0"/>
          <w:sz w:val="20"/>
          <w:szCs w:val="20"/>
        </w:rPr>
        <w:t> (pp. 41-56). Singapore: Springer Singapore.</w:t>
      </w:r>
    </w:p>
    <w:p>
      <w:pPr>
        <w:pStyle w:val="style0"/>
        <w:snapToGrid w:val="false"/>
        <w:spacing w:lineRule="exact" w:line="300"/>
        <w:rPr>
          <w:rFonts w:ascii="Times New Roman" w:hAnsi="Times New Roman"/>
          <w:kern w:val="0"/>
          <w:sz w:val="24"/>
        </w:rPr>
      </w:pPr>
    </w:p>
    <w:sectPr>
      <w:headerReference w:type="even" r:id="rId4"/>
      <w:headerReference w:type="default" r:id="rId5"/>
      <w:footerReference w:type="even" r:id="rId6"/>
      <w:footerReference w:type="default" r:id="rId7"/>
      <w:headerReference w:type="first" r:id="rId8"/>
      <w:pgSz w:w="11906" w:h="16838" w:orient="portrait"/>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amu Abubakar Muham" w:date="2025-07-28T13:47:00Z" w:initials="Adamu Abu">
    <w:p w14:paraId="1">
      <w:r>
        <w:rPr/>
        <w:annotationRef/>
      </w:r>
      <w:r>
        <w:t>Please consider the components of a good academic abstract here. eg. Background, statement of problem, objectives, methodology, findings and recommendations.</w:t>
      </w:r>
    </w:p>
  </w:comment>
  <w:comment w:id="2" w:author="Adamu Abubakar Muham" w:date="2025-07-28T13:50:00Z" w:initials="Adamu Abu">
    <w:p w14:paraId="2">
      <w:r>
        <w:rPr/>
        <w:annotationRef/>
      </w:r>
      <w:r>
        <w:t>please are these subheadings all under Literature Review or Results and Findings?</w:t>
      </w:r>
    </w:p>
  </w:comment>
  <w:comment w:id="3" w:author="Adamu Abubakar Muham" w:date="2025-07-28T13:51:00Z" w:initials="Adamu Abu">
    <w:p w14:paraId="3">
      <w:r>
        <w:rPr/>
        <w:annotationRef/>
      </w:r>
      <w:r>
        <w:t>this is not your conclusion please. Try to comply with the journal template for proper arrangements of your headings and subheadings please.</w:t>
      </w:r>
    </w:p>
  </w:comment>
  <w:comment w:id="4" w:author="Adamu Abubakar Muham" w:date="2025-07-28T13:53:00Z" w:initials="Adamu Abu">
    <w:p w14:paraId="4">
      <w:r>
        <w:rPr/>
        <w:annotationRef/>
      </w:r>
      <w:r>
        <w:t>There is no single reference considered among 2025 researches on this issue why?</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1002AFF" w:usb1="4000ACFF"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宋体">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93.05pt;height:92.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93.05pt;height:92.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93.05pt;height:92.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277AE11"/>
    <w:lvl w:ilvl="0">
      <w:start w:val="1"/>
      <w:numFmt w:val="decimal"/>
      <w:lvlText w:val="%1."/>
      <w:lvlJc w:val="left"/>
      <w:pPr>
        <w:tabs>
          <w:tab w:val="left" w:leader="none" w:pos="312"/>
        </w:tabs>
      </w:pPr>
    </w:lvl>
    <w:lvl w:ilvl="1">
      <w:start w:val="1"/>
      <w:numFmt w:val="decimal"/>
      <w:lvlText w:val="%1.%2."/>
      <w:lvlJc w:val="left"/>
      <w:pPr>
        <w:tabs>
          <w:tab w:val="left" w:leader="none" w:pos="312"/>
        </w:tabs>
        <w:ind w:left="0" w:firstLine="0"/>
      </w:pPr>
      <w:rPr>
        <w:rFonts w:hint="default"/>
      </w:rPr>
    </w:lvl>
    <w:lvl w:ilvl="2">
      <w:start w:val="1"/>
      <w:numFmt w:val="decimal"/>
      <w:lvlText w:val="%1.%2.%3."/>
      <w:lvlJc w:val="left"/>
      <w:pPr>
        <w:tabs>
          <w:tab w:val="left" w:leader="none" w:pos="312"/>
        </w:tabs>
        <w:ind w:left="0" w:firstLine="0"/>
      </w:pPr>
      <w:rPr>
        <w:rFonts w:hint="default"/>
      </w:rPr>
    </w:lvl>
    <w:lvl w:ilvl="3">
      <w:start w:val="1"/>
      <w:numFmt w:val="decimal"/>
      <w:lvlText w:val="%1.%2.%3.%4."/>
      <w:lvlJc w:val="left"/>
      <w:pPr>
        <w:tabs>
          <w:tab w:val="left" w:leader="none" w:pos="312"/>
        </w:tabs>
        <w:ind w:left="0" w:firstLine="0"/>
      </w:pPr>
      <w:rPr>
        <w:rFonts w:hint="default"/>
      </w:rPr>
    </w:lvl>
    <w:lvl w:ilvl="4">
      <w:start w:val="1"/>
      <w:numFmt w:val="decimal"/>
      <w:lvlText w:val="%1.%2.%3.%4.%5."/>
      <w:lvlJc w:val="left"/>
      <w:pPr>
        <w:tabs>
          <w:tab w:val="left" w:leader="none" w:pos="312"/>
        </w:tabs>
        <w:ind w:left="0" w:firstLine="0"/>
      </w:pPr>
      <w:rPr>
        <w:rFonts w:hint="default"/>
      </w:rPr>
    </w:lvl>
    <w:lvl w:ilvl="5">
      <w:start w:val="1"/>
      <w:numFmt w:val="decimal"/>
      <w:lvlText w:val="%1.%2.%3.%4.%5.%6."/>
      <w:lvlJc w:val="left"/>
      <w:pPr>
        <w:tabs>
          <w:tab w:val="left" w:leader="none" w:pos="312"/>
        </w:tabs>
        <w:ind w:left="0" w:firstLine="0"/>
      </w:pPr>
      <w:rPr>
        <w:rFonts w:hint="default"/>
      </w:rPr>
    </w:lvl>
    <w:lvl w:ilvl="6">
      <w:start w:val="1"/>
      <w:numFmt w:val="decimal"/>
      <w:lvlText w:val="%1.%2.%3.%4.%5.%6.%7."/>
      <w:lvlJc w:val="left"/>
      <w:pPr>
        <w:tabs>
          <w:tab w:val="left" w:leader="none" w:pos="312"/>
        </w:tabs>
        <w:ind w:left="0" w:firstLine="0"/>
      </w:pPr>
      <w:rPr>
        <w:rFonts w:hint="default"/>
      </w:rPr>
    </w:lvl>
    <w:lvl w:ilvl="7">
      <w:start w:val="1"/>
      <w:numFmt w:val="decimal"/>
      <w:lvlText w:val="%1.%2.%3.%4.%5.%6.%7.%8."/>
      <w:lvlJc w:val="left"/>
      <w:pPr>
        <w:tabs>
          <w:tab w:val="left" w:leader="none" w:pos="312"/>
        </w:tabs>
        <w:ind w:left="0" w:firstLine="0"/>
      </w:pPr>
      <w:rPr>
        <w:rFonts w:hint="default"/>
      </w:rPr>
    </w:lvl>
    <w:lvl w:ilvl="8">
      <w:start w:val="1"/>
      <w:numFmt w:val="decimal"/>
      <w:lvlText w:val="%1.%2.%3.%4.%5.%6.%7.%8.%9."/>
      <w:lvlJc w:val="left"/>
      <w:pPr>
        <w:tabs>
          <w:tab w:val="left" w:leader="none" w:pos="312"/>
        </w:tabs>
        <w:ind w:left="0" w:firstLine="0"/>
      </w:pPr>
      <w:rPr>
        <w:rFonts w:hint="default"/>
      </w:rPr>
    </w:lvl>
  </w:abstractNum>
  <w:abstractNum w:abstractNumId="1">
    <w:nsid w:val="00000001"/>
    <w:multiLevelType w:val="singleLevel"/>
    <w:tmpl w:val="18393E58"/>
    <w:lvl w:ilvl="0">
      <w:start w:val="1"/>
      <w:numFmt w:val="decimal"/>
      <w:suff w:val="space"/>
      <w:lvlText w:val="[%1]"/>
      <w:lvlJc w:val="left"/>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4"/>
  <w:embedSystemFonts/>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ff"/>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pPr>
      <w:tabs>
        <w:tab w:val="center" w:leader="none" w:pos="4680"/>
        <w:tab w:val="right" w:leader="none" w:pos="9360"/>
      </w:tabs>
    </w:pPr>
    <w:rPr/>
  </w:style>
  <w:style w:type="character" w:customStyle="1" w:styleId="style4098">
    <w:name w:val="Header Char_cf7b9156-1795-4b0e-95c0-7ab2adc1d199"/>
    <w:basedOn w:val="style65"/>
    <w:next w:val="style4098"/>
    <w:link w:val="style31"/>
    <w:rPr>
      <w:rFonts w:ascii="Calibri" w:cs="宋体" w:eastAsia="宋体" w:hAnsi="Calibri"/>
      <w:kern w:val="2"/>
      <w:sz w:val="21"/>
      <w:szCs w:val="24"/>
    </w:rPr>
  </w:style>
  <w:style w:type="paragraph" w:styleId="style32">
    <w:name w:val="footer"/>
    <w:basedOn w:val="style0"/>
    <w:next w:val="style32"/>
    <w:link w:val="style4099"/>
    <w:pPr>
      <w:tabs>
        <w:tab w:val="center" w:leader="none" w:pos="4680"/>
        <w:tab w:val="right" w:leader="none" w:pos="9360"/>
      </w:tabs>
    </w:pPr>
    <w:rPr/>
  </w:style>
  <w:style w:type="character" w:customStyle="1" w:styleId="style4099">
    <w:name w:val="Footer Char_2c64884a-68b6-4cf2-84dc-2be30cfc13f7"/>
    <w:basedOn w:val="style65"/>
    <w:next w:val="style4099"/>
    <w:link w:val="style32"/>
    <w:rPr>
      <w:rFonts w:ascii="Calibri" w:cs="宋体" w:eastAsia="宋体" w:hAnsi="Calibri"/>
      <w:kern w:val="2"/>
      <w:sz w:val="21"/>
      <w:szCs w:val="24"/>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16" Type="http://schemas.openxmlformats.org/officeDocument/2006/relationships/customXml" Target="../customXml/item4.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b5ad2c7-c719-4c7b-8abb-c424a41f7409}">
  <ds:schemaRefs>
    <ds:schemaRef ds:uri="http://www.wps.cn/android/officeDocument/2013/mofficeCustomData"/>
  </ds:schemaRefs>
</ds:datastoreItem>
</file>

<file path=customXml/itemProps2.xml><?xml version="1.0" encoding="utf-8"?>
<ds:datastoreItem xmlns:ds="http://schemas.openxmlformats.org/officeDocument/2006/customXml" ds:itemID="{5e76b8fd-5327-4b79-ad78-2f7b61b6cc98}">
  <ds:schemaRefs>
    <ds:schemaRef ds:uri="http://www.wps.cn/android/officeDocument/2013/mofficeCustomData"/>
  </ds:schemaRefs>
</ds:datastoreItem>
</file>

<file path=customXml/itemProps3.xml><?xml version="1.0" encoding="utf-8"?>
<ds:datastoreItem xmlns:ds="http://schemas.openxmlformats.org/officeDocument/2006/customXml" ds:itemID="{cfb78a45-9ed8-4bbe-a5c3-1241f0f2385b}">
  <ds:schemaRefs>
    <ds:schemaRef ds:uri="http://www.wps.cn/android/officeDocument/2013/mofficeCustomData"/>
  </ds:schemaRefs>
</ds:datastoreItem>
</file>

<file path=customXml/itemProps4.xml><?xml version="1.0" encoding="utf-8"?>
<ds:datastoreItem xmlns:ds="http://schemas.openxmlformats.org/officeDocument/2006/customXml" ds:itemID="{749ed490-5fc1-4e47-bd70-90f09032ea6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787</TotalTime>
  <Words>3504</Words>
  <Pages>7</Pages>
  <Characters>19790</Characters>
  <Application>WPS Office</Application>
  <DocSecurity>0</DocSecurity>
  <Paragraphs>72</Paragraphs>
  <ScaleCrop>false</ScaleCrop>
  <LinksUpToDate>false</LinksUpToDate>
  <CharactersWithSpaces>23234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2025-06-13T13:59:00Z</dcterms:created>
  <dc:creator>李安利</dc:creator>
  <lastModifiedBy>TECNO Mobile CH6n</lastModifiedBy>
  <dcterms:modified xsi:type="dcterms:W3CDTF">2025-07-28T10:53:38Z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BFBFA94C6B524FAB8007654A05CEF120_11</vt:lpwstr>
  </property>
  <property fmtid="{D5CDD505-2E9C-101B-9397-08002B2CF9AE}" pid="4" name="KSOTemplateDocerSaveRecord">
    <vt:lpwstr>eyJoZGlkIjoiZGI5ZWYzYzM0Zjg1ZWQxYjc1ZWI2ODdhMjJmNTFhNjEiLCJ1c2VySWQiOiIxMTIyNzg4NjAxIn0=</vt:lpwstr>
  </property>
  <property fmtid="{D5CDD505-2E9C-101B-9397-08002B2CF9AE}" pid="5" name="GrammarlyDocumentId">
    <vt:lpwstr>cc1c8258-3bdf-413d-b976-16bf4c8559d8</vt:lpwstr>
  </property>
</Properties>
</file>