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4ADD0" w14:textId="77777777" w:rsidR="00770D3C" w:rsidRPr="00166C05" w:rsidRDefault="00770D3C" w:rsidP="00770D3C">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Soil Microbiome and Nutrient Cycling: Implications for Sustainable Agriculture</w:t>
      </w:r>
    </w:p>
    <w:p w14:paraId="5AD3CCC5" w14:textId="77777777" w:rsidR="00987637" w:rsidRDefault="00987637"/>
    <w:p w14:paraId="5D860AEF" w14:textId="77777777" w:rsidR="00987637" w:rsidRDefault="00987637" w:rsidP="00166C05">
      <w:pPr>
        <w:spacing w:before="240" w:after="0" w:line="360" w:lineRule="auto"/>
        <w:jc w:val="both"/>
        <w:rPr>
          <w:rFonts w:ascii="Times New Roman" w:hAnsi="Times New Roman" w:cs="Times New Roman"/>
          <w:b/>
          <w:bCs/>
          <w:sz w:val="24"/>
          <w:szCs w:val="24"/>
        </w:rPr>
      </w:pPr>
    </w:p>
    <w:p w14:paraId="3D10E155" w14:textId="5B4B1934"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Abstract</w:t>
      </w:r>
    </w:p>
    <w:p w14:paraId="4BA14A4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Soil microbial communities</w:t>
      </w:r>
      <w:commentRangeStart w:id="0"/>
      <w:r w:rsidRPr="00166C05">
        <w:rPr>
          <w:rFonts w:ascii="Times New Roman" w:hAnsi="Times New Roman" w:cs="Times New Roman"/>
          <w:sz w:val="24"/>
          <w:szCs w:val="24"/>
        </w:rPr>
        <w:t>—</w:t>
      </w:r>
      <w:commentRangeEnd w:id="0"/>
      <w:r w:rsidR="007F2FCD">
        <w:rPr>
          <w:rStyle w:val="CommentReference"/>
        </w:rPr>
        <w:commentReference w:id="0"/>
      </w:r>
      <w:r w:rsidRPr="00166C05">
        <w:rPr>
          <w:rFonts w:ascii="Times New Roman" w:hAnsi="Times New Roman" w:cs="Times New Roman"/>
          <w:sz w:val="24"/>
          <w:szCs w:val="24"/>
        </w:rPr>
        <w:t xml:space="preserve">including bacteria, </w:t>
      </w:r>
      <w:proofErr w:type="spellStart"/>
      <w:r w:rsidRPr="00166C05">
        <w:rPr>
          <w:rFonts w:ascii="Times New Roman" w:hAnsi="Times New Roman" w:cs="Times New Roman"/>
          <w:sz w:val="24"/>
          <w:szCs w:val="24"/>
        </w:rPr>
        <w:t>archaea</w:t>
      </w:r>
      <w:proofErr w:type="spellEnd"/>
      <w:r w:rsidRPr="00166C05">
        <w:rPr>
          <w:rFonts w:ascii="Times New Roman" w:hAnsi="Times New Roman" w:cs="Times New Roman"/>
          <w:sz w:val="24"/>
          <w:szCs w:val="24"/>
        </w:rPr>
        <w:t>, fungi, and viruses</w:t>
      </w:r>
      <w:commentRangeStart w:id="1"/>
      <w:r w:rsidRPr="00166C05">
        <w:rPr>
          <w:rFonts w:ascii="Times New Roman" w:hAnsi="Times New Roman" w:cs="Times New Roman"/>
          <w:sz w:val="24"/>
          <w:szCs w:val="24"/>
        </w:rPr>
        <w:t>—</w:t>
      </w:r>
      <w:commentRangeEnd w:id="1"/>
      <w:r w:rsidR="007F2FCD">
        <w:rPr>
          <w:rStyle w:val="CommentReference"/>
        </w:rPr>
        <w:commentReference w:id="1"/>
      </w:r>
      <w:r w:rsidRPr="00166C05">
        <w:rPr>
          <w:rFonts w:ascii="Times New Roman" w:hAnsi="Times New Roman" w:cs="Times New Roman"/>
          <w:sz w:val="24"/>
          <w:szCs w:val="24"/>
        </w:rPr>
        <w:t>play a pivotal role in mediating critical nutrient cycling processes (carbon, nitrogen, and phosphorus transformations) that underpin agricultural productivity and ecosystem resilience. Recent advancements in high-throughput sequencing, multi-</w:t>
      </w:r>
      <w:proofErr w:type="spellStart"/>
      <w:r w:rsidRPr="00166C05">
        <w:rPr>
          <w:rFonts w:ascii="Times New Roman" w:hAnsi="Times New Roman" w:cs="Times New Roman"/>
          <w:sz w:val="24"/>
          <w:szCs w:val="24"/>
        </w:rPr>
        <w:t>omics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sz w:val="24"/>
          <w:szCs w:val="24"/>
        </w:rPr>
        <w:t>metagenomics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 xml:space="preserve">, metabolomics), exudate chemistry, isotope-tracing, and synthetic </w:t>
      </w:r>
      <w:proofErr w:type="spellStart"/>
      <w:r w:rsidRPr="00166C05">
        <w:rPr>
          <w:rFonts w:ascii="Times New Roman" w:hAnsi="Times New Roman" w:cs="Times New Roman"/>
          <w:sz w:val="24"/>
          <w:szCs w:val="24"/>
        </w:rPr>
        <w:t>microbiome</w:t>
      </w:r>
      <w:proofErr w:type="spellEnd"/>
      <w:r w:rsidRPr="00166C05">
        <w:rPr>
          <w:rFonts w:ascii="Times New Roman" w:hAnsi="Times New Roman" w:cs="Times New Roman"/>
          <w:sz w:val="24"/>
          <w:szCs w:val="24"/>
        </w:rPr>
        <w:t xml:space="preserve"> engineering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microbial inoculants) have enabled mechanistic insights into how soil microbiomes regulate nutrient fluxes under diverse agroecosystem contexts. This review synthesizes findings from 2019–2025 regarding: (1) microbial community composition and functional potential; (2) microbial mechanisms underlying N, P, and C cycling; (3) the impact of agricultural practices (fertilizer regimes, tillage, crop rotations, cover cropping, organic amendments) on soil microbiomes and nutrient dynamics; (4) emerging technologies and strategies for </w:t>
      </w:r>
      <w:proofErr w:type="spellStart"/>
      <w:r w:rsidRPr="00166C05">
        <w:rPr>
          <w:rFonts w:ascii="Times New Roman" w:hAnsi="Times New Roman" w:cs="Times New Roman"/>
          <w:sz w:val="24"/>
          <w:szCs w:val="24"/>
        </w:rPr>
        <w:t>microbiome</w:t>
      </w:r>
      <w:proofErr w:type="spellEnd"/>
      <w:r w:rsidRPr="00166C05">
        <w:rPr>
          <w:rFonts w:ascii="Times New Roman" w:hAnsi="Times New Roman" w:cs="Times New Roman"/>
          <w:sz w:val="24"/>
          <w:szCs w:val="24"/>
        </w:rPr>
        <w:t xml:space="preserve">-based nutrient management—including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design, host genotypic selection, and precision agriculture tools; and (5) major challenges such as context dependency, reproducibility, scale-up logistics, and socio-economic barriers. We propose research priorities including trait- and interaction-focused approaches, coordinated multi-site field trials, host-microbiome co-selection, digital decision-support integration, and supportive policy mechanisms to realize robust, field-deployable microbiome-based strategies for sustainable agriculture.</w:t>
      </w:r>
    </w:p>
    <w:p w14:paraId="4639309D" w14:textId="26FD9793"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166C05">
        <w:rPr>
          <w:rFonts w:ascii="Times New Roman" w:hAnsi="Times New Roman" w:cs="Times New Roman"/>
          <w:sz w:val="24"/>
          <w:szCs w:val="24"/>
        </w:rPr>
        <w:t>Soil microbiome</w:t>
      </w:r>
      <w:r>
        <w:rPr>
          <w:rFonts w:ascii="Times New Roman" w:hAnsi="Times New Roman" w:cs="Times New Roman"/>
          <w:sz w:val="24"/>
          <w:szCs w:val="24"/>
        </w:rPr>
        <w:t xml:space="preserve">, </w:t>
      </w:r>
      <w:r w:rsidRPr="00166C05">
        <w:rPr>
          <w:rFonts w:ascii="Times New Roman" w:hAnsi="Times New Roman" w:cs="Times New Roman"/>
          <w:sz w:val="24"/>
          <w:szCs w:val="24"/>
        </w:rPr>
        <w:t>Nutrient cycling</w:t>
      </w:r>
      <w:r>
        <w:rPr>
          <w:rFonts w:ascii="Times New Roman" w:hAnsi="Times New Roman" w:cs="Times New Roman"/>
          <w:sz w:val="24"/>
          <w:szCs w:val="24"/>
        </w:rPr>
        <w:t xml:space="preserve">, </w:t>
      </w:r>
      <w:r w:rsidRPr="00166C05">
        <w:rPr>
          <w:rFonts w:ascii="Times New Roman" w:hAnsi="Times New Roman" w:cs="Times New Roman"/>
          <w:sz w:val="24"/>
          <w:szCs w:val="24"/>
        </w:rPr>
        <w:t>Nitrogen fixation</w:t>
      </w:r>
      <w:r>
        <w:rPr>
          <w:rFonts w:ascii="Times New Roman" w:hAnsi="Times New Roman" w:cs="Times New Roman"/>
          <w:sz w:val="24"/>
          <w:szCs w:val="24"/>
        </w:rPr>
        <w:t xml:space="preserve">, </w:t>
      </w:r>
      <w:r w:rsidRPr="00166C05">
        <w:rPr>
          <w:rFonts w:ascii="Times New Roman" w:hAnsi="Times New Roman" w:cs="Times New Roman"/>
          <w:sz w:val="24"/>
          <w:szCs w:val="24"/>
        </w:rPr>
        <w:t>Phosphorus solubilization</w:t>
      </w:r>
      <w:r>
        <w:rPr>
          <w:rFonts w:ascii="Times New Roman" w:hAnsi="Times New Roman" w:cs="Times New Roman"/>
          <w:sz w:val="24"/>
          <w:szCs w:val="24"/>
        </w:rPr>
        <w:t xml:space="preserve">, </w:t>
      </w:r>
      <w:r w:rsidRPr="00166C05">
        <w:rPr>
          <w:rFonts w:ascii="Times New Roman" w:hAnsi="Times New Roman" w:cs="Times New Roman"/>
          <w:sz w:val="24"/>
          <w:szCs w:val="24"/>
        </w:rPr>
        <w:t>Carbon decomposition</w:t>
      </w:r>
      <w:r>
        <w:rPr>
          <w:rFonts w:ascii="Times New Roman" w:hAnsi="Times New Roman" w:cs="Times New Roman"/>
          <w:sz w:val="24"/>
          <w:szCs w:val="24"/>
        </w:rPr>
        <w:t xml:space="preserve">, </w:t>
      </w:r>
      <w:r w:rsidRPr="00166C05">
        <w:rPr>
          <w:rFonts w:ascii="Times New Roman" w:hAnsi="Times New Roman" w:cs="Times New Roman"/>
          <w:sz w:val="24"/>
          <w:szCs w:val="24"/>
        </w:rPr>
        <w:t>Sustainable agriculture</w:t>
      </w:r>
      <w:r>
        <w:rPr>
          <w:rFonts w:ascii="Times New Roman" w:hAnsi="Times New Roman" w:cs="Times New Roman"/>
          <w:sz w:val="24"/>
          <w:szCs w:val="24"/>
        </w:rPr>
        <w:t>.</w:t>
      </w:r>
    </w:p>
    <w:p w14:paraId="0B015BC6" w14:textId="29E83028" w:rsid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1. Introduction </w:t>
      </w:r>
    </w:p>
    <w:p w14:paraId="4178B3DD" w14:textId="2616677E"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Global agriculture faces dual challenges: producing sufficient food to feed a projected population of 9.7 billion by 2050 while simultaneously reducing environmental degradation caused by nutrient mismanagement (Foley et al., 2011; Hunter et al., 2017</w:t>
      </w:r>
      <w:r w:rsidR="007F2FCD">
        <w:rPr>
          <w:rFonts w:ascii="Times New Roman" w:hAnsi="Times New Roman" w:cs="Times New Roman"/>
          <w:sz w:val="24"/>
          <w:szCs w:val="24"/>
        </w:rPr>
        <w:t xml:space="preserve">; </w:t>
      </w:r>
      <w:proofErr w:type="spellStart"/>
      <w:r w:rsidR="007F2FCD">
        <w:rPr>
          <w:rFonts w:ascii="Times New Roman" w:hAnsi="Times New Roman" w:cs="Times New Roman"/>
          <w:sz w:val="24"/>
          <w:szCs w:val="24"/>
        </w:rPr>
        <w:t>Muhilan</w:t>
      </w:r>
      <w:proofErr w:type="spellEnd"/>
      <w:r w:rsidR="007F2FCD">
        <w:rPr>
          <w:rFonts w:ascii="Times New Roman" w:hAnsi="Times New Roman" w:cs="Times New Roman"/>
          <w:sz w:val="24"/>
          <w:szCs w:val="24"/>
        </w:rPr>
        <w:t xml:space="preserve"> et al., 2025</w:t>
      </w:r>
      <w:r w:rsidRPr="00166C05">
        <w:rPr>
          <w:rFonts w:ascii="Times New Roman" w:hAnsi="Times New Roman" w:cs="Times New Roman"/>
          <w:sz w:val="24"/>
          <w:szCs w:val="24"/>
        </w:rPr>
        <w:t xml:space="preserve">). The intensification of crop production over the last half-century has been heavily dependent on synthetic nitrogen (N) and phosphorus (P) fertilizers. However, nutrient-use </w:t>
      </w:r>
      <w:r w:rsidRPr="00166C05">
        <w:rPr>
          <w:rFonts w:ascii="Times New Roman" w:hAnsi="Times New Roman" w:cs="Times New Roman"/>
          <w:sz w:val="24"/>
          <w:szCs w:val="24"/>
        </w:rPr>
        <w:lastRenderedPageBreak/>
        <w:t>inefficiency remains a pervasive problem: estimates suggest that globally, less than 50% of applied nitrogen and less than 30% of phosphorus are recovered in harvested biomass, with the remainder lost through processes such as surface runoff, subsurface leaching, denitrification, and volatilization (Kaminsky et al., 2019; Zhang et al., 2023). These losses contribute to eutrophication of aquatic systems, contamination of groundwater with nitrates, and emission of potent greenhouse gases such as nitrous oxide (N₂O), a driver of climate change (Reay et al., 2012).</w:t>
      </w:r>
    </w:p>
    <w:p w14:paraId="4E990831"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At the core of these inefficiencies lies the soil microbiome, a complex network of bacteria, archaea, fungi, protists, and viruses that </w:t>
      </w:r>
      <w:proofErr w:type="spellStart"/>
      <w:r w:rsidRPr="00166C05">
        <w:rPr>
          <w:rFonts w:ascii="Times New Roman" w:hAnsi="Times New Roman" w:cs="Times New Roman"/>
          <w:sz w:val="24"/>
          <w:szCs w:val="24"/>
        </w:rPr>
        <w:t>catalyze</w:t>
      </w:r>
      <w:proofErr w:type="spellEnd"/>
      <w:r w:rsidRPr="00166C05">
        <w:rPr>
          <w:rFonts w:ascii="Times New Roman" w:hAnsi="Times New Roman" w:cs="Times New Roman"/>
          <w:sz w:val="24"/>
          <w:szCs w:val="24"/>
        </w:rPr>
        <w:t xml:space="preserve"> biochemical transformations governing nutrient availability and fate. Microbial processes regulate whether nutrients are immobilized within biomass, mineralized into plant-available forms, adsorbed to soil minerals, leached beyond the root zone, or transformed into gaseous emissions (Zhou et al., 2024). Managing the composition and functional capacity of these microbial communities offers a potentially powerful route to enhancing nutrient-use efficiency, reducing dependency on synthetic inputs, and mitigating environmental losses.</w:t>
      </w:r>
    </w:p>
    <w:p w14:paraId="5FDC10A6"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In recent years, technical advances have driven a paradigm shift in soil microbiome research—from descriptive inventories of microbial diversity toward mechanistic, process-linked studies capable of connecting microbial community structure to ecosystem functions. Key developments include:</w:t>
      </w:r>
    </w:p>
    <w:p w14:paraId="187789C6" w14:textId="77777777"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Isotope-probing approaches (e.g., ^13C, ^15N, and ^33P tracers) and enzyme assays that allow direct quantification of microbial contributions to nutrient fluxes in situ, distinguishing between microbial uptake, transformation, and loss pathways (Prosser et al., 2020).</w:t>
      </w:r>
    </w:p>
    <w:p w14:paraId="3CED1FC3" w14:textId="77777777"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Shotgun </w:t>
      </w:r>
      <w:proofErr w:type="spellStart"/>
      <w:r w:rsidRPr="00166C05">
        <w:rPr>
          <w:rFonts w:ascii="Times New Roman" w:hAnsi="Times New Roman" w:cs="Times New Roman"/>
          <w:sz w:val="24"/>
          <w:szCs w:val="24"/>
        </w:rPr>
        <w:t>metagenomics</w:t>
      </w:r>
      <w:proofErr w:type="spellEnd"/>
      <w:r w:rsidRPr="00166C05">
        <w:rPr>
          <w:rFonts w:ascii="Times New Roman" w:hAnsi="Times New Roman" w:cs="Times New Roman"/>
          <w:sz w:val="24"/>
          <w:szCs w:val="24"/>
        </w:rPr>
        <w:t xml:space="preserve"> and </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 which provide high-resolution data on the gene pools and actively expressed metabolic pathways involved in N fixation, nitrification, denitrification, P solubilization, and organic matter decomposition (Bahram et al., 2022).</w:t>
      </w:r>
    </w:p>
    <w:p w14:paraId="6FE84378" w14:textId="77777777" w:rsidR="00166C05" w:rsidRPr="00166C05" w:rsidRDefault="00166C05" w:rsidP="00166C05">
      <w:pPr>
        <w:numPr>
          <w:ilvl w:val="0"/>
          <w:numId w:val="6"/>
        </w:num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Trait-based ecology and synthetic community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approaches, enabling hypothesis-driven manipulation of microbiomes. These methods allow researchers to assemble defined microbial consortia with targeted functions—such as enhanced N </w:t>
      </w:r>
      <w:r w:rsidRPr="00166C05">
        <w:rPr>
          <w:rFonts w:ascii="Times New Roman" w:hAnsi="Times New Roman" w:cs="Times New Roman"/>
          <w:sz w:val="24"/>
          <w:szCs w:val="24"/>
        </w:rPr>
        <w:lastRenderedPageBreak/>
        <w:t>fixation or P mobilization—and test their stability, compatibility with plant hosts, and performance under field conditions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w:t>
      </w:r>
    </w:p>
    <w:p w14:paraId="0BB67997" w14:textId="3518A9FA"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Collectively, these advances have transformed the soil microbiome from a "black box" into a manageable biotechnological resource. However, translating these insights into field-scale sustainable farming practices remains a formidable challenge. Variability in soil type, climate, cropping systems, and management practices often causes inconsistent outcomes for microbiome-based interventions. </w:t>
      </w:r>
      <w:commentRangeStart w:id="2"/>
      <w:r w:rsidRPr="00166C05">
        <w:rPr>
          <w:rFonts w:ascii="Times New Roman" w:hAnsi="Times New Roman" w:cs="Times New Roman"/>
          <w:sz w:val="24"/>
          <w:szCs w:val="24"/>
        </w:rPr>
        <w:t>This review synthesizes the latest evidence on microbiome–nutrient interactions, evaluates the scalability of emerging management strategies, and identifies both opportunities and constraints for integrating microbiome science into next-generation sustainable agriculture.</w:t>
      </w:r>
      <w:commentRangeEnd w:id="2"/>
      <w:r w:rsidR="007F2FCD">
        <w:rPr>
          <w:rStyle w:val="CommentReference"/>
        </w:rPr>
        <w:commentReference w:id="2"/>
      </w:r>
    </w:p>
    <w:p w14:paraId="17EADF8B" w14:textId="5C5A3D5E"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2. Soil microbiome composition and functional potential </w:t>
      </w:r>
    </w:p>
    <w:p w14:paraId="288E89ED"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Soil communities are hyper-diverse and spatially stru</w:t>
      </w:r>
      <w:bookmarkStart w:id="3" w:name="_GoBack"/>
      <w:bookmarkEnd w:id="3"/>
      <w:r w:rsidRPr="00166C05">
        <w:rPr>
          <w:rFonts w:ascii="Times New Roman" w:hAnsi="Times New Roman" w:cs="Times New Roman"/>
          <w:sz w:val="24"/>
          <w:szCs w:val="24"/>
        </w:rPr>
        <w:t>ctured at micro- to landscape-scales. Major functional groups relevant to nutrient cycling include:</w:t>
      </w:r>
    </w:p>
    <w:p w14:paraId="7F4E05F0" w14:textId="77777777"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Nitrogen-transforming microbes</w:t>
      </w:r>
      <w:r w:rsidRPr="00166C05">
        <w:rPr>
          <w:rFonts w:ascii="Times New Roman" w:hAnsi="Times New Roman" w:cs="Times New Roman"/>
          <w:sz w:val="24"/>
          <w:szCs w:val="24"/>
        </w:rPr>
        <w:t xml:space="preserve">: diazotrophs (N fixation), ammonifiers (organic N → NH₄⁺), ammonia-oxidizing bacteria/archaea (AOB/AOA), nitrite oxidizers, </w:t>
      </w:r>
      <w:proofErr w:type="spellStart"/>
      <w:r w:rsidRPr="00166C05">
        <w:rPr>
          <w:rFonts w:ascii="Times New Roman" w:hAnsi="Times New Roman" w:cs="Times New Roman"/>
          <w:sz w:val="24"/>
          <w:szCs w:val="24"/>
        </w:rPr>
        <w:t>denitrifiers</w:t>
      </w:r>
      <w:proofErr w:type="spellEnd"/>
      <w:r w:rsidRPr="00166C05">
        <w:rPr>
          <w:rFonts w:ascii="Times New Roman" w:hAnsi="Times New Roman" w:cs="Times New Roman"/>
          <w:sz w:val="24"/>
          <w:szCs w:val="24"/>
        </w:rPr>
        <w:t xml:space="preserve"> and </w:t>
      </w:r>
      <w:proofErr w:type="spellStart"/>
      <w:r w:rsidRPr="00166C05">
        <w:rPr>
          <w:rFonts w:ascii="Times New Roman" w:hAnsi="Times New Roman" w:cs="Times New Roman"/>
          <w:sz w:val="24"/>
          <w:szCs w:val="24"/>
        </w:rPr>
        <w:t>anammox</w:t>
      </w:r>
      <w:proofErr w:type="spellEnd"/>
      <w:r w:rsidRPr="00166C05">
        <w:rPr>
          <w:rFonts w:ascii="Times New Roman" w:hAnsi="Times New Roman" w:cs="Times New Roman"/>
          <w:sz w:val="24"/>
          <w:szCs w:val="24"/>
        </w:rPr>
        <w:t xml:space="preserve"> bacteria. Functional genes such as </w:t>
      </w:r>
      <w:proofErr w:type="spellStart"/>
      <w:r w:rsidRPr="00166C05">
        <w:rPr>
          <w:rFonts w:ascii="Times New Roman" w:hAnsi="Times New Roman" w:cs="Times New Roman"/>
          <w:i/>
          <w:iCs/>
          <w:sz w:val="24"/>
          <w:szCs w:val="24"/>
        </w:rPr>
        <w:t>nifH</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amoA</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nxr</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nirK</w:t>
      </w:r>
      <w:proofErr w:type="spellEnd"/>
      <w:r w:rsidRPr="00166C05">
        <w:rPr>
          <w:rFonts w:ascii="Times New Roman" w:hAnsi="Times New Roman" w:cs="Times New Roman"/>
          <w:i/>
          <w:iCs/>
          <w:sz w:val="24"/>
          <w:szCs w:val="24"/>
        </w:rPr>
        <w:t>/</w:t>
      </w:r>
      <w:proofErr w:type="spellStart"/>
      <w:r w:rsidRPr="00166C05">
        <w:rPr>
          <w:rFonts w:ascii="Times New Roman" w:hAnsi="Times New Roman" w:cs="Times New Roman"/>
          <w:i/>
          <w:iCs/>
          <w:sz w:val="24"/>
          <w:szCs w:val="24"/>
        </w:rPr>
        <w:t>nirS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nosZ</w:t>
      </w:r>
      <w:proofErr w:type="spellEnd"/>
      <w:r w:rsidRPr="00166C05">
        <w:rPr>
          <w:rFonts w:ascii="Times New Roman" w:hAnsi="Times New Roman" w:cs="Times New Roman"/>
          <w:sz w:val="24"/>
          <w:szCs w:val="24"/>
        </w:rPr>
        <w:t xml:space="preserve"> are common targets linking taxa to N-process rates (Kaminsky et al., 2019; Zhou et al., 2024).</w:t>
      </w:r>
    </w:p>
    <w:p w14:paraId="6F46B4E8" w14:textId="77777777"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Phosphorus-cycling microbes</w:t>
      </w:r>
      <w:r w:rsidRPr="00166C05">
        <w:rPr>
          <w:rFonts w:ascii="Times New Roman" w:hAnsi="Times New Roman" w:cs="Times New Roman"/>
          <w:sz w:val="24"/>
          <w:szCs w:val="24"/>
        </w:rPr>
        <w:t xml:space="preserve">: bacteria and fungi that mineralize organic P (phosphatases), solubilize mineral P (organic acids, siderophores) or transport P via transporters and </w:t>
      </w:r>
      <w:proofErr w:type="spellStart"/>
      <w:r w:rsidRPr="00166C05">
        <w:rPr>
          <w:rFonts w:ascii="Times New Roman" w:hAnsi="Times New Roman" w:cs="Times New Roman"/>
          <w:sz w:val="24"/>
          <w:szCs w:val="24"/>
        </w:rPr>
        <w:t>phosphotransfer</w:t>
      </w:r>
      <w:proofErr w:type="spellEnd"/>
      <w:r w:rsidRPr="00166C05">
        <w:rPr>
          <w:rFonts w:ascii="Times New Roman" w:hAnsi="Times New Roman" w:cs="Times New Roman"/>
          <w:sz w:val="24"/>
          <w:szCs w:val="24"/>
        </w:rPr>
        <w:t xml:space="preserve"> systems; gene families include </w:t>
      </w:r>
      <w:proofErr w:type="spellStart"/>
      <w:r w:rsidRPr="00166C05">
        <w:rPr>
          <w:rFonts w:ascii="Times New Roman" w:hAnsi="Times New Roman" w:cs="Times New Roman"/>
          <w:i/>
          <w:iCs/>
          <w:sz w:val="24"/>
          <w:szCs w:val="24"/>
        </w:rPr>
        <w:t>phoD</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ppa</w:t>
      </w:r>
      <w:proofErr w:type="spellEnd"/>
      <w:r w:rsidRPr="00166C05">
        <w:rPr>
          <w:rFonts w:ascii="Times New Roman" w:hAnsi="Times New Roman" w:cs="Times New Roman"/>
          <w:sz w:val="24"/>
          <w:szCs w:val="24"/>
        </w:rPr>
        <w:t>, and others tracked in global metagenomes (Wang, Zhu, &amp; Ge, 2024).</w:t>
      </w:r>
    </w:p>
    <w:p w14:paraId="069717B4" w14:textId="77777777" w:rsidR="00166C05" w:rsidRPr="00166C05" w:rsidRDefault="00166C05" w:rsidP="00166C05">
      <w:pPr>
        <w:numPr>
          <w:ilvl w:val="0"/>
          <w:numId w:val="1"/>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Carbon-degrading communities</w:t>
      </w:r>
      <w:r w:rsidRPr="00166C05">
        <w:rPr>
          <w:rFonts w:ascii="Times New Roman" w:hAnsi="Times New Roman" w:cs="Times New Roman"/>
          <w:sz w:val="24"/>
          <w:szCs w:val="24"/>
        </w:rPr>
        <w:t>: saprotrophic fungi and bacteria producing extracellular enzymes (</w:t>
      </w:r>
      <w:proofErr w:type="spellStart"/>
      <w:r w:rsidRPr="00166C05">
        <w:rPr>
          <w:rFonts w:ascii="Times New Roman" w:hAnsi="Times New Roman" w:cs="Times New Roman"/>
          <w:sz w:val="24"/>
          <w:szCs w:val="24"/>
        </w:rPr>
        <w:t>cellulases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sz w:val="24"/>
          <w:szCs w:val="24"/>
        </w:rPr>
        <w:t>ligninases</w:t>
      </w:r>
      <w:proofErr w:type="spellEnd"/>
      <w:r w:rsidRPr="00166C05">
        <w:rPr>
          <w:rFonts w:ascii="Times New Roman" w:hAnsi="Times New Roman" w:cs="Times New Roman"/>
          <w:sz w:val="24"/>
          <w:szCs w:val="24"/>
        </w:rPr>
        <w:t>) that govern decomposition rates and route C into microbial biomass or soil organic matter pools (Lawrence Livermore National Laboratory, 2025).</w:t>
      </w:r>
    </w:p>
    <w:p w14:paraId="6D750BC3"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Trait-distribution (growth rate potential, enzyme repertoires, genome size, </w:t>
      </w:r>
      <w:proofErr w:type="spellStart"/>
      <w:r w:rsidRPr="00166C05">
        <w:rPr>
          <w:rFonts w:ascii="Times New Roman" w:hAnsi="Times New Roman" w:cs="Times New Roman"/>
          <w:sz w:val="24"/>
          <w:szCs w:val="24"/>
        </w:rPr>
        <w:t>rrn</w:t>
      </w:r>
      <w:proofErr w:type="spellEnd"/>
      <w:r w:rsidRPr="00166C05">
        <w:rPr>
          <w:rFonts w:ascii="Times New Roman" w:hAnsi="Times New Roman" w:cs="Times New Roman"/>
          <w:sz w:val="24"/>
          <w:szCs w:val="24"/>
        </w:rPr>
        <w:t xml:space="preserve"> copy number) has emerged as a more predictive framework of ecosystem function than taxonomy alone (Zhou et al., 2024). For example, communities dominated by fast-growing, </w:t>
      </w:r>
      <w:proofErr w:type="spellStart"/>
      <w:r w:rsidRPr="00166C05">
        <w:rPr>
          <w:rFonts w:ascii="Times New Roman" w:hAnsi="Times New Roman" w:cs="Times New Roman"/>
          <w:sz w:val="24"/>
          <w:szCs w:val="24"/>
        </w:rPr>
        <w:t>copiotrophic</w:t>
      </w:r>
      <w:proofErr w:type="spellEnd"/>
      <w:r w:rsidRPr="00166C05">
        <w:rPr>
          <w:rFonts w:ascii="Times New Roman" w:hAnsi="Times New Roman" w:cs="Times New Roman"/>
          <w:sz w:val="24"/>
          <w:szCs w:val="24"/>
        </w:rPr>
        <w:t xml:space="preserve"> taxa show </w:t>
      </w:r>
      <w:r w:rsidRPr="00166C05">
        <w:rPr>
          <w:rFonts w:ascii="Times New Roman" w:hAnsi="Times New Roman" w:cs="Times New Roman"/>
          <w:sz w:val="24"/>
          <w:szCs w:val="24"/>
        </w:rPr>
        <w:lastRenderedPageBreak/>
        <w:t>different decomposition and N mineralization dynamics than oligotrophic-dominated communities, with important consequences for fertilizer demand and greenhouse gas emissions.</w:t>
      </w:r>
    </w:p>
    <w:p w14:paraId="487622A5" w14:textId="1B6EF005"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 Microbial mechanisms in nutrient cycling </w:t>
      </w:r>
    </w:p>
    <w:p w14:paraId="771BDD38" w14:textId="71E9884D"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3.1 Nitrogen cycling </w:t>
      </w:r>
    </w:p>
    <w:p w14:paraId="03029FEA"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Microbial transformations in the soil nitrogen cycle include biological N fixation, mineralization (organic N → NH₄⁺), nitrification (NH₄⁺ → NO₂⁻ → NO₃⁻), denitrification (NO₃⁻ → N₂O → N₂), and anammox (anaerobic NH₄⁺ + NO₂⁻ → N₂). Each step is mediated by distinct taxa and enzymes. Long-term inorganic N additions typically shift communities toward ammonia-oxidizers and </w:t>
      </w:r>
      <w:proofErr w:type="spellStart"/>
      <w:r w:rsidRPr="00166C05">
        <w:rPr>
          <w:rFonts w:ascii="Times New Roman" w:hAnsi="Times New Roman" w:cs="Times New Roman"/>
          <w:sz w:val="24"/>
          <w:szCs w:val="24"/>
        </w:rPr>
        <w:t>denitrifiers</w:t>
      </w:r>
      <w:proofErr w:type="spellEnd"/>
      <w:r w:rsidRPr="00166C05">
        <w:rPr>
          <w:rFonts w:ascii="Times New Roman" w:hAnsi="Times New Roman" w:cs="Times New Roman"/>
          <w:sz w:val="24"/>
          <w:szCs w:val="24"/>
        </w:rPr>
        <w:t xml:space="preserve">, sometimes reducing microbial diversity and </w:t>
      </w:r>
      <w:proofErr w:type="spellStart"/>
      <w:r w:rsidRPr="00166C05">
        <w:rPr>
          <w:rFonts w:ascii="Times New Roman" w:hAnsi="Times New Roman" w:cs="Times New Roman"/>
          <w:sz w:val="24"/>
          <w:szCs w:val="24"/>
        </w:rPr>
        <w:t>fungal:bacterial</w:t>
      </w:r>
      <w:proofErr w:type="spellEnd"/>
      <w:r w:rsidRPr="00166C05">
        <w:rPr>
          <w:rFonts w:ascii="Times New Roman" w:hAnsi="Times New Roman" w:cs="Times New Roman"/>
          <w:sz w:val="24"/>
          <w:szCs w:val="24"/>
        </w:rPr>
        <w:t xml:space="preserve"> ratios; these shifts can increase N₂O emissions and nitrate leaching (Kaminsky et al., 2019; recent field syntheses, 2024–2025). Isotope-probing studies and quantification of functional genes (</w:t>
      </w:r>
      <w:proofErr w:type="spellStart"/>
      <w:r w:rsidRPr="00166C05">
        <w:rPr>
          <w:rFonts w:ascii="Times New Roman" w:hAnsi="Times New Roman" w:cs="Times New Roman"/>
          <w:i/>
          <w:iCs/>
          <w:sz w:val="24"/>
          <w:szCs w:val="24"/>
        </w:rPr>
        <w:t>amoA</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nirK</w:t>
      </w:r>
      <w:proofErr w:type="spellEnd"/>
      <w:r w:rsidRPr="00166C05">
        <w:rPr>
          <w:rFonts w:ascii="Times New Roman" w:hAnsi="Times New Roman" w:cs="Times New Roman"/>
          <w:i/>
          <w:iCs/>
          <w:sz w:val="24"/>
          <w:szCs w:val="24"/>
        </w:rPr>
        <w:t>/S</w:t>
      </w:r>
      <w:r w:rsidRPr="00166C05">
        <w:rPr>
          <w:rFonts w:ascii="Times New Roman" w:hAnsi="Times New Roman" w:cs="Times New Roman"/>
          <w:sz w:val="24"/>
          <w:szCs w:val="24"/>
        </w:rPr>
        <w:t xml:space="preserve">, </w:t>
      </w:r>
      <w:proofErr w:type="spellStart"/>
      <w:r w:rsidRPr="00166C05">
        <w:rPr>
          <w:rFonts w:ascii="Times New Roman" w:hAnsi="Times New Roman" w:cs="Times New Roman"/>
          <w:i/>
          <w:iCs/>
          <w:sz w:val="24"/>
          <w:szCs w:val="24"/>
        </w:rPr>
        <w:t>nosZ</w:t>
      </w:r>
      <w:proofErr w:type="spellEnd"/>
      <w:r w:rsidRPr="00166C05">
        <w:rPr>
          <w:rFonts w:ascii="Times New Roman" w:hAnsi="Times New Roman" w:cs="Times New Roman"/>
          <w:sz w:val="24"/>
          <w:szCs w:val="24"/>
        </w:rPr>
        <w:t>) have improved our capacity to link community composition to measured nitrification/denitrification rates across management gradients (Zhou et al., 2024; recent N-cycle syntheses, 2025).</w:t>
      </w:r>
    </w:p>
    <w:p w14:paraId="16BD7D25"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Management implications: lowering excess N inputs, timed applications synchronized with crop demand, and practices that maintain microbial diversity (cover crops, organic amendments) can reduce nitrification hotspots and emissions. However, the balance between crop N supply and environmental protection remains context dependent.</w:t>
      </w:r>
    </w:p>
    <w:p w14:paraId="7E76C391" w14:textId="65B9C2A5"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3.2 Phosphorus cycling </w:t>
      </w:r>
    </w:p>
    <w:p w14:paraId="2D397B53"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Soil P is strongly regulated by mineral chemistry (adsorption, precipitation) and biological processes. Microbial phosphatases and organic acid production solubilize organic and mineral P into bioavailable forms; transporter systems and phosphate uptake genes determine microbial and plant access. Large-scale metagenomic surveys show spatial patterns in P-cycling gene abundances correlated with anthropogenic influence, soil P pools and climate (Wang, Zhu, &amp; Ge, 2024). Notably, human activities (fertilization, land use) can increase some P-cycling gene abundances, but P availability interacts with disease suppression and plant–microbe relationships (Wang et al., 2024).</w:t>
      </w:r>
    </w:p>
    <w:p w14:paraId="113CFD7E"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lastRenderedPageBreak/>
        <w:t>Management implications: targeted use of organic amendments that promote P-solubilizing communities, crop rotations with P-efficient species, and biological amendments (mycorrhizal fungi) can improve plant P acquisition while reducing reliance on mined phosphate.</w:t>
      </w:r>
    </w:p>
    <w:p w14:paraId="6BD5722F" w14:textId="5250E2C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3.3 Carbon cycling and nutrient stoichiometry </w:t>
      </w:r>
    </w:p>
    <w:p w14:paraId="768A63BE"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Microbes mediate both rapid decomposition of labile residues and the formation of stable soil organic matter (SOM) via microbial </w:t>
      </w:r>
      <w:proofErr w:type="spellStart"/>
      <w:r w:rsidRPr="00166C05">
        <w:rPr>
          <w:rFonts w:ascii="Times New Roman" w:hAnsi="Times New Roman" w:cs="Times New Roman"/>
          <w:sz w:val="24"/>
          <w:szCs w:val="24"/>
        </w:rPr>
        <w:t>necromass</w:t>
      </w:r>
      <w:proofErr w:type="spellEnd"/>
      <w:r w:rsidRPr="00166C05">
        <w:rPr>
          <w:rFonts w:ascii="Times New Roman" w:hAnsi="Times New Roman" w:cs="Times New Roman"/>
          <w:sz w:val="24"/>
          <w:szCs w:val="24"/>
        </w:rPr>
        <w:t xml:space="preserve"> and </w:t>
      </w:r>
      <w:proofErr w:type="spellStart"/>
      <w:r w:rsidRPr="00166C05">
        <w:rPr>
          <w:rFonts w:ascii="Times New Roman" w:hAnsi="Times New Roman" w:cs="Times New Roman"/>
          <w:sz w:val="24"/>
          <w:szCs w:val="24"/>
        </w:rPr>
        <w:t>organo</w:t>
      </w:r>
      <w:proofErr w:type="spellEnd"/>
      <w:r w:rsidRPr="00166C05">
        <w:rPr>
          <w:rFonts w:ascii="Times New Roman" w:hAnsi="Times New Roman" w:cs="Times New Roman"/>
          <w:sz w:val="24"/>
          <w:szCs w:val="24"/>
        </w:rPr>
        <w:t>-mineral associations (Lawrence Livermore National Laboratory, 2025). Microbial growth, death and turnover control the balance of carbon storage versus respiration. The stoichiometric demands of microbes (C:N:P) drive whether microbes immobilize or mineralize nutrients: e.g., when labile C is abundant but available N or P is low, microbes can immobilize mineral N/P, temporarily reducing plant availability; conversely, when nutrients are plentiful microbes may accelerate decomposition (Zhou et al., 2024). Understanding these stoichiometric feedbacks is essential for accurately predicting fertilizer needs and C sequestration potential.</w:t>
      </w:r>
    </w:p>
    <w:p w14:paraId="37BF2227" w14:textId="5EAB15AF"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4. How agricultural practices shape microbiomes and nutrient cycling </w:t>
      </w:r>
    </w:p>
    <w:p w14:paraId="3A8DF84D"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Fertilizer type and rate</w:t>
      </w:r>
    </w:p>
    <w:p w14:paraId="737B7C69" w14:textId="15BD68E0"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Synthetic N and P fertilizers strongly affect soil chemistry, pH and resource stoichiometry, selecting for </w:t>
      </w:r>
      <w:proofErr w:type="spellStart"/>
      <w:r w:rsidRPr="00166C05">
        <w:rPr>
          <w:rFonts w:ascii="Times New Roman" w:hAnsi="Times New Roman" w:cs="Times New Roman"/>
          <w:sz w:val="24"/>
          <w:szCs w:val="24"/>
        </w:rPr>
        <w:t>copiotrophic</w:t>
      </w:r>
      <w:proofErr w:type="spellEnd"/>
      <w:r w:rsidRPr="00166C05">
        <w:rPr>
          <w:rFonts w:ascii="Times New Roman" w:hAnsi="Times New Roman" w:cs="Times New Roman"/>
          <w:sz w:val="24"/>
          <w:szCs w:val="24"/>
        </w:rPr>
        <w:t xml:space="preserve"> bacteria and often reducing fungal abundance and diversity over time (</w:t>
      </w:r>
      <w:r w:rsidR="007F2FCD">
        <w:rPr>
          <w:rFonts w:ascii="Times New Roman" w:hAnsi="Times New Roman" w:cs="Times New Roman"/>
          <w:sz w:val="24"/>
          <w:szCs w:val="24"/>
        </w:rPr>
        <w:t xml:space="preserve">Venkatesan et al., 2024; </w:t>
      </w:r>
      <w:proofErr w:type="spellStart"/>
      <w:r w:rsidRPr="00166C05">
        <w:rPr>
          <w:rFonts w:ascii="Times New Roman" w:hAnsi="Times New Roman" w:cs="Times New Roman"/>
          <w:sz w:val="24"/>
          <w:szCs w:val="24"/>
        </w:rPr>
        <w:t>Kaminsky</w:t>
      </w:r>
      <w:proofErr w:type="spellEnd"/>
      <w:r w:rsidRPr="00166C05">
        <w:rPr>
          <w:rFonts w:ascii="Times New Roman" w:hAnsi="Times New Roman" w:cs="Times New Roman"/>
          <w:sz w:val="24"/>
          <w:szCs w:val="24"/>
        </w:rPr>
        <w:t xml:space="preserve"> et al., 2019). Manure, compost and green manure typically increase microbial diversity and functional gene richness, enhance soil organic matter and buffer nutrient pulses, leading to reduced nitrate leaching and enhanced P retention under many circumstances (meta-analyses 2022–2025).</w:t>
      </w:r>
    </w:p>
    <w:p w14:paraId="6360AB33"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Tillage and residue management</w:t>
      </w:r>
    </w:p>
    <w:p w14:paraId="0E94A27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Tillage disrupts fungal hyphal networks and micro-habitats, accelerating decomposition and often increasing short-term mineral N availability but reducing long-term SOM. No-till and residue retention </w:t>
      </w:r>
      <w:proofErr w:type="spellStart"/>
      <w:r w:rsidRPr="00166C05">
        <w:rPr>
          <w:rFonts w:ascii="Times New Roman" w:hAnsi="Times New Roman" w:cs="Times New Roman"/>
          <w:sz w:val="24"/>
          <w:szCs w:val="24"/>
        </w:rPr>
        <w:t>favor</w:t>
      </w:r>
      <w:proofErr w:type="spellEnd"/>
      <w:r w:rsidRPr="00166C05">
        <w:rPr>
          <w:rFonts w:ascii="Times New Roman" w:hAnsi="Times New Roman" w:cs="Times New Roman"/>
          <w:sz w:val="24"/>
          <w:szCs w:val="24"/>
        </w:rPr>
        <w:t xml:space="preserve"> fungal-dominated communities that stabilize SOM and sustain slower, steadier nutrient release (Lawrence Livermore National Laboratory, 2025).</w:t>
      </w:r>
    </w:p>
    <w:p w14:paraId="77296806"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Crop rotations and cover crops</w:t>
      </w:r>
    </w:p>
    <w:p w14:paraId="0A88A23F"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lastRenderedPageBreak/>
        <w:t>Diverse rotations and cover crops diversify rhizosphere inputs (exudates, residue chemistry), enhancing microbial diversity and functional redundancy and often improving nutrient cycling and disease suppression (recent field syntheses, 2023–2025). Cover crops especially can scavenge residual mineral N, reducing leaching and returning N via biomass decomposition.</w:t>
      </w:r>
    </w:p>
    <w:p w14:paraId="36C50C4D" w14:textId="77777777" w:rsidR="00166C05" w:rsidRPr="00166C05" w:rsidRDefault="00166C05" w:rsidP="00166C05">
      <w:pPr>
        <w:spacing w:before="240" w:after="0" w:line="360" w:lineRule="auto"/>
        <w:jc w:val="both"/>
        <w:rPr>
          <w:rFonts w:ascii="Times New Roman" w:hAnsi="Times New Roman" w:cs="Times New Roman"/>
          <w:b/>
          <w:bCs/>
          <w:sz w:val="24"/>
          <w:szCs w:val="24"/>
        </w:rPr>
      </w:pPr>
      <w:commentRangeStart w:id="4"/>
      <w:r w:rsidRPr="00166C05">
        <w:rPr>
          <w:rFonts w:ascii="Times New Roman" w:hAnsi="Times New Roman" w:cs="Times New Roman"/>
          <w:b/>
          <w:bCs/>
          <w:sz w:val="24"/>
          <w:szCs w:val="24"/>
        </w:rPr>
        <w:t>Biological amendments and inoculants</w:t>
      </w:r>
      <w:commentRangeEnd w:id="4"/>
      <w:r w:rsidR="007F2FCD">
        <w:rPr>
          <w:rStyle w:val="CommentReference"/>
        </w:rPr>
        <w:commentReference w:id="4"/>
      </w:r>
    </w:p>
    <w:p w14:paraId="4075AF6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Single-strain inoculants (rhizobia, arbuscular mycorrhizal fungi, P-solubilizing bacteria) and defined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have demonstrated agronomic benefits in many controlled experiments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However, field outcomes are variable due to competition with resident microbes, soil chemistry constraints, and environmental variability (Kaminsky et al., 2019). Thus, inoculants often require tailoring to soil type, host genotype and management to be consistently effective.</w:t>
      </w:r>
    </w:p>
    <w:p w14:paraId="36D82122" w14:textId="646BD41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5. Microbiome engineering and technologies for sustainable nutrient management </w:t>
      </w:r>
    </w:p>
    <w:p w14:paraId="1C7BDE69" w14:textId="77777777" w:rsidR="00166C05" w:rsidRPr="00166C05" w:rsidRDefault="00166C05" w:rsidP="00166C05">
      <w:pPr>
        <w:spacing w:before="240" w:after="0" w:line="360" w:lineRule="auto"/>
        <w:jc w:val="both"/>
        <w:rPr>
          <w:rFonts w:ascii="Times New Roman" w:hAnsi="Times New Roman" w:cs="Times New Roman"/>
          <w:b/>
          <w:bCs/>
          <w:sz w:val="24"/>
          <w:szCs w:val="24"/>
        </w:rPr>
      </w:pPr>
      <w:commentRangeStart w:id="5"/>
      <w:r w:rsidRPr="00166C05">
        <w:rPr>
          <w:rFonts w:ascii="Times New Roman" w:hAnsi="Times New Roman" w:cs="Times New Roman"/>
          <w:b/>
          <w:bCs/>
          <w:sz w:val="24"/>
          <w:szCs w:val="24"/>
        </w:rPr>
        <w:t>Synthetic microbial communities (</w:t>
      </w:r>
      <w:proofErr w:type="spellStart"/>
      <w:r w:rsidRPr="00166C05">
        <w:rPr>
          <w:rFonts w:ascii="Times New Roman" w:hAnsi="Times New Roman" w:cs="Times New Roman"/>
          <w:b/>
          <w:bCs/>
          <w:sz w:val="24"/>
          <w:szCs w:val="24"/>
        </w:rPr>
        <w:t>SynComs</w:t>
      </w:r>
      <w:proofErr w:type="spellEnd"/>
      <w:r w:rsidRPr="00166C05">
        <w:rPr>
          <w:rFonts w:ascii="Times New Roman" w:hAnsi="Times New Roman" w:cs="Times New Roman"/>
          <w:b/>
          <w:bCs/>
          <w:sz w:val="24"/>
          <w:szCs w:val="24"/>
        </w:rPr>
        <w:t>) and screening platforms</w:t>
      </w:r>
      <w:commentRangeEnd w:id="5"/>
      <w:r w:rsidR="007F2FCD">
        <w:rPr>
          <w:rStyle w:val="CommentReference"/>
        </w:rPr>
        <w:commentReference w:id="5"/>
      </w:r>
    </w:p>
    <w:p w14:paraId="57101971" w14:textId="3B2DA0A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High-throughput platforms now allow screening of thousands of microbial combinations to design stable, functional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can outperform single strains by exploiting synergistic interactions, niche partitioning and multi-trait functions (nutrient solubilization, phytohormone production, pathogen suppression) (</w:t>
      </w:r>
      <w:proofErr w:type="spellStart"/>
      <w:r w:rsidR="007F2FCD">
        <w:rPr>
          <w:rFonts w:ascii="Times New Roman" w:hAnsi="Times New Roman" w:cs="Times New Roman"/>
          <w:sz w:val="24"/>
          <w:szCs w:val="24"/>
        </w:rPr>
        <w:t>Muhilan</w:t>
      </w:r>
      <w:proofErr w:type="spellEnd"/>
      <w:r w:rsidR="007F2FCD">
        <w:rPr>
          <w:rFonts w:ascii="Times New Roman" w:hAnsi="Times New Roman" w:cs="Times New Roman"/>
          <w:sz w:val="24"/>
          <w:szCs w:val="24"/>
        </w:rPr>
        <w:t xml:space="preserve"> et al., 2024a;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 Recent work emphasizes ecological principles (niche complementarity, priority effects, resistance to invasion) to improve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persistence in field soils (recent reviews, 2023–2025).</w:t>
      </w:r>
    </w:p>
    <w:p w14:paraId="1FACDFD7" w14:textId="77777777" w:rsidR="00166C05" w:rsidRPr="00166C05" w:rsidRDefault="00166C05" w:rsidP="00166C05">
      <w:pPr>
        <w:spacing w:before="240" w:after="0" w:line="360" w:lineRule="auto"/>
        <w:jc w:val="both"/>
        <w:rPr>
          <w:rFonts w:ascii="Times New Roman" w:hAnsi="Times New Roman" w:cs="Times New Roman"/>
          <w:b/>
          <w:bCs/>
          <w:sz w:val="24"/>
          <w:szCs w:val="24"/>
        </w:rPr>
      </w:pPr>
      <w:commentRangeStart w:id="6"/>
      <w:r w:rsidRPr="00166C05">
        <w:rPr>
          <w:rFonts w:ascii="Times New Roman" w:hAnsi="Times New Roman" w:cs="Times New Roman"/>
          <w:b/>
          <w:bCs/>
          <w:sz w:val="24"/>
          <w:szCs w:val="24"/>
        </w:rPr>
        <w:t xml:space="preserve">Plant breeding for </w:t>
      </w:r>
      <w:proofErr w:type="spellStart"/>
      <w:r w:rsidRPr="00166C05">
        <w:rPr>
          <w:rFonts w:ascii="Times New Roman" w:hAnsi="Times New Roman" w:cs="Times New Roman"/>
          <w:b/>
          <w:bCs/>
          <w:sz w:val="24"/>
          <w:szCs w:val="24"/>
        </w:rPr>
        <w:t>microbiome</w:t>
      </w:r>
      <w:proofErr w:type="spellEnd"/>
      <w:r w:rsidRPr="00166C05">
        <w:rPr>
          <w:rFonts w:ascii="Times New Roman" w:hAnsi="Times New Roman" w:cs="Times New Roman"/>
          <w:b/>
          <w:bCs/>
          <w:sz w:val="24"/>
          <w:szCs w:val="24"/>
        </w:rPr>
        <w:t xml:space="preserve"> recruitment</w:t>
      </w:r>
      <w:commentRangeEnd w:id="6"/>
      <w:r w:rsidR="007F2FCD">
        <w:rPr>
          <w:rStyle w:val="CommentReference"/>
        </w:rPr>
        <w:commentReference w:id="6"/>
      </w:r>
    </w:p>
    <w:p w14:paraId="46140223"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Evidence indicates significant host-genotype control over rhizosphere composition and function; breeding for root traits (architecture, exudation profile) can enhance recruitment of beneficial microbiomes and improve nutrient uptake without changing external inputs (emerging translational studies, 2023–2025). Co-selection of host traits and microbial consortia is a promising durable strategy because the plant acts continuously to recruit and maintain beneficial partners.</w:t>
      </w:r>
    </w:p>
    <w:p w14:paraId="08A2DA0D"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Precision agriculture, sensors and decision support</w:t>
      </w:r>
    </w:p>
    <w:p w14:paraId="6A93D653"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lastRenderedPageBreak/>
        <w:t>Remote sensing, soil mapping and predictive models (including ML/AI trained on microbiome–function datasets) are increasingly used to target interventions — e.g., applying microbial amendments to fields with soils and climates where establishment probability is high, or reducing blanket fertilizer rates in zones with robust microbial mineralization. Such decision-support systems can reduce input costs and environmental losses when linked to good agronomic practice.</w:t>
      </w:r>
    </w:p>
    <w:p w14:paraId="4492116F" w14:textId="77777777"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Multi-omics integrated with process measurements</w:t>
      </w:r>
    </w:p>
    <w:p w14:paraId="32B39CA7"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Robust translation requires pairing </w:t>
      </w:r>
      <w:proofErr w:type="spellStart"/>
      <w:r w:rsidRPr="00166C05">
        <w:rPr>
          <w:rFonts w:ascii="Times New Roman" w:hAnsi="Times New Roman" w:cs="Times New Roman"/>
          <w:sz w:val="24"/>
          <w:szCs w:val="24"/>
        </w:rPr>
        <w:t>metagenomics</w:t>
      </w:r>
      <w:proofErr w:type="spellEnd"/>
      <w:r w:rsidRPr="00166C05">
        <w:rPr>
          <w:rFonts w:ascii="Times New Roman" w:hAnsi="Times New Roman" w:cs="Times New Roman"/>
          <w:sz w:val="24"/>
          <w:szCs w:val="24"/>
        </w:rPr>
        <w:t>/</w:t>
      </w:r>
      <w:proofErr w:type="spellStart"/>
      <w:r w:rsidRPr="00166C05">
        <w:rPr>
          <w:rFonts w:ascii="Times New Roman" w:hAnsi="Times New Roman" w:cs="Times New Roman"/>
          <w:sz w:val="24"/>
          <w:szCs w:val="24"/>
        </w:rPr>
        <w:t>metatranscriptomics</w:t>
      </w:r>
      <w:proofErr w:type="spellEnd"/>
      <w:r w:rsidRPr="00166C05">
        <w:rPr>
          <w:rFonts w:ascii="Times New Roman" w:hAnsi="Times New Roman" w:cs="Times New Roman"/>
          <w:sz w:val="24"/>
          <w:szCs w:val="24"/>
        </w:rPr>
        <w:t>/</w:t>
      </w:r>
      <w:proofErr w:type="spellStart"/>
      <w:r w:rsidRPr="00166C05">
        <w:rPr>
          <w:rFonts w:ascii="Times New Roman" w:hAnsi="Times New Roman" w:cs="Times New Roman"/>
          <w:sz w:val="24"/>
          <w:szCs w:val="24"/>
        </w:rPr>
        <w:t>metaproteomics</w:t>
      </w:r>
      <w:proofErr w:type="spellEnd"/>
      <w:r w:rsidRPr="00166C05">
        <w:rPr>
          <w:rFonts w:ascii="Times New Roman" w:hAnsi="Times New Roman" w:cs="Times New Roman"/>
          <w:sz w:val="24"/>
          <w:szCs w:val="24"/>
        </w:rPr>
        <w:t xml:space="preserve"> and metabolomics with direct process rate measurements (mineral N pools, N₂O fluxes, phosphatase activity, C respiration). Isotope probing (e.g., ^18O, ^15N) now enables quantification of active microbial growth and assimilation in situ (Zhou et al., 2024; Lawrence Livermore National Laboratory, 2025).</w:t>
      </w:r>
    </w:p>
    <w:p w14:paraId="612F4D1C" w14:textId="16066DDB"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6. Evidence for agronomic benefits and environmental impacts </w:t>
      </w:r>
    </w:p>
    <w:p w14:paraId="6EAE078E" w14:textId="27300589"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Meta-analyses and multi-site trials indicate that microbiome-friendly practices (organic amendments, reduced tillage, diverse rotations, cover crops) generally improve soil biological health, increase nutrient-use efficiency and often maintain or increase yields while reducing nutrient losses (Kaminsky et al., 2019;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w:t>
      </w:r>
      <w:r w:rsidR="007F2FCD">
        <w:rPr>
          <w:rFonts w:ascii="Times New Roman" w:hAnsi="Times New Roman" w:cs="Times New Roman"/>
          <w:sz w:val="24"/>
          <w:szCs w:val="24"/>
        </w:rPr>
        <w:t xml:space="preserve">; </w:t>
      </w:r>
      <w:proofErr w:type="spellStart"/>
      <w:r w:rsidR="007F2FCD">
        <w:rPr>
          <w:rFonts w:ascii="Times New Roman" w:hAnsi="Times New Roman" w:cs="Times New Roman"/>
          <w:sz w:val="24"/>
          <w:szCs w:val="24"/>
        </w:rPr>
        <w:t>Koushal</w:t>
      </w:r>
      <w:proofErr w:type="spellEnd"/>
      <w:r w:rsidR="007F2FCD">
        <w:rPr>
          <w:rFonts w:ascii="Times New Roman" w:hAnsi="Times New Roman" w:cs="Times New Roman"/>
          <w:sz w:val="24"/>
          <w:szCs w:val="24"/>
        </w:rPr>
        <w:t xml:space="preserve"> et al., 2025</w:t>
      </w:r>
      <w:r w:rsidRPr="00166C05">
        <w:rPr>
          <w:rFonts w:ascii="Times New Roman" w:hAnsi="Times New Roman" w:cs="Times New Roman"/>
          <w:sz w:val="24"/>
          <w:szCs w:val="24"/>
        </w:rPr>
        <w:t xml:space="preserve">). Inoculants and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can boost crop performance in controlled conditions and select field contexts, but effect sizes are inconsistent across locations and seasons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Environmental co-benefits include lower nitrate leaching, reduced fertilizer manufacture footprint, and potential reductions in N₂O emissions if nitrification/denitrification hotspots are mitigated. Quantitative outcomes are site-specific; therefore, robust economic and environmental assessment for each agroecological context remains crucial.</w:t>
      </w:r>
    </w:p>
    <w:p w14:paraId="27C0C383" w14:textId="1F2085A2"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7. </w:t>
      </w:r>
      <w:commentRangeStart w:id="7"/>
      <w:r w:rsidRPr="00166C05">
        <w:rPr>
          <w:rFonts w:ascii="Times New Roman" w:hAnsi="Times New Roman" w:cs="Times New Roman"/>
          <w:b/>
          <w:bCs/>
          <w:sz w:val="24"/>
          <w:szCs w:val="24"/>
        </w:rPr>
        <w:t xml:space="preserve">Key challenges and research gaps </w:t>
      </w:r>
      <w:commentRangeEnd w:id="7"/>
      <w:r w:rsidR="007F2FCD">
        <w:rPr>
          <w:rStyle w:val="CommentReference"/>
        </w:rPr>
        <w:commentReference w:id="7"/>
      </w:r>
    </w:p>
    <w:p w14:paraId="2919538E"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Context dependency and reproducibility</w:t>
      </w:r>
      <w:r w:rsidRPr="00166C05">
        <w:rPr>
          <w:rFonts w:ascii="Times New Roman" w:hAnsi="Times New Roman" w:cs="Times New Roman"/>
          <w:sz w:val="24"/>
          <w:szCs w:val="24"/>
        </w:rPr>
        <w:t xml:space="preserve">: The majority of inoculants and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that perform well in greenhouses fail to establish or function consistently in heterogeneous field soils (Kaminsky et al., 2019;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w:t>
      </w:r>
    </w:p>
    <w:p w14:paraId="4BA735B1"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Linking genes to rates in situ</w:t>
      </w:r>
      <w:r w:rsidRPr="00166C05">
        <w:rPr>
          <w:rFonts w:ascii="Times New Roman" w:hAnsi="Times New Roman" w:cs="Times New Roman"/>
          <w:sz w:val="24"/>
          <w:szCs w:val="24"/>
        </w:rPr>
        <w:t xml:space="preserve">: Many studies measure gene abundance but do not link gene expression or activity to flux rates (e.g., nitrification, P mineralization) under field </w:t>
      </w:r>
      <w:r w:rsidRPr="00166C05">
        <w:rPr>
          <w:rFonts w:ascii="Times New Roman" w:hAnsi="Times New Roman" w:cs="Times New Roman"/>
          <w:sz w:val="24"/>
          <w:szCs w:val="24"/>
        </w:rPr>
        <w:lastRenderedPageBreak/>
        <w:t>conditions. Integrative isotope-probing and multi-omics experiments are still limited in scale (Zhou et al., 2024).</w:t>
      </w:r>
    </w:p>
    <w:p w14:paraId="68C3AF99"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Functional redundancy vs. keystone taxa</w:t>
      </w:r>
      <w:r w:rsidRPr="00166C05">
        <w:rPr>
          <w:rFonts w:ascii="Times New Roman" w:hAnsi="Times New Roman" w:cs="Times New Roman"/>
          <w:sz w:val="24"/>
          <w:szCs w:val="24"/>
        </w:rPr>
        <w:t>: Determining when diversity buffers function versus when particular keystone taxa determine nutrient flux is essential for intervention design.</w:t>
      </w:r>
    </w:p>
    <w:p w14:paraId="36347ACA"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Scaling and manufacturing</w:t>
      </w:r>
      <w:r w:rsidRPr="00166C05">
        <w:rPr>
          <w:rFonts w:ascii="Times New Roman" w:hAnsi="Times New Roman" w:cs="Times New Roman"/>
          <w:sz w:val="24"/>
          <w:szCs w:val="24"/>
        </w:rPr>
        <w:t>: Commercialization of biologicals requires robust strain production, shelf stability, regulatory approval and quality control — areas that lag behind lab discoveries (Kaminsky et al., 2019).</w:t>
      </w:r>
    </w:p>
    <w:p w14:paraId="16577B0A" w14:textId="77777777" w:rsidR="00166C05" w:rsidRPr="00166C05" w:rsidRDefault="00166C05" w:rsidP="00166C05">
      <w:pPr>
        <w:numPr>
          <w:ilvl w:val="0"/>
          <w:numId w:val="2"/>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Socio-economic adoption</w:t>
      </w:r>
      <w:r w:rsidRPr="00166C05">
        <w:rPr>
          <w:rFonts w:ascii="Times New Roman" w:hAnsi="Times New Roman" w:cs="Times New Roman"/>
          <w:sz w:val="24"/>
          <w:szCs w:val="24"/>
        </w:rPr>
        <w:t>: Farmer adoption depends on profitability, risk perception, supply chains and policy incentives; biological solutions must be cost-competitive and reliable under real-world constraints.</w:t>
      </w:r>
    </w:p>
    <w:p w14:paraId="73A2B74D" w14:textId="08DC79FA"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8. Recommendations and future directions</w:t>
      </w:r>
    </w:p>
    <w:p w14:paraId="445F0447"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Design coordinated multi-site field trials</w:t>
      </w:r>
      <w:r w:rsidRPr="00166C05">
        <w:rPr>
          <w:rFonts w:ascii="Times New Roman" w:hAnsi="Times New Roman" w:cs="Times New Roman"/>
          <w:sz w:val="24"/>
          <w:szCs w:val="24"/>
        </w:rPr>
        <w:t>: standardised protocols that combine multi-omics, isotope probing and flux measurements across diverse soils and climates are needed to build predictive models and evaluate agronomic benefit (Zhou et al., 2024).</w:t>
      </w:r>
    </w:p>
    <w:p w14:paraId="0C33E2A6"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Emphasize traits and interactions</w:t>
      </w:r>
      <w:r w:rsidRPr="00166C05">
        <w:rPr>
          <w:rFonts w:ascii="Times New Roman" w:hAnsi="Times New Roman" w:cs="Times New Roman"/>
          <w:sz w:val="24"/>
          <w:szCs w:val="24"/>
        </w:rPr>
        <w:t xml:space="preserve">: move beyond taxonomic lists toward trait-based selection (enzyme repertoires, stress tolerance, colonization traits) and interactions (microbe–microbe and plant–microbe) to design resilient </w:t>
      </w:r>
      <w:proofErr w:type="spellStart"/>
      <w:r w:rsidRPr="00166C05">
        <w:rPr>
          <w:rFonts w:ascii="Times New Roman" w:hAnsi="Times New Roman" w:cs="Times New Roman"/>
          <w:sz w:val="24"/>
          <w:szCs w:val="24"/>
        </w:rPr>
        <w:t>SynComs</w:t>
      </w:r>
      <w:proofErr w:type="spellEnd"/>
      <w:r w:rsidRPr="00166C05">
        <w:rPr>
          <w:rFonts w:ascii="Times New Roman" w:hAnsi="Times New Roman" w:cs="Times New Roman"/>
          <w:sz w:val="24"/>
          <w:szCs w:val="24"/>
        </w:rPr>
        <w:t xml:space="preserve"> (</w:t>
      </w:r>
      <w:proofErr w:type="spellStart"/>
      <w:r w:rsidRPr="00166C05">
        <w:rPr>
          <w:rFonts w:ascii="Times New Roman" w:hAnsi="Times New Roman" w:cs="Times New Roman"/>
          <w:sz w:val="24"/>
          <w:szCs w:val="24"/>
        </w:rPr>
        <w:t>Kehe</w:t>
      </w:r>
      <w:proofErr w:type="spellEnd"/>
      <w:r w:rsidRPr="00166C05">
        <w:rPr>
          <w:rFonts w:ascii="Times New Roman" w:hAnsi="Times New Roman" w:cs="Times New Roman"/>
          <w:sz w:val="24"/>
          <w:szCs w:val="24"/>
        </w:rPr>
        <w:t xml:space="preserve"> et al., 2019; </w:t>
      </w:r>
      <w:proofErr w:type="spellStart"/>
      <w:r w:rsidRPr="00166C05">
        <w:rPr>
          <w:rFonts w:ascii="Times New Roman" w:hAnsi="Times New Roman" w:cs="Times New Roman"/>
          <w:sz w:val="24"/>
          <w:szCs w:val="24"/>
        </w:rPr>
        <w:t>Shayanthan</w:t>
      </w:r>
      <w:proofErr w:type="spellEnd"/>
      <w:r w:rsidRPr="00166C05">
        <w:rPr>
          <w:rFonts w:ascii="Times New Roman" w:hAnsi="Times New Roman" w:cs="Times New Roman"/>
          <w:sz w:val="24"/>
          <w:szCs w:val="24"/>
        </w:rPr>
        <w:t xml:space="preserve"> et al., 2022).</w:t>
      </w:r>
    </w:p>
    <w:p w14:paraId="3D8ABF64" w14:textId="433C502F"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Host–microbiome co-selection</w:t>
      </w:r>
      <w:r w:rsidRPr="00166C05">
        <w:rPr>
          <w:rFonts w:ascii="Times New Roman" w:hAnsi="Times New Roman" w:cs="Times New Roman"/>
          <w:sz w:val="24"/>
          <w:szCs w:val="24"/>
        </w:rPr>
        <w:t xml:space="preserve">: breeding programs should integrate selection for root traits and exudation patterns that </w:t>
      </w:r>
      <w:proofErr w:type="spellStart"/>
      <w:r w:rsidRPr="00166C05">
        <w:rPr>
          <w:rFonts w:ascii="Times New Roman" w:hAnsi="Times New Roman" w:cs="Times New Roman"/>
          <w:sz w:val="24"/>
          <w:szCs w:val="24"/>
        </w:rPr>
        <w:t>favor</w:t>
      </w:r>
      <w:proofErr w:type="spellEnd"/>
      <w:r w:rsidRPr="00166C05">
        <w:rPr>
          <w:rFonts w:ascii="Times New Roman" w:hAnsi="Times New Roman" w:cs="Times New Roman"/>
          <w:sz w:val="24"/>
          <w:szCs w:val="24"/>
        </w:rPr>
        <w:t xml:space="preserve"> desired microbial functions, paired with loca</w:t>
      </w:r>
      <w:r w:rsidR="007F2FCD">
        <w:rPr>
          <w:rFonts w:ascii="Times New Roman" w:hAnsi="Times New Roman" w:cs="Times New Roman"/>
          <w:sz w:val="24"/>
          <w:szCs w:val="24"/>
        </w:rPr>
        <w:t>lly adapted microbial consortia (</w:t>
      </w:r>
      <w:proofErr w:type="spellStart"/>
      <w:r w:rsidR="007F2FCD">
        <w:rPr>
          <w:rFonts w:ascii="Times New Roman" w:hAnsi="Times New Roman" w:cs="Times New Roman"/>
          <w:sz w:val="24"/>
          <w:szCs w:val="24"/>
        </w:rPr>
        <w:t>Muhilan</w:t>
      </w:r>
      <w:proofErr w:type="spellEnd"/>
      <w:r w:rsidR="007F2FCD">
        <w:rPr>
          <w:rFonts w:ascii="Times New Roman" w:hAnsi="Times New Roman" w:cs="Times New Roman"/>
          <w:sz w:val="24"/>
          <w:szCs w:val="24"/>
        </w:rPr>
        <w:t xml:space="preserve"> et al., 2024)</w:t>
      </w:r>
    </w:p>
    <w:p w14:paraId="0EDD24F1"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Decision-support integration</w:t>
      </w:r>
      <w:r w:rsidRPr="00166C05">
        <w:rPr>
          <w:rFonts w:ascii="Times New Roman" w:hAnsi="Times New Roman" w:cs="Times New Roman"/>
          <w:sz w:val="24"/>
          <w:szCs w:val="24"/>
        </w:rPr>
        <w:t>: build predictive tools that combine soil maps, climate forecasts, and microbiome data to optimize where and when biologicals or reduced fertilizers are likely to succeed.</w:t>
      </w:r>
    </w:p>
    <w:p w14:paraId="54DEDB36" w14:textId="77777777" w:rsidR="00166C05" w:rsidRPr="00166C05" w:rsidRDefault="00166C05" w:rsidP="00166C05">
      <w:pPr>
        <w:numPr>
          <w:ilvl w:val="0"/>
          <w:numId w:val="3"/>
        </w:numPr>
        <w:spacing w:before="240" w:after="0" w:line="360" w:lineRule="auto"/>
        <w:jc w:val="both"/>
        <w:rPr>
          <w:rFonts w:ascii="Times New Roman" w:hAnsi="Times New Roman" w:cs="Times New Roman"/>
          <w:sz w:val="24"/>
          <w:szCs w:val="24"/>
        </w:rPr>
      </w:pPr>
      <w:r w:rsidRPr="00166C05">
        <w:rPr>
          <w:rFonts w:ascii="Times New Roman" w:hAnsi="Times New Roman" w:cs="Times New Roman"/>
          <w:b/>
          <w:bCs/>
          <w:sz w:val="24"/>
          <w:szCs w:val="24"/>
        </w:rPr>
        <w:t>Policy and market incentives</w:t>
      </w:r>
      <w:r w:rsidRPr="00166C05">
        <w:rPr>
          <w:rFonts w:ascii="Times New Roman" w:hAnsi="Times New Roman" w:cs="Times New Roman"/>
          <w:sz w:val="24"/>
          <w:szCs w:val="24"/>
        </w:rPr>
        <w:t>: design subsidies, payments for ecosystem services, or nutrient-credit schemes that reward practices demonstrably reducing nutrient loss and increasing soil health.</w:t>
      </w:r>
    </w:p>
    <w:p w14:paraId="1D1D5AB2" w14:textId="74CECED4"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lastRenderedPageBreak/>
        <w:t xml:space="preserve">9. Conclusion </w:t>
      </w:r>
    </w:p>
    <w:p w14:paraId="0A2D222E" w14:textId="77777777" w:rsidR="00166C05" w:rsidRPr="00166C05" w:rsidRDefault="00166C05" w:rsidP="00166C05">
      <w:pPr>
        <w:spacing w:before="240" w:after="0" w:line="360" w:lineRule="auto"/>
        <w:jc w:val="both"/>
        <w:rPr>
          <w:rFonts w:ascii="Times New Roman" w:hAnsi="Times New Roman" w:cs="Times New Roman"/>
          <w:sz w:val="24"/>
          <w:szCs w:val="24"/>
        </w:rPr>
      </w:pPr>
      <w:r w:rsidRPr="00166C05">
        <w:rPr>
          <w:rFonts w:ascii="Times New Roman" w:hAnsi="Times New Roman" w:cs="Times New Roman"/>
          <w:sz w:val="24"/>
          <w:szCs w:val="24"/>
        </w:rPr>
        <w:t xml:space="preserve">The soil microbiome sits at the nexus between soil health, nutrient cycling and sustainable agriculture. Rapid methodological advances provide actionable knowledge and tools — from high-throughput </w:t>
      </w:r>
      <w:proofErr w:type="spellStart"/>
      <w:r w:rsidRPr="00166C05">
        <w:rPr>
          <w:rFonts w:ascii="Times New Roman" w:hAnsi="Times New Roman" w:cs="Times New Roman"/>
          <w:sz w:val="24"/>
          <w:szCs w:val="24"/>
        </w:rPr>
        <w:t>SynCom</w:t>
      </w:r>
      <w:proofErr w:type="spellEnd"/>
      <w:r w:rsidRPr="00166C05">
        <w:rPr>
          <w:rFonts w:ascii="Times New Roman" w:hAnsi="Times New Roman" w:cs="Times New Roman"/>
          <w:sz w:val="24"/>
          <w:szCs w:val="24"/>
        </w:rPr>
        <w:t xml:space="preserve"> screening to isotope-resolved trait measurements — that can improve nutrient-use efficiency while reducing environmental costs. Yet, realizing the potential at scale requires addressing context dependence, building robust field evidence, integrating plant breeding and precision management, and aligning economic incentives for farmers. A coordinated, interdisciplinary approach that links microbiology, agronomy, systems modelling and policy will be essential to transform microbiome science into reliable practices for sustainable agriculture.</w:t>
      </w:r>
    </w:p>
    <w:p w14:paraId="0554E3BF" w14:textId="1C572DDD" w:rsidR="00166C05" w:rsidRPr="00166C05" w:rsidRDefault="00166C05" w:rsidP="00166C05">
      <w:pPr>
        <w:spacing w:before="240" w:after="0" w:line="360" w:lineRule="auto"/>
        <w:jc w:val="both"/>
        <w:rPr>
          <w:rFonts w:ascii="Times New Roman" w:hAnsi="Times New Roman" w:cs="Times New Roman"/>
          <w:b/>
          <w:bCs/>
          <w:sz w:val="24"/>
          <w:szCs w:val="24"/>
        </w:rPr>
      </w:pPr>
      <w:r w:rsidRPr="00166C05">
        <w:rPr>
          <w:rFonts w:ascii="Times New Roman" w:hAnsi="Times New Roman" w:cs="Times New Roman"/>
          <w:b/>
          <w:bCs/>
          <w:sz w:val="24"/>
          <w:szCs w:val="24"/>
        </w:rPr>
        <w:t xml:space="preserve">References </w:t>
      </w:r>
    </w:p>
    <w:p w14:paraId="5668C10D"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proofErr w:type="spellStart"/>
      <w:r w:rsidRPr="0045643D">
        <w:rPr>
          <w:rFonts w:ascii="Times New Roman" w:hAnsi="Times New Roman" w:cs="Times New Roman"/>
          <w:sz w:val="24"/>
          <w:szCs w:val="24"/>
        </w:rPr>
        <w:t>Bahram</w:t>
      </w:r>
      <w:proofErr w:type="spellEnd"/>
      <w:r w:rsidRPr="0045643D">
        <w:rPr>
          <w:rFonts w:ascii="Times New Roman" w:hAnsi="Times New Roman" w:cs="Times New Roman"/>
          <w:sz w:val="24"/>
          <w:szCs w:val="24"/>
        </w:rPr>
        <w:t xml:space="preserve">, M., Hildebrand, F., </w:t>
      </w:r>
      <w:proofErr w:type="spellStart"/>
      <w:r w:rsidRPr="0045643D">
        <w:rPr>
          <w:rFonts w:ascii="Times New Roman" w:hAnsi="Times New Roman" w:cs="Times New Roman"/>
          <w:sz w:val="24"/>
          <w:szCs w:val="24"/>
        </w:rPr>
        <w:t>Forslund</w:t>
      </w:r>
      <w:proofErr w:type="spellEnd"/>
      <w:r w:rsidRPr="0045643D">
        <w:rPr>
          <w:rFonts w:ascii="Times New Roman" w:hAnsi="Times New Roman" w:cs="Times New Roman"/>
          <w:sz w:val="24"/>
          <w:szCs w:val="24"/>
        </w:rPr>
        <w:t xml:space="preserve">, S. K., Anderson, J. L., </w:t>
      </w:r>
      <w:proofErr w:type="spellStart"/>
      <w:r w:rsidRPr="0045643D">
        <w:rPr>
          <w:rFonts w:ascii="Times New Roman" w:hAnsi="Times New Roman" w:cs="Times New Roman"/>
          <w:sz w:val="24"/>
          <w:szCs w:val="24"/>
        </w:rPr>
        <w:t>Soudzilovskaia</w:t>
      </w:r>
      <w:proofErr w:type="spellEnd"/>
      <w:r w:rsidRPr="0045643D">
        <w:rPr>
          <w:rFonts w:ascii="Times New Roman" w:hAnsi="Times New Roman" w:cs="Times New Roman"/>
          <w:sz w:val="24"/>
          <w:szCs w:val="24"/>
        </w:rPr>
        <w:t xml:space="preserve">, N. A., </w:t>
      </w:r>
      <w:proofErr w:type="spellStart"/>
      <w:r w:rsidRPr="0045643D">
        <w:rPr>
          <w:rFonts w:ascii="Times New Roman" w:hAnsi="Times New Roman" w:cs="Times New Roman"/>
          <w:sz w:val="24"/>
          <w:szCs w:val="24"/>
        </w:rPr>
        <w:t>Bodegom</w:t>
      </w:r>
      <w:proofErr w:type="spellEnd"/>
      <w:r w:rsidRPr="0045643D">
        <w:rPr>
          <w:rFonts w:ascii="Times New Roman" w:hAnsi="Times New Roman" w:cs="Times New Roman"/>
          <w:sz w:val="24"/>
          <w:szCs w:val="24"/>
        </w:rPr>
        <w:t xml:space="preserve">, P. M., Bengtsson-Palme, J., </w:t>
      </w:r>
      <w:proofErr w:type="spellStart"/>
      <w:r w:rsidRPr="0045643D">
        <w:rPr>
          <w:rFonts w:ascii="Times New Roman" w:hAnsi="Times New Roman" w:cs="Times New Roman"/>
          <w:sz w:val="24"/>
          <w:szCs w:val="24"/>
        </w:rPr>
        <w:t>Anslan</w:t>
      </w:r>
      <w:proofErr w:type="spellEnd"/>
      <w:r w:rsidRPr="0045643D">
        <w:rPr>
          <w:rFonts w:ascii="Times New Roman" w:hAnsi="Times New Roman" w:cs="Times New Roman"/>
          <w:sz w:val="24"/>
          <w:szCs w:val="24"/>
        </w:rPr>
        <w:t xml:space="preserve">, S., Coelho, L. P., </w:t>
      </w:r>
      <w:proofErr w:type="spellStart"/>
      <w:r w:rsidRPr="0045643D">
        <w:rPr>
          <w:rFonts w:ascii="Times New Roman" w:hAnsi="Times New Roman" w:cs="Times New Roman"/>
          <w:sz w:val="24"/>
          <w:szCs w:val="24"/>
        </w:rPr>
        <w:t>Harend</w:t>
      </w:r>
      <w:proofErr w:type="spellEnd"/>
      <w:r w:rsidRPr="0045643D">
        <w:rPr>
          <w:rFonts w:ascii="Times New Roman" w:hAnsi="Times New Roman" w:cs="Times New Roman"/>
          <w:sz w:val="24"/>
          <w:szCs w:val="24"/>
        </w:rPr>
        <w:t>, H., Huerta-</w:t>
      </w:r>
      <w:proofErr w:type="spellStart"/>
      <w:r w:rsidRPr="0045643D">
        <w:rPr>
          <w:rFonts w:ascii="Times New Roman" w:hAnsi="Times New Roman" w:cs="Times New Roman"/>
          <w:sz w:val="24"/>
          <w:szCs w:val="24"/>
        </w:rPr>
        <w:t>Cepas</w:t>
      </w:r>
      <w:proofErr w:type="spellEnd"/>
      <w:r w:rsidRPr="0045643D">
        <w:rPr>
          <w:rFonts w:ascii="Times New Roman" w:hAnsi="Times New Roman" w:cs="Times New Roman"/>
          <w:sz w:val="24"/>
          <w:szCs w:val="24"/>
        </w:rPr>
        <w:t xml:space="preserve">, J., </w:t>
      </w:r>
      <w:proofErr w:type="spellStart"/>
      <w:r w:rsidRPr="0045643D">
        <w:rPr>
          <w:rFonts w:ascii="Times New Roman" w:hAnsi="Times New Roman" w:cs="Times New Roman"/>
          <w:sz w:val="24"/>
          <w:szCs w:val="24"/>
        </w:rPr>
        <w:t>Medema</w:t>
      </w:r>
      <w:proofErr w:type="spellEnd"/>
      <w:r w:rsidRPr="0045643D">
        <w:rPr>
          <w:rFonts w:ascii="Times New Roman" w:hAnsi="Times New Roman" w:cs="Times New Roman"/>
          <w:sz w:val="24"/>
          <w:szCs w:val="24"/>
        </w:rPr>
        <w:t xml:space="preserve">, M. H., </w:t>
      </w:r>
      <w:proofErr w:type="spellStart"/>
      <w:r w:rsidRPr="0045643D">
        <w:rPr>
          <w:rFonts w:ascii="Times New Roman" w:hAnsi="Times New Roman" w:cs="Times New Roman"/>
          <w:sz w:val="24"/>
          <w:szCs w:val="24"/>
        </w:rPr>
        <w:t>Maltz</w:t>
      </w:r>
      <w:proofErr w:type="spellEnd"/>
      <w:r w:rsidRPr="0045643D">
        <w:rPr>
          <w:rFonts w:ascii="Times New Roman" w:hAnsi="Times New Roman" w:cs="Times New Roman"/>
          <w:sz w:val="24"/>
          <w:szCs w:val="24"/>
        </w:rPr>
        <w:t xml:space="preserve">, M. R., Mundra, S., Olsson, P. A., Pent, M., </w:t>
      </w:r>
      <w:proofErr w:type="spellStart"/>
      <w:r w:rsidRPr="0045643D">
        <w:rPr>
          <w:rFonts w:ascii="Times New Roman" w:hAnsi="Times New Roman" w:cs="Times New Roman"/>
          <w:sz w:val="24"/>
          <w:szCs w:val="24"/>
        </w:rPr>
        <w:t>Põlme</w:t>
      </w:r>
      <w:proofErr w:type="spellEnd"/>
      <w:r w:rsidRPr="0045643D">
        <w:rPr>
          <w:rFonts w:ascii="Times New Roman" w:hAnsi="Times New Roman" w:cs="Times New Roman"/>
          <w:sz w:val="24"/>
          <w:szCs w:val="24"/>
        </w:rPr>
        <w:t xml:space="preserve">, S., </w:t>
      </w:r>
      <w:proofErr w:type="spellStart"/>
      <w:r w:rsidRPr="0045643D">
        <w:rPr>
          <w:rFonts w:ascii="Times New Roman" w:hAnsi="Times New Roman" w:cs="Times New Roman"/>
          <w:sz w:val="24"/>
          <w:szCs w:val="24"/>
        </w:rPr>
        <w:t>Sunagawa</w:t>
      </w:r>
      <w:proofErr w:type="spellEnd"/>
      <w:r w:rsidRPr="0045643D">
        <w:rPr>
          <w:rFonts w:ascii="Times New Roman" w:hAnsi="Times New Roman" w:cs="Times New Roman"/>
          <w:sz w:val="24"/>
          <w:szCs w:val="24"/>
        </w:rPr>
        <w:t xml:space="preserve">, S., </w:t>
      </w:r>
      <w:proofErr w:type="spellStart"/>
      <w:r w:rsidRPr="0045643D">
        <w:rPr>
          <w:rFonts w:ascii="Times New Roman" w:hAnsi="Times New Roman" w:cs="Times New Roman"/>
          <w:sz w:val="24"/>
          <w:szCs w:val="24"/>
        </w:rPr>
        <w:t>Ryberg</w:t>
      </w:r>
      <w:proofErr w:type="spellEnd"/>
      <w:r w:rsidRPr="0045643D">
        <w:rPr>
          <w:rFonts w:ascii="Times New Roman" w:hAnsi="Times New Roman" w:cs="Times New Roman"/>
          <w:sz w:val="24"/>
          <w:szCs w:val="24"/>
        </w:rPr>
        <w:t xml:space="preserve">, M., … Bork, P. (2022). Structure and function of the global topsoil microbiome. </w:t>
      </w:r>
      <w:r w:rsidRPr="0045643D">
        <w:rPr>
          <w:rFonts w:ascii="Times New Roman" w:hAnsi="Times New Roman" w:cs="Times New Roman"/>
          <w:i/>
          <w:iCs/>
          <w:sz w:val="24"/>
          <w:szCs w:val="24"/>
        </w:rPr>
        <w:t>Nature</w:t>
      </w:r>
      <w:r w:rsidRPr="0045643D">
        <w:rPr>
          <w:rFonts w:ascii="Times New Roman" w:hAnsi="Times New Roman" w:cs="Times New Roman"/>
          <w:sz w:val="24"/>
          <w:szCs w:val="24"/>
        </w:rPr>
        <w:t>, 605(7911), 524–533. https://doi.org/10.1038/s41586-022-04629-x</w:t>
      </w:r>
    </w:p>
    <w:p w14:paraId="0BC2FF4B"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Foley, J. A., </w:t>
      </w:r>
      <w:proofErr w:type="spellStart"/>
      <w:r w:rsidRPr="0045643D">
        <w:rPr>
          <w:rFonts w:ascii="Times New Roman" w:hAnsi="Times New Roman" w:cs="Times New Roman"/>
          <w:sz w:val="24"/>
          <w:szCs w:val="24"/>
        </w:rPr>
        <w:t>Ramankutty</w:t>
      </w:r>
      <w:proofErr w:type="spellEnd"/>
      <w:r w:rsidRPr="0045643D">
        <w:rPr>
          <w:rFonts w:ascii="Times New Roman" w:hAnsi="Times New Roman" w:cs="Times New Roman"/>
          <w:sz w:val="24"/>
          <w:szCs w:val="24"/>
        </w:rPr>
        <w:t xml:space="preserve">, N., </w:t>
      </w:r>
      <w:proofErr w:type="spellStart"/>
      <w:r w:rsidRPr="0045643D">
        <w:rPr>
          <w:rFonts w:ascii="Times New Roman" w:hAnsi="Times New Roman" w:cs="Times New Roman"/>
          <w:sz w:val="24"/>
          <w:szCs w:val="24"/>
        </w:rPr>
        <w:t>Brauman</w:t>
      </w:r>
      <w:proofErr w:type="spellEnd"/>
      <w:r w:rsidRPr="0045643D">
        <w:rPr>
          <w:rFonts w:ascii="Times New Roman" w:hAnsi="Times New Roman" w:cs="Times New Roman"/>
          <w:sz w:val="24"/>
          <w:szCs w:val="24"/>
        </w:rPr>
        <w:t xml:space="preserve">, K. A., Cassidy, E. S., Gerber, J. S., Johnston, M., Mueller, N. D., O’Connell, C., Ray, D. K., West, P. C., Balzer, C., Bennett, E. M., Carpenter, S. R., Hill, J., </w:t>
      </w:r>
      <w:proofErr w:type="spellStart"/>
      <w:r w:rsidRPr="0045643D">
        <w:rPr>
          <w:rFonts w:ascii="Times New Roman" w:hAnsi="Times New Roman" w:cs="Times New Roman"/>
          <w:sz w:val="24"/>
          <w:szCs w:val="24"/>
        </w:rPr>
        <w:t>Monfreda</w:t>
      </w:r>
      <w:proofErr w:type="spellEnd"/>
      <w:r w:rsidRPr="0045643D">
        <w:rPr>
          <w:rFonts w:ascii="Times New Roman" w:hAnsi="Times New Roman" w:cs="Times New Roman"/>
          <w:sz w:val="24"/>
          <w:szCs w:val="24"/>
        </w:rPr>
        <w:t xml:space="preserve">, C., </w:t>
      </w:r>
      <w:proofErr w:type="spellStart"/>
      <w:r w:rsidRPr="0045643D">
        <w:rPr>
          <w:rFonts w:ascii="Times New Roman" w:hAnsi="Times New Roman" w:cs="Times New Roman"/>
          <w:sz w:val="24"/>
          <w:szCs w:val="24"/>
        </w:rPr>
        <w:t>Polasky</w:t>
      </w:r>
      <w:proofErr w:type="spellEnd"/>
      <w:r w:rsidRPr="0045643D">
        <w:rPr>
          <w:rFonts w:ascii="Times New Roman" w:hAnsi="Times New Roman" w:cs="Times New Roman"/>
          <w:sz w:val="24"/>
          <w:szCs w:val="24"/>
        </w:rPr>
        <w:t xml:space="preserve">, S., </w:t>
      </w:r>
      <w:proofErr w:type="spellStart"/>
      <w:r w:rsidRPr="0045643D">
        <w:rPr>
          <w:rFonts w:ascii="Times New Roman" w:hAnsi="Times New Roman" w:cs="Times New Roman"/>
          <w:sz w:val="24"/>
          <w:szCs w:val="24"/>
        </w:rPr>
        <w:t>Rockström</w:t>
      </w:r>
      <w:proofErr w:type="spellEnd"/>
      <w:r w:rsidRPr="0045643D">
        <w:rPr>
          <w:rFonts w:ascii="Times New Roman" w:hAnsi="Times New Roman" w:cs="Times New Roman"/>
          <w:sz w:val="24"/>
          <w:szCs w:val="24"/>
        </w:rPr>
        <w:t xml:space="preserve">, J., Sheehan, J., Siebert, S., … </w:t>
      </w:r>
      <w:proofErr w:type="spellStart"/>
      <w:r w:rsidRPr="0045643D">
        <w:rPr>
          <w:rFonts w:ascii="Times New Roman" w:hAnsi="Times New Roman" w:cs="Times New Roman"/>
          <w:sz w:val="24"/>
          <w:szCs w:val="24"/>
        </w:rPr>
        <w:t>Zaks</w:t>
      </w:r>
      <w:proofErr w:type="spellEnd"/>
      <w:r w:rsidRPr="0045643D">
        <w:rPr>
          <w:rFonts w:ascii="Times New Roman" w:hAnsi="Times New Roman" w:cs="Times New Roman"/>
          <w:sz w:val="24"/>
          <w:szCs w:val="24"/>
        </w:rPr>
        <w:t xml:space="preserve">, D. P. M. (2011). Solutions for a cultivated planet. </w:t>
      </w:r>
      <w:r w:rsidRPr="0045643D">
        <w:rPr>
          <w:rFonts w:ascii="Times New Roman" w:hAnsi="Times New Roman" w:cs="Times New Roman"/>
          <w:i/>
          <w:iCs/>
          <w:sz w:val="24"/>
          <w:szCs w:val="24"/>
        </w:rPr>
        <w:t>Nature</w:t>
      </w:r>
      <w:r w:rsidRPr="0045643D">
        <w:rPr>
          <w:rFonts w:ascii="Times New Roman" w:hAnsi="Times New Roman" w:cs="Times New Roman"/>
          <w:sz w:val="24"/>
          <w:szCs w:val="24"/>
        </w:rPr>
        <w:t>, 478(7369), 337–342. https://doi.org/10.1038/nature10452</w:t>
      </w:r>
    </w:p>
    <w:p w14:paraId="52C8A57B" w14:textId="77777777" w:rsidR="007F2FCD" w:rsidRPr="007F2FCD" w:rsidRDefault="007F2FCD" w:rsidP="007F2FCD">
      <w:pPr>
        <w:pStyle w:val="ListParagraph"/>
        <w:numPr>
          <w:ilvl w:val="0"/>
          <w:numId w:val="7"/>
        </w:numPr>
        <w:spacing w:line="360" w:lineRule="auto"/>
        <w:jc w:val="both"/>
        <w:rPr>
          <w:rFonts w:ascii="Times New Roman" w:hAnsi="Times New Roman" w:cs="Times New Roman"/>
          <w:color w:val="000000" w:themeColor="text1"/>
          <w:sz w:val="24"/>
          <w:lang w:val="en-US"/>
        </w:rPr>
      </w:pPr>
      <w:r w:rsidRPr="007F2FCD">
        <w:rPr>
          <w:rFonts w:ascii="Times New Roman" w:hAnsi="Times New Roman" w:cs="Times New Roman"/>
          <w:color w:val="000000" w:themeColor="text1"/>
          <w:sz w:val="24"/>
          <w:lang w:val="en-US"/>
        </w:rPr>
        <w:t xml:space="preserve">G, Muhilan, Bagavathi Ammal, U, </w:t>
      </w:r>
      <w:proofErr w:type="spellStart"/>
      <w:r w:rsidRPr="007F2FCD">
        <w:rPr>
          <w:rFonts w:ascii="Times New Roman" w:hAnsi="Times New Roman" w:cs="Times New Roman"/>
          <w:color w:val="000000" w:themeColor="text1"/>
          <w:sz w:val="24"/>
          <w:lang w:val="en-US"/>
        </w:rPr>
        <w:t>Pushpakanth</w:t>
      </w:r>
      <w:proofErr w:type="spellEnd"/>
      <w:r w:rsidRPr="007F2FCD">
        <w:rPr>
          <w:rFonts w:ascii="Times New Roman" w:hAnsi="Times New Roman" w:cs="Times New Roman"/>
          <w:color w:val="000000" w:themeColor="text1"/>
          <w:sz w:val="24"/>
          <w:lang w:val="en-US"/>
        </w:rPr>
        <w:t xml:space="preserve">, P, </w:t>
      </w:r>
      <w:proofErr w:type="spellStart"/>
      <w:r w:rsidRPr="007F2FCD">
        <w:rPr>
          <w:rFonts w:ascii="Times New Roman" w:hAnsi="Times New Roman" w:cs="Times New Roman"/>
          <w:color w:val="000000" w:themeColor="text1"/>
          <w:sz w:val="24"/>
          <w:lang w:val="en-US"/>
        </w:rPr>
        <w:t>Rajakumar</w:t>
      </w:r>
      <w:proofErr w:type="spellEnd"/>
      <w:r w:rsidRPr="007F2FCD">
        <w:rPr>
          <w:rFonts w:ascii="Times New Roman" w:hAnsi="Times New Roman" w:cs="Times New Roman"/>
          <w:color w:val="000000" w:themeColor="text1"/>
          <w:sz w:val="24"/>
          <w:lang w:val="en-US"/>
        </w:rPr>
        <w:t xml:space="preserve">, R, </w:t>
      </w:r>
      <w:proofErr w:type="spellStart"/>
      <w:r w:rsidRPr="007F2FCD">
        <w:rPr>
          <w:rFonts w:ascii="Times New Roman" w:hAnsi="Times New Roman" w:cs="Times New Roman"/>
          <w:color w:val="000000" w:themeColor="text1"/>
          <w:sz w:val="24"/>
          <w:lang w:val="en-US"/>
        </w:rPr>
        <w:t>Elavarasi</w:t>
      </w:r>
      <w:proofErr w:type="spellEnd"/>
      <w:r w:rsidRPr="007F2FCD">
        <w:rPr>
          <w:rFonts w:ascii="Times New Roman" w:hAnsi="Times New Roman" w:cs="Times New Roman"/>
          <w:color w:val="000000" w:themeColor="text1"/>
          <w:sz w:val="24"/>
          <w:lang w:val="en-US"/>
        </w:rPr>
        <w:t xml:space="preserve">, P, </w:t>
      </w:r>
      <w:proofErr w:type="spellStart"/>
      <w:r w:rsidRPr="007F2FCD">
        <w:rPr>
          <w:rFonts w:ascii="Times New Roman" w:hAnsi="Times New Roman" w:cs="Times New Roman"/>
          <w:color w:val="000000" w:themeColor="text1"/>
          <w:sz w:val="24"/>
          <w:lang w:val="en-US"/>
        </w:rPr>
        <w:t>Leninbabu</w:t>
      </w:r>
      <w:proofErr w:type="spellEnd"/>
      <w:r w:rsidRPr="007F2FCD">
        <w:rPr>
          <w:rFonts w:ascii="Times New Roman" w:hAnsi="Times New Roman" w:cs="Times New Roman"/>
          <w:color w:val="000000" w:themeColor="text1"/>
          <w:sz w:val="24"/>
          <w:lang w:val="en-US"/>
        </w:rPr>
        <w:t xml:space="preserve"> </w:t>
      </w:r>
      <w:r w:rsidRPr="007F2FCD">
        <w:rPr>
          <w:rFonts w:ascii="Times New Roman" w:hAnsi="Times New Roman" w:cs="Times New Roman"/>
          <w:color w:val="000000" w:themeColor="text1"/>
          <w:sz w:val="24"/>
          <w:lang w:val="en-US"/>
        </w:rPr>
        <w:tab/>
        <w:t xml:space="preserve">K. P, </w:t>
      </w:r>
      <w:proofErr w:type="spellStart"/>
      <w:r w:rsidRPr="007F2FCD">
        <w:rPr>
          <w:rFonts w:ascii="Times New Roman" w:hAnsi="Times New Roman" w:cs="Times New Roman"/>
          <w:color w:val="000000" w:themeColor="text1"/>
          <w:sz w:val="24"/>
          <w:lang w:val="en-US"/>
        </w:rPr>
        <w:t>Gandhimathi</w:t>
      </w:r>
      <w:proofErr w:type="spellEnd"/>
      <w:r w:rsidRPr="007F2FCD">
        <w:rPr>
          <w:rFonts w:ascii="Times New Roman" w:hAnsi="Times New Roman" w:cs="Times New Roman"/>
          <w:color w:val="000000" w:themeColor="text1"/>
          <w:sz w:val="24"/>
          <w:lang w:val="en-US"/>
        </w:rPr>
        <w:t xml:space="preserve">, R, and Venkatesan, V.G. 2025. “The Rhizosphere </w:t>
      </w:r>
      <w:proofErr w:type="spellStart"/>
      <w:r w:rsidRPr="007F2FCD">
        <w:rPr>
          <w:rFonts w:ascii="Times New Roman" w:hAnsi="Times New Roman" w:cs="Times New Roman"/>
          <w:color w:val="000000" w:themeColor="text1"/>
          <w:sz w:val="24"/>
          <w:lang w:val="en-US"/>
        </w:rPr>
        <w:t>Microbiome</w:t>
      </w:r>
      <w:proofErr w:type="spellEnd"/>
      <w:r w:rsidRPr="007F2FCD">
        <w:rPr>
          <w:rFonts w:ascii="Times New Roman" w:hAnsi="Times New Roman" w:cs="Times New Roman"/>
          <w:color w:val="000000" w:themeColor="text1"/>
          <w:sz w:val="24"/>
          <w:lang w:val="en-US"/>
        </w:rPr>
        <w:t xml:space="preserve"> </w:t>
      </w:r>
      <w:r w:rsidRPr="007F2FCD">
        <w:rPr>
          <w:rFonts w:ascii="Times New Roman" w:hAnsi="Times New Roman" w:cs="Times New Roman"/>
          <w:color w:val="000000" w:themeColor="text1"/>
          <w:sz w:val="24"/>
          <w:lang w:val="en-US"/>
        </w:rPr>
        <w:tab/>
        <w:t xml:space="preserve">Revolution: Leveraging Microbial Potential for Climate Resilience in Agriculture </w:t>
      </w:r>
      <w:r w:rsidRPr="007F2FCD">
        <w:rPr>
          <w:rFonts w:ascii="Times New Roman" w:hAnsi="Times New Roman" w:cs="Times New Roman"/>
          <w:color w:val="000000" w:themeColor="text1"/>
          <w:sz w:val="24"/>
          <w:lang w:val="en-US"/>
        </w:rPr>
        <w:tab/>
        <w:t xml:space="preserve">Systems and Modulating Positive Plant-Soil Feedback”. Asian Journal of Microbiology </w:t>
      </w:r>
      <w:r w:rsidRPr="007F2FCD">
        <w:rPr>
          <w:rFonts w:ascii="Times New Roman" w:hAnsi="Times New Roman" w:cs="Times New Roman"/>
          <w:color w:val="000000" w:themeColor="text1"/>
          <w:sz w:val="24"/>
          <w:lang w:val="en-US"/>
        </w:rPr>
        <w:tab/>
        <w:t>and Biotechnology 10 (2):44-61. https://doi.org/10.56557/ajmab/2025/v10i29561.</w:t>
      </w:r>
    </w:p>
    <w:p w14:paraId="7681333A" w14:textId="176AB753" w:rsidR="007F2FCD" w:rsidRPr="007F2FCD" w:rsidRDefault="007F2FCD" w:rsidP="007F2FCD">
      <w:pPr>
        <w:pStyle w:val="ListParagraph"/>
        <w:numPr>
          <w:ilvl w:val="0"/>
          <w:numId w:val="7"/>
        </w:numPr>
        <w:spacing w:line="360" w:lineRule="auto"/>
        <w:jc w:val="both"/>
        <w:rPr>
          <w:rFonts w:ascii="Times New Roman" w:hAnsi="Times New Roman" w:cs="Times New Roman"/>
          <w:color w:val="000000" w:themeColor="text1"/>
          <w:sz w:val="24"/>
          <w:lang w:val="en-US"/>
        </w:rPr>
      </w:pPr>
      <w:r w:rsidRPr="007F2FCD">
        <w:rPr>
          <w:rFonts w:ascii="Times New Roman" w:hAnsi="Times New Roman" w:cs="Times New Roman"/>
          <w:color w:val="000000" w:themeColor="text1"/>
          <w:sz w:val="24"/>
          <w:lang w:val="en-US"/>
        </w:rPr>
        <w:t xml:space="preserve">Gangadaran Muhilan, U. Bagavathi Ammal, Rangasamy </w:t>
      </w:r>
      <w:proofErr w:type="spellStart"/>
      <w:r w:rsidRPr="007F2FCD">
        <w:rPr>
          <w:rFonts w:ascii="Times New Roman" w:hAnsi="Times New Roman" w:cs="Times New Roman"/>
          <w:color w:val="000000" w:themeColor="text1"/>
          <w:sz w:val="24"/>
          <w:lang w:val="en-US"/>
        </w:rPr>
        <w:t>Rajakumar</w:t>
      </w:r>
      <w:proofErr w:type="spellEnd"/>
      <w:r w:rsidRPr="007F2FCD">
        <w:rPr>
          <w:rFonts w:ascii="Times New Roman" w:hAnsi="Times New Roman" w:cs="Times New Roman"/>
          <w:color w:val="000000" w:themeColor="text1"/>
          <w:sz w:val="24"/>
          <w:lang w:val="en-US"/>
        </w:rPr>
        <w:t xml:space="preserve"> and </w:t>
      </w:r>
      <w:proofErr w:type="spellStart"/>
      <w:r w:rsidRPr="007F2FCD">
        <w:rPr>
          <w:rFonts w:ascii="Times New Roman" w:hAnsi="Times New Roman" w:cs="Times New Roman"/>
          <w:color w:val="000000" w:themeColor="text1"/>
          <w:sz w:val="24"/>
          <w:lang w:val="en-US"/>
        </w:rPr>
        <w:t>Venkatraman</w:t>
      </w:r>
      <w:proofErr w:type="spellEnd"/>
      <w:r w:rsidRPr="007F2FCD">
        <w:rPr>
          <w:rFonts w:ascii="Times New Roman" w:hAnsi="Times New Roman" w:cs="Times New Roman"/>
          <w:color w:val="000000" w:themeColor="text1"/>
          <w:sz w:val="24"/>
          <w:lang w:val="en-US"/>
        </w:rPr>
        <w:t xml:space="preserve"> </w:t>
      </w:r>
      <w:proofErr w:type="spellStart"/>
      <w:r w:rsidRPr="007F2FCD">
        <w:rPr>
          <w:rFonts w:ascii="Times New Roman" w:hAnsi="Times New Roman" w:cs="Times New Roman"/>
          <w:color w:val="000000" w:themeColor="text1"/>
          <w:sz w:val="24"/>
          <w:lang w:val="en-US"/>
        </w:rPr>
        <w:t>Ganesan</w:t>
      </w:r>
      <w:proofErr w:type="spellEnd"/>
      <w:r w:rsidRPr="007F2FCD">
        <w:rPr>
          <w:rFonts w:ascii="Times New Roman" w:hAnsi="Times New Roman" w:cs="Times New Roman"/>
          <w:color w:val="000000" w:themeColor="text1"/>
          <w:sz w:val="24"/>
          <w:lang w:val="en-US"/>
        </w:rPr>
        <w:t xml:space="preserve"> Venkatesan. 2024</w:t>
      </w:r>
      <w:r>
        <w:rPr>
          <w:rFonts w:ascii="Times New Roman" w:hAnsi="Times New Roman" w:cs="Times New Roman"/>
          <w:color w:val="000000" w:themeColor="text1"/>
          <w:sz w:val="24"/>
          <w:lang w:val="en-US"/>
        </w:rPr>
        <w:t>a</w:t>
      </w:r>
      <w:r w:rsidRPr="007F2FCD">
        <w:rPr>
          <w:rFonts w:ascii="Times New Roman" w:hAnsi="Times New Roman" w:cs="Times New Roman"/>
          <w:color w:val="000000" w:themeColor="text1"/>
          <w:sz w:val="24"/>
          <w:lang w:val="en-US"/>
        </w:rPr>
        <w:t xml:space="preserve">. Black Treasure: Unlocking the Key Potential Effects of </w:t>
      </w:r>
      <w:proofErr w:type="spellStart"/>
      <w:r w:rsidRPr="007F2FCD">
        <w:rPr>
          <w:rFonts w:ascii="Times New Roman" w:hAnsi="Times New Roman" w:cs="Times New Roman"/>
          <w:color w:val="000000" w:themeColor="text1"/>
          <w:sz w:val="24"/>
          <w:lang w:val="en-US"/>
        </w:rPr>
        <w:t>Biochar</w:t>
      </w:r>
      <w:proofErr w:type="spellEnd"/>
      <w:r w:rsidRPr="007F2FCD">
        <w:rPr>
          <w:rFonts w:ascii="Times New Roman" w:hAnsi="Times New Roman" w:cs="Times New Roman"/>
          <w:color w:val="000000" w:themeColor="text1"/>
          <w:sz w:val="24"/>
          <w:lang w:val="en-US"/>
        </w:rPr>
        <w:t xml:space="preserve"> as Organic Input for Restoring Healthy Soil and Carbon Credit for Next-Gen </w:t>
      </w:r>
      <w:r w:rsidRPr="007F2FCD">
        <w:rPr>
          <w:rFonts w:ascii="Times New Roman" w:hAnsi="Times New Roman" w:cs="Times New Roman"/>
          <w:color w:val="000000" w:themeColor="text1"/>
          <w:sz w:val="24"/>
          <w:lang w:val="en-US"/>
        </w:rPr>
        <w:lastRenderedPageBreak/>
        <w:t xml:space="preserve">Agriculture in </w:t>
      </w:r>
      <w:proofErr w:type="spellStart"/>
      <w:r w:rsidRPr="007F2FCD">
        <w:rPr>
          <w:rFonts w:ascii="Times New Roman" w:hAnsi="Times New Roman" w:cs="Times New Roman"/>
          <w:color w:val="000000" w:themeColor="text1"/>
          <w:sz w:val="24"/>
          <w:lang w:val="en-US"/>
        </w:rPr>
        <w:t>Soil.Int.J.Curr.Microbiol.App.Sci</w:t>
      </w:r>
      <w:proofErr w:type="spellEnd"/>
      <w:r w:rsidRPr="007F2FCD">
        <w:rPr>
          <w:rFonts w:ascii="Times New Roman" w:hAnsi="Times New Roman" w:cs="Times New Roman"/>
          <w:color w:val="000000" w:themeColor="text1"/>
          <w:sz w:val="24"/>
          <w:lang w:val="en-US"/>
        </w:rPr>
        <w:t xml:space="preserve">. 13(12): 163-173. </w:t>
      </w:r>
      <w:proofErr w:type="spellStart"/>
      <w:r w:rsidRPr="007F2FCD">
        <w:rPr>
          <w:rFonts w:ascii="Times New Roman" w:hAnsi="Times New Roman" w:cs="Times New Roman"/>
          <w:color w:val="000000" w:themeColor="text1"/>
          <w:sz w:val="24"/>
          <w:lang w:val="en-US"/>
        </w:rPr>
        <w:t>doi</w:t>
      </w:r>
      <w:proofErr w:type="spellEnd"/>
      <w:r w:rsidRPr="007F2FCD">
        <w:rPr>
          <w:rFonts w:ascii="Times New Roman" w:hAnsi="Times New Roman" w:cs="Times New Roman"/>
          <w:color w:val="000000" w:themeColor="text1"/>
          <w:sz w:val="24"/>
          <w:lang w:val="en-US"/>
        </w:rPr>
        <w:t xml:space="preserve">: </w:t>
      </w:r>
      <w:r w:rsidRPr="007F2FCD">
        <w:rPr>
          <w:rFonts w:ascii="Times New Roman" w:hAnsi="Times New Roman" w:cs="Times New Roman"/>
          <w:color w:val="2E74B5" w:themeColor="accent5" w:themeShade="BF"/>
          <w:sz w:val="24"/>
          <w:u w:val="single"/>
          <w:lang w:val="en-US"/>
        </w:rPr>
        <w:t>https://doi.org/10.20546/ijcmas.2024.1312.018</w:t>
      </w:r>
    </w:p>
    <w:p w14:paraId="55972637" w14:textId="77777777" w:rsidR="007F2FCD" w:rsidRDefault="007F2FCD" w:rsidP="007F2FCD">
      <w:pPr>
        <w:pStyle w:val="ListParagraph"/>
        <w:numPr>
          <w:ilvl w:val="0"/>
          <w:numId w:val="7"/>
        </w:numPr>
        <w:spacing w:line="360" w:lineRule="auto"/>
        <w:jc w:val="both"/>
        <w:rPr>
          <w:rFonts w:ascii="Times New Roman" w:hAnsi="Times New Roman" w:cs="Times New Roman"/>
          <w:color w:val="000000" w:themeColor="text1"/>
          <w:sz w:val="24"/>
          <w:lang w:val="en-US"/>
        </w:rPr>
      </w:pPr>
      <w:r w:rsidRPr="007F2FCD">
        <w:rPr>
          <w:rFonts w:ascii="Times New Roman" w:hAnsi="Times New Roman" w:cs="Times New Roman"/>
          <w:color w:val="000000" w:themeColor="text1"/>
          <w:sz w:val="24"/>
          <w:lang w:val="en-US"/>
        </w:rPr>
        <w:t xml:space="preserve">Gangadaran Muhilan, </w:t>
      </w:r>
      <w:proofErr w:type="spellStart"/>
      <w:r w:rsidRPr="007F2FCD">
        <w:rPr>
          <w:rFonts w:ascii="Times New Roman" w:hAnsi="Times New Roman" w:cs="Times New Roman"/>
          <w:color w:val="000000" w:themeColor="text1"/>
          <w:sz w:val="24"/>
          <w:lang w:val="en-US"/>
        </w:rPr>
        <w:t>Venkatraman</w:t>
      </w:r>
      <w:proofErr w:type="spellEnd"/>
      <w:r w:rsidRPr="007F2FCD">
        <w:rPr>
          <w:rFonts w:ascii="Times New Roman" w:hAnsi="Times New Roman" w:cs="Times New Roman"/>
          <w:color w:val="000000" w:themeColor="text1"/>
          <w:sz w:val="24"/>
          <w:lang w:val="en-US"/>
        </w:rPr>
        <w:t xml:space="preserve"> </w:t>
      </w:r>
      <w:proofErr w:type="spellStart"/>
      <w:r w:rsidRPr="007F2FCD">
        <w:rPr>
          <w:rFonts w:ascii="Times New Roman" w:hAnsi="Times New Roman" w:cs="Times New Roman"/>
          <w:color w:val="000000" w:themeColor="text1"/>
          <w:sz w:val="24"/>
          <w:lang w:val="en-US"/>
        </w:rPr>
        <w:t>Ganesan</w:t>
      </w:r>
      <w:proofErr w:type="spellEnd"/>
      <w:r w:rsidRPr="007F2FCD">
        <w:rPr>
          <w:rFonts w:ascii="Times New Roman" w:hAnsi="Times New Roman" w:cs="Times New Roman"/>
          <w:color w:val="000000" w:themeColor="text1"/>
          <w:sz w:val="24"/>
          <w:lang w:val="en-US"/>
        </w:rPr>
        <w:t xml:space="preserve"> Venkatesan , A. Kalaiselvi, </w:t>
      </w:r>
      <w:proofErr w:type="spellStart"/>
      <w:r w:rsidRPr="007F2FCD">
        <w:rPr>
          <w:rFonts w:ascii="Times New Roman" w:hAnsi="Times New Roman" w:cs="Times New Roman"/>
          <w:color w:val="000000" w:themeColor="text1"/>
          <w:sz w:val="24"/>
          <w:lang w:val="en-US"/>
        </w:rPr>
        <w:t>Kannan</w:t>
      </w:r>
      <w:proofErr w:type="spellEnd"/>
      <w:r w:rsidRPr="007F2FCD">
        <w:rPr>
          <w:rFonts w:ascii="Times New Roman" w:hAnsi="Times New Roman" w:cs="Times New Roman"/>
          <w:color w:val="000000" w:themeColor="text1"/>
          <w:sz w:val="24"/>
          <w:lang w:val="en-US"/>
        </w:rPr>
        <w:t xml:space="preserve"> </w:t>
      </w:r>
      <w:proofErr w:type="spellStart"/>
      <w:r w:rsidRPr="007F2FCD">
        <w:rPr>
          <w:rFonts w:ascii="Times New Roman" w:hAnsi="Times New Roman" w:cs="Times New Roman"/>
          <w:color w:val="000000" w:themeColor="text1"/>
          <w:sz w:val="24"/>
          <w:lang w:val="en-US"/>
        </w:rPr>
        <w:t>Poongothai</w:t>
      </w:r>
      <w:proofErr w:type="spellEnd"/>
      <w:r w:rsidRPr="007F2FCD">
        <w:rPr>
          <w:rFonts w:ascii="Times New Roman" w:hAnsi="Times New Roman" w:cs="Times New Roman"/>
          <w:color w:val="000000" w:themeColor="text1"/>
          <w:sz w:val="24"/>
          <w:lang w:val="en-US"/>
        </w:rPr>
        <w:t xml:space="preserve"> </w:t>
      </w:r>
      <w:proofErr w:type="spellStart"/>
      <w:r w:rsidRPr="007F2FCD">
        <w:rPr>
          <w:rFonts w:ascii="Times New Roman" w:hAnsi="Times New Roman" w:cs="Times New Roman"/>
          <w:color w:val="000000" w:themeColor="text1"/>
          <w:sz w:val="24"/>
          <w:lang w:val="en-US"/>
        </w:rPr>
        <w:t>Leninbabu</w:t>
      </w:r>
      <w:proofErr w:type="spellEnd"/>
      <w:r w:rsidRPr="007F2FCD">
        <w:rPr>
          <w:rFonts w:ascii="Times New Roman" w:hAnsi="Times New Roman" w:cs="Times New Roman"/>
          <w:color w:val="000000" w:themeColor="text1"/>
          <w:sz w:val="24"/>
          <w:lang w:val="en-US"/>
        </w:rPr>
        <w:t xml:space="preserve">, S. </w:t>
      </w:r>
      <w:proofErr w:type="spellStart"/>
      <w:r w:rsidRPr="007F2FCD">
        <w:rPr>
          <w:rFonts w:ascii="Times New Roman" w:hAnsi="Times New Roman" w:cs="Times New Roman"/>
          <w:color w:val="000000" w:themeColor="text1"/>
          <w:sz w:val="24"/>
          <w:lang w:val="en-US"/>
        </w:rPr>
        <w:t>Harini</w:t>
      </w:r>
      <w:proofErr w:type="spellEnd"/>
      <w:r w:rsidRPr="007F2FCD">
        <w:rPr>
          <w:rFonts w:ascii="Times New Roman" w:hAnsi="Times New Roman" w:cs="Times New Roman"/>
          <w:color w:val="000000" w:themeColor="text1"/>
          <w:sz w:val="24"/>
          <w:lang w:val="en-US"/>
        </w:rPr>
        <w:t xml:space="preserve"> and </w:t>
      </w:r>
      <w:proofErr w:type="spellStart"/>
      <w:r w:rsidRPr="007F2FCD">
        <w:rPr>
          <w:rFonts w:ascii="Times New Roman" w:hAnsi="Times New Roman" w:cs="Times New Roman"/>
          <w:color w:val="000000" w:themeColor="text1"/>
          <w:sz w:val="24"/>
          <w:lang w:val="en-US"/>
        </w:rPr>
        <w:t>Karthikeyan</w:t>
      </w:r>
      <w:proofErr w:type="spellEnd"/>
      <w:r w:rsidRPr="007F2FCD">
        <w:rPr>
          <w:rFonts w:ascii="Times New Roman" w:hAnsi="Times New Roman" w:cs="Times New Roman"/>
          <w:color w:val="000000" w:themeColor="text1"/>
          <w:sz w:val="24"/>
          <w:lang w:val="en-US"/>
        </w:rPr>
        <w:t xml:space="preserve">, M.. 2024. Unravelling the Zone of Rhizosphere and its Biotic Interaction Over Plant – Soil </w:t>
      </w:r>
      <w:proofErr w:type="spellStart"/>
      <w:r w:rsidRPr="007F2FCD">
        <w:rPr>
          <w:rFonts w:ascii="Times New Roman" w:hAnsi="Times New Roman" w:cs="Times New Roman"/>
          <w:color w:val="000000" w:themeColor="text1"/>
          <w:sz w:val="24"/>
          <w:lang w:val="en-US"/>
        </w:rPr>
        <w:t>Relationship.Int.J.Curr.Microbiol.App.Sci</w:t>
      </w:r>
      <w:proofErr w:type="spellEnd"/>
      <w:r w:rsidRPr="007F2FCD">
        <w:rPr>
          <w:rFonts w:ascii="Times New Roman" w:hAnsi="Times New Roman" w:cs="Times New Roman"/>
          <w:color w:val="000000" w:themeColor="text1"/>
          <w:sz w:val="24"/>
          <w:lang w:val="en-US"/>
        </w:rPr>
        <w:t xml:space="preserve">. 13(11): 68-81. </w:t>
      </w:r>
      <w:proofErr w:type="spellStart"/>
      <w:r w:rsidRPr="007F2FCD">
        <w:rPr>
          <w:rFonts w:ascii="Times New Roman" w:hAnsi="Times New Roman" w:cs="Times New Roman"/>
          <w:color w:val="000000" w:themeColor="text1"/>
          <w:sz w:val="24"/>
          <w:lang w:val="en-US"/>
        </w:rPr>
        <w:t>doi</w:t>
      </w:r>
      <w:proofErr w:type="spellEnd"/>
      <w:r w:rsidRPr="007F2FCD">
        <w:rPr>
          <w:rFonts w:ascii="Times New Roman" w:hAnsi="Times New Roman" w:cs="Times New Roman"/>
          <w:color w:val="000000" w:themeColor="text1"/>
          <w:sz w:val="24"/>
          <w:lang w:val="en-US"/>
        </w:rPr>
        <w:t xml:space="preserve">: </w:t>
      </w:r>
      <w:r w:rsidRPr="007F2FCD">
        <w:rPr>
          <w:rFonts w:ascii="Times New Roman" w:hAnsi="Times New Roman" w:cs="Times New Roman"/>
          <w:color w:val="2E74B5" w:themeColor="accent5" w:themeShade="BF"/>
          <w:sz w:val="24"/>
          <w:u w:val="single"/>
          <w:lang w:val="en-US"/>
        </w:rPr>
        <w:t>https://doi.org/10.20546/ijcmas.2024.1311.009</w:t>
      </w:r>
    </w:p>
    <w:p w14:paraId="22A1E66C"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Hunter, M. C., Smith, R. G., </w:t>
      </w:r>
      <w:proofErr w:type="spellStart"/>
      <w:r w:rsidRPr="0045643D">
        <w:rPr>
          <w:rFonts w:ascii="Times New Roman" w:hAnsi="Times New Roman" w:cs="Times New Roman"/>
          <w:sz w:val="24"/>
          <w:szCs w:val="24"/>
        </w:rPr>
        <w:t>Schipanski</w:t>
      </w:r>
      <w:proofErr w:type="spellEnd"/>
      <w:r w:rsidRPr="0045643D">
        <w:rPr>
          <w:rFonts w:ascii="Times New Roman" w:hAnsi="Times New Roman" w:cs="Times New Roman"/>
          <w:sz w:val="24"/>
          <w:szCs w:val="24"/>
        </w:rPr>
        <w:t xml:space="preserve">, M. E., Atwood, L. W., &amp; Mortensen, D. A. (2017). Agriculture in 2050: Recalibrating targets for sustainable intensification. </w:t>
      </w:r>
      <w:r w:rsidRPr="0045643D">
        <w:rPr>
          <w:rFonts w:ascii="Times New Roman" w:hAnsi="Times New Roman" w:cs="Times New Roman"/>
          <w:i/>
          <w:iCs/>
          <w:sz w:val="24"/>
          <w:szCs w:val="24"/>
        </w:rPr>
        <w:t>Bioscience</w:t>
      </w:r>
      <w:r w:rsidRPr="0045643D">
        <w:rPr>
          <w:rFonts w:ascii="Times New Roman" w:hAnsi="Times New Roman" w:cs="Times New Roman"/>
          <w:sz w:val="24"/>
          <w:szCs w:val="24"/>
        </w:rPr>
        <w:t>, 67(4), 386–391. https://doi.org/10.1093/biosci/bix010</w:t>
      </w:r>
    </w:p>
    <w:p w14:paraId="381179ED"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proofErr w:type="spellStart"/>
      <w:r w:rsidRPr="0045643D">
        <w:rPr>
          <w:rFonts w:ascii="Times New Roman" w:hAnsi="Times New Roman" w:cs="Times New Roman"/>
          <w:sz w:val="24"/>
          <w:szCs w:val="24"/>
        </w:rPr>
        <w:t>Kaminsky</w:t>
      </w:r>
      <w:proofErr w:type="spellEnd"/>
      <w:r w:rsidRPr="0045643D">
        <w:rPr>
          <w:rFonts w:ascii="Times New Roman" w:hAnsi="Times New Roman" w:cs="Times New Roman"/>
          <w:sz w:val="24"/>
          <w:szCs w:val="24"/>
        </w:rPr>
        <w:t xml:space="preserve">, L. M., Trexler, R. V., Malik, R. J., Hockett, K. L., &amp; Bell, T. H. (2019). The inherent conflicts in developing soil microbial inoculants. </w:t>
      </w:r>
      <w:r w:rsidRPr="0045643D">
        <w:rPr>
          <w:rFonts w:ascii="Times New Roman" w:hAnsi="Times New Roman" w:cs="Times New Roman"/>
          <w:i/>
          <w:iCs/>
          <w:sz w:val="24"/>
          <w:szCs w:val="24"/>
        </w:rPr>
        <w:t>Trends in Biotechnology</w:t>
      </w:r>
      <w:r w:rsidRPr="0045643D">
        <w:rPr>
          <w:rFonts w:ascii="Times New Roman" w:hAnsi="Times New Roman" w:cs="Times New Roman"/>
          <w:sz w:val="24"/>
          <w:szCs w:val="24"/>
        </w:rPr>
        <w:t xml:space="preserve">, 37(2), 140–151. </w:t>
      </w:r>
      <w:hyperlink r:id="rId9" w:tgtFrame="_new" w:history="1">
        <w:r w:rsidRPr="0045643D">
          <w:rPr>
            <w:rStyle w:val="Hyperlink"/>
            <w:rFonts w:ascii="Times New Roman" w:hAnsi="Times New Roman" w:cs="Times New Roman"/>
            <w:sz w:val="24"/>
            <w:szCs w:val="24"/>
          </w:rPr>
          <w:t>https://doi.org/10.1016/j.tibtech.2018.11.011</w:t>
        </w:r>
      </w:hyperlink>
    </w:p>
    <w:p w14:paraId="117F57E3"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proofErr w:type="spellStart"/>
      <w:r w:rsidRPr="0045643D">
        <w:rPr>
          <w:rFonts w:ascii="Times New Roman" w:hAnsi="Times New Roman" w:cs="Times New Roman"/>
          <w:sz w:val="24"/>
          <w:szCs w:val="24"/>
        </w:rPr>
        <w:t>Kehe</w:t>
      </w:r>
      <w:proofErr w:type="spellEnd"/>
      <w:r w:rsidRPr="0045643D">
        <w:rPr>
          <w:rFonts w:ascii="Times New Roman" w:hAnsi="Times New Roman" w:cs="Times New Roman"/>
          <w:sz w:val="24"/>
          <w:szCs w:val="24"/>
        </w:rPr>
        <w:t xml:space="preserve">, J., </w:t>
      </w:r>
      <w:proofErr w:type="spellStart"/>
      <w:r w:rsidRPr="0045643D">
        <w:rPr>
          <w:rFonts w:ascii="Times New Roman" w:hAnsi="Times New Roman" w:cs="Times New Roman"/>
          <w:sz w:val="24"/>
          <w:szCs w:val="24"/>
        </w:rPr>
        <w:t>Kulesa</w:t>
      </w:r>
      <w:proofErr w:type="spellEnd"/>
      <w:r w:rsidRPr="0045643D">
        <w:rPr>
          <w:rFonts w:ascii="Times New Roman" w:hAnsi="Times New Roman" w:cs="Times New Roman"/>
          <w:sz w:val="24"/>
          <w:szCs w:val="24"/>
        </w:rPr>
        <w:t xml:space="preserve">, A., Ortiz, A., Ackerman, C. M., </w:t>
      </w:r>
      <w:proofErr w:type="spellStart"/>
      <w:r w:rsidRPr="0045643D">
        <w:rPr>
          <w:rFonts w:ascii="Times New Roman" w:hAnsi="Times New Roman" w:cs="Times New Roman"/>
          <w:sz w:val="24"/>
          <w:szCs w:val="24"/>
        </w:rPr>
        <w:t>Thakku</w:t>
      </w:r>
      <w:proofErr w:type="spellEnd"/>
      <w:r w:rsidRPr="0045643D">
        <w:rPr>
          <w:rFonts w:ascii="Times New Roman" w:hAnsi="Times New Roman" w:cs="Times New Roman"/>
          <w:sz w:val="24"/>
          <w:szCs w:val="24"/>
        </w:rPr>
        <w:t xml:space="preserve">, S. G., Sellers, D., Kuehn, S., Gore, J., Friedman, J., &amp; Blainey, P. C. (2019). Massively parallel screening of synthetic microbial communities. </w:t>
      </w:r>
      <w:r w:rsidRPr="0045643D">
        <w:rPr>
          <w:rFonts w:ascii="Times New Roman" w:hAnsi="Times New Roman" w:cs="Times New Roman"/>
          <w:i/>
          <w:iCs/>
          <w:sz w:val="24"/>
          <w:szCs w:val="24"/>
        </w:rPr>
        <w:t>Proceedings of the National Academy of Sciences of the United States of America</w:t>
      </w:r>
      <w:r w:rsidRPr="0045643D">
        <w:rPr>
          <w:rFonts w:ascii="Times New Roman" w:hAnsi="Times New Roman" w:cs="Times New Roman"/>
          <w:sz w:val="24"/>
          <w:szCs w:val="24"/>
        </w:rPr>
        <w:t xml:space="preserve">, 116(26), 12804–12809. </w:t>
      </w:r>
      <w:hyperlink r:id="rId10" w:tgtFrame="_new" w:history="1">
        <w:r w:rsidRPr="0045643D">
          <w:rPr>
            <w:rStyle w:val="Hyperlink"/>
            <w:rFonts w:ascii="Times New Roman" w:hAnsi="Times New Roman" w:cs="Times New Roman"/>
            <w:sz w:val="24"/>
            <w:szCs w:val="24"/>
          </w:rPr>
          <w:t>https://doi.org/10.1073/pnas.1900102116</w:t>
        </w:r>
      </w:hyperlink>
    </w:p>
    <w:p w14:paraId="5D5B4A53" w14:textId="77777777" w:rsidR="007F2FCD" w:rsidRPr="007F2FCD" w:rsidRDefault="007F2FCD" w:rsidP="007F2FCD">
      <w:pPr>
        <w:pStyle w:val="ListParagraph"/>
        <w:numPr>
          <w:ilvl w:val="0"/>
          <w:numId w:val="7"/>
        </w:numPr>
        <w:spacing w:line="360" w:lineRule="auto"/>
        <w:jc w:val="both"/>
        <w:rPr>
          <w:rFonts w:ascii="Times New Roman" w:hAnsi="Times New Roman" w:cs="Times New Roman"/>
          <w:sz w:val="24"/>
          <w:lang w:val="en-US"/>
        </w:rPr>
      </w:pPr>
      <w:proofErr w:type="spellStart"/>
      <w:r w:rsidRPr="007F2FCD">
        <w:rPr>
          <w:rFonts w:ascii="Times New Roman" w:hAnsi="Times New Roman" w:cs="Times New Roman"/>
          <w:sz w:val="24"/>
          <w:lang w:val="en-US"/>
        </w:rPr>
        <w:t>Koushal</w:t>
      </w:r>
      <w:proofErr w:type="spellEnd"/>
      <w:r w:rsidRPr="007F2FCD">
        <w:rPr>
          <w:rFonts w:ascii="Times New Roman" w:hAnsi="Times New Roman" w:cs="Times New Roman"/>
          <w:sz w:val="24"/>
          <w:lang w:val="en-US"/>
        </w:rPr>
        <w:t xml:space="preserve">, S., </w:t>
      </w:r>
      <w:proofErr w:type="spellStart"/>
      <w:r w:rsidRPr="007F2FCD">
        <w:rPr>
          <w:rFonts w:ascii="Times New Roman" w:hAnsi="Times New Roman" w:cs="Times New Roman"/>
          <w:sz w:val="24"/>
          <w:lang w:val="en-US"/>
        </w:rPr>
        <w:t>Kanagalabavi</w:t>
      </w:r>
      <w:proofErr w:type="spellEnd"/>
      <w:r w:rsidRPr="007F2FCD">
        <w:rPr>
          <w:rFonts w:ascii="Times New Roman" w:hAnsi="Times New Roman" w:cs="Times New Roman"/>
          <w:sz w:val="24"/>
          <w:lang w:val="en-US"/>
        </w:rPr>
        <w:t xml:space="preserve">, A. C., Kumar, A., Arya, D., </w:t>
      </w:r>
      <w:proofErr w:type="spellStart"/>
      <w:r w:rsidRPr="007F2FCD">
        <w:rPr>
          <w:rFonts w:ascii="Times New Roman" w:hAnsi="Times New Roman" w:cs="Times New Roman"/>
          <w:sz w:val="24"/>
          <w:lang w:val="en-US"/>
        </w:rPr>
        <w:t>Nehul</w:t>
      </w:r>
      <w:proofErr w:type="spellEnd"/>
      <w:r w:rsidRPr="007F2FCD">
        <w:rPr>
          <w:rFonts w:ascii="Times New Roman" w:hAnsi="Times New Roman" w:cs="Times New Roman"/>
          <w:sz w:val="24"/>
          <w:lang w:val="en-US"/>
        </w:rPr>
        <w:t xml:space="preserve">, J. N., </w:t>
      </w:r>
      <w:proofErr w:type="spellStart"/>
      <w:r w:rsidRPr="007F2FCD">
        <w:rPr>
          <w:rFonts w:ascii="Times New Roman" w:hAnsi="Times New Roman" w:cs="Times New Roman"/>
          <w:sz w:val="24"/>
          <w:lang w:val="en-US"/>
        </w:rPr>
        <w:t>Panigrahi</w:t>
      </w:r>
      <w:proofErr w:type="spellEnd"/>
      <w:r w:rsidRPr="007F2FCD">
        <w:rPr>
          <w:rFonts w:ascii="Times New Roman" w:hAnsi="Times New Roman" w:cs="Times New Roman"/>
          <w:sz w:val="24"/>
          <w:lang w:val="en-US"/>
        </w:rPr>
        <w:t xml:space="preserve">, C. K., </w:t>
      </w:r>
      <w:proofErr w:type="spellStart"/>
      <w:r w:rsidRPr="007F2FCD">
        <w:rPr>
          <w:rFonts w:ascii="Times New Roman" w:hAnsi="Times New Roman" w:cs="Times New Roman"/>
          <w:sz w:val="24"/>
          <w:lang w:val="en-US"/>
        </w:rPr>
        <w:t>Haloi</w:t>
      </w:r>
      <w:proofErr w:type="spellEnd"/>
      <w:r w:rsidRPr="007F2FCD">
        <w:rPr>
          <w:rFonts w:ascii="Times New Roman" w:hAnsi="Times New Roman" w:cs="Times New Roman"/>
          <w:sz w:val="24"/>
          <w:lang w:val="en-US"/>
        </w:rPr>
        <w:t xml:space="preserve">, D., Chauhan, N., &amp; G, M. (2025). Bioremediation of Soil Pollution: An Effective Approach for Sustainable Agriculture. International Journal of Plant &amp; Soil Science, 37(1), 400–410. </w:t>
      </w:r>
      <w:r w:rsidRPr="007F2FCD">
        <w:rPr>
          <w:rFonts w:ascii="Times New Roman" w:hAnsi="Times New Roman" w:cs="Times New Roman"/>
          <w:color w:val="2E74B5" w:themeColor="accent5" w:themeShade="BF"/>
          <w:sz w:val="24"/>
          <w:u w:val="single"/>
          <w:lang w:val="en-US"/>
        </w:rPr>
        <w:t>https://doi.org/10.9734/ijpss/2025/v37i15282</w:t>
      </w:r>
    </w:p>
    <w:p w14:paraId="123F2819"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Lawrence Livermore National Laboratory. (2025). Digging into the soil microbiome (</w:t>
      </w:r>
      <w:r w:rsidRPr="0045643D">
        <w:rPr>
          <w:rFonts w:ascii="Times New Roman" w:hAnsi="Times New Roman" w:cs="Times New Roman"/>
          <w:i/>
          <w:iCs/>
          <w:sz w:val="24"/>
          <w:szCs w:val="24"/>
        </w:rPr>
        <w:t>Science &amp; Technology Review</w:t>
      </w:r>
      <w:r w:rsidRPr="0045643D">
        <w:rPr>
          <w:rFonts w:ascii="Times New Roman" w:hAnsi="Times New Roman" w:cs="Times New Roman"/>
          <w:sz w:val="24"/>
          <w:szCs w:val="24"/>
        </w:rPr>
        <w:t xml:space="preserve">, March 2025). Lawrence Livermore Natl. Lab. (LLNL). </w:t>
      </w:r>
      <w:hyperlink r:id="rId11" w:tgtFrame="_new" w:history="1">
        <w:r w:rsidRPr="0045643D">
          <w:rPr>
            <w:rStyle w:val="Hyperlink"/>
            <w:rFonts w:ascii="Times New Roman" w:hAnsi="Times New Roman" w:cs="Times New Roman"/>
            <w:sz w:val="24"/>
            <w:szCs w:val="24"/>
          </w:rPr>
          <w:t>https://str.llnl.gov/str-march-2025/digging-into-soil-microbiome</w:t>
        </w:r>
      </w:hyperlink>
    </w:p>
    <w:p w14:paraId="1BF207AC" w14:textId="77777777" w:rsidR="007F2FCD" w:rsidRDefault="007F2FC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Prosser, J. I., </w:t>
      </w:r>
      <w:proofErr w:type="spellStart"/>
      <w:r w:rsidRPr="0045643D">
        <w:rPr>
          <w:rFonts w:ascii="Times New Roman" w:hAnsi="Times New Roman" w:cs="Times New Roman"/>
          <w:sz w:val="24"/>
          <w:szCs w:val="24"/>
        </w:rPr>
        <w:t>Hink</w:t>
      </w:r>
      <w:proofErr w:type="spellEnd"/>
      <w:r w:rsidRPr="0045643D">
        <w:rPr>
          <w:rFonts w:ascii="Times New Roman" w:hAnsi="Times New Roman" w:cs="Times New Roman"/>
          <w:sz w:val="24"/>
          <w:szCs w:val="24"/>
        </w:rPr>
        <w:t xml:space="preserve">, L., </w:t>
      </w:r>
      <w:proofErr w:type="spellStart"/>
      <w:r w:rsidRPr="0045643D">
        <w:rPr>
          <w:rFonts w:ascii="Times New Roman" w:hAnsi="Times New Roman" w:cs="Times New Roman"/>
          <w:sz w:val="24"/>
          <w:szCs w:val="24"/>
        </w:rPr>
        <w:t>Gubry-Rangin</w:t>
      </w:r>
      <w:proofErr w:type="spellEnd"/>
      <w:r w:rsidRPr="0045643D">
        <w:rPr>
          <w:rFonts w:ascii="Times New Roman" w:hAnsi="Times New Roman" w:cs="Times New Roman"/>
          <w:sz w:val="24"/>
          <w:szCs w:val="24"/>
        </w:rPr>
        <w:t xml:space="preserve">, C., &amp; Nicol, G. W. (2020). Nitrous oxide production by ammonia oxidizers: Physiological diversity, niche differentiation and potential mitigation strategies. </w:t>
      </w:r>
      <w:r w:rsidRPr="0045643D">
        <w:rPr>
          <w:rFonts w:ascii="Times New Roman" w:hAnsi="Times New Roman" w:cs="Times New Roman"/>
          <w:i/>
          <w:iCs/>
          <w:sz w:val="24"/>
          <w:szCs w:val="24"/>
        </w:rPr>
        <w:t>Global Change Biology</w:t>
      </w:r>
      <w:r w:rsidRPr="0045643D">
        <w:rPr>
          <w:rFonts w:ascii="Times New Roman" w:hAnsi="Times New Roman" w:cs="Times New Roman"/>
          <w:sz w:val="24"/>
          <w:szCs w:val="24"/>
        </w:rPr>
        <w:t>, 26(1), 103–118. https://doi.org/10.1111/gcb.14877</w:t>
      </w:r>
    </w:p>
    <w:p w14:paraId="2F1D1AFE"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proofErr w:type="spellStart"/>
      <w:r w:rsidRPr="0045643D">
        <w:rPr>
          <w:rFonts w:ascii="Times New Roman" w:hAnsi="Times New Roman" w:cs="Times New Roman"/>
          <w:sz w:val="24"/>
          <w:szCs w:val="24"/>
        </w:rPr>
        <w:lastRenderedPageBreak/>
        <w:t>Reay</w:t>
      </w:r>
      <w:proofErr w:type="spellEnd"/>
      <w:r w:rsidRPr="0045643D">
        <w:rPr>
          <w:rFonts w:ascii="Times New Roman" w:hAnsi="Times New Roman" w:cs="Times New Roman"/>
          <w:sz w:val="24"/>
          <w:szCs w:val="24"/>
        </w:rPr>
        <w:t xml:space="preserve">, D. S., Davidson, E. A., Smith, K. A., Smith, P., Melillo, J. M., </w:t>
      </w:r>
      <w:proofErr w:type="spellStart"/>
      <w:r w:rsidRPr="0045643D">
        <w:rPr>
          <w:rFonts w:ascii="Times New Roman" w:hAnsi="Times New Roman" w:cs="Times New Roman"/>
          <w:sz w:val="24"/>
          <w:szCs w:val="24"/>
        </w:rPr>
        <w:t>Dentener</w:t>
      </w:r>
      <w:proofErr w:type="spellEnd"/>
      <w:r w:rsidRPr="0045643D">
        <w:rPr>
          <w:rFonts w:ascii="Times New Roman" w:hAnsi="Times New Roman" w:cs="Times New Roman"/>
          <w:sz w:val="24"/>
          <w:szCs w:val="24"/>
        </w:rPr>
        <w:t xml:space="preserve">, F., &amp; </w:t>
      </w:r>
      <w:proofErr w:type="spellStart"/>
      <w:r w:rsidRPr="0045643D">
        <w:rPr>
          <w:rFonts w:ascii="Times New Roman" w:hAnsi="Times New Roman" w:cs="Times New Roman"/>
          <w:sz w:val="24"/>
          <w:szCs w:val="24"/>
        </w:rPr>
        <w:t>Crutzen</w:t>
      </w:r>
      <w:proofErr w:type="spellEnd"/>
      <w:r w:rsidRPr="0045643D">
        <w:rPr>
          <w:rFonts w:ascii="Times New Roman" w:hAnsi="Times New Roman" w:cs="Times New Roman"/>
          <w:sz w:val="24"/>
          <w:szCs w:val="24"/>
        </w:rPr>
        <w:t xml:space="preserve">, P. J. (2012). Global agriculture and nitrous oxide emissions. </w:t>
      </w:r>
      <w:r w:rsidRPr="0045643D">
        <w:rPr>
          <w:rFonts w:ascii="Times New Roman" w:hAnsi="Times New Roman" w:cs="Times New Roman"/>
          <w:i/>
          <w:iCs/>
          <w:sz w:val="24"/>
          <w:szCs w:val="24"/>
        </w:rPr>
        <w:t>Nature Climate Change</w:t>
      </w:r>
      <w:r w:rsidRPr="0045643D">
        <w:rPr>
          <w:rFonts w:ascii="Times New Roman" w:hAnsi="Times New Roman" w:cs="Times New Roman"/>
          <w:sz w:val="24"/>
          <w:szCs w:val="24"/>
        </w:rPr>
        <w:t>, 2(6), 410–416. https://doi.org/10.1038/nclimate1458</w:t>
      </w:r>
    </w:p>
    <w:p w14:paraId="0AA13D05"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proofErr w:type="spellStart"/>
      <w:r w:rsidRPr="0045643D">
        <w:rPr>
          <w:rFonts w:ascii="Times New Roman" w:hAnsi="Times New Roman" w:cs="Times New Roman"/>
          <w:sz w:val="24"/>
          <w:szCs w:val="24"/>
        </w:rPr>
        <w:t>Shayanthan</w:t>
      </w:r>
      <w:proofErr w:type="spellEnd"/>
      <w:r w:rsidRPr="0045643D">
        <w:rPr>
          <w:rFonts w:ascii="Times New Roman" w:hAnsi="Times New Roman" w:cs="Times New Roman"/>
          <w:sz w:val="24"/>
          <w:szCs w:val="24"/>
        </w:rPr>
        <w:t xml:space="preserve">, A., </w:t>
      </w:r>
      <w:proofErr w:type="spellStart"/>
      <w:r w:rsidRPr="0045643D">
        <w:rPr>
          <w:rFonts w:ascii="Times New Roman" w:hAnsi="Times New Roman" w:cs="Times New Roman"/>
          <w:sz w:val="24"/>
          <w:szCs w:val="24"/>
        </w:rPr>
        <w:t>Ordoñez</w:t>
      </w:r>
      <w:proofErr w:type="spellEnd"/>
      <w:r w:rsidRPr="0045643D">
        <w:rPr>
          <w:rFonts w:ascii="Times New Roman" w:hAnsi="Times New Roman" w:cs="Times New Roman"/>
          <w:sz w:val="24"/>
          <w:szCs w:val="24"/>
        </w:rPr>
        <w:t xml:space="preserve">, P. A. C., &amp; </w:t>
      </w:r>
      <w:proofErr w:type="spellStart"/>
      <w:r w:rsidRPr="0045643D">
        <w:rPr>
          <w:rFonts w:ascii="Times New Roman" w:hAnsi="Times New Roman" w:cs="Times New Roman"/>
          <w:sz w:val="24"/>
          <w:szCs w:val="24"/>
        </w:rPr>
        <w:t>Oresnik</w:t>
      </w:r>
      <w:proofErr w:type="spellEnd"/>
      <w:r w:rsidRPr="0045643D">
        <w:rPr>
          <w:rFonts w:ascii="Times New Roman" w:hAnsi="Times New Roman" w:cs="Times New Roman"/>
          <w:sz w:val="24"/>
          <w:szCs w:val="24"/>
        </w:rPr>
        <w:t>, I. J. (2022). The role of synthetic microbial communities (</w:t>
      </w:r>
      <w:proofErr w:type="spellStart"/>
      <w:r w:rsidRPr="0045643D">
        <w:rPr>
          <w:rFonts w:ascii="Times New Roman" w:hAnsi="Times New Roman" w:cs="Times New Roman"/>
          <w:sz w:val="24"/>
          <w:szCs w:val="24"/>
        </w:rPr>
        <w:t>SynCom</w:t>
      </w:r>
      <w:proofErr w:type="spellEnd"/>
      <w:r w:rsidRPr="0045643D">
        <w:rPr>
          <w:rFonts w:ascii="Times New Roman" w:hAnsi="Times New Roman" w:cs="Times New Roman"/>
          <w:sz w:val="24"/>
          <w:szCs w:val="24"/>
        </w:rPr>
        <w:t xml:space="preserve">) in sustainable agriculture. </w:t>
      </w:r>
      <w:r w:rsidRPr="0045643D">
        <w:rPr>
          <w:rFonts w:ascii="Times New Roman" w:hAnsi="Times New Roman" w:cs="Times New Roman"/>
          <w:i/>
          <w:iCs/>
          <w:sz w:val="24"/>
          <w:szCs w:val="24"/>
        </w:rPr>
        <w:t>Frontiers in Agronomy</w:t>
      </w:r>
      <w:r w:rsidRPr="0045643D">
        <w:rPr>
          <w:rFonts w:ascii="Times New Roman" w:hAnsi="Times New Roman" w:cs="Times New Roman"/>
          <w:sz w:val="24"/>
          <w:szCs w:val="24"/>
        </w:rPr>
        <w:t xml:space="preserve">, 4, 896307. </w:t>
      </w:r>
      <w:hyperlink r:id="rId12" w:tgtFrame="_new" w:history="1">
        <w:r w:rsidRPr="0045643D">
          <w:rPr>
            <w:rStyle w:val="Hyperlink"/>
            <w:rFonts w:ascii="Times New Roman" w:hAnsi="Times New Roman" w:cs="Times New Roman"/>
            <w:sz w:val="24"/>
            <w:szCs w:val="24"/>
          </w:rPr>
          <w:t>https://doi.org/10.3389/fagro.2022.896307</w:t>
        </w:r>
      </w:hyperlink>
    </w:p>
    <w:p w14:paraId="66AEABE0" w14:textId="77777777" w:rsidR="007F2FCD" w:rsidRDefault="007F2FCD" w:rsidP="007F2FCD">
      <w:pPr>
        <w:pStyle w:val="ListParagraph"/>
        <w:numPr>
          <w:ilvl w:val="0"/>
          <w:numId w:val="7"/>
        </w:numPr>
        <w:spacing w:line="360" w:lineRule="auto"/>
        <w:jc w:val="both"/>
        <w:rPr>
          <w:rFonts w:ascii="Times New Roman" w:hAnsi="Times New Roman" w:cs="Times New Roman"/>
          <w:sz w:val="24"/>
          <w:lang w:val="en-US"/>
        </w:rPr>
      </w:pPr>
      <w:r w:rsidRPr="007F2FCD">
        <w:rPr>
          <w:rFonts w:ascii="Times New Roman" w:hAnsi="Times New Roman" w:cs="Times New Roman"/>
          <w:sz w:val="24"/>
          <w:lang w:val="en-US"/>
        </w:rPr>
        <w:t xml:space="preserve">V.G, Venkatesan, N. </w:t>
      </w:r>
      <w:proofErr w:type="spellStart"/>
      <w:r w:rsidRPr="007F2FCD">
        <w:rPr>
          <w:rFonts w:ascii="Times New Roman" w:hAnsi="Times New Roman" w:cs="Times New Roman"/>
          <w:sz w:val="24"/>
          <w:lang w:val="en-US"/>
        </w:rPr>
        <w:t>Indianraj</w:t>
      </w:r>
      <w:proofErr w:type="spellEnd"/>
      <w:r w:rsidRPr="007F2FCD">
        <w:rPr>
          <w:rFonts w:ascii="Times New Roman" w:hAnsi="Times New Roman" w:cs="Times New Roman"/>
          <w:sz w:val="24"/>
          <w:lang w:val="en-US"/>
        </w:rPr>
        <w:t xml:space="preserve">, G. Muhilan, N. Naveen, and M. </w:t>
      </w:r>
      <w:proofErr w:type="spellStart"/>
      <w:r w:rsidRPr="007F2FCD">
        <w:rPr>
          <w:rFonts w:ascii="Times New Roman" w:hAnsi="Times New Roman" w:cs="Times New Roman"/>
          <w:sz w:val="24"/>
          <w:lang w:val="en-US"/>
        </w:rPr>
        <w:t>Karthikeyan</w:t>
      </w:r>
      <w:proofErr w:type="spellEnd"/>
      <w:r w:rsidRPr="007F2FCD">
        <w:rPr>
          <w:rFonts w:ascii="Times New Roman" w:hAnsi="Times New Roman" w:cs="Times New Roman"/>
          <w:sz w:val="24"/>
          <w:lang w:val="en-US"/>
        </w:rPr>
        <w:t xml:space="preserve">. 2024. “Organic </w:t>
      </w:r>
      <w:r w:rsidRPr="007F2FCD">
        <w:rPr>
          <w:rFonts w:ascii="Times New Roman" w:hAnsi="Times New Roman" w:cs="Times New Roman"/>
          <w:sz w:val="24"/>
          <w:lang w:val="en-US"/>
        </w:rPr>
        <w:tab/>
        <w:t xml:space="preserve">Farming in India: A Dual Strategy for Climate Change Adaptation and Mitigation”. </w:t>
      </w:r>
      <w:r w:rsidRPr="007F2FCD">
        <w:rPr>
          <w:rFonts w:ascii="Times New Roman" w:hAnsi="Times New Roman" w:cs="Times New Roman"/>
          <w:sz w:val="24"/>
          <w:lang w:val="en-US"/>
        </w:rPr>
        <w:tab/>
        <w:t xml:space="preserve">International Journal of Environment and Climate Change 14 (11):755-64. </w:t>
      </w:r>
      <w:r w:rsidRPr="007F2FCD">
        <w:rPr>
          <w:rFonts w:ascii="Times New Roman" w:hAnsi="Times New Roman" w:cs="Times New Roman"/>
          <w:sz w:val="24"/>
          <w:lang w:val="en-US"/>
        </w:rPr>
        <w:tab/>
        <w:t>https://doi.org/10.9734/ijecc/2024/v14i114585.</w:t>
      </w:r>
    </w:p>
    <w:p w14:paraId="5604A004"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Wang, J., Zhu, Y.-G., &amp; Ge, Y. (2024). Global distribution pattern of soil phosphorus-cycling microbes under the influence of human activities. </w:t>
      </w:r>
      <w:r w:rsidRPr="0045643D">
        <w:rPr>
          <w:rFonts w:ascii="Times New Roman" w:hAnsi="Times New Roman" w:cs="Times New Roman"/>
          <w:i/>
          <w:iCs/>
          <w:sz w:val="24"/>
          <w:szCs w:val="24"/>
        </w:rPr>
        <w:t>Global Change Biology</w:t>
      </w:r>
      <w:r w:rsidRPr="0045643D">
        <w:rPr>
          <w:rFonts w:ascii="Times New Roman" w:hAnsi="Times New Roman" w:cs="Times New Roman"/>
          <w:sz w:val="24"/>
          <w:szCs w:val="24"/>
        </w:rPr>
        <w:t xml:space="preserve">, 30(8), e17477. </w:t>
      </w:r>
      <w:hyperlink r:id="rId13" w:tgtFrame="_new" w:history="1">
        <w:r w:rsidRPr="0045643D">
          <w:rPr>
            <w:rStyle w:val="Hyperlink"/>
            <w:rFonts w:ascii="Times New Roman" w:hAnsi="Times New Roman" w:cs="Times New Roman"/>
            <w:sz w:val="24"/>
            <w:szCs w:val="24"/>
          </w:rPr>
          <w:t>https://doi.org/10.1111/gcb.17477</w:t>
        </w:r>
      </w:hyperlink>
    </w:p>
    <w:p w14:paraId="0A7BAC06" w14:textId="77777777" w:rsidR="007F2FCD" w:rsidRPr="0045643D" w:rsidRDefault="007F2FCD" w:rsidP="0045643D">
      <w:pPr>
        <w:numPr>
          <w:ilvl w:val="0"/>
          <w:numId w:val="7"/>
        </w:numPr>
        <w:spacing w:before="240" w:after="0" w:line="360" w:lineRule="auto"/>
        <w:jc w:val="both"/>
        <w:rPr>
          <w:rFonts w:ascii="Times New Roman" w:hAnsi="Times New Roman" w:cs="Times New Roman"/>
          <w:sz w:val="24"/>
          <w:szCs w:val="24"/>
        </w:rPr>
      </w:pPr>
      <w:r w:rsidRPr="0045643D">
        <w:rPr>
          <w:rFonts w:ascii="Times New Roman" w:hAnsi="Times New Roman" w:cs="Times New Roman"/>
          <w:sz w:val="24"/>
          <w:szCs w:val="24"/>
        </w:rPr>
        <w:t xml:space="preserve">Zhou, Z., Wang, C., Cha, X., Zhou, T., Pang, X., Zhao, F., Han, X., Yang, G., Wei, G., Ren, C., et al. (2024). The biogeography of soil microbiome potential growth rates. </w:t>
      </w:r>
      <w:r w:rsidRPr="0045643D">
        <w:rPr>
          <w:rFonts w:ascii="Times New Roman" w:hAnsi="Times New Roman" w:cs="Times New Roman"/>
          <w:i/>
          <w:iCs/>
          <w:sz w:val="24"/>
          <w:szCs w:val="24"/>
        </w:rPr>
        <w:t>Nature Communications</w:t>
      </w:r>
      <w:r w:rsidRPr="0045643D">
        <w:rPr>
          <w:rFonts w:ascii="Times New Roman" w:hAnsi="Times New Roman" w:cs="Times New Roman"/>
          <w:sz w:val="24"/>
          <w:szCs w:val="24"/>
        </w:rPr>
        <w:t xml:space="preserve">, 15, Article 9472. </w:t>
      </w:r>
      <w:hyperlink r:id="rId14" w:tgtFrame="_new" w:history="1">
        <w:r w:rsidRPr="0045643D">
          <w:rPr>
            <w:rStyle w:val="Hyperlink"/>
            <w:rFonts w:ascii="Times New Roman" w:hAnsi="Times New Roman" w:cs="Times New Roman"/>
            <w:sz w:val="24"/>
            <w:szCs w:val="24"/>
          </w:rPr>
          <w:t>https://doi.org/10.1038/s41467-024-53753-w</w:t>
        </w:r>
      </w:hyperlink>
    </w:p>
    <w:p w14:paraId="1EE71D0D" w14:textId="77777777" w:rsidR="0045643D" w:rsidRPr="00166C05" w:rsidRDefault="0045643D" w:rsidP="0045643D">
      <w:pPr>
        <w:spacing w:before="240" w:after="0" w:line="360" w:lineRule="auto"/>
        <w:ind w:left="720"/>
        <w:jc w:val="both"/>
        <w:rPr>
          <w:rFonts w:ascii="Times New Roman" w:hAnsi="Times New Roman" w:cs="Times New Roman"/>
          <w:sz w:val="24"/>
          <w:szCs w:val="24"/>
        </w:rPr>
      </w:pPr>
    </w:p>
    <w:sectPr w:rsidR="0045643D" w:rsidRPr="00166C0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RSONAL" w:date="2025-08-18T18:12:00Z" w:initials="P">
    <w:p w14:paraId="14E4A6FE" w14:textId="102877CC" w:rsidR="007F2FCD" w:rsidRDefault="007F2FCD">
      <w:pPr>
        <w:pStyle w:val="CommentText"/>
      </w:pPr>
      <w:r>
        <w:rPr>
          <w:rStyle w:val="CommentReference"/>
        </w:rPr>
        <w:annotationRef/>
      </w:r>
      <w:r>
        <w:t>Don’t use hyphen in writing abstract</w:t>
      </w:r>
    </w:p>
  </w:comment>
  <w:comment w:id="1" w:author="PERSONAL" w:date="2025-08-18T18:12:00Z" w:initials="P">
    <w:p w14:paraId="7B88853A" w14:textId="2DE7E5DF" w:rsidR="007F2FCD" w:rsidRDefault="007F2FCD">
      <w:pPr>
        <w:pStyle w:val="CommentText"/>
      </w:pPr>
      <w:r>
        <w:rPr>
          <w:rStyle w:val="CommentReference"/>
        </w:rPr>
        <w:annotationRef/>
      </w:r>
      <w:proofErr w:type="gramStart"/>
      <w:r>
        <w:t>remove</w:t>
      </w:r>
      <w:proofErr w:type="gramEnd"/>
    </w:p>
  </w:comment>
  <w:comment w:id="2" w:author="PERSONAL" w:date="2025-08-18T18:19:00Z" w:initials="P">
    <w:p w14:paraId="448D1AB3" w14:textId="6A74133F" w:rsidR="007F2FCD" w:rsidRDefault="007F2FCD">
      <w:pPr>
        <w:pStyle w:val="CommentText"/>
      </w:pPr>
      <w:r>
        <w:rPr>
          <w:rStyle w:val="CommentReference"/>
        </w:rPr>
        <w:annotationRef/>
      </w:r>
      <w:proofErr w:type="gramStart"/>
      <w:r>
        <w:t>put</w:t>
      </w:r>
      <w:proofErr w:type="gramEnd"/>
      <w:r>
        <w:t xml:space="preserve"> in separate sub heading “objective”</w:t>
      </w:r>
    </w:p>
  </w:comment>
  <w:comment w:id="4" w:author="PERSONAL" w:date="2025-08-18T18:18:00Z" w:initials="P">
    <w:p w14:paraId="1E6D24FB" w14:textId="4927C6D5" w:rsidR="007F2FCD" w:rsidRDefault="007F2FCD">
      <w:pPr>
        <w:pStyle w:val="CommentText"/>
      </w:pPr>
      <w:r>
        <w:rPr>
          <w:rStyle w:val="CommentReference"/>
        </w:rPr>
        <w:annotationRef/>
      </w:r>
      <w:proofErr w:type="gramStart"/>
      <w:r>
        <w:t>list</w:t>
      </w:r>
      <w:proofErr w:type="gramEnd"/>
      <w:r>
        <w:t xml:space="preserve"> some of the key bio-amendments employed now a days</w:t>
      </w:r>
    </w:p>
  </w:comment>
  <w:comment w:id="5" w:author="PERSONAL" w:date="2025-08-18T18:16:00Z" w:initials="P">
    <w:p w14:paraId="78510FFD" w14:textId="32285AF8" w:rsidR="007F2FCD" w:rsidRDefault="007F2FCD">
      <w:pPr>
        <w:pStyle w:val="CommentText"/>
      </w:pPr>
      <w:r>
        <w:rPr>
          <w:rStyle w:val="CommentReference"/>
        </w:rPr>
        <w:annotationRef/>
      </w:r>
      <w:proofErr w:type="gramStart"/>
      <w:r>
        <w:t>please</w:t>
      </w:r>
      <w:proofErr w:type="gramEnd"/>
      <w:r>
        <w:t xml:space="preserve"> number it as 5.1. </w:t>
      </w:r>
      <w:proofErr w:type="gramStart"/>
      <w:r>
        <w:t>and</w:t>
      </w:r>
      <w:proofErr w:type="gramEnd"/>
      <w:r>
        <w:t xml:space="preserve"> follow the same for all the sub topics</w:t>
      </w:r>
    </w:p>
    <w:p w14:paraId="0B435BE0" w14:textId="77777777" w:rsidR="007F2FCD" w:rsidRDefault="007F2FCD">
      <w:pPr>
        <w:pStyle w:val="CommentText"/>
      </w:pPr>
    </w:p>
  </w:comment>
  <w:comment w:id="6" w:author="PERSONAL" w:date="2025-08-18T18:17:00Z" w:initials="P">
    <w:p w14:paraId="74079748" w14:textId="58176CFF" w:rsidR="007F2FCD" w:rsidRDefault="007F2FCD">
      <w:pPr>
        <w:pStyle w:val="CommentText"/>
      </w:pPr>
      <w:r>
        <w:rPr>
          <w:rStyle w:val="CommentReference"/>
        </w:rPr>
        <w:annotationRef/>
      </w:r>
      <w:proofErr w:type="gramStart"/>
      <w:r>
        <w:t>follow</w:t>
      </w:r>
      <w:proofErr w:type="gramEnd"/>
      <w:r>
        <w:t xml:space="preserve"> the same pattern</w:t>
      </w:r>
    </w:p>
  </w:comment>
  <w:comment w:id="7" w:author="PERSONAL" w:date="2025-08-18T18:15:00Z" w:initials="P">
    <w:p w14:paraId="7BDCE7DF" w14:textId="0FDBA1A1" w:rsidR="007F2FCD" w:rsidRDefault="007F2FCD">
      <w:pPr>
        <w:pStyle w:val="CommentText"/>
      </w:pPr>
      <w:r>
        <w:rPr>
          <w:rStyle w:val="CommentReference"/>
        </w:rPr>
        <w:annotationRef/>
      </w:r>
      <w:proofErr w:type="gramStart"/>
      <w:r>
        <w:t>replace</w:t>
      </w:r>
      <w:proofErr w:type="gramEnd"/>
      <w:r>
        <w:t xml:space="preserve"> using Future Thrust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E4A6FE" w15:done="0"/>
  <w15:commentEx w15:paraId="7B88853A" w15:done="0"/>
  <w15:commentEx w15:paraId="448D1AB3" w15:done="0"/>
  <w15:commentEx w15:paraId="1E6D24FB" w15:done="0"/>
  <w15:commentEx w15:paraId="0B435BE0" w15:done="0"/>
  <w15:commentEx w15:paraId="74079748" w15:done="0"/>
  <w15:commentEx w15:paraId="7BDCE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4655D" w14:textId="77777777" w:rsidR="00F325E1" w:rsidRDefault="00F325E1" w:rsidP="00697A1F">
      <w:pPr>
        <w:spacing w:after="0" w:line="240" w:lineRule="auto"/>
      </w:pPr>
      <w:r>
        <w:separator/>
      </w:r>
    </w:p>
  </w:endnote>
  <w:endnote w:type="continuationSeparator" w:id="0">
    <w:p w14:paraId="6F5A3D01" w14:textId="77777777" w:rsidR="00F325E1" w:rsidRDefault="00F325E1" w:rsidP="0069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0DC0" w14:textId="77777777" w:rsidR="00697A1F" w:rsidRDefault="00697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EF0A" w14:textId="77777777" w:rsidR="00697A1F" w:rsidRDefault="00697A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16465" w14:textId="77777777" w:rsidR="00697A1F" w:rsidRDefault="00697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99252" w14:textId="77777777" w:rsidR="00F325E1" w:rsidRDefault="00F325E1" w:rsidP="00697A1F">
      <w:pPr>
        <w:spacing w:after="0" w:line="240" w:lineRule="auto"/>
      </w:pPr>
      <w:r>
        <w:separator/>
      </w:r>
    </w:p>
  </w:footnote>
  <w:footnote w:type="continuationSeparator" w:id="0">
    <w:p w14:paraId="61FD0E0F" w14:textId="77777777" w:rsidR="00F325E1" w:rsidRDefault="00F325E1" w:rsidP="00697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DC7BC" w14:textId="2683B30E" w:rsidR="00697A1F" w:rsidRDefault="00F325E1">
    <w:pPr>
      <w:pStyle w:val="Header"/>
    </w:pPr>
    <w:r>
      <w:rPr>
        <w:noProof/>
      </w:rPr>
      <w:pict w14:anchorId="6B43E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BA8C" w14:textId="1A8C648A" w:rsidR="00697A1F" w:rsidRDefault="00F325E1">
    <w:pPr>
      <w:pStyle w:val="Header"/>
    </w:pPr>
    <w:r>
      <w:rPr>
        <w:noProof/>
      </w:rPr>
      <w:pict w14:anchorId="3FF0F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F6E13" w14:textId="78A17BA5" w:rsidR="00697A1F" w:rsidRDefault="00F325E1">
    <w:pPr>
      <w:pStyle w:val="Header"/>
    </w:pPr>
    <w:r>
      <w:rPr>
        <w:noProof/>
      </w:rPr>
      <w:pict w14:anchorId="033A8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03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15A5"/>
    <w:multiLevelType w:val="multilevel"/>
    <w:tmpl w:val="1ACEA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2769CB"/>
    <w:multiLevelType w:val="multilevel"/>
    <w:tmpl w:val="C19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947F1"/>
    <w:multiLevelType w:val="multilevel"/>
    <w:tmpl w:val="6A0E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A72045"/>
    <w:multiLevelType w:val="multilevel"/>
    <w:tmpl w:val="6C76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F22AD9"/>
    <w:multiLevelType w:val="multilevel"/>
    <w:tmpl w:val="2524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63094A"/>
    <w:multiLevelType w:val="multilevel"/>
    <w:tmpl w:val="2DF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3D58CB"/>
    <w:multiLevelType w:val="multilevel"/>
    <w:tmpl w:val="79D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BD"/>
    <w:rsid w:val="00166C05"/>
    <w:rsid w:val="001741F4"/>
    <w:rsid w:val="00373CB1"/>
    <w:rsid w:val="00390199"/>
    <w:rsid w:val="003D581F"/>
    <w:rsid w:val="0045643D"/>
    <w:rsid w:val="00697A1F"/>
    <w:rsid w:val="006D4DDF"/>
    <w:rsid w:val="00770D3C"/>
    <w:rsid w:val="007F2FCD"/>
    <w:rsid w:val="00987637"/>
    <w:rsid w:val="00DB6B76"/>
    <w:rsid w:val="00DD1EBD"/>
    <w:rsid w:val="00E23672"/>
    <w:rsid w:val="00F325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A2093C"/>
  <w15:chartTrackingRefBased/>
  <w15:docId w15:val="{6D97F1B4-EC7E-4B91-9D06-E03718F3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1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E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E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E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E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E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E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E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BD"/>
    <w:rPr>
      <w:rFonts w:eastAsiaTheme="majorEastAsia" w:cstheme="majorBidi"/>
      <w:color w:val="272727" w:themeColor="text1" w:themeTint="D8"/>
    </w:rPr>
  </w:style>
  <w:style w:type="paragraph" w:styleId="Title">
    <w:name w:val="Title"/>
    <w:basedOn w:val="Normal"/>
    <w:next w:val="Normal"/>
    <w:link w:val="TitleChar"/>
    <w:uiPriority w:val="10"/>
    <w:qFormat/>
    <w:rsid w:val="00DD1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BD"/>
    <w:pPr>
      <w:spacing w:before="160"/>
      <w:jc w:val="center"/>
    </w:pPr>
    <w:rPr>
      <w:i/>
      <w:iCs/>
      <w:color w:val="404040" w:themeColor="text1" w:themeTint="BF"/>
    </w:rPr>
  </w:style>
  <w:style w:type="character" w:customStyle="1" w:styleId="QuoteChar">
    <w:name w:val="Quote Char"/>
    <w:basedOn w:val="DefaultParagraphFont"/>
    <w:link w:val="Quote"/>
    <w:uiPriority w:val="29"/>
    <w:rsid w:val="00DD1EBD"/>
    <w:rPr>
      <w:i/>
      <w:iCs/>
      <w:color w:val="404040" w:themeColor="text1" w:themeTint="BF"/>
    </w:rPr>
  </w:style>
  <w:style w:type="paragraph" w:styleId="ListParagraph">
    <w:name w:val="List Paragraph"/>
    <w:basedOn w:val="Normal"/>
    <w:uiPriority w:val="34"/>
    <w:qFormat/>
    <w:rsid w:val="00DD1EBD"/>
    <w:pPr>
      <w:ind w:left="720"/>
      <w:contextualSpacing/>
    </w:pPr>
  </w:style>
  <w:style w:type="character" w:styleId="IntenseEmphasis">
    <w:name w:val="Intense Emphasis"/>
    <w:basedOn w:val="DefaultParagraphFont"/>
    <w:uiPriority w:val="21"/>
    <w:qFormat/>
    <w:rsid w:val="00DD1EBD"/>
    <w:rPr>
      <w:i/>
      <w:iCs/>
      <w:color w:val="2F5496" w:themeColor="accent1" w:themeShade="BF"/>
    </w:rPr>
  </w:style>
  <w:style w:type="paragraph" w:styleId="IntenseQuote">
    <w:name w:val="Intense Quote"/>
    <w:basedOn w:val="Normal"/>
    <w:next w:val="Normal"/>
    <w:link w:val="IntenseQuoteChar"/>
    <w:uiPriority w:val="30"/>
    <w:qFormat/>
    <w:rsid w:val="00DD1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EBD"/>
    <w:rPr>
      <w:i/>
      <w:iCs/>
      <w:color w:val="2F5496" w:themeColor="accent1" w:themeShade="BF"/>
    </w:rPr>
  </w:style>
  <w:style w:type="character" w:styleId="IntenseReference">
    <w:name w:val="Intense Reference"/>
    <w:basedOn w:val="DefaultParagraphFont"/>
    <w:uiPriority w:val="32"/>
    <w:qFormat/>
    <w:rsid w:val="00DD1EBD"/>
    <w:rPr>
      <w:b/>
      <w:bCs/>
      <w:smallCaps/>
      <w:color w:val="2F5496" w:themeColor="accent1" w:themeShade="BF"/>
      <w:spacing w:val="5"/>
    </w:rPr>
  </w:style>
  <w:style w:type="character" w:styleId="Hyperlink">
    <w:name w:val="Hyperlink"/>
    <w:basedOn w:val="DefaultParagraphFont"/>
    <w:uiPriority w:val="99"/>
    <w:unhideWhenUsed/>
    <w:rsid w:val="0045643D"/>
    <w:rPr>
      <w:color w:val="0563C1" w:themeColor="hyperlink"/>
      <w:u w:val="single"/>
    </w:rPr>
  </w:style>
  <w:style w:type="character" w:customStyle="1" w:styleId="UnresolvedMention1">
    <w:name w:val="Unresolved Mention1"/>
    <w:basedOn w:val="DefaultParagraphFont"/>
    <w:uiPriority w:val="99"/>
    <w:semiHidden/>
    <w:unhideWhenUsed/>
    <w:rsid w:val="0045643D"/>
    <w:rPr>
      <w:color w:val="605E5C"/>
      <w:shd w:val="clear" w:color="auto" w:fill="E1DFDD"/>
    </w:rPr>
  </w:style>
  <w:style w:type="table" w:styleId="TableGrid">
    <w:name w:val="Table Grid"/>
    <w:basedOn w:val="TableNormal"/>
    <w:uiPriority w:val="39"/>
    <w:rsid w:val="00987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7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1F"/>
  </w:style>
  <w:style w:type="paragraph" w:styleId="Footer">
    <w:name w:val="footer"/>
    <w:basedOn w:val="Normal"/>
    <w:link w:val="FooterChar"/>
    <w:uiPriority w:val="99"/>
    <w:unhideWhenUsed/>
    <w:rsid w:val="00697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1F"/>
  </w:style>
  <w:style w:type="character" w:styleId="CommentReference">
    <w:name w:val="annotation reference"/>
    <w:basedOn w:val="DefaultParagraphFont"/>
    <w:uiPriority w:val="99"/>
    <w:semiHidden/>
    <w:unhideWhenUsed/>
    <w:rsid w:val="007F2FCD"/>
    <w:rPr>
      <w:sz w:val="16"/>
      <w:szCs w:val="16"/>
    </w:rPr>
  </w:style>
  <w:style w:type="paragraph" w:styleId="CommentText">
    <w:name w:val="annotation text"/>
    <w:basedOn w:val="Normal"/>
    <w:link w:val="CommentTextChar"/>
    <w:uiPriority w:val="99"/>
    <w:semiHidden/>
    <w:unhideWhenUsed/>
    <w:rsid w:val="007F2FCD"/>
    <w:pPr>
      <w:spacing w:line="240" w:lineRule="auto"/>
    </w:pPr>
    <w:rPr>
      <w:sz w:val="20"/>
      <w:szCs w:val="20"/>
    </w:rPr>
  </w:style>
  <w:style w:type="character" w:customStyle="1" w:styleId="CommentTextChar">
    <w:name w:val="Comment Text Char"/>
    <w:basedOn w:val="DefaultParagraphFont"/>
    <w:link w:val="CommentText"/>
    <w:uiPriority w:val="99"/>
    <w:semiHidden/>
    <w:rsid w:val="007F2FCD"/>
    <w:rPr>
      <w:sz w:val="20"/>
      <w:szCs w:val="20"/>
    </w:rPr>
  </w:style>
  <w:style w:type="paragraph" w:styleId="CommentSubject">
    <w:name w:val="annotation subject"/>
    <w:basedOn w:val="CommentText"/>
    <w:next w:val="CommentText"/>
    <w:link w:val="CommentSubjectChar"/>
    <w:uiPriority w:val="99"/>
    <w:semiHidden/>
    <w:unhideWhenUsed/>
    <w:rsid w:val="007F2FCD"/>
    <w:rPr>
      <w:b/>
      <w:bCs/>
    </w:rPr>
  </w:style>
  <w:style w:type="character" w:customStyle="1" w:styleId="CommentSubjectChar">
    <w:name w:val="Comment Subject Char"/>
    <w:basedOn w:val="CommentTextChar"/>
    <w:link w:val="CommentSubject"/>
    <w:uiPriority w:val="99"/>
    <w:semiHidden/>
    <w:rsid w:val="007F2FCD"/>
    <w:rPr>
      <w:b/>
      <w:bCs/>
      <w:sz w:val="20"/>
      <w:szCs w:val="20"/>
    </w:rPr>
  </w:style>
  <w:style w:type="paragraph" w:styleId="BalloonText">
    <w:name w:val="Balloon Text"/>
    <w:basedOn w:val="Normal"/>
    <w:link w:val="BalloonTextChar"/>
    <w:uiPriority w:val="99"/>
    <w:semiHidden/>
    <w:unhideWhenUsed/>
    <w:rsid w:val="007F2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F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1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11/gcb.1747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3389/fagro.2022.89630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llnl.gov/str-march-2025/digging-into-soil-microbiome"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1073/pnas.190010211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tibtech.2018.11.011" TargetMode="External"/><Relationship Id="rId14" Type="http://schemas.openxmlformats.org/officeDocument/2006/relationships/hyperlink" Target="https://doi.org/10.1038/s41467-024-53753-w"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Sagwal</dc:creator>
  <cp:keywords/>
  <dc:description/>
  <cp:lastModifiedBy>PERSONAL</cp:lastModifiedBy>
  <cp:revision>7</cp:revision>
  <dcterms:created xsi:type="dcterms:W3CDTF">2025-08-10T12:09:00Z</dcterms:created>
  <dcterms:modified xsi:type="dcterms:W3CDTF">2025-08-18T12:49:00Z</dcterms:modified>
</cp:coreProperties>
</file>