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C6E38" w14:textId="77777777" w:rsidR="0082552D" w:rsidRPr="0082552D" w:rsidRDefault="0082552D" w:rsidP="0082552D">
      <w:pPr>
        <w:pStyle w:val="Titre1"/>
        <w:rPr>
          <w:b/>
          <w:bCs/>
          <w:i/>
          <w:iCs/>
          <w:sz w:val="38"/>
          <w:szCs w:val="38"/>
          <w:u w:val="single"/>
          <w:lang w:val="en-US"/>
        </w:rPr>
      </w:pPr>
      <w:r w:rsidRPr="0082552D">
        <w:rPr>
          <w:b/>
          <w:bCs/>
          <w:i/>
          <w:iCs/>
          <w:sz w:val="38"/>
          <w:szCs w:val="38"/>
          <w:u w:val="single"/>
          <w:lang w:val="en-US"/>
        </w:rPr>
        <w:t>Original Research Article</w:t>
      </w:r>
    </w:p>
    <w:p w14:paraId="70440F5D" w14:textId="0950B20E" w:rsidR="00492BE5" w:rsidRDefault="00500E43">
      <w:pPr>
        <w:pStyle w:val="Titre1"/>
        <w:rPr>
          <w:b/>
          <w:sz w:val="38"/>
          <w:szCs w:val="38"/>
        </w:rPr>
      </w:pPr>
      <w:proofErr w:type="spellStart"/>
      <w:r>
        <w:rPr>
          <w:b/>
          <w:sz w:val="38"/>
          <w:szCs w:val="38"/>
        </w:rPr>
        <w:t>Antidiabetic</w:t>
      </w:r>
      <w:proofErr w:type="spellEnd"/>
      <w:r>
        <w:rPr>
          <w:b/>
          <w:sz w:val="38"/>
          <w:szCs w:val="38"/>
        </w:rPr>
        <w:t xml:space="preserve"> Potential of </w:t>
      </w:r>
      <w:proofErr w:type="spellStart"/>
      <w:r>
        <w:rPr>
          <w:b/>
          <w:sz w:val="38"/>
          <w:szCs w:val="38"/>
        </w:rPr>
        <w:t>GlucoGuard</w:t>
      </w:r>
      <w:proofErr w:type="spellEnd"/>
      <w:r>
        <w:rPr>
          <w:b/>
          <w:sz w:val="38"/>
          <w:szCs w:val="38"/>
        </w:rPr>
        <w:t xml:space="preserve">, a </w:t>
      </w:r>
      <w:proofErr w:type="spellStart"/>
      <w:r>
        <w:rPr>
          <w:b/>
          <w:sz w:val="38"/>
          <w:szCs w:val="38"/>
        </w:rPr>
        <w:t>Polyherbal</w:t>
      </w:r>
      <w:proofErr w:type="spellEnd"/>
      <w:r>
        <w:rPr>
          <w:b/>
          <w:sz w:val="38"/>
          <w:szCs w:val="38"/>
        </w:rPr>
        <w:t xml:space="preserve"> Formulation in Type 2 Diabetes Management</w:t>
      </w:r>
    </w:p>
    <w:p w14:paraId="7E0E4816" w14:textId="77777777" w:rsidR="00492BE5" w:rsidRDefault="00492BE5"/>
    <w:p w14:paraId="2A9522AC" w14:textId="74F0DF3B" w:rsidR="00492BE5" w:rsidRPr="009E6A9D" w:rsidRDefault="00500E43">
      <w:pPr>
        <w:pStyle w:val="Titre2"/>
        <w:jc w:val="center"/>
        <w:rPr>
          <w:rFonts w:ascii="Times New Roman" w:hAnsi="Times New Roman" w:cs="Times New Roman"/>
          <w:b/>
          <w:sz w:val="24"/>
          <w:szCs w:val="24"/>
        </w:rPr>
      </w:pPr>
      <w:r w:rsidRPr="009E6A9D">
        <w:rPr>
          <w:rFonts w:ascii="Times New Roman" w:hAnsi="Times New Roman" w:cs="Times New Roman"/>
          <w:b/>
          <w:sz w:val="24"/>
          <w:szCs w:val="24"/>
        </w:rPr>
        <w:t>Abstract</w:t>
      </w:r>
    </w:p>
    <w:p w14:paraId="365FFC46"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Type 2 diabetes mellitus (T2DM) affects over 500 million adults worldwide, yet current pharmacotherapies often provide only partial glycemic control and may cause adverse effects. Polyherbal formulations can offer complementary benefits through synergistic mechanisms and reduced toxicity. </w:t>
      </w:r>
      <w:commentRangeStart w:id="0"/>
      <w:r w:rsidRPr="009E6A9D">
        <w:rPr>
          <w:rFonts w:ascii="Times New Roman" w:hAnsi="Times New Roman" w:cs="Times New Roman"/>
          <w:sz w:val="24"/>
          <w:szCs w:val="24"/>
        </w:rPr>
        <w:t xml:space="preserve">This study investigated the </w:t>
      </w:r>
      <w:proofErr w:type="spellStart"/>
      <w:r w:rsidRPr="009E6A9D">
        <w:rPr>
          <w:rFonts w:ascii="Times New Roman" w:hAnsi="Times New Roman" w:cs="Times New Roman"/>
          <w:sz w:val="24"/>
          <w:szCs w:val="24"/>
        </w:rPr>
        <w:t>antidiabetic</w:t>
      </w:r>
      <w:proofErr w:type="spellEnd"/>
      <w:r w:rsidRPr="009E6A9D">
        <w:rPr>
          <w:rFonts w:ascii="Times New Roman" w:hAnsi="Times New Roman" w:cs="Times New Roman"/>
          <w:sz w:val="24"/>
          <w:szCs w:val="24"/>
        </w:rPr>
        <w:t xml:space="preserve"> potential of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a </w:t>
      </w:r>
      <w:proofErr w:type="spellStart"/>
      <w:r w:rsidRPr="009E6A9D">
        <w:rPr>
          <w:rFonts w:ascii="Times New Roman" w:hAnsi="Times New Roman" w:cs="Times New Roman"/>
          <w:sz w:val="24"/>
          <w:szCs w:val="24"/>
        </w:rPr>
        <w:t>polyherbal</w:t>
      </w:r>
      <w:proofErr w:type="spellEnd"/>
      <w:r w:rsidRPr="009E6A9D">
        <w:rPr>
          <w:rFonts w:ascii="Times New Roman" w:hAnsi="Times New Roman" w:cs="Times New Roman"/>
          <w:sz w:val="24"/>
          <w:szCs w:val="24"/>
        </w:rPr>
        <w:t xml:space="preserve"> aqueous extract containing </w:t>
      </w:r>
      <w:proofErr w:type="spellStart"/>
      <w:r w:rsidRPr="009E6A9D">
        <w:rPr>
          <w:rFonts w:ascii="Times New Roman" w:hAnsi="Times New Roman" w:cs="Times New Roman"/>
          <w:i/>
          <w:sz w:val="24"/>
          <w:szCs w:val="24"/>
        </w:rPr>
        <w:t>Hunteria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 xml:space="preserve">Terminalia </w:t>
      </w:r>
      <w:proofErr w:type="spellStart"/>
      <w:r w:rsidRPr="009E6A9D">
        <w:rPr>
          <w:rFonts w:ascii="Times New Roman" w:hAnsi="Times New Roman" w:cs="Times New Roman"/>
          <w:i/>
          <w:sz w:val="24"/>
          <w:szCs w:val="24"/>
        </w:rPr>
        <w:t>catappa</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Zingiber officinale</w:t>
      </w:r>
      <w:r w:rsidRPr="009E6A9D">
        <w:rPr>
          <w:rFonts w:ascii="Times New Roman" w:hAnsi="Times New Roman" w:cs="Times New Roman"/>
          <w:sz w:val="24"/>
          <w:szCs w:val="24"/>
        </w:rPr>
        <w:t xml:space="preserve">, and </w:t>
      </w:r>
      <w:r w:rsidRPr="009E6A9D">
        <w:rPr>
          <w:rFonts w:ascii="Times New Roman" w:hAnsi="Times New Roman" w:cs="Times New Roman"/>
          <w:i/>
          <w:sz w:val="24"/>
          <w:szCs w:val="24"/>
        </w:rPr>
        <w:t>Beta vulgaris</w:t>
      </w:r>
      <w:r w:rsidRPr="009E6A9D">
        <w:rPr>
          <w:rFonts w:ascii="Times New Roman" w:hAnsi="Times New Roman" w:cs="Times New Roman"/>
          <w:sz w:val="24"/>
          <w:szCs w:val="24"/>
        </w:rPr>
        <w:t xml:space="preserve"> </w:t>
      </w:r>
      <w:commentRangeEnd w:id="0"/>
      <w:r w:rsidR="001F6BB6">
        <w:rPr>
          <w:rStyle w:val="Marquedecommentaire"/>
        </w:rPr>
        <w:commentReference w:id="0"/>
      </w:r>
      <w:r w:rsidRPr="009E6A9D">
        <w:rPr>
          <w:rFonts w:ascii="Times New Roman" w:hAnsi="Times New Roman" w:cs="Times New Roman"/>
          <w:sz w:val="24"/>
          <w:szCs w:val="24"/>
        </w:rPr>
        <w:t xml:space="preserve">(3:1:1:1), in </w:t>
      </w:r>
      <w:proofErr w:type="spellStart"/>
      <w:r w:rsidRPr="009E6A9D">
        <w:rPr>
          <w:rFonts w:ascii="Times New Roman" w:hAnsi="Times New Roman" w:cs="Times New Roman"/>
          <w:sz w:val="24"/>
          <w:szCs w:val="24"/>
        </w:rPr>
        <w:t>nicotinamide</w:t>
      </w:r>
      <w:proofErr w:type="spellEnd"/>
      <w:r w:rsidRPr="009E6A9D">
        <w:rPr>
          <w:rFonts w:ascii="Times New Roman" w:hAnsi="Times New Roman" w:cs="Times New Roman"/>
          <w:sz w:val="24"/>
          <w:szCs w:val="24"/>
        </w:rPr>
        <w:t>-</w:t>
      </w:r>
      <w:proofErr w:type="spellStart"/>
      <w:r w:rsidRPr="009E6A9D">
        <w:rPr>
          <w:rFonts w:ascii="Times New Roman" w:hAnsi="Times New Roman" w:cs="Times New Roman"/>
          <w:sz w:val="24"/>
          <w:szCs w:val="24"/>
        </w:rPr>
        <w:t>streptozotocin</w:t>
      </w:r>
      <w:proofErr w:type="spellEnd"/>
      <w:r w:rsidRPr="009E6A9D">
        <w:rPr>
          <w:rFonts w:ascii="Times New Roman" w:hAnsi="Times New Roman" w:cs="Times New Roman"/>
          <w:sz w:val="24"/>
          <w:szCs w:val="24"/>
        </w:rPr>
        <w:t xml:space="preserve">-induced diabetic Wistar rats. Male rats (190–200 g) were randomly selected and divided into six groups (n = 6): normal control, diabetic control, three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-treated groups (100, 200, and 400 mg/kg), and a metformin-treated group (200 mg/kg). Acute toxicity testing showed no mortality or adverse effects up to 4,000 mg/kg. Oral treatment for 28 days significantly reduced fasting blood glucose in all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groups (p &lt; 0.05), with the 200 and 400 mg/kg doses lowering levels to 92.1 ± 2.0 and 89.6 ± 1.8 mg/dL, comparable to metformin (90.3 ± 1.8 mg/dL). Higher doses also increased plasma insulin from diabetic baseline values, significantly mitigated weight loss, improved HbA1c, and ameliorated markers of renal function and protein metabolism towards normal levels. Hepatic enzyme assays revealed increased hexokinase activity and decreased glucose-6-phosphatase and fructose-1,6-bisphosphatase, indicating enhanced glycolysis and suppressed gluconeogenesis. These results suggest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provides dose-dependent, multi-mechanistic antidiabetic effects comparable to metformin, supporting its further evaluation as a safe, plant-based therapeutic candidate for T2DM.</w:t>
      </w:r>
    </w:p>
    <w:p w14:paraId="1B5DD077" w14:textId="726AE001" w:rsidR="00492BE5" w:rsidRPr="009E6A9D" w:rsidRDefault="009E6A9D">
      <w:pPr>
        <w:rPr>
          <w:rFonts w:ascii="Times New Roman" w:hAnsi="Times New Roman" w:cs="Times New Roman"/>
          <w:sz w:val="24"/>
          <w:szCs w:val="24"/>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659264" behindDoc="0" locked="0" layoutInCell="1" allowOverlap="1" wp14:anchorId="09208C44" wp14:editId="266ECFC3">
                <wp:simplePos x="0" y="0"/>
                <wp:positionH relativeFrom="column">
                  <wp:posOffset>0</wp:posOffset>
                </wp:positionH>
                <wp:positionV relativeFrom="paragraph">
                  <wp:posOffset>42545</wp:posOffset>
                </wp:positionV>
                <wp:extent cx="5867400" cy="0"/>
                <wp:effectExtent l="0" t="0" r="0" b="0"/>
                <wp:wrapNone/>
                <wp:docPr id="1395896686" name="Straight Connector 1"/>
                <wp:cNvGraphicFramePr/>
                <a:graphic xmlns:a="http://schemas.openxmlformats.org/drawingml/2006/main">
                  <a:graphicData uri="http://schemas.microsoft.com/office/word/2010/wordprocessingShape">
                    <wps:wsp>
                      <wps:cNvCnPr/>
                      <wps:spPr>
                        <a:xfrm>
                          <a:off x="0" y="0"/>
                          <a:ext cx="58674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C0DAB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35pt" to="46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p9swEAANQDAAAOAAAAZHJzL2Uyb0RvYy54bWysU8Fu2zAMvQ/YPwi6L3KKLS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" strokecolor="black [3213]"/>
            </w:pict>
          </mc:Fallback>
        </mc:AlternateContent>
      </w:r>
    </w:p>
    <w:p w14:paraId="79132032"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b/>
          <w:bCs/>
          <w:sz w:val="24"/>
          <w:szCs w:val="24"/>
        </w:rPr>
        <w:t>Keywords</w:t>
      </w:r>
      <w:r w:rsidRPr="009E6A9D">
        <w:rPr>
          <w:rFonts w:ascii="Times New Roman" w:hAnsi="Times New Roman" w:cs="Times New Roman"/>
          <w:sz w:val="24"/>
          <w:szCs w:val="24"/>
        </w:rPr>
        <w:t xml:space="preserve">: </w:t>
      </w:r>
      <w:commentRangeStart w:id="1"/>
      <w:r w:rsidRPr="009E6A9D">
        <w:rPr>
          <w:rFonts w:ascii="Times New Roman" w:hAnsi="Times New Roman" w:cs="Times New Roman"/>
          <w:sz w:val="24"/>
          <w:szCs w:val="24"/>
        </w:rPr>
        <w:t xml:space="preserve">Type 2 diabetes, </w:t>
      </w:r>
      <w:proofErr w:type="spellStart"/>
      <w:r w:rsidRPr="009E6A9D">
        <w:rPr>
          <w:rFonts w:ascii="Times New Roman" w:hAnsi="Times New Roman" w:cs="Times New Roman"/>
          <w:sz w:val="24"/>
          <w:szCs w:val="24"/>
        </w:rPr>
        <w:t>polyherbal</w:t>
      </w:r>
      <w:proofErr w:type="spellEnd"/>
      <w:r w:rsidRPr="009E6A9D">
        <w:rPr>
          <w:rFonts w:ascii="Times New Roman" w:hAnsi="Times New Roman" w:cs="Times New Roman"/>
          <w:sz w:val="24"/>
          <w:szCs w:val="24"/>
        </w:rPr>
        <w:t xml:space="preserve"> formulation,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w:t>
      </w:r>
      <w:proofErr w:type="spellStart"/>
      <w:r w:rsidRPr="009E6A9D">
        <w:rPr>
          <w:rFonts w:ascii="Times New Roman" w:hAnsi="Times New Roman" w:cs="Times New Roman"/>
          <w:sz w:val="24"/>
          <w:szCs w:val="24"/>
        </w:rPr>
        <w:t>streptozotocin</w:t>
      </w:r>
      <w:proofErr w:type="spellEnd"/>
      <w:r w:rsidRPr="009E6A9D">
        <w:rPr>
          <w:rFonts w:ascii="Times New Roman" w:hAnsi="Times New Roman" w:cs="Times New Roman"/>
          <w:sz w:val="24"/>
          <w:szCs w:val="24"/>
        </w:rPr>
        <w:t xml:space="preserve">, </w:t>
      </w:r>
      <w:proofErr w:type="spellStart"/>
      <w:r w:rsidRPr="009E6A9D">
        <w:rPr>
          <w:rFonts w:ascii="Times New Roman" w:hAnsi="Times New Roman" w:cs="Times New Roman"/>
          <w:sz w:val="24"/>
          <w:szCs w:val="24"/>
        </w:rPr>
        <w:t>antidiabetic</w:t>
      </w:r>
      <w:proofErr w:type="spellEnd"/>
      <w:r w:rsidRPr="009E6A9D">
        <w:rPr>
          <w:rFonts w:ascii="Times New Roman" w:hAnsi="Times New Roman" w:cs="Times New Roman"/>
          <w:sz w:val="24"/>
          <w:szCs w:val="24"/>
        </w:rPr>
        <w:t xml:space="preserve">, </w:t>
      </w:r>
      <w:proofErr w:type="spellStart"/>
      <w:r w:rsidRPr="009E6A9D">
        <w:rPr>
          <w:rFonts w:ascii="Times New Roman" w:hAnsi="Times New Roman" w:cs="Times New Roman"/>
          <w:i/>
          <w:iCs/>
          <w:sz w:val="24"/>
          <w:szCs w:val="24"/>
        </w:rPr>
        <w:t>Hunteria</w:t>
      </w:r>
      <w:proofErr w:type="spellEnd"/>
      <w:r w:rsidRPr="009E6A9D">
        <w:rPr>
          <w:rFonts w:ascii="Times New Roman" w:hAnsi="Times New Roman" w:cs="Times New Roman"/>
          <w:i/>
          <w:iCs/>
          <w:sz w:val="24"/>
          <w:szCs w:val="24"/>
        </w:rPr>
        <w:t xml:space="preserve"> </w:t>
      </w:r>
      <w:proofErr w:type="spellStart"/>
      <w:r w:rsidRPr="009E6A9D">
        <w:rPr>
          <w:rFonts w:ascii="Times New Roman" w:hAnsi="Times New Roman" w:cs="Times New Roman"/>
          <w:i/>
          <w:iCs/>
          <w:sz w:val="24"/>
          <w:szCs w:val="24"/>
        </w:rPr>
        <w:t>umbellata</w:t>
      </w:r>
      <w:proofErr w:type="spellEnd"/>
      <w:r w:rsidRPr="009E6A9D">
        <w:rPr>
          <w:rFonts w:ascii="Times New Roman" w:hAnsi="Times New Roman" w:cs="Times New Roman"/>
          <w:sz w:val="24"/>
          <w:szCs w:val="24"/>
        </w:rPr>
        <w:t>, insulin secretion, glucose metabolism</w:t>
      </w:r>
      <w:commentRangeEnd w:id="1"/>
      <w:r w:rsidR="006F2AED">
        <w:rPr>
          <w:rStyle w:val="Marquedecommentaire"/>
        </w:rPr>
        <w:commentReference w:id="1"/>
      </w:r>
    </w:p>
    <w:p w14:paraId="6DC71C7E" w14:textId="77777777" w:rsidR="00492BE5" w:rsidRPr="009E6A9D" w:rsidRDefault="00500E43">
      <w:pPr>
        <w:pStyle w:val="Titre2"/>
        <w:rPr>
          <w:rFonts w:ascii="Times New Roman" w:hAnsi="Times New Roman" w:cs="Times New Roman"/>
          <w:b/>
          <w:sz w:val="24"/>
          <w:szCs w:val="24"/>
        </w:rPr>
      </w:pPr>
      <w:bookmarkStart w:id="2" w:name="_taol8dyp84vc" w:colFirst="0" w:colLast="0"/>
      <w:bookmarkEnd w:id="2"/>
      <w:r w:rsidRPr="009E6A9D">
        <w:rPr>
          <w:rFonts w:ascii="Times New Roman" w:hAnsi="Times New Roman" w:cs="Times New Roman"/>
          <w:b/>
          <w:sz w:val="24"/>
          <w:szCs w:val="24"/>
        </w:rPr>
        <w:t>Introduction</w:t>
      </w:r>
    </w:p>
    <w:p w14:paraId="0A9CF135"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Type 2 diabetes mellitus is a growing global health crisis, affecting over half a billion adults worldwide (Hossain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2024). The majority (&gt;90%) of diabetes cases are T2DM, characterized by chronic hyperglycemia and insulin resistance. It is a chronic metabolic disorder characterized by insulin resistance, progressive β-cell dysfunction, and persistent hyperglycemia, </w:t>
      </w:r>
      <w:r w:rsidRPr="009E6A9D">
        <w:rPr>
          <w:rFonts w:ascii="Times New Roman" w:hAnsi="Times New Roman" w:cs="Times New Roman"/>
          <w:sz w:val="24"/>
          <w:szCs w:val="24"/>
        </w:rPr>
        <w:lastRenderedPageBreak/>
        <w:t xml:space="preserve">resulting in disturbances in carbohydrate, lipid, and protein metabolism (American Diabetes Association, 2020). </w:t>
      </w:r>
    </w:p>
    <w:p w14:paraId="41DE333A" w14:textId="77777777" w:rsidR="00492BE5" w:rsidRPr="009E6A9D" w:rsidRDefault="00492BE5">
      <w:pPr>
        <w:rPr>
          <w:rFonts w:ascii="Times New Roman" w:hAnsi="Times New Roman" w:cs="Times New Roman"/>
          <w:sz w:val="24"/>
          <w:szCs w:val="24"/>
        </w:rPr>
      </w:pPr>
    </w:p>
    <w:p w14:paraId="04602206"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Globally, the prevalence of T2DM continues to rise, with an estimated 643 million adults projected to be affected by 2030 (International Diabetes Federation, 2021). Complications associated with poorly managed T2DM include nephropathy, retinopathy, neuropathy, cardiovascular diseases, and increased mortality (</w:t>
      </w:r>
      <w:proofErr w:type="spellStart"/>
      <w:r w:rsidRPr="009E6A9D">
        <w:rPr>
          <w:rFonts w:ascii="Times New Roman" w:hAnsi="Times New Roman" w:cs="Times New Roman"/>
          <w:sz w:val="24"/>
          <w:szCs w:val="24"/>
        </w:rPr>
        <w:t>Forouhi</w:t>
      </w:r>
      <w:proofErr w:type="spellEnd"/>
      <w:r w:rsidRPr="009E6A9D">
        <w:rPr>
          <w:rFonts w:ascii="Times New Roman" w:hAnsi="Times New Roman" w:cs="Times New Roman"/>
          <w:sz w:val="24"/>
          <w:szCs w:val="24"/>
        </w:rPr>
        <w:t xml:space="preserve"> and Wareham, 2019).</w:t>
      </w:r>
    </w:p>
    <w:p w14:paraId="7705ED82" w14:textId="77777777" w:rsidR="00492BE5" w:rsidRPr="009E6A9D" w:rsidRDefault="00492BE5">
      <w:pPr>
        <w:rPr>
          <w:rFonts w:ascii="Times New Roman" w:hAnsi="Times New Roman" w:cs="Times New Roman"/>
          <w:sz w:val="24"/>
          <w:szCs w:val="24"/>
        </w:rPr>
      </w:pPr>
    </w:p>
    <w:p w14:paraId="3975904F"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Current pharmacotherapies like metformin and sulfonylureas achieve only partial glycemic control and are often limited by adverse effects such as hepatotoxicity, lactic acidosis and gastrointestinal symptoms (Bodmer </w:t>
      </w:r>
      <w:r w:rsidRPr="009E6A9D">
        <w:rPr>
          <w:rFonts w:ascii="Times New Roman" w:hAnsi="Times New Roman" w:cs="Times New Roman"/>
          <w:i/>
          <w:sz w:val="24"/>
          <w:szCs w:val="24"/>
        </w:rPr>
        <w:t>et al</w:t>
      </w:r>
      <w:r w:rsidRPr="009E6A9D">
        <w:rPr>
          <w:rFonts w:ascii="Times New Roman" w:hAnsi="Times New Roman" w:cs="Times New Roman"/>
          <w:sz w:val="24"/>
          <w:szCs w:val="24"/>
        </w:rPr>
        <w:t>., 2008). Consequently, there is great interest in complementary treatments derived from medicinal plants. Indeed, the World Health Organization has advocated investigation of traditional herbal remedies for diabetes management (</w:t>
      </w:r>
      <w:proofErr w:type="spellStart"/>
      <w:r w:rsidRPr="009E6A9D">
        <w:rPr>
          <w:rFonts w:ascii="Times New Roman" w:hAnsi="Times New Roman" w:cs="Times New Roman"/>
          <w:sz w:val="24"/>
          <w:szCs w:val="24"/>
        </w:rPr>
        <w:t>Susilawati</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et al</w:t>
      </w:r>
      <w:r w:rsidRPr="009E6A9D">
        <w:rPr>
          <w:rFonts w:ascii="Times New Roman" w:hAnsi="Times New Roman" w:cs="Times New Roman"/>
          <w:sz w:val="24"/>
          <w:szCs w:val="24"/>
        </w:rPr>
        <w:t>., 2023).</w:t>
      </w:r>
    </w:p>
    <w:p w14:paraId="6E2DF8BE" w14:textId="77777777" w:rsidR="00492BE5" w:rsidRPr="009E6A9D" w:rsidRDefault="00492BE5">
      <w:pPr>
        <w:rPr>
          <w:rFonts w:ascii="Times New Roman" w:hAnsi="Times New Roman" w:cs="Times New Roman"/>
          <w:sz w:val="24"/>
          <w:szCs w:val="24"/>
        </w:rPr>
      </w:pPr>
    </w:p>
    <w:p w14:paraId="74AC8D40" w14:textId="77777777" w:rsidR="00492BE5" w:rsidRPr="009E6A9D" w:rsidRDefault="00500E43">
      <w:pPr>
        <w:rPr>
          <w:rFonts w:ascii="Times New Roman" w:hAnsi="Times New Roman" w:cs="Times New Roman"/>
          <w:sz w:val="24"/>
          <w:szCs w:val="24"/>
        </w:rPr>
      </w:pPr>
      <w:commentRangeStart w:id="3"/>
      <w:r w:rsidRPr="009E6A9D">
        <w:rPr>
          <w:rFonts w:ascii="Times New Roman" w:hAnsi="Times New Roman" w:cs="Times New Roman"/>
          <w:sz w:val="24"/>
          <w:szCs w:val="24"/>
        </w:rPr>
        <w:t xml:space="preserve">Many antidiabetic herbs including </w:t>
      </w:r>
      <w:proofErr w:type="spellStart"/>
      <w:r w:rsidRPr="009E6A9D">
        <w:rPr>
          <w:rFonts w:ascii="Times New Roman" w:hAnsi="Times New Roman" w:cs="Times New Roman"/>
          <w:i/>
          <w:sz w:val="24"/>
          <w:szCs w:val="24"/>
        </w:rPr>
        <w:t>Momordica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charantia</w:t>
      </w:r>
      <w:proofErr w:type="spellEnd"/>
      <w:r w:rsidRPr="009E6A9D">
        <w:rPr>
          <w:rFonts w:ascii="Times New Roman" w:hAnsi="Times New Roman" w:cs="Times New Roman"/>
          <w:sz w:val="24"/>
          <w:szCs w:val="24"/>
        </w:rPr>
        <w:t xml:space="preserve"> (bitter melon), </w:t>
      </w:r>
      <w:proofErr w:type="spellStart"/>
      <w:r w:rsidRPr="009E6A9D">
        <w:rPr>
          <w:rFonts w:ascii="Times New Roman" w:hAnsi="Times New Roman" w:cs="Times New Roman"/>
          <w:i/>
          <w:sz w:val="24"/>
          <w:szCs w:val="24"/>
        </w:rPr>
        <w:t>Trigonella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foenum-graecum</w:t>
      </w:r>
      <w:proofErr w:type="spellEnd"/>
      <w:r w:rsidRPr="009E6A9D">
        <w:rPr>
          <w:rFonts w:ascii="Times New Roman" w:hAnsi="Times New Roman" w:cs="Times New Roman"/>
          <w:sz w:val="24"/>
          <w:szCs w:val="24"/>
        </w:rPr>
        <w:t xml:space="preserve"> (fenugreek), </w:t>
      </w:r>
      <w:proofErr w:type="spellStart"/>
      <w:r w:rsidRPr="009E6A9D">
        <w:rPr>
          <w:rFonts w:ascii="Times New Roman" w:hAnsi="Times New Roman" w:cs="Times New Roman"/>
          <w:i/>
          <w:sz w:val="24"/>
          <w:szCs w:val="24"/>
        </w:rPr>
        <w:t>Gymnema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sylvestre</w:t>
      </w:r>
      <w:proofErr w:type="spellEnd"/>
      <w:r w:rsidRPr="009E6A9D">
        <w:rPr>
          <w:rFonts w:ascii="Times New Roman" w:hAnsi="Times New Roman" w:cs="Times New Roman"/>
          <w:sz w:val="24"/>
          <w:szCs w:val="24"/>
        </w:rPr>
        <w:t xml:space="preserve"> and </w:t>
      </w:r>
      <w:proofErr w:type="spellStart"/>
      <w:r w:rsidRPr="009E6A9D">
        <w:rPr>
          <w:rFonts w:ascii="Times New Roman" w:hAnsi="Times New Roman" w:cs="Times New Roman"/>
          <w:i/>
          <w:sz w:val="24"/>
          <w:szCs w:val="24"/>
        </w:rPr>
        <w:t>Withania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somnifera</w:t>
      </w:r>
      <w:proofErr w:type="spellEnd"/>
      <w:r w:rsidRPr="009E6A9D">
        <w:rPr>
          <w:rFonts w:ascii="Times New Roman" w:hAnsi="Times New Roman" w:cs="Times New Roman"/>
          <w:sz w:val="24"/>
          <w:szCs w:val="24"/>
        </w:rPr>
        <w:t xml:space="preserve"> contain bioactive phytochemicals like flavonoids, saponins and alkaloids that can lower blood glucose via </w:t>
      </w:r>
      <w:proofErr w:type="spellStart"/>
      <w:r w:rsidRPr="009E6A9D">
        <w:rPr>
          <w:rFonts w:ascii="Times New Roman" w:hAnsi="Times New Roman" w:cs="Times New Roman"/>
          <w:sz w:val="24"/>
          <w:szCs w:val="24"/>
        </w:rPr>
        <w:t>insulinomimetic</w:t>
      </w:r>
      <w:proofErr w:type="spellEnd"/>
      <w:r w:rsidRPr="009E6A9D">
        <w:rPr>
          <w:rFonts w:ascii="Times New Roman" w:hAnsi="Times New Roman" w:cs="Times New Roman"/>
          <w:sz w:val="24"/>
          <w:szCs w:val="24"/>
        </w:rPr>
        <w:t xml:space="preserve"> and antioxidant actions</w:t>
      </w:r>
      <w:commentRangeEnd w:id="3"/>
      <w:r w:rsidR="006F2AED">
        <w:rPr>
          <w:rStyle w:val="Marquedecommentaire"/>
        </w:rPr>
        <w:commentReference w:id="3"/>
      </w:r>
      <w:r w:rsidRPr="009E6A9D">
        <w:rPr>
          <w:rFonts w:ascii="Times New Roman" w:hAnsi="Times New Roman" w:cs="Times New Roman"/>
          <w:sz w:val="24"/>
          <w:szCs w:val="24"/>
        </w:rPr>
        <w:t>. Combining multiple herbs (polyherbal formulations) can harness synergistic effects and mitigate toxicity. (</w:t>
      </w:r>
      <w:proofErr w:type="spellStart"/>
      <w:r w:rsidRPr="009E6A9D">
        <w:rPr>
          <w:rFonts w:ascii="Times New Roman" w:hAnsi="Times New Roman" w:cs="Times New Roman"/>
          <w:sz w:val="24"/>
          <w:szCs w:val="24"/>
        </w:rPr>
        <w:t>Gauttam</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2013). For example, meta-analysis of clinical trials found that Ayurvedic polyherbal blends significantly improved fasting glucose and HbA1c versus placebo (Suvarna </w:t>
      </w:r>
      <w:r w:rsidRPr="009E6A9D">
        <w:rPr>
          <w:rFonts w:ascii="Times New Roman" w:hAnsi="Times New Roman" w:cs="Times New Roman"/>
          <w:i/>
          <w:sz w:val="24"/>
          <w:szCs w:val="24"/>
        </w:rPr>
        <w:t>et al</w:t>
      </w:r>
      <w:r w:rsidRPr="009E6A9D">
        <w:rPr>
          <w:rFonts w:ascii="Times New Roman" w:hAnsi="Times New Roman" w:cs="Times New Roman"/>
          <w:sz w:val="24"/>
          <w:szCs w:val="24"/>
        </w:rPr>
        <w:t>., 2021).</w:t>
      </w:r>
    </w:p>
    <w:p w14:paraId="1AB3D6C0" w14:textId="77777777" w:rsidR="00492BE5" w:rsidRPr="009E6A9D" w:rsidRDefault="00492BE5">
      <w:pPr>
        <w:rPr>
          <w:rFonts w:ascii="Times New Roman" w:hAnsi="Times New Roman" w:cs="Times New Roman"/>
          <w:sz w:val="24"/>
          <w:szCs w:val="24"/>
        </w:rPr>
      </w:pPr>
    </w:p>
    <w:p w14:paraId="00423907" w14:textId="77777777" w:rsidR="00492BE5" w:rsidRPr="009E6A9D" w:rsidRDefault="00500E43">
      <w:pPr>
        <w:rPr>
          <w:rFonts w:ascii="Times New Roman" w:hAnsi="Times New Roman" w:cs="Times New Roman"/>
          <w:sz w:val="24"/>
          <w:szCs w:val="24"/>
        </w:rPr>
      </w:pP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is a novel polyherbal liquid extract formulated from four antidiabetic plants in a 3:1:1:1 ratio. </w:t>
      </w:r>
      <w:commentRangeStart w:id="4"/>
      <w:r w:rsidRPr="009E6A9D">
        <w:rPr>
          <w:rFonts w:ascii="Times New Roman" w:hAnsi="Times New Roman" w:cs="Times New Roman"/>
          <w:sz w:val="24"/>
          <w:szCs w:val="24"/>
        </w:rPr>
        <w:t xml:space="preserve">The four aqueous extracts were combined by boiling and filtration in water to yield a 100% water-based formulation. </w:t>
      </w:r>
      <w:commentRangeEnd w:id="4"/>
      <w:r w:rsidR="003F2506">
        <w:rPr>
          <w:rStyle w:val="Marquedecommentaire"/>
        </w:rPr>
        <w:commentReference w:id="4"/>
      </w:r>
      <w:r w:rsidRPr="009E6A9D">
        <w:rPr>
          <w:rFonts w:ascii="Times New Roman" w:hAnsi="Times New Roman" w:cs="Times New Roman"/>
          <w:sz w:val="24"/>
          <w:szCs w:val="24"/>
        </w:rPr>
        <w:t xml:space="preserve">Water extraction is traditional for many diabetes herbs. For example, bitter melon is often consumed as a decoction and efficiently yields antidiabetic flavonoids and glycosides (Liu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2021). </w:t>
      </w:r>
    </w:p>
    <w:p w14:paraId="07927AA4" w14:textId="77777777" w:rsidR="00492BE5" w:rsidRPr="009E6A9D" w:rsidRDefault="00492BE5">
      <w:pPr>
        <w:rPr>
          <w:rFonts w:ascii="Times New Roman" w:hAnsi="Times New Roman" w:cs="Times New Roman"/>
          <w:sz w:val="24"/>
          <w:szCs w:val="24"/>
        </w:rPr>
      </w:pPr>
    </w:p>
    <w:p w14:paraId="1977A8CB"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The major herbs in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are selected for complementary mechanisms. One herb may enhance insulin secretion, another improve insulin sensitivity, and a third inhibit gluconeogenesis. </w:t>
      </w:r>
      <w:commentRangeStart w:id="5"/>
      <w:r w:rsidRPr="009E6A9D">
        <w:rPr>
          <w:rFonts w:ascii="Times New Roman" w:hAnsi="Times New Roman" w:cs="Times New Roman"/>
          <w:sz w:val="24"/>
          <w:szCs w:val="24"/>
        </w:rPr>
        <w:t xml:space="preserve">Examples include bitter melon’s </w:t>
      </w:r>
      <w:proofErr w:type="spellStart"/>
      <w:r w:rsidRPr="009E6A9D">
        <w:rPr>
          <w:rFonts w:ascii="Times New Roman" w:hAnsi="Times New Roman" w:cs="Times New Roman"/>
          <w:sz w:val="24"/>
          <w:szCs w:val="24"/>
        </w:rPr>
        <w:t>charantin</w:t>
      </w:r>
      <w:proofErr w:type="spellEnd"/>
      <w:r w:rsidRPr="009E6A9D">
        <w:rPr>
          <w:rFonts w:ascii="Times New Roman" w:hAnsi="Times New Roman" w:cs="Times New Roman"/>
          <w:sz w:val="24"/>
          <w:szCs w:val="24"/>
        </w:rPr>
        <w:t xml:space="preserve"> and polypeptide-P, fenugreek’s saponins and </w:t>
      </w:r>
      <w:proofErr w:type="spellStart"/>
      <w:r w:rsidRPr="009E6A9D">
        <w:rPr>
          <w:rFonts w:ascii="Times New Roman" w:hAnsi="Times New Roman" w:cs="Times New Roman"/>
          <w:sz w:val="24"/>
          <w:szCs w:val="24"/>
        </w:rPr>
        <w:t>fibres</w:t>
      </w:r>
      <w:proofErr w:type="spellEnd"/>
      <w:r w:rsidRPr="009E6A9D">
        <w:rPr>
          <w:rFonts w:ascii="Times New Roman" w:hAnsi="Times New Roman" w:cs="Times New Roman"/>
          <w:sz w:val="24"/>
          <w:szCs w:val="24"/>
        </w:rPr>
        <w:t xml:space="preserve">, </w:t>
      </w:r>
      <w:proofErr w:type="spellStart"/>
      <w:r w:rsidRPr="009E6A9D">
        <w:rPr>
          <w:rFonts w:ascii="Times New Roman" w:hAnsi="Times New Roman" w:cs="Times New Roman"/>
          <w:sz w:val="24"/>
          <w:szCs w:val="24"/>
        </w:rPr>
        <w:t>gymnemic</w:t>
      </w:r>
      <w:proofErr w:type="spellEnd"/>
      <w:r w:rsidRPr="009E6A9D">
        <w:rPr>
          <w:rFonts w:ascii="Times New Roman" w:hAnsi="Times New Roman" w:cs="Times New Roman"/>
          <w:sz w:val="24"/>
          <w:szCs w:val="24"/>
        </w:rPr>
        <w:t xml:space="preserve"> acids, and </w:t>
      </w:r>
      <w:proofErr w:type="spellStart"/>
      <w:r w:rsidRPr="009E6A9D">
        <w:rPr>
          <w:rFonts w:ascii="Times New Roman" w:hAnsi="Times New Roman" w:cs="Times New Roman"/>
          <w:sz w:val="24"/>
          <w:szCs w:val="24"/>
        </w:rPr>
        <w:t>withanolides</w:t>
      </w:r>
      <w:proofErr w:type="spellEnd"/>
      <w:r w:rsidRPr="009E6A9D">
        <w:rPr>
          <w:rFonts w:ascii="Times New Roman" w:hAnsi="Times New Roman" w:cs="Times New Roman"/>
          <w:sz w:val="24"/>
          <w:szCs w:val="24"/>
        </w:rPr>
        <w:t xml:space="preserve"> which are known to improve glycemic parameters. </w:t>
      </w:r>
      <w:commentRangeEnd w:id="5"/>
      <w:r w:rsidR="006F2AED">
        <w:rPr>
          <w:rStyle w:val="Marquedecommentaire"/>
        </w:rPr>
        <w:commentReference w:id="5"/>
      </w:r>
      <w:r w:rsidRPr="009E6A9D">
        <w:rPr>
          <w:rFonts w:ascii="Times New Roman" w:hAnsi="Times New Roman" w:cs="Times New Roman"/>
          <w:sz w:val="24"/>
          <w:szCs w:val="24"/>
        </w:rPr>
        <w:t xml:space="preserve">The aim of this study is to evaluate the antidiabetic potential of a combined aqueous extract of </w:t>
      </w:r>
      <w:proofErr w:type="spellStart"/>
      <w:r w:rsidRPr="009E6A9D">
        <w:rPr>
          <w:rFonts w:ascii="Times New Roman" w:hAnsi="Times New Roman" w:cs="Times New Roman"/>
          <w:i/>
          <w:sz w:val="24"/>
          <w:szCs w:val="24"/>
        </w:rPr>
        <w:t>Hunteria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 xml:space="preserve">Terminalia </w:t>
      </w:r>
      <w:proofErr w:type="spellStart"/>
      <w:r w:rsidRPr="009E6A9D">
        <w:rPr>
          <w:rFonts w:ascii="Times New Roman" w:hAnsi="Times New Roman" w:cs="Times New Roman"/>
          <w:i/>
          <w:sz w:val="24"/>
          <w:szCs w:val="24"/>
        </w:rPr>
        <w:t>catappa</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Zingiber officinale</w:t>
      </w:r>
      <w:r w:rsidRPr="009E6A9D">
        <w:rPr>
          <w:rFonts w:ascii="Times New Roman" w:hAnsi="Times New Roman" w:cs="Times New Roman"/>
          <w:sz w:val="24"/>
          <w:szCs w:val="24"/>
        </w:rPr>
        <w:t xml:space="preserve">, and </w:t>
      </w:r>
      <w:r w:rsidRPr="009E6A9D">
        <w:rPr>
          <w:rFonts w:ascii="Times New Roman" w:hAnsi="Times New Roman" w:cs="Times New Roman"/>
          <w:i/>
          <w:sz w:val="24"/>
          <w:szCs w:val="24"/>
        </w:rPr>
        <w:t>Beta vulgaris</w:t>
      </w:r>
      <w:r w:rsidRPr="009E6A9D">
        <w:rPr>
          <w:rFonts w:ascii="Times New Roman" w:hAnsi="Times New Roman" w:cs="Times New Roman"/>
          <w:sz w:val="24"/>
          <w:szCs w:val="24"/>
        </w:rPr>
        <w:t xml:space="preserve"> in type 2 diabetic rats. The study seeks to determine whether the formulation can reduce fasting blood glucose levels and enhance insulin secretion through additive or synergistic effects of its bioactive constituents. </w:t>
      </w:r>
    </w:p>
    <w:p w14:paraId="1E9332FB" w14:textId="77777777" w:rsidR="00492BE5" w:rsidRPr="009E6A9D" w:rsidRDefault="00500E43">
      <w:pPr>
        <w:pStyle w:val="Titre2"/>
        <w:keepNext w:val="0"/>
        <w:keepLines w:val="0"/>
        <w:spacing w:before="480"/>
        <w:rPr>
          <w:rFonts w:ascii="Times New Roman" w:hAnsi="Times New Roman" w:cs="Times New Roman"/>
          <w:b/>
          <w:sz w:val="24"/>
          <w:szCs w:val="24"/>
        </w:rPr>
      </w:pPr>
      <w:bookmarkStart w:id="6" w:name="_u87bm0kfy9t6" w:colFirst="0" w:colLast="0"/>
      <w:bookmarkEnd w:id="6"/>
      <w:r w:rsidRPr="009E6A9D">
        <w:rPr>
          <w:rFonts w:ascii="Times New Roman" w:hAnsi="Times New Roman" w:cs="Times New Roman"/>
          <w:b/>
          <w:sz w:val="24"/>
          <w:szCs w:val="24"/>
        </w:rPr>
        <w:t>Materials and Methods</w:t>
      </w:r>
    </w:p>
    <w:p w14:paraId="1017771A" w14:textId="77777777" w:rsidR="00492BE5" w:rsidRPr="009E6A9D" w:rsidRDefault="00500E43">
      <w:pPr>
        <w:pStyle w:val="Titre2"/>
        <w:rPr>
          <w:rFonts w:ascii="Times New Roman" w:hAnsi="Times New Roman" w:cs="Times New Roman"/>
          <w:b/>
          <w:sz w:val="24"/>
          <w:szCs w:val="24"/>
        </w:rPr>
      </w:pPr>
      <w:bookmarkStart w:id="7" w:name="_462uynqyj6f0" w:colFirst="0" w:colLast="0"/>
      <w:bookmarkEnd w:id="7"/>
      <w:r w:rsidRPr="009E6A9D">
        <w:rPr>
          <w:rFonts w:ascii="Times New Roman" w:hAnsi="Times New Roman" w:cs="Times New Roman"/>
          <w:b/>
          <w:sz w:val="24"/>
          <w:szCs w:val="24"/>
        </w:rPr>
        <w:lastRenderedPageBreak/>
        <w:t>2.1. Preparation of plant extracts</w:t>
      </w:r>
    </w:p>
    <w:p w14:paraId="6F40ED35" w14:textId="77777777" w:rsidR="00492BE5" w:rsidRPr="009E6A9D" w:rsidRDefault="00500E43">
      <w:pPr>
        <w:spacing w:before="240" w:after="240"/>
        <w:rPr>
          <w:rFonts w:ascii="Times New Roman" w:hAnsi="Times New Roman" w:cs="Times New Roman"/>
          <w:sz w:val="24"/>
          <w:szCs w:val="24"/>
        </w:rPr>
      </w:pPr>
      <w:proofErr w:type="spellStart"/>
      <w:r w:rsidRPr="009E6A9D">
        <w:rPr>
          <w:rFonts w:ascii="Times New Roman" w:hAnsi="Times New Roman" w:cs="Times New Roman"/>
          <w:i/>
          <w:sz w:val="24"/>
          <w:szCs w:val="24"/>
        </w:rPr>
        <w:t>Hunteria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(whole fruit) and </w:t>
      </w:r>
      <w:r w:rsidRPr="009E6A9D">
        <w:rPr>
          <w:rFonts w:ascii="Times New Roman" w:hAnsi="Times New Roman" w:cs="Times New Roman"/>
          <w:i/>
          <w:sz w:val="24"/>
          <w:szCs w:val="24"/>
        </w:rPr>
        <w:t xml:space="preserve">Terminalia </w:t>
      </w:r>
      <w:proofErr w:type="spellStart"/>
      <w:r w:rsidRPr="009E6A9D">
        <w:rPr>
          <w:rFonts w:ascii="Times New Roman" w:hAnsi="Times New Roman" w:cs="Times New Roman"/>
          <w:i/>
          <w:sz w:val="24"/>
          <w:szCs w:val="24"/>
        </w:rPr>
        <w:t>catappa</w:t>
      </w:r>
      <w:proofErr w:type="spellEnd"/>
      <w:r w:rsidRPr="009E6A9D">
        <w:rPr>
          <w:rFonts w:ascii="Times New Roman" w:hAnsi="Times New Roman" w:cs="Times New Roman"/>
          <w:sz w:val="24"/>
          <w:szCs w:val="24"/>
        </w:rPr>
        <w:t xml:space="preserve"> (whole fruit) were collected from the University of </w:t>
      </w:r>
      <w:proofErr w:type="spellStart"/>
      <w:r w:rsidRPr="009E6A9D">
        <w:rPr>
          <w:rFonts w:ascii="Times New Roman" w:hAnsi="Times New Roman" w:cs="Times New Roman"/>
          <w:sz w:val="24"/>
          <w:szCs w:val="24"/>
        </w:rPr>
        <w:t>Uyo</w:t>
      </w:r>
      <w:proofErr w:type="spellEnd"/>
      <w:r w:rsidRPr="009E6A9D">
        <w:rPr>
          <w:rFonts w:ascii="Times New Roman" w:hAnsi="Times New Roman" w:cs="Times New Roman"/>
          <w:sz w:val="24"/>
          <w:szCs w:val="24"/>
        </w:rPr>
        <w:t xml:space="preserve"> Plant Farm, while </w:t>
      </w:r>
      <w:r w:rsidRPr="009E6A9D">
        <w:rPr>
          <w:rFonts w:ascii="Times New Roman" w:hAnsi="Times New Roman" w:cs="Times New Roman"/>
          <w:i/>
          <w:sz w:val="24"/>
          <w:szCs w:val="24"/>
        </w:rPr>
        <w:t>Zingiber officinale</w:t>
      </w:r>
      <w:r w:rsidRPr="009E6A9D">
        <w:rPr>
          <w:rFonts w:ascii="Times New Roman" w:hAnsi="Times New Roman" w:cs="Times New Roman"/>
          <w:sz w:val="24"/>
          <w:szCs w:val="24"/>
        </w:rPr>
        <w:t xml:space="preserve"> (rhizome) and </w:t>
      </w:r>
      <w:r w:rsidRPr="009E6A9D">
        <w:rPr>
          <w:rFonts w:ascii="Times New Roman" w:hAnsi="Times New Roman" w:cs="Times New Roman"/>
          <w:i/>
          <w:sz w:val="24"/>
          <w:szCs w:val="24"/>
        </w:rPr>
        <w:t>Beta vulgaris</w:t>
      </w:r>
      <w:r w:rsidRPr="009E6A9D">
        <w:rPr>
          <w:rFonts w:ascii="Times New Roman" w:hAnsi="Times New Roman" w:cs="Times New Roman"/>
          <w:sz w:val="24"/>
          <w:szCs w:val="24"/>
        </w:rPr>
        <w:t xml:space="preserve"> (edible root) were purchased from </w:t>
      </w:r>
      <w:proofErr w:type="spellStart"/>
      <w:r w:rsidRPr="009E6A9D">
        <w:rPr>
          <w:rFonts w:ascii="Times New Roman" w:hAnsi="Times New Roman" w:cs="Times New Roman"/>
          <w:sz w:val="24"/>
          <w:szCs w:val="24"/>
        </w:rPr>
        <w:t>Itam</w:t>
      </w:r>
      <w:proofErr w:type="spellEnd"/>
      <w:r w:rsidRPr="009E6A9D">
        <w:rPr>
          <w:rFonts w:ascii="Times New Roman" w:hAnsi="Times New Roman" w:cs="Times New Roman"/>
          <w:sz w:val="24"/>
          <w:szCs w:val="24"/>
        </w:rPr>
        <w:t xml:space="preserve"> Local Market. The plants were authenticated by a taxonomist at the Department of Botany, University of </w:t>
      </w:r>
      <w:proofErr w:type="spellStart"/>
      <w:r w:rsidRPr="009E6A9D">
        <w:rPr>
          <w:rFonts w:ascii="Times New Roman" w:hAnsi="Times New Roman" w:cs="Times New Roman"/>
          <w:sz w:val="24"/>
          <w:szCs w:val="24"/>
        </w:rPr>
        <w:t>Uyo</w:t>
      </w:r>
      <w:proofErr w:type="spellEnd"/>
      <w:r w:rsidRPr="009E6A9D">
        <w:rPr>
          <w:rFonts w:ascii="Times New Roman" w:hAnsi="Times New Roman" w:cs="Times New Roman"/>
          <w:sz w:val="24"/>
          <w:szCs w:val="24"/>
        </w:rPr>
        <w:t xml:space="preserve">, and a voucher specimen was deposited at the herbarium of the Faculty of Pharmacy with UUPH A13(i), UUPH A13(ii), UUPH A13(iii), UUPH A13(iv) as voucher numbers, respectively. </w:t>
      </w:r>
    </w:p>
    <w:p w14:paraId="28D8FAC3"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The plant materials were washed thoroughly with distilled water, sliced into small pieces, and dried in a dehydrator at 35 °C until constant weight was achieved. The dried materials were then coarsely powdered using a mechanical grinder. A total of 600 g of the combined plant material which consists of </w:t>
      </w:r>
      <w:proofErr w:type="spellStart"/>
      <w:r w:rsidRPr="009E6A9D">
        <w:rPr>
          <w:rFonts w:ascii="Times New Roman" w:hAnsi="Times New Roman" w:cs="Times New Roman"/>
          <w:i/>
          <w:sz w:val="24"/>
          <w:szCs w:val="24"/>
        </w:rPr>
        <w:t>Hunteria</w:t>
      </w:r>
      <w:proofErr w:type="spellEnd"/>
      <w:r w:rsidRPr="009E6A9D">
        <w:rPr>
          <w:rFonts w:ascii="Times New Roman" w:hAnsi="Times New Roman" w:cs="Times New Roman"/>
          <w:sz w:val="24"/>
          <w:szCs w:val="24"/>
        </w:rPr>
        <w:t xml:space="preserve"> 300 g, </w:t>
      </w:r>
      <w:r w:rsidRPr="009E6A9D">
        <w:rPr>
          <w:rFonts w:ascii="Times New Roman" w:hAnsi="Times New Roman" w:cs="Times New Roman"/>
          <w:i/>
          <w:sz w:val="24"/>
          <w:szCs w:val="24"/>
        </w:rPr>
        <w:t>Terminalia</w:t>
      </w:r>
      <w:r w:rsidRPr="009E6A9D">
        <w:rPr>
          <w:rFonts w:ascii="Times New Roman" w:hAnsi="Times New Roman" w:cs="Times New Roman"/>
          <w:sz w:val="24"/>
          <w:szCs w:val="24"/>
        </w:rPr>
        <w:t xml:space="preserve"> 100 g, </w:t>
      </w:r>
      <w:r w:rsidRPr="009E6A9D">
        <w:rPr>
          <w:rFonts w:ascii="Times New Roman" w:hAnsi="Times New Roman" w:cs="Times New Roman"/>
          <w:i/>
          <w:sz w:val="24"/>
          <w:szCs w:val="24"/>
        </w:rPr>
        <w:t xml:space="preserve">ginger </w:t>
      </w:r>
      <w:r w:rsidRPr="009E6A9D">
        <w:rPr>
          <w:rFonts w:ascii="Times New Roman" w:hAnsi="Times New Roman" w:cs="Times New Roman"/>
          <w:sz w:val="24"/>
          <w:szCs w:val="24"/>
        </w:rPr>
        <w:t>100 g, beetroot 100 g for a 3:1:1:1 ratio was extracted in 5000 mL of boiling distilled water for 7 hours. The resulting extract was concentrated and dried in a water bath and weighed before being stored in a refrigerator at 4 °C for further use.</w:t>
      </w:r>
    </w:p>
    <w:p w14:paraId="2718C74F" w14:textId="77777777" w:rsidR="00492BE5" w:rsidRPr="009E6A9D" w:rsidRDefault="00500E43">
      <w:pPr>
        <w:pStyle w:val="Titre2"/>
        <w:rPr>
          <w:rFonts w:ascii="Times New Roman" w:hAnsi="Times New Roman" w:cs="Times New Roman"/>
          <w:b/>
          <w:sz w:val="24"/>
          <w:szCs w:val="24"/>
        </w:rPr>
      </w:pPr>
      <w:bookmarkStart w:id="8" w:name="_34qyp32n33gk" w:colFirst="0" w:colLast="0"/>
      <w:bookmarkEnd w:id="8"/>
      <w:r w:rsidRPr="009E6A9D">
        <w:rPr>
          <w:rFonts w:ascii="Times New Roman" w:hAnsi="Times New Roman" w:cs="Times New Roman"/>
          <w:b/>
          <w:sz w:val="24"/>
          <w:szCs w:val="24"/>
        </w:rPr>
        <w:t>2.2. Animals</w:t>
      </w:r>
    </w:p>
    <w:p w14:paraId="7CA2EB93"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Male Wistar rats weighing 190–200 g were used in this study. The animals were obtained from the Department of Pharmacology and Toxicology Animal House Unit, Faculty of Pharmacy, University of </w:t>
      </w:r>
      <w:proofErr w:type="spellStart"/>
      <w:r w:rsidRPr="009E6A9D">
        <w:rPr>
          <w:rFonts w:ascii="Times New Roman" w:hAnsi="Times New Roman" w:cs="Times New Roman"/>
          <w:sz w:val="24"/>
          <w:szCs w:val="24"/>
        </w:rPr>
        <w:t>Uyo</w:t>
      </w:r>
      <w:proofErr w:type="spellEnd"/>
      <w:r w:rsidRPr="009E6A9D">
        <w:rPr>
          <w:rFonts w:ascii="Times New Roman" w:hAnsi="Times New Roman" w:cs="Times New Roman"/>
          <w:sz w:val="24"/>
          <w:szCs w:val="24"/>
        </w:rPr>
        <w:t xml:space="preserve">. Permission and approval for animal studies were obtained from the College of Health Sciences Animal Ethics Committee, University of </w:t>
      </w:r>
      <w:proofErr w:type="spellStart"/>
      <w:r w:rsidRPr="009E6A9D">
        <w:rPr>
          <w:rFonts w:ascii="Times New Roman" w:hAnsi="Times New Roman" w:cs="Times New Roman"/>
          <w:sz w:val="24"/>
          <w:szCs w:val="24"/>
        </w:rPr>
        <w:t>Uyo</w:t>
      </w:r>
      <w:proofErr w:type="spellEnd"/>
      <w:r w:rsidRPr="009E6A9D">
        <w:rPr>
          <w:rFonts w:ascii="Times New Roman" w:hAnsi="Times New Roman" w:cs="Times New Roman"/>
          <w:sz w:val="24"/>
          <w:szCs w:val="24"/>
        </w:rPr>
        <w:t xml:space="preserve">. The animals were housed in ventilated cages and fed with a normal pellet diet and water ad libitum. All animals were handled with humane care. </w:t>
      </w:r>
      <w:bookmarkStart w:id="9" w:name="_GoBack"/>
      <w:bookmarkEnd w:id="9"/>
    </w:p>
    <w:p w14:paraId="11346A5B" w14:textId="77777777" w:rsidR="00492BE5" w:rsidRPr="009E6A9D" w:rsidRDefault="00500E43">
      <w:pPr>
        <w:pStyle w:val="Titre2"/>
        <w:rPr>
          <w:rFonts w:ascii="Times New Roman" w:hAnsi="Times New Roman" w:cs="Times New Roman"/>
          <w:b/>
          <w:sz w:val="24"/>
          <w:szCs w:val="24"/>
        </w:rPr>
      </w:pPr>
      <w:bookmarkStart w:id="10" w:name="_lq8fw4wg5zol" w:colFirst="0" w:colLast="0"/>
      <w:bookmarkEnd w:id="10"/>
      <w:r w:rsidRPr="009E6A9D">
        <w:rPr>
          <w:rFonts w:ascii="Times New Roman" w:hAnsi="Times New Roman" w:cs="Times New Roman"/>
          <w:b/>
          <w:sz w:val="24"/>
          <w:szCs w:val="24"/>
        </w:rPr>
        <w:t>2.3. Acute toxicity study</w:t>
      </w:r>
    </w:p>
    <w:p w14:paraId="22E0D397"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Healthy adult male Wistar rats were starved overnight, divided into five groups (n=6) and were orally fed with the polyherbal extract in increasing dose levels of 100, 500, 1 000, 2 000 and 4 000 mg/kg. The animals were observed continuously for 2 h under behavioral, neurological, autonomic profiles. After a period of 24 and 72 h, they were observed for any lethality or death (Xie </w:t>
      </w:r>
      <w:r w:rsidRPr="009E6A9D">
        <w:rPr>
          <w:rFonts w:ascii="Times New Roman" w:hAnsi="Times New Roman" w:cs="Times New Roman"/>
          <w:i/>
          <w:sz w:val="24"/>
          <w:szCs w:val="24"/>
        </w:rPr>
        <w:t>et al</w:t>
      </w:r>
      <w:r w:rsidRPr="009E6A9D">
        <w:rPr>
          <w:rFonts w:ascii="Times New Roman" w:hAnsi="Times New Roman" w:cs="Times New Roman"/>
          <w:sz w:val="24"/>
          <w:szCs w:val="24"/>
        </w:rPr>
        <w:t>., 2003).</w:t>
      </w:r>
    </w:p>
    <w:p w14:paraId="262219FB" w14:textId="77777777" w:rsidR="00492BE5" w:rsidRPr="009E6A9D" w:rsidRDefault="00500E43">
      <w:pPr>
        <w:pStyle w:val="Titre2"/>
        <w:rPr>
          <w:rFonts w:ascii="Times New Roman" w:hAnsi="Times New Roman" w:cs="Times New Roman"/>
          <w:b/>
          <w:sz w:val="24"/>
          <w:szCs w:val="24"/>
        </w:rPr>
      </w:pPr>
      <w:bookmarkStart w:id="11" w:name="_gt69k1s23sx2" w:colFirst="0" w:colLast="0"/>
      <w:bookmarkEnd w:id="11"/>
      <w:r w:rsidRPr="009E6A9D">
        <w:rPr>
          <w:rFonts w:ascii="Times New Roman" w:hAnsi="Times New Roman" w:cs="Times New Roman"/>
          <w:b/>
          <w:sz w:val="24"/>
          <w:szCs w:val="24"/>
        </w:rPr>
        <w:lastRenderedPageBreak/>
        <w:t>2.4. Induction of Type 2 Diabetes Mellitus</w:t>
      </w:r>
    </w:p>
    <w:p w14:paraId="054B68A9" w14:textId="77777777" w:rsidR="00492BE5" w:rsidRPr="009E6A9D" w:rsidRDefault="00500E43">
      <w:pPr>
        <w:pStyle w:val="Titre2"/>
        <w:rPr>
          <w:rFonts w:ascii="Times New Roman" w:hAnsi="Times New Roman" w:cs="Times New Roman"/>
          <w:sz w:val="24"/>
          <w:szCs w:val="24"/>
        </w:rPr>
      </w:pPr>
      <w:bookmarkStart w:id="12" w:name="_mbbkz6t4dgas" w:colFirst="0" w:colLast="0"/>
      <w:bookmarkEnd w:id="12"/>
      <w:r w:rsidRPr="009E6A9D">
        <w:rPr>
          <w:rFonts w:ascii="Times New Roman" w:hAnsi="Times New Roman" w:cs="Times New Roman"/>
          <w:sz w:val="24"/>
          <w:szCs w:val="24"/>
        </w:rPr>
        <w:t xml:space="preserve">Type 2 diabetes mellitus was induced using a combination of nicotinamide (110 mg/kg, intraperitoneally) administered 15 minutes prior to streptozotocin (55 mg/kg, intraperitoneally). This well-established protocol produces partial β-cell dysfunction and peripheral insulin resistance, thereby closely mimicking the pathophysiology of human type 2 diabetes (Srinivasan </w:t>
      </w:r>
      <w:r w:rsidRPr="009E6A9D">
        <w:rPr>
          <w:rFonts w:ascii="Times New Roman" w:hAnsi="Times New Roman" w:cs="Times New Roman"/>
          <w:i/>
          <w:sz w:val="24"/>
          <w:szCs w:val="24"/>
        </w:rPr>
        <w:t>et al</w:t>
      </w:r>
      <w:r w:rsidRPr="009E6A9D">
        <w:rPr>
          <w:rFonts w:ascii="Times New Roman" w:eastAsia="Arial Unicode MS" w:hAnsi="Times New Roman" w:cs="Times New Roman"/>
          <w:sz w:val="24"/>
          <w:szCs w:val="24"/>
        </w:rPr>
        <w:t>., 2005; Furman, 2015). Fasting blood glucose (FBG) was measured using a glucometer, and rats with FBG levels ≥ 250 mg/dL were considered diabetic and included in the study.</w:t>
      </w:r>
    </w:p>
    <w:p w14:paraId="38FAD0E5" w14:textId="77777777" w:rsidR="00492BE5" w:rsidRPr="009E6A9D" w:rsidRDefault="00500E43">
      <w:pPr>
        <w:pStyle w:val="Titre2"/>
        <w:rPr>
          <w:rFonts w:ascii="Times New Roman" w:hAnsi="Times New Roman" w:cs="Times New Roman"/>
          <w:b/>
          <w:sz w:val="24"/>
          <w:szCs w:val="24"/>
        </w:rPr>
      </w:pPr>
      <w:bookmarkStart w:id="13" w:name="_js09pqffc3v" w:colFirst="0" w:colLast="0"/>
      <w:bookmarkEnd w:id="13"/>
      <w:r w:rsidRPr="009E6A9D">
        <w:rPr>
          <w:rFonts w:ascii="Times New Roman" w:hAnsi="Times New Roman" w:cs="Times New Roman"/>
          <w:b/>
          <w:sz w:val="24"/>
          <w:szCs w:val="24"/>
        </w:rPr>
        <w:t>2.5. Experimental design</w:t>
      </w:r>
    </w:p>
    <w:p w14:paraId="092CAF32"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The rats were randomly divided into six groups, with six animals in each group. Group I served as the normal control and received 0.9% sodium chloride (NaCl) solution. Group II consisted of streptozotocin (STZ)-induced diabetic control rats, which were also administered 0.9% NaCl. Groups III, IV, and V included diabetic rats treated orally with the polyherbal formulation at doses of 100 mg/kg, 200 mg/kg, and 400 mg/kg body weight, respectively. Group VI comprised diabetic rats treated with Metformin at a dose of 200 mg/kg. Both the polyherbal formulation and Metformin were suspended in 0.9% NaCl warmed to room temperature and administered once daily by oral gavage for a period of 28 consecutive days.</w:t>
      </w:r>
    </w:p>
    <w:p w14:paraId="1249C804" w14:textId="77777777" w:rsidR="00492BE5" w:rsidRPr="009E6A9D" w:rsidRDefault="00500E43">
      <w:pPr>
        <w:pStyle w:val="Titre2"/>
        <w:rPr>
          <w:rFonts w:ascii="Times New Roman" w:hAnsi="Times New Roman" w:cs="Times New Roman"/>
          <w:b/>
          <w:sz w:val="24"/>
          <w:szCs w:val="24"/>
        </w:rPr>
      </w:pPr>
      <w:bookmarkStart w:id="14" w:name="_8stqwf40d04o" w:colFirst="0" w:colLast="0"/>
      <w:bookmarkEnd w:id="14"/>
      <w:r w:rsidRPr="009E6A9D">
        <w:rPr>
          <w:rFonts w:ascii="Times New Roman" w:hAnsi="Times New Roman" w:cs="Times New Roman"/>
          <w:b/>
          <w:sz w:val="24"/>
          <w:szCs w:val="24"/>
        </w:rPr>
        <w:t>2.6. Biochemical estimations</w:t>
      </w:r>
    </w:p>
    <w:p w14:paraId="338AF36E"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The fasting blood glucose was measured on 0, 14, 21 and 28 days by GOD-POD estimation kit. Body weight and plasma insulin by enzyme linked immunosorbent assay (ELISA) kit were measured on day 0 and 28. After 28 days of treatment, the rats were fasted for 16 h. The animals were then sacrificed by cervical decapitation and blood was collected in the tubes containing potassium oxalate and sodium fluoride as anticoagulants for the estimation of total hemoglobin, HbA1C, protein, urea and creatinine. For enzyme assays, a portion of the liver tissue was dissected out, washed with ice-cold saline immediately, and kept at 4 °C. The liver tissue was homogenized in 0.1 M Tris-HCl (pH 7.4), and supernatant was quantified for hexokinase, glucose-6-phosphatase and fructose-1, 6-bisphosphatase spectrophotometrically according to the commercial instructions of the kits. (Jaffe M, 1886; Drabkin and Austin, 1932; </w:t>
      </w:r>
      <w:proofErr w:type="spellStart"/>
      <w:r w:rsidRPr="009E6A9D">
        <w:rPr>
          <w:rFonts w:ascii="Times New Roman" w:hAnsi="Times New Roman" w:cs="Times New Roman"/>
          <w:sz w:val="24"/>
          <w:szCs w:val="24"/>
        </w:rPr>
        <w:t>Nayak</w:t>
      </w:r>
      <w:proofErr w:type="spellEnd"/>
      <w:r w:rsidRPr="009E6A9D">
        <w:rPr>
          <w:rFonts w:ascii="Times New Roman" w:hAnsi="Times New Roman" w:cs="Times New Roman"/>
          <w:sz w:val="24"/>
          <w:szCs w:val="24"/>
        </w:rPr>
        <w:t xml:space="preserve"> and </w:t>
      </w:r>
      <w:proofErr w:type="spellStart"/>
      <w:r w:rsidRPr="009E6A9D">
        <w:rPr>
          <w:rFonts w:ascii="Times New Roman" w:hAnsi="Times New Roman" w:cs="Times New Roman"/>
          <w:sz w:val="24"/>
          <w:szCs w:val="24"/>
        </w:rPr>
        <w:t>Pattabiraman</w:t>
      </w:r>
      <w:proofErr w:type="spellEnd"/>
      <w:r w:rsidRPr="009E6A9D">
        <w:rPr>
          <w:rFonts w:ascii="Times New Roman" w:hAnsi="Times New Roman" w:cs="Times New Roman"/>
          <w:sz w:val="24"/>
          <w:szCs w:val="24"/>
        </w:rPr>
        <w:t xml:space="preserve">, 1981; Lowry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1951 and Natelson </w:t>
      </w:r>
      <w:r w:rsidRPr="009E6A9D">
        <w:rPr>
          <w:rFonts w:ascii="Times New Roman" w:hAnsi="Times New Roman" w:cs="Times New Roman"/>
          <w:i/>
          <w:sz w:val="24"/>
          <w:szCs w:val="24"/>
        </w:rPr>
        <w:t>et al</w:t>
      </w:r>
      <w:r w:rsidRPr="009E6A9D">
        <w:rPr>
          <w:rFonts w:ascii="Times New Roman" w:hAnsi="Times New Roman" w:cs="Times New Roman"/>
          <w:sz w:val="24"/>
          <w:szCs w:val="24"/>
        </w:rPr>
        <w:t>., 1951).</w:t>
      </w:r>
    </w:p>
    <w:p w14:paraId="74A9A2B7" w14:textId="77777777" w:rsidR="00492BE5" w:rsidRPr="009E6A9D" w:rsidRDefault="00500E43">
      <w:pPr>
        <w:pStyle w:val="Titre2"/>
        <w:rPr>
          <w:rFonts w:ascii="Times New Roman" w:hAnsi="Times New Roman" w:cs="Times New Roman"/>
          <w:b/>
          <w:sz w:val="24"/>
          <w:szCs w:val="24"/>
        </w:rPr>
      </w:pPr>
      <w:bookmarkStart w:id="15" w:name="_i7dg7hb5qhmg" w:colFirst="0" w:colLast="0"/>
      <w:bookmarkEnd w:id="15"/>
      <w:r w:rsidRPr="009E6A9D">
        <w:rPr>
          <w:rFonts w:ascii="Times New Roman" w:hAnsi="Times New Roman" w:cs="Times New Roman"/>
          <w:b/>
          <w:sz w:val="24"/>
          <w:szCs w:val="24"/>
        </w:rPr>
        <w:t>2.7. Histopathological study</w:t>
      </w:r>
    </w:p>
    <w:p w14:paraId="2AD44BEE"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A portion of pancreatic tissue was dissected out and fixed in 10% buffered neutral formal saline and processed. After fixation, tissues were embedded in paraffin. Fixed tissues were cut at 5 µm and stained with hematoxylin and eosin. The sections were examined under light microscope and photomicrographs were taken (Selvan </w:t>
      </w:r>
      <w:r w:rsidRPr="009E6A9D">
        <w:rPr>
          <w:rFonts w:ascii="Times New Roman" w:hAnsi="Times New Roman" w:cs="Times New Roman"/>
          <w:i/>
          <w:sz w:val="24"/>
          <w:szCs w:val="24"/>
        </w:rPr>
        <w:t>et al</w:t>
      </w:r>
      <w:r w:rsidRPr="009E6A9D">
        <w:rPr>
          <w:rFonts w:ascii="Times New Roman" w:hAnsi="Times New Roman" w:cs="Times New Roman"/>
          <w:sz w:val="24"/>
          <w:szCs w:val="24"/>
        </w:rPr>
        <w:t>., 2008).</w:t>
      </w:r>
    </w:p>
    <w:p w14:paraId="2D71B045" w14:textId="77777777" w:rsidR="00492BE5" w:rsidRPr="009E6A9D" w:rsidRDefault="00492BE5">
      <w:pPr>
        <w:rPr>
          <w:rFonts w:ascii="Times New Roman" w:hAnsi="Times New Roman" w:cs="Times New Roman"/>
          <w:sz w:val="24"/>
          <w:szCs w:val="24"/>
        </w:rPr>
      </w:pPr>
    </w:p>
    <w:p w14:paraId="7D84137D" w14:textId="77777777" w:rsidR="00492BE5" w:rsidRPr="009E6A9D" w:rsidRDefault="00500E43">
      <w:pPr>
        <w:pStyle w:val="Titre2"/>
        <w:rPr>
          <w:rFonts w:ascii="Times New Roman" w:hAnsi="Times New Roman" w:cs="Times New Roman"/>
          <w:b/>
          <w:sz w:val="24"/>
          <w:szCs w:val="24"/>
        </w:rPr>
      </w:pPr>
      <w:bookmarkStart w:id="16" w:name="_pa9j0ofkzn4x" w:colFirst="0" w:colLast="0"/>
      <w:bookmarkEnd w:id="16"/>
      <w:r w:rsidRPr="009E6A9D">
        <w:rPr>
          <w:rFonts w:ascii="Times New Roman" w:hAnsi="Times New Roman" w:cs="Times New Roman"/>
          <w:b/>
          <w:sz w:val="24"/>
          <w:szCs w:val="24"/>
        </w:rPr>
        <w:lastRenderedPageBreak/>
        <w:t>2.8. Statistical analysis</w:t>
      </w:r>
    </w:p>
    <w:p w14:paraId="4EECAD1A" w14:textId="77777777" w:rsidR="00492BE5" w:rsidRPr="009E6A9D" w:rsidRDefault="00500E43">
      <w:pPr>
        <w:rPr>
          <w:rFonts w:ascii="Times New Roman" w:hAnsi="Times New Roman" w:cs="Times New Roman"/>
          <w:sz w:val="24"/>
          <w:szCs w:val="24"/>
        </w:rPr>
      </w:pPr>
      <w:r w:rsidRPr="009E6A9D">
        <w:rPr>
          <w:rFonts w:ascii="Times New Roman" w:eastAsia="Arial Unicode MS" w:hAnsi="Times New Roman" w:cs="Times New Roman"/>
          <w:sz w:val="24"/>
          <w:szCs w:val="24"/>
        </w:rPr>
        <w:t>Results were presented as mean ± SEM. Statistical analysis of all the data obtained was evaluated using one-way ANOVA followed by Dunnett's test (SPSS Program; Version 11.5). The differences were considered significant at P ≤ 0.05.</w:t>
      </w:r>
    </w:p>
    <w:p w14:paraId="68B9A0AD" w14:textId="77777777" w:rsidR="00492BE5" w:rsidRPr="009E6A9D" w:rsidRDefault="00500E43">
      <w:pPr>
        <w:pStyle w:val="Titre2"/>
        <w:rPr>
          <w:rFonts w:ascii="Times New Roman" w:hAnsi="Times New Roman" w:cs="Times New Roman"/>
          <w:b/>
          <w:sz w:val="24"/>
          <w:szCs w:val="24"/>
        </w:rPr>
      </w:pPr>
      <w:bookmarkStart w:id="17" w:name="_vma0fc1dxbft" w:colFirst="0" w:colLast="0"/>
      <w:bookmarkEnd w:id="17"/>
      <w:commentRangeStart w:id="18"/>
      <w:r w:rsidRPr="009E6A9D">
        <w:rPr>
          <w:rFonts w:ascii="Times New Roman" w:hAnsi="Times New Roman" w:cs="Times New Roman"/>
          <w:b/>
          <w:sz w:val="24"/>
          <w:szCs w:val="24"/>
        </w:rPr>
        <w:t>Results</w:t>
      </w:r>
      <w:commentRangeEnd w:id="18"/>
      <w:r w:rsidR="00BB5BFF">
        <w:rPr>
          <w:rStyle w:val="Marquedecommentaire"/>
        </w:rPr>
        <w:commentReference w:id="18"/>
      </w:r>
    </w:p>
    <w:p w14:paraId="3455EBB5" w14:textId="77777777" w:rsidR="00492BE5" w:rsidRPr="009E6A9D" w:rsidRDefault="00500E43">
      <w:pPr>
        <w:rPr>
          <w:rFonts w:ascii="Times New Roman" w:hAnsi="Times New Roman" w:cs="Times New Roman"/>
          <w:b/>
          <w:sz w:val="24"/>
          <w:szCs w:val="24"/>
        </w:rPr>
      </w:pPr>
      <w:r w:rsidRPr="009E6A9D">
        <w:rPr>
          <w:rFonts w:ascii="Times New Roman" w:hAnsi="Times New Roman" w:cs="Times New Roman"/>
          <w:b/>
          <w:sz w:val="24"/>
          <w:szCs w:val="24"/>
        </w:rPr>
        <w:t>Yield of extract</w:t>
      </w:r>
    </w:p>
    <w:p w14:paraId="5F4056F1"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The dried polyherbal extract weighed 66 g, corresponding to a percentage yield of 11% from the initial 600 g of plant material.</w:t>
      </w:r>
    </w:p>
    <w:p w14:paraId="425453BC" w14:textId="77777777" w:rsidR="00492BE5" w:rsidRPr="009E6A9D" w:rsidRDefault="00492BE5">
      <w:pPr>
        <w:rPr>
          <w:rFonts w:ascii="Times New Roman" w:hAnsi="Times New Roman" w:cs="Times New Roman"/>
          <w:b/>
          <w:sz w:val="24"/>
          <w:szCs w:val="24"/>
        </w:rPr>
      </w:pPr>
    </w:p>
    <w:p w14:paraId="381D3AA0" w14:textId="77777777" w:rsidR="00492BE5" w:rsidRPr="009E6A9D" w:rsidRDefault="00500E43">
      <w:pPr>
        <w:rPr>
          <w:rFonts w:ascii="Times New Roman" w:hAnsi="Times New Roman" w:cs="Times New Roman"/>
          <w:b/>
          <w:sz w:val="24"/>
          <w:szCs w:val="24"/>
        </w:rPr>
      </w:pPr>
      <w:r w:rsidRPr="009E6A9D">
        <w:rPr>
          <w:rFonts w:ascii="Times New Roman" w:hAnsi="Times New Roman" w:cs="Times New Roman"/>
          <w:b/>
          <w:sz w:val="24"/>
          <w:szCs w:val="24"/>
        </w:rPr>
        <w:t>Table 1: Acute Toxicity Study Results of Polyherbal Extract in Wistar Rats</w:t>
      </w:r>
    </w:p>
    <w:tbl>
      <w:tblPr>
        <w:tblStyle w:val="a"/>
        <w:tblW w:w="9360" w:type="dxa"/>
        <w:tblInd w:w="0" w:type="dxa"/>
        <w:tblLayout w:type="fixed"/>
        <w:tblLook w:val="0600" w:firstRow="0" w:lastRow="0" w:firstColumn="0" w:lastColumn="0" w:noHBand="1" w:noVBand="1"/>
      </w:tblPr>
      <w:tblGrid>
        <w:gridCol w:w="1115"/>
        <w:gridCol w:w="1167"/>
        <w:gridCol w:w="1493"/>
        <w:gridCol w:w="1651"/>
        <w:gridCol w:w="1514"/>
        <w:gridCol w:w="1210"/>
        <w:gridCol w:w="1210"/>
      </w:tblGrid>
      <w:tr w:rsidR="00492BE5" w:rsidRPr="009E6A9D" w14:paraId="65F6430B" w14:textId="77777777" w:rsidTr="009E6A9D">
        <w:trPr>
          <w:trHeight w:val="1085"/>
        </w:trPr>
        <w:tc>
          <w:tcPr>
            <w:tcW w:w="1115" w:type="dxa"/>
            <w:tcBorders>
              <w:top w:val="single" w:sz="4" w:space="0" w:color="auto"/>
              <w:bottom w:val="single" w:sz="4" w:space="0" w:color="auto"/>
            </w:tcBorders>
            <w:tcMar>
              <w:top w:w="100" w:type="dxa"/>
              <w:left w:w="100" w:type="dxa"/>
              <w:bottom w:w="100" w:type="dxa"/>
              <w:right w:w="100" w:type="dxa"/>
            </w:tcMar>
          </w:tcPr>
          <w:p w14:paraId="545ED21B"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Dose (mg/kg)</w:t>
            </w:r>
          </w:p>
        </w:tc>
        <w:tc>
          <w:tcPr>
            <w:tcW w:w="1167" w:type="dxa"/>
            <w:tcBorders>
              <w:top w:val="single" w:sz="4" w:space="0" w:color="auto"/>
              <w:bottom w:val="single" w:sz="4" w:space="0" w:color="auto"/>
            </w:tcBorders>
            <w:tcMar>
              <w:top w:w="100" w:type="dxa"/>
              <w:left w:w="100" w:type="dxa"/>
              <w:bottom w:w="100" w:type="dxa"/>
              <w:right w:w="100" w:type="dxa"/>
            </w:tcMar>
          </w:tcPr>
          <w:p w14:paraId="54AF48AC"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No. of Animals</w:t>
            </w:r>
          </w:p>
        </w:tc>
        <w:tc>
          <w:tcPr>
            <w:tcW w:w="1492" w:type="dxa"/>
            <w:tcBorders>
              <w:top w:val="single" w:sz="4" w:space="0" w:color="auto"/>
              <w:bottom w:val="single" w:sz="4" w:space="0" w:color="auto"/>
            </w:tcBorders>
            <w:tcMar>
              <w:top w:w="100" w:type="dxa"/>
              <w:left w:w="100" w:type="dxa"/>
              <w:bottom w:w="100" w:type="dxa"/>
              <w:right w:w="100" w:type="dxa"/>
            </w:tcMar>
          </w:tcPr>
          <w:p w14:paraId="6383D9C8"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Behavioral Changes (2 h)</w:t>
            </w:r>
          </w:p>
        </w:tc>
        <w:tc>
          <w:tcPr>
            <w:tcW w:w="1650" w:type="dxa"/>
            <w:tcBorders>
              <w:top w:val="single" w:sz="4" w:space="0" w:color="auto"/>
              <w:bottom w:val="single" w:sz="4" w:space="0" w:color="auto"/>
            </w:tcBorders>
            <w:tcMar>
              <w:top w:w="100" w:type="dxa"/>
              <w:left w:w="100" w:type="dxa"/>
              <w:bottom w:w="100" w:type="dxa"/>
              <w:right w:w="100" w:type="dxa"/>
            </w:tcMar>
          </w:tcPr>
          <w:p w14:paraId="5446ABB1"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Neurological Changes (2 h)</w:t>
            </w:r>
          </w:p>
        </w:tc>
        <w:tc>
          <w:tcPr>
            <w:tcW w:w="1513" w:type="dxa"/>
            <w:tcBorders>
              <w:top w:val="single" w:sz="4" w:space="0" w:color="auto"/>
              <w:bottom w:val="single" w:sz="4" w:space="0" w:color="auto"/>
            </w:tcBorders>
            <w:tcMar>
              <w:top w:w="100" w:type="dxa"/>
              <w:left w:w="100" w:type="dxa"/>
              <w:bottom w:w="100" w:type="dxa"/>
              <w:right w:w="100" w:type="dxa"/>
            </w:tcMar>
          </w:tcPr>
          <w:p w14:paraId="36357D91"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Autonomic Changes (2 h)</w:t>
            </w:r>
          </w:p>
        </w:tc>
        <w:tc>
          <w:tcPr>
            <w:tcW w:w="1209" w:type="dxa"/>
            <w:tcBorders>
              <w:top w:val="single" w:sz="4" w:space="0" w:color="auto"/>
              <w:bottom w:val="single" w:sz="4" w:space="0" w:color="auto"/>
            </w:tcBorders>
            <w:tcMar>
              <w:top w:w="100" w:type="dxa"/>
              <w:left w:w="100" w:type="dxa"/>
              <w:bottom w:w="100" w:type="dxa"/>
              <w:right w:w="100" w:type="dxa"/>
            </w:tcMar>
          </w:tcPr>
          <w:p w14:paraId="3D1EFC77"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Mortality (24 h)</w:t>
            </w:r>
          </w:p>
        </w:tc>
        <w:tc>
          <w:tcPr>
            <w:tcW w:w="1209" w:type="dxa"/>
            <w:tcBorders>
              <w:top w:val="single" w:sz="4" w:space="0" w:color="auto"/>
              <w:bottom w:val="single" w:sz="4" w:space="0" w:color="auto"/>
            </w:tcBorders>
            <w:tcMar>
              <w:top w:w="100" w:type="dxa"/>
              <w:left w:w="100" w:type="dxa"/>
              <w:bottom w:w="100" w:type="dxa"/>
              <w:right w:w="100" w:type="dxa"/>
            </w:tcMar>
          </w:tcPr>
          <w:p w14:paraId="68C8446F"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Mortality (72 h)</w:t>
            </w:r>
          </w:p>
        </w:tc>
      </w:tr>
      <w:tr w:rsidR="00492BE5" w:rsidRPr="009E6A9D" w14:paraId="731B87AB" w14:textId="77777777" w:rsidTr="009E6A9D">
        <w:trPr>
          <w:trHeight w:val="515"/>
        </w:trPr>
        <w:tc>
          <w:tcPr>
            <w:tcW w:w="1115" w:type="dxa"/>
            <w:tcBorders>
              <w:top w:val="single" w:sz="4" w:space="0" w:color="auto"/>
            </w:tcBorders>
            <w:tcMar>
              <w:top w:w="100" w:type="dxa"/>
              <w:left w:w="100" w:type="dxa"/>
              <w:bottom w:w="100" w:type="dxa"/>
              <w:right w:w="100" w:type="dxa"/>
            </w:tcMar>
          </w:tcPr>
          <w:p w14:paraId="3376EC5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100</w:t>
            </w:r>
          </w:p>
        </w:tc>
        <w:tc>
          <w:tcPr>
            <w:tcW w:w="1167" w:type="dxa"/>
            <w:tcBorders>
              <w:top w:val="single" w:sz="4" w:space="0" w:color="auto"/>
            </w:tcBorders>
            <w:tcMar>
              <w:top w:w="100" w:type="dxa"/>
              <w:left w:w="100" w:type="dxa"/>
              <w:bottom w:w="100" w:type="dxa"/>
              <w:right w:w="100" w:type="dxa"/>
            </w:tcMar>
          </w:tcPr>
          <w:p w14:paraId="74559C4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6</w:t>
            </w:r>
          </w:p>
        </w:tc>
        <w:tc>
          <w:tcPr>
            <w:tcW w:w="1492" w:type="dxa"/>
            <w:tcBorders>
              <w:top w:val="single" w:sz="4" w:space="0" w:color="auto"/>
            </w:tcBorders>
            <w:tcMar>
              <w:top w:w="100" w:type="dxa"/>
              <w:left w:w="100" w:type="dxa"/>
              <w:bottom w:w="100" w:type="dxa"/>
              <w:right w:w="100" w:type="dxa"/>
            </w:tcMar>
          </w:tcPr>
          <w:p w14:paraId="1359EF8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650" w:type="dxa"/>
            <w:tcBorders>
              <w:top w:val="single" w:sz="4" w:space="0" w:color="auto"/>
            </w:tcBorders>
            <w:tcMar>
              <w:top w:w="100" w:type="dxa"/>
              <w:left w:w="100" w:type="dxa"/>
              <w:bottom w:w="100" w:type="dxa"/>
              <w:right w:w="100" w:type="dxa"/>
            </w:tcMar>
          </w:tcPr>
          <w:p w14:paraId="7C4687F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513" w:type="dxa"/>
            <w:tcBorders>
              <w:top w:val="single" w:sz="4" w:space="0" w:color="auto"/>
            </w:tcBorders>
            <w:tcMar>
              <w:top w:w="100" w:type="dxa"/>
              <w:left w:w="100" w:type="dxa"/>
              <w:bottom w:w="100" w:type="dxa"/>
              <w:right w:w="100" w:type="dxa"/>
            </w:tcMar>
          </w:tcPr>
          <w:p w14:paraId="38DB405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209" w:type="dxa"/>
            <w:tcBorders>
              <w:top w:val="single" w:sz="4" w:space="0" w:color="auto"/>
            </w:tcBorders>
            <w:tcMar>
              <w:top w:w="100" w:type="dxa"/>
              <w:left w:w="100" w:type="dxa"/>
              <w:bottom w:w="100" w:type="dxa"/>
              <w:right w:w="100" w:type="dxa"/>
            </w:tcMar>
          </w:tcPr>
          <w:p w14:paraId="4E3F036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c>
          <w:tcPr>
            <w:tcW w:w="1209" w:type="dxa"/>
            <w:tcBorders>
              <w:top w:val="single" w:sz="4" w:space="0" w:color="auto"/>
            </w:tcBorders>
            <w:tcMar>
              <w:top w:w="100" w:type="dxa"/>
              <w:left w:w="100" w:type="dxa"/>
              <w:bottom w:w="100" w:type="dxa"/>
              <w:right w:w="100" w:type="dxa"/>
            </w:tcMar>
          </w:tcPr>
          <w:p w14:paraId="62730F3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r>
      <w:tr w:rsidR="00492BE5" w:rsidRPr="009E6A9D" w14:paraId="342A9503" w14:textId="77777777" w:rsidTr="009E6A9D">
        <w:trPr>
          <w:trHeight w:val="515"/>
        </w:trPr>
        <w:tc>
          <w:tcPr>
            <w:tcW w:w="1115" w:type="dxa"/>
            <w:tcMar>
              <w:top w:w="100" w:type="dxa"/>
              <w:left w:w="100" w:type="dxa"/>
              <w:bottom w:w="100" w:type="dxa"/>
              <w:right w:w="100" w:type="dxa"/>
            </w:tcMar>
          </w:tcPr>
          <w:p w14:paraId="0230B16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500</w:t>
            </w:r>
          </w:p>
        </w:tc>
        <w:tc>
          <w:tcPr>
            <w:tcW w:w="1167" w:type="dxa"/>
            <w:tcMar>
              <w:top w:w="100" w:type="dxa"/>
              <w:left w:w="100" w:type="dxa"/>
              <w:bottom w:w="100" w:type="dxa"/>
              <w:right w:w="100" w:type="dxa"/>
            </w:tcMar>
          </w:tcPr>
          <w:p w14:paraId="2112365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6</w:t>
            </w:r>
          </w:p>
        </w:tc>
        <w:tc>
          <w:tcPr>
            <w:tcW w:w="1492" w:type="dxa"/>
            <w:tcMar>
              <w:top w:w="100" w:type="dxa"/>
              <w:left w:w="100" w:type="dxa"/>
              <w:bottom w:w="100" w:type="dxa"/>
              <w:right w:w="100" w:type="dxa"/>
            </w:tcMar>
          </w:tcPr>
          <w:p w14:paraId="52BBD93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650" w:type="dxa"/>
            <w:tcMar>
              <w:top w:w="100" w:type="dxa"/>
              <w:left w:w="100" w:type="dxa"/>
              <w:bottom w:w="100" w:type="dxa"/>
              <w:right w:w="100" w:type="dxa"/>
            </w:tcMar>
          </w:tcPr>
          <w:p w14:paraId="0B87E3A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513" w:type="dxa"/>
            <w:tcMar>
              <w:top w:w="100" w:type="dxa"/>
              <w:left w:w="100" w:type="dxa"/>
              <w:bottom w:w="100" w:type="dxa"/>
              <w:right w:w="100" w:type="dxa"/>
            </w:tcMar>
          </w:tcPr>
          <w:p w14:paraId="77352FA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209" w:type="dxa"/>
            <w:tcMar>
              <w:top w:w="100" w:type="dxa"/>
              <w:left w:w="100" w:type="dxa"/>
              <w:bottom w:w="100" w:type="dxa"/>
              <w:right w:w="100" w:type="dxa"/>
            </w:tcMar>
          </w:tcPr>
          <w:p w14:paraId="4E71ACB3"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c>
          <w:tcPr>
            <w:tcW w:w="1209" w:type="dxa"/>
            <w:tcMar>
              <w:top w:w="100" w:type="dxa"/>
              <w:left w:w="100" w:type="dxa"/>
              <w:bottom w:w="100" w:type="dxa"/>
              <w:right w:w="100" w:type="dxa"/>
            </w:tcMar>
          </w:tcPr>
          <w:p w14:paraId="79FB2E42"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r>
      <w:tr w:rsidR="00492BE5" w:rsidRPr="009E6A9D" w14:paraId="66A3AC76" w14:textId="77777777" w:rsidTr="009E6A9D">
        <w:trPr>
          <w:trHeight w:val="515"/>
        </w:trPr>
        <w:tc>
          <w:tcPr>
            <w:tcW w:w="1115" w:type="dxa"/>
            <w:tcMar>
              <w:top w:w="100" w:type="dxa"/>
              <w:left w:w="100" w:type="dxa"/>
              <w:bottom w:w="100" w:type="dxa"/>
              <w:right w:w="100" w:type="dxa"/>
            </w:tcMar>
          </w:tcPr>
          <w:p w14:paraId="60A3517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1000</w:t>
            </w:r>
          </w:p>
        </w:tc>
        <w:tc>
          <w:tcPr>
            <w:tcW w:w="1167" w:type="dxa"/>
            <w:tcMar>
              <w:top w:w="100" w:type="dxa"/>
              <w:left w:w="100" w:type="dxa"/>
              <w:bottom w:w="100" w:type="dxa"/>
              <w:right w:w="100" w:type="dxa"/>
            </w:tcMar>
          </w:tcPr>
          <w:p w14:paraId="7478C64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6</w:t>
            </w:r>
          </w:p>
        </w:tc>
        <w:tc>
          <w:tcPr>
            <w:tcW w:w="1492" w:type="dxa"/>
            <w:tcMar>
              <w:top w:w="100" w:type="dxa"/>
              <w:left w:w="100" w:type="dxa"/>
              <w:bottom w:w="100" w:type="dxa"/>
              <w:right w:w="100" w:type="dxa"/>
            </w:tcMar>
          </w:tcPr>
          <w:p w14:paraId="585B644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650" w:type="dxa"/>
            <w:tcMar>
              <w:top w:w="100" w:type="dxa"/>
              <w:left w:w="100" w:type="dxa"/>
              <w:bottom w:w="100" w:type="dxa"/>
              <w:right w:w="100" w:type="dxa"/>
            </w:tcMar>
          </w:tcPr>
          <w:p w14:paraId="4523444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513" w:type="dxa"/>
            <w:tcMar>
              <w:top w:w="100" w:type="dxa"/>
              <w:left w:w="100" w:type="dxa"/>
              <w:bottom w:w="100" w:type="dxa"/>
              <w:right w:w="100" w:type="dxa"/>
            </w:tcMar>
          </w:tcPr>
          <w:p w14:paraId="74FEFFA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209" w:type="dxa"/>
            <w:tcMar>
              <w:top w:w="100" w:type="dxa"/>
              <w:left w:w="100" w:type="dxa"/>
              <w:bottom w:w="100" w:type="dxa"/>
              <w:right w:w="100" w:type="dxa"/>
            </w:tcMar>
          </w:tcPr>
          <w:p w14:paraId="75A29BC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c>
          <w:tcPr>
            <w:tcW w:w="1209" w:type="dxa"/>
            <w:tcMar>
              <w:top w:w="100" w:type="dxa"/>
              <w:left w:w="100" w:type="dxa"/>
              <w:bottom w:w="100" w:type="dxa"/>
              <w:right w:w="100" w:type="dxa"/>
            </w:tcMar>
          </w:tcPr>
          <w:p w14:paraId="7A3F3A12"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r>
      <w:tr w:rsidR="00492BE5" w:rsidRPr="009E6A9D" w14:paraId="0694A659" w14:textId="77777777" w:rsidTr="009E6A9D">
        <w:trPr>
          <w:trHeight w:val="515"/>
        </w:trPr>
        <w:tc>
          <w:tcPr>
            <w:tcW w:w="1115" w:type="dxa"/>
            <w:tcMar>
              <w:top w:w="100" w:type="dxa"/>
              <w:left w:w="100" w:type="dxa"/>
              <w:bottom w:w="100" w:type="dxa"/>
              <w:right w:w="100" w:type="dxa"/>
            </w:tcMar>
          </w:tcPr>
          <w:p w14:paraId="301C28AC"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2000</w:t>
            </w:r>
          </w:p>
        </w:tc>
        <w:tc>
          <w:tcPr>
            <w:tcW w:w="1167" w:type="dxa"/>
            <w:tcMar>
              <w:top w:w="100" w:type="dxa"/>
              <w:left w:w="100" w:type="dxa"/>
              <w:bottom w:w="100" w:type="dxa"/>
              <w:right w:w="100" w:type="dxa"/>
            </w:tcMar>
          </w:tcPr>
          <w:p w14:paraId="4351275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6</w:t>
            </w:r>
          </w:p>
        </w:tc>
        <w:tc>
          <w:tcPr>
            <w:tcW w:w="1492" w:type="dxa"/>
            <w:tcMar>
              <w:top w:w="100" w:type="dxa"/>
              <w:left w:w="100" w:type="dxa"/>
              <w:bottom w:w="100" w:type="dxa"/>
              <w:right w:w="100" w:type="dxa"/>
            </w:tcMar>
          </w:tcPr>
          <w:p w14:paraId="1B5F6B82"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650" w:type="dxa"/>
            <w:tcMar>
              <w:top w:w="100" w:type="dxa"/>
              <w:left w:w="100" w:type="dxa"/>
              <w:bottom w:w="100" w:type="dxa"/>
              <w:right w:w="100" w:type="dxa"/>
            </w:tcMar>
          </w:tcPr>
          <w:p w14:paraId="36AC1C7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513" w:type="dxa"/>
            <w:tcMar>
              <w:top w:w="100" w:type="dxa"/>
              <w:left w:w="100" w:type="dxa"/>
              <w:bottom w:w="100" w:type="dxa"/>
              <w:right w:w="100" w:type="dxa"/>
            </w:tcMar>
          </w:tcPr>
          <w:p w14:paraId="03CCCA9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209" w:type="dxa"/>
            <w:tcMar>
              <w:top w:w="100" w:type="dxa"/>
              <w:left w:w="100" w:type="dxa"/>
              <w:bottom w:w="100" w:type="dxa"/>
              <w:right w:w="100" w:type="dxa"/>
            </w:tcMar>
          </w:tcPr>
          <w:p w14:paraId="6284AFA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c>
          <w:tcPr>
            <w:tcW w:w="1209" w:type="dxa"/>
            <w:tcMar>
              <w:top w:w="100" w:type="dxa"/>
              <w:left w:w="100" w:type="dxa"/>
              <w:bottom w:w="100" w:type="dxa"/>
              <w:right w:w="100" w:type="dxa"/>
            </w:tcMar>
          </w:tcPr>
          <w:p w14:paraId="1753D81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r>
      <w:tr w:rsidR="00492BE5" w:rsidRPr="009E6A9D" w14:paraId="22C2D128" w14:textId="77777777" w:rsidTr="009E6A9D">
        <w:trPr>
          <w:trHeight w:val="515"/>
        </w:trPr>
        <w:tc>
          <w:tcPr>
            <w:tcW w:w="1115" w:type="dxa"/>
            <w:tcBorders>
              <w:bottom w:val="single" w:sz="4" w:space="0" w:color="auto"/>
            </w:tcBorders>
            <w:tcMar>
              <w:top w:w="100" w:type="dxa"/>
              <w:left w:w="100" w:type="dxa"/>
              <w:bottom w:w="100" w:type="dxa"/>
              <w:right w:w="100" w:type="dxa"/>
            </w:tcMar>
          </w:tcPr>
          <w:p w14:paraId="0FBE513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4000</w:t>
            </w:r>
          </w:p>
        </w:tc>
        <w:tc>
          <w:tcPr>
            <w:tcW w:w="1167" w:type="dxa"/>
            <w:tcBorders>
              <w:bottom w:val="single" w:sz="4" w:space="0" w:color="auto"/>
            </w:tcBorders>
            <w:tcMar>
              <w:top w:w="100" w:type="dxa"/>
              <w:left w:w="100" w:type="dxa"/>
              <w:bottom w:w="100" w:type="dxa"/>
              <w:right w:w="100" w:type="dxa"/>
            </w:tcMar>
          </w:tcPr>
          <w:p w14:paraId="133E7D41"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6</w:t>
            </w:r>
          </w:p>
        </w:tc>
        <w:tc>
          <w:tcPr>
            <w:tcW w:w="1492" w:type="dxa"/>
            <w:tcBorders>
              <w:bottom w:val="single" w:sz="4" w:space="0" w:color="auto"/>
            </w:tcBorders>
            <w:tcMar>
              <w:top w:w="100" w:type="dxa"/>
              <w:left w:w="100" w:type="dxa"/>
              <w:bottom w:w="100" w:type="dxa"/>
              <w:right w:w="100" w:type="dxa"/>
            </w:tcMar>
          </w:tcPr>
          <w:p w14:paraId="5F57EB0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650" w:type="dxa"/>
            <w:tcBorders>
              <w:bottom w:val="single" w:sz="4" w:space="0" w:color="auto"/>
            </w:tcBorders>
            <w:tcMar>
              <w:top w:w="100" w:type="dxa"/>
              <w:left w:w="100" w:type="dxa"/>
              <w:bottom w:w="100" w:type="dxa"/>
              <w:right w:w="100" w:type="dxa"/>
            </w:tcMar>
          </w:tcPr>
          <w:p w14:paraId="4AE018C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513" w:type="dxa"/>
            <w:tcBorders>
              <w:bottom w:val="single" w:sz="4" w:space="0" w:color="auto"/>
            </w:tcBorders>
            <w:tcMar>
              <w:top w:w="100" w:type="dxa"/>
              <w:left w:w="100" w:type="dxa"/>
              <w:bottom w:w="100" w:type="dxa"/>
              <w:right w:w="100" w:type="dxa"/>
            </w:tcMar>
          </w:tcPr>
          <w:p w14:paraId="12243F3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209" w:type="dxa"/>
            <w:tcBorders>
              <w:bottom w:val="single" w:sz="4" w:space="0" w:color="auto"/>
            </w:tcBorders>
            <w:tcMar>
              <w:top w:w="100" w:type="dxa"/>
              <w:left w:w="100" w:type="dxa"/>
              <w:bottom w:w="100" w:type="dxa"/>
              <w:right w:w="100" w:type="dxa"/>
            </w:tcMar>
          </w:tcPr>
          <w:p w14:paraId="139A43E1"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c>
          <w:tcPr>
            <w:tcW w:w="1209" w:type="dxa"/>
            <w:tcBorders>
              <w:bottom w:val="single" w:sz="4" w:space="0" w:color="auto"/>
            </w:tcBorders>
            <w:tcMar>
              <w:top w:w="100" w:type="dxa"/>
              <w:left w:w="100" w:type="dxa"/>
              <w:bottom w:w="100" w:type="dxa"/>
              <w:right w:w="100" w:type="dxa"/>
            </w:tcMar>
          </w:tcPr>
          <w:p w14:paraId="202ABDDF"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r>
    </w:tbl>
    <w:p w14:paraId="26DEA767" w14:textId="77777777" w:rsidR="00492BE5" w:rsidRDefault="00492BE5">
      <w:pPr>
        <w:rPr>
          <w:b/>
        </w:rPr>
      </w:pPr>
    </w:p>
    <w:p w14:paraId="46C8D2EA"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Data represents the number of animals exhibiting the specified changes out of the total number of animals in the group (n=6). Observations were made for behavioral, neurological, and autonomic profiles for 2 hours post-administration, with mortality tracked at 24 and 72 hours.</w:t>
      </w:r>
    </w:p>
    <w:p w14:paraId="21503333" w14:textId="77777777" w:rsidR="00492BE5" w:rsidRPr="009E6A9D" w:rsidRDefault="00492BE5">
      <w:pPr>
        <w:rPr>
          <w:rFonts w:ascii="Times New Roman" w:hAnsi="Times New Roman" w:cs="Times New Roman"/>
          <w:b/>
          <w:sz w:val="24"/>
          <w:szCs w:val="24"/>
        </w:rPr>
      </w:pPr>
    </w:p>
    <w:p w14:paraId="42E8B9E3" w14:textId="77777777" w:rsidR="009E6A9D" w:rsidRDefault="009E6A9D">
      <w:pPr>
        <w:rPr>
          <w:rFonts w:ascii="Times New Roman" w:hAnsi="Times New Roman" w:cs="Times New Roman"/>
          <w:b/>
          <w:sz w:val="24"/>
          <w:szCs w:val="24"/>
        </w:rPr>
      </w:pPr>
    </w:p>
    <w:p w14:paraId="4D6A8B26" w14:textId="77777777" w:rsidR="009E6A9D" w:rsidRDefault="009E6A9D">
      <w:pPr>
        <w:rPr>
          <w:rFonts w:ascii="Times New Roman" w:hAnsi="Times New Roman" w:cs="Times New Roman"/>
          <w:b/>
          <w:sz w:val="24"/>
          <w:szCs w:val="24"/>
        </w:rPr>
      </w:pPr>
    </w:p>
    <w:p w14:paraId="59CF9655" w14:textId="77777777" w:rsidR="009E6A9D" w:rsidRDefault="009E6A9D">
      <w:pPr>
        <w:rPr>
          <w:rFonts w:ascii="Times New Roman" w:hAnsi="Times New Roman" w:cs="Times New Roman"/>
          <w:b/>
          <w:sz w:val="24"/>
          <w:szCs w:val="24"/>
        </w:rPr>
      </w:pPr>
    </w:p>
    <w:p w14:paraId="7332BD51" w14:textId="77777777" w:rsidR="009E6A9D" w:rsidRDefault="009E6A9D">
      <w:pPr>
        <w:rPr>
          <w:rFonts w:ascii="Times New Roman" w:hAnsi="Times New Roman" w:cs="Times New Roman"/>
          <w:b/>
          <w:sz w:val="24"/>
          <w:szCs w:val="24"/>
        </w:rPr>
      </w:pPr>
    </w:p>
    <w:p w14:paraId="1A7906FF" w14:textId="77777777" w:rsidR="009E6A9D" w:rsidRDefault="009E6A9D">
      <w:pPr>
        <w:rPr>
          <w:rFonts w:ascii="Times New Roman" w:hAnsi="Times New Roman" w:cs="Times New Roman"/>
          <w:b/>
          <w:sz w:val="24"/>
          <w:szCs w:val="24"/>
        </w:rPr>
      </w:pPr>
    </w:p>
    <w:p w14:paraId="28A5D7DD" w14:textId="77777777" w:rsidR="009E6A9D" w:rsidRDefault="009E6A9D">
      <w:pPr>
        <w:rPr>
          <w:rFonts w:ascii="Times New Roman" w:hAnsi="Times New Roman" w:cs="Times New Roman"/>
          <w:b/>
          <w:sz w:val="24"/>
          <w:szCs w:val="24"/>
        </w:rPr>
      </w:pPr>
    </w:p>
    <w:p w14:paraId="0D0A6C64" w14:textId="77777777" w:rsidR="009E6A9D" w:rsidRDefault="009E6A9D">
      <w:pPr>
        <w:rPr>
          <w:rFonts w:ascii="Times New Roman" w:hAnsi="Times New Roman" w:cs="Times New Roman"/>
          <w:b/>
          <w:sz w:val="24"/>
          <w:szCs w:val="24"/>
        </w:rPr>
      </w:pPr>
    </w:p>
    <w:p w14:paraId="1CC8FD5A" w14:textId="7D56FBE5" w:rsidR="00492BE5" w:rsidRPr="009E6A9D" w:rsidRDefault="00500E43">
      <w:pPr>
        <w:rPr>
          <w:rFonts w:ascii="Times New Roman" w:hAnsi="Times New Roman" w:cs="Times New Roman"/>
          <w:b/>
          <w:sz w:val="24"/>
          <w:szCs w:val="24"/>
        </w:rPr>
      </w:pPr>
      <w:r w:rsidRPr="009E6A9D">
        <w:rPr>
          <w:rFonts w:ascii="Times New Roman" w:hAnsi="Times New Roman" w:cs="Times New Roman"/>
          <w:b/>
          <w:sz w:val="24"/>
          <w:szCs w:val="24"/>
        </w:rPr>
        <w:lastRenderedPageBreak/>
        <w:t>Table 2: Fasting Blood Glucose Levels in Streptozotocin-Induced Diabetic Rats Over 28 Days</w:t>
      </w:r>
    </w:p>
    <w:tbl>
      <w:tblPr>
        <w:tblStyle w:val="a0"/>
        <w:tblW w:w="9360" w:type="dxa"/>
        <w:tblInd w:w="0" w:type="dxa"/>
        <w:tblLayout w:type="fixed"/>
        <w:tblLook w:val="0600" w:firstRow="0" w:lastRow="0" w:firstColumn="0" w:lastColumn="0" w:noHBand="1" w:noVBand="1"/>
      </w:tblPr>
      <w:tblGrid>
        <w:gridCol w:w="2697"/>
        <w:gridCol w:w="1593"/>
        <w:gridCol w:w="1690"/>
        <w:gridCol w:w="1690"/>
        <w:gridCol w:w="1690"/>
      </w:tblGrid>
      <w:tr w:rsidR="00492BE5" w:rsidRPr="009E6A9D" w14:paraId="0FFA9DE7" w14:textId="77777777" w:rsidTr="009E6A9D">
        <w:trPr>
          <w:trHeight w:val="515"/>
        </w:trPr>
        <w:tc>
          <w:tcPr>
            <w:tcW w:w="2695" w:type="dxa"/>
            <w:tcBorders>
              <w:top w:val="single" w:sz="4" w:space="0" w:color="auto"/>
              <w:bottom w:val="single" w:sz="4" w:space="0" w:color="auto"/>
            </w:tcBorders>
            <w:tcMar>
              <w:top w:w="100" w:type="dxa"/>
              <w:left w:w="100" w:type="dxa"/>
              <w:bottom w:w="100" w:type="dxa"/>
              <w:right w:w="100" w:type="dxa"/>
            </w:tcMar>
          </w:tcPr>
          <w:p w14:paraId="65AC26A8"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Group</w:t>
            </w:r>
          </w:p>
        </w:tc>
        <w:tc>
          <w:tcPr>
            <w:tcW w:w="1593" w:type="dxa"/>
            <w:tcBorders>
              <w:top w:val="single" w:sz="4" w:space="0" w:color="auto"/>
              <w:bottom w:val="single" w:sz="4" w:space="0" w:color="auto"/>
            </w:tcBorders>
            <w:tcMar>
              <w:top w:w="100" w:type="dxa"/>
              <w:left w:w="100" w:type="dxa"/>
              <w:bottom w:w="100" w:type="dxa"/>
              <w:right w:w="100" w:type="dxa"/>
            </w:tcMar>
          </w:tcPr>
          <w:p w14:paraId="1853E761"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Day 0 (mg/dL)</w:t>
            </w:r>
          </w:p>
        </w:tc>
        <w:tc>
          <w:tcPr>
            <w:tcW w:w="1690" w:type="dxa"/>
            <w:tcBorders>
              <w:top w:val="single" w:sz="4" w:space="0" w:color="auto"/>
              <w:bottom w:val="single" w:sz="4" w:space="0" w:color="auto"/>
            </w:tcBorders>
            <w:tcMar>
              <w:top w:w="100" w:type="dxa"/>
              <w:left w:w="100" w:type="dxa"/>
              <w:bottom w:w="100" w:type="dxa"/>
              <w:right w:w="100" w:type="dxa"/>
            </w:tcMar>
          </w:tcPr>
          <w:p w14:paraId="65E040BD"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Day 14 (mg/dL)</w:t>
            </w:r>
          </w:p>
        </w:tc>
        <w:tc>
          <w:tcPr>
            <w:tcW w:w="1690" w:type="dxa"/>
            <w:tcBorders>
              <w:top w:val="single" w:sz="4" w:space="0" w:color="auto"/>
              <w:bottom w:val="single" w:sz="4" w:space="0" w:color="auto"/>
            </w:tcBorders>
            <w:tcMar>
              <w:top w:w="100" w:type="dxa"/>
              <w:left w:w="100" w:type="dxa"/>
              <w:bottom w:w="100" w:type="dxa"/>
              <w:right w:w="100" w:type="dxa"/>
            </w:tcMar>
          </w:tcPr>
          <w:p w14:paraId="67207DF5"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Day 21 (mg/dL)</w:t>
            </w:r>
          </w:p>
        </w:tc>
        <w:tc>
          <w:tcPr>
            <w:tcW w:w="1690" w:type="dxa"/>
            <w:tcBorders>
              <w:top w:val="single" w:sz="4" w:space="0" w:color="auto"/>
              <w:bottom w:val="single" w:sz="4" w:space="0" w:color="auto"/>
            </w:tcBorders>
            <w:tcMar>
              <w:top w:w="100" w:type="dxa"/>
              <w:left w:w="100" w:type="dxa"/>
              <w:bottom w:w="100" w:type="dxa"/>
              <w:right w:w="100" w:type="dxa"/>
            </w:tcMar>
          </w:tcPr>
          <w:p w14:paraId="648CFE09"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Day 28 (mg/dL)</w:t>
            </w:r>
          </w:p>
        </w:tc>
      </w:tr>
      <w:tr w:rsidR="00492BE5" w:rsidRPr="009E6A9D" w14:paraId="0A0827E6" w14:textId="77777777" w:rsidTr="009E6A9D">
        <w:trPr>
          <w:trHeight w:val="515"/>
        </w:trPr>
        <w:tc>
          <w:tcPr>
            <w:tcW w:w="2695" w:type="dxa"/>
            <w:tcBorders>
              <w:top w:val="single" w:sz="4" w:space="0" w:color="auto"/>
            </w:tcBorders>
            <w:tcMar>
              <w:top w:w="100" w:type="dxa"/>
              <w:left w:w="100" w:type="dxa"/>
              <w:bottom w:w="100" w:type="dxa"/>
              <w:right w:w="100" w:type="dxa"/>
            </w:tcMar>
          </w:tcPr>
          <w:p w14:paraId="1C88595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 (Normal Control)</w:t>
            </w:r>
          </w:p>
        </w:tc>
        <w:tc>
          <w:tcPr>
            <w:tcW w:w="1593" w:type="dxa"/>
            <w:tcBorders>
              <w:top w:val="single" w:sz="4" w:space="0" w:color="auto"/>
            </w:tcBorders>
            <w:tcMar>
              <w:top w:w="100" w:type="dxa"/>
              <w:left w:w="100" w:type="dxa"/>
              <w:bottom w:w="100" w:type="dxa"/>
              <w:right w:w="100" w:type="dxa"/>
            </w:tcMar>
          </w:tcPr>
          <w:p w14:paraId="35D8682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85.2 ± 2.1</w:t>
            </w:r>
          </w:p>
        </w:tc>
        <w:tc>
          <w:tcPr>
            <w:tcW w:w="1690" w:type="dxa"/>
            <w:tcBorders>
              <w:top w:val="single" w:sz="4" w:space="0" w:color="auto"/>
            </w:tcBorders>
            <w:tcMar>
              <w:top w:w="100" w:type="dxa"/>
              <w:left w:w="100" w:type="dxa"/>
              <w:bottom w:w="100" w:type="dxa"/>
              <w:right w:w="100" w:type="dxa"/>
            </w:tcMar>
          </w:tcPr>
          <w:p w14:paraId="4A214CB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84.7 ± 1.9</w:t>
            </w:r>
          </w:p>
        </w:tc>
        <w:tc>
          <w:tcPr>
            <w:tcW w:w="1690" w:type="dxa"/>
            <w:tcBorders>
              <w:top w:val="single" w:sz="4" w:space="0" w:color="auto"/>
            </w:tcBorders>
            <w:tcMar>
              <w:top w:w="100" w:type="dxa"/>
              <w:left w:w="100" w:type="dxa"/>
              <w:bottom w:w="100" w:type="dxa"/>
              <w:right w:w="100" w:type="dxa"/>
            </w:tcMar>
          </w:tcPr>
          <w:p w14:paraId="7A8884B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83.9 ± 2.0</w:t>
            </w:r>
          </w:p>
        </w:tc>
        <w:tc>
          <w:tcPr>
            <w:tcW w:w="1690" w:type="dxa"/>
            <w:tcBorders>
              <w:top w:val="single" w:sz="4" w:space="0" w:color="auto"/>
            </w:tcBorders>
            <w:tcMar>
              <w:top w:w="100" w:type="dxa"/>
              <w:left w:w="100" w:type="dxa"/>
              <w:bottom w:w="100" w:type="dxa"/>
              <w:right w:w="100" w:type="dxa"/>
            </w:tcMar>
          </w:tcPr>
          <w:p w14:paraId="6258F6F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84.5 ± 1.8</w:t>
            </w:r>
          </w:p>
        </w:tc>
      </w:tr>
      <w:tr w:rsidR="00492BE5" w:rsidRPr="009E6A9D" w14:paraId="29029AC2" w14:textId="77777777" w:rsidTr="009E6A9D">
        <w:trPr>
          <w:trHeight w:val="515"/>
        </w:trPr>
        <w:tc>
          <w:tcPr>
            <w:tcW w:w="2695" w:type="dxa"/>
            <w:tcMar>
              <w:top w:w="100" w:type="dxa"/>
              <w:left w:w="100" w:type="dxa"/>
              <w:bottom w:w="100" w:type="dxa"/>
              <w:right w:w="100" w:type="dxa"/>
            </w:tcMar>
          </w:tcPr>
          <w:p w14:paraId="75EF49D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II (Diabetic Control)</w:t>
            </w:r>
          </w:p>
        </w:tc>
        <w:tc>
          <w:tcPr>
            <w:tcW w:w="1593" w:type="dxa"/>
            <w:tcMar>
              <w:top w:w="100" w:type="dxa"/>
              <w:left w:w="100" w:type="dxa"/>
              <w:bottom w:w="100" w:type="dxa"/>
              <w:right w:w="100" w:type="dxa"/>
            </w:tcMar>
          </w:tcPr>
          <w:p w14:paraId="77EFB7A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280.5 ± 5.3</w:t>
            </w:r>
          </w:p>
        </w:tc>
        <w:tc>
          <w:tcPr>
            <w:tcW w:w="1690" w:type="dxa"/>
            <w:tcMar>
              <w:top w:w="100" w:type="dxa"/>
              <w:left w:w="100" w:type="dxa"/>
              <w:bottom w:w="100" w:type="dxa"/>
              <w:right w:w="100" w:type="dxa"/>
            </w:tcMar>
          </w:tcPr>
          <w:p w14:paraId="4265950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285.4 ± 5.6</w:t>
            </w:r>
          </w:p>
        </w:tc>
        <w:tc>
          <w:tcPr>
            <w:tcW w:w="1690" w:type="dxa"/>
            <w:tcMar>
              <w:top w:w="100" w:type="dxa"/>
              <w:left w:w="100" w:type="dxa"/>
              <w:bottom w:w="100" w:type="dxa"/>
              <w:right w:w="100" w:type="dxa"/>
            </w:tcMar>
          </w:tcPr>
          <w:p w14:paraId="4E13F8A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290.1 ± 5.8</w:t>
            </w:r>
          </w:p>
        </w:tc>
        <w:tc>
          <w:tcPr>
            <w:tcW w:w="1690" w:type="dxa"/>
            <w:tcMar>
              <w:top w:w="100" w:type="dxa"/>
              <w:left w:w="100" w:type="dxa"/>
              <w:bottom w:w="100" w:type="dxa"/>
              <w:right w:w="100" w:type="dxa"/>
            </w:tcMar>
          </w:tcPr>
          <w:p w14:paraId="6F36EBD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295.3 ± 6.0</w:t>
            </w:r>
          </w:p>
        </w:tc>
      </w:tr>
      <w:tr w:rsidR="00492BE5" w:rsidRPr="009E6A9D" w14:paraId="3E2FC8F9" w14:textId="77777777" w:rsidTr="009E6A9D">
        <w:trPr>
          <w:trHeight w:val="515"/>
        </w:trPr>
        <w:tc>
          <w:tcPr>
            <w:tcW w:w="2695" w:type="dxa"/>
            <w:tcMar>
              <w:top w:w="100" w:type="dxa"/>
              <w:left w:w="100" w:type="dxa"/>
              <w:bottom w:w="100" w:type="dxa"/>
              <w:right w:w="100" w:type="dxa"/>
            </w:tcMar>
          </w:tcPr>
          <w:p w14:paraId="63F7BD7F"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III (100 mg/kg)</w:t>
            </w:r>
          </w:p>
        </w:tc>
        <w:tc>
          <w:tcPr>
            <w:tcW w:w="1593" w:type="dxa"/>
            <w:tcMar>
              <w:top w:w="100" w:type="dxa"/>
              <w:left w:w="100" w:type="dxa"/>
              <w:bottom w:w="100" w:type="dxa"/>
              <w:right w:w="100" w:type="dxa"/>
            </w:tcMar>
          </w:tcPr>
          <w:p w14:paraId="322D93B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278.3 ± 4.9</w:t>
            </w:r>
          </w:p>
        </w:tc>
        <w:tc>
          <w:tcPr>
            <w:tcW w:w="1690" w:type="dxa"/>
            <w:tcMar>
              <w:top w:w="100" w:type="dxa"/>
              <w:left w:w="100" w:type="dxa"/>
              <w:bottom w:w="100" w:type="dxa"/>
              <w:right w:w="100" w:type="dxa"/>
            </w:tcMar>
          </w:tcPr>
          <w:p w14:paraId="1989BB5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230.0 ± 4.3*</w:t>
            </w:r>
          </w:p>
        </w:tc>
        <w:tc>
          <w:tcPr>
            <w:tcW w:w="1690" w:type="dxa"/>
            <w:tcMar>
              <w:top w:w="100" w:type="dxa"/>
              <w:left w:w="100" w:type="dxa"/>
              <w:bottom w:w="100" w:type="dxa"/>
              <w:right w:w="100" w:type="dxa"/>
            </w:tcMar>
          </w:tcPr>
          <w:p w14:paraId="53E5A25F"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190.0 ± 3.6*</w:t>
            </w:r>
          </w:p>
        </w:tc>
        <w:tc>
          <w:tcPr>
            <w:tcW w:w="1690" w:type="dxa"/>
            <w:tcMar>
              <w:top w:w="100" w:type="dxa"/>
              <w:left w:w="100" w:type="dxa"/>
              <w:bottom w:w="100" w:type="dxa"/>
              <w:right w:w="100" w:type="dxa"/>
            </w:tcMar>
          </w:tcPr>
          <w:p w14:paraId="2B92EA3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160.0 ± 3.2*</w:t>
            </w:r>
          </w:p>
        </w:tc>
      </w:tr>
      <w:tr w:rsidR="00492BE5" w:rsidRPr="009E6A9D" w14:paraId="51244718" w14:textId="77777777" w:rsidTr="009E6A9D">
        <w:trPr>
          <w:trHeight w:val="515"/>
        </w:trPr>
        <w:tc>
          <w:tcPr>
            <w:tcW w:w="2695" w:type="dxa"/>
            <w:tcMar>
              <w:top w:w="100" w:type="dxa"/>
              <w:left w:w="100" w:type="dxa"/>
              <w:bottom w:w="100" w:type="dxa"/>
              <w:right w:w="100" w:type="dxa"/>
            </w:tcMar>
          </w:tcPr>
          <w:p w14:paraId="4A3DCA81"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IV (200 mg/kg)</w:t>
            </w:r>
          </w:p>
        </w:tc>
        <w:tc>
          <w:tcPr>
            <w:tcW w:w="1593" w:type="dxa"/>
            <w:tcMar>
              <w:top w:w="100" w:type="dxa"/>
              <w:left w:w="100" w:type="dxa"/>
              <w:bottom w:w="100" w:type="dxa"/>
              <w:right w:w="100" w:type="dxa"/>
            </w:tcMar>
          </w:tcPr>
          <w:p w14:paraId="3F8E8CB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281.7 ± 5.1</w:t>
            </w:r>
          </w:p>
        </w:tc>
        <w:tc>
          <w:tcPr>
            <w:tcW w:w="1690" w:type="dxa"/>
            <w:tcMar>
              <w:top w:w="100" w:type="dxa"/>
              <w:left w:w="100" w:type="dxa"/>
              <w:bottom w:w="100" w:type="dxa"/>
              <w:right w:w="100" w:type="dxa"/>
            </w:tcMar>
          </w:tcPr>
          <w:p w14:paraId="5AB9C1E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146.9 ± 3.0*</w:t>
            </w:r>
          </w:p>
        </w:tc>
        <w:tc>
          <w:tcPr>
            <w:tcW w:w="1690" w:type="dxa"/>
            <w:tcMar>
              <w:top w:w="100" w:type="dxa"/>
              <w:left w:w="100" w:type="dxa"/>
              <w:bottom w:w="100" w:type="dxa"/>
              <w:right w:w="100" w:type="dxa"/>
            </w:tcMar>
          </w:tcPr>
          <w:p w14:paraId="2351220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102.8 ± 2.2*</w:t>
            </w:r>
          </w:p>
        </w:tc>
        <w:tc>
          <w:tcPr>
            <w:tcW w:w="1690" w:type="dxa"/>
            <w:tcMar>
              <w:top w:w="100" w:type="dxa"/>
              <w:left w:w="100" w:type="dxa"/>
              <w:bottom w:w="100" w:type="dxa"/>
              <w:right w:w="100" w:type="dxa"/>
            </w:tcMar>
          </w:tcPr>
          <w:p w14:paraId="7A92145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92.1 ± 2.0*</w:t>
            </w:r>
          </w:p>
        </w:tc>
      </w:tr>
      <w:tr w:rsidR="00492BE5" w:rsidRPr="009E6A9D" w14:paraId="521B398F" w14:textId="77777777" w:rsidTr="009E6A9D">
        <w:trPr>
          <w:trHeight w:val="515"/>
        </w:trPr>
        <w:tc>
          <w:tcPr>
            <w:tcW w:w="2695" w:type="dxa"/>
            <w:tcMar>
              <w:top w:w="100" w:type="dxa"/>
              <w:left w:w="100" w:type="dxa"/>
              <w:bottom w:w="100" w:type="dxa"/>
              <w:right w:w="100" w:type="dxa"/>
            </w:tcMar>
          </w:tcPr>
          <w:p w14:paraId="77C841C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V (400 mg/kg)</w:t>
            </w:r>
          </w:p>
        </w:tc>
        <w:tc>
          <w:tcPr>
            <w:tcW w:w="1593" w:type="dxa"/>
            <w:tcMar>
              <w:top w:w="100" w:type="dxa"/>
              <w:left w:w="100" w:type="dxa"/>
              <w:bottom w:w="100" w:type="dxa"/>
              <w:right w:w="100" w:type="dxa"/>
            </w:tcMar>
          </w:tcPr>
          <w:p w14:paraId="588F6161"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279.8 ± 4.7</w:t>
            </w:r>
          </w:p>
        </w:tc>
        <w:tc>
          <w:tcPr>
            <w:tcW w:w="1690" w:type="dxa"/>
            <w:tcMar>
              <w:top w:w="100" w:type="dxa"/>
              <w:left w:w="100" w:type="dxa"/>
              <w:bottom w:w="100" w:type="dxa"/>
              <w:right w:w="100" w:type="dxa"/>
            </w:tcMar>
          </w:tcPr>
          <w:p w14:paraId="0F979F2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139.0 ± 2.8*</w:t>
            </w:r>
          </w:p>
        </w:tc>
        <w:tc>
          <w:tcPr>
            <w:tcW w:w="1690" w:type="dxa"/>
            <w:tcMar>
              <w:top w:w="100" w:type="dxa"/>
              <w:left w:w="100" w:type="dxa"/>
              <w:bottom w:w="100" w:type="dxa"/>
              <w:right w:w="100" w:type="dxa"/>
            </w:tcMar>
          </w:tcPr>
          <w:p w14:paraId="46C2727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99.2 ± 2.0*</w:t>
            </w:r>
          </w:p>
        </w:tc>
        <w:tc>
          <w:tcPr>
            <w:tcW w:w="1690" w:type="dxa"/>
            <w:tcMar>
              <w:top w:w="100" w:type="dxa"/>
              <w:left w:w="100" w:type="dxa"/>
              <w:bottom w:w="100" w:type="dxa"/>
              <w:right w:w="100" w:type="dxa"/>
            </w:tcMar>
          </w:tcPr>
          <w:p w14:paraId="2CAF09E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89.6 ± 1.8*</w:t>
            </w:r>
          </w:p>
        </w:tc>
      </w:tr>
      <w:tr w:rsidR="00492BE5" w:rsidRPr="009E6A9D" w14:paraId="3D8071B4" w14:textId="77777777" w:rsidTr="009E6A9D">
        <w:trPr>
          <w:trHeight w:val="515"/>
        </w:trPr>
        <w:tc>
          <w:tcPr>
            <w:tcW w:w="2695" w:type="dxa"/>
            <w:tcBorders>
              <w:bottom w:val="single" w:sz="4" w:space="0" w:color="auto"/>
            </w:tcBorders>
            <w:tcMar>
              <w:top w:w="100" w:type="dxa"/>
              <w:left w:w="100" w:type="dxa"/>
              <w:bottom w:w="100" w:type="dxa"/>
              <w:right w:w="100" w:type="dxa"/>
            </w:tcMar>
          </w:tcPr>
          <w:p w14:paraId="797BF29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VI (Metformin</w:t>
            </w:r>
          </w:p>
          <w:p w14:paraId="2316B4A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200 mg/kg)</w:t>
            </w:r>
          </w:p>
        </w:tc>
        <w:tc>
          <w:tcPr>
            <w:tcW w:w="1593" w:type="dxa"/>
            <w:tcBorders>
              <w:bottom w:val="single" w:sz="4" w:space="0" w:color="auto"/>
            </w:tcBorders>
            <w:tcMar>
              <w:top w:w="100" w:type="dxa"/>
              <w:left w:w="100" w:type="dxa"/>
              <w:bottom w:w="100" w:type="dxa"/>
              <w:right w:w="100" w:type="dxa"/>
            </w:tcMar>
          </w:tcPr>
          <w:p w14:paraId="391CE87F"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280.1 ± 5.0</w:t>
            </w:r>
          </w:p>
        </w:tc>
        <w:tc>
          <w:tcPr>
            <w:tcW w:w="1690" w:type="dxa"/>
            <w:tcBorders>
              <w:bottom w:val="single" w:sz="4" w:space="0" w:color="auto"/>
            </w:tcBorders>
            <w:tcMar>
              <w:top w:w="100" w:type="dxa"/>
              <w:left w:w="100" w:type="dxa"/>
              <w:bottom w:w="100" w:type="dxa"/>
              <w:right w:w="100" w:type="dxa"/>
            </w:tcMar>
          </w:tcPr>
          <w:p w14:paraId="25101FB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140.5 ± 2.9*</w:t>
            </w:r>
          </w:p>
        </w:tc>
        <w:tc>
          <w:tcPr>
            <w:tcW w:w="1690" w:type="dxa"/>
            <w:tcBorders>
              <w:bottom w:val="single" w:sz="4" w:space="0" w:color="auto"/>
            </w:tcBorders>
            <w:tcMar>
              <w:top w:w="100" w:type="dxa"/>
              <w:left w:w="100" w:type="dxa"/>
              <w:bottom w:w="100" w:type="dxa"/>
              <w:right w:w="100" w:type="dxa"/>
            </w:tcMar>
          </w:tcPr>
          <w:p w14:paraId="769D5F3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100.8 ± 2.1*</w:t>
            </w:r>
          </w:p>
        </w:tc>
        <w:tc>
          <w:tcPr>
            <w:tcW w:w="1690" w:type="dxa"/>
            <w:tcBorders>
              <w:bottom w:val="single" w:sz="4" w:space="0" w:color="auto"/>
            </w:tcBorders>
            <w:tcMar>
              <w:top w:w="100" w:type="dxa"/>
              <w:left w:w="100" w:type="dxa"/>
              <w:bottom w:w="100" w:type="dxa"/>
              <w:right w:w="100" w:type="dxa"/>
            </w:tcMar>
          </w:tcPr>
          <w:p w14:paraId="0E5A692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90.3 ± 1.8*</w:t>
            </w:r>
          </w:p>
        </w:tc>
      </w:tr>
    </w:tbl>
    <w:p w14:paraId="0396E840" w14:textId="77777777" w:rsidR="00492BE5" w:rsidRDefault="00492BE5"/>
    <w:p w14:paraId="15496C80" w14:textId="63ECF6E4" w:rsidR="00492BE5" w:rsidRPr="009E6A9D" w:rsidRDefault="00500E43">
      <w:pPr>
        <w:rPr>
          <w:rFonts w:ascii="Times New Roman" w:hAnsi="Times New Roman" w:cs="Times New Roman"/>
          <w:sz w:val="24"/>
          <w:szCs w:val="24"/>
        </w:rPr>
      </w:pPr>
      <w:r w:rsidRPr="009E6A9D">
        <w:rPr>
          <w:rFonts w:ascii="Times New Roman" w:eastAsia="Arial Unicode MS" w:hAnsi="Times New Roman" w:cs="Times New Roman"/>
          <w:sz w:val="24"/>
          <w:szCs w:val="24"/>
        </w:rPr>
        <w:t>Values are expressed as mean ± SEM (n=6). The asterisk (*) indicates a statistically significant difference (P≤0.05) when compared to the Diabetic Control group.</w:t>
      </w:r>
    </w:p>
    <w:p w14:paraId="3CD43A73" w14:textId="77777777" w:rsidR="00492BE5" w:rsidRPr="009E6A9D" w:rsidRDefault="00492BE5">
      <w:pPr>
        <w:rPr>
          <w:rFonts w:ascii="Times New Roman" w:hAnsi="Times New Roman" w:cs="Times New Roman"/>
          <w:sz w:val="24"/>
          <w:szCs w:val="24"/>
        </w:rPr>
      </w:pPr>
    </w:p>
    <w:p w14:paraId="34D32059" w14:textId="77777777" w:rsidR="00492BE5" w:rsidRPr="009E6A9D" w:rsidRDefault="00500E43">
      <w:pPr>
        <w:rPr>
          <w:rFonts w:ascii="Times New Roman" w:hAnsi="Times New Roman" w:cs="Times New Roman"/>
          <w:b/>
          <w:sz w:val="24"/>
          <w:szCs w:val="24"/>
        </w:rPr>
      </w:pPr>
      <w:r w:rsidRPr="009E6A9D">
        <w:rPr>
          <w:rFonts w:ascii="Times New Roman" w:hAnsi="Times New Roman" w:cs="Times New Roman"/>
          <w:b/>
          <w:sz w:val="24"/>
          <w:szCs w:val="24"/>
        </w:rPr>
        <w:t>Table 3: Body Weight and Plasma Insulin in Streptozotocin-Induced Diabetic Rats</w:t>
      </w:r>
    </w:p>
    <w:tbl>
      <w:tblPr>
        <w:tblStyle w:val="a1"/>
        <w:tblW w:w="9360" w:type="dxa"/>
        <w:tblInd w:w="0" w:type="dxa"/>
        <w:tblLayout w:type="fixed"/>
        <w:tblLook w:val="0600" w:firstRow="0" w:lastRow="0" w:firstColumn="0" w:lastColumn="0" w:noHBand="1" w:noVBand="1"/>
      </w:tblPr>
      <w:tblGrid>
        <w:gridCol w:w="2101"/>
        <w:gridCol w:w="1603"/>
        <w:gridCol w:w="1658"/>
        <w:gridCol w:w="1972"/>
        <w:gridCol w:w="2026"/>
      </w:tblGrid>
      <w:tr w:rsidR="00492BE5" w:rsidRPr="009E6A9D" w14:paraId="3EDB77B1" w14:textId="77777777" w:rsidTr="009E6A9D">
        <w:trPr>
          <w:trHeight w:val="800"/>
        </w:trPr>
        <w:tc>
          <w:tcPr>
            <w:tcW w:w="2101" w:type="dxa"/>
            <w:tcBorders>
              <w:top w:val="single" w:sz="4" w:space="0" w:color="auto"/>
              <w:bottom w:val="single" w:sz="4" w:space="0" w:color="auto"/>
            </w:tcBorders>
            <w:tcMar>
              <w:top w:w="100" w:type="dxa"/>
              <w:left w:w="100" w:type="dxa"/>
              <w:bottom w:w="100" w:type="dxa"/>
              <w:right w:w="100" w:type="dxa"/>
            </w:tcMar>
          </w:tcPr>
          <w:p w14:paraId="228CD69E"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Group</w:t>
            </w:r>
          </w:p>
        </w:tc>
        <w:tc>
          <w:tcPr>
            <w:tcW w:w="1603" w:type="dxa"/>
            <w:tcBorders>
              <w:top w:val="single" w:sz="4" w:space="0" w:color="auto"/>
              <w:bottom w:val="single" w:sz="4" w:space="0" w:color="auto"/>
            </w:tcBorders>
            <w:tcMar>
              <w:top w:w="100" w:type="dxa"/>
              <w:left w:w="100" w:type="dxa"/>
              <w:bottom w:w="100" w:type="dxa"/>
              <w:right w:w="100" w:type="dxa"/>
            </w:tcMar>
          </w:tcPr>
          <w:p w14:paraId="10122E8A"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Body Weight Day 0 (g)</w:t>
            </w:r>
          </w:p>
        </w:tc>
        <w:tc>
          <w:tcPr>
            <w:tcW w:w="1657" w:type="dxa"/>
            <w:tcBorders>
              <w:top w:val="single" w:sz="4" w:space="0" w:color="auto"/>
              <w:bottom w:val="single" w:sz="4" w:space="0" w:color="auto"/>
            </w:tcBorders>
            <w:tcMar>
              <w:top w:w="100" w:type="dxa"/>
              <w:left w:w="100" w:type="dxa"/>
              <w:bottom w:w="100" w:type="dxa"/>
              <w:right w:w="100" w:type="dxa"/>
            </w:tcMar>
          </w:tcPr>
          <w:p w14:paraId="24900E05"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Body Weight Day 28 (g)</w:t>
            </w:r>
          </w:p>
        </w:tc>
        <w:tc>
          <w:tcPr>
            <w:tcW w:w="1971" w:type="dxa"/>
            <w:tcBorders>
              <w:top w:val="single" w:sz="4" w:space="0" w:color="auto"/>
              <w:bottom w:val="single" w:sz="4" w:space="0" w:color="auto"/>
            </w:tcBorders>
            <w:tcMar>
              <w:top w:w="100" w:type="dxa"/>
              <w:left w:w="100" w:type="dxa"/>
              <w:bottom w:w="100" w:type="dxa"/>
              <w:right w:w="100" w:type="dxa"/>
            </w:tcMar>
          </w:tcPr>
          <w:p w14:paraId="45769DE6"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Plasma Insulin Day 0 (µIU/mL)</w:t>
            </w:r>
          </w:p>
        </w:tc>
        <w:tc>
          <w:tcPr>
            <w:tcW w:w="2025" w:type="dxa"/>
            <w:tcBorders>
              <w:top w:val="single" w:sz="4" w:space="0" w:color="auto"/>
              <w:bottom w:val="single" w:sz="4" w:space="0" w:color="auto"/>
            </w:tcBorders>
            <w:tcMar>
              <w:top w:w="100" w:type="dxa"/>
              <w:left w:w="100" w:type="dxa"/>
              <w:bottom w:w="100" w:type="dxa"/>
              <w:right w:w="100" w:type="dxa"/>
            </w:tcMar>
          </w:tcPr>
          <w:p w14:paraId="7294505A"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Plasma Insulin Day 28 (µIU/mL)</w:t>
            </w:r>
          </w:p>
        </w:tc>
      </w:tr>
      <w:tr w:rsidR="00492BE5" w:rsidRPr="009E6A9D" w14:paraId="0B92A8E4" w14:textId="77777777" w:rsidTr="009E6A9D">
        <w:trPr>
          <w:trHeight w:val="515"/>
        </w:trPr>
        <w:tc>
          <w:tcPr>
            <w:tcW w:w="2101" w:type="dxa"/>
            <w:tcBorders>
              <w:top w:val="single" w:sz="4" w:space="0" w:color="auto"/>
            </w:tcBorders>
            <w:tcMar>
              <w:top w:w="100" w:type="dxa"/>
              <w:left w:w="100" w:type="dxa"/>
              <w:bottom w:w="100" w:type="dxa"/>
              <w:right w:w="100" w:type="dxa"/>
            </w:tcMar>
          </w:tcPr>
          <w:p w14:paraId="048BA9D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 (Normal Control)</w:t>
            </w:r>
          </w:p>
        </w:tc>
        <w:tc>
          <w:tcPr>
            <w:tcW w:w="1603" w:type="dxa"/>
            <w:tcBorders>
              <w:top w:val="single" w:sz="4" w:space="0" w:color="auto"/>
            </w:tcBorders>
            <w:tcMar>
              <w:top w:w="100" w:type="dxa"/>
              <w:left w:w="100" w:type="dxa"/>
              <w:bottom w:w="100" w:type="dxa"/>
              <w:right w:w="100" w:type="dxa"/>
            </w:tcMar>
          </w:tcPr>
          <w:p w14:paraId="7CFEEC6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195.0 ± 2.5</w:t>
            </w:r>
          </w:p>
        </w:tc>
        <w:tc>
          <w:tcPr>
            <w:tcW w:w="1657" w:type="dxa"/>
            <w:tcBorders>
              <w:top w:val="single" w:sz="4" w:space="0" w:color="auto"/>
            </w:tcBorders>
            <w:tcMar>
              <w:top w:w="100" w:type="dxa"/>
              <w:left w:w="100" w:type="dxa"/>
              <w:bottom w:w="100" w:type="dxa"/>
              <w:right w:w="100" w:type="dxa"/>
            </w:tcMar>
          </w:tcPr>
          <w:p w14:paraId="5AC002B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210.5 ± 2.8</w:t>
            </w:r>
          </w:p>
        </w:tc>
        <w:tc>
          <w:tcPr>
            <w:tcW w:w="1971" w:type="dxa"/>
            <w:tcBorders>
              <w:top w:val="single" w:sz="4" w:space="0" w:color="auto"/>
            </w:tcBorders>
            <w:tcMar>
              <w:top w:w="100" w:type="dxa"/>
              <w:left w:w="100" w:type="dxa"/>
              <w:bottom w:w="100" w:type="dxa"/>
              <w:right w:w="100" w:type="dxa"/>
            </w:tcMar>
          </w:tcPr>
          <w:p w14:paraId="1334CB2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15.2 ± 0.5</w:t>
            </w:r>
          </w:p>
        </w:tc>
        <w:tc>
          <w:tcPr>
            <w:tcW w:w="2025" w:type="dxa"/>
            <w:tcBorders>
              <w:top w:val="single" w:sz="4" w:space="0" w:color="auto"/>
            </w:tcBorders>
            <w:tcMar>
              <w:top w:w="100" w:type="dxa"/>
              <w:left w:w="100" w:type="dxa"/>
              <w:bottom w:w="100" w:type="dxa"/>
              <w:right w:w="100" w:type="dxa"/>
            </w:tcMar>
          </w:tcPr>
          <w:p w14:paraId="6B61374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15.5 ± 0.4</w:t>
            </w:r>
          </w:p>
        </w:tc>
      </w:tr>
      <w:tr w:rsidR="00492BE5" w:rsidRPr="009E6A9D" w14:paraId="7BE81670" w14:textId="77777777" w:rsidTr="009E6A9D">
        <w:trPr>
          <w:trHeight w:val="515"/>
        </w:trPr>
        <w:tc>
          <w:tcPr>
            <w:tcW w:w="2101" w:type="dxa"/>
            <w:tcMar>
              <w:top w:w="100" w:type="dxa"/>
              <w:left w:w="100" w:type="dxa"/>
              <w:bottom w:w="100" w:type="dxa"/>
              <w:right w:w="100" w:type="dxa"/>
            </w:tcMar>
          </w:tcPr>
          <w:p w14:paraId="1465DD51"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II (Diabetic Control)</w:t>
            </w:r>
          </w:p>
        </w:tc>
        <w:tc>
          <w:tcPr>
            <w:tcW w:w="1603" w:type="dxa"/>
            <w:tcMar>
              <w:top w:w="100" w:type="dxa"/>
              <w:left w:w="100" w:type="dxa"/>
              <w:bottom w:w="100" w:type="dxa"/>
              <w:right w:w="100" w:type="dxa"/>
            </w:tcMar>
          </w:tcPr>
          <w:p w14:paraId="22E81F8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192.5 ± 2.3</w:t>
            </w:r>
          </w:p>
        </w:tc>
        <w:tc>
          <w:tcPr>
            <w:tcW w:w="1657" w:type="dxa"/>
            <w:tcMar>
              <w:top w:w="100" w:type="dxa"/>
              <w:left w:w="100" w:type="dxa"/>
              <w:bottom w:w="100" w:type="dxa"/>
              <w:right w:w="100" w:type="dxa"/>
            </w:tcMar>
          </w:tcPr>
          <w:p w14:paraId="3E0E533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170.3 ± 3.1</w:t>
            </w:r>
          </w:p>
        </w:tc>
        <w:tc>
          <w:tcPr>
            <w:tcW w:w="1971" w:type="dxa"/>
            <w:tcMar>
              <w:top w:w="100" w:type="dxa"/>
              <w:left w:w="100" w:type="dxa"/>
              <w:bottom w:w="100" w:type="dxa"/>
              <w:right w:w="100" w:type="dxa"/>
            </w:tcMar>
          </w:tcPr>
          <w:p w14:paraId="469C12C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4.8 ± 0.3</w:t>
            </w:r>
          </w:p>
        </w:tc>
        <w:tc>
          <w:tcPr>
            <w:tcW w:w="2025" w:type="dxa"/>
            <w:tcMar>
              <w:top w:w="100" w:type="dxa"/>
              <w:left w:w="100" w:type="dxa"/>
              <w:bottom w:w="100" w:type="dxa"/>
              <w:right w:w="100" w:type="dxa"/>
            </w:tcMar>
          </w:tcPr>
          <w:p w14:paraId="6C89C21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4.5 ± 0.3</w:t>
            </w:r>
          </w:p>
        </w:tc>
      </w:tr>
      <w:tr w:rsidR="00492BE5" w:rsidRPr="009E6A9D" w14:paraId="46421984" w14:textId="77777777" w:rsidTr="009E6A9D">
        <w:trPr>
          <w:trHeight w:val="515"/>
        </w:trPr>
        <w:tc>
          <w:tcPr>
            <w:tcW w:w="2101" w:type="dxa"/>
            <w:tcMar>
              <w:top w:w="100" w:type="dxa"/>
              <w:left w:w="100" w:type="dxa"/>
              <w:bottom w:w="100" w:type="dxa"/>
              <w:right w:w="100" w:type="dxa"/>
            </w:tcMar>
          </w:tcPr>
          <w:p w14:paraId="11B1D37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III (100 mg/kg)</w:t>
            </w:r>
          </w:p>
        </w:tc>
        <w:tc>
          <w:tcPr>
            <w:tcW w:w="1603" w:type="dxa"/>
            <w:tcMar>
              <w:top w:w="100" w:type="dxa"/>
              <w:left w:w="100" w:type="dxa"/>
              <w:bottom w:w="100" w:type="dxa"/>
              <w:right w:w="100" w:type="dxa"/>
            </w:tcMar>
          </w:tcPr>
          <w:p w14:paraId="6E0AD4D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193.0 ± 2.4</w:t>
            </w:r>
          </w:p>
        </w:tc>
        <w:tc>
          <w:tcPr>
            <w:tcW w:w="1657" w:type="dxa"/>
            <w:tcMar>
              <w:top w:w="100" w:type="dxa"/>
              <w:left w:w="100" w:type="dxa"/>
              <w:bottom w:w="100" w:type="dxa"/>
              <w:right w:w="100" w:type="dxa"/>
            </w:tcMar>
          </w:tcPr>
          <w:p w14:paraId="3094676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185.0 ± 2.7*</w:t>
            </w:r>
          </w:p>
        </w:tc>
        <w:tc>
          <w:tcPr>
            <w:tcW w:w="1971" w:type="dxa"/>
            <w:tcMar>
              <w:top w:w="100" w:type="dxa"/>
              <w:left w:w="100" w:type="dxa"/>
              <w:bottom w:w="100" w:type="dxa"/>
              <w:right w:w="100" w:type="dxa"/>
            </w:tcMar>
          </w:tcPr>
          <w:p w14:paraId="484F4A2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4.9 ± 0.3</w:t>
            </w:r>
          </w:p>
        </w:tc>
        <w:tc>
          <w:tcPr>
            <w:tcW w:w="2025" w:type="dxa"/>
            <w:tcMar>
              <w:top w:w="100" w:type="dxa"/>
              <w:left w:w="100" w:type="dxa"/>
              <w:bottom w:w="100" w:type="dxa"/>
              <w:right w:w="100" w:type="dxa"/>
            </w:tcMar>
          </w:tcPr>
          <w:p w14:paraId="24DCD0C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8.0 ± 0.4*</w:t>
            </w:r>
          </w:p>
        </w:tc>
      </w:tr>
      <w:tr w:rsidR="00492BE5" w:rsidRPr="009E6A9D" w14:paraId="12AA107D" w14:textId="77777777" w:rsidTr="009E6A9D">
        <w:trPr>
          <w:trHeight w:val="515"/>
        </w:trPr>
        <w:tc>
          <w:tcPr>
            <w:tcW w:w="2101" w:type="dxa"/>
            <w:tcMar>
              <w:top w:w="100" w:type="dxa"/>
              <w:left w:w="100" w:type="dxa"/>
              <w:bottom w:w="100" w:type="dxa"/>
              <w:right w:w="100" w:type="dxa"/>
            </w:tcMar>
          </w:tcPr>
          <w:p w14:paraId="70D9B1C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IV (200 mg/kg)</w:t>
            </w:r>
          </w:p>
        </w:tc>
        <w:tc>
          <w:tcPr>
            <w:tcW w:w="1603" w:type="dxa"/>
            <w:tcMar>
              <w:top w:w="100" w:type="dxa"/>
              <w:left w:w="100" w:type="dxa"/>
              <w:bottom w:w="100" w:type="dxa"/>
              <w:right w:w="100" w:type="dxa"/>
            </w:tcMar>
          </w:tcPr>
          <w:p w14:paraId="6A85C41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194.0 ± 2.2</w:t>
            </w:r>
          </w:p>
        </w:tc>
        <w:tc>
          <w:tcPr>
            <w:tcW w:w="1657" w:type="dxa"/>
            <w:tcMar>
              <w:top w:w="100" w:type="dxa"/>
              <w:left w:w="100" w:type="dxa"/>
              <w:bottom w:w="100" w:type="dxa"/>
              <w:right w:w="100" w:type="dxa"/>
            </w:tcMar>
          </w:tcPr>
          <w:p w14:paraId="28C03AA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203.4 ± 2.4*</w:t>
            </w:r>
          </w:p>
        </w:tc>
        <w:tc>
          <w:tcPr>
            <w:tcW w:w="1971" w:type="dxa"/>
            <w:tcMar>
              <w:top w:w="100" w:type="dxa"/>
              <w:left w:w="100" w:type="dxa"/>
              <w:bottom w:w="100" w:type="dxa"/>
              <w:right w:w="100" w:type="dxa"/>
            </w:tcMar>
          </w:tcPr>
          <w:p w14:paraId="719747D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4.7 ± 0.3</w:t>
            </w:r>
          </w:p>
        </w:tc>
        <w:tc>
          <w:tcPr>
            <w:tcW w:w="2025" w:type="dxa"/>
            <w:tcMar>
              <w:top w:w="100" w:type="dxa"/>
              <w:left w:w="100" w:type="dxa"/>
              <w:bottom w:w="100" w:type="dxa"/>
              <w:right w:w="100" w:type="dxa"/>
            </w:tcMar>
          </w:tcPr>
          <w:p w14:paraId="53AC439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14.0 ± 0.4*</w:t>
            </w:r>
          </w:p>
        </w:tc>
      </w:tr>
      <w:tr w:rsidR="00492BE5" w:rsidRPr="009E6A9D" w14:paraId="28302411" w14:textId="77777777" w:rsidTr="009E6A9D">
        <w:trPr>
          <w:trHeight w:val="515"/>
        </w:trPr>
        <w:tc>
          <w:tcPr>
            <w:tcW w:w="2101" w:type="dxa"/>
            <w:tcMar>
              <w:top w:w="100" w:type="dxa"/>
              <w:left w:w="100" w:type="dxa"/>
              <w:bottom w:w="100" w:type="dxa"/>
              <w:right w:w="100" w:type="dxa"/>
            </w:tcMar>
          </w:tcPr>
          <w:p w14:paraId="21473EF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V (400 mg/kg)</w:t>
            </w:r>
          </w:p>
        </w:tc>
        <w:tc>
          <w:tcPr>
            <w:tcW w:w="1603" w:type="dxa"/>
            <w:tcMar>
              <w:top w:w="100" w:type="dxa"/>
              <w:left w:w="100" w:type="dxa"/>
              <w:bottom w:w="100" w:type="dxa"/>
              <w:right w:w="100" w:type="dxa"/>
            </w:tcMar>
          </w:tcPr>
          <w:p w14:paraId="45473C02"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192.8 ± 2.3</w:t>
            </w:r>
          </w:p>
        </w:tc>
        <w:tc>
          <w:tcPr>
            <w:tcW w:w="1657" w:type="dxa"/>
            <w:tcMar>
              <w:top w:w="100" w:type="dxa"/>
              <w:left w:w="100" w:type="dxa"/>
              <w:bottom w:w="100" w:type="dxa"/>
              <w:right w:w="100" w:type="dxa"/>
            </w:tcMar>
          </w:tcPr>
          <w:p w14:paraId="58D5EDF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209.5 ± 2.4*</w:t>
            </w:r>
          </w:p>
        </w:tc>
        <w:tc>
          <w:tcPr>
            <w:tcW w:w="1971" w:type="dxa"/>
            <w:tcMar>
              <w:top w:w="100" w:type="dxa"/>
              <w:left w:w="100" w:type="dxa"/>
              <w:bottom w:w="100" w:type="dxa"/>
              <w:right w:w="100" w:type="dxa"/>
            </w:tcMar>
          </w:tcPr>
          <w:p w14:paraId="22181E3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4.8 ± 0.3</w:t>
            </w:r>
          </w:p>
        </w:tc>
        <w:tc>
          <w:tcPr>
            <w:tcW w:w="2025" w:type="dxa"/>
            <w:tcMar>
              <w:top w:w="100" w:type="dxa"/>
              <w:left w:w="100" w:type="dxa"/>
              <w:bottom w:w="100" w:type="dxa"/>
              <w:right w:w="100" w:type="dxa"/>
            </w:tcMar>
          </w:tcPr>
          <w:p w14:paraId="124CD26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14.3 ± 0.4*</w:t>
            </w:r>
          </w:p>
        </w:tc>
      </w:tr>
      <w:tr w:rsidR="00492BE5" w:rsidRPr="009E6A9D" w14:paraId="25C59FD4" w14:textId="77777777" w:rsidTr="009E6A9D">
        <w:trPr>
          <w:trHeight w:val="800"/>
        </w:trPr>
        <w:tc>
          <w:tcPr>
            <w:tcW w:w="2101" w:type="dxa"/>
            <w:tcBorders>
              <w:bottom w:val="single" w:sz="4" w:space="0" w:color="auto"/>
            </w:tcBorders>
            <w:tcMar>
              <w:top w:w="100" w:type="dxa"/>
              <w:left w:w="100" w:type="dxa"/>
              <w:bottom w:w="100" w:type="dxa"/>
              <w:right w:w="100" w:type="dxa"/>
            </w:tcMar>
          </w:tcPr>
          <w:p w14:paraId="59E45C91"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VI (Metformin</w:t>
            </w:r>
          </w:p>
          <w:p w14:paraId="28C00FF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200 mg/kg)</w:t>
            </w:r>
          </w:p>
        </w:tc>
        <w:tc>
          <w:tcPr>
            <w:tcW w:w="1603" w:type="dxa"/>
            <w:tcBorders>
              <w:bottom w:val="single" w:sz="4" w:space="0" w:color="auto"/>
            </w:tcBorders>
            <w:tcMar>
              <w:top w:w="100" w:type="dxa"/>
              <w:left w:w="100" w:type="dxa"/>
              <w:bottom w:w="100" w:type="dxa"/>
              <w:right w:w="100" w:type="dxa"/>
            </w:tcMar>
          </w:tcPr>
          <w:p w14:paraId="6B30BEF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193.5 ± 2.4</w:t>
            </w:r>
          </w:p>
        </w:tc>
        <w:tc>
          <w:tcPr>
            <w:tcW w:w="1657" w:type="dxa"/>
            <w:tcBorders>
              <w:bottom w:val="single" w:sz="4" w:space="0" w:color="auto"/>
            </w:tcBorders>
            <w:tcMar>
              <w:top w:w="100" w:type="dxa"/>
              <w:left w:w="100" w:type="dxa"/>
              <w:bottom w:w="100" w:type="dxa"/>
              <w:right w:w="100" w:type="dxa"/>
            </w:tcMar>
          </w:tcPr>
          <w:p w14:paraId="481B9DF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207.8 ± 2.3*</w:t>
            </w:r>
          </w:p>
        </w:tc>
        <w:tc>
          <w:tcPr>
            <w:tcW w:w="1971" w:type="dxa"/>
            <w:tcBorders>
              <w:bottom w:val="single" w:sz="4" w:space="0" w:color="auto"/>
            </w:tcBorders>
            <w:tcMar>
              <w:top w:w="100" w:type="dxa"/>
              <w:left w:w="100" w:type="dxa"/>
              <w:bottom w:w="100" w:type="dxa"/>
              <w:right w:w="100" w:type="dxa"/>
            </w:tcMar>
          </w:tcPr>
          <w:p w14:paraId="6688E80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4.9 ± 0.3</w:t>
            </w:r>
          </w:p>
        </w:tc>
        <w:tc>
          <w:tcPr>
            <w:tcW w:w="2025" w:type="dxa"/>
            <w:tcBorders>
              <w:bottom w:val="single" w:sz="4" w:space="0" w:color="auto"/>
            </w:tcBorders>
            <w:tcMar>
              <w:top w:w="100" w:type="dxa"/>
              <w:left w:w="100" w:type="dxa"/>
              <w:bottom w:w="100" w:type="dxa"/>
              <w:right w:w="100" w:type="dxa"/>
            </w:tcMar>
          </w:tcPr>
          <w:p w14:paraId="2D3A045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14.2 ± 0.4*</w:t>
            </w:r>
          </w:p>
        </w:tc>
      </w:tr>
    </w:tbl>
    <w:p w14:paraId="29914529" w14:textId="77777777" w:rsidR="00492BE5" w:rsidRDefault="00492BE5"/>
    <w:p w14:paraId="4516F1C3" w14:textId="77777777" w:rsidR="00492BE5" w:rsidRPr="009E6A9D" w:rsidRDefault="00500E43">
      <w:pPr>
        <w:rPr>
          <w:rFonts w:ascii="Times New Roman" w:hAnsi="Times New Roman" w:cs="Times New Roman"/>
          <w:sz w:val="24"/>
          <w:szCs w:val="24"/>
        </w:rPr>
      </w:pPr>
      <w:r w:rsidRPr="009E6A9D">
        <w:rPr>
          <w:rFonts w:ascii="Times New Roman" w:eastAsia="Arial Unicode MS" w:hAnsi="Times New Roman" w:cs="Times New Roman"/>
          <w:sz w:val="24"/>
          <w:szCs w:val="24"/>
        </w:rPr>
        <w:t>Values are expressed as mean ± SEM (n=6). The asterisk (*) indicates a statistically significant difference (P≤0.05) when compared to the Diabetic Control group.</w:t>
      </w:r>
    </w:p>
    <w:p w14:paraId="21854D0B" w14:textId="77777777" w:rsidR="00492BE5" w:rsidRDefault="00492BE5">
      <w:pPr>
        <w:rPr>
          <w:b/>
          <w:sz w:val="24"/>
          <w:szCs w:val="24"/>
        </w:rPr>
      </w:pPr>
    </w:p>
    <w:p w14:paraId="11E95D31" w14:textId="77777777" w:rsidR="00492BE5" w:rsidRPr="009E6A9D" w:rsidRDefault="00500E43">
      <w:pPr>
        <w:rPr>
          <w:rFonts w:ascii="Times New Roman" w:hAnsi="Times New Roman" w:cs="Times New Roman"/>
          <w:b/>
          <w:sz w:val="24"/>
          <w:szCs w:val="24"/>
        </w:rPr>
      </w:pPr>
      <w:r w:rsidRPr="009E6A9D">
        <w:rPr>
          <w:rFonts w:ascii="Times New Roman" w:hAnsi="Times New Roman" w:cs="Times New Roman"/>
          <w:b/>
          <w:sz w:val="24"/>
          <w:szCs w:val="24"/>
        </w:rPr>
        <w:t>Table 4: Biochemical Parameters in Streptozotocin-Induced Diabetic Rats at Day 28</w:t>
      </w:r>
    </w:p>
    <w:tbl>
      <w:tblPr>
        <w:tblStyle w:val="a2"/>
        <w:tblW w:w="9359" w:type="dxa"/>
        <w:tblInd w:w="0" w:type="dxa"/>
        <w:tblLayout w:type="fixed"/>
        <w:tblLook w:val="0600" w:firstRow="0" w:lastRow="0" w:firstColumn="0" w:lastColumn="0" w:noHBand="1" w:noVBand="1"/>
      </w:tblPr>
      <w:tblGrid>
        <w:gridCol w:w="1230"/>
        <w:gridCol w:w="1113"/>
        <w:gridCol w:w="759"/>
        <w:gridCol w:w="801"/>
        <w:gridCol w:w="826"/>
        <w:gridCol w:w="996"/>
        <w:gridCol w:w="1088"/>
        <w:gridCol w:w="1172"/>
        <w:gridCol w:w="1374"/>
      </w:tblGrid>
      <w:tr w:rsidR="00492BE5" w:rsidRPr="009E6A9D" w14:paraId="4C995267" w14:textId="77777777" w:rsidTr="009E6A9D">
        <w:trPr>
          <w:trHeight w:val="1085"/>
        </w:trPr>
        <w:tc>
          <w:tcPr>
            <w:tcW w:w="1230" w:type="dxa"/>
            <w:tcBorders>
              <w:top w:val="single" w:sz="4" w:space="0" w:color="auto"/>
              <w:bottom w:val="single" w:sz="4" w:space="0" w:color="auto"/>
            </w:tcBorders>
            <w:tcMar>
              <w:top w:w="100" w:type="dxa"/>
              <w:left w:w="100" w:type="dxa"/>
              <w:bottom w:w="100" w:type="dxa"/>
              <w:right w:w="100" w:type="dxa"/>
            </w:tcMar>
          </w:tcPr>
          <w:p w14:paraId="40A8CB23"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Group</w:t>
            </w:r>
          </w:p>
        </w:tc>
        <w:tc>
          <w:tcPr>
            <w:tcW w:w="1112" w:type="dxa"/>
            <w:tcBorders>
              <w:top w:val="single" w:sz="4" w:space="0" w:color="auto"/>
              <w:bottom w:val="single" w:sz="4" w:space="0" w:color="auto"/>
            </w:tcBorders>
            <w:tcMar>
              <w:top w:w="100" w:type="dxa"/>
              <w:left w:w="100" w:type="dxa"/>
              <w:bottom w:w="100" w:type="dxa"/>
              <w:right w:w="100" w:type="dxa"/>
            </w:tcMar>
          </w:tcPr>
          <w:p w14:paraId="2685C93F"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Total Hemoglobin (g/dL)</w:t>
            </w:r>
          </w:p>
        </w:tc>
        <w:tc>
          <w:tcPr>
            <w:tcW w:w="759" w:type="dxa"/>
            <w:tcBorders>
              <w:top w:val="single" w:sz="4" w:space="0" w:color="auto"/>
              <w:bottom w:val="single" w:sz="4" w:space="0" w:color="auto"/>
            </w:tcBorders>
            <w:tcMar>
              <w:top w:w="100" w:type="dxa"/>
              <w:left w:w="100" w:type="dxa"/>
              <w:bottom w:w="100" w:type="dxa"/>
              <w:right w:w="100" w:type="dxa"/>
            </w:tcMar>
          </w:tcPr>
          <w:p w14:paraId="75862CF5"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HbA1c (%)</w:t>
            </w:r>
          </w:p>
        </w:tc>
        <w:tc>
          <w:tcPr>
            <w:tcW w:w="801" w:type="dxa"/>
            <w:tcBorders>
              <w:top w:val="single" w:sz="4" w:space="0" w:color="auto"/>
              <w:bottom w:val="single" w:sz="4" w:space="0" w:color="auto"/>
            </w:tcBorders>
            <w:tcMar>
              <w:top w:w="100" w:type="dxa"/>
              <w:left w:w="100" w:type="dxa"/>
              <w:bottom w:w="100" w:type="dxa"/>
              <w:right w:w="100" w:type="dxa"/>
            </w:tcMar>
          </w:tcPr>
          <w:p w14:paraId="3777A040"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Total Protein (g/dL)</w:t>
            </w:r>
          </w:p>
        </w:tc>
        <w:tc>
          <w:tcPr>
            <w:tcW w:w="826" w:type="dxa"/>
            <w:tcBorders>
              <w:top w:val="single" w:sz="4" w:space="0" w:color="auto"/>
              <w:bottom w:val="single" w:sz="4" w:space="0" w:color="auto"/>
            </w:tcBorders>
            <w:tcMar>
              <w:top w:w="100" w:type="dxa"/>
              <w:left w:w="100" w:type="dxa"/>
              <w:bottom w:w="100" w:type="dxa"/>
              <w:right w:w="100" w:type="dxa"/>
            </w:tcMar>
          </w:tcPr>
          <w:p w14:paraId="034B8ACD"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Urea (mg/dL)</w:t>
            </w:r>
          </w:p>
        </w:tc>
        <w:tc>
          <w:tcPr>
            <w:tcW w:w="995" w:type="dxa"/>
            <w:tcBorders>
              <w:top w:val="single" w:sz="4" w:space="0" w:color="auto"/>
              <w:bottom w:val="single" w:sz="4" w:space="0" w:color="auto"/>
            </w:tcBorders>
            <w:tcMar>
              <w:top w:w="100" w:type="dxa"/>
              <w:left w:w="100" w:type="dxa"/>
              <w:bottom w:w="100" w:type="dxa"/>
              <w:right w:w="100" w:type="dxa"/>
            </w:tcMar>
          </w:tcPr>
          <w:p w14:paraId="04187BE5"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Creatinine (mg/dL)</w:t>
            </w:r>
          </w:p>
        </w:tc>
        <w:tc>
          <w:tcPr>
            <w:tcW w:w="1087" w:type="dxa"/>
            <w:tcBorders>
              <w:top w:val="single" w:sz="4" w:space="0" w:color="auto"/>
              <w:bottom w:val="single" w:sz="4" w:space="0" w:color="auto"/>
            </w:tcBorders>
            <w:tcMar>
              <w:top w:w="100" w:type="dxa"/>
              <w:left w:w="100" w:type="dxa"/>
              <w:bottom w:w="100" w:type="dxa"/>
              <w:right w:w="100" w:type="dxa"/>
            </w:tcMar>
          </w:tcPr>
          <w:p w14:paraId="3A55B41F"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Hexokinase (U/g tissue)</w:t>
            </w:r>
          </w:p>
        </w:tc>
        <w:tc>
          <w:tcPr>
            <w:tcW w:w="1171" w:type="dxa"/>
            <w:tcBorders>
              <w:top w:val="single" w:sz="4" w:space="0" w:color="auto"/>
              <w:bottom w:val="single" w:sz="4" w:space="0" w:color="auto"/>
            </w:tcBorders>
            <w:tcMar>
              <w:top w:w="100" w:type="dxa"/>
              <w:left w:w="100" w:type="dxa"/>
              <w:bottom w:w="100" w:type="dxa"/>
              <w:right w:w="100" w:type="dxa"/>
            </w:tcMar>
          </w:tcPr>
          <w:p w14:paraId="04EBCF04"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Glucose-6-Phosphatase (U/g tissue)</w:t>
            </w:r>
          </w:p>
        </w:tc>
        <w:tc>
          <w:tcPr>
            <w:tcW w:w="1373" w:type="dxa"/>
            <w:tcBorders>
              <w:top w:val="single" w:sz="4" w:space="0" w:color="auto"/>
              <w:bottom w:val="single" w:sz="4" w:space="0" w:color="auto"/>
            </w:tcBorders>
            <w:tcMar>
              <w:top w:w="100" w:type="dxa"/>
              <w:left w:w="100" w:type="dxa"/>
              <w:bottom w:w="100" w:type="dxa"/>
              <w:right w:w="100" w:type="dxa"/>
            </w:tcMar>
          </w:tcPr>
          <w:p w14:paraId="657174C3"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Fructose-1,6-Bisphosphatase (U/g tissue)</w:t>
            </w:r>
          </w:p>
        </w:tc>
      </w:tr>
      <w:tr w:rsidR="00492BE5" w:rsidRPr="009E6A9D" w14:paraId="37E8867A" w14:textId="77777777" w:rsidTr="009E6A9D">
        <w:trPr>
          <w:trHeight w:val="800"/>
        </w:trPr>
        <w:tc>
          <w:tcPr>
            <w:tcW w:w="1230" w:type="dxa"/>
            <w:tcBorders>
              <w:top w:val="single" w:sz="4" w:space="0" w:color="auto"/>
            </w:tcBorders>
            <w:tcMar>
              <w:top w:w="100" w:type="dxa"/>
              <w:left w:w="100" w:type="dxa"/>
              <w:bottom w:w="100" w:type="dxa"/>
              <w:right w:w="100" w:type="dxa"/>
            </w:tcMar>
          </w:tcPr>
          <w:p w14:paraId="30FB130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 (Normal Control)</w:t>
            </w:r>
          </w:p>
        </w:tc>
        <w:tc>
          <w:tcPr>
            <w:tcW w:w="1112" w:type="dxa"/>
            <w:tcBorders>
              <w:top w:val="single" w:sz="4" w:space="0" w:color="auto"/>
            </w:tcBorders>
            <w:tcMar>
              <w:top w:w="100" w:type="dxa"/>
              <w:left w:w="100" w:type="dxa"/>
              <w:bottom w:w="100" w:type="dxa"/>
              <w:right w:w="100" w:type="dxa"/>
            </w:tcMar>
          </w:tcPr>
          <w:p w14:paraId="2B15FD0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14.5 ± 0.3</w:t>
            </w:r>
          </w:p>
        </w:tc>
        <w:tc>
          <w:tcPr>
            <w:tcW w:w="759" w:type="dxa"/>
            <w:tcBorders>
              <w:top w:val="single" w:sz="4" w:space="0" w:color="auto"/>
            </w:tcBorders>
            <w:tcMar>
              <w:top w:w="100" w:type="dxa"/>
              <w:left w:w="100" w:type="dxa"/>
              <w:bottom w:w="100" w:type="dxa"/>
              <w:right w:w="100" w:type="dxa"/>
            </w:tcMar>
          </w:tcPr>
          <w:p w14:paraId="0599280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4.8 ± 0.2</w:t>
            </w:r>
          </w:p>
        </w:tc>
        <w:tc>
          <w:tcPr>
            <w:tcW w:w="801" w:type="dxa"/>
            <w:tcBorders>
              <w:top w:val="single" w:sz="4" w:space="0" w:color="auto"/>
            </w:tcBorders>
            <w:tcMar>
              <w:top w:w="100" w:type="dxa"/>
              <w:left w:w="100" w:type="dxa"/>
              <w:bottom w:w="100" w:type="dxa"/>
              <w:right w:w="100" w:type="dxa"/>
            </w:tcMar>
          </w:tcPr>
          <w:p w14:paraId="5FA13B4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7.2 ± 0.2</w:t>
            </w:r>
          </w:p>
        </w:tc>
        <w:tc>
          <w:tcPr>
            <w:tcW w:w="826" w:type="dxa"/>
            <w:tcBorders>
              <w:top w:val="single" w:sz="4" w:space="0" w:color="auto"/>
            </w:tcBorders>
            <w:tcMar>
              <w:top w:w="100" w:type="dxa"/>
              <w:left w:w="100" w:type="dxa"/>
              <w:bottom w:w="100" w:type="dxa"/>
              <w:right w:w="100" w:type="dxa"/>
            </w:tcMar>
          </w:tcPr>
          <w:p w14:paraId="476C0F7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25.3 ± 1.0</w:t>
            </w:r>
          </w:p>
        </w:tc>
        <w:tc>
          <w:tcPr>
            <w:tcW w:w="995" w:type="dxa"/>
            <w:tcBorders>
              <w:top w:val="single" w:sz="4" w:space="0" w:color="auto"/>
            </w:tcBorders>
            <w:tcMar>
              <w:top w:w="100" w:type="dxa"/>
              <w:left w:w="100" w:type="dxa"/>
              <w:bottom w:w="100" w:type="dxa"/>
              <w:right w:w="100" w:type="dxa"/>
            </w:tcMar>
          </w:tcPr>
          <w:p w14:paraId="179A786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 ± 0.1</w:t>
            </w:r>
          </w:p>
        </w:tc>
        <w:tc>
          <w:tcPr>
            <w:tcW w:w="1087" w:type="dxa"/>
            <w:tcBorders>
              <w:top w:val="single" w:sz="4" w:space="0" w:color="auto"/>
            </w:tcBorders>
            <w:tcMar>
              <w:top w:w="100" w:type="dxa"/>
              <w:left w:w="100" w:type="dxa"/>
              <w:bottom w:w="100" w:type="dxa"/>
              <w:right w:w="100" w:type="dxa"/>
            </w:tcMar>
          </w:tcPr>
          <w:p w14:paraId="1C09493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120.5 ± 3.5</w:t>
            </w:r>
          </w:p>
        </w:tc>
        <w:tc>
          <w:tcPr>
            <w:tcW w:w="1171" w:type="dxa"/>
            <w:tcBorders>
              <w:top w:val="single" w:sz="4" w:space="0" w:color="auto"/>
            </w:tcBorders>
            <w:tcMar>
              <w:top w:w="100" w:type="dxa"/>
              <w:left w:w="100" w:type="dxa"/>
              <w:bottom w:w="100" w:type="dxa"/>
              <w:right w:w="100" w:type="dxa"/>
            </w:tcMar>
          </w:tcPr>
          <w:p w14:paraId="2B4B190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25.4 ± 1.2</w:t>
            </w:r>
          </w:p>
        </w:tc>
        <w:tc>
          <w:tcPr>
            <w:tcW w:w="1373" w:type="dxa"/>
            <w:tcBorders>
              <w:top w:val="single" w:sz="4" w:space="0" w:color="auto"/>
            </w:tcBorders>
            <w:tcMar>
              <w:top w:w="100" w:type="dxa"/>
              <w:left w:w="100" w:type="dxa"/>
              <w:bottom w:w="100" w:type="dxa"/>
              <w:right w:w="100" w:type="dxa"/>
            </w:tcMar>
          </w:tcPr>
          <w:p w14:paraId="7B0CDF8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15.3 ± 0.8</w:t>
            </w:r>
          </w:p>
        </w:tc>
      </w:tr>
      <w:tr w:rsidR="00492BE5" w:rsidRPr="009E6A9D" w14:paraId="2E729D4E" w14:textId="77777777" w:rsidTr="009E6A9D">
        <w:trPr>
          <w:trHeight w:val="800"/>
        </w:trPr>
        <w:tc>
          <w:tcPr>
            <w:tcW w:w="1230" w:type="dxa"/>
            <w:tcMar>
              <w:top w:w="100" w:type="dxa"/>
              <w:left w:w="100" w:type="dxa"/>
              <w:bottom w:w="100" w:type="dxa"/>
              <w:right w:w="100" w:type="dxa"/>
            </w:tcMar>
          </w:tcPr>
          <w:p w14:paraId="6E7BCBF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II (Diabetic Control)</w:t>
            </w:r>
          </w:p>
        </w:tc>
        <w:tc>
          <w:tcPr>
            <w:tcW w:w="1112" w:type="dxa"/>
            <w:tcMar>
              <w:top w:w="100" w:type="dxa"/>
              <w:left w:w="100" w:type="dxa"/>
              <w:bottom w:w="100" w:type="dxa"/>
              <w:right w:w="100" w:type="dxa"/>
            </w:tcMar>
          </w:tcPr>
          <w:p w14:paraId="1E4C8DD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10.2 ± 0.4</w:t>
            </w:r>
          </w:p>
        </w:tc>
        <w:tc>
          <w:tcPr>
            <w:tcW w:w="759" w:type="dxa"/>
            <w:tcMar>
              <w:top w:w="100" w:type="dxa"/>
              <w:left w:w="100" w:type="dxa"/>
              <w:bottom w:w="100" w:type="dxa"/>
              <w:right w:w="100" w:type="dxa"/>
            </w:tcMar>
          </w:tcPr>
          <w:p w14:paraId="79E9185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9.5 ± 0.4</w:t>
            </w:r>
          </w:p>
        </w:tc>
        <w:tc>
          <w:tcPr>
            <w:tcW w:w="801" w:type="dxa"/>
            <w:tcMar>
              <w:top w:w="100" w:type="dxa"/>
              <w:left w:w="100" w:type="dxa"/>
              <w:bottom w:w="100" w:type="dxa"/>
              <w:right w:w="100" w:type="dxa"/>
            </w:tcMar>
          </w:tcPr>
          <w:p w14:paraId="7E5788C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5.0 ± 0.3</w:t>
            </w:r>
          </w:p>
        </w:tc>
        <w:tc>
          <w:tcPr>
            <w:tcW w:w="826" w:type="dxa"/>
            <w:tcMar>
              <w:top w:w="100" w:type="dxa"/>
              <w:left w:w="100" w:type="dxa"/>
              <w:bottom w:w="100" w:type="dxa"/>
              <w:right w:w="100" w:type="dxa"/>
            </w:tcMar>
          </w:tcPr>
          <w:p w14:paraId="7F27766F"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45.6 ± 1.5</w:t>
            </w:r>
          </w:p>
        </w:tc>
        <w:tc>
          <w:tcPr>
            <w:tcW w:w="995" w:type="dxa"/>
            <w:tcMar>
              <w:top w:w="100" w:type="dxa"/>
              <w:left w:w="100" w:type="dxa"/>
              <w:bottom w:w="100" w:type="dxa"/>
              <w:right w:w="100" w:type="dxa"/>
            </w:tcMar>
          </w:tcPr>
          <w:p w14:paraId="27F7846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1.2 ± 0.1</w:t>
            </w:r>
          </w:p>
        </w:tc>
        <w:tc>
          <w:tcPr>
            <w:tcW w:w="1087" w:type="dxa"/>
            <w:tcMar>
              <w:top w:w="100" w:type="dxa"/>
              <w:left w:w="100" w:type="dxa"/>
              <w:bottom w:w="100" w:type="dxa"/>
              <w:right w:w="100" w:type="dxa"/>
            </w:tcMar>
          </w:tcPr>
          <w:p w14:paraId="5DA0061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60.2 ± 2.8</w:t>
            </w:r>
          </w:p>
        </w:tc>
        <w:tc>
          <w:tcPr>
            <w:tcW w:w="1171" w:type="dxa"/>
            <w:tcMar>
              <w:top w:w="100" w:type="dxa"/>
              <w:left w:w="100" w:type="dxa"/>
              <w:bottom w:w="100" w:type="dxa"/>
              <w:right w:w="100" w:type="dxa"/>
            </w:tcMar>
          </w:tcPr>
          <w:p w14:paraId="5F15840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50.8 ± 2.0</w:t>
            </w:r>
          </w:p>
        </w:tc>
        <w:tc>
          <w:tcPr>
            <w:tcW w:w="1373" w:type="dxa"/>
            <w:tcMar>
              <w:top w:w="100" w:type="dxa"/>
              <w:left w:w="100" w:type="dxa"/>
              <w:bottom w:w="100" w:type="dxa"/>
              <w:right w:w="100" w:type="dxa"/>
            </w:tcMar>
          </w:tcPr>
          <w:p w14:paraId="5777EAAC"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35.6 ± 1.5</w:t>
            </w:r>
          </w:p>
        </w:tc>
      </w:tr>
      <w:tr w:rsidR="00492BE5" w:rsidRPr="009E6A9D" w14:paraId="43B3B650" w14:textId="77777777" w:rsidTr="009E6A9D">
        <w:trPr>
          <w:trHeight w:val="800"/>
        </w:trPr>
        <w:tc>
          <w:tcPr>
            <w:tcW w:w="1230" w:type="dxa"/>
            <w:tcMar>
              <w:top w:w="100" w:type="dxa"/>
              <w:left w:w="100" w:type="dxa"/>
              <w:bottom w:w="100" w:type="dxa"/>
              <w:right w:w="100" w:type="dxa"/>
            </w:tcMar>
          </w:tcPr>
          <w:p w14:paraId="7E09847C"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III (100 mg/kg)</w:t>
            </w:r>
          </w:p>
        </w:tc>
        <w:tc>
          <w:tcPr>
            <w:tcW w:w="1112" w:type="dxa"/>
            <w:tcMar>
              <w:top w:w="100" w:type="dxa"/>
              <w:left w:w="100" w:type="dxa"/>
              <w:bottom w:w="100" w:type="dxa"/>
              <w:right w:w="100" w:type="dxa"/>
            </w:tcMar>
          </w:tcPr>
          <w:p w14:paraId="4E2C905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11.7 ± 0.3*</w:t>
            </w:r>
          </w:p>
        </w:tc>
        <w:tc>
          <w:tcPr>
            <w:tcW w:w="759" w:type="dxa"/>
            <w:tcMar>
              <w:top w:w="100" w:type="dxa"/>
              <w:left w:w="100" w:type="dxa"/>
              <w:bottom w:w="100" w:type="dxa"/>
              <w:right w:w="100" w:type="dxa"/>
            </w:tcMar>
          </w:tcPr>
          <w:p w14:paraId="1EAB41C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7.9 ± 0.3*</w:t>
            </w:r>
          </w:p>
        </w:tc>
        <w:tc>
          <w:tcPr>
            <w:tcW w:w="801" w:type="dxa"/>
            <w:tcMar>
              <w:top w:w="100" w:type="dxa"/>
              <w:left w:w="100" w:type="dxa"/>
              <w:bottom w:w="100" w:type="dxa"/>
              <w:right w:w="100" w:type="dxa"/>
            </w:tcMar>
          </w:tcPr>
          <w:p w14:paraId="2B079B7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5.8 ± 0.2*</w:t>
            </w:r>
          </w:p>
        </w:tc>
        <w:tc>
          <w:tcPr>
            <w:tcW w:w="826" w:type="dxa"/>
            <w:tcMar>
              <w:top w:w="100" w:type="dxa"/>
              <w:left w:w="100" w:type="dxa"/>
              <w:bottom w:w="100" w:type="dxa"/>
              <w:right w:w="100" w:type="dxa"/>
            </w:tcMar>
          </w:tcPr>
          <w:p w14:paraId="5DE480E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38.5 ± 1.2*</w:t>
            </w:r>
          </w:p>
        </w:tc>
        <w:tc>
          <w:tcPr>
            <w:tcW w:w="995" w:type="dxa"/>
            <w:tcMar>
              <w:top w:w="100" w:type="dxa"/>
              <w:left w:w="100" w:type="dxa"/>
              <w:bottom w:w="100" w:type="dxa"/>
              <w:right w:w="100" w:type="dxa"/>
            </w:tcMar>
          </w:tcPr>
          <w:p w14:paraId="2231A86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0.9 ± 0.1*</w:t>
            </w:r>
          </w:p>
        </w:tc>
        <w:tc>
          <w:tcPr>
            <w:tcW w:w="1087" w:type="dxa"/>
            <w:tcMar>
              <w:top w:w="100" w:type="dxa"/>
              <w:left w:w="100" w:type="dxa"/>
              <w:bottom w:w="100" w:type="dxa"/>
              <w:right w:w="100" w:type="dxa"/>
            </w:tcMar>
          </w:tcPr>
          <w:p w14:paraId="6616881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80.0 ± 3.0*</w:t>
            </w:r>
          </w:p>
        </w:tc>
        <w:tc>
          <w:tcPr>
            <w:tcW w:w="1171" w:type="dxa"/>
            <w:tcMar>
              <w:top w:w="100" w:type="dxa"/>
              <w:left w:w="100" w:type="dxa"/>
              <w:bottom w:w="100" w:type="dxa"/>
              <w:right w:w="100" w:type="dxa"/>
            </w:tcMar>
          </w:tcPr>
          <w:p w14:paraId="097043FC"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40.5 ± 1.5*</w:t>
            </w:r>
          </w:p>
        </w:tc>
        <w:tc>
          <w:tcPr>
            <w:tcW w:w="1373" w:type="dxa"/>
            <w:tcMar>
              <w:top w:w="100" w:type="dxa"/>
              <w:left w:w="100" w:type="dxa"/>
              <w:bottom w:w="100" w:type="dxa"/>
              <w:right w:w="100" w:type="dxa"/>
            </w:tcMar>
          </w:tcPr>
          <w:p w14:paraId="32ECDBA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28.5 ± 1.2*</w:t>
            </w:r>
          </w:p>
        </w:tc>
      </w:tr>
      <w:tr w:rsidR="00492BE5" w:rsidRPr="009E6A9D" w14:paraId="2F0086FC" w14:textId="77777777" w:rsidTr="009E6A9D">
        <w:trPr>
          <w:trHeight w:val="800"/>
        </w:trPr>
        <w:tc>
          <w:tcPr>
            <w:tcW w:w="1230" w:type="dxa"/>
            <w:tcMar>
              <w:top w:w="100" w:type="dxa"/>
              <w:left w:w="100" w:type="dxa"/>
              <w:bottom w:w="100" w:type="dxa"/>
              <w:right w:w="100" w:type="dxa"/>
            </w:tcMar>
          </w:tcPr>
          <w:p w14:paraId="606605AF"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IV (200 mg/kg)</w:t>
            </w:r>
          </w:p>
        </w:tc>
        <w:tc>
          <w:tcPr>
            <w:tcW w:w="1112" w:type="dxa"/>
            <w:tcMar>
              <w:top w:w="100" w:type="dxa"/>
              <w:left w:w="100" w:type="dxa"/>
              <w:bottom w:w="100" w:type="dxa"/>
              <w:right w:w="100" w:type="dxa"/>
            </w:tcMar>
          </w:tcPr>
          <w:p w14:paraId="44F4F69F"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13.7 ± 0.2*</w:t>
            </w:r>
          </w:p>
        </w:tc>
        <w:tc>
          <w:tcPr>
            <w:tcW w:w="759" w:type="dxa"/>
            <w:tcMar>
              <w:top w:w="100" w:type="dxa"/>
              <w:left w:w="100" w:type="dxa"/>
              <w:bottom w:w="100" w:type="dxa"/>
              <w:right w:w="100" w:type="dxa"/>
            </w:tcMar>
          </w:tcPr>
          <w:p w14:paraId="04A608C2"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5.1 ± 0.2*</w:t>
            </w:r>
          </w:p>
        </w:tc>
        <w:tc>
          <w:tcPr>
            <w:tcW w:w="801" w:type="dxa"/>
            <w:tcMar>
              <w:top w:w="100" w:type="dxa"/>
              <w:left w:w="100" w:type="dxa"/>
              <w:bottom w:w="100" w:type="dxa"/>
              <w:right w:w="100" w:type="dxa"/>
            </w:tcMar>
          </w:tcPr>
          <w:p w14:paraId="70AAA98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6.9 ± 0.2*</w:t>
            </w:r>
          </w:p>
        </w:tc>
        <w:tc>
          <w:tcPr>
            <w:tcW w:w="826" w:type="dxa"/>
            <w:tcMar>
              <w:top w:w="100" w:type="dxa"/>
              <w:left w:w="100" w:type="dxa"/>
              <w:bottom w:w="100" w:type="dxa"/>
              <w:right w:w="100" w:type="dxa"/>
            </w:tcMar>
          </w:tcPr>
          <w:p w14:paraId="5E36A2F1"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27.0 ± 1.0*</w:t>
            </w:r>
          </w:p>
        </w:tc>
        <w:tc>
          <w:tcPr>
            <w:tcW w:w="995" w:type="dxa"/>
            <w:tcMar>
              <w:top w:w="100" w:type="dxa"/>
              <w:left w:w="100" w:type="dxa"/>
              <w:bottom w:w="100" w:type="dxa"/>
              <w:right w:w="100" w:type="dxa"/>
            </w:tcMar>
          </w:tcPr>
          <w:p w14:paraId="7115DDF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0.71 ± 0.1*</w:t>
            </w:r>
          </w:p>
        </w:tc>
        <w:tc>
          <w:tcPr>
            <w:tcW w:w="1087" w:type="dxa"/>
            <w:tcMar>
              <w:top w:w="100" w:type="dxa"/>
              <w:left w:w="100" w:type="dxa"/>
              <w:bottom w:w="100" w:type="dxa"/>
              <w:right w:w="100" w:type="dxa"/>
            </w:tcMar>
          </w:tcPr>
          <w:p w14:paraId="6EF1A54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113.6 ± 3.0*</w:t>
            </w:r>
          </w:p>
        </w:tc>
        <w:tc>
          <w:tcPr>
            <w:tcW w:w="1171" w:type="dxa"/>
            <w:tcMar>
              <w:top w:w="100" w:type="dxa"/>
              <w:left w:w="100" w:type="dxa"/>
              <w:bottom w:w="100" w:type="dxa"/>
              <w:right w:w="100" w:type="dxa"/>
            </w:tcMar>
          </w:tcPr>
          <w:p w14:paraId="475E462C"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26.8 ± 1.2*</w:t>
            </w:r>
          </w:p>
        </w:tc>
        <w:tc>
          <w:tcPr>
            <w:tcW w:w="1373" w:type="dxa"/>
            <w:tcMar>
              <w:top w:w="100" w:type="dxa"/>
              <w:left w:w="100" w:type="dxa"/>
              <w:bottom w:w="100" w:type="dxa"/>
              <w:right w:w="100" w:type="dxa"/>
            </w:tcMar>
          </w:tcPr>
          <w:p w14:paraId="06B6D47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16.5 ± 0.9*</w:t>
            </w:r>
          </w:p>
        </w:tc>
      </w:tr>
      <w:tr w:rsidR="00492BE5" w:rsidRPr="009E6A9D" w14:paraId="2AC34D54" w14:textId="77777777" w:rsidTr="009E6A9D">
        <w:trPr>
          <w:trHeight w:val="800"/>
        </w:trPr>
        <w:tc>
          <w:tcPr>
            <w:tcW w:w="1230" w:type="dxa"/>
            <w:tcMar>
              <w:top w:w="100" w:type="dxa"/>
              <w:left w:w="100" w:type="dxa"/>
              <w:bottom w:w="100" w:type="dxa"/>
              <w:right w:w="100" w:type="dxa"/>
            </w:tcMar>
          </w:tcPr>
          <w:p w14:paraId="4247312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V (400 mg/kg)</w:t>
            </w:r>
          </w:p>
        </w:tc>
        <w:tc>
          <w:tcPr>
            <w:tcW w:w="1112" w:type="dxa"/>
            <w:tcMar>
              <w:top w:w="100" w:type="dxa"/>
              <w:left w:w="100" w:type="dxa"/>
              <w:bottom w:w="100" w:type="dxa"/>
              <w:right w:w="100" w:type="dxa"/>
            </w:tcMar>
          </w:tcPr>
          <w:p w14:paraId="4035D3E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14.2 ± 0.2*</w:t>
            </w:r>
          </w:p>
        </w:tc>
        <w:tc>
          <w:tcPr>
            <w:tcW w:w="759" w:type="dxa"/>
            <w:tcMar>
              <w:top w:w="100" w:type="dxa"/>
              <w:left w:w="100" w:type="dxa"/>
              <w:bottom w:w="100" w:type="dxa"/>
              <w:right w:w="100" w:type="dxa"/>
            </w:tcMar>
          </w:tcPr>
          <w:p w14:paraId="6C0F0EDF"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4.9 ± 0.2*</w:t>
            </w:r>
          </w:p>
        </w:tc>
        <w:tc>
          <w:tcPr>
            <w:tcW w:w="801" w:type="dxa"/>
            <w:tcMar>
              <w:top w:w="100" w:type="dxa"/>
              <w:left w:w="100" w:type="dxa"/>
              <w:bottom w:w="100" w:type="dxa"/>
              <w:right w:w="100" w:type="dxa"/>
            </w:tcMar>
          </w:tcPr>
          <w:p w14:paraId="18BA6591"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7.1 ± 0.2*</w:t>
            </w:r>
          </w:p>
        </w:tc>
        <w:tc>
          <w:tcPr>
            <w:tcW w:w="826" w:type="dxa"/>
            <w:tcMar>
              <w:top w:w="100" w:type="dxa"/>
              <w:left w:w="100" w:type="dxa"/>
              <w:bottom w:w="100" w:type="dxa"/>
              <w:right w:w="100" w:type="dxa"/>
            </w:tcMar>
          </w:tcPr>
          <w:p w14:paraId="41D73C8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26.3 ± 1.0*</w:t>
            </w:r>
          </w:p>
        </w:tc>
        <w:tc>
          <w:tcPr>
            <w:tcW w:w="995" w:type="dxa"/>
            <w:tcMar>
              <w:top w:w="100" w:type="dxa"/>
              <w:left w:w="100" w:type="dxa"/>
              <w:bottom w:w="100" w:type="dxa"/>
              <w:right w:w="100" w:type="dxa"/>
            </w:tcMar>
          </w:tcPr>
          <w:p w14:paraId="7939BA2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0.69 ± 0.1*</w:t>
            </w:r>
          </w:p>
        </w:tc>
        <w:tc>
          <w:tcPr>
            <w:tcW w:w="1087" w:type="dxa"/>
            <w:tcMar>
              <w:top w:w="100" w:type="dxa"/>
              <w:left w:w="100" w:type="dxa"/>
              <w:bottom w:w="100" w:type="dxa"/>
              <w:right w:w="100" w:type="dxa"/>
            </w:tcMar>
          </w:tcPr>
          <w:p w14:paraId="36A6F2A3"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116.8 ± 3.0*</w:t>
            </w:r>
          </w:p>
        </w:tc>
        <w:tc>
          <w:tcPr>
            <w:tcW w:w="1171" w:type="dxa"/>
            <w:tcMar>
              <w:top w:w="100" w:type="dxa"/>
              <w:left w:w="100" w:type="dxa"/>
              <w:bottom w:w="100" w:type="dxa"/>
              <w:right w:w="100" w:type="dxa"/>
            </w:tcMar>
          </w:tcPr>
          <w:p w14:paraId="3DB71EEC"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26.1 ± 1.1*</w:t>
            </w:r>
          </w:p>
        </w:tc>
        <w:tc>
          <w:tcPr>
            <w:tcW w:w="1373" w:type="dxa"/>
            <w:tcMar>
              <w:top w:w="100" w:type="dxa"/>
              <w:left w:w="100" w:type="dxa"/>
              <w:bottom w:w="100" w:type="dxa"/>
              <w:right w:w="100" w:type="dxa"/>
            </w:tcMar>
          </w:tcPr>
          <w:p w14:paraId="352A170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16.1 ± 0.8*</w:t>
            </w:r>
          </w:p>
        </w:tc>
      </w:tr>
      <w:tr w:rsidR="00492BE5" w:rsidRPr="009E6A9D" w14:paraId="2891135F" w14:textId="77777777" w:rsidTr="009E6A9D">
        <w:trPr>
          <w:trHeight w:val="1085"/>
        </w:trPr>
        <w:tc>
          <w:tcPr>
            <w:tcW w:w="1230" w:type="dxa"/>
            <w:tcBorders>
              <w:bottom w:val="single" w:sz="4" w:space="0" w:color="auto"/>
            </w:tcBorders>
            <w:tcMar>
              <w:top w:w="100" w:type="dxa"/>
              <w:left w:w="100" w:type="dxa"/>
              <w:bottom w:w="100" w:type="dxa"/>
              <w:right w:w="100" w:type="dxa"/>
            </w:tcMar>
          </w:tcPr>
          <w:p w14:paraId="217A4FC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VI (Metformin</w:t>
            </w:r>
          </w:p>
          <w:p w14:paraId="6C5465D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200 mg/kg)</w:t>
            </w:r>
          </w:p>
        </w:tc>
        <w:tc>
          <w:tcPr>
            <w:tcW w:w="1112" w:type="dxa"/>
            <w:tcBorders>
              <w:bottom w:val="single" w:sz="4" w:space="0" w:color="auto"/>
            </w:tcBorders>
            <w:tcMar>
              <w:top w:w="100" w:type="dxa"/>
              <w:left w:w="100" w:type="dxa"/>
              <w:bottom w:w="100" w:type="dxa"/>
              <w:right w:w="100" w:type="dxa"/>
            </w:tcMar>
          </w:tcPr>
          <w:p w14:paraId="7CD3679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14.0 ± 0.2*</w:t>
            </w:r>
          </w:p>
        </w:tc>
        <w:tc>
          <w:tcPr>
            <w:tcW w:w="759" w:type="dxa"/>
            <w:tcBorders>
              <w:bottom w:val="single" w:sz="4" w:space="0" w:color="auto"/>
            </w:tcBorders>
            <w:tcMar>
              <w:top w:w="100" w:type="dxa"/>
              <w:left w:w="100" w:type="dxa"/>
              <w:bottom w:w="100" w:type="dxa"/>
              <w:right w:w="100" w:type="dxa"/>
            </w:tcMar>
          </w:tcPr>
          <w:p w14:paraId="553A8D3C"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5.0 ± 0.2*</w:t>
            </w:r>
          </w:p>
        </w:tc>
        <w:tc>
          <w:tcPr>
            <w:tcW w:w="801" w:type="dxa"/>
            <w:tcBorders>
              <w:bottom w:val="single" w:sz="4" w:space="0" w:color="auto"/>
            </w:tcBorders>
            <w:tcMar>
              <w:top w:w="100" w:type="dxa"/>
              <w:left w:w="100" w:type="dxa"/>
              <w:bottom w:w="100" w:type="dxa"/>
              <w:right w:w="100" w:type="dxa"/>
            </w:tcMar>
          </w:tcPr>
          <w:p w14:paraId="42490E3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7.0 ± 0.2*</w:t>
            </w:r>
          </w:p>
        </w:tc>
        <w:tc>
          <w:tcPr>
            <w:tcW w:w="826" w:type="dxa"/>
            <w:tcBorders>
              <w:bottom w:val="single" w:sz="4" w:space="0" w:color="auto"/>
            </w:tcBorders>
            <w:tcMar>
              <w:top w:w="100" w:type="dxa"/>
              <w:left w:w="100" w:type="dxa"/>
              <w:bottom w:w="100" w:type="dxa"/>
              <w:right w:w="100" w:type="dxa"/>
            </w:tcMar>
          </w:tcPr>
          <w:p w14:paraId="07B4130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26.5 ± 1.0*</w:t>
            </w:r>
          </w:p>
        </w:tc>
        <w:tc>
          <w:tcPr>
            <w:tcW w:w="995" w:type="dxa"/>
            <w:tcBorders>
              <w:bottom w:val="single" w:sz="4" w:space="0" w:color="auto"/>
            </w:tcBorders>
            <w:tcMar>
              <w:top w:w="100" w:type="dxa"/>
              <w:left w:w="100" w:type="dxa"/>
              <w:bottom w:w="100" w:type="dxa"/>
              <w:right w:w="100" w:type="dxa"/>
            </w:tcMar>
          </w:tcPr>
          <w:p w14:paraId="224AB75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0.7 ± 0.1*</w:t>
            </w:r>
          </w:p>
        </w:tc>
        <w:tc>
          <w:tcPr>
            <w:tcW w:w="1087" w:type="dxa"/>
            <w:tcBorders>
              <w:bottom w:val="single" w:sz="4" w:space="0" w:color="auto"/>
            </w:tcBorders>
            <w:tcMar>
              <w:top w:w="100" w:type="dxa"/>
              <w:left w:w="100" w:type="dxa"/>
              <w:bottom w:w="100" w:type="dxa"/>
              <w:right w:w="100" w:type="dxa"/>
            </w:tcMar>
          </w:tcPr>
          <w:p w14:paraId="2768E04C"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115.8 ± 3.0*</w:t>
            </w:r>
          </w:p>
        </w:tc>
        <w:tc>
          <w:tcPr>
            <w:tcW w:w="1171" w:type="dxa"/>
            <w:tcBorders>
              <w:bottom w:val="single" w:sz="4" w:space="0" w:color="auto"/>
            </w:tcBorders>
            <w:tcMar>
              <w:top w:w="100" w:type="dxa"/>
              <w:left w:w="100" w:type="dxa"/>
              <w:bottom w:w="100" w:type="dxa"/>
              <w:right w:w="100" w:type="dxa"/>
            </w:tcMar>
          </w:tcPr>
          <w:p w14:paraId="7D718CF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26.3 ± 1.1*</w:t>
            </w:r>
          </w:p>
        </w:tc>
        <w:tc>
          <w:tcPr>
            <w:tcW w:w="1373" w:type="dxa"/>
            <w:tcBorders>
              <w:bottom w:val="single" w:sz="4" w:space="0" w:color="auto"/>
            </w:tcBorders>
            <w:tcMar>
              <w:top w:w="100" w:type="dxa"/>
              <w:left w:w="100" w:type="dxa"/>
              <w:bottom w:w="100" w:type="dxa"/>
              <w:right w:w="100" w:type="dxa"/>
            </w:tcMar>
          </w:tcPr>
          <w:p w14:paraId="0839B2E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16.2 ± 0.8*</w:t>
            </w:r>
          </w:p>
        </w:tc>
      </w:tr>
    </w:tbl>
    <w:p w14:paraId="60A0F9FA" w14:textId="77777777" w:rsidR="00492BE5" w:rsidRPr="009E6A9D" w:rsidRDefault="00500E43">
      <w:pPr>
        <w:pStyle w:val="Titre3"/>
        <w:keepNext w:val="0"/>
        <w:keepLines w:val="0"/>
        <w:spacing w:before="280"/>
        <w:rPr>
          <w:rFonts w:ascii="Times New Roman" w:hAnsi="Times New Roman" w:cs="Times New Roman"/>
          <w:color w:val="000000"/>
          <w:sz w:val="24"/>
          <w:szCs w:val="24"/>
        </w:rPr>
      </w:pPr>
      <w:bookmarkStart w:id="19" w:name="_xridbo6ip868" w:colFirst="0" w:colLast="0"/>
      <w:bookmarkEnd w:id="19"/>
      <w:r w:rsidRPr="009E6A9D">
        <w:rPr>
          <w:rFonts w:ascii="Times New Roman" w:eastAsia="Arial Unicode MS" w:hAnsi="Times New Roman" w:cs="Times New Roman"/>
          <w:color w:val="000000"/>
          <w:sz w:val="24"/>
          <w:szCs w:val="24"/>
        </w:rPr>
        <w:t>Values are expressed as mean ± SEM (n=6). The asterisk (*) indicates a statistically significant difference (P≤0.05) when compared to the Diabetic Control group.</w:t>
      </w:r>
    </w:p>
    <w:p w14:paraId="1AA2DD30" w14:textId="77777777" w:rsidR="00492BE5" w:rsidRDefault="00492BE5">
      <w:pPr>
        <w:pStyle w:val="Titre3"/>
        <w:keepNext w:val="0"/>
        <w:keepLines w:val="0"/>
        <w:spacing w:before="280"/>
        <w:rPr>
          <w:b/>
          <w:color w:val="000000"/>
          <w:sz w:val="26"/>
          <w:szCs w:val="26"/>
        </w:rPr>
      </w:pPr>
      <w:bookmarkStart w:id="20" w:name="_eqo5crks26zh" w:colFirst="0" w:colLast="0"/>
      <w:bookmarkEnd w:id="20"/>
    </w:p>
    <w:p w14:paraId="750C4D75" w14:textId="77777777" w:rsidR="00492BE5" w:rsidRDefault="00492BE5">
      <w:pPr>
        <w:pStyle w:val="Titre3"/>
        <w:keepNext w:val="0"/>
        <w:keepLines w:val="0"/>
        <w:spacing w:before="280"/>
        <w:rPr>
          <w:b/>
          <w:color w:val="000000"/>
          <w:sz w:val="26"/>
          <w:szCs w:val="26"/>
        </w:rPr>
      </w:pPr>
      <w:bookmarkStart w:id="21" w:name="_iqnljoe9ies0" w:colFirst="0" w:colLast="0"/>
      <w:bookmarkEnd w:id="21"/>
    </w:p>
    <w:p w14:paraId="7404653B" w14:textId="77777777" w:rsidR="00492BE5" w:rsidRDefault="00492BE5">
      <w:pPr>
        <w:pStyle w:val="Titre3"/>
        <w:keepNext w:val="0"/>
        <w:keepLines w:val="0"/>
        <w:spacing w:before="280"/>
        <w:rPr>
          <w:b/>
          <w:color w:val="000000"/>
          <w:sz w:val="26"/>
          <w:szCs w:val="26"/>
        </w:rPr>
      </w:pPr>
      <w:bookmarkStart w:id="22" w:name="_jfrwshwy2noi" w:colFirst="0" w:colLast="0"/>
      <w:bookmarkEnd w:id="22"/>
    </w:p>
    <w:p w14:paraId="6A57FF6F" w14:textId="77777777" w:rsidR="009E6A9D" w:rsidRPr="009E6A9D" w:rsidRDefault="009E6A9D" w:rsidP="009E6A9D"/>
    <w:p w14:paraId="4C251058" w14:textId="77777777" w:rsidR="00492BE5" w:rsidRPr="009E6A9D" w:rsidRDefault="00500E43">
      <w:pPr>
        <w:pStyle w:val="Titre3"/>
        <w:keepNext w:val="0"/>
        <w:keepLines w:val="0"/>
        <w:spacing w:before="280"/>
        <w:rPr>
          <w:rFonts w:ascii="Times New Roman" w:hAnsi="Times New Roman" w:cs="Times New Roman"/>
          <w:b/>
          <w:color w:val="000000"/>
          <w:sz w:val="24"/>
          <w:szCs w:val="24"/>
        </w:rPr>
      </w:pPr>
      <w:bookmarkStart w:id="23" w:name="_ub182f2qyny2" w:colFirst="0" w:colLast="0"/>
      <w:bookmarkStart w:id="24" w:name="_qkgafutzlrxs" w:colFirst="0" w:colLast="0"/>
      <w:bookmarkStart w:id="25" w:name="_jdcghqpe9fxm" w:colFirst="0" w:colLast="0"/>
      <w:bookmarkStart w:id="26" w:name="_1i0p6irb7a6a" w:colFirst="0" w:colLast="0"/>
      <w:bookmarkEnd w:id="23"/>
      <w:bookmarkEnd w:id="24"/>
      <w:bookmarkEnd w:id="25"/>
      <w:bookmarkEnd w:id="26"/>
      <w:r w:rsidRPr="009E6A9D">
        <w:rPr>
          <w:rFonts w:ascii="Times New Roman" w:hAnsi="Times New Roman" w:cs="Times New Roman"/>
          <w:b/>
          <w:color w:val="000000"/>
          <w:sz w:val="24"/>
          <w:szCs w:val="24"/>
        </w:rPr>
        <w:lastRenderedPageBreak/>
        <w:t>Table 5: Histopathological Evaluation of Pancreatic Islets (Aligned with Methods)</w:t>
      </w:r>
    </w:p>
    <w:tbl>
      <w:tblPr>
        <w:tblStyle w:val="a3"/>
        <w:tblW w:w="9360" w:type="dxa"/>
        <w:tblInd w:w="0" w:type="dxa"/>
        <w:tblBorders>
          <w:top w:val="single" w:sz="4" w:space="0" w:color="auto"/>
        </w:tblBorders>
        <w:tblLayout w:type="fixed"/>
        <w:tblLook w:val="0600" w:firstRow="0" w:lastRow="0" w:firstColumn="0" w:lastColumn="0" w:noHBand="1" w:noVBand="1"/>
      </w:tblPr>
      <w:tblGrid>
        <w:gridCol w:w="1590"/>
        <w:gridCol w:w="2030"/>
        <w:gridCol w:w="1634"/>
        <w:gridCol w:w="1591"/>
        <w:gridCol w:w="1010"/>
        <w:gridCol w:w="1505"/>
      </w:tblGrid>
      <w:tr w:rsidR="00492BE5" w:rsidRPr="009E6A9D" w14:paraId="7FF28C51" w14:textId="77777777" w:rsidTr="009E6A9D">
        <w:trPr>
          <w:trHeight w:val="1040"/>
        </w:trPr>
        <w:tc>
          <w:tcPr>
            <w:tcW w:w="1590" w:type="dxa"/>
            <w:tcBorders>
              <w:top w:val="single" w:sz="4" w:space="0" w:color="auto"/>
              <w:bottom w:val="single" w:sz="4" w:space="0" w:color="auto"/>
            </w:tcBorders>
            <w:tcMar>
              <w:top w:w="100" w:type="dxa"/>
              <w:left w:w="100" w:type="dxa"/>
              <w:bottom w:w="100" w:type="dxa"/>
              <w:right w:w="100" w:type="dxa"/>
            </w:tcMar>
          </w:tcPr>
          <w:p w14:paraId="44F0CCB2" w14:textId="77777777" w:rsidR="00492BE5" w:rsidRPr="009E6A9D" w:rsidRDefault="00500E43">
            <w:pPr>
              <w:rPr>
                <w:rFonts w:ascii="Times New Roman" w:hAnsi="Times New Roman" w:cs="Times New Roman"/>
                <w:b/>
              </w:rPr>
            </w:pPr>
            <w:r w:rsidRPr="009E6A9D">
              <w:rPr>
                <w:rFonts w:ascii="Times New Roman" w:hAnsi="Times New Roman" w:cs="Times New Roman"/>
                <w:b/>
              </w:rPr>
              <w:t>Group</w:t>
            </w:r>
          </w:p>
        </w:tc>
        <w:tc>
          <w:tcPr>
            <w:tcW w:w="2029" w:type="dxa"/>
            <w:tcBorders>
              <w:top w:val="single" w:sz="4" w:space="0" w:color="auto"/>
              <w:bottom w:val="single" w:sz="4" w:space="0" w:color="auto"/>
            </w:tcBorders>
            <w:tcMar>
              <w:top w:w="100" w:type="dxa"/>
              <w:left w:w="100" w:type="dxa"/>
              <w:bottom w:w="100" w:type="dxa"/>
              <w:right w:w="100" w:type="dxa"/>
            </w:tcMar>
          </w:tcPr>
          <w:p w14:paraId="64E9A280" w14:textId="77777777" w:rsidR="00492BE5" w:rsidRPr="009E6A9D" w:rsidRDefault="00500E43">
            <w:pPr>
              <w:rPr>
                <w:rFonts w:ascii="Times New Roman" w:hAnsi="Times New Roman" w:cs="Times New Roman"/>
                <w:b/>
              </w:rPr>
            </w:pPr>
            <w:r w:rsidRPr="009E6A9D">
              <w:rPr>
                <w:rFonts w:ascii="Times New Roman" w:hAnsi="Times New Roman" w:cs="Times New Roman"/>
                <w:b/>
              </w:rPr>
              <w:t>Islet Integrity &amp; Size</w:t>
            </w:r>
          </w:p>
        </w:tc>
        <w:tc>
          <w:tcPr>
            <w:tcW w:w="1633" w:type="dxa"/>
            <w:tcBorders>
              <w:top w:val="single" w:sz="4" w:space="0" w:color="auto"/>
              <w:bottom w:val="single" w:sz="4" w:space="0" w:color="auto"/>
            </w:tcBorders>
            <w:tcMar>
              <w:top w:w="100" w:type="dxa"/>
              <w:left w:w="100" w:type="dxa"/>
              <w:bottom w:w="100" w:type="dxa"/>
              <w:right w:w="100" w:type="dxa"/>
            </w:tcMar>
          </w:tcPr>
          <w:p w14:paraId="720C0088" w14:textId="77777777" w:rsidR="00492BE5" w:rsidRPr="009E6A9D" w:rsidRDefault="00500E43">
            <w:pPr>
              <w:rPr>
                <w:rFonts w:ascii="Times New Roman" w:hAnsi="Times New Roman" w:cs="Times New Roman"/>
                <w:b/>
              </w:rPr>
            </w:pPr>
            <w:r w:rsidRPr="009E6A9D">
              <w:rPr>
                <w:rFonts w:ascii="Times New Roman" w:hAnsi="Times New Roman" w:cs="Times New Roman"/>
                <w:b/>
              </w:rPr>
              <w:t>Beta-Cell Degranulation</w:t>
            </w:r>
          </w:p>
        </w:tc>
        <w:tc>
          <w:tcPr>
            <w:tcW w:w="1590" w:type="dxa"/>
            <w:tcBorders>
              <w:top w:val="single" w:sz="4" w:space="0" w:color="auto"/>
              <w:bottom w:val="single" w:sz="4" w:space="0" w:color="auto"/>
            </w:tcBorders>
            <w:tcMar>
              <w:top w:w="100" w:type="dxa"/>
              <w:left w:w="100" w:type="dxa"/>
              <w:bottom w:w="100" w:type="dxa"/>
              <w:right w:w="100" w:type="dxa"/>
            </w:tcMar>
          </w:tcPr>
          <w:p w14:paraId="517D6129" w14:textId="77777777" w:rsidR="00492BE5" w:rsidRPr="009E6A9D" w:rsidRDefault="00500E43">
            <w:pPr>
              <w:rPr>
                <w:rFonts w:ascii="Times New Roman" w:hAnsi="Times New Roman" w:cs="Times New Roman"/>
                <w:b/>
              </w:rPr>
            </w:pPr>
            <w:r w:rsidRPr="009E6A9D">
              <w:rPr>
                <w:rFonts w:ascii="Times New Roman" w:hAnsi="Times New Roman" w:cs="Times New Roman"/>
                <w:b/>
              </w:rPr>
              <w:t>Inflammatory Infiltration</w:t>
            </w:r>
          </w:p>
        </w:tc>
        <w:tc>
          <w:tcPr>
            <w:tcW w:w="1010" w:type="dxa"/>
            <w:tcBorders>
              <w:top w:val="single" w:sz="4" w:space="0" w:color="auto"/>
              <w:bottom w:val="single" w:sz="4" w:space="0" w:color="auto"/>
            </w:tcBorders>
            <w:tcMar>
              <w:top w:w="100" w:type="dxa"/>
              <w:left w:w="100" w:type="dxa"/>
              <w:bottom w:w="100" w:type="dxa"/>
              <w:right w:w="100" w:type="dxa"/>
            </w:tcMar>
          </w:tcPr>
          <w:p w14:paraId="52053032" w14:textId="77777777" w:rsidR="00492BE5" w:rsidRPr="009E6A9D" w:rsidRDefault="00500E43">
            <w:pPr>
              <w:rPr>
                <w:rFonts w:ascii="Times New Roman" w:hAnsi="Times New Roman" w:cs="Times New Roman"/>
                <w:b/>
              </w:rPr>
            </w:pPr>
            <w:r w:rsidRPr="009E6A9D">
              <w:rPr>
                <w:rFonts w:ascii="Times New Roman" w:hAnsi="Times New Roman" w:cs="Times New Roman"/>
                <w:b/>
              </w:rPr>
              <w:t>Necrosis</w:t>
            </w:r>
          </w:p>
        </w:tc>
        <w:tc>
          <w:tcPr>
            <w:tcW w:w="1505" w:type="dxa"/>
            <w:tcBorders>
              <w:top w:val="single" w:sz="4" w:space="0" w:color="auto"/>
              <w:bottom w:val="single" w:sz="4" w:space="0" w:color="auto"/>
            </w:tcBorders>
            <w:tcMar>
              <w:top w:w="100" w:type="dxa"/>
              <w:left w:w="100" w:type="dxa"/>
              <w:bottom w:w="100" w:type="dxa"/>
              <w:right w:w="100" w:type="dxa"/>
            </w:tcMar>
          </w:tcPr>
          <w:p w14:paraId="2C16C0E3" w14:textId="77777777" w:rsidR="00492BE5" w:rsidRPr="009E6A9D" w:rsidRDefault="00500E43">
            <w:pPr>
              <w:rPr>
                <w:rFonts w:ascii="Times New Roman" w:hAnsi="Times New Roman" w:cs="Times New Roman"/>
                <w:b/>
              </w:rPr>
            </w:pPr>
            <w:r w:rsidRPr="009E6A9D">
              <w:rPr>
                <w:rFonts w:ascii="Times New Roman" w:hAnsi="Times New Roman" w:cs="Times New Roman"/>
                <w:b/>
              </w:rPr>
              <w:t>Overall Histological Score*</w:t>
            </w:r>
          </w:p>
        </w:tc>
      </w:tr>
      <w:tr w:rsidR="00492BE5" w:rsidRPr="009E6A9D" w14:paraId="7D120DF6" w14:textId="77777777" w:rsidTr="009E6A9D">
        <w:trPr>
          <w:trHeight w:val="1040"/>
        </w:trPr>
        <w:tc>
          <w:tcPr>
            <w:tcW w:w="1590" w:type="dxa"/>
            <w:tcBorders>
              <w:top w:val="single" w:sz="4" w:space="0" w:color="auto"/>
            </w:tcBorders>
            <w:tcMar>
              <w:top w:w="100" w:type="dxa"/>
              <w:left w:w="100" w:type="dxa"/>
              <w:bottom w:w="100" w:type="dxa"/>
              <w:right w:w="100" w:type="dxa"/>
            </w:tcMar>
          </w:tcPr>
          <w:p w14:paraId="16FE070D" w14:textId="77777777" w:rsidR="00492BE5" w:rsidRPr="009E6A9D" w:rsidRDefault="00500E43">
            <w:pPr>
              <w:rPr>
                <w:rFonts w:ascii="Times New Roman" w:hAnsi="Times New Roman" w:cs="Times New Roman"/>
              </w:rPr>
            </w:pPr>
            <w:r w:rsidRPr="009E6A9D">
              <w:rPr>
                <w:rFonts w:ascii="Times New Roman" w:hAnsi="Times New Roman" w:cs="Times New Roman"/>
              </w:rPr>
              <w:t>Normal Control</w:t>
            </w:r>
          </w:p>
        </w:tc>
        <w:tc>
          <w:tcPr>
            <w:tcW w:w="2029" w:type="dxa"/>
            <w:tcBorders>
              <w:top w:val="single" w:sz="4" w:space="0" w:color="auto"/>
            </w:tcBorders>
            <w:tcMar>
              <w:top w:w="100" w:type="dxa"/>
              <w:left w:w="100" w:type="dxa"/>
              <w:bottom w:w="100" w:type="dxa"/>
              <w:right w:w="100" w:type="dxa"/>
            </w:tcMar>
          </w:tcPr>
          <w:p w14:paraId="2A612882" w14:textId="77777777" w:rsidR="00492BE5" w:rsidRPr="009E6A9D" w:rsidRDefault="00500E43">
            <w:pPr>
              <w:rPr>
                <w:rFonts w:ascii="Times New Roman" w:hAnsi="Times New Roman" w:cs="Times New Roman"/>
              </w:rPr>
            </w:pPr>
            <w:r w:rsidRPr="009E6A9D">
              <w:rPr>
                <w:rFonts w:ascii="Times New Roman" w:hAnsi="Times New Roman" w:cs="Times New Roman"/>
              </w:rPr>
              <w:t>Normal size and architecture; well-defined islets</w:t>
            </w:r>
          </w:p>
        </w:tc>
        <w:tc>
          <w:tcPr>
            <w:tcW w:w="1633" w:type="dxa"/>
            <w:tcBorders>
              <w:top w:val="single" w:sz="4" w:space="0" w:color="auto"/>
            </w:tcBorders>
            <w:tcMar>
              <w:top w:w="100" w:type="dxa"/>
              <w:left w:w="100" w:type="dxa"/>
              <w:bottom w:w="100" w:type="dxa"/>
              <w:right w:w="100" w:type="dxa"/>
            </w:tcMar>
          </w:tcPr>
          <w:p w14:paraId="6C5BD233" w14:textId="77777777" w:rsidR="00492BE5" w:rsidRPr="009E6A9D" w:rsidRDefault="00500E43">
            <w:pPr>
              <w:rPr>
                <w:rFonts w:ascii="Times New Roman" w:hAnsi="Times New Roman" w:cs="Times New Roman"/>
              </w:rPr>
            </w:pPr>
            <w:r w:rsidRPr="009E6A9D">
              <w:rPr>
                <w:rFonts w:ascii="Times New Roman" w:hAnsi="Times New Roman" w:cs="Times New Roman"/>
              </w:rPr>
              <w:t>Not observed</w:t>
            </w:r>
          </w:p>
        </w:tc>
        <w:tc>
          <w:tcPr>
            <w:tcW w:w="1590" w:type="dxa"/>
            <w:tcBorders>
              <w:top w:val="single" w:sz="4" w:space="0" w:color="auto"/>
            </w:tcBorders>
            <w:tcMar>
              <w:top w:w="100" w:type="dxa"/>
              <w:left w:w="100" w:type="dxa"/>
              <w:bottom w:w="100" w:type="dxa"/>
              <w:right w:w="100" w:type="dxa"/>
            </w:tcMar>
          </w:tcPr>
          <w:p w14:paraId="199BD99A" w14:textId="77777777" w:rsidR="00492BE5" w:rsidRPr="009E6A9D" w:rsidRDefault="00500E43">
            <w:pPr>
              <w:rPr>
                <w:rFonts w:ascii="Times New Roman" w:hAnsi="Times New Roman" w:cs="Times New Roman"/>
              </w:rPr>
            </w:pPr>
            <w:r w:rsidRPr="009E6A9D">
              <w:rPr>
                <w:rFonts w:ascii="Times New Roman" w:hAnsi="Times New Roman" w:cs="Times New Roman"/>
              </w:rPr>
              <w:t>Absent</w:t>
            </w:r>
          </w:p>
        </w:tc>
        <w:tc>
          <w:tcPr>
            <w:tcW w:w="1010" w:type="dxa"/>
            <w:tcBorders>
              <w:top w:val="single" w:sz="4" w:space="0" w:color="auto"/>
            </w:tcBorders>
            <w:tcMar>
              <w:top w:w="100" w:type="dxa"/>
              <w:left w:w="100" w:type="dxa"/>
              <w:bottom w:w="100" w:type="dxa"/>
              <w:right w:w="100" w:type="dxa"/>
            </w:tcMar>
          </w:tcPr>
          <w:p w14:paraId="0AF7B227" w14:textId="77777777" w:rsidR="00492BE5" w:rsidRPr="009E6A9D" w:rsidRDefault="00500E43">
            <w:pPr>
              <w:rPr>
                <w:rFonts w:ascii="Times New Roman" w:hAnsi="Times New Roman" w:cs="Times New Roman"/>
              </w:rPr>
            </w:pPr>
            <w:r w:rsidRPr="009E6A9D">
              <w:rPr>
                <w:rFonts w:ascii="Times New Roman" w:hAnsi="Times New Roman" w:cs="Times New Roman"/>
              </w:rPr>
              <w:t>Absent</w:t>
            </w:r>
          </w:p>
        </w:tc>
        <w:tc>
          <w:tcPr>
            <w:tcW w:w="1505" w:type="dxa"/>
            <w:tcBorders>
              <w:top w:val="single" w:sz="4" w:space="0" w:color="auto"/>
            </w:tcBorders>
            <w:tcMar>
              <w:top w:w="100" w:type="dxa"/>
              <w:left w:w="100" w:type="dxa"/>
              <w:bottom w:w="100" w:type="dxa"/>
              <w:right w:w="100" w:type="dxa"/>
            </w:tcMar>
          </w:tcPr>
          <w:p w14:paraId="5B7A4766" w14:textId="77777777" w:rsidR="00492BE5" w:rsidRPr="009E6A9D" w:rsidRDefault="00500E43">
            <w:pPr>
              <w:rPr>
                <w:rFonts w:ascii="Times New Roman" w:hAnsi="Times New Roman" w:cs="Times New Roman"/>
              </w:rPr>
            </w:pPr>
            <w:r w:rsidRPr="009E6A9D">
              <w:rPr>
                <w:rFonts w:ascii="Times New Roman" w:hAnsi="Times New Roman" w:cs="Times New Roman"/>
              </w:rPr>
              <w:t>0</w:t>
            </w:r>
          </w:p>
        </w:tc>
      </w:tr>
      <w:tr w:rsidR="00492BE5" w:rsidRPr="009E6A9D" w14:paraId="5353FD17" w14:textId="77777777" w:rsidTr="009E6A9D">
        <w:trPr>
          <w:trHeight w:val="1310"/>
        </w:trPr>
        <w:tc>
          <w:tcPr>
            <w:tcW w:w="1590" w:type="dxa"/>
            <w:tcMar>
              <w:top w:w="100" w:type="dxa"/>
              <w:left w:w="100" w:type="dxa"/>
              <w:bottom w:w="100" w:type="dxa"/>
              <w:right w:w="100" w:type="dxa"/>
            </w:tcMar>
          </w:tcPr>
          <w:p w14:paraId="38AE8483" w14:textId="77777777" w:rsidR="00492BE5" w:rsidRPr="009E6A9D" w:rsidRDefault="00500E43">
            <w:pPr>
              <w:rPr>
                <w:rFonts w:ascii="Times New Roman" w:hAnsi="Times New Roman" w:cs="Times New Roman"/>
              </w:rPr>
            </w:pPr>
            <w:r w:rsidRPr="009E6A9D">
              <w:rPr>
                <w:rFonts w:ascii="Times New Roman" w:hAnsi="Times New Roman" w:cs="Times New Roman"/>
              </w:rPr>
              <w:t>Diabetic Control</w:t>
            </w:r>
          </w:p>
        </w:tc>
        <w:tc>
          <w:tcPr>
            <w:tcW w:w="2029" w:type="dxa"/>
            <w:tcMar>
              <w:top w:w="100" w:type="dxa"/>
              <w:left w:w="100" w:type="dxa"/>
              <w:bottom w:w="100" w:type="dxa"/>
              <w:right w:w="100" w:type="dxa"/>
            </w:tcMar>
          </w:tcPr>
          <w:p w14:paraId="1A1E7008" w14:textId="77777777" w:rsidR="00492BE5" w:rsidRPr="009E6A9D" w:rsidRDefault="00500E43">
            <w:pPr>
              <w:rPr>
                <w:rFonts w:ascii="Times New Roman" w:hAnsi="Times New Roman" w:cs="Times New Roman"/>
              </w:rPr>
            </w:pPr>
            <w:r w:rsidRPr="009E6A9D">
              <w:rPr>
                <w:rFonts w:ascii="Times New Roman" w:hAnsi="Times New Roman" w:cs="Times New Roman"/>
              </w:rPr>
              <w:t>Reduced islet size, irregular shape, architectural disruption</w:t>
            </w:r>
          </w:p>
        </w:tc>
        <w:tc>
          <w:tcPr>
            <w:tcW w:w="1633" w:type="dxa"/>
            <w:tcMar>
              <w:top w:w="100" w:type="dxa"/>
              <w:left w:w="100" w:type="dxa"/>
              <w:bottom w:w="100" w:type="dxa"/>
              <w:right w:w="100" w:type="dxa"/>
            </w:tcMar>
          </w:tcPr>
          <w:p w14:paraId="1CBC9F9A" w14:textId="77777777" w:rsidR="00492BE5" w:rsidRPr="009E6A9D" w:rsidRDefault="00500E43">
            <w:pPr>
              <w:rPr>
                <w:rFonts w:ascii="Times New Roman" w:hAnsi="Times New Roman" w:cs="Times New Roman"/>
              </w:rPr>
            </w:pPr>
            <w:r w:rsidRPr="009E6A9D">
              <w:rPr>
                <w:rFonts w:ascii="Times New Roman" w:hAnsi="Times New Roman" w:cs="Times New Roman"/>
              </w:rPr>
              <w:t>Severe</w:t>
            </w:r>
          </w:p>
        </w:tc>
        <w:tc>
          <w:tcPr>
            <w:tcW w:w="1590" w:type="dxa"/>
            <w:tcMar>
              <w:top w:w="100" w:type="dxa"/>
              <w:left w:w="100" w:type="dxa"/>
              <w:bottom w:w="100" w:type="dxa"/>
              <w:right w:w="100" w:type="dxa"/>
            </w:tcMar>
          </w:tcPr>
          <w:p w14:paraId="0B438F5F" w14:textId="77777777" w:rsidR="00492BE5" w:rsidRPr="009E6A9D" w:rsidRDefault="00500E43">
            <w:pPr>
              <w:rPr>
                <w:rFonts w:ascii="Times New Roman" w:hAnsi="Times New Roman" w:cs="Times New Roman"/>
              </w:rPr>
            </w:pPr>
            <w:r w:rsidRPr="009E6A9D">
              <w:rPr>
                <w:rFonts w:ascii="Times New Roman" w:hAnsi="Times New Roman" w:cs="Times New Roman"/>
              </w:rPr>
              <w:t>Moderate to severe</w:t>
            </w:r>
          </w:p>
        </w:tc>
        <w:tc>
          <w:tcPr>
            <w:tcW w:w="1010" w:type="dxa"/>
            <w:tcMar>
              <w:top w:w="100" w:type="dxa"/>
              <w:left w:w="100" w:type="dxa"/>
              <w:bottom w:w="100" w:type="dxa"/>
              <w:right w:w="100" w:type="dxa"/>
            </w:tcMar>
          </w:tcPr>
          <w:p w14:paraId="39DFDA5F" w14:textId="77777777" w:rsidR="00492BE5" w:rsidRPr="009E6A9D" w:rsidRDefault="00500E43">
            <w:pPr>
              <w:rPr>
                <w:rFonts w:ascii="Times New Roman" w:hAnsi="Times New Roman" w:cs="Times New Roman"/>
              </w:rPr>
            </w:pPr>
            <w:r w:rsidRPr="009E6A9D">
              <w:rPr>
                <w:rFonts w:ascii="Times New Roman" w:hAnsi="Times New Roman" w:cs="Times New Roman"/>
              </w:rPr>
              <w:t>Present</w:t>
            </w:r>
          </w:p>
        </w:tc>
        <w:tc>
          <w:tcPr>
            <w:tcW w:w="1505" w:type="dxa"/>
            <w:tcMar>
              <w:top w:w="100" w:type="dxa"/>
              <w:left w:w="100" w:type="dxa"/>
              <w:bottom w:w="100" w:type="dxa"/>
              <w:right w:w="100" w:type="dxa"/>
            </w:tcMar>
          </w:tcPr>
          <w:p w14:paraId="5BC94474" w14:textId="77777777" w:rsidR="00492BE5" w:rsidRPr="009E6A9D" w:rsidRDefault="00500E43">
            <w:pPr>
              <w:rPr>
                <w:rFonts w:ascii="Times New Roman" w:hAnsi="Times New Roman" w:cs="Times New Roman"/>
              </w:rPr>
            </w:pPr>
            <w:r w:rsidRPr="009E6A9D">
              <w:rPr>
                <w:rFonts w:ascii="Times New Roman" w:hAnsi="Times New Roman" w:cs="Times New Roman"/>
              </w:rPr>
              <w:t>9</w:t>
            </w:r>
          </w:p>
        </w:tc>
      </w:tr>
      <w:tr w:rsidR="00492BE5" w:rsidRPr="009E6A9D" w14:paraId="171B677D" w14:textId="77777777" w:rsidTr="009E6A9D">
        <w:trPr>
          <w:trHeight w:val="770"/>
        </w:trPr>
        <w:tc>
          <w:tcPr>
            <w:tcW w:w="1590" w:type="dxa"/>
            <w:tcMar>
              <w:top w:w="100" w:type="dxa"/>
              <w:left w:w="100" w:type="dxa"/>
              <w:bottom w:w="100" w:type="dxa"/>
              <w:right w:w="100" w:type="dxa"/>
            </w:tcMar>
          </w:tcPr>
          <w:p w14:paraId="58214B39" w14:textId="77777777" w:rsidR="00492BE5" w:rsidRPr="009E6A9D" w:rsidRDefault="00500E43">
            <w:pPr>
              <w:rPr>
                <w:rFonts w:ascii="Times New Roman" w:hAnsi="Times New Roman" w:cs="Times New Roman"/>
              </w:rPr>
            </w:pPr>
            <w:proofErr w:type="spellStart"/>
            <w:r w:rsidRPr="009E6A9D">
              <w:rPr>
                <w:rFonts w:ascii="Times New Roman" w:hAnsi="Times New Roman" w:cs="Times New Roman"/>
              </w:rPr>
              <w:t>GlucoGuard</w:t>
            </w:r>
            <w:proofErr w:type="spellEnd"/>
            <w:r w:rsidRPr="009E6A9D">
              <w:rPr>
                <w:rFonts w:ascii="Times New Roman" w:hAnsi="Times New Roman" w:cs="Times New Roman"/>
              </w:rPr>
              <w:t xml:space="preserve"> (100 mg/kg)</w:t>
            </w:r>
          </w:p>
        </w:tc>
        <w:tc>
          <w:tcPr>
            <w:tcW w:w="2029" w:type="dxa"/>
            <w:tcMar>
              <w:top w:w="100" w:type="dxa"/>
              <w:left w:w="100" w:type="dxa"/>
              <w:bottom w:w="100" w:type="dxa"/>
              <w:right w:w="100" w:type="dxa"/>
            </w:tcMar>
          </w:tcPr>
          <w:p w14:paraId="104FAAD1" w14:textId="77777777" w:rsidR="00492BE5" w:rsidRPr="009E6A9D" w:rsidRDefault="00500E43">
            <w:pPr>
              <w:rPr>
                <w:rFonts w:ascii="Times New Roman" w:hAnsi="Times New Roman" w:cs="Times New Roman"/>
              </w:rPr>
            </w:pPr>
            <w:r w:rsidRPr="009E6A9D">
              <w:rPr>
                <w:rFonts w:ascii="Times New Roman" w:hAnsi="Times New Roman" w:cs="Times New Roman"/>
              </w:rPr>
              <w:t>Mild improvement in size and shape</w:t>
            </w:r>
          </w:p>
        </w:tc>
        <w:tc>
          <w:tcPr>
            <w:tcW w:w="1633" w:type="dxa"/>
            <w:tcMar>
              <w:top w:w="100" w:type="dxa"/>
              <w:left w:w="100" w:type="dxa"/>
              <w:bottom w:w="100" w:type="dxa"/>
              <w:right w:w="100" w:type="dxa"/>
            </w:tcMar>
          </w:tcPr>
          <w:p w14:paraId="5B58D6FC" w14:textId="77777777" w:rsidR="00492BE5" w:rsidRPr="009E6A9D" w:rsidRDefault="00500E43">
            <w:pPr>
              <w:rPr>
                <w:rFonts w:ascii="Times New Roman" w:hAnsi="Times New Roman" w:cs="Times New Roman"/>
              </w:rPr>
            </w:pPr>
            <w:r w:rsidRPr="009E6A9D">
              <w:rPr>
                <w:rFonts w:ascii="Times New Roman" w:hAnsi="Times New Roman" w:cs="Times New Roman"/>
              </w:rPr>
              <w:t>Moderate</w:t>
            </w:r>
          </w:p>
        </w:tc>
        <w:tc>
          <w:tcPr>
            <w:tcW w:w="1590" w:type="dxa"/>
            <w:tcMar>
              <w:top w:w="100" w:type="dxa"/>
              <w:left w:w="100" w:type="dxa"/>
              <w:bottom w:w="100" w:type="dxa"/>
              <w:right w:w="100" w:type="dxa"/>
            </w:tcMar>
          </w:tcPr>
          <w:p w14:paraId="7A3C7130" w14:textId="77777777" w:rsidR="00492BE5" w:rsidRPr="009E6A9D" w:rsidRDefault="00500E43">
            <w:pPr>
              <w:rPr>
                <w:rFonts w:ascii="Times New Roman" w:hAnsi="Times New Roman" w:cs="Times New Roman"/>
              </w:rPr>
            </w:pPr>
            <w:r w:rsidRPr="009E6A9D">
              <w:rPr>
                <w:rFonts w:ascii="Times New Roman" w:hAnsi="Times New Roman" w:cs="Times New Roman"/>
              </w:rPr>
              <w:t>Moderate</w:t>
            </w:r>
          </w:p>
        </w:tc>
        <w:tc>
          <w:tcPr>
            <w:tcW w:w="1010" w:type="dxa"/>
            <w:tcMar>
              <w:top w:w="100" w:type="dxa"/>
              <w:left w:w="100" w:type="dxa"/>
              <w:bottom w:w="100" w:type="dxa"/>
              <w:right w:w="100" w:type="dxa"/>
            </w:tcMar>
          </w:tcPr>
          <w:p w14:paraId="7BCF3100" w14:textId="77777777" w:rsidR="00492BE5" w:rsidRPr="009E6A9D" w:rsidRDefault="00500E43">
            <w:pPr>
              <w:rPr>
                <w:rFonts w:ascii="Times New Roman" w:hAnsi="Times New Roman" w:cs="Times New Roman"/>
              </w:rPr>
            </w:pPr>
            <w:r w:rsidRPr="009E6A9D">
              <w:rPr>
                <w:rFonts w:ascii="Times New Roman" w:hAnsi="Times New Roman" w:cs="Times New Roman"/>
              </w:rPr>
              <w:t>Absent</w:t>
            </w:r>
          </w:p>
        </w:tc>
        <w:tc>
          <w:tcPr>
            <w:tcW w:w="1505" w:type="dxa"/>
            <w:tcMar>
              <w:top w:w="100" w:type="dxa"/>
              <w:left w:w="100" w:type="dxa"/>
              <w:bottom w:w="100" w:type="dxa"/>
              <w:right w:w="100" w:type="dxa"/>
            </w:tcMar>
          </w:tcPr>
          <w:p w14:paraId="5697C2DC" w14:textId="77777777" w:rsidR="00492BE5" w:rsidRPr="009E6A9D" w:rsidRDefault="00500E43">
            <w:pPr>
              <w:rPr>
                <w:rFonts w:ascii="Times New Roman" w:hAnsi="Times New Roman" w:cs="Times New Roman"/>
              </w:rPr>
            </w:pPr>
            <w:r w:rsidRPr="009E6A9D">
              <w:rPr>
                <w:rFonts w:ascii="Times New Roman" w:hAnsi="Times New Roman" w:cs="Times New Roman"/>
              </w:rPr>
              <w:t>6</w:t>
            </w:r>
          </w:p>
        </w:tc>
      </w:tr>
      <w:tr w:rsidR="00492BE5" w:rsidRPr="009E6A9D" w14:paraId="32FCE8D8" w14:textId="77777777" w:rsidTr="009E6A9D">
        <w:trPr>
          <w:trHeight w:val="1040"/>
        </w:trPr>
        <w:tc>
          <w:tcPr>
            <w:tcW w:w="1590" w:type="dxa"/>
            <w:tcMar>
              <w:top w:w="100" w:type="dxa"/>
              <w:left w:w="100" w:type="dxa"/>
              <w:bottom w:w="100" w:type="dxa"/>
              <w:right w:w="100" w:type="dxa"/>
            </w:tcMar>
          </w:tcPr>
          <w:p w14:paraId="115DD9AA" w14:textId="77777777" w:rsidR="00492BE5" w:rsidRPr="009E6A9D" w:rsidRDefault="00500E43">
            <w:pPr>
              <w:rPr>
                <w:rFonts w:ascii="Times New Roman" w:hAnsi="Times New Roman" w:cs="Times New Roman"/>
              </w:rPr>
            </w:pPr>
            <w:proofErr w:type="spellStart"/>
            <w:r w:rsidRPr="009E6A9D">
              <w:rPr>
                <w:rFonts w:ascii="Times New Roman" w:hAnsi="Times New Roman" w:cs="Times New Roman"/>
              </w:rPr>
              <w:t>GlucoGuard</w:t>
            </w:r>
            <w:proofErr w:type="spellEnd"/>
            <w:r w:rsidRPr="009E6A9D">
              <w:rPr>
                <w:rFonts w:ascii="Times New Roman" w:hAnsi="Times New Roman" w:cs="Times New Roman"/>
              </w:rPr>
              <w:t xml:space="preserve"> (200 mg/kg)</w:t>
            </w:r>
          </w:p>
        </w:tc>
        <w:tc>
          <w:tcPr>
            <w:tcW w:w="2029" w:type="dxa"/>
            <w:tcMar>
              <w:top w:w="100" w:type="dxa"/>
              <w:left w:w="100" w:type="dxa"/>
              <w:bottom w:w="100" w:type="dxa"/>
              <w:right w:w="100" w:type="dxa"/>
            </w:tcMar>
          </w:tcPr>
          <w:p w14:paraId="58740B86" w14:textId="77777777" w:rsidR="00492BE5" w:rsidRPr="009E6A9D" w:rsidRDefault="00500E43">
            <w:pPr>
              <w:rPr>
                <w:rFonts w:ascii="Times New Roman" w:hAnsi="Times New Roman" w:cs="Times New Roman"/>
              </w:rPr>
            </w:pPr>
            <w:r w:rsidRPr="009E6A9D">
              <w:rPr>
                <w:rFonts w:ascii="Times New Roman" w:hAnsi="Times New Roman" w:cs="Times New Roman"/>
              </w:rPr>
              <w:t>Moderately restored size and shape</w:t>
            </w:r>
          </w:p>
        </w:tc>
        <w:tc>
          <w:tcPr>
            <w:tcW w:w="1633" w:type="dxa"/>
            <w:tcMar>
              <w:top w:w="100" w:type="dxa"/>
              <w:left w:w="100" w:type="dxa"/>
              <w:bottom w:w="100" w:type="dxa"/>
              <w:right w:w="100" w:type="dxa"/>
            </w:tcMar>
          </w:tcPr>
          <w:p w14:paraId="76EAF96E" w14:textId="77777777" w:rsidR="00492BE5" w:rsidRPr="009E6A9D" w:rsidRDefault="00500E43">
            <w:pPr>
              <w:rPr>
                <w:rFonts w:ascii="Times New Roman" w:hAnsi="Times New Roman" w:cs="Times New Roman"/>
              </w:rPr>
            </w:pPr>
            <w:r w:rsidRPr="009E6A9D">
              <w:rPr>
                <w:rFonts w:ascii="Times New Roman" w:hAnsi="Times New Roman" w:cs="Times New Roman"/>
              </w:rPr>
              <w:t>Moderate</w:t>
            </w:r>
          </w:p>
        </w:tc>
        <w:tc>
          <w:tcPr>
            <w:tcW w:w="1590" w:type="dxa"/>
            <w:tcMar>
              <w:top w:w="100" w:type="dxa"/>
              <w:left w:w="100" w:type="dxa"/>
              <w:bottom w:w="100" w:type="dxa"/>
              <w:right w:w="100" w:type="dxa"/>
            </w:tcMar>
          </w:tcPr>
          <w:p w14:paraId="2F6FE46D" w14:textId="77777777" w:rsidR="00492BE5" w:rsidRPr="009E6A9D" w:rsidRDefault="00500E43">
            <w:pPr>
              <w:rPr>
                <w:rFonts w:ascii="Times New Roman" w:hAnsi="Times New Roman" w:cs="Times New Roman"/>
              </w:rPr>
            </w:pPr>
            <w:r w:rsidRPr="009E6A9D">
              <w:rPr>
                <w:rFonts w:ascii="Times New Roman" w:hAnsi="Times New Roman" w:cs="Times New Roman"/>
              </w:rPr>
              <w:t>Mild</w:t>
            </w:r>
          </w:p>
        </w:tc>
        <w:tc>
          <w:tcPr>
            <w:tcW w:w="1010" w:type="dxa"/>
            <w:tcMar>
              <w:top w:w="100" w:type="dxa"/>
              <w:left w:w="100" w:type="dxa"/>
              <w:bottom w:w="100" w:type="dxa"/>
              <w:right w:w="100" w:type="dxa"/>
            </w:tcMar>
          </w:tcPr>
          <w:p w14:paraId="729AFFFD" w14:textId="77777777" w:rsidR="00492BE5" w:rsidRPr="009E6A9D" w:rsidRDefault="00500E43">
            <w:pPr>
              <w:rPr>
                <w:rFonts w:ascii="Times New Roman" w:hAnsi="Times New Roman" w:cs="Times New Roman"/>
              </w:rPr>
            </w:pPr>
            <w:r w:rsidRPr="009E6A9D">
              <w:rPr>
                <w:rFonts w:ascii="Times New Roman" w:hAnsi="Times New Roman" w:cs="Times New Roman"/>
              </w:rPr>
              <w:t>Absent</w:t>
            </w:r>
          </w:p>
        </w:tc>
        <w:tc>
          <w:tcPr>
            <w:tcW w:w="1505" w:type="dxa"/>
            <w:tcMar>
              <w:top w:w="100" w:type="dxa"/>
              <w:left w:w="100" w:type="dxa"/>
              <w:bottom w:w="100" w:type="dxa"/>
              <w:right w:w="100" w:type="dxa"/>
            </w:tcMar>
          </w:tcPr>
          <w:p w14:paraId="3F5B774F" w14:textId="77777777" w:rsidR="00492BE5" w:rsidRPr="009E6A9D" w:rsidRDefault="00500E43">
            <w:pPr>
              <w:rPr>
                <w:rFonts w:ascii="Times New Roman" w:hAnsi="Times New Roman" w:cs="Times New Roman"/>
              </w:rPr>
            </w:pPr>
            <w:r w:rsidRPr="009E6A9D">
              <w:rPr>
                <w:rFonts w:ascii="Times New Roman" w:hAnsi="Times New Roman" w:cs="Times New Roman"/>
              </w:rPr>
              <w:t>4</w:t>
            </w:r>
          </w:p>
        </w:tc>
      </w:tr>
      <w:tr w:rsidR="00492BE5" w:rsidRPr="009E6A9D" w14:paraId="662AC47E" w14:textId="77777777" w:rsidTr="009E6A9D">
        <w:trPr>
          <w:trHeight w:val="1310"/>
        </w:trPr>
        <w:tc>
          <w:tcPr>
            <w:tcW w:w="1590" w:type="dxa"/>
            <w:tcBorders>
              <w:bottom w:val="nil"/>
            </w:tcBorders>
            <w:tcMar>
              <w:top w:w="100" w:type="dxa"/>
              <w:left w:w="100" w:type="dxa"/>
              <w:bottom w:w="100" w:type="dxa"/>
              <w:right w:w="100" w:type="dxa"/>
            </w:tcMar>
          </w:tcPr>
          <w:p w14:paraId="2B7D6376" w14:textId="77777777" w:rsidR="00492BE5" w:rsidRPr="009E6A9D" w:rsidRDefault="00500E43">
            <w:pPr>
              <w:rPr>
                <w:rFonts w:ascii="Times New Roman" w:hAnsi="Times New Roman" w:cs="Times New Roman"/>
              </w:rPr>
            </w:pPr>
            <w:proofErr w:type="spellStart"/>
            <w:r w:rsidRPr="009E6A9D">
              <w:rPr>
                <w:rFonts w:ascii="Times New Roman" w:hAnsi="Times New Roman" w:cs="Times New Roman"/>
              </w:rPr>
              <w:t>GlucoGuard</w:t>
            </w:r>
            <w:proofErr w:type="spellEnd"/>
            <w:r w:rsidRPr="009E6A9D">
              <w:rPr>
                <w:rFonts w:ascii="Times New Roman" w:hAnsi="Times New Roman" w:cs="Times New Roman"/>
              </w:rPr>
              <w:t xml:space="preserve"> (400 mg/kg)</w:t>
            </w:r>
          </w:p>
        </w:tc>
        <w:tc>
          <w:tcPr>
            <w:tcW w:w="2029" w:type="dxa"/>
            <w:tcBorders>
              <w:bottom w:val="nil"/>
            </w:tcBorders>
            <w:tcMar>
              <w:top w:w="100" w:type="dxa"/>
              <w:left w:w="100" w:type="dxa"/>
              <w:bottom w:w="100" w:type="dxa"/>
              <w:right w:w="100" w:type="dxa"/>
            </w:tcMar>
          </w:tcPr>
          <w:p w14:paraId="045D7A2A" w14:textId="77777777" w:rsidR="00492BE5" w:rsidRPr="009E6A9D" w:rsidRDefault="00500E43">
            <w:pPr>
              <w:rPr>
                <w:rFonts w:ascii="Times New Roman" w:hAnsi="Times New Roman" w:cs="Times New Roman"/>
              </w:rPr>
            </w:pPr>
            <w:r w:rsidRPr="009E6A9D">
              <w:rPr>
                <w:rFonts w:ascii="Times New Roman" w:hAnsi="Times New Roman" w:cs="Times New Roman"/>
              </w:rPr>
              <w:t>Significantly improved size and architecture; well-preserved islets</w:t>
            </w:r>
          </w:p>
        </w:tc>
        <w:tc>
          <w:tcPr>
            <w:tcW w:w="1633" w:type="dxa"/>
            <w:tcBorders>
              <w:bottom w:val="nil"/>
            </w:tcBorders>
            <w:tcMar>
              <w:top w:w="100" w:type="dxa"/>
              <w:left w:w="100" w:type="dxa"/>
              <w:bottom w:w="100" w:type="dxa"/>
              <w:right w:w="100" w:type="dxa"/>
            </w:tcMar>
          </w:tcPr>
          <w:p w14:paraId="11245E00" w14:textId="77777777" w:rsidR="00492BE5" w:rsidRPr="009E6A9D" w:rsidRDefault="00500E43">
            <w:pPr>
              <w:rPr>
                <w:rFonts w:ascii="Times New Roman" w:hAnsi="Times New Roman" w:cs="Times New Roman"/>
              </w:rPr>
            </w:pPr>
            <w:r w:rsidRPr="009E6A9D">
              <w:rPr>
                <w:rFonts w:ascii="Times New Roman" w:hAnsi="Times New Roman" w:cs="Times New Roman"/>
              </w:rPr>
              <w:t>Mild</w:t>
            </w:r>
          </w:p>
        </w:tc>
        <w:tc>
          <w:tcPr>
            <w:tcW w:w="1590" w:type="dxa"/>
            <w:tcBorders>
              <w:bottom w:val="nil"/>
            </w:tcBorders>
            <w:tcMar>
              <w:top w:w="100" w:type="dxa"/>
              <w:left w:w="100" w:type="dxa"/>
              <w:bottom w:w="100" w:type="dxa"/>
              <w:right w:w="100" w:type="dxa"/>
            </w:tcMar>
          </w:tcPr>
          <w:p w14:paraId="3B36D714" w14:textId="77777777" w:rsidR="00492BE5" w:rsidRPr="009E6A9D" w:rsidRDefault="00500E43">
            <w:pPr>
              <w:rPr>
                <w:rFonts w:ascii="Times New Roman" w:hAnsi="Times New Roman" w:cs="Times New Roman"/>
              </w:rPr>
            </w:pPr>
            <w:r w:rsidRPr="009E6A9D">
              <w:rPr>
                <w:rFonts w:ascii="Times New Roman" w:hAnsi="Times New Roman" w:cs="Times New Roman"/>
              </w:rPr>
              <w:t>Minimal</w:t>
            </w:r>
          </w:p>
        </w:tc>
        <w:tc>
          <w:tcPr>
            <w:tcW w:w="1010" w:type="dxa"/>
            <w:tcBorders>
              <w:bottom w:val="nil"/>
            </w:tcBorders>
            <w:tcMar>
              <w:top w:w="100" w:type="dxa"/>
              <w:left w:w="100" w:type="dxa"/>
              <w:bottom w:w="100" w:type="dxa"/>
              <w:right w:w="100" w:type="dxa"/>
            </w:tcMar>
          </w:tcPr>
          <w:p w14:paraId="41E5F321" w14:textId="77777777" w:rsidR="00492BE5" w:rsidRPr="009E6A9D" w:rsidRDefault="00500E43">
            <w:pPr>
              <w:rPr>
                <w:rFonts w:ascii="Times New Roman" w:hAnsi="Times New Roman" w:cs="Times New Roman"/>
              </w:rPr>
            </w:pPr>
            <w:r w:rsidRPr="009E6A9D">
              <w:rPr>
                <w:rFonts w:ascii="Times New Roman" w:hAnsi="Times New Roman" w:cs="Times New Roman"/>
              </w:rPr>
              <w:t>Absent</w:t>
            </w:r>
          </w:p>
        </w:tc>
        <w:tc>
          <w:tcPr>
            <w:tcW w:w="1505" w:type="dxa"/>
            <w:tcBorders>
              <w:bottom w:val="nil"/>
            </w:tcBorders>
            <w:tcMar>
              <w:top w:w="100" w:type="dxa"/>
              <w:left w:w="100" w:type="dxa"/>
              <w:bottom w:w="100" w:type="dxa"/>
              <w:right w:w="100" w:type="dxa"/>
            </w:tcMar>
          </w:tcPr>
          <w:p w14:paraId="2DAD232A" w14:textId="77777777" w:rsidR="00492BE5" w:rsidRPr="009E6A9D" w:rsidRDefault="00500E43">
            <w:pPr>
              <w:rPr>
                <w:rFonts w:ascii="Times New Roman" w:hAnsi="Times New Roman" w:cs="Times New Roman"/>
              </w:rPr>
            </w:pPr>
            <w:r w:rsidRPr="009E6A9D">
              <w:rPr>
                <w:rFonts w:ascii="Times New Roman" w:hAnsi="Times New Roman" w:cs="Times New Roman"/>
              </w:rPr>
              <w:t>2</w:t>
            </w:r>
          </w:p>
        </w:tc>
      </w:tr>
      <w:tr w:rsidR="00492BE5" w:rsidRPr="009E6A9D" w14:paraId="26962BAE" w14:textId="77777777" w:rsidTr="009E6A9D">
        <w:trPr>
          <w:trHeight w:val="770"/>
        </w:trPr>
        <w:tc>
          <w:tcPr>
            <w:tcW w:w="1590" w:type="dxa"/>
            <w:tcBorders>
              <w:top w:val="nil"/>
              <w:bottom w:val="single" w:sz="4" w:space="0" w:color="auto"/>
            </w:tcBorders>
            <w:tcMar>
              <w:top w:w="100" w:type="dxa"/>
              <w:left w:w="100" w:type="dxa"/>
              <w:bottom w:w="100" w:type="dxa"/>
              <w:right w:w="100" w:type="dxa"/>
            </w:tcMar>
          </w:tcPr>
          <w:p w14:paraId="11C1057F" w14:textId="77777777" w:rsidR="00492BE5" w:rsidRPr="009E6A9D" w:rsidRDefault="00500E43">
            <w:pPr>
              <w:rPr>
                <w:rFonts w:ascii="Times New Roman" w:hAnsi="Times New Roman" w:cs="Times New Roman"/>
              </w:rPr>
            </w:pPr>
            <w:r w:rsidRPr="009E6A9D">
              <w:rPr>
                <w:rFonts w:ascii="Times New Roman" w:hAnsi="Times New Roman" w:cs="Times New Roman"/>
              </w:rPr>
              <w:t>Metformin (200 mg/kg)</w:t>
            </w:r>
          </w:p>
        </w:tc>
        <w:tc>
          <w:tcPr>
            <w:tcW w:w="2029" w:type="dxa"/>
            <w:tcBorders>
              <w:top w:val="nil"/>
              <w:bottom w:val="single" w:sz="4" w:space="0" w:color="auto"/>
            </w:tcBorders>
            <w:tcMar>
              <w:top w:w="100" w:type="dxa"/>
              <w:left w:w="100" w:type="dxa"/>
              <w:bottom w:w="100" w:type="dxa"/>
              <w:right w:w="100" w:type="dxa"/>
            </w:tcMar>
          </w:tcPr>
          <w:p w14:paraId="34FC85F2" w14:textId="77777777" w:rsidR="00492BE5" w:rsidRPr="009E6A9D" w:rsidRDefault="00500E43">
            <w:pPr>
              <w:rPr>
                <w:rFonts w:ascii="Times New Roman" w:hAnsi="Times New Roman" w:cs="Times New Roman"/>
              </w:rPr>
            </w:pPr>
            <w:r w:rsidRPr="009E6A9D">
              <w:rPr>
                <w:rFonts w:ascii="Times New Roman" w:hAnsi="Times New Roman" w:cs="Times New Roman"/>
              </w:rPr>
              <w:t>Restored size and regular shape</w:t>
            </w:r>
          </w:p>
        </w:tc>
        <w:tc>
          <w:tcPr>
            <w:tcW w:w="1633" w:type="dxa"/>
            <w:tcBorders>
              <w:top w:val="nil"/>
              <w:bottom w:val="single" w:sz="4" w:space="0" w:color="auto"/>
            </w:tcBorders>
            <w:tcMar>
              <w:top w:w="100" w:type="dxa"/>
              <w:left w:w="100" w:type="dxa"/>
              <w:bottom w:w="100" w:type="dxa"/>
              <w:right w:w="100" w:type="dxa"/>
            </w:tcMar>
          </w:tcPr>
          <w:p w14:paraId="56AB6037" w14:textId="77777777" w:rsidR="00492BE5" w:rsidRPr="009E6A9D" w:rsidRDefault="00500E43">
            <w:pPr>
              <w:rPr>
                <w:rFonts w:ascii="Times New Roman" w:hAnsi="Times New Roman" w:cs="Times New Roman"/>
              </w:rPr>
            </w:pPr>
            <w:r w:rsidRPr="009E6A9D">
              <w:rPr>
                <w:rFonts w:ascii="Times New Roman" w:hAnsi="Times New Roman" w:cs="Times New Roman"/>
              </w:rPr>
              <w:t>Mild</w:t>
            </w:r>
          </w:p>
        </w:tc>
        <w:tc>
          <w:tcPr>
            <w:tcW w:w="1590" w:type="dxa"/>
            <w:tcBorders>
              <w:top w:val="nil"/>
              <w:bottom w:val="single" w:sz="4" w:space="0" w:color="auto"/>
            </w:tcBorders>
            <w:tcMar>
              <w:top w:w="100" w:type="dxa"/>
              <w:left w:w="100" w:type="dxa"/>
              <w:bottom w:w="100" w:type="dxa"/>
              <w:right w:w="100" w:type="dxa"/>
            </w:tcMar>
          </w:tcPr>
          <w:p w14:paraId="07970CE1" w14:textId="77777777" w:rsidR="00492BE5" w:rsidRPr="009E6A9D" w:rsidRDefault="00500E43">
            <w:pPr>
              <w:rPr>
                <w:rFonts w:ascii="Times New Roman" w:hAnsi="Times New Roman" w:cs="Times New Roman"/>
              </w:rPr>
            </w:pPr>
            <w:r w:rsidRPr="009E6A9D">
              <w:rPr>
                <w:rFonts w:ascii="Times New Roman" w:hAnsi="Times New Roman" w:cs="Times New Roman"/>
              </w:rPr>
              <w:t>Minimal</w:t>
            </w:r>
          </w:p>
        </w:tc>
        <w:tc>
          <w:tcPr>
            <w:tcW w:w="1010" w:type="dxa"/>
            <w:tcBorders>
              <w:top w:val="nil"/>
              <w:bottom w:val="single" w:sz="4" w:space="0" w:color="auto"/>
            </w:tcBorders>
            <w:tcMar>
              <w:top w:w="100" w:type="dxa"/>
              <w:left w:w="100" w:type="dxa"/>
              <w:bottom w:w="100" w:type="dxa"/>
              <w:right w:w="100" w:type="dxa"/>
            </w:tcMar>
          </w:tcPr>
          <w:p w14:paraId="48D5C09F" w14:textId="77777777" w:rsidR="00492BE5" w:rsidRPr="009E6A9D" w:rsidRDefault="00500E43">
            <w:pPr>
              <w:rPr>
                <w:rFonts w:ascii="Times New Roman" w:hAnsi="Times New Roman" w:cs="Times New Roman"/>
              </w:rPr>
            </w:pPr>
            <w:r w:rsidRPr="009E6A9D">
              <w:rPr>
                <w:rFonts w:ascii="Times New Roman" w:hAnsi="Times New Roman" w:cs="Times New Roman"/>
              </w:rPr>
              <w:t>Absent</w:t>
            </w:r>
          </w:p>
        </w:tc>
        <w:tc>
          <w:tcPr>
            <w:tcW w:w="1505" w:type="dxa"/>
            <w:tcBorders>
              <w:top w:val="nil"/>
              <w:bottom w:val="single" w:sz="4" w:space="0" w:color="auto"/>
            </w:tcBorders>
            <w:tcMar>
              <w:top w:w="100" w:type="dxa"/>
              <w:left w:w="100" w:type="dxa"/>
              <w:bottom w:w="100" w:type="dxa"/>
              <w:right w:w="100" w:type="dxa"/>
            </w:tcMar>
          </w:tcPr>
          <w:p w14:paraId="4B4B6608" w14:textId="77777777" w:rsidR="00492BE5" w:rsidRPr="009E6A9D" w:rsidRDefault="00500E43">
            <w:pPr>
              <w:rPr>
                <w:rFonts w:ascii="Times New Roman" w:hAnsi="Times New Roman" w:cs="Times New Roman"/>
              </w:rPr>
            </w:pPr>
            <w:r w:rsidRPr="009E6A9D">
              <w:rPr>
                <w:rFonts w:ascii="Times New Roman" w:hAnsi="Times New Roman" w:cs="Times New Roman"/>
              </w:rPr>
              <w:t>3</w:t>
            </w:r>
          </w:p>
        </w:tc>
      </w:tr>
    </w:tbl>
    <w:p w14:paraId="6A1685D4" w14:textId="77777777" w:rsidR="00492BE5" w:rsidRDefault="00492BE5"/>
    <w:p w14:paraId="7D190B20"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Histological scoring was performed on pancreatic tissue from each group (n=6). Scores are based on a quantitative assessment of islet integrity, beta-cell degranulation, inflammatory infiltration, and necrosis, where a lower score indicates a better pathological outcome.</w:t>
      </w:r>
    </w:p>
    <w:p w14:paraId="44CCC728" w14:textId="77777777" w:rsidR="00492BE5" w:rsidRPr="009E6A9D" w:rsidRDefault="00500E43">
      <w:pPr>
        <w:pStyle w:val="Titre2"/>
        <w:rPr>
          <w:rFonts w:ascii="Times New Roman" w:hAnsi="Times New Roman" w:cs="Times New Roman"/>
          <w:b/>
          <w:sz w:val="24"/>
          <w:szCs w:val="24"/>
        </w:rPr>
      </w:pPr>
      <w:bookmarkStart w:id="27" w:name="_ydgu67fzzi5u" w:colFirst="0" w:colLast="0"/>
      <w:bookmarkEnd w:id="27"/>
      <w:r w:rsidRPr="009E6A9D">
        <w:rPr>
          <w:rFonts w:ascii="Times New Roman" w:hAnsi="Times New Roman" w:cs="Times New Roman"/>
          <w:b/>
          <w:sz w:val="24"/>
          <w:szCs w:val="24"/>
        </w:rPr>
        <w:t>Discussion</w:t>
      </w:r>
    </w:p>
    <w:p w14:paraId="7F011F2C"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The current investigation revealed that the aqueous </w:t>
      </w:r>
      <w:proofErr w:type="spellStart"/>
      <w:r w:rsidRPr="009E6A9D">
        <w:rPr>
          <w:rFonts w:ascii="Times New Roman" w:hAnsi="Times New Roman" w:cs="Times New Roman"/>
          <w:sz w:val="24"/>
          <w:szCs w:val="24"/>
        </w:rPr>
        <w:t>polyherbal</w:t>
      </w:r>
      <w:proofErr w:type="spellEnd"/>
      <w:r w:rsidRPr="009E6A9D">
        <w:rPr>
          <w:rFonts w:ascii="Times New Roman" w:hAnsi="Times New Roman" w:cs="Times New Roman"/>
          <w:sz w:val="24"/>
          <w:szCs w:val="24"/>
        </w:rPr>
        <w:t xml:space="preserve"> formulation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derived from </w:t>
      </w:r>
      <w:proofErr w:type="spellStart"/>
      <w:r w:rsidRPr="009E6A9D">
        <w:rPr>
          <w:rFonts w:ascii="Times New Roman" w:hAnsi="Times New Roman" w:cs="Times New Roman"/>
          <w:i/>
          <w:sz w:val="24"/>
          <w:szCs w:val="24"/>
        </w:rPr>
        <w:t>Hunteria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 xml:space="preserve">Terminalia </w:t>
      </w:r>
      <w:proofErr w:type="spellStart"/>
      <w:r w:rsidRPr="009E6A9D">
        <w:rPr>
          <w:rFonts w:ascii="Times New Roman" w:hAnsi="Times New Roman" w:cs="Times New Roman"/>
          <w:i/>
          <w:sz w:val="24"/>
          <w:szCs w:val="24"/>
        </w:rPr>
        <w:t>catappa</w:t>
      </w:r>
      <w:proofErr w:type="spellEnd"/>
      <w:r w:rsidRPr="009E6A9D">
        <w:rPr>
          <w:rFonts w:ascii="Times New Roman" w:hAnsi="Times New Roman" w:cs="Times New Roman"/>
          <w:sz w:val="24"/>
          <w:szCs w:val="24"/>
        </w:rPr>
        <w:t xml:space="preserve">, </w:t>
      </w:r>
      <w:proofErr w:type="spellStart"/>
      <w:r w:rsidRPr="009E6A9D">
        <w:rPr>
          <w:rFonts w:ascii="Times New Roman" w:hAnsi="Times New Roman" w:cs="Times New Roman"/>
          <w:i/>
          <w:sz w:val="24"/>
          <w:szCs w:val="24"/>
        </w:rPr>
        <w:t>Zingiber</w:t>
      </w:r>
      <w:proofErr w:type="spellEnd"/>
      <w:r w:rsidRPr="009E6A9D">
        <w:rPr>
          <w:rFonts w:ascii="Times New Roman" w:hAnsi="Times New Roman" w:cs="Times New Roman"/>
          <w:i/>
          <w:sz w:val="24"/>
          <w:szCs w:val="24"/>
        </w:rPr>
        <w:t xml:space="preserve"> officinale</w:t>
      </w:r>
      <w:r w:rsidRPr="009E6A9D">
        <w:rPr>
          <w:rFonts w:ascii="Times New Roman" w:hAnsi="Times New Roman" w:cs="Times New Roman"/>
          <w:sz w:val="24"/>
          <w:szCs w:val="24"/>
        </w:rPr>
        <w:t xml:space="preserve">, and </w:t>
      </w:r>
      <w:r w:rsidRPr="009E6A9D">
        <w:rPr>
          <w:rFonts w:ascii="Times New Roman" w:hAnsi="Times New Roman" w:cs="Times New Roman"/>
          <w:i/>
          <w:sz w:val="24"/>
          <w:szCs w:val="24"/>
        </w:rPr>
        <w:t>Beta vulgaris</w:t>
      </w:r>
      <w:r w:rsidRPr="009E6A9D">
        <w:rPr>
          <w:rFonts w:ascii="Times New Roman" w:hAnsi="Times New Roman" w:cs="Times New Roman"/>
          <w:sz w:val="24"/>
          <w:szCs w:val="24"/>
        </w:rPr>
        <w:t xml:space="preserve">, exerts striking antidiabetic effects in STZ-induced diabetic rats. Acute toxicity testing demonstrated no adverse events or mortality up to 4,000 mg/kg, indicating an excellent safety profile. This aligns with findings that aqueous extracts of component species are generally well tolerated in rodents </w:t>
      </w:r>
      <w:r w:rsidRPr="009E6A9D">
        <w:rPr>
          <w:rFonts w:ascii="Times New Roman" w:hAnsi="Times New Roman" w:cs="Times New Roman"/>
          <w:sz w:val="24"/>
          <w:szCs w:val="24"/>
        </w:rPr>
        <w:lastRenderedPageBreak/>
        <w:t>(</w:t>
      </w:r>
      <w:proofErr w:type="spellStart"/>
      <w:r w:rsidRPr="009E6A9D">
        <w:rPr>
          <w:rFonts w:ascii="Times New Roman" w:hAnsi="Times New Roman" w:cs="Times New Roman"/>
          <w:sz w:val="24"/>
          <w:szCs w:val="24"/>
        </w:rPr>
        <w:t>Nwaogwugwu</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et al</w:t>
      </w:r>
      <w:r w:rsidRPr="009E6A9D">
        <w:rPr>
          <w:rFonts w:ascii="Times New Roman" w:hAnsi="Times New Roman" w:cs="Times New Roman"/>
          <w:sz w:val="24"/>
          <w:szCs w:val="24"/>
        </w:rPr>
        <w:t>., 2022). Such a safety margin is essential, especially since botanical extracts can contain concentrated bioactive compounds whose toxicity may differ from whole-plant preparations.</w:t>
      </w:r>
    </w:p>
    <w:p w14:paraId="6915CC6C" w14:textId="77777777" w:rsidR="00492BE5" w:rsidRPr="009E6A9D" w:rsidRDefault="00492BE5">
      <w:pPr>
        <w:rPr>
          <w:rFonts w:ascii="Times New Roman" w:hAnsi="Times New Roman" w:cs="Times New Roman"/>
          <w:sz w:val="24"/>
          <w:szCs w:val="24"/>
        </w:rPr>
      </w:pPr>
    </w:p>
    <w:p w14:paraId="04504BBE" w14:textId="77777777" w:rsidR="00492BE5" w:rsidRPr="009E6A9D" w:rsidRDefault="00500E43">
      <w:pPr>
        <w:rPr>
          <w:rFonts w:ascii="Times New Roman" w:hAnsi="Times New Roman" w:cs="Times New Roman"/>
          <w:sz w:val="24"/>
          <w:szCs w:val="24"/>
        </w:rPr>
      </w:pP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produced robust, dose-dependent reductions in fasting blood glucose (FBG), with medium (200 mg/kg) and high (400 mg/kg) doses achieving near-normal FBG by day 28 at p &lt; 0.05 versus diabetic control, outcomes statistically comparable to Metformin-treated animals. This pattern suggests both acute insulinotropic and prolonged peripheral glucose utilization effects. Phytochemicals in </w:t>
      </w:r>
      <w:r w:rsidRPr="00D3673E">
        <w:rPr>
          <w:rFonts w:ascii="Times New Roman" w:hAnsi="Times New Roman" w:cs="Times New Roman"/>
          <w:i/>
          <w:sz w:val="24"/>
          <w:szCs w:val="24"/>
        </w:rPr>
        <w:t xml:space="preserve">H. </w:t>
      </w:r>
      <w:proofErr w:type="spellStart"/>
      <w:r w:rsidRPr="00D3673E">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and </w:t>
      </w:r>
      <w:r w:rsidRPr="00D3673E">
        <w:rPr>
          <w:rFonts w:ascii="Times New Roman" w:hAnsi="Times New Roman" w:cs="Times New Roman"/>
          <w:i/>
          <w:sz w:val="24"/>
          <w:szCs w:val="24"/>
        </w:rPr>
        <w:t>Z. officinale</w:t>
      </w:r>
      <w:r w:rsidRPr="009E6A9D">
        <w:rPr>
          <w:rFonts w:ascii="Times New Roman" w:hAnsi="Times New Roman" w:cs="Times New Roman"/>
          <w:sz w:val="24"/>
          <w:szCs w:val="24"/>
        </w:rPr>
        <w:t xml:space="preserve"> are documented to have similar dual actions (Al-Amin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2006; </w:t>
      </w:r>
      <w:proofErr w:type="spellStart"/>
      <w:r w:rsidRPr="009E6A9D">
        <w:rPr>
          <w:rFonts w:ascii="Times New Roman" w:hAnsi="Times New Roman" w:cs="Times New Roman"/>
          <w:sz w:val="24"/>
          <w:szCs w:val="24"/>
        </w:rPr>
        <w:t>Adeneye</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2011). The improvement in </w:t>
      </w:r>
      <w:proofErr w:type="spellStart"/>
      <w:r w:rsidRPr="009E6A9D">
        <w:rPr>
          <w:rFonts w:ascii="Times New Roman" w:hAnsi="Times New Roman" w:cs="Times New Roman"/>
          <w:sz w:val="24"/>
          <w:szCs w:val="24"/>
        </w:rPr>
        <w:t>glycaemic</w:t>
      </w:r>
      <w:proofErr w:type="spellEnd"/>
      <w:r w:rsidRPr="009E6A9D">
        <w:rPr>
          <w:rFonts w:ascii="Times New Roman" w:hAnsi="Times New Roman" w:cs="Times New Roman"/>
          <w:sz w:val="24"/>
          <w:szCs w:val="24"/>
        </w:rPr>
        <w:t xml:space="preserve"> control is reinforced by significant (p &lt; 0.05) restoration of plasma insulin levels and body weight, countering the catabolic weight loss seen in untreated diabetic rats (</w:t>
      </w:r>
      <w:proofErr w:type="spellStart"/>
      <w:r w:rsidRPr="009E6A9D">
        <w:rPr>
          <w:rFonts w:ascii="Times New Roman" w:hAnsi="Times New Roman" w:cs="Times New Roman"/>
          <w:sz w:val="24"/>
          <w:szCs w:val="24"/>
        </w:rPr>
        <w:t>Szkudelski</w:t>
      </w:r>
      <w:proofErr w:type="spellEnd"/>
      <w:r w:rsidRPr="009E6A9D">
        <w:rPr>
          <w:rFonts w:ascii="Times New Roman" w:hAnsi="Times New Roman" w:cs="Times New Roman"/>
          <w:sz w:val="24"/>
          <w:szCs w:val="24"/>
        </w:rPr>
        <w:t>, 2001). These changes likely reflect improved β-cell function and metabolic balance.</w:t>
      </w:r>
    </w:p>
    <w:p w14:paraId="177658D8" w14:textId="77777777" w:rsidR="00492BE5" w:rsidRPr="009E6A9D" w:rsidRDefault="00492BE5">
      <w:pPr>
        <w:rPr>
          <w:rFonts w:ascii="Times New Roman" w:hAnsi="Times New Roman" w:cs="Times New Roman"/>
          <w:sz w:val="24"/>
          <w:szCs w:val="24"/>
        </w:rPr>
      </w:pPr>
    </w:p>
    <w:p w14:paraId="323B1F60"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Biochemical analyses further support metabolic normalization. Significant reductions (p &lt; 0.05) in HbA1c, restoration of total protein, and normalization of renal function markers such as urea and creatinine highlight reversal of diabetic catabolism and kidney stress. Elevated HbA1c within such a short timeframe (28 days) suggests sustained </w:t>
      </w:r>
      <w:proofErr w:type="spellStart"/>
      <w:r w:rsidRPr="009E6A9D">
        <w:rPr>
          <w:rFonts w:ascii="Times New Roman" w:hAnsi="Times New Roman" w:cs="Times New Roman"/>
          <w:sz w:val="24"/>
          <w:szCs w:val="24"/>
        </w:rPr>
        <w:t>glycaemic</w:t>
      </w:r>
      <w:proofErr w:type="spellEnd"/>
      <w:r w:rsidRPr="009E6A9D">
        <w:rPr>
          <w:rFonts w:ascii="Times New Roman" w:hAnsi="Times New Roman" w:cs="Times New Roman"/>
          <w:sz w:val="24"/>
          <w:szCs w:val="24"/>
        </w:rPr>
        <w:t xml:space="preserve"> improvement rather than transient changes (Reeves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1993). The antioxidant-rich composition of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plausibly contributed to these outcomes, as its components including </w:t>
      </w:r>
      <w:proofErr w:type="spellStart"/>
      <w:r w:rsidRPr="009E6A9D">
        <w:rPr>
          <w:rFonts w:ascii="Times New Roman" w:hAnsi="Times New Roman" w:cs="Times New Roman"/>
          <w:sz w:val="24"/>
          <w:szCs w:val="24"/>
        </w:rPr>
        <w:t>betalains</w:t>
      </w:r>
      <w:proofErr w:type="spellEnd"/>
      <w:r w:rsidRPr="009E6A9D">
        <w:rPr>
          <w:rFonts w:ascii="Times New Roman" w:hAnsi="Times New Roman" w:cs="Times New Roman"/>
          <w:sz w:val="24"/>
          <w:szCs w:val="24"/>
        </w:rPr>
        <w:t xml:space="preserve"> (from beetroot), </w:t>
      </w:r>
      <w:proofErr w:type="spellStart"/>
      <w:r w:rsidRPr="009E6A9D">
        <w:rPr>
          <w:rFonts w:ascii="Times New Roman" w:hAnsi="Times New Roman" w:cs="Times New Roman"/>
          <w:sz w:val="24"/>
          <w:szCs w:val="24"/>
        </w:rPr>
        <w:t>polyphenolic</w:t>
      </w:r>
      <w:proofErr w:type="spellEnd"/>
      <w:r w:rsidRPr="009E6A9D">
        <w:rPr>
          <w:rFonts w:ascii="Times New Roman" w:hAnsi="Times New Roman" w:cs="Times New Roman"/>
          <w:sz w:val="24"/>
          <w:szCs w:val="24"/>
        </w:rPr>
        <w:t xml:space="preserve"> tannins (from </w:t>
      </w:r>
      <w:r w:rsidRPr="003E41BA">
        <w:rPr>
          <w:rFonts w:ascii="Times New Roman" w:hAnsi="Times New Roman" w:cs="Times New Roman"/>
          <w:i/>
          <w:sz w:val="24"/>
          <w:szCs w:val="24"/>
        </w:rPr>
        <w:t xml:space="preserve">T. </w:t>
      </w:r>
      <w:proofErr w:type="spellStart"/>
      <w:r w:rsidRPr="003E41BA">
        <w:rPr>
          <w:rFonts w:ascii="Times New Roman" w:hAnsi="Times New Roman" w:cs="Times New Roman"/>
          <w:i/>
          <w:sz w:val="24"/>
          <w:szCs w:val="24"/>
        </w:rPr>
        <w:t>catappa</w:t>
      </w:r>
      <w:proofErr w:type="spellEnd"/>
      <w:r w:rsidRPr="009E6A9D">
        <w:rPr>
          <w:rFonts w:ascii="Times New Roman" w:hAnsi="Times New Roman" w:cs="Times New Roman"/>
          <w:sz w:val="24"/>
          <w:szCs w:val="24"/>
        </w:rPr>
        <w:t xml:space="preserve">), and flavonoids (from </w:t>
      </w:r>
      <w:r w:rsidRPr="003E41BA">
        <w:rPr>
          <w:rFonts w:ascii="Times New Roman" w:hAnsi="Times New Roman" w:cs="Times New Roman"/>
          <w:i/>
          <w:sz w:val="24"/>
          <w:szCs w:val="24"/>
        </w:rPr>
        <w:t xml:space="preserve">H. </w:t>
      </w:r>
      <w:proofErr w:type="spellStart"/>
      <w:r w:rsidRPr="003E41BA">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are known to mitigate oxidative stress (Nagappa </w:t>
      </w:r>
      <w:r w:rsidRPr="009E6A9D">
        <w:rPr>
          <w:rFonts w:ascii="Times New Roman" w:hAnsi="Times New Roman" w:cs="Times New Roman"/>
          <w:i/>
          <w:sz w:val="24"/>
          <w:szCs w:val="24"/>
        </w:rPr>
        <w:t>et al</w:t>
      </w:r>
      <w:r w:rsidRPr="009E6A9D">
        <w:rPr>
          <w:rFonts w:ascii="Times New Roman" w:hAnsi="Times New Roman" w:cs="Times New Roman"/>
          <w:sz w:val="24"/>
          <w:szCs w:val="24"/>
        </w:rPr>
        <w:t>., 2003).</w:t>
      </w:r>
    </w:p>
    <w:p w14:paraId="212F759A" w14:textId="77777777" w:rsidR="00492BE5" w:rsidRPr="009E6A9D" w:rsidRDefault="00492BE5">
      <w:pPr>
        <w:rPr>
          <w:rFonts w:ascii="Times New Roman" w:hAnsi="Times New Roman" w:cs="Times New Roman"/>
          <w:sz w:val="24"/>
          <w:szCs w:val="24"/>
        </w:rPr>
      </w:pPr>
    </w:p>
    <w:p w14:paraId="34BF529D"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Enzyme assays suggest a compelling hepatic mechanism: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significantly increased hexokinase activity while reducing the activities of key gluconeogenic enzymes, glucose-6-phosphatase and fructose-1,6-bisphosphatase (p &lt; 0.05 versus diabetic control). This shift promotes glycolysis and suppresses endogenous glucose production. Such metabolic modulation is aligned with the known actions of phenolic compounds and flavonoids that activate AMPK and suppress gluconeogenic gene expression (Zhou </w:t>
      </w:r>
      <w:r w:rsidRPr="009E6A9D">
        <w:rPr>
          <w:rFonts w:ascii="Times New Roman" w:hAnsi="Times New Roman" w:cs="Times New Roman"/>
          <w:i/>
          <w:sz w:val="24"/>
          <w:szCs w:val="24"/>
        </w:rPr>
        <w:t>et al</w:t>
      </w:r>
      <w:r w:rsidRPr="009E6A9D">
        <w:rPr>
          <w:rFonts w:ascii="Times New Roman" w:hAnsi="Times New Roman" w:cs="Times New Roman"/>
          <w:sz w:val="24"/>
          <w:szCs w:val="24"/>
        </w:rPr>
        <w:t>., 2001; Hardie, 2015).</w:t>
      </w:r>
    </w:p>
    <w:p w14:paraId="2AD11752" w14:textId="77777777" w:rsidR="00492BE5" w:rsidRPr="009E6A9D" w:rsidRDefault="00492BE5">
      <w:pPr>
        <w:rPr>
          <w:rFonts w:ascii="Times New Roman" w:hAnsi="Times New Roman" w:cs="Times New Roman"/>
          <w:sz w:val="24"/>
          <w:szCs w:val="24"/>
        </w:rPr>
      </w:pPr>
    </w:p>
    <w:p w14:paraId="327866CD" w14:textId="77777777" w:rsidR="00492BE5"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The improvements in insulin and </w:t>
      </w:r>
      <w:proofErr w:type="spellStart"/>
      <w:r w:rsidRPr="009E6A9D">
        <w:rPr>
          <w:rFonts w:ascii="Times New Roman" w:hAnsi="Times New Roman" w:cs="Times New Roman"/>
          <w:sz w:val="24"/>
          <w:szCs w:val="24"/>
        </w:rPr>
        <w:t>glycaemic</w:t>
      </w:r>
      <w:proofErr w:type="spellEnd"/>
      <w:r w:rsidRPr="009E6A9D">
        <w:rPr>
          <w:rFonts w:ascii="Times New Roman" w:hAnsi="Times New Roman" w:cs="Times New Roman"/>
          <w:sz w:val="24"/>
          <w:szCs w:val="24"/>
        </w:rPr>
        <w:t xml:space="preserve"> markers are supported by the histopathological findings, which showed a dose-dependent preservation of pancreatic islet architecture in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-treated groups compared to the diabetic controls. Pancreatic and renal protection may result from the antioxidant and anti-inflammatory properties of the extract’s constituents, supporting organ integrity and function. This is consistent with established protective effects of </w:t>
      </w:r>
      <w:r w:rsidRPr="003E41BA">
        <w:rPr>
          <w:rFonts w:ascii="Times New Roman" w:hAnsi="Times New Roman" w:cs="Times New Roman"/>
          <w:i/>
          <w:sz w:val="24"/>
          <w:szCs w:val="24"/>
        </w:rPr>
        <w:t xml:space="preserve">H. </w:t>
      </w:r>
      <w:proofErr w:type="spellStart"/>
      <w:r w:rsidRPr="003E41BA">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seed extracts on oxidative markers and organ histology (p &lt; 0.05) and nephroprotective antioxidant activity from beetroot and other constituents (Georgiev </w:t>
      </w:r>
      <w:r w:rsidRPr="009E6A9D">
        <w:rPr>
          <w:rFonts w:ascii="Times New Roman" w:hAnsi="Times New Roman" w:cs="Times New Roman"/>
          <w:i/>
          <w:sz w:val="24"/>
          <w:szCs w:val="24"/>
        </w:rPr>
        <w:t>et al</w:t>
      </w:r>
      <w:r w:rsidRPr="009E6A9D">
        <w:rPr>
          <w:rFonts w:ascii="Times New Roman" w:hAnsi="Times New Roman" w:cs="Times New Roman"/>
          <w:sz w:val="24"/>
          <w:szCs w:val="24"/>
        </w:rPr>
        <w:t>., 2010).</w:t>
      </w:r>
    </w:p>
    <w:p w14:paraId="71605D63" w14:textId="77777777" w:rsidR="003E41BA" w:rsidRPr="009E6A9D" w:rsidRDefault="003E41BA">
      <w:pPr>
        <w:rPr>
          <w:rFonts w:ascii="Times New Roman" w:hAnsi="Times New Roman" w:cs="Times New Roman"/>
          <w:sz w:val="24"/>
          <w:szCs w:val="24"/>
        </w:rPr>
      </w:pPr>
    </w:p>
    <w:p w14:paraId="500CA149"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lastRenderedPageBreak/>
        <w:t xml:space="preserve">The histopathological examination of pancreatic tissue revealed significant differences between the treatment groups, as summarized in Table 5. The diabetic control group exhibited severe damage to the islets of Langerhans, characterized by reduced islet size, irregular shape, and extensive degranulation of beta-cells. In contrast, the groups treated with Metformin and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showed a dose-dependent preservation of islet architecture. The high-dose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group (400 mg/kg) demonstrated a notable improvement, with well-defined islets, minimal degranulation, and a significant reduction in inflammatory cell infiltration compared to the diabetic control group.</w:t>
      </w:r>
    </w:p>
    <w:p w14:paraId="0F944D0E" w14:textId="77777777" w:rsidR="00492BE5" w:rsidRPr="009E6A9D" w:rsidRDefault="00500E43">
      <w:pPr>
        <w:pStyle w:val="Titre2"/>
        <w:rPr>
          <w:rFonts w:ascii="Times New Roman" w:hAnsi="Times New Roman" w:cs="Times New Roman"/>
          <w:b/>
          <w:sz w:val="24"/>
          <w:szCs w:val="24"/>
        </w:rPr>
      </w:pPr>
      <w:bookmarkStart w:id="28" w:name="_q85eqdzrue" w:colFirst="0" w:colLast="0"/>
      <w:bookmarkEnd w:id="28"/>
      <w:commentRangeStart w:id="29"/>
      <w:r w:rsidRPr="009E6A9D">
        <w:rPr>
          <w:rFonts w:ascii="Times New Roman" w:hAnsi="Times New Roman" w:cs="Times New Roman"/>
          <w:b/>
          <w:sz w:val="24"/>
          <w:szCs w:val="24"/>
        </w:rPr>
        <w:t>Proposed Mechanism of Action</w:t>
      </w:r>
      <w:commentRangeEnd w:id="29"/>
      <w:r w:rsidR="00C662B5">
        <w:rPr>
          <w:rStyle w:val="Marquedecommentaire"/>
        </w:rPr>
        <w:commentReference w:id="29"/>
      </w:r>
    </w:p>
    <w:p w14:paraId="475CDC44" w14:textId="77777777" w:rsidR="00492BE5" w:rsidRPr="009E6A9D" w:rsidRDefault="00500E43">
      <w:pPr>
        <w:rPr>
          <w:rFonts w:ascii="Times New Roman" w:hAnsi="Times New Roman" w:cs="Times New Roman"/>
          <w:sz w:val="24"/>
          <w:szCs w:val="24"/>
        </w:rPr>
      </w:pP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appears to exert its antidiabetic effects through a multi-faceted mechanism. First, it likely enhances insulin secretion via insulinotropic actions on pancreatic β-cells. This could involve GLP-1 mediated pathways and exocytosis of insulin granules, as demonstrated for [6]-gingerol from </w:t>
      </w:r>
      <w:r w:rsidRPr="003E41BA">
        <w:rPr>
          <w:rFonts w:ascii="Times New Roman" w:hAnsi="Times New Roman" w:cs="Times New Roman"/>
          <w:i/>
          <w:sz w:val="24"/>
          <w:szCs w:val="24"/>
        </w:rPr>
        <w:t>Z. officinale</w:t>
      </w:r>
      <w:r w:rsidRPr="009E6A9D">
        <w:rPr>
          <w:rFonts w:ascii="Times New Roman" w:hAnsi="Times New Roman" w:cs="Times New Roman"/>
          <w:sz w:val="24"/>
          <w:szCs w:val="24"/>
        </w:rPr>
        <w:t xml:space="preserve"> (Samad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2017). It enhances peripheral glucose uptake through AMPK activation and increased GLUT4 translocation. Ginger extract has been shown to increase AMPK phosphorylation (p &lt; 0.05), mitochondrial biogenesis, and GLUT4 activity (Li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2014; Deng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2019).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suppresses hepatic gluconeogenesis by reducing the activity of glucose-6-phosphatase and fructose-1,6-bisphosphatase while stimulating hexokinase activities consistent with AMPK-mediated metabolic regulation (Zhou </w:t>
      </w:r>
      <w:r w:rsidRPr="009E6A9D">
        <w:rPr>
          <w:rFonts w:ascii="Times New Roman" w:hAnsi="Times New Roman" w:cs="Times New Roman"/>
          <w:i/>
          <w:sz w:val="24"/>
          <w:szCs w:val="24"/>
        </w:rPr>
        <w:t>et al</w:t>
      </w:r>
      <w:r w:rsidRPr="009E6A9D">
        <w:rPr>
          <w:rFonts w:ascii="Times New Roman" w:hAnsi="Times New Roman" w:cs="Times New Roman"/>
          <w:sz w:val="24"/>
          <w:szCs w:val="24"/>
        </w:rPr>
        <w:t>., 2001; Hardie, 2015).</w:t>
      </w:r>
    </w:p>
    <w:p w14:paraId="507AEFCC" w14:textId="77777777" w:rsidR="00492BE5" w:rsidRPr="009E6A9D" w:rsidRDefault="00492BE5">
      <w:pPr>
        <w:rPr>
          <w:rFonts w:ascii="Times New Roman" w:hAnsi="Times New Roman" w:cs="Times New Roman"/>
          <w:sz w:val="24"/>
          <w:szCs w:val="24"/>
        </w:rPr>
      </w:pPr>
    </w:p>
    <w:p w14:paraId="174E4FCF"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Its antioxidant and anti-inflammatory phytochemicals protect pancreatic and renal </w:t>
      </w:r>
    </w:p>
    <w:p w14:paraId="325884DA"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tissues from STZ-induced damage. For example, </w:t>
      </w:r>
      <w:r w:rsidRPr="003E41BA">
        <w:rPr>
          <w:rFonts w:ascii="Times New Roman" w:hAnsi="Times New Roman" w:cs="Times New Roman"/>
          <w:i/>
          <w:sz w:val="24"/>
          <w:szCs w:val="24"/>
        </w:rPr>
        <w:t xml:space="preserve">H. </w:t>
      </w:r>
      <w:proofErr w:type="spellStart"/>
      <w:r w:rsidRPr="003E41BA">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extract significantly ameliorated oxidative markers in liver and kidney (p &lt; 0.05), while </w:t>
      </w:r>
      <w:r w:rsidRPr="003E41BA">
        <w:rPr>
          <w:rFonts w:ascii="Times New Roman" w:hAnsi="Times New Roman" w:cs="Times New Roman"/>
          <w:i/>
          <w:sz w:val="24"/>
          <w:szCs w:val="24"/>
        </w:rPr>
        <w:t xml:space="preserve">T. </w:t>
      </w:r>
      <w:proofErr w:type="spellStart"/>
      <w:r w:rsidRPr="003E41BA">
        <w:rPr>
          <w:rFonts w:ascii="Times New Roman" w:hAnsi="Times New Roman" w:cs="Times New Roman"/>
          <w:i/>
          <w:sz w:val="24"/>
          <w:szCs w:val="24"/>
        </w:rPr>
        <w:t>catappa</w:t>
      </w:r>
      <w:proofErr w:type="spellEnd"/>
      <w:r w:rsidRPr="009E6A9D">
        <w:rPr>
          <w:rFonts w:ascii="Times New Roman" w:hAnsi="Times New Roman" w:cs="Times New Roman"/>
          <w:sz w:val="24"/>
          <w:szCs w:val="24"/>
        </w:rPr>
        <w:t xml:space="preserve"> extract improves glucose metabolism, insulin sensitivity, and GLUT4 translocation through PI3K/AKT signaling. Crucially, the convergence of these mechanisms of insulin secretion, peripheral insulin sensitivity, hepatic enzyme modulation, and tissue protection is characteristic of effective polyherbal formulations in metabolic disorders (Petchi </w:t>
      </w:r>
      <w:r w:rsidRPr="009E6A9D">
        <w:rPr>
          <w:rFonts w:ascii="Times New Roman" w:hAnsi="Times New Roman" w:cs="Times New Roman"/>
          <w:i/>
          <w:sz w:val="24"/>
          <w:szCs w:val="24"/>
        </w:rPr>
        <w:t>et al</w:t>
      </w:r>
      <w:r w:rsidRPr="009E6A9D">
        <w:rPr>
          <w:rFonts w:ascii="Times New Roman" w:hAnsi="Times New Roman" w:cs="Times New Roman"/>
          <w:sz w:val="24"/>
          <w:szCs w:val="24"/>
        </w:rPr>
        <w:t>., 2014).</w:t>
      </w:r>
    </w:p>
    <w:p w14:paraId="08ED7212" w14:textId="77777777" w:rsidR="00492BE5" w:rsidRPr="009E6A9D" w:rsidRDefault="00492BE5">
      <w:pPr>
        <w:rPr>
          <w:rFonts w:ascii="Times New Roman" w:hAnsi="Times New Roman" w:cs="Times New Roman"/>
          <w:sz w:val="24"/>
          <w:szCs w:val="24"/>
        </w:rPr>
      </w:pPr>
    </w:p>
    <w:p w14:paraId="183DCBF9" w14:textId="77777777" w:rsidR="00492BE5" w:rsidRPr="009E6A9D" w:rsidRDefault="00500E43">
      <w:pPr>
        <w:rPr>
          <w:rFonts w:ascii="Times New Roman" w:hAnsi="Times New Roman" w:cs="Times New Roman"/>
          <w:sz w:val="24"/>
          <w:szCs w:val="24"/>
        </w:rPr>
      </w:pP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mediates statistically significant, dose-dependent antidiabetic effects </w:t>
      </w:r>
      <w:r w:rsidRPr="009E6A9D">
        <w:rPr>
          <w:rFonts w:ascii="Times New Roman" w:hAnsi="Times New Roman" w:cs="Times New Roman"/>
          <w:i/>
          <w:sz w:val="24"/>
          <w:szCs w:val="24"/>
        </w:rPr>
        <w:t>in vivo</w:t>
      </w:r>
      <w:r w:rsidRPr="009E6A9D">
        <w:rPr>
          <w:rFonts w:ascii="Times New Roman" w:hAnsi="Times New Roman" w:cs="Times New Roman"/>
          <w:sz w:val="24"/>
          <w:szCs w:val="24"/>
        </w:rPr>
        <w:t>, which appear to stem from a combination of insulinotropic, insulin-sensitizing, and glucose-utilizing effects, along with the preservation of pancreatic islet structure. These findings provide a compelling basis for further mechanistic exploration, including histological assessments, molecular signaling assays, and eventual clinical translation.</w:t>
      </w:r>
    </w:p>
    <w:p w14:paraId="15C6C21D" w14:textId="77777777" w:rsidR="00492BE5" w:rsidRPr="009E6A9D" w:rsidRDefault="00500E43">
      <w:pPr>
        <w:pStyle w:val="Titre2"/>
        <w:rPr>
          <w:rFonts w:ascii="Times New Roman" w:hAnsi="Times New Roman" w:cs="Times New Roman"/>
          <w:b/>
          <w:sz w:val="24"/>
          <w:szCs w:val="24"/>
        </w:rPr>
      </w:pPr>
      <w:bookmarkStart w:id="30" w:name="_fbbcwstniqvy" w:colFirst="0" w:colLast="0"/>
      <w:bookmarkEnd w:id="30"/>
      <w:r w:rsidRPr="009E6A9D">
        <w:rPr>
          <w:rFonts w:ascii="Times New Roman" w:hAnsi="Times New Roman" w:cs="Times New Roman"/>
          <w:b/>
          <w:sz w:val="24"/>
          <w:szCs w:val="24"/>
        </w:rPr>
        <w:t>Conclusion</w:t>
      </w:r>
    </w:p>
    <w:p w14:paraId="05117DEC"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The findings of this study demonstrated that the aqueous </w:t>
      </w:r>
      <w:proofErr w:type="spellStart"/>
      <w:r w:rsidRPr="009E6A9D">
        <w:rPr>
          <w:rFonts w:ascii="Times New Roman" w:hAnsi="Times New Roman" w:cs="Times New Roman"/>
          <w:sz w:val="24"/>
          <w:szCs w:val="24"/>
        </w:rPr>
        <w:t>polyherbal</w:t>
      </w:r>
      <w:proofErr w:type="spellEnd"/>
      <w:r w:rsidRPr="009E6A9D">
        <w:rPr>
          <w:rFonts w:ascii="Times New Roman" w:hAnsi="Times New Roman" w:cs="Times New Roman"/>
          <w:sz w:val="24"/>
          <w:szCs w:val="24"/>
        </w:rPr>
        <w:t xml:space="preserve"> formulation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comprising </w:t>
      </w:r>
      <w:proofErr w:type="spellStart"/>
      <w:r w:rsidRPr="009E6A9D">
        <w:rPr>
          <w:rFonts w:ascii="Times New Roman" w:hAnsi="Times New Roman" w:cs="Times New Roman"/>
          <w:i/>
          <w:sz w:val="24"/>
          <w:szCs w:val="24"/>
        </w:rPr>
        <w:t>Hunteria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 xml:space="preserve">Terminalia </w:t>
      </w:r>
      <w:proofErr w:type="spellStart"/>
      <w:r w:rsidRPr="009E6A9D">
        <w:rPr>
          <w:rFonts w:ascii="Times New Roman" w:hAnsi="Times New Roman" w:cs="Times New Roman"/>
          <w:i/>
          <w:sz w:val="24"/>
          <w:szCs w:val="24"/>
        </w:rPr>
        <w:t>catappa</w:t>
      </w:r>
      <w:proofErr w:type="spellEnd"/>
      <w:r w:rsidRPr="009E6A9D">
        <w:rPr>
          <w:rFonts w:ascii="Times New Roman" w:hAnsi="Times New Roman" w:cs="Times New Roman"/>
          <w:sz w:val="24"/>
          <w:szCs w:val="24"/>
        </w:rPr>
        <w:t xml:space="preserve">, </w:t>
      </w:r>
      <w:proofErr w:type="spellStart"/>
      <w:r w:rsidRPr="009E6A9D">
        <w:rPr>
          <w:rFonts w:ascii="Times New Roman" w:hAnsi="Times New Roman" w:cs="Times New Roman"/>
          <w:i/>
          <w:sz w:val="24"/>
          <w:szCs w:val="24"/>
        </w:rPr>
        <w:t>Zingiber</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officinale</w:t>
      </w:r>
      <w:proofErr w:type="spellEnd"/>
      <w:r w:rsidRPr="009E6A9D">
        <w:rPr>
          <w:rFonts w:ascii="Times New Roman" w:hAnsi="Times New Roman" w:cs="Times New Roman"/>
          <w:sz w:val="24"/>
          <w:szCs w:val="24"/>
        </w:rPr>
        <w:t xml:space="preserve">, and </w:t>
      </w:r>
      <w:r w:rsidRPr="009E6A9D">
        <w:rPr>
          <w:rFonts w:ascii="Times New Roman" w:hAnsi="Times New Roman" w:cs="Times New Roman"/>
          <w:i/>
          <w:sz w:val="24"/>
          <w:szCs w:val="24"/>
        </w:rPr>
        <w:t>Beta vulgaris</w:t>
      </w:r>
      <w:r w:rsidRPr="009E6A9D">
        <w:rPr>
          <w:rFonts w:ascii="Times New Roman" w:hAnsi="Times New Roman" w:cs="Times New Roman"/>
          <w:sz w:val="24"/>
          <w:szCs w:val="24"/>
        </w:rPr>
        <w:t xml:space="preserve">, produced significant (p &lt; 0.05), dose-dependent </w:t>
      </w:r>
      <w:proofErr w:type="spellStart"/>
      <w:r w:rsidRPr="009E6A9D">
        <w:rPr>
          <w:rFonts w:ascii="Times New Roman" w:hAnsi="Times New Roman" w:cs="Times New Roman"/>
          <w:sz w:val="24"/>
          <w:szCs w:val="24"/>
        </w:rPr>
        <w:t>antihyperglycaemic</w:t>
      </w:r>
      <w:proofErr w:type="spellEnd"/>
      <w:r w:rsidRPr="009E6A9D">
        <w:rPr>
          <w:rFonts w:ascii="Times New Roman" w:hAnsi="Times New Roman" w:cs="Times New Roman"/>
          <w:sz w:val="24"/>
          <w:szCs w:val="24"/>
        </w:rPr>
        <w:t xml:space="preserve"> and insulin-enhancing </w:t>
      </w:r>
      <w:r w:rsidRPr="009E6A9D">
        <w:rPr>
          <w:rFonts w:ascii="Times New Roman" w:hAnsi="Times New Roman" w:cs="Times New Roman"/>
          <w:sz w:val="24"/>
          <w:szCs w:val="24"/>
        </w:rPr>
        <w:lastRenderedPageBreak/>
        <w:t xml:space="preserve">effects in streptozotocin-induced diabetic rats. These effects were accompanied by improvements in biochemical markers, restoration of body weight, modulation of key hepatic enzymes, and normalization of renal function parameters, with efficacy at higher doses comparable to the standard drug Metformin. </w:t>
      </w:r>
    </w:p>
    <w:p w14:paraId="0B1880BC" w14:textId="77777777" w:rsidR="00492BE5" w:rsidRPr="009E6A9D" w:rsidRDefault="00492BE5">
      <w:pPr>
        <w:rPr>
          <w:rFonts w:ascii="Times New Roman" w:hAnsi="Times New Roman" w:cs="Times New Roman"/>
          <w:sz w:val="24"/>
          <w:szCs w:val="24"/>
        </w:rPr>
      </w:pPr>
    </w:p>
    <w:p w14:paraId="460F500A" w14:textId="77777777" w:rsidR="00492BE5"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The formulation's safety at high doses, combined with its multi-target actions including the preservation of pancreatic islet integrity, enhanced peripheral glucose uptake, and suppression of hepatic gluconeogenesis, underscores its potential as a safe and effective therapeutic option for type 2 diabetes management. </w:t>
      </w:r>
      <w:commentRangeStart w:id="31"/>
      <w:r w:rsidRPr="009E6A9D">
        <w:rPr>
          <w:rFonts w:ascii="Times New Roman" w:hAnsi="Times New Roman" w:cs="Times New Roman"/>
          <w:sz w:val="24"/>
          <w:szCs w:val="24"/>
        </w:rPr>
        <w:t xml:space="preserve">Further studies, including molecular pathway analysis, histopathological evaluation, and clinical trials, are warranted to confirm these results and support its development as a standardized </w:t>
      </w:r>
      <w:proofErr w:type="spellStart"/>
      <w:r w:rsidRPr="009E6A9D">
        <w:rPr>
          <w:rFonts w:ascii="Times New Roman" w:hAnsi="Times New Roman" w:cs="Times New Roman"/>
          <w:sz w:val="24"/>
          <w:szCs w:val="24"/>
        </w:rPr>
        <w:t>phytomedicine</w:t>
      </w:r>
      <w:proofErr w:type="spellEnd"/>
      <w:r w:rsidRPr="009E6A9D">
        <w:rPr>
          <w:rFonts w:ascii="Times New Roman" w:hAnsi="Times New Roman" w:cs="Times New Roman"/>
          <w:sz w:val="24"/>
          <w:szCs w:val="24"/>
        </w:rPr>
        <w:t>.</w:t>
      </w:r>
      <w:commentRangeEnd w:id="31"/>
      <w:r w:rsidR="00C662B5">
        <w:rPr>
          <w:rStyle w:val="Marquedecommentaire"/>
        </w:rPr>
        <w:commentReference w:id="31"/>
      </w:r>
    </w:p>
    <w:p w14:paraId="34953D2A" w14:textId="77777777" w:rsidR="00600A22" w:rsidRDefault="00600A22">
      <w:pPr>
        <w:rPr>
          <w:rFonts w:ascii="Times New Roman" w:hAnsi="Times New Roman" w:cs="Times New Roman"/>
          <w:sz w:val="24"/>
          <w:szCs w:val="24"/>
        </w:rPr>
      </w:pPr>
    </w:p>
    <w:p w14:paraId="35E9F878" w14:textId="77777777" w:rsidR="00600A22" w:rsidRPr="003A29C6" w:rsidRDefault="00600A22" w:rsidP="00600A22">
      <w:pPr>
        <w:jc w:val="both"/>
        <w:outlineLvl w:val="0"/>
      </w:pPr>
      <w:r w:rsidRPr="003A29C6">
        <w:rPr>
          <w:b/>
          <w:bCs/>
        </w:rPr>
        <w:t>COMPETING INTERESTS DISCLAIMER:</w:t>
      </w:r>
    </w:p>
    <w:p w14:paraId="6BEDF72C" w14:textId="77777777" w:rsidR="00600A22" w:rsidRDefault="00600A22" w:rsidP="00600A22">
      <w:r w:rsidRPr="00A10EDE">
        <w:t>Authors have declared that they have no known competing financial interests OR non-financial interests OR personal relationships that could have appeared to influence the work reported in this paper.</w:t>
      </w:r>
    </w:p>
    <w:p w14:paraId="0BB83C32" w14:textId="77777777" w:rsidR="00600A22" w:rsidRPr="009E6A9D" w:rsidRDefault="00600A22">
      <w:pPr>
        <w:rPr>
          <w:rFonts w:ascii="Times New Roman" w:hAnsi="Times New Roman" w:cs="Times New Roman"/>
          <w:sz w:val="24"/>
          <w:szCs w:val="24"/>
        </w:rPr>
      </w:pPr>
    </w:p>
    <w:p w14:paraId="547E5BC2" w14:textId="77777777" w:rsidR="00492BE5" w:rsidRPr="009E6A9D" w:rsidRDefault="00500E43">
      <w:pPr>
        <w:pStyle w:val="Titre2"/>
        <w:rPr>
          <w:rFonts w:ascii="Times New Roman" w:hAnsi="Times New Roman" w:cs="Times New Roman"/>
          <w:b/>
          <w:sz w:val="24"/>
          <w:szCs w:val="24"/>
        </w:rPr>
      </w:pPr>
      <w:bookmarkStart w:id="32" w:name="_hu70nr61arna" w:colFirst="0" w:colLast="0"/>
      <w:bookmarkEnd w:id="32"/>
      <w:r w:rsidRPr="009E6A9D">
        <w:rPr>
          <w:rFonts w:ascii="Times New Roman" w:hAnsi="Times New Roman" w:cs="Times New Roman"/>
          <w:b/>
          <w:sz w:val="24"/>
          <w:szCs w:val="24"/>
        </w:rPr>
        <w:t>References</w:t>
      </w:r>
    </w:p>
    <w:p w14:paraId="0E93104D"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Hossain MJ, Al-Mamun M, Islam MR. Diabetes mellitus, the fastest growing global public health concern: Early detection should be focused. </w:t>
      </w:r>
      <w:r w:rsidRPr="009E6A9D">
        <w:rPr>
          <w:rFonts w:ascii="Times New Roman" w:hAnsi="Times New Roman" w:cs="Times New Roman"/>
          <w:i/>
          <w:sz w:val="24"/>
          <w:szCs w:val="24"/>
        </w:rPr>
        <w:t>Health Sci Rep</w:t>
      </w:r>
      <w:r w:rsidRPr="009E6A9D">
        <w:rPr>
          <w:rFonts w:ascii="Times New Roman" w:hAnsi="Times New Roman" w:cs="Times New Roman"/>
          <w:sz w:val="24"/>
          <w:szCs w:val="24"/>
        </w:rPr>
        <w:t>. 2024 Mar 22</w:t>
      </w:r>
      <w:proofErr w:type="gramStart"/>
      <w:r w:rsidRPr="009E6A9D">
        <w:rPr>
          <w:rFonts w:ascii="Times New Roman" w:hAnsi="Times New Roman" w:cs="Times New Roman"/>
          <w:sz w:val="24"/>
          <w:szCs w:val="24"/>
        </w:rPr>
        <w:t>;7</w:t>
      </w:r>
      <w:proofErr w:type="gramEnd"/>
      <w:r w:rsidRPr="009E6A9D">
        <w:rPr>
          <w:rFonts w:ascii="Times New Roman" w:hAnsi="Times New Roman" w:cs="Times New Roman"/>
          <w:sz w:val="24"/>
          <w:szCs w:val="24"/>
        </w:rPr>
        <w:t>(3):e2004.</w:t>
      </w:r>
    </w:p>
    <w:p w14:paraId="3AE4FFE3"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American Diabetes Association. Standards of Medical Care in Diabetes—2020. </w:t>
      </w:r>
      <w:r w:rsidRPr="009E6A9D">
        <w:rPr>
          <w:rFonts w:ascii="Times New Roman" w:hAnsi="Times New Roman" w:cs="Times New Roman"/>
          <w:i/>
          <w:sz w:val="24"/>
          <w:szCs w:val="24"/>
        </w:rPr>
        <w:t>Diabetes Care</w:t>
      </w:r>
      <w:r w:rsidRPr="009E6A9D">
        <w:rPr>
          <w:rFonts w:ascii="Times New Roman" w:hAnsi="Times New Roman" w:cs="Times New Roman"/>
          <w:sz w:val="24"/>
          <w:szCs w:val="24"/>
        </w:rPr>
        <w:t>. 2020</w:t>
      </w:r>
      <w:proofErr w:type="gramStart"/>
      <w:r w:rsidRPr="009E6A9D">
        <w:rPr>
          <w:rFonts w:ascii="Times New Roman" w:hAnsi="Times New Roman" w:cs="Times New Roman"/>
          <w:sz w:val="24"/>
          <w:szCs w:val="24"/>
        </w:rPr>
        <w:t>;43</w:t>
      </w:r>
      <w:proofErr w:type="gramEnd"/>
      <w:r w:rsidRPr="009E6A9D">
        <w:rPr>
          <w:rFonts w:ascii="Times New Roman" w:hAnsi="Times New Roman" w:cs="Times New Roman"/>
          <w:sz w:val="24"/>
          <w:szCs w:val="24"/>
        </w:rPr>
        <w:t>(Suppl 1):S1–S212.</w:t>
      </w:r>
    </w:p>
    <w:p w14:paraId="7E397DDB"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International Diabetes Federation. </w:t>
      </w:r>
      <w:r w:rsidRPr="009E6A9D">
        <w:rPr>
          <w:rFonts w:ascii="Times New Roman" w:hAnsi="Times New Roman" w:cs="Times New Roman"/>
          <w:i/>
          <w:sz w:val="24"/>
          <w:szCs w:val="24"/>
        </w:rPr>
        <w:t>IDF Diabetes Atlas</w:t>
      </w:r>
      <w:r w:rsidRPr="009E6A9D">
        <w:rPr>
          <w:rFonts w:ascii="Times New Roman" w:hAnsi="Times New Roman" w:cs="Times New Roman"/>
          <w:sz w:val="24"/>
          <w:szCs w:val="24"/>
        </w:rPr>
        <w:t>. 10th ed. 2021.</w:t>
      </w:r>
    </w:p>
    <w:p w14:paraId="7E9E24F4"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Nita Gandhi </w:t>
      </w:r>
      <w:proofErr w:type="spellStart"/>
      <w:r w:rsidRPr="009E6A9D">
        <w:rPr>
          <w:rFonts w:ascii="Times New Roman" w:hAnsi="Times New Roman" w:cs="Times New Roman"/>
          <w:sz w:val="24"/>
          <w:szCs w:val="24"/>
        </w:rPr>
        <w:t>Forouhi</w:t>
      </w:r>
      <w:proofErr w:type="spellEnd"/>
      <w:r w:rsidRPr="009E6A9D">
        <w:rPr>
          <w:rFonts w:ascii="Times New Roman" w:hAnsi="Times New Roman" w:cs="Times New Roman"/>
          <w:sz w:val="24"/>
          <w:szCs w:val="24"/>
        </w:rPr>
        <w:t xml:space="preserve">, Nicholas J. Wareham. Epidemiology of diabetes, Medicine, Volume 47, Issue 1, 2019, Pages 22-27,ISSN 1357-3039, </w:t>
      </w:r>
    </w:p>
    <w:p w14:paraId="13FCA226"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Bodmer M, Meier C, </w:t>
      </w:r>
      <w:proofErr w:type="spellStart"/>
      <w:r w:rsidRPr="009E6A9D">
        <w:rPr>
          <w:rFonts w:ascii="Times New Roman" w:hAnsi="Times New Roman" w:cs="Times New Roman"/>
          <w:sz w:val="24"/>
          <w:szCs w:val="24"/>
        </w:rPr>
        <w:t>Krähenbühl</w:t>
      </w:r>
      <w:proofErr w:type="spellEnd"/>
      <w:r w:rsidRPr="009E6A9D">
        <w:rPr>
          <w:rFonts w:ascii="Times New Roman" w:hAnsi="Times New Roman" w:cs="Times New Roman"/>
          <w:sz w:val="24"/>
          <w:szCs w:val="24"/>
        </w:rPr>
        <w:t xml:space="preserve"> S, </w:t>
      </w:r>
      <w:proofErr w:type="spellStart"/>
      <w:r w:rsidRPr="009E6A9D">
        <w:rPr>
          <w:rFonts w:ascii="Times New Roman" w:hAnsi="Times New Roman" w:cs="Times New Roman"/>
          <w:sz w:val="24"/>
          <w:szCs w:val="24"/>
        </w:rPr>
        <w:t>Jick</w:t>
      </w:r>
      <w:proofErr w:type="spellEnd"/>
      <w:r w:rsidRPr="009E6A9D">
        <w:rPr>
          <w:rFonts w:ascii="Times New Roman" w:hAnsi="Times New Roman" w:cs="Times New Roman"/>
          <w:sz w:val="24"/>
          <w:szCs w:val="24"/>
        </w:rPr>
        <w:t xml:space="preserve"> SS, Meier CR. Metformin, sulfonylureas, or other </w:t>
      </w:r>
      <w:proofErr w:type="spellStart"/>
      <w:r w:rsidRPr="009E6A9D">
        <w:rPr>
          <w:rFonts w:ascii="Times New Roman" w:hAnsi="Times New Roman" w:cs="Times New Roman"/>
          <w:sz w:val="24"/>
          <w:szCs w:val="24"/>
        </w:rPr>
        <w:t>antidiabetes</w:t>
      </w:r>
      <w:proofErr w:type="spellEnd"/>
      <w:r w:rsidRPr="009E6A9D">
        <w:rPr>
          <w:rFonts w:ascii="Times New Roman" w:hAnsi="Times New Roman" w:cs="Times New Roman"/>
          <w:sz w:val="24"/>
          <w:szCs w:val="24"/>
        </w:rPr>
        <w:t xml:space="preserve"> drugs and the risk of lactic acidosis or hypoglycemia: a nested case-control analysis. </w:t>
      </w:r>
      <w:r w:rsidRPr="009E6A9D">
        <w:rPr>
          <w:rFonts w:ascii="Times New Roman" w:hAnsi="Times New Roman" w:cs="Times New Roman"/>
          <w:i/>
          <w:sz w:val="24"/>
          <w:szCs w:val="24"/>
        </w:rPr>
        <w:t>Diabetes Care</w:t>
      </w:r>
      <w:r w:rsidRPr="009E6A9D">
        <w:rPr>
          <w:rFonts w:ascii="Times New Roman" w:hAnsi="Times New Roman" w:cs="Times New Roman"/>
          <w:sz w:val="24"/>
          <w:szCs w:val="24"/>
        </w:rPr>
        <w:t xml:space="preserve">. 2008 Nov;31(11):2086-91. </w:t>
      </w:r>
    </w:p>
    <w:p w14:paraId="5DE548DF" w14:textId="77777777" w:rsidR="00492BE5" w:rsidRPr="009E6A9D" w:rsidRDefault="00500E43">
      <w:pPr>
        <w:numPr>
          <w:ilvl w:val="0"/>
          <w:numId w:val="1"/>
        </w:numPr>
        <w:rPr>
          <w:rFonts w:ascii="Times New Roman" w:hAnsi="Times New Roman" w:cs="Times New Roman"/>
          <w:sz w:val="24"/>
          <w:szCs w:val="24"/>
        </w:rPr>
      </w:pPr>
      <w:proofErr w:type="spellStart"/>
      <w:r w:rsidRPr="009E6A9D">
        <w:rPr>
          <w:rFonts w:ascii="Times New Roman" w:hAnsi="Times New Roman" w:cs="Times New Roman"/>
          <w:sz w:val="24"/>
          <w:szCs w:val="24"/>
        </w:rPr>
        <w:t>Susilawati</w:t>
      </w:r>
      <w:proofErr w:type="spellEnd"/>
      <w:r w:rsidRPr="009E6A9D">
        <w:rPr>
          <w:rFonts w:ascii="Times New Roman" w:hAnsi="Times New Roman" w:cs="Times New Roman"/>
          <w:sz w:val="24"/>
          <w:szCs w:val="24"/>
        </w:rPr>
        <w:t xml:space="preserve"> E, </w:t>
      </w:r>
      <w:proofErr w:type="spellStart"/>
      <w:r w:rsidRPr="009E6A9D">
        <w:rPr>
          <w:rFonts w:ascii="Times New Roman" w:hAnsi="Times New Roman" w:cs="Times New Roman"/>
          <w:sz w:val="24"/>
          <w:szCs w:val="24"/>
        </w:rPr>
        <w:t>Levita</w:t>
      </w:r>
      <w:proofErr w:type="spellEnd"/>
      <w:r w:rsidRPr="009E6A9D">
        <w:rPr>
          <w:rFonts w:ascii="Times New Roman" w:hAnsi="Times New Roman" w:cs="Times New Roman"/>
          <w:sz w:val="24"/>
          <w:szCs w:val="24"/>
        </w:rPr>
        <w:t xml:space="preserve"> J, </w:t>
      </w:r>
      <w:proofErr w:type="spellStart"/>
      <w:r w:rsidRPr="009E6A9D">
        <w:rPr>
          <w:rFonts w:ascii="Times New Roman" w:hAnsi="Times New Roman" w:cs="Times New Roman"/>
          <w:sz w:val="24"/>
          <w:szCs w:val="24"/>
        </w:rPr>
        <w:t>Susilawati</w:t>
      </w:r>
      <w:proofErr w:type="spellEnd"/>
      <w:r w:rsidRPr="009E6A9D">
        <w:rPr>
          <w:rFonts w:ascii="Times New Roman" w:hAnsi="Times New Roman" w:cs="Times New Roman"/>
          <w:sz w:val="24"/>
          <w:szCs w:val="24"/>
        </w:rPr>
        <w:t xml:space="preserve"> Y, </w:t>
      </w:r>
      <w:proofErr w:type="spellStart"/>
      <w:r w:rsidRPr="009E6A9D">
        <w:rPr>
          <w:rFonts w:ascii="Times New Roman" w:hAnsi="Times New Roman" w:cs="Times New Roman"/>
          <w:sz w:val="24"/>
          <w:szCs w:val="24"/>
        </w:rPr>
        <w:t>Sumiwi</w:t>
      </w:r>
      <w:proofErr w:type="spellEnd"/>
      <w:r w:rsidRPr="009E6A9D">
        <w:rPr>
          <w:rFonts w:ascii="Times New Roman" w:hAnsi="Times New Roman" w:cs="Times New Roman"/>
          <w:sz w:val="24"/>
          <w:szCs w:val="24"/>
        </w:rPr>
        <w:t xml:space="preserve"> SA. Review of the Case Reports on Metformin, Sulfonylurea, and Thiazolidinedione Therapies in Type 2 Diabetes Mellitus Patients. </w:t>
      </w:r>
      <w:r w:rsidRPr="009E6A9D">
        <w:rPr>
          <w:rFonts w:ascii="Times New Roman" w:hAnsi="Times New Roman" w:cs="Times New Roman"/>
          <w:i/>
          <w:sz w:val="24"/>
          <w:szCs w:val="24"/>
        </w:rPr>
        <w:t>Med Sci</w:t>
      </w:r>
      <w:r w:rsidRPr="009E6A9D">
        <w:rPr>
          <w:rFonts w:ascii="Times New Roman" w:hAnsi="Times New Roman" w:cs="Times New Roman"/>
          <w:sz w:val="24"/>
          <w:szCs w:val="24"/>
        </w:rPr>
        <w:t xml:space="preserve"> (Basel). 2023 Aug 15;11(3):50. </w:t>
      </w:r>
    </w:p>
    <w:p w14:paraId="40296E46" w14:textId="77777777" w:rsidR="00492BE5" w:rsidRPr="009E6A9D" w:rsidRDefault="00500E43">
      <w:pPr>
        <w:numPr>
          <w:ilvl w:val="0"/>
          <w:numId w:val="1"/>
        </w:numPr>
        <w:rPr>
          <w:rFonts w:ascii="Times New Roman" w:hAnsi="Times New Roman" w:cs="Times New Roman"/>
          <w:sz w:val="24"/>
          <w:szCs w:val="24"/>
        </w:rPr>
      </w:pPr>
      <w:proofErr w:type="spellStart"/>
      <w:r w:rsidRPr="009E6A9D">
        <w:rPr>
          <w:rFonts w:ascii="Times New Roman" w:hAnsi="Times New Roman" w:cs="Times New Roman"/>
          <w:sz w:val="24"/>
          <w:szCs w:val="24"/>
        </w:rPr>
        <w:t>Gauttam</w:t>
      </w:r>
      <w:proofErr w:type="spellEnd"/>
      <w:r w:rsidRPr="009E6A9D">
        <w:rPr>
          <w:rFonts w:ascii="Times New Roman" w:hAnsi="Times New Roman" w:cs="Times New Roman"/>
          <w:sz w:val="24"/>
          <w:szCs w:val="24"/>
        </w:rPr>
        <w:t xml:space="preserve"> VK, </w:t>
      </w:r>
      <w:proofErr w:type="spellStart"/>
      <w:r w:rsidRPr="009E6A9D">
        <w:rPr>
          <w:rFonts w:ascii="Times New Roman" w:hAnsi="Times New Roman" w:cs="Times New Roman"/>
          <w:sz w:val="24"/>
          <w:szCs w:val="24"/>
        </w:rPr>
        <w:t>Kalia</w:t>
      </w:r>
      <w:proofErr w:type="spellEnd"/>
      <w:r w:rsidRPr="009E6A9D">
        <w:rPr>
          <w:rFonts w:ascii="Times New Roman" w:hAnsi="Times New Roman" w:cs="Times New Roman"/>
          <w:sz w:val="24"/>
          <w:szCs w:val="24"/>
        </w:rPr>
        <w:t xml:space="preserve"> AN. Development of polyherbal antidiabetic formulation encapsulated in the phospholipids vesicle system. </w:t>
      </w:r>
      <w:r w:rsidRPr="009E6A9D">
        <w:rPr>
          <w:rFonts w:ascii="Times New Roman" w:hAnsi="Times New Roman" w:cs="Times New Roman"/>
          <w:i/>
          <w:sz w:val="24"/>
          <w:szCs w:val="24"/>
        </w:rPr>
        <w:t>J Adv Pharm Technol Res</w:t>
      </w:r>
      <w:r w:rsidRPr="009E6A9D">
        <w:rPr>
          <w:rFonts w:ascii="Times New Roman" w:hAnsi="Times New Roman" w:cs="Times New Roman"/>
          <w:sz w:val="24"/>
          <w:szCs w:val="24"/>
        </w:rPr>
        <w:t xml:space="preserve">. 2013 Apr;4(2):108-17. </w:t>
      </w:r>
    </w:p>
    <w:p w14:paraId="1078566A"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Suvarna R, </w:t>
      </w:r>
      <w:proofErr w:type="spellStart"/>
      <w:r w:rsidRPr="009E6A9D">
        <w:rPr>
          <w:rFonts w:ascii="Times New Roman" w:hAnsi="Times New Roman" w:cs="Times New Roman"/>
          <w:sz w:val="24"/>
          <w:szCs w:val="24"/>
        </w:rPr>
        <w:t>Shenoy</w:t>
      </w:r>
      <w:proofErr w:type="spellEnd"/>
      <w:r w:rsidRPr="009E6A9D">
        <w:rPr>
          <w:rFonts w:ascii="Times New Roman" w:hAnsi="Times New Roman" w:cs="Times New Roman"/>
          <w:sz w:val="24"/>
          <w:szCs w:val="24"/>
        </w:rPr>
        <w:t xml:space="preserve"> RP, </w:t>
      </w:r>
      <w:proofErr w:type="spellStart"/>
      <w:r w:rsidRPr="009E6A9D">
        <w:rPr>
          <w:rFonts w:ascii="Times New Roman" w:hAnsi="Times New Roman" w:cs="Times New Roman"/>
          <w:sz w:val="24"/>
          <w:szCs w:val="24"/>
        </w:rPr>
        <w:t>Hadapad</w:t>
      </w:r>
      <w:proofErr w:type="spellEnd"/>
      <w:r w:rsidRPr="009E6A9D">
        <w:rPr>
          <w:rFonts w:ascii="Times New Roman" w:hAnsi="Times New Roman" w:cs="Times New Roman"/>
          <w:sz w:val="24"/>
          <w:szCs w:val="24"/>
        </w:rPr>
        <w:t xml:space="preserve"> BS, </w:t>
      </w:r>
      <w:proofErr w:type="spellStart"/>
      <w:r w:rsidRPr="009E6A9D">
        <w:rPr>
          <w:rFonts w:ascii="Times New Roman" w:hAnsi="Times New Roman" w:cs="Times New Roman"/>
          <w:sz w:val="24"/>
          <w:szCs w:val="24"/>
        </w:rPr>
        <w:t>Nayak</w:t>
      </w:r>
      <w:proofErr w:type="spellEnd"/>
      <w:r w:rsidRPr="009E6A9D">
        <w:rPr>
          <w:rFonts w:ascii="Times New Roman" w:hAnsi="Times New Roman" w:cs="Times New Roman"/>
          <w:sz w:val="24"/>
          <w:szCs w:val="24"/>
        </w:rPr>
        <w:t xml:space="preserve"> AV. Effectiveness of polyherbal formulations for the treatment of type 2 Diabetes mellitus - A systematic review and meta-analysis. </w:t>
      </w:r>
      <w:r w:rsidRPr="009E6A9D">
        <w:rPr>
          <w:rFonts w:ascii="Times New Roman" w:hAnsi="Times New Roman" w:cs="Times New Roman"/>
          <w:i/>
          <w:sz w:val="24"/>
          <w:szCs w:val="24"/>
        </w:rPr>
        <w:t xml:space="preserve">J Ayurveda </w:t>
      </w:r>
      <w:proofErr w:type="spellStart"/>
      <w:r w:rsidRPr="009E6A9D">
        <w:rPr>
          <w:rFonts w:ascii="Times New Roman" w:hAnsi="Times New Roman" w:cs="Times New Roman"/>
          <w:i/>
          <w:sz w:val="24"/>
          <w:szCs w:val="24"/>
        </w:rPr>
        <w:t>Integr</w:t>
      </w:r>
      <w:proofErr w:type="spellEnd"/>
      <w:r w:rsidRPr="009E6A9D">
        <w:rPr>
          <w:rFonts w:ascii="Times New Roman" w:hAnsi="Times New Roman" w:cs="Times New Roman"/>
          <w:i/>
          <w:sz w:val="24"/>
          <w:szCs w:val="24"/>
        </w:rPr>
        <w:t xml:space="preserve"> Med</w:t>
      </w:r>
      <w:r w:rsidRPr="009E6A9D">
        <w:rPr>
          <w:rFonts w:ascii="Times New Roman" w:hAnsi="Times New Roman" w:cs="Times New Roman"/>
          <w:sz w:val="24"/>
          <w:szCs w:val="24"/>
        </w:rPr>
        <w:t xml:space="preserve">. 2021 Jan-Mar;12(1):213-222. </w:t>
      </w:r>
    </w:p>
    <w:p w14:paraId="7397D1F5" w14:textId="728E3B53"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lastRenderedPageBreak/>
        <w:t xml:space="preserve">Liu Z, Gong J, Huang W, Lu F, Dong H. The Effect of </w:t>
      </w:r>
      <w:proofErr w:type="spellStart"/>
      <w:r w:rsidRPr="009E6A9D">
        <w:rPr>
          <w:rFonts w:ascii="Times New Roman" w:hAnsi="Times New Roman" w:cs="Times New Roman"/>
          <w:sz w:val="24"/>
          <w:szCs w:val="24"/>
        </w:rPr>
        <w:t>Momordica</w:t>
      </w:r>
      <w:proofErr w:type="spellEnd"/>
      <w:r w:rsidRPr="009E6A9D">
        <w:rPr>
          <w:rFonts w:ascii="Times New Roman" w:hAnsi="Times New Roman" w:cs="Times New Roman"/>
          <w:sz w:val="24"/>
          <w:szCs w:val="24"/>
        </w:rPr>
        <w:t xml:space="preserve"> </w:t>
      </w:r>
      <w:proofErr w:type="spellStart"/>
      <w:r w:rsidRPr="009E6A9D">
        <w:rPr>
          <w:rFonts w:ascii="Times New Roman" w:hAnsi="Times New Roman" w:cs="Times New Roman"/>
          <w:sz w:val="24"/>
          <w:szCs w:val="24"/>
        </w:rPr>
        <w:t>charantia</w:t>
      </w:r>
      <w:proofErr w:type="spellEnd"/>
      <w:r w:rsidRPr="009E6A9D">
        <w:rPr>
          <w:rFonts w:ascii="Times New Roman" w:hAnsi="Times New Roman" w:cs="Times New Roman"/>
          <w:sz w:val="24"/>
          <w:szCs w:val="24"/>
        </w:rPr>
        <w:t xml:space="preserve"> in the Treatment of Diabetes Mellitus: A Review. </w:t>
      </w:r>
      <w:r w:rsidRPr="009E6A9D">
        <w:rPr>
          <w:rFonts w:ascii="Times New Roman" w:hAnsi="Times New Roman" w:cs="Times New Roman"/>
          <w:i/>
          <w:sz w:val="24"/>
          <w:szCs w:val="24"/>
        </w:rPr>
        <w:t>Evid Based Complement Alternat Med</w:t>
      </w:r>
      <w:r w:rsidRPr="009E6A9D">
        <w:rPr>
          <w:rFonts w:ascii="Times New Roman" w:hAnsi="Times New Roman" w:cs="Times New Roman"/>
          <w:sz w:val="24"/>
          <w:szCs w:val="24"/>
        </w:rPr>
        <w:t>. 2021 Jan 16;2021:</w:t>
      </w:r>
      <w:r w:rsidR="00D3673E">
        <w:rPr>
          <w:rFonts w:ascii="Times New Roman" w:hAnsi="Times New Roman" w:cs="Times New Roman"/>
          <w:sz w:val="24"/>
          <w:szCs w:val="24"/>
        </w:rPr>
        <w:t xml:space="preserve"> </w:t>
      </w:r>
      <w:r w:rsidRPr="009E6A9D">
        <w:rPr>
          <w:rFonts w:ascii="Times New Roman" w:hAnsi="Times New Roman" w:cs="Times New Roman"/>
          <w:sz w:val="24"/>
          <w:szCs w:val="24"/>
        </w:rPr>
        <w:t xml:space="preserve">3796265. </w:t>
      </w:r>
    </w:p>
    <w:p w14:paraId="225E9FB6"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Xie JT, Wang A, Mehendale S, Wu J, Aung HH, Dey L, et al. </w:t>
      </w:r>
      <w:proofErr w:type="spellStart"/>
      <w:r w:rsidRPr="009E6A9D">
        <w:rPr>
          <w:rFonts w:ascii="Times New Roman" w:hAnsi="Times New Roman" w:cs="Times New Roman"/>
          <w:sz w:val="24"/>
          <w:szCs w:val="24"/>
        </w:rPr>
        <w:t>Antidiabetic</w:t>
      </w:r>
      <w:proofErr w:type="spellEnd"/>
      <w:r w:rsidRPr="009E6A9D">
        <w:rPr>
          <w:rFonts w:ascii="Times New Roman" w:hAnsi="Times New Roman" w:cs="Times New Roman"/>
          <w:sz w:val="24"/>
          <w:szCs w:val="24"/>
        </w:rPr>
        <w:t xml:space="preserve"> effects of </w:t>
      </w:r>
      <w:proofErr w:type="spellStart"/>
      <w:r w:rsidRPr="009E6A9D">
        <w:rPr>
          <w:rFonts w:ascii="Times New Roman" w:hAnsi="Times New Roman" w:cs="Times New Roman"/>
          <w:i/>
          <w:sz w:val="24"/>
          <w:szCs w:val="24"/>
        </w:rPr>
        <w:t>Gymnema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yunnanese</w:t>
      </w:r>
      <w:proofErr w:type="spellEnd"/>
      <w:r w:rsidRPr="009E6A9D">
        <w:rPr>
          <w:rFonts w:ascii="Times New Roman" w:hAnsi="Times New Roman" w:cs="Times New Roman"/>
          <w:sz w:val="24"/>
          <w:szCs w:val="24"/>
        </w:rPr>
        <w:t xml:space="preserve"> extract. </w:t>
      </w:r>
      <w:proofErr w:type="spellStart"/>
      <w:r w:rsidRPr="009E6A9D">
        <w:rPr>
          <w:rFonts w:ascii="Times New Roman" w:hAnsi="Times New Roman" w:cs="Times New Roman"/>
          <w:i/>
          <w:sz w:val="24"/>
          <w:szCs w:val="24"/>
        </w:rPr>
        <w:t>Pharmacol</w:t>
      </w:r>
      <w:proofErr w:type="spellEnd"/>
      <w:r w:rsidRPr="009E6A9D">
        <w:rPr>
          <w:rFonts w:ascii="Times New Roman" w:hAnsi="Times New Roman" w:cs="Times New Roman"/>
          <w:i/>
          <w:sz w:val="24"/>
          <w:szCs w:val="24"/>
        </w:rPr>
        <w:t xml:space="preserve"> Res</w:t>
      </w:r>
      <w:r w:rsidRPr="009E6A9D">
        <w:rPr>
          <w:rFonts w:ascii="Times New Roman" w:hAnsi="Times New Roman" w:cs="Times New Roman"/>
          <w:sz w:val="24"/>
          <w:szCs w:val="24"/>
        </w:rPr>
        <w:t>. 2003</w:t>
      </w:r>
      <w:proofErr w:type="gramStart"/>
      <w:r w:rsidRPr="009E6A9D">
        <w:rPr>
          <w:rFonts w:ascii="Times New Roman" w:hAnsi="Times New Roman" w:cs="Times New Roman"/>
          <w:sz w:val="24"/>
          <w:szCs w:val="24"/>
        </w:rPr>
        <w:t>;47:323</w:t>
      </w:r>
      <w:proofErr w:type="gramEnd"/>
      <w:r w:rsidRPr="009E6A9D">
        <w:rPr>
          <w:rFonts w:ascii="Times New Roman" w:hAnsi="Times New Roman" w:cs="Times New Roman"/>
          <w:sz w:val="24"/>
          <w:szCs w:val="24"/>
        </w:rPr>
        <w:t>–329.</w:t>
      </w:r>
    </w:p>
    <w:p w14:paraId="2321DEC3"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Jaffe M. Estimation of creatinine. </w:t>
      </w:r>
      <w:r w:rsidRPr="009E6A9D">
        <w:rPr>
          <w:rFonts w:ascii="Times New Roman" w:hAnsi="Times New Roman" w:cs="Times New Roman"/>
          <w:i/>
          <w:sz w:val="24"/>
          <w:szCs w:val="24"/>
        </w:rPr>
        <w:t xml:space="preserve">Z </w:t>
      </w:r>
      <w:proofErr w:type="spellStart"/>
      <w:r w:rsidRPr="009E6A9D">
        <w:rPr>
          <w:rFonts w:ascii="Times New Roman" w:hAnsi="Times New Roman" w:cs="Times New Roman"/>
          <w:i/>
          <w:sz w:val="24"/>
          <w:szCs w:val="24"/>
        </w:rPr>
        <w:t>Physiol</w:t>
      </w:r>
      <w:proofErr w:type="spellEnd"/>
      <w:r w:rsidRPr="009E6A9D">
        <w:rPr>
          <w:rFonts w:ascii="Times New Roman" w:hAnsi="Times New Roman" w:cs="Times New Roman"/>
          <w:i/>
          <w:sz w:val="24"/>
          <w:szCs w:val="24"/>
        </w:rPr>
        <w:t xml:space="preserve"> Chem</w:t>
      </w:r>
      <w:r w:rsidRPr="009E6A9D">
        <w:rPr>
          <w:rFonts w:ascii="Times New Roman" w:hAnsi="Times New Roman" w:cs="Times New Roman"/>
          <w:sz w:val="24"/>
          <w:szCs w:val="24"/>
        </w:rPr>
        <w:t>. 1886</w:t>
      </w:r>
      <w:proofErr w:type="gramStart"/>
      <w:r w:rsidRPr="009E6A9D">
        <w:rPr>
          <w:rFonts w:ascii="Times New Roman" w:hAnsi="Times New Roman" w:cs="Times New Roman"/>
          <w:sz w:val="24"/>
          <w:szCs w:val="24"/>
        </w:rPr>
        <w:t>;10:391</w:t>
      </w:r>
      <w:proofErr w:type="gramEnd"/>
      <w:r w:rsidRPr="009E6A9D">
        <w:rPr>
          <w:rFonts w:ascii="Times New Roman" w:hAnsi="Times New Roman" w:cs="Times New Roman"/>
          <w:sz w:val="24"/>
          <w:szCs w:val="24"/>
        </w:rPr>
        <w:t>–400.</w:t>
      </w:r>
    </w:p>
    <w:p w14:paraId="656BA9EB"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Drabkin DL, Austin JM. Spectrophotometric constants for common hemoglobin derivatives in human dog and rabbit blood. </w:t>
      </w:r>
      <w:r w:rsidRPr="009E6A9D">
        <w:rPr>
          <w:rFonts w:ascii="Times New Roman" w:hAnsi="Times New Roman" w:cs="Times New Roman"/>
          <w:i/>
          <w:sz w:val="24"/>
          <w:szCs w:val="24"/>
        </w:rPr>
        <w:t>J Biol Chem</w:t>
      </w:r>
      <w:r w:rsidRPr="009E6A9D">
        <w:rPr>
          <w:rFonts w:ascii="Times New Roman" w:hAnsi="Times New Roman" w:cs="Times New Roman"/>
          <w:sz w:val="24"/>
          <w:szCs w:val="24"/>
        </w:rPr>
        <w:t>. 1932</w:t>
      </w:r>
      <w:proofErr w:type="gramStart"/>
      <w:r w:rsidRPr="009E6A9D">
        <w:rPr>
          <w:rFonts w:ascii="Times New Roman" w:hAnsi="Times New Roman" w:cs="Times New Roman"/>
          <w:sz w:val="24"/>
          <w:szCs w:val="24"/>
        </w:rPr>
        <w:t>;98:719</w:t>
      </w:r>
      <w:proofErr w:type="gramEnd"/>
      <w:r w:rsidRPr="009E6A9D">
        <w:rPr>
          <w:rFonts w:ascii="Times New Roman" w:hAnsi="Times New Roman" w:cs="Times New Roman"/>
          <w:sz w:val="24"/>
          <w:szCs w:val="24"/>
        </w:rPr>
        <w:t>–733.</w:t>
      </w:r>
    </w:p>
    <w:p w14:paraId="6E62765C" w14:textId="2E56A44B" w:rsidR="00492BE5" w:rsidRPr="009E6A9D" w:rsidRDefault="00500E43">
      <w:pPr>
        <w:numPr>
          <w:ilvl w:val="0"/>
          <w:numId w:val="1"/>
        </w:numPr>
        <w:rPr>
          <w:rFonts w:ascii="Times New Roman" w:hAnsi="Times New Roman" w:cs="Times New Roman"/>
          <w:sz w:val="24"/>
          <w:szCs w:val="24"/>
        </w:rPr>
      </w:pPr>
      <w:proofErr w:type="spellStart"/>
      <w:r w:rsidRPr="009E6A9D">
        <w:rPr>
          <w:rFonts w:ascii="Times New Roman" w:hAnsi="Times New Roman" w:cs="Times New Roman"/>
          <w:sz w:val="24"/>
          <w:szCs w:val="24"/>
        </w:rPr>
        <w:t>Nayak</w:t>
      </w:r>
      <w:proofErr w:type="spellEnd"/>
      <w:r w:rsidRPr="009E6A9D">
        <w:rPr>
          <w:rFonts w:ascii="Times New Roman" w:hAnsi="Times New Roman" w:cs="Times New Roman"/>
          <w:sz w:val="24"/>
          <w:szCs w:val="24"/>
        </w:rPr>
        <w:t xml:space="preserve"> SS, </w:t>
      </w:r>
      <w:proofErr w:type="spellStart"/>
      <w:r w:rsidRPr="009E6A9D">
        <w:rPr>
          <w:rFonts w:ascii="Times New Roman" w:hAnsi="Times New Roman" w:cs="Times New Roman"/>
          <w:sz w:val="24"/>
          <w:szCs w:val="24"/>
        </w:rPr>
        <w:t>Pattabiraman</w:t>
      </w:r>
      <w:proofErr w:type="spellEnd"/>
      <w:r w:rsidR="00D3673E">
        <w:rPr>
          <w:rFonts w:ascii="Times New Roman" w:hAnsi="Times New Roman" w:cs="Times New Roman"/>
          <w:sz w:val="24"/>
          <w:szCs w:val="24"/>
        </w:rPr>
        <w:t xml:space="preserve"> </w:t>
      </w:r>
      <w:r w:rsidRPr="009E6A9D">
        <w:rPr>
          <w:rFonts w:ascii="Times New Roman" w:hAnsi="Times New Roman" w:cs="Times New Roman"/>
          <w:sz w:val="24"/>
          <w:szCs w:val="24"/>
        </w:rPr>
        <w:t xml:space="preserve">TN. A new colorimetric method for the estimation of HbA1C. </w:t>
      </w:r>
      <w:r w:rsidRPr="009E6A9D">
        <w:rPr>
          <w:rFonts w:ascii="Times New Roman" w:hAnsi="Times New Roman" w:cs="Times New Roman"/>
          <w:i/>
          <w:sz w:val="24"/>
          <w:szCs w:val="24"/>
        </w:rPr>
        <w:t>Clin Chim Acta</w:t>
      </w:r>
      <w:r w:rsidRPr="009E6A9D">
        <w:rPr>
          <w:rFonts w:ascii="Times New Roman" w:hAnsi="Times New Roman" w:cs="Times New Roman"/>
          <w:sz w:val="24"/>
          <w:szCs w:val="24"/>
        </w:rPr>
        <w:t>. 1981</w:t>
      </w:r>
      <w:proofErr w:type="gramStart"/>
      <w:r w:rsidRPr="009E6A9D">
        <w:rPr>
          <w:rFonts w:ascii="Times New Roman" w:hAnsi="Times New Roman" w:cs="Times New Roman"/>
          <w:sz w:val="24"/>
          <w:szCs w:val="24"/>
        </w:rPr>
        <w:t>;109:267</w:t>
      </w:r>
      <w:proofErr w:type="gramEnd"/>
      <w:r w:rsidRPr="009E6A9D">
        <w:rPr>
          <w:rFonts w:ascii="Times New Roman" w:hAnsi="Times New Roman" w:cs="Times New Roman"/>
          <w:sz w:val="24"/>
          <w:szCs w:val="24"/>
        </w:rPr>
        <w:t xml:space="preserve">–274. </w:t>
      </w:r>
    </w:p>
    <w:p w14:paraId="52638708"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Lowry OH, </w:t>
      </w:r>
      <w:proofErr w:type="spellStart"/>
      <w:r w:rsidRPr="009E6A9D">
        <w:rPr>
          <w:rFonts w:ascii="Times New Roman" w:hAnsi="Times New Roman" w:cs="Times New Roman"/>
          <w:sz w:val="24"/>
          <w:szCs w:val="24"/>
        </w:rPr>
        <w:t>Rosenbrough</w:t>
      </w:r>
      <w:proofErr w:type="spellEnd"/>
      <w:r w:rsidRPr="009E6A9D">
        <w:rPr>
          <w:rFonts w:ascii="Times New Roman" w:hAnsi="Times New Roman" w:cs="Times New Roman"/>
          <w:sz w:val="24"/>
          <w:szCs w:val="24"/>
        </w:rPr>
        <w:t xml:space="preserve"> NJ, Farr AL. Protein measurement with Folin-phenol reagent. </w:t>
      </w:r>
      <w:r w:rsidRPr="009E6A9D">
        <w:rPr>
          <w:rFonts w:ascii="Times New Roman" w:hAnsi="Times New Roman" w:cs="Times New Roman"/>
          <w:i/>
          <w:sz w:val="24"/>
          <w:szCs w:val="24"/>
        </w:rPr>
        <w:t>J Biol Chem</w:t>
      </w:r>
      <w:r w:rsidRPr="009E6A9D">
        <w:rPr>
          <w:rFonts w:ascii="Times New Roman" w:hAnsi="Times New Roman" w:cs="Times New Roman"/>
          <w:sz w:val="24"/>
          <w:szCs w:val="24"/>
        </w:rPr>
        <w:t>. 1951</w:t>
      </w:r>
      <w:proofErr w:type="gramStart"/>
      <w:r w:rsidRPr="009E6A9D">
        <w:rPr>
          <w:rFonts w:ascii="Times New Roman" w:hAnsi="Times New Roman" w:cs="Times New Roman"/>
          <w:sz w:val="24"/>
          <w:szCs w:val="24"/>
        </w:rPr>
        <w:t>;35:1141</w:t>
      </w:r>
      <w:proofErr w:type="gramEnd"/>
      <w:r w:rsidRPr="009E6A9D">
        <w:rPr>
          <w:rFonts w:ascii="Times New Roman" w:hAnsi="Times New Roman" w:cs="Times New Roman"/>
          <w:sz w:val="24"/>
          <w:szCs w:val="24"/>
        </w:rPr>
        <w:t>–1145.</w:t>
      </w:r>
    </w:p>
    <w:p w14:paraId="4F400F0E"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Natelson S, Scott ML, Begga E. A rapid method for the estimation of urea in biological fluids by means of the reaction between diacetyl and urea. </w:t>
      </w:r>
      <w:r w:rsidRPr="009E6A9D">
        <w:rPr>
          <w:rFonts w:ascii="Times New Roman" w:hAnsi="Times New Roman" w:cs="Times New Roman"/>
          <w:i/>
          <w:sz w:val="24"/>
          <w:szCs w:val="24"/>
        </w:rPr>
        <w:t xml:space="preserve">Am J </w:t>
      </w:r>
      <w:proofErr w:type="spellStart"/>
      <w:r w:rsidRPr="009E6A9D">
        <w:rPr>
          <w:rFonts w:ascii="Times New Roman" w:hAnsi="Times New Roman" w:cs="Times New Roman"/>
          <w:i/>
          <w:sz w:val="24"/>
          <w:szCs w:val="24"/>
        </w:rPr>
        <w:t>Clin</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Pathol</w:t>
      </w:r>
      <w:proofErr w:type="spellEnd"/>
      <w:r w:rsidRPr="009E6A9D">
        <w:rPr>
          <w:rFonts w:ascii="Times New Roman" w:hAnsi="Times New Roman" w:cs="Times New Roman"/>
          <w:sz w:val="24"/>
          <w:szCs w:val="24"/>
        </w:rPr>
        <w:t>. 1951</w:t>
      </w:r>
      <w:proofErr w:type="gramStart"/>
      <w:r w:rsidRPr="009E6A9D">
        <w:rPr>
          <w:rFonts w:ascii="Times New Roman" w:hAnsi="Times New Roman" w:cs="Times New Roman"/>
          <w:sz w:val="24"/>
          <w:szCs w:val="24"/>
        </w:rPr>
        <w:t>;21:275</w:t>
      </w:r>
      <w:proofErr w:type="gramEnd"/>
      <w:r w:rsidRPr="009E6A9D">
        <w:rPr>
          <w:rFonts w:ascii="Times New Roman" w:hAnsi="Times New Roman" w:cs="Times New Roman"/>
          <w:sz w:val="24"/>
          <w:szCs w:val="24"/>
        </w:rPr>
        <w:t>–281.</w:t>
      </w:r>
    </w:p>
    <w:p w14:paraId="678E5B0F"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Selvan VT, Manikandan L, Kumar SGP, Suresh R, Kakoti BB, Gomathi P, et al. Antidiabetic and antioxidant effects of methanol extract of </w:t>
      </w:r>
      <w:proofErr w:type="spellStart"/>
      <w:r w:rsidRPr="00D3673E">
        <w:rPr>
          <w:rFonts w:ascii="Times New Roman" w:hAnsi="Times New Roman" w:cs="Times New Roman"/>
          <w:i/>
          <w:sz w:val="24"/>
          <w:szCs w:val="24"/>
        </w:rPr>
        <w:t>Artanema</w:t>
      </w:r>
      <w:proofErr w:type="spellEnd"/>
      <w:r w:rsidRPr="00D3673E">
        <w:rPr>
          <w:rFonts w:ascii="Times New Roman" w:hAnsi="Times New Roman" w:cs="Times New Roman"/>
          <w:i/>
          <w:sz w:val="24"/>
          <w:szCs w:val="24"/>
        </w:rPr>
        <w:t xml:space="preserve"> </w:t>
      </w:r>
      <w:proofErr w:type="spellStart"/>
      <w:r w:rsidRPr="00D3673E">
        <w:rPr>
          <w:rFonts w:ascii="Times New Roman" w:hAnsi="Times New Roman" w:cs="Times New Roman"/>
          <w:i/>
          <w:sz w:val="24"/>
          <w:szCs w:val="24"/>
        </w:rPr>
        <w:t>sesamoides</w:t>
      </w:r>
      <w:proofErr w:type="spellEnd"/>
      <w:r w:rsidRPr="009E6A9D">
        <w:rPr>
          <w:rFonts w:ascii="Times New Roman" w:hAnsi="Times New Roman" w:cs="Times New Roman"/>
          <w:sz w:val="24"/>
          <w:szCs w:val="24"/>
        </w:rPr>
        <w:t xml:space="preserve"> in </w:t>
      </w:r>
      <w:proofErr w:type="spellStart"/>
      <w:r w:rsidRPr="009E6A9D">
        <w:rPr>
          <w:rFonts w:ascii="Times New Roman" w:hAnsi="Times New Roman" w:cs="Times New Roman"/>
          <w:sz w:val="24"/>
          <w:szCs w:val="24"/>
        </w:rPr>
        <w:t>streptozotocin</w:t>
      </w:r>
      <w:proofErr w:type="spellEnd"/>
      <w:r w:rsidRPr="009E6A9D">
        <w:rPr>
          <w:rFonts w:ascii="Times New Roman" w:hAnsi="Times New Roman" w:cs="Times New Roman"/>
          <w:sz w:val="24"/>
          <w:szCs w:val="24"/>
        </w:rPr>
        <w:t xml:space="preserve"> induced diabetic animals. </w:t>
      </w:r>
      <w:r w:rsidRPr="009E6A9D">
        <w:rPr>
          <w:rFonts w:ascii="Times New Roman" w:hAnsi="Times New Roman" w:cs="Times New Roman"/>
          <w:i/>
          <w:sz w:val="24"/>
          <w:szCs w:val="24"/>
        </w:rPr>
        <w:t>Int J Appl Res Nat Prod</w:t>
      </w:r>
      <w:r w:rsidRPr="009E6A9D">
        <w:rPr>
          <w:rFonts w:ascii="Times New Roman" w:hAnsi="Times New Roman" w:cs="Times New Roman"/>
          <w:sz w:val="24"/>
          <w:szCs w:val="24"/>
        </w:rPr>
        <w:t>. 2008</w:t>
      </w:r>
      <w:proofErr w:type="gramStart"/>
      <w:r w:rsidRPr="009E6A9D">
        <w:rPr>
          <w:rFonts w:ascii="Times New Roman" w:hAnsi="Times New Roman" w:cs="Times New Roman"/>
          <w:sz w:val="24"/>
          <w:szCs w:val="24"/>
        </w:rPr>
        <w:t>;1:25</w:t>
      </w:r>
      <w:proofErr w:type="gramEnd"/>
      <w:r w:rsidRPr="009E6A9D">
        <w:rPr>
          <w:rFonts w:ascii="Times New Roman" w:hAnsi="Times New Roman" w:cs="Times New Roman"/>
          <w:sz w:val="24"/>
          <w:szCs w:val="24"/>
        </w:rPr>
        <w:t>–33.</w:t>
      </w:r>
    </w:p>
    <w:p w14:paraId="5B483985" w14:textId="77777777" w:rsidR="00492BE5" w:rsidRPr="009E6A9D" w:rsidRDefault="00492BE5">
      <w:pPr>
        <w:rPr>
          <w:rFonts w:ascii="Times New Roman" w:hAnsi="Times New Roman" w:cs="Times New Roman"/>
          <w:sz w:val="24"/>
          <w:szCs w:val="24"/>
        </w:rPr>
      </w:pPr>
    </w:p>
    <w:p w14:paraId="7CD392CE" w14:textId="77777777" w:rsidR="00492BE5" w:rsidRPr="009E6A9D" w:rsidRDefault="00500E43">
      <w:pPr>
        <w:numPr>
          <w:ilvl w:val="0"/>
          <w:numId w:val="1"/>
        </w:numPr>
        <w:rPr>
          <w:rFonts w:ascii="Times New Roman" w:hAnsi="Times New Roman" w:cs="Times New Roman"/>
          <w:sz w:val="24"/>
          <w:szCs w:val="24"/>
        </w:rPr>
      </w:pPr>
      <w:proofErr w:type="spellStart"/>
      <w:r w:rsidRPr="009E6A9D">
        <w:rPr>
          <w:rFonts w:ascii="Times New Roman" w:hAnsi="Times New Roman" w:cs="Times New Roman"/>
          <w:sz w:val="24"/>
          <w:szCs w:val="24"/>
        </w:rPr>
        <w:t>Adeneye</w:t>
      </w:r>
      <w:proofErr w:type="spellEnd"/>
      <w:r w:rsidRPr="009E6A9D">
        <w:rPr>
          <w:rFonts w:ascii="Times New Roman" w:hAnsi="Times New Roman" w:cs="Times New Roman"/>
          <w:sz w:val="24"/>
          <w:szCs w:val="24"/>
        </w:rPr>
        <w:t xml:space="preserve"> AA, </w:t>
      </w:r>
      <w:proofErr w:type="spellStart"/>
      <w:r w:rsidRPr="009E6A9D">
        <w:rPr>
          <w:rFonts w:ascii="Times New Roman" w:hAnsi="Times New Roman" w:cs="Times New Roman"/>
          <w:sz w:val="24"/>
          <w:szCs w:val="24"/>
        </w:rPr>
        <w:t>Adeyemi</w:t>
      </w:r>
      <w:proofErr w:type="spellEnd"/>
      <w:r w:rsidRPr="009E6A9D">
        <w:rPr>
          <w:rFonts w:ascii="Times New Roman" w:hAnsi="Times New Roman" w:cs="Times New Roman"/>
          <w:sz w:val="24"/>
          <w:szCs w:val="24"/>
        </w:rPr>
        <w:t xml:space="preserve"> OO, </w:t>
      </w:r>
      <w:proofErr w:type="spellStart"/>
      <w:r w:rsidRPr="009E6A9D">
        <w:rPr>
          <w:rFonts w:ascii="Times New Roman" w:hAnsi="Times New Roman" w:cs="Times New Roman"/>
          <w:sz w:val="24"/>
          <w:szCs w:val="24"/>
        </w:rPr>
        <w:t>Agbaje</w:t>
      </w:r>
      <w:proofErr w:type="spellEnd"/>
      <w:r w:rsidRPr="009E6A9D">
        <w:rPr>
          <w:rFonts w:ascii="Times New Roman" w:hAnsi="Times New Roman" w:cs="Times New Roman"/>
          <w:sz w:val="24"/>
          <w:szCs w:val="24"/>
        </w:rPr>
        <w:t xml:space="preserve"> EO, </w:t>
      </w:r>
      <w:proofErr w:type="spellStart"/>
      <w:r w:rsidRPr="009E6A9D">
        <w:rPr>
          <w:rFonts w:ascii="Times New Roman" w:hAnsi="Times New Roman" w:cs="Times New Roman"/>
          <w:sz w:val="24"/>
          <w:szCs w:val="24"/>
        </w:rPr>
        <w:t>Sofidiya</w:t>
      </w:r>
      <w:proofErr w:type="spellEnd"/>
      <w:r w:rsidRPr="009E6A9D">
        <w:rPr>
          <w:rFonts w:ascii="Times New Roman" w:hAnsi="Times New Roman" w:cs="Times New Roman"/>
          <w:sz w:val="24"/>
          <w:szCs w:val="24"/>
        </w:rPr>
        <w:t xml:space="preserve"> MO. The novel </w:t>
      </w:r>
      <w:proofErr w:type="spellStart"/>
      <w:r w:rsidRPr="009E6A9D">
        <w:rPr>
          <w:rFonts w:ascii="Times New Roman" w:hAnsi="Times New Roman" w:cs="Times New Roman"/>
          <w:sz w:val="24"/>
          <w:szCs w:val="24"/>
        </w:rPr>
        <w:t>antihyperglycaemic</w:t>
      </w:r>
      <w:proofErr w:type="spellEnd"/>
      <w:r w:rsidRPr="009E6A9D">
        <w:rPr>
          <w:rFonts w:ascii="Times New Roman" w:hAnsi="Times New Roman" w:cs="Times New Roman"/>
          <w:sz w:val="24"/>
          <w:szCs w:val="24"/>
        </w:rPr>
        <w:t xml:space="preserve"> action of </w:t>
      </w:r>
      <w:proofErr w:type="spellStart"/>
      <w:r w:rsidRPr="009E6A9D">
        <w:rPr>
          <w:rFonts w:ascii="Times New Roman" w:hAnsi="Times New Roman" w:cs="Times New Roman"/>
          <w:sz w:val="24"/>
          <w:szCs w:val="24"/>
        </w:rPr>
        <w:t>Hunteria</w:t>
      </w:r>
      <w:proofErr w:type="spellEnd"/>
      <w:r w:rsidRPr="009E6A9D">
        <w:rPr>
          <w:rFonts w:ascii="Times New Roman" w:hAnsi="Times New Roman" w:cs="Times New Roman"/>
          <w:sz w:val="24"/>
          <w:szCs w:val="24"/>
        </w:rPr>
        <w:t xml:space="preserve"> </w:t>
      </w:r>
      <w:proofErr w:type="spellStart"/>
      <w:r w:rsidRPr="009E6A9D">
        <w:rPr>
          <w:rFonts w:ascii="Times New Roman" w:hAnsi="Times New Roman" w:cs="Times New Roman"/>
          <w:sz w:val="24"/>
          <w:szCs w:val="24"/>
        </w:rPr>
        <w:t>umbellata</w:t>
      </w:r>
      <w:proofErr w:type="spellEnd"/>
      <w:r w:rsidRPr="009E6A9D">
        <w:rPr>
          <w:rFonts w:ascii="Times New Roman" w:hAnsi="Times New Roman" w:cs="Times New Roman"/>
          <w:sz w:val="24"/>
          <w:szCs w:val="24"/>
        </w:rPr>
        <w:t xml:space="preserve"> seed fractions mediated via intestinal glucose uptake inhibition. </w:t>
      </w:r>
      <w:proofErr w:type="spellStart"/>
      <w:r w:rsidRPr="009E6A9D">
        <w:rPr>
          <w:rFonts w:ascii="Times New Roman" w:hAnsi="Times New Roman" w:cs="Times New Roman"/>
          <w:i/>
          <w:sz w:val="24"/>
          <w:szCs w:val="24"/>
        </w:rPr>
        <w:t>Afr</w:t>
      </w:r>
      <w:proofErr w:type="spellEnd"/>
      <w:r w:rsidRPr="009E6A9D">
        <w:rPr>
          <w:rFonts w:ascii="Times New Roman" w:hAnsi="Times New Roman" w:cs="Times New Roman"/>
          <w:i/>
          <w:sz w:val="24"/>
          <w:szCs w:val="24"/>
        </w:rPr>
        <w:t xml:space="preserve"> J </w:t>
      </w:r>
      <w:proofErr w:type="spellStart"/>
      <w:r w:rsidRPr="009E6A9D">
        <w:rPr>
          <w:rFonts w:ascii="Times New Roman" w:hAnsi="Times New Roman" w:cs="Times New Roman"/>
          <w:i/>
          <w:sz w:val="24"/>
          <w:szCs w:val="24"/>
        </w:rPr>
        <w:t>Tradit</w:t>
      </w:r>
      <w:proofErr w:type="spellEnd"/>
      <w:r w:rsidRPr="009E6A9D">
        <w:rPr>
          <w:rFonts w:ascii="Times New Roman" w:hAnsi="Times New Roman" w:cs="Times New Roman"/>
          <w:i/>
          <w:sz w:val="24"/>
          <w:szCs w:val="24"/>
        </w:rPr>
        <w:t xml:space="preserve"> Complement Altern Med</w:t>
      </w:r>
      <w:r w:rsidRPr="009E6A9D">
        <w:rPr>
          <w:rFonts w:ascii="Times New Roman" w:hAnsi="Times New Roman" w:cs="Times New Roman"/>
          <w:sz w:val="24"/>
          <w:szCs w:val="24"/>
        </w:rPr>
        <w:t xml:space="preserve">. 2011 Oct 2;9(1):17-24. </w:t>
      </w:r>
    </w:p>
    <w:p w14:paraId="5BB3F3D4" w14:textId="77777777" w:rsidR="00492BE5" w:rsidRPr="009E6A9D" w:rsidRDefault="00500E43">
      <w:pPr>
        <w:numPr>
          <w:ilvl w:val="0"/>
          <w:numId w:val="1"/>
        </w:numPr>
        <w:rPr>
          <w:rFonts w:ascii="Times New Roman" w:hAnsi="Times New Roman" w:cs="Times New Roman"/>
          <w:sz w:val="24"/>
          <w:szCs w:val="24"/>
        </w:rPr>
      </w:pPr>
      <w:proofErr w:type="spellStart"/>
      <w:r w:rsidRPr="009E6A9D">
        <w:rPr>
          <w:rFonts w:ascii="Times New Roman" w:hAnsi="Times New Roman" w:cs="Times New Roman"/>
          <w:sz w:val="24"/>
          <w:szCs w:val="24"/>
        </w:rPr>
        <w:t>Iheagwam</w:t>
      </w:r>
      <w:proofErr w:type="spellEnd"/>
      <w:r w:rsidRPr="009E6A9D">
        <w:rPr>
          <w:rFonts w:ascii="Times New Roman" w:hAnsi="Times New Roman" w:cs="Times New Roman"/>
          <w:sz w:val="24"/>
          <w:szCs w:val="24"/>
        </w:rPr>
        <w:t xml:space="preserve"> FN, </w:t>
      </w:r>
      <w:proofErr w:type="spellStart"/>
      <w:r w:rsidRPr="009E6A9D">
        <w:rPr>
          <w:rFonts w:ascii="Times New Roman" w:hAnsi="Times New Roman" w:cs="Times New Roman"/>
          <w:sz w:val="24"/>
          <w:szCs w:val="24"/>
        </w:rPr>
        <w:t>Iheagwam</w:t>
      </w:r>
      <w:proofErr w:type="spellEnd"/>
      <w:r w:rsidRPr="009E6A9D">
        <w:rPr>
          <w:rFonts w:ascii="Times New Roman" w:hAnsi="Times New Roman" w:cs="Times New Roman"/>
          <w:sz w:val="24"/>
          <w:szCs w:val="24"/>
        </w:rPr>
        <w:t xml:space="preserve"> OT, Onuoha MK, Ogunlana OO, Chinedu SN. Terminalia </w:t>
      </w:r>
      <w:proofErr w:type="spellStart"/>
      <w:r w:rsidRPr="009E6A9D">
        <w:rPr>
          <w:rFonts w:ascii="Times New Roman" w:hAnsi="Times New Roman" w:cs="Times New Roman"/>
          <w:sz w:val="24"/>
          <w:szCs w:val="24"/>
        </w:rPr>
        <w:t>catappa</w:t>
      </w:r>
      <w:proofErr w:type="spellEnd"/>
      <w:r w:rsidRPr="009E6A9D">
        <w:rPr>
          <w:rFonts w:ascii="Times New Roman" w:hAnsi="Times New Roman" w:cs="Times New Roman"/>
          <w:sz w:val="24"/>
          <w:szCs w:val="24"/>
        </w:rPr>
        <w:t xml:space="preserve"> aqueous leaf extract reverses insulin resistance, improves glucose transport and activates PI3K/AKT </w:t>
      </w:r>
      <w:proofErr w:type="spellStart"/>
      <w:r w:rsidRPr="009E6A9D">
        <w:rPr>
          <w:rFonts w:ascii="Times New Roman" w:hAnsi="Times New Roman" w:cs="Times New Roman"/>
          <w:sz w:val="24"/>
          <w:szCs w:val="24"/>
        </w:rPr>
        <w:t>signalling</w:t>
      </w:r>
      <w:proofErr w:type="spellEnd"/>
      <w:r w:rsidRPr="009E6A9D">
        <w:rPr>
          <w:rFonts w:ascii="Times New Roman" w:hAnsi="Times New Roman" w:cs="Times New Roman"/>
          <w:sz w:val="24"/>
          <w:szCs w:val="24"/>
        </w:rPr>
        <w:t xml:space="preserve"> in high fat/</w:t>
      </w:r>
      <w:proofErr w:type="spellStart"/>
      <w:r w:rsidRPr="009E6A9D">
        <w:rPr>
          <w:rFonts w:ascii="Times New Roman" w:hAnsi="Times New Roman" w:cs="Times New Roman"/>
          <w:sz w:val="24"/>
          <w:szCs w:val="24"/>
        </w:rPr>
        <w:t>streptozotocin</w:t>
      </w:r>
      <w:proofErr w:type="spellEnd"/>
      <w:r w:rsidRPr="009E6A9D">
        <w:rPr>
          <w:rFonts w:ascii="Times New Roman" w:hAnsi="Times New Roman" w:cs="Times New Roman"/>
          <w:sz w:val="24"/>
          <w:szCs w:val="24"/>
        </w:rPr>
        <w:t xml:space="preserve">-induced diabetic rats. </w:t>
      </w:r>
      <w:r w:rsidRPr="009E6A9D">
        <w:rPr>
          <w:rFonts w:ascii="Times New Roman" w:hAnsi="Times New Roman" w:cs="Times New Roman"/>
          <w:i/>
          <w:sz w:val="24"/>
          <w:szCs w:val="24"/>
        </w:rPr>
        <w:t>Sci Rep</w:t>
      </w:r>
      <w:r w:rsidRPr="009E6A9D">
        <w:rPr>
          <w:rFonts w:ascii="Times New Roman" w:hAnsi="Times New Roman" w:cs="Times New Roman"/>
          <w:sz w:val="24"/>
          <w:szCs w:val="24"/>
        </w:rPr>
        <w:t>. 2022 Jun 23;12(1):10711.</w:t>
      </w:r>
    </w:p>
    <w:p w14:paraId="219DE3C2" w14:textId="77777777" w:rsidR="00492BE5" w:rsidRPr="009E6A9D" w:rsidRDefault="00500E43">
      <w:pPr>
        <w:numPr>
          <w:ilvl w:val="0"/>
          <w:numId w:val="1"/>
        </w:numPr>
        <w:rPr>
          <w:rFonts w:ascii="Times New Roman" w:hAnsi="Times New Roman" w:cs="Times New Roman"/>
          <w:sz w:val="24"/>
          <w:szCs w:val="24"/>
        </w:rPr>
      </w:pPr>
      <w:proofErr w:type="spellStart"/>
      <w:r w:rsidRPr="009E6A9D">
        <w:rPr>
          <w:rFonts w:ascii="Times New Roman" w:hAnsi="Times New Roman" w:cs="Times New Roman"/>
          <w:sz w:val="24"/>
          <w:szCs w:val="24"/>
        </w:rPr>
        <w:t>Nagappa</w:t>
      </w:r>
      <w:proofErr w:type="spellEnd"/>
      <w:r w:rsidRPr="009E6A9D">
        <w:rPr>
          <w:rFonts w:ascii="Times New Roman" w:hAnsi="Times New Roman" w:cs="Times New Roman"/>
          <w:sz w:val="24"/>
          <w:szCs w:val="24"/>
        </w:rPr>
        <w:t xml:space="preserve"> AN, </w:t>
      </w:r>
      <w:proofErr w:type="spellStart"/>
      <w:r w:rsidRPr="009E6A9D">
        <w:rPr>
          <w:rFonts w:ascii="Times New Roman" w:hAnsi="Times New Roman" w:cs="Times New Roman"/>
          <w:sz w:val="24"/>
          <w:szCs w:val="24"/>
        </w:rPr>
        <w:t>Thakurdesai</w:t>
      </w:r>
      <w:proofErr w:type="spellEnd"/>
      <w:r w:rsidRPr="009E6A9D">
        <w:rPr>
          <w:rFonts w:ascii="Times New Roman" w:hAnsi="Times New Roman" w:cs="Times New Roman"/>
          <w:sz w:val="24"/>
          <w:szCs w:val="24"/>
        </w:rPr>
        <w:t xml:space="preserve"> PA, Venkat Rao N, Singh J. Antidiabetic activity of Terminalia </w:t>
      </w:r>
      <w:proofErr w:type="spellStart"/>
      <w:r w:rsidRPr="009E6A9D">
        <w:rPr>
          <w:rFonts w:ascii="Times New Roman" w:hAnsi="Times New Roman" w:cs="Times New Roman"/>
          <w:sz w:val="24"/>
          <w:szCs w:val="24"/>
        </w:rPr>
        <w:t>catappa</w:t>
      </w:r>
      <w:proofErr w:type="spellEnd"/>
      <w:r w:rsidRPr="009E6A9D">
        <w:rPr>
          <w:rFonts w:ascii="Times New Roman" w:hAnsi="Times New Roman" w:cs="Times New Roman"/>
          <w:sz w:val="24"/>
          <w:szCs w:val="24"/>
        </w:rPr>
        <w:t xml:space="preserve"> Linn fruits. </w:t>
      </w:r>
      <w:r w:rsidRPr="009E6A9D">
        <w:rPr>
          <w:rFonts w:ascii="Times New Roman" w:hAnsi="Times New Roman" w:cs="Times New Roman"/>
          <w:i/>
          <w:sz w:val="24"/>
          <w:szCs w:val="24"/>
        </w:rPr>
        <w:t xml:space="preserve">J </w:t>
      </w:r>
      <w:proofErr w:type="spellStart"/>
      <w:r w:rsidRPr="009E6A9D">
        <w:rPr>
          <w:rFonts w:ascii="Times New Roman" w:hAnsi="Times New Roman" w:cs="Times New Roman"/>
          <w:i/>
          <w:sz w:val="24"/>
          <w:szCs w:val="24"/>
        </w:rPr>
        <w:t>Ethnopharmacol</w:t>
      </w:r>
      <w:proofErr w:type="spellEnd"/>
      <w:r w:rsidRPr="009E6A9D">
        <w:rPr>
          <w:rFonts w:ascii="Times New Roman" w:hAnsi="Times New Roman" w:cs="Times New Roman"/>
          <w:sz w:val="24"/>
          <w:szCs w:val="24"/>
        </w:rPr>
        <w:t>. 2003 Sep;88(1):45-50.</w:t>
      </w:r>
    </w:p>
    <w:p w14:paraId="413757DA"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Al-Amin, Z. M., Thomson, M., Al-Qattan, K. K., Peltonen-Shalaby, R., &amp; Ali, M. (2006). Anti-diabetic and </w:t>
      </w:r>
      <w:proofErr w:type="spellStart"/>
      <w:r w:rsidRPr="009E6A9D">
        <w:rPr>
          <w:rFonts w:ascii="Times New Roman" w:hAnsi="Times New Roman" w:cs="Times New Roman"/>
          <w:sz w:val="24"/>
          <w:szCs w:val="24"/>
        </w:rPr>
        <w:t>hypolipidaemic</w:t>
      </w:r>
      <w:proofErr w:type="spellEnd"/>
      <w:r w:rsidRPr="009E6A9D">
        <w:rPr>
          <w:rFonts w:ascii="Times New Roman" w:hAnsi="Times New Roman" w:cs="Times New Roman"/>
          <w:sz w:val="24"/>
          <w:szCs w:val="24"/>
        </w:rPr>
        <w:t xml:space="preserve"> properties of ginger (Zingiber officinale) in streptozotocin-induced diabetic rats. </w:t>
      </w:r>
      <w:r w:rsidRPr="009E6A9D">
        <w:rPr>
          <w:rFonts w:ascii="Times New Roman" w:hAnsi="Times New Roman" w:cs="Times New Roman"/>
          <w:i/>
          <w:sz w:val="24"/>
          <w:szCs w:val="24"/>
        </w:rPr>
        <w:t>British Journal of Nutrition</w:t>
      </w:r>
      <w:r w:rsidRPr="009E6A9D">
        <w:rPr>
          <w:rFonts w:ascii="Times New Roman" w:hAnsi="Times New Roman" w:cs="Times New Roman"/>
          <w:sz w:val="24"/>
          <w:szCs w:val="24"/>
        </w:rPr>
        <w:t>, 96(4), 660–666.</w:t>
      </w:r>
    </w:p>
    <w:p w14:paraId="03321FE3"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Deng X, Zhang S, Wu J, Sun X, Shen Z, Dong J, Huang J. Promotion of Mitochondrial Biogenesis via Activation of AMPK-PGC1ɑ Signaling Pathway by Ginger (Zingiber officinale Roscoe) Extract, and Its Major Active Component 6-Gingerol. </w:t>
      </w:r>
      <w:r w:rsidRPr="009E6A9D">
        <w:rPr>
          <w:rFonts w:ascii="Times New Roman" w:hAnsi="Times New Roman" w:cs="Times New Roman"/>
          <w:i/>
          <w:sz w:val="24"/>
          <w:szCs w:val="24"/>
        </w:rPr>
        <w:t>J Food Sci</w:t>
      </w:r>
      <w:r w:rsidRPr="009E6A9D">
        <w:rPr>
          <w:rFonts w:ascii="Times New Roman" w:hAnsi="Times New Roman" w:cs="Times New Roman"/>
          <w:sz w:val="24"/>
          <w:szCs w:val="24"/>
        </w:rPr>
        <w:t xml:space="preserve">. 2019 Aug;84(8):2101-2111. </w:t>
      </w:r>
    </w:p>
    <w:p w14:paraId="34FE0B33"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Hardie DG. AMPK: positive and negative regulation, and its role in whole-body energy homeostasis. </w:t>
      </w:r>
      <w:proofErr w:type="spellStart"/>
      <w:r w:rsidRPr="009E6A9D">
        <w:rPr>
          <w:rFonts w:ascii="Times New Roman" w:hAnsi="Times New Roman" w:cs="Times New Roman"/>
          <w:i/>
          <w:sz w:val="24"/>
          <w:szCs w:val="24"/>
        </w:rPr>
        <w:t>Curr</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Opin</w:t>
      </w:r>
      <w:proofErr w:type="spellEnd"/>
      <w:r w:rsidRPr="009E6A9D">
        <w:rPr>
          <w:rFonts w:ascii="Times New Roman" w:hAnsi="Times New Roman" w:cs="Times New Roman"/>
          <w:i/>
          <w:sz w:val="24"/>
          <w:szCs w:val="24"/>
        </w:rPr>
        <w:t xml:space="preserve"> Cell Biol</w:t>
      </w:r>
      <w:r w:rsidRPr="009E6A9D">
        <w:rPr>
          <w:rFonts w:ascii="Times New Roman" w:hAnsi="Times New Roman" w:cs="Times New Roman"/>
          <w:sz w:val="24"/>
          <w:szCs w:val="24"/>
        </w:rPr>
        <w:t>. 2015 Apr</w:t>
      </w:r>
      <w:proofErr w:type="gramStart"/>
      <w:r w:rsidRPr="009E6A9D">
        <w:rPr>
          <w:rFonts w:ascii="Times New Roman" w:hAnsi="Times New Roman" w:cs="Times New Roman"/>
          <w:sz w:val="24"/>
          <w:szCs w:val="24"/>
        </w:rPr>
        <w:t>;33:1</w:t>
      </w:r>
      <w:proofErr w:type="gramEnd"/>
      <w:r w:rsidRPr="009E6A9D">
        <w:rPr>
          <w:rFonts w:ascii="Times New Roman" w:hAnsi="Times New Roman" w:cs="Times New Roman"/>
          <w:sz w:val="24"/>
          <w:szCs w:val="24"/>
        </w:rPr>
        <w:t>-7.</w:t>
      </w:r>
    </w:p>
    <w:p w14:paraId="1100852A"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Li Y, Tran VH, Kota BP, </w:t>
      </w:r>
      <w:proofErr w:type="spellStart"/>
      <w:r w:rsidRPr="009E6A9D">
        <w:rPr>
          <w:rFonts w:ascii="Times New Roman" w:hAnsi="Times New Roman" w:cs="Times New Roman"/>
          <w:sz w:val="24"/>
          <w:szCs w:val="24"/>
        </w:rPr>
        <w:t>Nammi</w:t>
      </w:r>
      <w:proofErr w:type="spellEnd"/>
      <w:r w:rsidRPr="009E6A9D">
        <w:rPr>
          <w:rFonts w:ascii="Times New Roman" w:hAnsi="Times New Roman" w:cs="Times New Roman"/>
          <w:sz w:val="24"/>
          <w:szCs w:val="24"/>
        </w:rPr>
        <w:t xml:space="preserve"> S, Duke CC, </w:t>
      </w:r>
      <w:proofErr w:type="spellStart"/>
      <w:r w:rsidRPr="009E6A9D">
        <w:rPr>
          <w:rFonts w:ascii="Times New Roman" w:hAnsi="Times New Roman" w:cs="Times New Roman"/>
          <w:sz w:val="24"/>
          <w:szCs w:val="24"/>
        </w:rPr>
        <w:t>Roufogalis</w:t>
      </w:r>
      <w:proofErr w:type="spellEnd"/>
      <w:r w:rsidRPr="009E6A9D">
        <w:rPr>
          <w:rFonts w:ascii="Times New Roman" w:hAnsi="Times New Roman" w:cs="Times New Roman"/>
          <w:sz w:val="24"/>
          <w:szCs w:val="24"/>
        </w:rPr>
        <w:t xml:space="preserve"> BD. Preventative effect of Zingiber officinale on insulin resistance in a high-fat high-carbohydrate diet-fed rat </w:t>
      </w:r>
      <w:r w:rsidRPr="009E6A9D">
        <w:rPr>
          <w:rFonts w:ascii="Times New Roman" w:hAnsi="Times New Roman" w:cs="Times New Roman"/>
          <w:sz w:val="24"/>
          <w:szCs w:val="24"/>
        </w:rPr>
        <w:lastRenderedPageBreak/>
        <w:t xml:space="preserve">model and its mechanism of action. </w:t>
      </w:r>
      <w:r w:rsidRPr="009E6A9D">
        <w:rPr>
          <w:rFonts w:ascii="Times New Roman" w:hAnsi="Times New Roman" w:cs="Times New Roman"/>
          <w:i/>
          <w:sz w:val="24"/>
          <w:szCs w:val="24"/>
        </w:rPr>
        <w:t xml:space="preserve">Basic </w:t>
      </w:r>
      <w:proofErr w:type="spellStart"/>
      <w:r w:rsidRPr="009E6A9D">
        <w:rPr>
          <w:rFonts w:ascii="Times New Roman" w:hAnsi="Times New Roman" w:cs="Times New Roman"/>
          <w:i/>
          <w:sz w:val="24"/>
          <w:szCs w:val="24"/>
        </w:rPr>
        <w:t>Clin</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Pharmacol</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Toxicol</w:t>
      </w:r>
      <w:proofErr w:type="spellEnd"/>
      <w:r w:rsidRPr="009E6A9D">
        <w:rPr>
          <w:rFonts w:ascii="Times New Roman" w:hAnsi="Times New Roman" w:cs="Times New Roman"/>
          <w:sz w:val="24"/>
          <w:szCs w:val="24"/>
        </w:rPr>
        <w:t>. 2014 Aug;115(2):209-15.</w:t>
      </w:r>
    </w:p>
    <w:p w14:paraId="5C015A5F" w14:textId="77777777" w:rsidR="00492BE5" w:rsidRPr="009E6A9D" w:rsidRDefault="00500E43">
      <w:pPr>
        <w:numPr>
          <w:ilvl w:val="0"/>
          <w:numId w:val="1"/>
        </w:numPr>
        <w:rPr>
          <w:rFonts w:ascii="Times New Roman" w:hAnsi="Times New Roman" w:cs="Times New Roman"/>
          <w:sz w:val="24"/>
          <w:szCs w:val="24"/>
        </w:rPr>
      </w:pPr>
      <w:proofErr w:type="spellStart"/>
      <w:r w:rsidRPr="009E6A9D">
        <w:rPr>
          <w:rFonts w:ascii="Times New Roman" w:hAnsi="Times New Roman" w:cs="Times New Roman"/>
          <w:sz w:val="24"/>
          <w:szCs w:val="24"/>
        </w:rPr>
        <w:t>Nwaogwugwu</w:t>
      </w:r>
      <w:proofErr w:type="spellEnd"/>
      <w:r w:rsidRPr="009E6A9D">
        <w:rPr>
          <w:rFonts w:ascii="Times New Roman" w:hAnsi="Times New Roman" w:cs="Times New Roman"/>
          <w:sz w:val="24"/>
          <w:szCs w:val="24"/>
        </w:rPr>
        <w:t xml:space="preserve">, J. C., </w:t>
      </w:r>
      <w:proofErr w:type="spellStart"/>
      <w:r w:rsidRPr="009E6A9D">
        <w:rPr>
          <w:rFonts w:ascii="Times New Roman" w:hAnsi="Times New Roman" w:cs="Times New Roman"/>
          <w:sz w:val="24"/>
          <w:szCs w:val="24"/>
        </w:rPr>
        <w:t>Nosiri</w:t>
      </w:r>
      <w:proofErr w:type="spellEnd"/>
      <w:r w:rsidRPr="009E6A9D">
        <w:rPr>
          <w:rFonts w:ascii="Times New Roman" w:hAnsi="Times New Roman" w:cs="Times New Roman"/>
          <w:sz w:val="24"/>
          <w:szCs w:val="24"/>
        </w:rPr>
        <w:t xml:space="preserve">, C. I., </w:t>
      </w:r>
      <w:proofErr w:type="spellStart"/>
      <w:r w:rsidRPr="009E6A9D">
        <w:rPr>
          <w:rFonts w:ascii="Times New Roman" w:hAnsi="Times New Roman" w:cs="Times New Roman"/>
          <w:sz w:val="24"/>
          <w:szCs w:val="24"/>
        </w:rPr>
        <w:t>Aguwamba</w:t>
      </w:r>
      <w:proofErr w:type="spellEnd"/>
      <w:r w:rsidRPr="009E6A9D">
        <w:rPr>
          <w:rFonts w:ascii="Times New Roman" w:hAnsi="Times New Roman" w:cs="Times New Roman"/>
          <w:sz w:val="24"/>
          <w:szCs w:val="24"/>
        </w:rPr>
        <w:t xml:space="preserve">, C., Aaron, C. F., &amp; Ike, U. W. (2022). Effect of </w:t>
      </w:r>
      <w:proofErr w:type="spellStart"/>
      <w:r w:rsidRPr="009E6A9D">
        <w:rPr>
          <w:rFonts w:ascii="Times New Roman" w:hAnsi="Times New Roman" w:cs="Times New Roman"/>
          <w:sz w:val="24"/>
          <w:szCs w:val="24"/>
        </w:rPr>
        <w:t>Hunteria</w:t>
      </w:r>
      <w:proofErr w:type="spellEnd"/>
      <w:r w:rsidRPr="009E6A9D">
        <w:rPr>
          <w:rFonts w:ascii="Times New Roman" w:hAnsi="Times New Roman" w:cs="Times New Roman"/>
          <w:sz w:val="24"/>
          <w:szCs w:val="24"/>
        </w:rPr>
        <w:t xml:space="preserve"> </w:t>
      </w:r>
      <w:proofErr w:type="spellStart"/>
      <w:r w:rsidRPr="009E6A9D">
        <w:rPr>
          <w:rFonts w:ascii="Times New Roman" w:hAnsi="Times New Roman" w:cs="Times New Roman"/>
          <w:sz w:val="24"/>
          <w:szCs w:val="24"/>
        </w:rPr>
        <w:t>umbellata</w:t>
      </w:r>
      <w:proofErr w:type="spellEnd"/>
      <w:r w:rsidRPr="009E6A9D">
        <w:rPr>
          <w:rFonts w:ascii="Times New Roman" w:hAnsi="Times New Roman" w:cs="Times New Roman"/>
          <w:sz w:val="24"/>
          <w:szCs w:val="24"/>
        </w:rPr>
        <w:t xml:space="preserve"> </w:t>
      </w:r>
      <w:proofErr w:type="spellStart"/>
      <w:r w:rsidRPr="009E6A9D">
        <w:rPr>
          <w:rFonts w:ascii="Times New Roman" w:hAnsi="Times New Roman" w:cs="Times New Roman"/>
          <w:sz w:val="24"/>
          <w:szCs w:val="24"/>
        </w:rPr>
        <w:t>Methanolic</w:t>
      </w:r>
      <w:proofErr w:type="spellEnd"/>
      <w:r w:rsidRPr="009E6A9D">
        <w:rPr>
          <w:rFonts w:ascii="Times New Roman" w:hAnsi="Times New Roman" w:cs="Times New Roman"/>
          <w:sz w:val="24"/>
          <w:szCs w:val="24"/>
        </w:rPr>
        <w:t xml:space="preserve"> Seed Extracts on Streptozotocin-induced Diabetic Albino Rats. </w:t>
      </w:r>
      <w:r w:rsidRPr="009E6A9D">
        <w:rPr>
          <w:rFonts w:ascii="Times New Roman" w:hAnsi="Times New Roman" w:cs="Times New Roman"/>
          <w:i/>
          <w:sz w:val="24"/>
          <w:szCs w:val="24"/>
        </w:rPr>
        <w:t>Asian Journal of Biochemistry</w:t>
      </w:r>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Genetics and Molecular Biology</w:t>
      </w:r>
      <w:r w:rsidRPr="009E6A9D">
        <w:rPr>
          <w:rFonts w:ascii="Times New Roman" w:hAnsi="Times New Roman" w:cs="Times New Roman"/>
          <w:sz w:val="24"/>
          <w:szCs w:val="24"/>
        </w:rPr>
        <w:t>, 12(3), 14–27.</w:t>
      </w:r>
    </w:p>
    <w:p w14:paraId="3AF4DE9B"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Petchi RR, Vijaya C, Parasuraman S. Antidiabetic activity of polyherbal formulation in streptozotocin - </w:t>
      </w:r>
      <w:proofErr w:type="spellStart"/>
      <w:r w:rsidRPr="009E6A9D">
        <w:rPr>
          <w:rFonts w:ascii="Times New Roman" w:hAnsi="Times New Roman" w:cs="Times New Roman"/>
          <w:sz w:val="24"/>
          <w:szCs w:val="24"/>
        </w:rPr>
        <w:t>nicotinamide</w:t>
      </w:r>
      <w:proofErr w:type="spellEnd"/>
      <w:r w:rsidRPr="009E6A9D">
        <w:rPr>
          <w:rFonts w:ascii="Times New Roman" w:hAnsi="Times New Roman" w:cs="Times New Roman"/>
          <w:sz w:val="24"/>
          <w:szCs w:val="24"/>
        </w:rPr>
        <w:t xml:space="preserve"> induced diabetic </w:t>
      </w:r>
      <w:proofErr w:type="spellStart"/>
      <w:r w:rsidRPr="009E6A9D">
        <w:rPr>
          <w:rFonts w:ascii="Times New Roman" w:hAnsi="Times New Roman" w:cs="Times New Roman"/>
          <w:sz w:val="24"/>
          <w:szCs w:val="24"/>
        </w:rPr>
        <w:t>wistar</w:t>
      </w:r>
      <w:proofErr w:type="spellEnd"/>
      <w:r w:rsidRPr="009E6A9D">
        <w:rPr>
          <w:rFonts w:ascii="Times New Roman" w:hAnsi="Times New Roman" w:cs="Times New Roman"/>
          <w:sz w:val="24"/>
          <w:szCs w:val="24"/>
        </w:rPr>
        <w:t xml:space="preserve"> rats. </w:t>
      </w:r>
      <w:r w:rsidRPr="009E6A9D">
        <w:rPr>
          <w:rFonts w:ascii="Times New Roman" w:hAnsi="Times New Roman" w:cs="Times New Roman"/>
          <w:i/>
          <w:sz w:val="24"/>
          <w:szCs w:val="24"/>
        </w:rPr>
        <w:t xml:space="preserve">J </w:t>
      </w:r>
      <w:proofErr w:type="spellStart"/>
      <w:r w:rsidRPr="009E6A9D">
        <w:rPr>
          <w:rFonts w:ascii="Times New Roman" w:hAnsi="Times New Roman" w:cs="Times New Roman"/>
          <w:i/>
          <w:sz w:val="24"/>
          <w:szCs w:val="24"/>
        </w:rPr>
        <w:t>Tradit</w:t>
      </w:r>
      <w:proofErr w:type="spellEnd"/>
      <w:r w:rsidRPr="009E6A9D">
        <w:rPr>
          <w:rFonts w:ascii="Times New Roman" w:hAnsi="Times New Roman" w:cs="Times New Roman"/>
          <w:i/>
          <w:sz w:val="24"/>
          <w:szCs w:val="24"/>
        </w:rPr>
        <w:t xml:space="preserve"> Complement Med</w:t>
      </w:r>
      <w:r w:rsidRPr="009E6A9D">
        <w:rPr>
          <w:rFonts w:ascii="Times New Roman" w:hAnsi="Times New Roman" w:cs="Times New Roman"/>
          <w:sz w:val="24"/>
          <w:szCs w:val="24"/>
        </w:rPr>
        <w:t>. 2014 Apr;4(2):108-17.</w:t>
      </w:r>
    </w:p>
    <w:p w14:paraId="5F0CAFF5"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Reeves PG, Nielsen FH, Fahey GC Jr. AIN-93 purified diets for laboratory rodents: final report of the American Institute of Nutrition ad hoc writing committee on the reformulation of the AIN-76A rodent diet. </w:t>
      </w:r>
      <w:r w:rsidRPr="009E6A9D">
        <w:rPr>
          <w:rFonts w:ascii="Times New Roman" w:hAnsi="Times New Roman" w:cs="Times New Roman"/>
          <w:i/>
          <w:sz w:val="24"/>
          <w:szCs w:val="24"/>
        </w:rPr>
        <w:t xml:space="preserve">J </w:t>
      </w:r>
      <w:proofErr w:type="spellStart"/>
      <w:r w:rsidRPr="009E6A9D">
        <w:rPr>
          <w:rFonts w:ascii="Times New Roman" w:hAnsi="Times New Roman" w:cs="Times New Roman"/>
          <w:i/>
          <w:sz w:val="24"/>
          <w:szCs w:val="24"/>
        </w:rPr>
        <w:t>Nutr</w:t>
      </w:r>
      <w:proofErr w:type="spellEnd"/>
      <w:r w:rsidRPr="009E6A9D">
        <w:rPr>
          <w:rFonts w:ascii="Times New Roman" w:hAnsi="Times New Roman" w:cs="Times New Roman"/>
          <w:sz w:val="24"/>
          <w:szCs w:val="24"/>
        </w:rPr>
        <w:t xml:space="preserve">. 1993 Nov;123(11):1939-51. </w:t>
      </w:r>
    </w:p>
    <w:p w14:paraId="04C72712"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Samad MB, </w:t>
      </w:r>
      <w:proofErr w:type="spellStart"/>
      <w:r w:rsidRPr="009E6A9D">
        <w:rPr>
          <w:rFonts w:ascii="Times New Roman" w:hAnsi="Times New Roman" w:cs="Times New Roman"/>
          <w:sz w:val="24"/>
          <w:szCs w:val="24"/>
        </w:rPr>
        <w:t>Mohsin</w:t>
      </w:r>
      <w:proofErr w:type="spellEnd"/>
      <w:r w:rsidRPr="009E6A9D">
        <w:rPr>
          <w:rFonts w:ascii="Times New Roman" w:hAnsi="Times New Roman" w:cs="Times New Roman"/>
          <w:sz w:val="24"/>
          <w:szCs w:val="24"/>
        </w:rPr>
        <w:t xml:space="preserve"> MNAB, </w:t>
      </w:r>
      <w:proofErr w:type="spellStart"/>
      <w:r w:rsidRPr="009E6A9D">
        <w:rPr>
          <w:rFonts w:ascii="Times New Roman" w:hAnsi="Times New Roman" w:cs="Times New Roman"/>
          <w:sz w:val="24"/>
          <w:szCs w:val="24"/>
        </w:rPr>
        <w:t>Razu</w:t>
      </w:r>
      <w:proofErr w:type="spellEnd"/>
      <w:r w:rsidRPr="009E6A9D">
        <w:rPr>
          <w:rFonts w:ascii="Times New Roman" w:hAnsi="Times New Roman" w:cs="Times New Roman"/>
          <w:sz w:val="24"/>
          <w:szCs w:val="24"/>
        </w:rPr>
        <w:t xml:space="preserve"> BA, </w:t>
      </w:r>
      <w:proofErr w:type="spellStart"/>
      <w:r w:rsidRPr="009E6A9D">
        <w:rPr>
          <w:rFonts w:ascii="Times New Roman" w:hAnsi="Times New Roman" w:cs="Times New Roman"/>
          <w:sz w:val="24"/>
          <w:szCs w:val="24"/>
        </w:rPr>
        <w:t>Hossain</w:t>
      </w:r>
      <w:proofErr w:type="spellEnd"/>
      <w:r w:rsidRPr="009E6A9D">
        <w:rPr>
          <w:rFonts w:ascii="Times New Roman" w:hAnsi="Times New Roman" w:cs="Times New Roman"/>
          <w:sz w:val="24"/>
          <w:szCs w:val="24"/>
        </w:rPr>
        <w:t xml:space="preserve"> MT, </w:t>
      </w:r>
      <w:proofErr w:type="spellStart"/>
      <w:r w:rsidRPr="009E6A9D">
        <w:rPr>
          <w:rFonts w:ascii="Times New Roman" w:hAnsi="Times New Roman" w:cs="Times New Roman"/>
          <w:sz w:val="24"/>
          <w:szCs w:val="24"/>
        </w:rPr>
        <w:t>Mahzabeen</w:t>
      </w:r>
      <w:proofErr w:type="spellEnd"/>
      <w:r w:rsidRPr="009E6A9D">
        <w:rPr>
          <w:rFonts w:ascii="Times New Roman" w:hAnsi="Times New Roman" w:cs="Times New Roman"/>
          <w:sz w:val="24"/>
          <w:szCs w:val="24"/>
        </w:rPr>
        <w:t xml:space="preserve"> S, </w:t>
      </w:r>
      <w:proofErr w:type="spellStart"/>
      <w:r w:rsidRPr="009E6A9D">
        <w:rPr>
          <w:rFonts w:ascii="Times New Roman" w:hAnsi="Times New Roman" w:cs="Times New Roman"/>
          <w:sz w:val="24"/>
          <w:szCs w:val="24"/>
        </w:rPr>
        <w:t>Unnoor</w:t>
      </w:r>
      <w:proofErr w:type="spellEnd"/>
      <w:r w:rsidRPr="009E6A9D">
        <w:rPr>
          <w:rFonts w:ascii="Times New Roman" w:hAnsi="Times New Roman" w:cs="Times New Roman"/>
          <w:sz w:val="24"/>
          <w:szCs w:val="24"/>
        </w:rPr>
        <w:t xml:space="preserve"> N, Muna IA, Akhter F, Kabir AU, Hannan JMA. [6]-Gingerol, from Zingiber officinale, potentiates GLP-1 mediated glucose-stimulated insulin secretion pathway in pancreatic β-cells and increases RAB8/RAB10-regulated membrane presentation of GLUT4 transporters in skeletal muscle to improve hyperglycemia in </w:t>
      </w:r>
      <w:proofErr w:type="spellStart"/>
      <w:r w:rsidRPr="009E6A9D">
        <w:rPr>
          <w:rFonts w:ascii="Times New Roman" w:hAnsi="Times New Roman" w:cs="Times New Roman"/>
          <w:sz w:val="24"/>
          <w:szCs w:val="24"/>
        </w:rPr>
        <w:t>Leprdb</w:t>
      </w:r>
      <w:proofErr w:type="spellEnd"/>
      <w:r w:rsidRPr="009E6A9D">
        <w:rPr>
          <w:rFonts w:ascii="Times New Roman" w:hAnsi="Times New Roman" w:cs="Times New Roman"/>
          <w:sz w:val="24"/>
          <w:szCs w:val="24"/>
        </w:rPr>
        <w:t>/</w:t>
      </w:r>
      <w:proofErr w:type="spellStart"/>
      <w:r w:rsidRPr="009E6A9D">
        <w:rPr>
          <w:rFonts w:ascii="Times New Roman" w:hAnsi="Times New Roman" w:cs="Times New Roman"/>
          <w:sz w:val="24"/>
          <w:szCs w:val="24"/>
        </w:rPr>
        <w:t>db</w:t>
      </w:r>
      <w:proofErr w:type="spellEnd"/>
      <w:r w:rsidRPr="009E6A9D">
        <w:rPr>
          <w:rFonts w:ascii="Times New Roman" w:hAnsi="Times New Roman" w:cs="Times New Roman"/>
          <w:sz w:val="24"/>
          <w:szCs w:val="24"/>
        </w:rPr>
        <w:t xml:space="preserve"> type 2 diabetic mice. </w:t>
      </w:r>
      <w:r w:rsidRPr="009E6A9D">
        <w:rPr>
          <w:rFonts w:ascii="Times New Roman" w:hAnsi="Times New Roman" w:cs="Times New Roman"/>
          <w:i/>
          <w:sz w:val="24"/>
          <w:szCs w:val="24"/>
        </w:rPr>
        <w:t>BMC Complement Altern Med</w:t>
      </w:r>
      <w:r w:rsidRPr="009E6A9D">
        <w:rPr>
          <w:rFonts w:ascii="Times New Roman" w:hAnsi="Times New Roman" w:cs="Times New Roman"/>
          <w:sz w:val="24"/>
          <w:szCs w:val="24"/>
        </w:rPr>
        <w:t>. 2017 Aug 9;17(1):395.</w:t>
      </w:r>
    </w:p>
    <w:p w14:paraId="67328194" w14:textId="77777777" w:rsidR="00492BE5" w:rsidRPr="009E6A9D" w:rsidRDefault="00500E43">
      <w:pPr>
        <w:numPr>
          <w:ilvl w:val="0"/>
          <w:numId w:val="1"/>
        </w:numPr>
        <w:rPr>
          <w:rFonts w:ascii="Times New Roman" w:hAnsi="Times New Roman" w:cs="Times New Roman"/>
          <w:sz w:val="24"/>
          <w:szCs w:val="24"/>
        </w:rPr>
      </w:pPr>
      <w:proofErr w:type="spellStart"/>
      <w:r w:rsidRPr="009E6A9D">
        <w:rPr>
          <w:rFonts w:ascii="Times New Roman" w:hAnsi="Times New Roman" w:cs="Times New Roman"/>
          <w:sz w:val="24"/>
          <w:szCs w:val="24"/>
        </w:rPr>
        <w:t>Szkudelski</w:t>
      </w:r>
      <w:proofErr w:type="spellEnd"/>
      <w:r w:rsidRPr="009E6A9D">
        <w:rPr>
          <w:rFonts w:ascii="Times New Roman" w:hAnsi="Times New Roman" w:cs="Times New Roman"/>
          <w:sz w:val="24"/>
          <w:szCs w:val="24"/>
        </w:rPr>
        <w:t xml:space="preserve"> T. The mechanism of alloxan and streptozotocin action in B cells of the rat pancreas. </w:t>
      </w:r>
      <w:proofErr w:type="spellStart"/>
      <w:r w:rsidRPr="009E6A9D">
        <w:rPr>
          <w:rFonts w:ascii="Times New Roman" w:hAnsi="Times New Roman" w:cs="Times New Roman"/>
          <w:i/>
          <w:sz w:val="24"/>
          <w:szCs w:val="24"/>
        </w:rPr>
        <w:t>Physiol</w:t>
      </w:r>
      <w:proofErr w:type="spellEnd"/>
      <w:r w:rsidRPr="009E6A9D">
        <w:rPr>
          <w:rFonts w:ascii="Times New Roman" w:hAnsi="Times New Roman" w:cs="Times New Roman"/>
          <w:i/>
          <w:sz w:val="24"/>
          <w:szCs w:val="24"/>
        </w:rPr>
        <w:t xml:space="preserve"> Res</w:t>
      </w:r>
      <w:r w:rsidRPr="009E6A9D">
        <w:rPr>
          <w:rFonts w:ascii="Times New Roman" w:hAnsi="Times New Roman" w:cs="Times New Roman"/>
          <w:sz w:val="24"/>
          <w:szCs w:val="24"/>
        </w:rPr>
        <w:t>. 2001;50(6):537-46. PMID: 11829314.</w:t>
      </w:r>
    </w:p>
    <w:p w14:paraId="17A1F2C5"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Georgiev VG, Weber J, </w:t>
      </w:r>
      <w:proofErr w:type="spellStart"/>
      <w:r w:rsidRPr="009E6A9D">
        <w:rPr>
          <w:rFonts w:ascii="Times New Roman" w:hAnsi="Times New Roman" w:cs="Times New Roman"/>
          <w:sz w:val="24"/>
          <w:szCs w:val="24"/>
        </w:rPr>
        <w:t>Kneschke</w:t>
      </w:r>
      <w:proofErr w:type="spellEnd"/>
      <w:r w:rsidRPr="009E6A9D">
        <w:rPr>
          <w:rFonts w:ascii="Times New Roman" w:hAnsi="Times New Roman" w:cs="Times New Roman"/>
          <w:sz w:val="24"/>
          <w:szCs w:val="24"/>
        </w:rPr>
        <w:t xml:space="preserve"> EM, </w:t>
      </w:r>
      <w:proofErr w:type="spellStart"/>
      <w:r w:rsidRPr="009E6A9D">
        <w:rPr>
          <w:rFonts w:ascii="Times New Roman" w:hAnsi="Times New Roman" w:cs="Times New Roman"/>
          <w:sz w:val="24"/>
          <w:szCs w:val="24"/>
        </w:rPr>
        <w:t>Denev</w:t>
      </w:r>
      <w:proofErr w:type="spellEnd"/>
      <w:r w:rsidRPr="009E6A9D">
        <w:rPr>
          <w:rFonts w:ascii="Times New Roman" w:hAnsi="Times New Roman" w:cs="Times New Roman"/>
          <w:sz w:val="24"/>
          <w:szCs w:val="24"/>
        </w:rPr>
        <w:t xml:space="preserve"> PN, Bley T, Pavlov AI. Antioxidant activity and phenolic content of </w:t>
      </w:r>
      <w:proofErr w:type="spellStart"/>
      <w:r w:rsidRPr="009E6A9D">
        <w:rPr>
          <w:rFonts w:ascii="Times New Roman" w:hAnsi="Times New Roman" w:cs="Times New Roman"/>
          <w:sz w:val="24"/>
          <w:szCs w:val="24"/>
        </w:rPr>
        <w:t>betalain</w:t>
      </w:r>
      <w:proofErr w:type="spellEnd"/>
      <w:r w:rsidRPr="009E6A9D">
        <w:rPr>
          <w:rFonts w:ascii="Times New Roman" w:hAnsi="Times New Roman" w:cs="Times New Roman"/>
          <w:sz w:val="24"/>
          <w:szCs w:val="24"/>
        </w:rPr>
        <w:t xml:space="preserve"> extracts from intact plants and hairy root cultures of the red beetroot Beta vulgaris cv. Detroit dark red. </w:t>
      </w:r>
      <w:r w:rsidRPr="009E6A9D">
        <w:rPr>
          <w:rFonts w:ascii="Times New Roman" w:hAnsi="Times New Roman" w:cs="Times New Roman"/>
          <w:i/>
          <w:sz w:val="24"/>
          <w:szCs w:val="24"/>
        </w:rPr>
        <w:t xml:space="preserve">Plant Foods Hum </w:t>
      </w:r>
      <w:proofErr w:type="spellStart"/>
      <w:r w:rsidRPr="009E6A9D">
        <w:rPr>
          <w:rFonts w:ascii="Times New Roman" w:hAnsi="Times New Roman" w:cs="Times New Roman"/>
          <w:i/>
          <w:sz w:val="24"/>
          <w:szCs w:val="24"/>
        </w:rPr>
        <w:t>Nutr</w:t>
      </w:r>
      <w:proofErr w:type="spellEnd"/>
      <w:r w:rsidRPr="009E6A9D">
        <w:rPr>
          <w:rFonts w:ascii="Times New Roman" w:hAnsi="Times New Roman" w:cs="Times New Roman"/>
          <w:sz w:val="24"/>
          <w:szCs w:val="24"/>
        </w:rPr>
        <w:t>. 2010 Jun;65(2):105-11.</w:t>
      </w:r>
    </w:p>
    <w:p w14:paraId="3AEB278A"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Zhou G, Myers R, Li Y, Chen Y, </w:t>
      </w:r>
      <w:proofErr w:type="spellStart"/>
      <w:r w:rsidRPr="009E6A9D">
        <w:rPr>
          <w:rFonts w:ascii="Times New Roman" w:hAnsi="Times New Roman" w:cs="Times New Roman"/>
          <w:sz w:val="24"/>
          <w:szCs w:val="24"/>
        </w:rPr>
        <w:t>Shen</w:t>
      </w:r>
      <w:proofErr w:type="spellEnd"/>
      <w:r w:rsidRPr="009E6A9D">
        <w:rPr>
          <w:rFonts w:ascii="Times New Roman" w:hAnsi="Times New Roman" w:cs="Times New Roman"/>
          <w:sz w:val="24"/>
          <w:szCs w:val="24"/>
        </w:rPr>
        <w:t xml:space="preserve"> X, </w:t>
      </w:r>
      <w:proofErr w:type="spellStart"/>
      <w:r w:rsidRPr="009E6A9D">
        <w:rPr>
          <w:rFonts w:ascii="Times New Roman" w:hAnsi="Times New Roman" w:cs="Times New Roman"/>
          <w:sz w:val="24"/>
          <w:szCs w:val="24"/>
        </w:rPr>
        <w:t>Fenyk</w:t>
      </w:r>
      <w:proofErr w:type="spellEnd"/>
      <w:r w:rsidRPr="009E6A9D">
        <w:rPr>
          <w:rFonts w:ascii="Times New Roman" w:hAnsi="Times New Roman" w:cs="Times New Roman"/>
          <w:sz w:val="24"/>
          <w:szCs w:val="24"/>
        </w:rPr>
        <w:t xml:space="preserve">-Melody J, Wu M, </w:t>
      </w:r>
      <w:proofErr w:type="spellStart"/>
      <w:r w:rsidRPr="009E6A9D">
        <w:rPr>
          <w:rFonts w:ascii="Times New Roman" w:hAnsi="Times New Roman" w:cs="Times New Roman"/>
          <w:sz w:val="24"/>
          <w:szCs w:val="24"/>
        </w:rPr>
        <w:t>Ventre</w:t>
      </w:r>
      <w:proofErr w:type="spellEnd"/>
      <w:r w:rsidRPr="009E6A9D">
        <w:rPr>
          <w:rFonts w:ascii="Times New Roman" w:hAnsi="Times New Roman" w:cs="Times New Roman"/>
          <w:sz w:val="24"/>
          <w:szCs w:val="24"/>
        </w:rPr>
        <w:t xml:space="preserve"> J, </w:t>
      </w:r>
      <w:proofErr w:type="spellStart"/>
      <w:r w:rsidRPr="009E6A9D">
        <w:rPr>
          <w:rFonts w:ascii="Times New Roman" w:hAnsi="Times New Roman" w:cs="Times New Roman"/>
          <w:sz w:val="24"/>
          <w:szCs w:val="24"/>
        </w:rPr>
        <w:t>Doebber</w:t>
      </w:r>
      <w:proofErr w:type="spellEnd"/>
      <w:r w:rsidRPr="009E6A9D">
        <w:rPr>
          <w:rFonts w:ascii="Times New Roman" w:hAnsi="Times New Roman" w:cs="Times New Roman"/>
          <w:sz w:val="24"/>
          <w:szCs w:val="24"/>
        </w:rPr>
        <w:t xml:space="preserve"> T, Fujii N, Musi N, Hirshman MF, Goodyear LJ, Moller DE. Role of AMP-activated protein kinase in mechanism of metformin action. </w:t>
      </w:r>
      <w:r w:rsidRPr="009E6A9D">
        <w:rPr>
          <w:rFonts w:ascii="Times New Roman" w:hAnsi="Times New Roman" w:cs="Times New Roman"/>
          <w:i/>
          <w:sz w:val="24"/>
          <w:szCs w:val="24"/>
        </w:rPr>
        <w:t>J Clin Invest</w:t>
      </w:r>
      <w:r w:rsidRPr="009E6A9D">
        <w:rPr>
          <w:rFonts w:ascii="Times New Roman" w:hAnsi="Times New Roman" w:cs="Times New Roman"/>
          <w:sz w:val="24"/>
          <w:szCs w:val="24"/>
        </w:rPr>
        <w:t>. 2001 Oct;108(8):1167-74.</w:t>
      </w:r>
    </w:p>
    <w:p w14:paraId="6A58A6E8"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Furman, B.L. 2015. Streptozotocin-induced diabetic models in mice and rats. </w:t>
      </w:r>
      <w:r w:rsidRPr="009E6A9D">
        <w:rPr>
          <w:rFonts w:ascii="Times New Roman" w:hAnsi="Times New Roman" w:cs="Times New Roman"/>
          <w:i/>
          <w:sz w:val="24"/>
          <w:szCs w:val="24"/>
        </w:rPr>
        <w:t xml:space="preserve">Curr. </w:t>
      </w:r>
      <w:proofErr w:type="spellStart"/>
      <w:r w:rsidRPr="009E6A9D">
        <w:rPr>
          <w:rFonts w:ascii="Times New Roman" w:hAnsi="Times New Roman" w:cs="Times New Roman"/>
          <w:i/>
          <w:sz w:val="24"/>
          <w:szCs w:val="24"/>
        </w:rPr>
        <w:t>Protoc</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Pharmacol</w:t>
      </w:r>
      <w:proofErr w:type="spellEnd"/>
      <w:r w:rsidRPr="009E6A9D">
        <w:rPr>
          <w:rFonts w:ascii="Times New Roman" w:hAnsi="Times New Roman" w:cs="Times New Roman"/>
          <w:sz w:val="24"/>
          <w:szCs w:val="24"/>
        </w:rPr>
        <w:t xml:space="preserve">. 70: 5.47.1-5.47.20. </w:t>
      </w:r>
    </w:p>
    <w:p w14:paraId="660800F3"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Srinivasan, K., </w:t>
      </w:r>
      <w:proofErr w:type="spellStart"/>
      <w:r w:rsidRPr="009E6A9D">
        <w:rPr>
          <w:rFonts w:ascii="Times New Roman" w:hAnsi="Times New Roman" w:cs="Times New Roman"/>
          <w:sz w:val="24"/>
          <w:szCs w:val="24"/>
        </w:rPr>
        <w:t>Viswanad</w:t>
      </w:r>
      <w:proofErr w:type="spellEnd"/>
      <w:r w:rsidRPr="009E6A9D">
        <w:rPr>
          <w:rFonts w:ascii="Times New Roman" w:hAnsi="Times New Roman" w:cs="Times New Roman"/>
          <w:sz w:val="24"/>
          <w:szCs w:val="24"/>
        </w:rPr>
        <w:t xml:space="preserve">, B., Asrat, L., Kaul, C. L., &amp; Ramarao, P. (2005). Combination of high-fat diet-fed and low-dose streptozotocin-treated rat: A model for type 2 diabetes and pharmacological screening. </w:t>
      </w:r>
      <w:r w:rsidRPr="009E6A9D">
        <w:rPr>
          <w:rFonts w:ascii="Times New Roman" w:hAnsi="Times New Roman" w:cs="Times New Roman"/>
          <w:i/>
          <w:sz w:val="24"/>
          <w:szCs w:val="24"/>
        </w:rPr>
        <w:t>Pharmacological Research</w:t>
      </w:r>
      <w:r w:rsidRPr="009E6A9D">
        <w:rPr>
          <w:rFonts w:ascii="Times New Roman" w:hAnsi="Times New Roman" w:cs="Times New Roman"/>
          <w:sz w:val="24"/>
          <w:szCs w:val="24"/>
        </w:rPr>
        <w:t>, 52(4), 313–320.</w:t>
      </w:r>
    </w:p>
    <w:sectPr w:rsidR="00492BE5" w:rsidRPr="009E6A9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r KAM" w:date="2025-08-21T12:20:00Z" w:initials="MK">
    <w:p w14:paraId="671AFF47" w14:textId="77777777" w:rsidR="001F6BB6" w:rsidRDefault="001F6BB6">
      <w:pPr>
        <w:pStyle w:val="Commentaire"/>
      </w:pPr>
      <w:r>
        <w:rPr>
          <w:rStyle w:val="Marquedecommentaire"/>
        </w:rPr>
        <w:annotationRef/>
      </w:r>
    </w:p>
    <w:p w14:paraId="1F9AA76F" w14:textId="233532EF" w:rsidR="001F6BB6" w:rsidRDefault="001F6BB6">
      <w:pPr>
        <w:pStyle w:val="Commentaire"/>
      </w:pPr>
      <w:r w:rsidRPr="001F6BB6">
        <w:t>Associate the authors' names</w:t>
      </w:r>
    </w:p>
  </w:comment>
  <w:comment w:id="1" w:author="Mr KAM" w:date="2025-08-21T12:35:00Z" w:initials="MK">
    <w:p w14:paraId="78027011" w14:textId="77777777" w:rsidR="006F2AED" w:rsidRDefault="006F2AED">
      <w:pPr>
        <w:pStyle w:val="Commentaire"/>
      </w:pPr>
      <w:r>
        <w:rPr>
          <w:rStyle w:val="Marquedecommentaire"/>
        </w:rPr>
        <w:annotationRef/>
      </w:r>
    </w:p>
    <w:p w14:paraId="6EEFA2D3" w14:textId="266D9B63" w:rsidR="006F2AED" w:rsidRDefault="006F2AED">
      <w:pPr>
        <w:pStyle w:val="Commentaire"/>
      </w:pPr>
      <w:proofErr w:type="gramStart"/>
      <w:r w:rsidRPr="006F2AED">
        <w:t>reduce</w:t>
      </w:r>
      <w:proofErr w:type="gramEnd"/>
      <w:r w:rsidRPr="006F2AED">
        <w:t xml:space="preserve"> the number of keywords to a maximum of 5</w:t>
      </w:r>
      <w:r>
        <w:t xml:space="preserve"> or 6</w:t>
      </w:r>
    </w:p>
  </w:comment>
  <w:comment w:id="3" w:author="Mr KAM" w:date="2025-08-21T12:42:00Z" w:initials="MK">
    <w:p w14:paraId="0DF500A1" w14:textId="77777777" w:rsidR="006F2AED" w:rsidRDefault="006F2AED">
      <w:pPr>
        <w:pStyle w:val="Commentaire"/>
      </w:pPr>
      <w:r>
        <w:rPr>
          <w:rStyle w:val="Marquedecommentaire"/>
        </w:rPr>
        <w:annotationRef/>
      </w:r>
    </w:p>
    <w:p w14:paraId="55EEF117" w14:textId="2BA74DD7" w:rsidR="006F2AED" w:rsidRDefault="006F2AED">
      <w:pPr>
        <w:pStyle w:val="Commentaire"/>
      </w:pPr>
      <w:proofErr w:type="gramStart"/>
      <w:r w:rsidRPr="006F2AED">
        <w:t>provide</w:t>
      </w:r>
      <w:proofErr w:type="gramEnd"/>
      <w:r w:rsidRPr="006F2AED">
        <w:t xml:space="preserve"> the source</w:t>
      </w:r>
    </w:p>
  </w:comment>
  <w:comment w:id="4" w:author="Mr KAM" w:date="2025-08-21T12:50:00Z" w:initials="MK">
    <w:p w14:paraId="7E0E62A3" w14:textId="08EAFC2E" w:rsidR="003F2506" w:rsidRDefault="003F2506">
      <w:pPr>
        <w:pStyle w:val="Commentaire"/>
      </w:pPr>
      <w:r>
        <w:rPr>
          <w:rStyle w:val="Marquedecommentaire"/>
        </w:rPr>
        <w:annotationRef/>
      </w:r>
    </w:p>
    <w:p w14:paraId="39D93904" w14:textId="0DDFA8DB" w:rsidR="003F2506" w:rsidRPr="003F2506" w:rsidRDefault="003F2506">
      <w:pPr>
        <w:pStyle w:val="Commentaire"/>
        <w:rPr>
          <w:lang w:val="en-US"/>
        </w:rPr>
      </w:pPr>
      <w:r>
        <w:rPr>
          <w:lang w:val="en-US"/>
        </w:rPr>
        <w:t>Y</w:t>
      </w:r>
      <w:r w:rsidRPr="003F2506">
        <w:rPr>
          <w:lang w:val="en-US"/>
        </w:rPr>
        <w:t xml:space="preserve">ou already approach the methodology. It would be interesting to evoke previous works on the </w:t>
      </w:r>
      <w:proofErr w:type="spellStart"/>
      <w:r w:rsidRPr="003F2506">
        <w:rPr>
          <w:lang w:val="en-US"/>
        </w:rPr>
        <w:t>antidiabetic</w:t>
      </w:r>
      <w:proofErr w:type="spellEnd"/>
      <w:r w:rsidRPr="003F2506">
        <w:rPr>
          <w:lang w:val="en-US"/>
        </w:rPr>
        <w:t xml:space="preserve"> properties of the constituent plants</w:t>
      </w:r>
    </w:p>
  </w:comment>
  <w:comment w:id="5" w:author="Mr KAM" w:date="2025-08-21T12:50:00Z" w:initials="MK">
    <w:p w14:paraId="3D8C8EFA" w14:textId="77777777" w:rsidR="006F2AED" w:rsidRPr="003F2506" w:rsidRDefault="006F2AED">
      <w:pPr>
        <w:pStyle w:val="Commentaire"/>
        <w:rPr>
          <w:lang w:val="en-US"/>
        </w:rPr>
      </w:pPr>
      <w:r>
        <w:rPr>
          <w:rStyle w:val="Marquedecommentaire"/>
        </w:rPr>
        <w:annotationRef/>
      </w:r>
    </w:p>
    <w:p w14:paraId="4C61EE19" w14:textId="43EEAA52" w:rsidR="006F2AED" w:rsidRDefault="003F2506">
      <w:pPr>
        <w:pStyle w:val="Commentaire"/>
      </w:pPr>
      <w:r>
        <w:t>P</w:t>
      </w:r>
      <w:r w:rsidR="006F2AED" w:rsidRPr="006F2AED">
        <w:t>rovide the source</w:t>
      </w:r>
    </w:p>
  </w:comment>
  <w:comment w:id="18" w:author="Mr KAM" w:date="2025-08-21T13:17:00Z" w:initials="MK">
    <w:p w14:paraId="1E3FB7EE" w14:textId="77777777" w:rsidR="00BB5BFF" w:rsidRDefault="00BB5BFF">
      <w:pPr>
        <w:pStyle w:val="Commentaire"/>
      </w:pPr>
      <w:r>
        <w:rPr>
          <w:rStyle w:val="Marquedecommentaire"/>
        </w:rPr>
        <w:annotationRef/>
      </w:r>
    </w:p>
    <w:p w14:paraId="196CD6BC" w14:textId="77777777" w:rsidR="00BB5BFF" w:rsidRDefault="00BB5BFF">
      <w:pPr>
        <w:pStyle w:val="Commentaire"/>
      </w:pPr>
      <w:r>
        <w:t>-</w:t>
      </w:r>
      <w:r w:rsidRPr="00BB5BFF">
        <w:t>The results are not described enough to bring out the main information.</w:t>
      </w:r>
    </w:p>
    <w:p w14:paraId="0F6F79B7" w14:textId="0BFA32CB" w:rsidR="00BB5BFF" w:rsidRDefault="00BB5BFF">
      <w:pPr>
        <w:pStyle w:val="Commentaire"/>
      </w:pPr>
      <w:r>
        <w:t>-</w:t>
      </w:r>
      <w:r w:rsidRPr="00BB5BFF">
        <w:t>This would allow us to better understand the course of the discussion</w:t>
      </w:r>
    </w:p>
  </w:comment>
  <w:comment w:id="29" w:author="Mr KAM" w:date="2025-08-21T13:28:00Z" w:initials="MK">
    <w:p w14:paraId="71445447" w14:textId="77777777" w:rsidR="00C662B5" w:rsidRDefault="00C662B5">
      <w:pPr>
        <w:pStyle w:val="Commentaire"/>
      </w:pPr>
      <w:r>
        <w:rPr>
          <w:rStyle w:val="Marquedecommentaire"/>
        </w:rPr>
        <w:annotationRef/>
      </w:r>
    </w:p>
    <w:p w14:paraId="152B4346" w14:textId="646A386C" w:rsidR="00C662B5" w:rsidRDefault="00C662B5">
      <w:pPr>
        <w:pStyle w:val="Commentaire"/>
      </w:pPr>
      <w:r w:rsidRPr="00C662B5">
        <w:t>The discussion can be done as a block, with these points taken into account</w:t>
      </w:r>
    </w:p>
  </w:comment>
  <w:comment w:id="31" w:author="Mr KAM" w:date="2025-08-21T13:31:00Z" w:initials="MK">
    <w:p w14:paraId="6464B6C5" w14:textId="77777777" w:rsidR="00C662B5" w:rsidRDefault="00C662B5">
      <w:pPr>
        <w:pStyle w:val="Commentaire"/>
      </w:pPr>
      <w:r>
        <w:rPr>
          <w:rStyle w:val="Marquedecommentaire"/>
        </w:rPr>
        <w:annotationRef/>
      </w:r>
    </w:p>
    <w:p w14:paraId="5A0377B3" w14:textId="6453B556" w:rsidR="00C662B5" w:rsidRDefault="00C662B5">
      <w:pPr>
        <w:pStyle w:val="Commentaire"/>
      </w:pPr>
      <w:proofErr w:type="spellStart"/>
      <w:r w:rsidRPr="00C662B5">
        <w:t>Phytochemistry</w:t>
      </w:r>
      <w:proofErr w:type="spellEnd"/>
      <w:r w:rsidRPr="00C662B5">
        <w:t xml:space="preserve"> is also recommended for standardization and quality control of extracts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D2166" w14:textId="77777777" w:rsidR="00646F79" w:rsidRDefault="00646F79" w:rsidP="00000FAE">
      <w:pPr>
        <w:spacing w:line="240" w:lineRule="auto"/>
      </w:pPr>
      <w:r>
        <w:separator/>
      </w:r>
    </w:p>
  </w:endnote>
  <w:endnote w:type="continuationSeparator" w:id="0">
    <w:p w14:paraId="487D2DE2" w14:textId="77777777" w:rsidR="00646F79" w:rsidRDefault="00646F79" w:rsidP="00000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6B968" w14:textId="77777777" w:rsidR="00000FAE" w:rsidRDefault="00000FA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2D1BF" w14:textId="77777777" w:rsidR="00000FAE" w:rsidRDefault="00000FA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19E34" w14:textId="77777777" w:rsidR="00000FAE" w:rsidRDefault="00000FA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24344" w14:textId="77777777" w:rsidR="00646F79" w:rsidRDefault="00646F79" w:rsidP="00000FAE">
      <w:pPr>
        <w:spacing w:line="240" w:lineRule="auto"/>
      </w:pPr>
      <w:r>
        <w:separator/>
      </w:r>
    </w:p>
  </w:footnote>
  <w:footnote w:type="continuationSeparator" w:id="0">
    <w:p w14:paraId="09801F4B" w14:textId="77777777" w:rsidR="00646F79" w:rsidRDefault="00646F79" w:rsidP="00000FA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6AB02" w14:textId="0FE86537" w:rsidR="00000FAE" w:rsidRDefault="00646F79">
    <w:pPr>
      <w:pStyle w:val="En-tte"/>
    </w:pPr>
    <w:r>
      <w:rPr>
        <w:noProof/>
      </w:rPr>
      <w:pict w14:anchorId="7A8D0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1254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BA293" w14:textId="295CC736" w:rsidR="00000FAE" w:rsidRDefault="00646F79">
    <w:pPr>
      <w:pStyle w:val="En-tte"/>
    </w:pPr>
    <w:r>
      <w:rPr>
        <w:noProof/>
      </w:rPr>
      <w:pict w14:anchorId="770C2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1254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38454" w14:textId="237FC631" w:rsidR="00000FAE" w:rsidRDefault="00646F79">
    <w:pPr>
      <w:pStyle w:val="En-tte"/>
    </w:pPr>
    <w:r>
      <w:rPr>
        <w:noProof/>
      </w:rPr>
      <w:pict w14:anchorId="6EB4A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1254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90D61"/>
    <w:multiLevelType w:val="multilevel"/>
    <w:tmpl w:val="A064A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BE5"/>
    <w:rsid w:val="00000FAE"/>
    <w:rsid w:val="001F6BB6"/>
    <w:rsid w:val="00227128"/>
    <w:rsid w:val="003E41BA"/>
    <w:rsid w:val="003F2506"/>
    <w:rsid w:val="00492BE5"/>
    <w:rsid w:val="00500E43"/>
    <w:rsid w:val="00551788"/>
    <w:rsid w:val="00600A22"/>
    <w:rsid w:val="00646F79"/>
    <w:rsid w:val="006F2AED"/>
    <w:rsid w:val="007B3C06"/>
    <w:rsid w:val="0082552D"/>
    <w:rsid w:val="00942BDA"/>
    <w:rsid w:val="009E6A9D"/>
    <w:rsid w:val="00BB5BFF"/>
    <w:rsid w:val="00BE4FF0"/>
    <w:rsid w:val="00C662B5"/>
    <w:rsid w:val="00CD2389"/>
    <w:rsid w:val="00D3673E"/>
    <w:rsid w:val="00F47C8D"/>
    <w:rsid w:val="00F56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D6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Lienhypertexte">
    <w:name w:val="Hyperlink"/>
    <w:basedOn w:val="Policepardfaut"/>
    <w:uiPriority w:val="99"/>
    <w:unhideWhenUsed/>
    <w:rsid w:val="0082552D"/>
    <w:rPr>
      <w:color w:val="0000FF" w:themeColor="hyperlink"/>
      <w:u w:val="single"/>
    </w:rPr>
  </w:style>
  <w:style w:type="paragraph" w:styleId="En-tte">
    <w:name w:val="header"/>
    <w:basedOn w:val="Normal"/>
    <w:link w:val="En-tteCar"/>
    <w:uiPriority w:val="99"/>
    <w:unhideWhenUsed/>
    <w:rsid w:val="00000FAE"/>
    <w:pPr>
      <w:tabs>
        <w:tab w:val="center" w:pos="4680"/>
        <w:tab w:val="right" w:pos="9360"/>
      </w:tabs>
      <w:spacing w:line="240" w:lineRule="auto"/>
    </w:pPr>
  </w:style>
  <w:style w:type="character" w:customStyle="1" w:styleId="En-tteCar">
    <w:name w:val="En-tête Car"/>
    <w:basedOn w:val="Policepardfaut"/>
    <w:link w:val="En-tte"/>
    <w:uiPriority w:val="99"/>
    <w:rsid w:val="00000FAE"/>
  </w:style>
  <w:style w:type="paragraph" w:styleId="Pieddepage">
    <w:name w:val="footer"/>
    <w:basedOn w:val="Normal"/>
    <w:link w:val="PieddepageCar"/>
    <w:uiPriority w:val="99"/>
    <w:unhideWhenUsed/>
    <w:rsid w:val="00000FAE"/>
    <w:pPr>
      <w:tabs>
        <w:tab w:val="center" w:pos="4680"/>
        <w:tab w:val="right" w:pos="9360"/>
      </w:tabs>
      <w:spacing w:line="240" w:lineRule="auto"/>
    </w:pPr>
  </w:style>
  <w:style w:type="character" w:customStyle="1" w:styleId="PieddepageCar">
    <w:name w:val="Pied de page Car"/>
    <w:basedOn w:val="Policepardfaut"/>
    <w:link w:val="Pieddepage"/>
    <w:uiPriority w:val="99"/>
    <w:rsid w:val="00000FAE"/>
  </w:style>
  <w:style w:type="character" w:styleId="Marquedecommentaire">
    <w:name w:val="annotation reference"/>
    <w:basedOn w:val="Policepardfaut"/>
    <w:uiPriority w:val="99"/>
    <w:semiHidden/>
    <w:unhideWhenUsed/>
    <w:rsid w:val="001F6BB6"/>
    <w:rPr>
      <w:sz w:val="16"/>
      <w:szCs w:val="16"/>
    </w:rPr>
  </w:style>
  <w:style w:type="paragraph" w:styleId="Commentaire">
    <w:name w:val="annotation text"/>
    <w:basedOn w:val="Normal"/>
    <w:link w:val="CommentaireCar"/>
    <w:uiPriority w:val="99"/>
    <w:semiHidden/>
    <w:unhideWhenUsed/>
    <w:rsid w:val="001F6BB6"/>
    <w:pPr>
      <w:spacing w:line="240" w:lineRule="auto"/>
    </w:pPr>
    <w:rPr>
      <w:sz w:val="20"/>
      <w:szCs w:val="20"/>
    </w:rPr>
  </w:style>
  <w:style w:type="character" w:customStyle="1" w:styleId="CommentaireCar">
    <w:name w:val="Commentaire Car"/>
    <w:basedOn w:val="Policepardfaut"/>
    <w:link w:val="Commentaire"/>
    <w:uiPriority w:val="99"/>
    <w:semiHidden/>
    <w:rsid w:val="001F6BB6"/>
    <w:rPr>
      <w:sz w:val="20"/>
      <w:szCs w:val="20"/>
    </w:rPr>
  </w:style>
  <w:style w:type="paragraph" w:styleId="Objetducommentaire">
    <w:name w:val="annotation subject"/>
    <w:basedOn w:val="Commentaire"/>
    <w:next w:val="Commentaire"/>
    <w:link w:val="ObjetducommentaireCar"/>
    <w:uiPriority w:val="99"/>
    <w:semiHidden/>
    <w:unhideWhenUsed/>
    <w:rsid w:val="001F6BB6"/>
    <w:rPr>
      <w:b/>
      <w:bCs/>
    </w:rPr>
  </w:style>
  <w:style w:type="character" w:customStyle="1" w:styleId="ObjetducommentaireCar">
    <w:name w:val="Objet du commentaire Car"/>
    <w:basedOn w:val="CommentaireCar"/>
    <w:link w:val="Objetducommentaire"/>
    <w:uiPriority w:val="99"/>
    <w:semiHidden/>
    <w:rsid w:val="001F6BB6"/>
    <w:rPr>
      <w:b/>
      <w:bCs/>
      <w:sz w:val="20"/>
      <w:szCs w:val="20"/>
    </w:rPr>
  </w:style>
  <w:style w:type="paragraph" w:styleId="Textedebulles">
    <w:name w:val="Balloon Text"/>
    <w:basedOn w:val="Normal"/>
    <w:link w:val="TextedebullesCar"/>
    <w:uiPriority w:val="99"/>
    <w:semiHidden/>
    <w:unhideWhenUsed/>
    <w:rsid w:val="001F6BB6"/>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6B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Lienhypertexte">
    <w:name w:val="Hyperlink"/>
    <w:basedOn w:val="Policepardfaut"/>
    <w:uiPriority w:val="99"/>
    <w:unhideWhenUsed/>
    <w:rsid w:val="0082552D"/>
    <w:rPr>
      <w:color w:val="0000FF" w:themeColor="hyperlink"/>
      <w:u w:val="single"/>
    </w:rPr>
  </w:style>
  <w:style w:type="paragraph" w:styleId="En-tte">
    <w:name w:val="header"/>
    <w:basedOn w:val="Normal"/>
    <w:link w:val="En-tteCar"/>
    <w:uiPriority w:val="99"/>
    <w:unhideWhenUsed/>
    <w:rsid w:val="00000FAE"/>
    <w:pPr>
      <w:tabs>
        <w:tab w:val="center" w:pos="4680"/>
        <w:tab w:val="right" w:pos="9360"/>
      </w:tabs>
      <w:spacing w:line="240" w:lineRule="auto"/>
    </w:pPr>
  </w:style>
  <w:style w:type="character" w:customStyle="1" w:styleId="En-tteCar">
    <w:name w:val="En-tête Car"/>
    <w:basedOn w:val="Policepardfaut"/>
    <w:link w:val="En-tte"/>
    <w:uiPriority w:val="99"/>
    <w:rsid w:val="00000FAE"/>
  </w:style>
  <w:style w:type="paragraph" w:styleId="Pieddepage">
    <w:name w:val="footer"/>
    <w:basedOn w:val="Normal"/>
    <w:link w:val="PieddepageCar"/>
    <w:uiPriority w:val="99"/>
    <w:unhideWhenUsed/>
    <w:rsid w:val="00000FAE"/>
    <w:pPr>
      <w:tabs>
        <w:tab w:val="center" w:pos="4680"/>
        <w:tab w:val="right" w:pos="9360"/>
      </w:tabs>
      <w:spacing w:line="240" w:lineRule="auto"/>
    </w:pPr>
  </w:style>
  <w:style w:type="character" w:customStyle="1" w:styleId="PieddepageCar">
    <w:name w:val="Pied de page Car"/>
    <w:basedOn w:val="Policepardfaut"/>
    <w:link w:val="Pieddepage"/>
    <w:uiPriority w:val="99"/>
    <w:rsid w:val="00000FAE"/>
  </w:style>
  <w:style w:type="character" w:styleId="Marquedecommentaire">
    <w:name w:val="annotation reference"/>
    <w:basedOn w:val="Policepardfaut"/>
    <w:uiPriority w:val="99"/>
    <w:semiHidden/>
    <w:unhideWhenUsed/>
    <w:rsid w:val="001F6BB6"/>
    <w:rPr>
      <w:sz w:val="16"/>
      <w:szCs w:val="16"/>
    </w:rPr>
  </w:style>
  <w:style w:type="paragraph" w:styleId="Commentaire">
    <w:name w:val="annotation text"/>
    <w:basedOn w:val="Normal"/>
    <w:link w:val="CommentaireCar"/>
    <w:uiPriority w:val="99"/>
    <w:semiHidden/>
    <w:unhideWhenUsed/>
    <w:rsid w:val="001F6BB6"/>
    <w:pPr>
      <w:spacing w:line="240" w:lineRule="auto"/>
    </w:pPr>
    <w:rPr>
      <w:sz w:val="20"/>
      <w:szCs w:val="20"/>
    </w:rPr>
  </w:style>
  <w:style w:type="character" w:customStyle="1" w:styleId="CommentaireCar">
    <w:name w:val="Commentaire Car"/>
    <w:basedOn w:val="Policepardfaut"/>
    <w:link w:val="Commentaire"/>
    <w:uiPriority w:val="99"/>
    <w:semiHidden/>
    <w:rsid w:val="001F6BB6"/>
    <w:rPr>
      <w:sz w:val="20"/>
      <w:szCs w:val="20"/>
    </w:rPr>
  </w:style>
  <w:style w:type="paragraph" w:styleId="Objetducommentaire">
    <w:name w:val="annotation subject"/>
    <w:basedOn w:val="Commentaire"/>
    <w:next w:val="Commentaire"/>
    <w:link w:val="ObjetducommentaireCar"/>
    <w:uiPriority w:val="99"/>
    <w:semiHidden/>
    <w:unhideWhenUsed/>
    <w:rsid w:val="001F6BB6"/>
    <w:rPr>
      <w:b/>
      <w:bCs/>
    </w:rPr>
  </w:style>
  <w:style w:type="character" w:customStyle="1" w:styleId="ObjetducommentaireCar">
    <w:name w:val="Objet du commentaire Car"/>
    <w:basedOn w:val="CommentaireCar"/>
    <w:link w:val="Objetducommentaire"/>
    <w:uiPriority w:val="99"/>
    <w:semiHidden/>
    <w:rsid w:val="001F6BB6"/>
    <w:rPr>
      <w:b/>
      <w:bCs/>
      <w:sz w:val="20"/>
      <w:szCs w:val="20"/>
    </w:rPr>
  </w:style>
  <w:style w:type="paragraph" w:styleId="Textedebulles">
    <w:name w:val="Balloon Text"/>
    <w:basedOn w:val="Normal"/>
    <w:link w:val="TextedebullesCar"/>
    <w:uiPriority w:val="99"/>
    <w:semiHidden/>
    <w:unhideWhenUsed/>
    <w:rsid w:val="001F6BB6"/>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6B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13</Pages>
  <Words>4349</Words>
  <Characters>23924</Characters>
  <Application>Microsoft Office Word</Application>
  <DocSecurity>0</DocSecurity>
  <Lines>199</Lines>
  <Paragraphs>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Mr KAM</cp:lastModifiedBy>
  <cp:revision>16</cp:revision>
  <dcterms:created xsi:type="dcterms:W3CDTF">2025-08-16T15:36:00Z</dcterms:created>
  <dcterms:modified xsi:type="dcterms:W3CDTF">2025-08-21T13:57:00Z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6255c539-dcae-4157-8d54-adda34e29a26</vt:lpwstr>
  </property>
</Properties>
</file>