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0293D">
      <w:pPr>
        <w:spacing w:line="240" w:lineRule="auto"/>
        <w:jc w:val="center"/>
        <w:rPr>
          <w:rFonts w:cstheme="minorHAnsi"/>
          <w:b/>
          <w:sz w:val="28"/>
        </w:rPr>
      </w:pPr>
      <w:r>
        <w:rPr>
          <w:rFonts w:cstheme="minorHAnsi"/>
          <w:b/>
          <w:sz w:val="28"/>
        </w:rPr>
        <w:t>Impact of pesticide treated mulberry leaves on cocoon traits of silkworm hybrid FC2</w:t>
      </w:r>
    </w:p>
    <w:p w14:paraId="6F8AFF88">
      <w:pPr>
        <w:pStyle w:val="11"/>
        <w:jc w:val="both"/>
        <w:rPr>
          <w:rFonts w:asciiTheme="minorHAnsi" w:hAnsiTheme="minorHAnsi" w:cstheme="minorHAnsi"/>
          <w:b/>
        </w:rPr>
      </w:pPr>
      <w:r>
        <w:rPr>
          <w:rFonts w:asciiTheme="minorHAnsi" w:hAnsiTheme="minorHAnsi" w:cstheme="minorHAnsi"/>
          <w:b/>
        </w:rPr>
        <w:t>Abstract</w:t>
      </w:r>
    </w:p>
    <w:p w14:paraId="082D52C7">
      <w:pPr>
        <w:pStyle w:val="11"/>
        <w:jc w:val="both"/>
        <w:rPr>
          <w:rFonts w:asciiTheme="minorHAnsi" w:hAnsiTheme="minorHAnsi" w:cstheme="minorHAnsi"/>
        </w:rPr>
      </w:pPr>
      <w:r>
        <w:rPr>
          <w:rFonts w:asciiTheme="minorHAnsi" w:hAnsiTheme="minorHAnsi" w:cstheme="minorHAnsi"/>
          <w:b/>
        </w:rPr>
        <w:tab/>
      </w:r>
      <w:r>
        <w:rPr>
          <w:rFonts w:asciiTheme="minorHAnsi" w:hAnsiTheme="minorHAnsi" w:cstheme="minorHAnsi"/>
        </w:rPr>
        <w:t xml:space="preserve">A bioassay was conducted to evaluate the effects of feeding pesticide-treated mulberry leaves on cocoon parameters of silkworm hybrid FC2. Five pesticides which are used for mulberry pest management were applied at recommended label doses and silkworms were fed with treated leaves at 5, 10, 15 and 20 days after spraying (DAS) to assess residual effect. Among the treatments, </w:t>
      </w:r>
      <w:r>
        <w:rPr>
          <w:rStyle w:val="12"/>
          <w:rFonts w:asciiTheme="minorHAnsi" w:hAnsiTheme="minorHAnsi" w:cstheme="minorHAnsi"/>
          <w:b w:val="0"/>
        </w:rPr>
        <w:t>Azadirachtin 1% (2 mL/L)</w:t>
      </w:r>
      <w:r>
        <w:rPr>
          <w:rFonts w:asciiTheme="minorHAnsi" w:hAnsiTheme="minorHAnsi" w:cstheme="minorHAnsi"/>
        </w:rPr>
        <w:t xml:space="preserve"> and </w:t>
      </w:r>
      <w:r>
        <w:rPr>
          <w:rStyle w:val="12"/>
          <w:rFonts w:asciiTheme="minorHAnsi" w:hAnsiTheme="minorHAnsi" w:cstheme="minorHAnsi"/>
          <w:b w:val="0"/>
        </w:rPr>
        <w:t>Chlorfenapyr 10 SC (1.5 mL/L)</w:t>
      </w:r>
      <w:r>
        <w:rPr>
          <w:rFonts w:asciiTheme="minorHAnsi" w:hAnsiTheme="minorHAnsi" w:cstheme="minorHAnsi"/>
        </w:rPr>
        <w:t xml:space="preserve"> significantly reduced cocoon yield, cocoon shell weight and shell ratio particularly at 5 and 10 DAS. In contrast, the botanical pesticide </w:t>
      </w:r>
      <w:r>
        <w:rPr>
          <w:rStyle w:val="12"/>
          <w:rFonts w:asciiTheme="minorHAnsi" w:hAnsiTheme="minorHAnsi" w:cstheme="minorHAnsi"/>
          <w:b w:val="0"/>
        </w:rPr>
        <w:t>Orgomite (2.5 mL/L)</w:t>
      </w:r>
      <w:r>
        <w:rPr>
          <w:rFonts w:asciiTheme="minorHAnsi" w:hAnsiTheme="minorHAnsi" w:cstheme="minorHAnsi"/>
        </w:rPr>
        <w:t xml:space="preserve"> consistently recorded the highest values for cocoon yield, shell weight and shell ratio </w:t>
      </w:r>
      <w:r>
        <w:commentReference w:id="0"/>
      </w:r>
      <w:r>
        <w:rPr>
          <w:rFonts w:asciiTheme="minorHAnsi" w:hAnsiTheme="minorHAnsi" w:cstheme="minorHAnsi"/>
        </w:rPr>
        <w:t xml:space="preserve">indicating minimal adverse effects. </w:t>
      </w:r>
      <w:r>
        <w:rPr>
          <w:rStyle w:val="12"/>
          <w:rFonts w:asciiTheme="minorHAnsi" w:hAnsiTheme="minorHAnsi" w:cstheme="minorHAnsi"/>
          <w:b w:val="0"/>
        </w:rPr>
        <w:t>Wettable Sulphur 80 WP (2 g/L)</w:t>
      </w:r>
      <w:r>
        <w:rPr>
          <w:rFonts w:asciiTheme="minorHAnsi" w:hAnsiTheme="minorHAnsi" w:cstheme="minorHAnsi"/>
        </w:rPr>
        <w:t xml:space="preserve"> and </w:t>
      </w:r>
      <w:r>
        <w:rPr>
          <w:rStyle w:val="12"/>
          <w:rFonts w:asciiTheme="minorHAnsi" w:hAnsiTheme="minorHAnsi" w:cstheme="minorHAnsi"/>
          <w:b w:val="0"/>
        </w:rPr>
        <w:t>Era Safeguard (2.5 mL/L)</w:t>
      </w:r>
      <w:r>
        <w:rPr>
          <w:rFonts w:asciiTheme="minorHAnsi" w:hAnsiTheme="minorHAnsi" w:cstheme="minorHAnsi"/>
        </w:rPr>
        <w:t xml:space="preserve"> had moderate impacts with partial reductions in cocoon parameters. Differences among treatments diminished by 15 and 20 DAS suggesting reduced toxicity over time. Overall, </w:t>
      </w:r>
      <w:r>
        <w:rPr>
          <w:rStyle w:val="12"/>
          <w:rFonts w:asciiTheme="minorHAnsi" w:hAnsiTheme="minorHAnsi" w:cstheme="minorHAnsi"/>
          <w:b w:val="0"/>
        </w:rPr>
        <w:t>Orgomite</w:t>
      </w:r>
      <w:r>
        <w:rPr>
          <w:rFonts w:asciiTheme="minorHAnsi" w:hAnsiTheme="minorHAnsi" w:cstheme="minorHAnsi"/>
        </w:rPr>
        <w:t xml:space="preserve"> was identified as the safest treatment with favorable cocoon traits, while </w:t>
      </w:r>
      <w:r>
        <w:rPr>
          <w:rStyle w:val="12"/>
          <w:rFonts w:asciiTheme="minorHAnsi" w:hAnsiTheme="minorHAnsi" w:cstheme="minorHAnsi"/>
          <w:b w:val="0"/>
        </w:rPr>
        <w:t>Chlorfenapyr 10 SC</w:t>
      </w:r>
      <w:r>
        <w:rPr>
          <w:rFonts w:asciiTheme="minorHAnsi" w:hAnsiTheme="minorHAnsi" w:cstheme="minorHAnsi"/>
        </w:rPr>
        <w:t xml:space="preserve"> required a longer safety interval to minimize its negative effects. The study highlights the importance of considering pesticide residue effects and waiting periods in sericulture to ensure optimal cocoon quality.</w:t>
      </w:r>
    </w:p>
    <w:p w14:paraId="5943E030">
      <w:pPr>
        <w:pStyle w:val="11"/>
        <w:jc w:val="both"/>
        <w:rPr>
          <w:rFonts w:asciiTheme="minorHAnsi" w:hAnsiTheme="minorHAnsi" w:cstheme="minorHAnsi"/>
          <w:b/>
        </w:rPr>
      </w:pPr>
      <w:r>
        <w:rPr>
          <w:rFonts w:asciiTheme="minorHAnsi" w:hAnsiTheme="minorHAnsi" w:cstheme="minorHAnsi"/>
          <w:b/>
        </w:rPr>
        <w:t xml:space="preserve">Keywords: </w:t>
      </w:r>
      <w:r>
        <w:rPr>
          <w:rFonts w:asciiTheme="minorHAnsi" w:hAnsiTheme="minorHAnsi" w:cstheme="minorHAnsi"/>
        </w:rPr>
        <w:t>Mulberry, Pesticide, Silkworm, Cocoon</w:t>
      </w:r>
      <w:r>
        <w:commentReference w:id="1"/>
      </w:r>
      <w:r>
        <w:rPr>
          <w:rFonts w:asciiTheme="minorHAnsi" w:hAnsiTheme="minorHAnsi" w:cstheme="minorHAnsi"/>
        </w:rPr>
        <w:t>.</w:t>
      </w:r>
      <w:r>
        <w:rPr>
          <w:rFonts w:asciiTheme="minorHAnsi" w:hAnsiTheme="minorHAnsi" w:cstheme="minorHAnsi"/>
          <w:b/>
        </w:rPr>
        <w:t xml:space="preserve"> </w:t>
      </w:r>
    </w:p>
    <w:p w14:paraId="58448A20">
      <w:pPr>
        <w:pStyle w:val="11"/>
        <w:jc w:val="both"/>
        <w:rPr>
          <w:rFonts w:asciiTheme="minorHAnsi" w:hAnsiTheme="minorHAnsi" w:cstheme="minorHAnsi"/>
          <w:b/>
        </w:rPr>
      </w:pPr>
      <w:r>
        <w:rPr>
          <w:rFonts w:asciiTheme="minorHAnsi" w:hAnsiTheme="minorHAnsi" w:cstheme="minorHAnsi"/>
          <w:b/>
        </w:rPr>
        <w:t>Introduction</w:t>
      </w:r>
    </w:p>
    <w:p w14:paraId="15B96361">
      <w:pPr>
        <w:pStyle w:val="11"/>
        <w:ind w:firstLine="720"/>
        <w:jc w:val="both"/>
        <w:rPr>
          <w:rFonts w:asciiTheme="minorHAnsi" w:hAnsiTheme="minorHAnsi" w:cstheme="minorHAnsi"/>
        </w:rPr>
      </w:pPr>
      <w:r>
        <w:rPr>
          <w:rFonts w:asciiTheme="minorHAnsi" w:hAnsiTheme="minorHAnsi" w:cstheme="minorHAnsi"/>
        </w:rPr>
        <w:t xml:space="preserve">Silkworm cultivation is a vital component of the silk industry, especially in sericulture-dominant countries such as India, China and Japan, where it provides livelihood support to numerous rural families. The success of silkworm rearing largely depends on the nutritional quality of mulberry leaves, which are the exclusive diet of the domesticated silkworm, </w:t>
      </w:r>
      <w:r>
        <w:rPr>
          <w:rStyle w:val="7"/>
          <w:rFonts w:asciiTheme="minorHAnsi" w:hAnsiTheme="minorHAnsi" w:cstheme="minorHAnsi"/>
        </w:rPr>
        <w:t>Bombyx mori</w:t>
      </w:r>
      <w:r>
        <w:rPr>
          <w:rFonts w:asciiTheme="minorHAnsi" w:hAnsiTheme="minorHAnsi" w:cstheme="minorHAnsi"/>
        </w:rPr>
        <w:t xml:space="preserve">. However, mulberry crops are frequently attacked by a variety of insect pests, necessitating the application of insecticides to protect leaf yield and maintain plant health. Although effective in pest control, these chemical agents often leave residues on the foliage, which may be detrimental to the silkworm when consumed. When silkworms feed </w:t>
      </w:r>
      <w:r>
        <w:commentReference w:id="2"/>
      </w:r>
      <w:r>
        <w:rPr>
          <w:rFonts w:asciiTheme="minorHAnsi" w:hAnsiTheme="minorHAnsi" w:cstheme="minorHAnsi"/>
        </w:rPr>
        <w:t xml:space="preserve">on insecticide-contaminated mulberry leaves, their physiological functions may be significantly impaired. Due to their delicate structure and single-food habit, silkworms are highly vulnerable to even trace amounts of chemical residues. These residues may interfere with digestion, disrupt hormonal regulation and induce oxidative damage, ultimately affecting silk gland function. Such physiological disruptions can hinder larval development and reduce survival which in turn impacts cocoon formation (Balavenkatasubbaiah </w:t>
      </w:r>
      <w:r>
        <w:rPr>
          <w:rFonts w:asciiTheme="minorHAnsi" w:hAnsiTheme="minorHAnsi" w:cstheme="minorHAnsi"/>
          <w:i/>
        </w:rPr>
        <w:t>et al</w:t>
      </w:r>
      <w:r>
        <w:rPr>
          <w:rFonts w:asciiTheme="minorHAnsi" w:hAnsiTheme="minorHAnsi" w:cstheme="minorHAnsi"/>
        </w:rPr>
        <w:t>., 2003).</w:t>
      </w:r>
    </w:p>
    <w:p w14:paraId="25B2BACB">
      <w:pPr>
        <w:pStyle w:val="11"/>
        <w:ind w:firstLine="720"/>
        <w:jc w:val="both"/>
        <w:rPr>
          <w:rFonts w:asciiTheme="minorHAnsi" w:hAnsiTheme="minorHAnsi" w:cstheme="minorHAnsi"/>
        </w:rPr>
      </w:pPr>
      <w:r>
        <w:rPr>
          <w:rFonts w:asciiTheme="minorHAnsi" w:hAnsiTheme="minorHAnsi" w:cstheme="minorHAnsi"/>
        </w:rPr>
        <w:t xml:space="preserve">Key cocoon characteristics such as total cocoon weight, shell weight and shell percentage are essential economic traits in sericulture. These parameters determine the quantity and quality of silk that can be extracted. Any negative influence on them reduces overall silk productivity and financial returns. Several research findings have pointed to the toxic effects of insecticides such as monocrotophos, cypermethrin and chlorpyrifos, even at minimal exposure levels particularly in relation to silk gland development and protein synthesis. The severity of pesticide impact on silkworms is influenced by factors such as the type of chemical used, persistence of its residue and the time gap between spraying and leaf harvest (Ramesh Babu </w:t>
      </w:r>
      <w:r>
        <w:rPr>
          <w:rFonts w:asciiTheme="minorHAnsi" w:hAnsiTheme="minorHAnsi" w:cstheme="minorHAnsi"/>
          <w:i/>
        </w:rPr>
        <w:t>et al</w:t>
      </w:r>
      <w:r>
        <w:rPr>
          <w:rFonts w:asciiTheme="minorHAnsi" w:hAnsiTheme="minorHAnsi" w:cstheme="minorHAnsi"/>
        </w:rPr>
        <w:t>., 2013). Leaves collected soon after pesticide application often retain high levels of residues, increasing the likelihood of toxic exposure. Therefore, there is a pressing need to determine safe harvesting intervals and to encourage the adoption of integrated pest management (IPM) approaches that reduce dependency on chemical pesticides.</w:t>
      </w:r>
    </w:p>
    <w:p w14:paraId="66F7BE40">
      <w:pPr>
        <w:pStyle w:val="11"/>
        <w:ind w:firstLine="720"/>
        <w:jc w:val="both"/>
        <w:rPr>
          <w:rFonts w:asciiTheme="minorHAnsi" w:hAnsiTheme="minorHAnsi" w:cstheme="minorHAnsi"/>
        </w:rPr>
      </w:pPr>
      <w:r>
        <w:rPr>
          <w:rFonts w:asciiTheme="minorHAnsi" w:hAnsiTheme="minorHAnsi" w:cstheme="minorHAnsi"/>
        </w:rPr>
        <w:t>In this context, the current investigation was conducted to analyse the influence of frequently used insecticides on the cocoon characteristics of bivoltine silkworm hybrid FC2. The study involved feeding silkworms with mulberry leaves treated with pesticides at different post-application intervals. The aim was to evaluate changes in economically important cocoon traits and to emphasize the importance of pesticide residue regulation in sustainable and profitable sericulture practices.</w:t>
      </w:r>
    </w:p>
    <w:p w14:paraId="3B66F899">
      <w:pPr>
        <w:pStyle w:val="11"/>
        <w:jc w:val="both"/>
        <w:rPr>
          <w:rFonts w:asciiTheme="minorHAnsi" w:hAnsiTheme="minorHAnsi" w:cstheme="minorHAnsi"/>
          <w:b/>
        </w:rPr>
      </w:pPr>
      <w:r>
        <w:rPr>
          <w:rFonts w:asciiTheme="minorHAnsi" w:hAnsiTheme="minorHAnsi" w:cstheme="minorHAnsi"/>
          <w:b/>
        </w:rPr>
        <w:t>Material and Methods</w:t>
      </w:r>
    </w:p>
    <w:p w14:paraId="31895DB8">
      <w:pPr>
        <w:spacing w:before="100" w:beforeAutospacing="1" w:after="100" w:afterAutospacing="1" w:line="240" w:lineRule="auto"/>
        <w:ind w:firstLine="720"/>
        <w:jc w:val="both"/>
        <w:rPr>
          <w:rFonts w:eastAsia="Times New Roman" w:cstheme="minorHAnsi"/>
          <w:sz w:val="24"/>
          <w:szCs w:val="24"/>
          <w:lang w:eastAsia="en-IN"/>
        </w:rPr>
      </w:pPr>
      <w:r>
        <w:rPr>
          <w:rFonts w:eastAsia="Times New Roman" w:cstheme="minorHAnsi"/>
          <w:sz w:val="24"/>
          <w:szCs w:val="24"/>
          <w:lang w:eastAsia="en-IN"/>
        </w:rPr>
        <w:t xml:space="preserve">The study was conducted during the year </w:t>
      </w:r>
      <w:r>
        <w:rPr>
          <w:rFonts w:eastAsia="Times New Roman" w:cstheme="minorHAnsi"/>
          <w:bCs/>
          <w:sz w:val="24"/>
          <w:szCs w:val="24"/>
          <w:lang w:eastAsia="en-IN"/>
        </w:rPr>
        <w:t>2022-23</w:t>
      </w:r>
      <w:r>
        <w:rPr>
          <w:rFonts w:eastAsia="Times New Roman" w:cstheme="minorHAnsi"/>
          <w:sz w:val="24"/>
          <w:szCs w:val="24"/>
          <w:lang w:eastAsia="en-IN"/>
        </w:rPr>
        <w:t xml:space="preserve"> at the </w:t>
      </w:r>
      <w:r>
        <w:rPr>
          <w:rFonts w:eastAsia="Times New Roman" w:cstheme="minorHAnsi"/>
          <w:bCs/>
          <w:sz w:val="24"/>
          <w:szCs w:val="24"/>
          <w:lang w:eastAsia="en-IN"/>
        </w:rPr>
        <w:t>College of Agriculture, Chamarajanagara</w:t>
      </w:r>
      <w:r>
        <w:rPr>
          <w:rFonts w:eastAsia="Times New Roman" w:cstheme="minorHAnsi"/>
          <w:sz w:val="24"/>
          <w:szCs w:val="24"/>
          <w:lang w:eastAsia="en-IN"/>
        </w:rPr>
        <w:t xml:space="preserve">, in a well-established </w:t>
      </w:r>
      <w:r>
        <w:rPr>
          <w:rFonts w:eastAsia="Times New Roman" w:cstheme="minorHAnsi"/>
          <w:bCs/>
          <w:sz w:val="24"/>
          <w:szCs w:val="24"/>
          <w:lang w:eastAsia="en-IN"/>
        </w:rPr>
        <w:t>V-1 mulberry garden</w:t>
      </w:r>
      <w:r>
        <w:rPr>
          <w:rFonts w:eastAsia="Times New Roman" w:cstheme="minorHAnsi"/>
          <w:sz w:val="24"/>
          <w:szCs w:val="24"/>
          <w:lang w:eastAsia="en-IN"/>
        </w:rPr>
        <w:t xml:space="preserve">. The objective was to evaluate the impact of feeding silkworms with </w:t>
      </w:r>
      <w:r>
        <w:rPr>
          <w:rFonts w:eastAsia="Times New Roman" w:cstheme="minorHAnsi"/>
          <w:bCs/>
          <w:sz w:val="24"/>
          <w:szCs w:val="24"/>
          <w:lang w:eastAsia="en-IN"/>
        </w:rPr>
        <w:t>insecticide treated mulberry leaves</w:t>
      </w:r>
      <w:r>
        <w:rPr>
          <w:rFonts w:eastAsia="Times New Roman" w:cstheme="minorHAnsi"/>
          <w:sz w:val="24"/>
          <w:szCs w:val="24"/>
          <w:lang w:eastAsia="en-IN"/>
        </w:rPr>
        <w:t xml:space="preserve"> on cocoon characteristics. For this purpose, </w:t>
      </w:r>
      <w:r>
        <w:rPr>
          <w:rFonts w:eastAsia="Times New Roman" w:cstheme="minorHAnsi"/>
          <w:bCs/>
          <w:sz w:val="24"/>
          <w:szCs w:val="24"/>
          <w:lang w:eastAsia="en-IN"/>
        </w:rPr>
        <w:t>commercial bivoltine silkworm hybrids FC2</w:t>
      </w:r>
      <w:r>
        <w:rPr>
          <w:rFonts w:eastAsia="Times New Roman" w:cstheme="minorHAnsi"/>
          <w:sz w:val="24"/>
          <w:szCs w:val="24"/>
          <w:lang w:eastAsia="en-IN"/>
        </w:rPr>
        <w:t xml:space="preserve"> were reared according to the </w:t>
      </w:r>
      <w:r>
        <w:rPr>
          <w:rFonts w:eastAsia="Times New Roman" w:cstheme="minorHAnsi"/>
          <w:bCs/>
          <w:sz w:val="24"/>
          <w:szCs w:val="24"/>
          <w:lang w:eastAsia="en-IN"/>
        </w:rPr>
        <w:t>standard rearing protocols</w:t>
      </w:r>
      <w:r>
        <w:rPr>
          <w:rFonts w:eastAsia="Times New Roman" w:cstheme="minorHAnsi"/>
          <w:sz w:val="24"/>
          <w:szCs w:val="24"/>
          <w:lang w:eastAsia="en-IN"/>
        </w:rPr>
        <w:t xml:space="preserve"> prescribed by </w:t>
      </w:r>
      <w:r>
        <w:rPr>
          <w:rFonts w:eastAsia="Times New Roman" w:cstheme="minorHAnsi"/>
          <w:bCs/>
          <w:sz w:val="24"/>
          <w:szCs w:val="24"/>
          <w:lang w:eastAsia="en-IN"/>
        </w:rPr>
        <w:t>Dandin and Giridhar (2014)</w:t>
      </w:r>
      <w:r>
        <w:rPr>
          <w:rFonts w:eastAsia="Times New Roman" w:cstheme="minorHAnsi"/>
          <w:sz w:val="24"/>
          <w:szCs w:val="24"/>
          <w:lang w:eastAsia="en-IN"/>
        </w:rPr>
        <w:t xml:space="preserve">.  Post-hatching, the larvae were transferred from the egg sheets to paraffin-lined rearing trays and fed with tender, finely chopped </w:t>
      </w:r>
      <w:r>
        <w:rPr>
          <w:rFonts w:eastAsia="Times New Roman" w:cstheme="minorHAnsi"/>
          <w:bCs/>
          <w:sz w:val="24"/>
          <w:szCs w:val="24"/>
          <w:lang w:eastAsia="en-IN"/>
        </w:rPr>
        <w:t>V-1 mulberry leaves</w:t>
      </w:r>
      <w:r>
        <w:rPr>
          <w:rFonts w:eastAsia="Times New Roman" w:cstheme="minorHAnsi"/>
          <w:sz w:val="24"/>
          <w:szCs w:val="24"/>
          <w:lang w:eastAsia="en-IN"/>
        </w:rPr>
        <w:t xml:space="preserve"> until the end of the </w:t>
      </w:r>
      <w:r>
        <w:rPr>
          <w:rFonts w:eastAsia="Times New Roman" w:cstheme="minorHAnsi"/>
          <w:bCs/>
          <w:sz w:val="24"/>
          <w:szCs w:val="24"/>
          <w:lang w:eastAsia="en-IN"/>
        </w:rPr>
        <w:t>fourth instar</w:t>
      </w:r>
      <w:r>
        <w:rPr>
          <w:rFonts w:eastAsia="Times New Roman" w:cstheme="minorHAnsi"/>
          <w:sz w:val="24"/>
          <w:szCs w:val="24"/>
          <w:lang w:eastAsia="en-IN"/>
        </w:rPr>
        <w:t xml:space="preserve">. After 30 minutes of initial feeding in the fourth instar, </w:t>
      </w:r>
      <w:r>
        <w:rPr>
          <w:rFonts w:eastAsia="Times New Roman" w:cstheme="minorHAnsi"/>
          <w:bCs/>
          <w:sz w:val="24"/>
          <w:szCs w:val="24"/>
          <w:lang w:eastAsia="en-IN"/>
        </w:rPr>
        <w:t>50 larvae</w:t>
      </w:r>
      <w:r>
        <w:rPr>
          <w:rFonts w:eastAsia="Times New Roman" w:cstheme="minorHAnsi"/>
          <w:sz w:val="24"/>
          <w:szCs w:val="24"/>
          <w:lang w:eastAsia="en-IN"/>
        </w:rPr>
        <w:t xml:space="preserve"> were carefully shifted to trays designated for each treatment. During the </w:t>
      </w:r>
      <w:r>
        <w:rPr>
          <w:rFonts w:eastAsia="Times New Roman" w:cstheme="minorHAnsi"/>
          <w:bCs/>
          <w:sz w:val="24"/>
          <w:szCs w:val="24"/>
          <w:lang w:eastAsia="en-IN"/>
        </w:rPr>
        <w:t>fifth instar</w:t>
      </w:r>
      <w:r>
        <w:rPr>
          <w:rFonts w:eastAsia="Times New Roman" w:cstheme="minorHAnsi"/>
          <w:sz w:val="24"/>
          <w:szCs w:val="24"/>
          <w:lang w:eastAsia="en-IN"/>
        </w:rPr>
        <w:t xml:space="preserve">, the experimental groups were provided with leaves treated with different insecticides: </w:t>
      </w:r>
      <w:r>
        <w:rPr>
          <w:rFonts w:eastAsia="Times New Roman" w:cstheme="minorHAnsi"/>
          <w:bCs/>
          <w:sz w:val="24"/>
          <w:szCs w:val="24"/>
          <w:lang w:eastAsia="en-IN"/>
        </w:rPr>
        <w:t>Chlorfenapyr 10 SC (1.5 mL/L)</w:t>
      </w:r>
      <w:r>
        <w:rPr>
          <w:rFonts w:eastAsia="Times New Roman" w:cstheme="minorHAnsi"/>
          <w:sz w:val="24"/>
          <w:szCs w:val="24"/>
          <w:lang w:eastAsia="en-IN"/>
        </w:rPr>
        <w:t xml:space="preserve">, </w:t>
      </w:r>
      <w:r>
        <w:rPr>
          <w:rFonts w:eastAsia="Times New Roman" w:cstheme="minorHAnsi"/>
          <w:bCs/>
          <w:sz w:val="24"/>
          <w:szCs w:val="24"/>
          <w:lang w:eastAsia="en-IN"/>
        </w:rPr>
        <w:t>Wettable Sulphur 80 WP (2 g/L)</w:t>
      </w:r>
      <w:r>
        <w:rPr>
          <w:rFonts w:eastAsia="Times New Roman" w:cstheme="minorHAnsi"/>
          <w:sz w:val="24"/>
          <w:szCs w:val="24"/>
          <w:lang w:eastAsia="en-IN"/>
        </w:rPr>
        <w:t xml:space="preserve">, </w:t>
      </w:r>
      <w:r>
        <w:rPr>
          <w:rFonts w:eastAsia="Times New Roman" w:cstheme="minorHAnsi"/>
          <w:bCs/>
          <w:sz w:val="24"/>
          <w:szCs w:val="24"/>
          <w:lang w:eastAsia="en-IN"/>
        </w:rPr>
        <w:t>Orgomite (2.5 mL/L)</w:t>
      </w:r>
      <w:r>
        <w:rPr>
          <w:rFonts w:eastAsia="Times New Roman" w:cstheme="minorHAnsi"/>
          <w:sz w:val="24"/>
          <w:szCs w:val="24"/>
          <w:lang w:eastAsia="en-IN"/>
        </w:rPr>
        <w:t xml:space="preserve">, </w:t>
      </w:r>
      <w:r>
        <w:rPr>
          <w:rFonts w:eastAsia="Times New Roman" w:cstheme="minorHAnsi"/>
          <w:bCs/>
          <w:sz w:val="24"/>
          <w:szCs w:val="24"/>
          <w:lang w:eastAsia="en-IN"/>
        </w:rPr>
        <w:t>Era Safeguard (2.5 mL/L)</w:t>
      </w:r>
      <w:r>
        <w:rPr>
          <w:rFonts w:eastAsia="Times New Roman" w:cstheme="minorHAnsi"/>
          <w:sz w:val="24"/>
          <w:szCs w:val="24"/>
          <w:lang w:eastAsia="en-IN"/>
        </w:rPr>
        <w:t xml:space="preserve"> and </w:t>
      </w:r>
      <w:r>
        <w:rPr>
          <w:rFonts w:eastAsia="Times New Roman" w:cstheme="minorHAnsi"/>
          <w:bCs/>
          <w:sz w:val="24"/>
          <w:szCs w:val="24"/>
          <w:lang w:eastAsia="en-IN"/>
        </w:rPr>
        <w:t>Azadirachtin 1% (2 mL/L)</w:t>
      </w:r>
      <w:r>
        <w:rPr>
          <w:rFonts w:eastAsia="Times New Roman" w:cstheme="minorHAnsi"/>
          <w:sz w:val="24"/>
          <w:szCs w:val="24"/>
          <w:lang w:eastAsia="en-IN"/>
        </w:rPr>
        <w:t xml:space="preserve">. These treatments were applied at </w:t>
      </w:r>
      <w:r>
        <w:rPr>
          <w:rFonts w:eastAsia="Times New Roman" w:cstheme="minorHAnsi"/>
          <w:bCs/>
          <w:sz w:val="24"/>
          <w:szCs w:val="24"/>
          <w:lang w:eastAsia="en-IN"/>
        </w:rPr>
        <w:t>5, 10, 15 and 20 days after spraying (DAS)</w:t>
      </w:r>
      <w:r>
        <w:rPr>
          <w:rFonts w:eastAsia="Times New Roman" w:cstheme="minorHAnsi"/>
          <w:sz w:val="24"/>
          <w:szCs w:val="24"/>
          <w:lang w:eastAsia="en-IN"/>
        </w:rPr>
        <w:t xml:space="preserve"> to study the residual toxicity over time.</w:t>
      </w:r>
    </w:p>
    <w:p w14:paraId="44954D88">
      <w:pPr>
        <w:pStyle w:val="11"/>
        <w:jc w:val="both"/>
        <w:rPr>
          <w:rFonts w:asciiTheme="minorHAnsi" w:hAnsiTheme="minorHAnsi" w:cstheme="minorHAnsi"/>
          <w:b/>
        </w:rPr>
      </w:pPr>
      <w:r>
        <w:rPr>
          <w:rFonts w:asciiTheme="minorHAnsi" w:hAnsiTheme="minorHAnsi" w:cstheme="minorHAnsi"/>
          <w:b/>
        </w:rPr>
        <w:t>Results and Discussion</w:t>
      </w:r>
    </w:p>
    <w:p w14:paraId="7F8504B4">
      <w:pPr>
        <w:spacing w:line="240" w:lineRule="auto"/>
        <w:rPr>
          <w:rFonts w:cstheme="minorHAnsi"/>
          <w:b/>
          <w:sz w:val="24"/>
          <w:szCs w:val="24"/>
        </w:rPr>
      </w:pPr>
      <w:r>
        <w:rPr>
          <w:rFonts w:eastAsia="Times New Roman" w:cstheme="minorHAnsi"/>
          <w:b/>
          <w:sz w:val="24"/>
          <w:szCs w:val="24"/>
        </w:rPr>
        <w:t>Cocoon yield by weight</w:t>
      </w:r>
      <w:r>
        <w:rPr>
          <w:rFonts w:cstheme="minorHAnsi"/>
          <w:sz w:val="24"/>
          <w:szCs w:val="24"/>
        </w:rPr>
        <w:t xml:space="preserve"> </w:t>
      </w:r>
      <w:r>
        <w:rPr>
          <w:rFonts w:cstheme="minorHAnsi"/>
          <w:b/>
          <w:sz w:val="24"/>
          <w:szCs w:val="24"/>
        </w:rPr>
        <w:t>(Kg per 10000 larvae)</w:t>
      </w:r>
    </w:p>
    <w:p w14:paraId="196C23FC">
      <w:pPr>
        <w:spacing w:line="240" w:lineRule="auto"/>
        <w:ind w:firstLine="720"/>
        <w:jc w:val="both"/>
        <w:rPr>
          <w:rFonts w:cstheme="minorHAnsi"/>
          <w:sz w:val="24"/>
          <w:szCs w:val="24"/>
        </w:rPr>
      </w:pPr>
      <w:r>
        <w:rPr>
          <w:rFonts w:cstheme="minorHAnsi"/>
          <w:sz w:val="24"/>
          <w:szCs w:val="24"/>
        </w:rPr>
        <w:t xml:space="preserve">At 5 days after spraying, all insecticide treatments significantly reduced cocoon yield (by weight) compared to both the water spray and untreated control groups. However, by 10 days after spraying (DAS), silkworms fed on Orgomite-treated leaves recorded the highest cocoon yield, averaging </w:t>
      </w:r>
      <w:r>
        <w:rPr>
          <w:rStyle w:val="12"/>
          <w:rFonts w:cstheme="minorHAnsi"/>
          <w:b w:val="0"/>
          <w:sz w:val="24"/>
          <w:szCs w:val="24"/>
        </w:rPr>
        <w:t>16.50 kg per 10,000 larvae</w:t>
      </w:r>
      <w:r>
        <w:rPr>
          <w:rFonts w:cstheme="minorHAnsi"/>
          <w:b/>
          <w:sz w:val="24"/>
          <w:szCs w:val="24"/>
        </w:rPr>
        <w:t>.</w:t>
      </w:r>
      <w:r>
        <w:rPr>
          <w:rFonts w:cstheme="minorHAnsi"/>
          <w:sz w:val="24"/>
          <w:szCs w:val="24"/>
        </w:rPr>
        <w:t xml:space="preserve"> In comparison, the treatments with </w:t>
      </w:r>
      <w:r>
        <w:rPr>
          <w:rStyle w:val="12"/>
          <w:rFonts w:cstheme="minorHAnsi"/>
          <w:b w:val="0"/>
          <w:sz w:val="24"/>
          <w:szCs w:val="24"/>
        </w:rPr>
        <w:t>Chlorfenapyr 10 SC</w:t>
      </w:r>
      <w:r>
        <w:rPr>
          <w:rFonts w:cstheme="minorHAnsi"/>
          <w:b/>
          <w:sz w:val="24"/>
          <w:szCs w:val="24"/>
        </w:rPr>
        <w:t xml:space="preserve">, </w:t>
      </w:r>
      <w:r>
        <w:rPr>
          <w:rStyle w:val="12"/>
          <w:rFonts w:cstheme="minorHAnsi"/>
          <w:b w:val="0"/>
          <w:sz w:val="24"/>
          <w:szCs w:val="24"/>
        </w:rPr>
        <w:t>Era Safeguard</w:t>
      </w:r>
      <w:r>
        <w:rPr>
          <w:rFonts w:cstheme="minorHAnsi"/>
          <w:b/>
          <w:sz w:val="24"/>
          <w:szCs w:val="24"/>
        </w:rPr>
        <w:t>,</w:t>
      </w:r>
      <w:r>
        <w:rPr>
          <w:rFonts w:cstheme="minorHAnsi"/>
          <w:sz w:val="24"/>
          <w:szCs w:val="24"/>
        </w:rPr>
        <w:t xml:space="preserve"> and </w:t>
      </w:r>
      <w:r>
        <w:rPr>
          <w:rStyle w:val="12"/>
          <w:rFonts w:cstheme="minorHAnsi"/>
          <w:b w:val="0"/>
          <w:sz w:val="24"/>
          <w:szCs w:val="24"/>
        </w:rPr>
        <w:t>Wettable Sulphur 80 WP</w:t>
      </w:r>
      <w:r>
        <w:rPr>
          <w:rFonts w:cstheme="minorHAnsi"/>
          <w:sz w:val="24"/>
          <w:szCs w:val="24"/>
        </w:rPr>
        <w:t xml:space="preserve"> resulted in yields of </w:t>
      </w:r>
      <w:r>
        <w:rPr>
          <w:rStyle w:val="12"/>
          <w:rFonts w:cstheme="minorHAnsi"/>
          <w:b w:val="0"/>
          <w:sz w:val="24"/>
          <w:szCs w:val="24"/>
        </w:rPr>
        <w:t>14.16</w:t>
      </w:r>
      <w:r>
        <w:rPr>
          <w:rFonts w:cstheme="minorHAnsi"/>
          <w:b/>
          <w:sz w:val="24"/>
          <w:szCs w:val="24"/>
        </w:rPr>
        <w:t xml:space="preserve">, </w:t>
      </w:r>
      <w:r>
        <w:rPr>
          <w:rStyle w:val="12"/>
          <w:rFonts w:cstheme="minorHAnsi"/>
          <w:b w:val="0"/>
          <w:sz w:val="24"/>
          <w:szCs w:val="24"/>
        </w:rPr>
        <w:t>14.25</w:t>
      </w:r>
      <w:r>
        <w:rPr>
          <w:rFonts w:cstheme="minorHAnsi"/>
          <w:sz w:val="24"/>
          <w:szCs w:val="24"/>
        </w:rPr>
        <w:t xml:space="preserve"> and </w:t>
      </w:r>
      <w:r>
        <w:rPr>
          <w:rStyle w:val="12"/>
          <w:rFonts w:cstheme="minorHAnsi"/>
          <w:b w:val="0"/>
          <w:sz w:val="24"/>
          <w:szCs w:val="24"/>
        </w:rPr>
        <w:t>16.30 kg per 10,000 larvae</w:t>
      </w:r>
      <w:r>
        <w:rPr>
          <w:rFonts w:cstheme="minorHAnsi"/>
          <w:b/>
          <w:sz w:val="24"/>
          <w:szCs w:val="24"/>
        </w:rPr>
        <w:t>,</w:t>
      </w:r>
      <w:r>
        <w:rPr>
          <w:rFonts w:cstheme="minorHAnsi"/>
          <w:sz w:val="24"/>
          <w:szCs w:val="24"/>
        </w:rPr>
        <w:t xml:space="preserve"> respectively. By 15 and 20 DAS, differences in cocoon yield across all treatments were statistically non-significant, suggesting a decline in insecticide residue toxicity over time. The insecticidal treatments with </w:t>
      </w:r>
      <w:r>
        <w:rPr>
          <w:rStyle w:val="12"/>
          <w:rFonts w:cstheme="minorHAnsi"/>
          <w:b w:val="0"/>
          <w:sz w:val="24"/>
          <w:szCs w:val="24"/>
        </w:rPr>
        <w:t>Chlorfenapyr</w:t>
      </w:r>
      <w:r>
        <w:rPr>
          <w:rFonts w:cstheme="minorHAnsi"/>
          <w:b/>
          <w:sz w:val="24"/>
          <w:szCs w:val="24"/>
        </w:rPr>
        <w:t xml:space="preserve">, </w:t>
      </w:r>
      <w:r>
        <w:rPr>
          <w:rStyle w:val="12"/>
          <w:rFonts w:cstheme="minorHAnsi"/>
          <w:b w:val="0"/>
          <w:sz w:val="24"/>
          <w:szCs w:val="24"/>
        </w:rPr>
        <w:t>Wettable Sulphur</w:t>
      </w:r>
      <w:r>
        <w:rPr>
          <w:rFonts w:cstheme="minorHAnsi"/>
          <w:b/>
          <w:sz w:val="24"/>
          <w:szCs w:val="24"/>
        </w:rPr>
        <w:t xml:space="preserve">, </w:t>
      </w:r>
      <w:r>
        <w:rPr>
          <w:rStyle w:val="12"/>
          <w:rFonts w:cstheme="minorHAnsi"/>
          <w:b w:val="0"/>
          <w:sz w:val="24"/>
          <w:szCs w:val="24"/>
        </w:rPr>
        <w:t>Era Safeguard</w:t>
      </w:r>
      <w:r>
        <w:rPr>
          <w:rFonts w:cstheme="minorHAnsi"/>
          <w:b/>
          <w:sz w:val="24"/>
          <w:szCs w:val="24"/>
        </w:rPr>
        <w:t>,</w:t>
      </w:r>
      <w:r>
        <w:rPr>
          <w:rFonts w:cstheme="minorHAnsi"/>
          <w:sz w:val="24"/>
          <w:szCs w:val="24"/>
        </w:rPr>
        <w:t xml:space="preserve"> and </w:t>
      </w:r>
      <w:r>
        <w:rPr>
          <w:rStyle w:val="12"/>
          <w:rFonts w:cstheme="minorHAnsi"/>
          <w:b w:val="0"/>
          <w:sz w:val="24"/>
          <w:szCs w:val="24"/>
        </w:rPr>
        <w:t>Azadirachtin</w:t>
      </w:r>
      <w:r>
        <w:rPr>
          <w:rFonts w:cstheme="minorHAnsi"/>
          <w:sz w:val="24"/>
          <w:szCs w:val="24"/>
        </w:rPr>
        <w:t xml:space="preserve"> exhibited a negative impact on cocoon yield during the early days after spraying (5 and 10 DAS), likely due to their toxic effects on silkworm physiology. In contrast, treatments involving </w:t>
      </w:r>
      <w:r>
        <w:rPr>
          <w:rStyle w:val="12"/>
          <w:rFonts w:cstheme="minorHAnsi"/>
          <w:b w:val="0"/>
          <w:sz w:val="24"/>
          <w:szCs w:val="24"/>
        </w:rPr>
        <w:t>Orgomite</w:t>
      </w:r>
      <w:r>
        <w:rPr>
          <w:rFonts w:cstheme="minorHAnsi"/>
          <w:b/>
          <w:sz w:val="24"/>
          <w:szCs w:val="24"/>
        </w:rPr>
        <w:t xml:space="preserve">, </w:t>
      </w:r>
      <w:r>
        <w:rPr>
          <w:rStyle w:val="12"/>
          <w:rFonts w:cstheme="minorHAnsi"/>
          <w:b w:val="0"/>
          <w:sz w:val="24"/>
          <w:szCs w:val="24"/>
        </w:rPr>
        <w:t>water spray</w:t>
      </w:r>
      <w:r>
        <w:rPr>
          <w:rFonts w:cstheme="minorHAnsi"/>
          <w:b/>
          <w:sz w:val="24"/>
          <w:szCs w:val="24"/>
        </w:rPr>
        <w:t>,</w:t>
      </w:r>
      <w:r>
        <w:rPr>
          <w:rFonts w:cstheme="minorHAnsi"/>
          <w:sz w:val="24"/>
          <w:szCs w:val="24"/>
        </w:rPr>
        <w:t xml:space="preserve"> and the </w:t>
      </w:r>
      <w:r>
        <w:rPr>
          <w:rStyle w:val="12"/>
          <w:rFonts w:cstheme="minorHAnsi"/>
          <w:b w:val="0"/>
          <w:sz w:val="24"/>
          <w:szCs w:val="24"/>
        </w:rPr>
        <w:t>untreated control</w:t>
      </w:r>
      <w:r>
        <w:rPr>
          <w:rFonts w:cstheme="minorHAnsi"/>
          <w:sz w:val="24"/>
          <w:szCs w:val="24"/>
        </w:rPr>
        <w:t xml:space="preserve"> showed a favorable influence on cocoon yield, which may be attributed to the beneficial or non-toxic nature of Orgomite and the absence of chemical stress in the control and water-treated groups (Table 1).</w:t>
      </w:r>
    </w:p>
    <w:p w14:paraId="4858AD69">
      <w:pPr>
        <w:spacing w:before="100" w:beforeAutospacing="1" w:after="100" w:afterAutospacing="1" w:line="240" w:lineRule="auto"/>
        <w:ind w:firstLine="720"/>
        <w:jc w:val="both"/>
        <w:rPr>
          <w:rFonts w:eastAsia="Times New Roman" w:cstheme="minorHAnsi"/>
          <w:sz w:val="24"/>
          <w:szCs w:val="24"/>
          <w:lang w:eastAsia="en-IN"/>
        </w:rPr>
      </w:pPr>
      <w:r>
        <w:rPr>
          <w:rFonts w:eastAsia="Times New Roman" w:cstheme="minorHAnsi"/>
          <w:bCs/>
          <w:sz w:val="24"/>
          <w:szCs w:val="24"/>
          <w:lang w:eastAsia="en-IN"/>
        </w:rPr>
        <w:t xml:space="preserve">Vasanth </w:t>
      </w:r>
      <w:r>
        <w:rPr>
          <w:rFonts w:eastAsia="Times New Roman" w:cstheme="minorHAnsi"/>
          <w:bCs/>
          <w:i/>
          <w:sz w:val="24"/>
          <w:szCs w:val="24"/>
          <w:lang w:eastAsia="en-IN"/>
        </w:rPr>
        <w:t>et al</w:t>
      </w:r>
      <w:r>
        <w:rPr>
          <w:rFonts w:eastAsia="Times New Roman" w:cstheme="minorHAnsi"/>
          <w:bCs/>
          <w:sz w:val="24"/>
          <w:szCs w:val="24"/>
          <w:lang w:eastAsia="en-IN"/>
        </w:rPr>
        <w:t>. (2025)</w:t>
      </w:r>
      <w:r>
        <w:rPr>
          <w:rFonts w:eastAsia="Times New Roman" w:cstheme="minorHAnsi"/>
          <w:sz w:val="24"/>
          <w:szCs w:val="24"/>
          <w:lang w:eastAsia="en-IN"/>
        </w:rPr>
        <w:t xml:space="preserve"> observed a significant decline in cocoon weight, indicating the detrimental effects of </w:t>
      </w:r>
      <w:r>
        <w:rPr>
          <w:rFonts w:eastAsia="Times New Roman" w:cstheme="minorHAnsi"/>
          <w:bCs/>
          <w:sz w:val="24"/>
          <w:szCs w:val="24"/>
          <w:lang w:eastAsia="en-IN"/>
        </w:rPr>
        <w:t>chlorfenapyr</w:t>
      </w:r>
      <w:r>
        <w:rPr>
          <w:rFonts w:eastAsia="Times New Roman" w:cstheme="minorHAnsi"/>
          <w:sz w:val="24"/>
          <w:szCs w:val="24"/>
          <w:lang w:eastAsia="en-IN"/>
        </w:rPr>
        <w:t xml:space="preserve"> on silkworm development and overall silk productivity. Similarly, </w:t>
      </w:r>
      <w:r>
        <w:rPr>
          <w:rFonts w:eastAsia="Times New Roman" w:cstheme="minorHAnsi"/>
          <w:bCs/>
          <w:sz w:val="24"/>
          <w:szCs w:val="24"/>
          <w:lang w:eastAsia="en-IN"/>
        </w:rPr>
        <w:t xml:space="preserve">Jiequn </w:t>
      </w:r>
      <w:r>
        <w:rPr>
          <w:rFonts w:eastAsia="Times New Roman" w:cstheme="minorHAnsi"/>
          <w:bCs/>
          <w:i/>
          <w:sz w:val="24"/>
          <w:szCs w:val="24"/>
          <w:lang w:eastAsia="en-IN"/>
        </w:rPr>
        <w:t>et al</w:t>
      </w:r>
      <w:r>
        <w:rPr>
          <w:rFonts w:eastAsia="Times New Roman" w:cstheme="minorHAnsi"/>
          <w:bCs/>
          <w:sz w:val="24"/>
          <w:szCs w:val="24"/>
          <w:lang w:eastAsia="en-IN"/>
        </w:rPr>
        <w:t>. (2019)</w:t>
      </w:r>
      <w:r>
        <w:rPr>
          <w:rFonts w:eastAsia="Times New Roman" w:cstheme="minorHAnsi"/>
          <w:sz w:val="24"/>
          <w:szCs w:val="24"/>
          <w:lang w:eastAsia="en-IN"/>
        </w:rPr>
        <w:t xml:space="preserve"> found that feeding silkworms with mulberry leaves treated with </w:t>
      </w:r>
      <w:r>
        <w:rPr>
          <w:rFonts w:eastAsia="Times New Roman" w:cstheme="minorHAnsi"/>
          <w:bCs/>
          <w:sz w:val="24"/>
          <w:szCs w:val="24"/>
          <w:lang w:eastAsia="en-IN"/>
        </w:rPr>
        <w:t>Chlorfenapyr (8% ME)</w:t>
      </w:r>
      <w:r>
        <w:rPr>
          <w:rFonts w:eastAsia="Times New Roman" w:cstheme="minorHAnsi"/>
          <w:sz w:val="24"/>
          <w:szCs w:val="24"/>
          <w:lang w:eastAsia="en-IN"/>
        </w:rPr>
        <w:t xml:space="preserve"> on the 15</w:t>
      </w:r>
      <w:r>
        <w:rPr>
          <w:rFonts w:eastAsia="Times New Roman" w:cstheme="minorHAnsi"/>
          <w:sz w:val="24"/>
          <w:szCs w:val="24"/>
          <w:vertAlign w:val="superscript"/>
          <w:lang w:eastAsia="en-IN"/>
        </w:rPr>
        <w:t>th</w:t>
      </w:r>
      <w:r>
        <w:rPr>
          <w:rFonts w:eastAsia="Times New Roman" w:cstheme="minorHAnsi"/>
          <w:sz w:val="24"/>
          <w:szCs w:val="24"/>
          <w:lang w:eastAsia="en-IN"/>
        </w:rPr>
        <w:t xml:space="preserve"> and 30</w:t>
      </w:r>
      <w:r>
        <w:rPr>
          <w:rFonts w:eastAsia="Times New Roman" w:cstheme="minorHAnsi"/>
          <w:sz w:val="24"/>
          <w:szCs w:val="24"/>
          <w:vertAlign w:val="superscript"/>
          <w:lang w:eastAsia="en-IN"/>
        </w:rPr>
        <w:t>th</w:t>
      </w:r>
      <w:r>
        <w:rPr>
          <w:rFonts w:eastAsia="Times New Roman" w:cstheme="minorHAnsi"/>
          <w:sz w:val="24"/>
          <w:szCs w:val="24"/>
          <w:lang w:eastAsia="en-IN"/>
        </w:rPr>
        <w:t xml:space="preserve"> days after spraying resulted in cocoon weights of </w:t>
      </w:r>
      <w:r>
        <w:rPr>
          <w:rFonts w:eastAsia="Times New Roman" w:cstheme="minorHAnsi"/>
          <w:bCs/>
          <w:sz w:val="24"/>
          <w:szCs w:val="24"/>
          <w:lang w:eastAsia="en-IN"/>
        </w:rPr>
        <w:t>2.01 g</w:t>
      </w:r>
      <w:r>
        <w:rPr>
          <w:rFonts w:eastAsia="Times New Roman" w:cstheme="minorHAnsi"/>
          <w:sz w:val="24"/>
          <w:szCs w:val="24"/>
          <w:lang w:eastAsia="en-IN"/>
        </w:rPr>
        <w:t xml:space="preserve"> and </w:t>
      </w:r>
      <w:r>
        <w:rPr>
          <w:rFonts w:eastAsia="Times New Roman" w:cstheme="minorHAnsi"/>
          <w:bCs/>
          <w:sz w:val="24"/>
          <w:szCs w:val="24"/>
          <w:lang w:eastAsia="en-IN"/>
        </w:rPr>
        <w:t>2.05 g</w:t>
      </w:r>
      <w:r>
        <w:rPr>
          <w:rFonts w:eastAsia="Times New Roman" w:cstheme="minorHAnsi"/>
          <w:sz w:val="24"/>
          <w:szCs w:val="24"/>
          <w:lang w:eastAsia="en-IN"/>
        </w:rPr>
        <w:t xml:space="preserve">, respectively. In another study, </w:t>
      </w:r>
      <w:r>
        <w:rPr>
          <w:rFonts w:eastAsia="Times New Roman" w:cstheme="minorHAnsi"/>
          <w:bCs/>
          <w:sz w:val="24"/>
          <w:szCs w:val="24"/>
          <w:lang w:eastAsia="en-IN"/>
        </w:rPr>
        <w:t xml:space="preserve">Narayanaswamy </w:t>
      </w:r>
      <w:r>
        <w:rPr>
          <w:rFonts w:eastAsia="Times New Roman" w:cstheme="minorHAnsi"/>
          <w:bCs/>
          <w:i/>
          <w:sz w:val="24"/>
          <w:szCs w:val="24"/>
          <w:lang w:eastAsia="en-IN"/>
        </w:rPr>
        <w:t>et al</w:t>
      </w:r>
      <w:r>
        <w:rPr>
          <w:rFonts w:eastAsia="Times New Roman" w:cstheme="minorHAnsi"/>
          <w:bCs/>
          <w:sz w:val="24"/>
          <w:szCs w:val="24"/>
          <w:lang w:eastAsia="en-IN"/>
        </w:rPr>
        <w:t>. (2017)</w:t>
      </w:r>
      <w:r>
        <w:rPr>
          <w:rFonts w:eastAsia="Times New Roman" w:cstheme="minorHAnsi"/>
          <w:sz w:val="24"/>
          <w:szCs w:val="24"/>
          <w:lang w:eastAsia="en-IN"/>
        </w:rPr>
        <w:t xml:space="preserve"> reported a notable reduction in cocoon weight when silkworms were fed </w:t>
      </w:r>
      <w:r>
        <w:rPr>
          <w:rFonts w:eastAsia="Times New Roman" w:cstheme="minorHAnsi"/>
          <w:bCs/>
          <w:sz w:val="24"/>
          <w:szCs w:val="24"/>
          <w:lang w:eastAsia="en-IN"/>
        </w:rPr>
        <w:t>NSKE-treated</w:t>
      </w:r>
      <w:r>
        <w:rPr>
          <w:rFonts w:eastAsia="Times New Roman" w:cstheme="minorHAnsi"/>
          <w:sz w:val="24"/>
          <w:szCs w:val="24"/>
          <w:lang w:eastAsia="en-IN"/>
        </w:rPr>
        <w:t xml:space="preserve"> leaves on days 16</w:t>
      </w:r>
      <w:r>
        <w:rPr>
          <w:rFonts w:eastAsia="Times New Roman" w:cstheme="minorHAnsi"/>
          <w:sz w:val="24"/>
          <w:szCs w:val="24"/>
          <w:vertAlign w:val="superscript"/>
          <w:lang w:eastAsia="en-IN"/>
        </w:rPr>
        <w:t>th</w:t>
      </w:r>
      <w:r>
        <w:rPr>
          <w:rFonts w:eastAsia="Times New Roman" w:cstheme="minorHAnsi"/>
          <w:sz w:val="24"/>
          <w:szCs w:val="24"/>
          <w:lang w:eastAsia="en-IN"/>
        </w:rPr>
        <w:t>, 17</w:t>
      </w:r>
      <w:r>
        <w:rPr>
          <w:rFonts w:eastAsia="Times New Roman" w:cstheme="minorHAnsi"/>
          <w:sz w:val="24"/>
          <w:szCs w:val="24"/>
          <w:vertAlign w:val="superscript"/>
          <w:lang w:eastAsia="en-IN"/>
        </w:rPr>
        <w:t>th</w:t>
      </w:r>
      <w:r>
        <w:rPr>
          <w:rFonts w:eastAsia="Times New Roman" w:cstheme="minorHAnsi"/>
          <w:sz w:val="24"/>
          <w:szCs w:val="24"/>
          <w:lang w:eastAsia="en-IN"/>
        </w:rPr>
        <w:t>, 18</w:t>
      </w:r>
      <w:r>
        <w:rPr>
          <w:rFonts w:eastAsia="Times New Roman" w:cstheme="minorHAnsi"/>
          <w:sz w:val="24"/>
          <w:szCs w:val="24"/>
          <w:vertAlign w:val="superscript"/>
          <w:lang w:eastAsia="en-IN"/>
        </w:rPr>
        <w:t>th</w:t>
      </w:r>
      <w:r>
        <w:rPr>
          <w:rFonts w:eastAsia="Times New Roman" w:cstheme="minorHAnsi"/>
          <w:sz w:val="24"/>
          <w:szCs w:val="24"/>
          <w:lang w:eastAsia="en-IN"/>
        </w:rPr>
        <w:t xml:space="preserve"> and 19</w:t>
      </w:r>
      <w:r>
        <w:rPr>
          <w:rFonts w:eastAsia="Times New Roman" w:cstheme="minorHAnsi"/>
          <w:sz w:val="24"/>
          <w:szCs w:val="24"/>
          <w:vertAlign w:val="superscript"/>
          <w:lang w:eastAsia="en-IN"/>
        </w:rPr>
        <w:t>th</w:t>
      </w:r>
      <w:r>
        <w:rPr>
          <w:rFonts w:eastAsia="Times New Roman" w:cstheme="minorHAnsi"/>
          <w:sz w:val="24"/>
          <w:szCs w:val="24"/>
          <w:lang w:eastAsia="en-IN"/>
        </w:rPr>
        <w:t xml:space="preserve"> post-spray, recording values of </w:t>
      </w:r>
      <w:r>
        <w:rPr>
          <w:rFonts w:eastAsia="Times New Roman" w:cstheme="minorHAnsi"/>
          <w:bCs/>
          <w:sz w:val="24"/>
          <w:szCs w:val="24"/>
          <w:lang w:eastAsia="en-IN"/>
        </w:rPr>
        <w:t>1.80 g</w:t>
      </w:r>
      <w:r>
        <w:rPr>
          <w:rFonts w:eastAsia="Times New Roman" w:cstheme="minorHAnsi"/>
          <w:sz w:val="24"/>
          <w:szCs w:val="24"/>
          <w:lang w:eastAsia="en-IN"/>
        </w:rPr>
        <w:t xml:space="preserve">, </w:t>
      </w:r>
      <w:r>
        <w:rPr>
          <w:rFonts w:eastAsia="Times New Roman" w:cstheme="minorHAnsi"/>
          <w:bCs/>
          <w:sz w:val="24"/>
          <w:szCs w:val="24"/>
          <w:lang w:eastAsia="en-IN"/>
        </w:rPr>
        <w:t>1.84 g</w:t>
      </w:r>
      <w:r>
        <w:rPr>
          <w:rFonts w:eastAsia="Times New Roman" w:cstheme="minorHAnsi"/>
          <w:sz w:val="24"/>
          <w:szCs w:val="24"/>
          <w:lang w:eastAsia="en-IN"/>
        </w:rPr>
        <w:t xml:space="preserve">, </w:t>
      </w:r>
      <w:r>
        <w:rPr>
          <w:rFonts w:eastAsia="Times New Roman" w:cstheme="minorHAnsi"/>
          <w:bCs/>
          <w:sz w:val="24"/>
          <w:szCs w:val="24"/>
          <w:lang w:eastAsia="en-IN"/>
        </w:rPr>
        <w:t>1.87 g</w:t>
      </w:r>
      <w:r>
        <w:rPr>
          <w:rFonts w:eastAsia="Times New Roman" w:cstheme="minorHAnsi"/>
          <w:sz w:val="24"/>
          <w:szCs w:val="24"/>
          <w:lang w:eastAsia="en-IN"/>
        </w:rPr>
        <w:t xml:space="preserve">, and </w:t>
      </w:r>
      <w:r>
        <w:rPr>
          <w:rFonts w:eastAsia="Times New Roman" w:cstheme="minorHAnsi"/>
          <w:bCs/>
          <w:sz w:val="24"/>
          <w:szCs w:val="24"/>
          <w:lang w:eastAsia="en-IN"/>
        </w:rPr>
        <w:t>1.91 g</w:t>
      </w:r>
      <w:r>
        <w:rPr>
          <w:rFonts w:eastAsia="Times New Roman" w:cstheme="minorHAnsi"/>
          <w:sz w:val="24"/>
          <w:szCs w:val="24"/>
          <w:lang w:eastAsia="en-IN"/>
        </w:rPr>
        <w:t xml:space="preserve">, respectively.  </w:t>
      </w:r>
      <w:r>
        <w:rPr>
          <w:rFonts w:eastAsia="Times New Roman" w:cstheme="minorHAnsi"/>
          <w:bCs/>
          <w:sz w:val="24"/>
          <w:szCs w:val="24"/>
          <w:lang w:eastAsia="en-IN"/>
        </w:rPr>
        <w:t xml:space="preserve">Yeshika </w:t>
      </w:r>
      <w:r>
        <w:rPr>
          <w:rFonts w:eastAsia="Times New Roman" w:cstheme="minorHAnsi"/>
          <w:bCs/>
          <w:i/>
          <w:sz w:val="24"/>
          <w:szCs w:val="24"/>
          <w:lang w:eastAsia="en-IN"/>
        </w:rPr>
        <w:t>et al</w:t>
      </w:r>
      <w:r>
        <w:rPr>
          <w:rFonts w:eastAsia="Times New Roman" w:cstheme="minorHAnsi"/>
          <w:bCs/>
          <w:sz w:val="24"/>
          <w:szCs w:val="24"/>
          <w:lang w:eastAsia="en-IN"/>
        </w:rPr>
        <w:t>. (2020)</w:t>
      </w:r>
      <w:r>
        <w:rPr>
          <w:rFonts w:eastAsia="Times New Roman" w:cstheme="minorHAnsi"/>
          <w:sz w:val="24"/>
          <w:szCs w:val="24"/>
          <w:lang w:eastAsia="en-IN"/>
        </w:rPr>
        <w:t xml:space="preserve"> highlighted the negative influence of </w:t>
      </w:r>
      <w:r>
        <w:rPr>
          <w:rFonts w:eastAsia="Times New Roman" w:cstheme="minorHAnsi"/>
          <w:bCs/>
          <w:sz w:val="24"/>
          <w:szCs w:val="24"/>
          <w:lang w:eastAsia="en-IN"/>
        </w:rPr>
        <w:t>pesticide residues</w:t>
      </w:r>
      <w:r>
        <w:rPr>
          <w:rFonts w:eastAsia="Times New Roman" w:cstheme="minorHAnsi"/>
          <w:sz w:val="24"/>
          <w:szCs w:val="24"/>
          <w:lang w:eastAsia="en-IN"/>
        </w:rPr>
        <w:t xml:space="preserve"> on the economic traits of silkworms, noting that the </w:t>
      </w:r>
      <w:r>
        <w:rPr>
          <w:rFonts w:eastAsia="Times New Roman" w:cstheme="minorHAnsi"/>
          <w:bCs/>
          <w:sz w:val="24"/>
          <w:szCs w:val="24"/>
          <w:lang w:eastAsia="en-IN"/>
        </w:rPr>
        <w:t>untreated control</w:t>
      </w:r>
      <w:r>
        <w:rPr>
          <w:rFonts w:eastAsia="Times New Roman" w:cstheme="minorHAnsi"/>
          <w:sz w:val="24"/>
          <w:szCs w:val="24"/>
          <w:lang w:eastAsia="en-IN"/>
        </w:rPr>
        <w:t xml:space="preserve"> group exhibited the highest single cocoon comparable to those observed in treatments with </w:t>
      </w:r>
      <w:r>
        <w:rPr>
          <w:rFonts w:eastAsia="Times New Roman" w:cstheme="minorHAnsi"/>
          <w:bCs/>
          <w:sz w:val="24"/>
          <w:szCs w:val="24"/>
          <w:lang w:eastAsia="en-IN"/>
        </w:rPr>
        <w:t>dichlorvos 76 EC</w:t>
      </w:r>
      <w:r>
        <w:rPr>
          <w:rFonts w:eastAsia="Times New Roman" w:cstheme="minorHAnsi"/>
          <w:sz w:val="24"/>
          <w:szCs w:val="24"/>
          <w:lang w:eastAsia="en-IN"/>
        </w:rPr>
        <w:t xml:space="preserve">, </w:t>
      </w:r>
      <w:r>
        <w:rPr>
          <w:rFonts w:eastAsia="Times New Roman" w:cstheme="minorHAnsi"/>
          <w:bCs/>
          <w:sz w:val="24"/>
          <w:szCs w:val="24"/>
          <w:lang w:eastAsia="en-IN"/>
        </w:rPr>
        <w:t>dinotefuran 20 SG</w:t>
      </w:r>
      <w:r>
        <w:rPr>
          <w:rFonts w:eastAsia="Times New Roman" w:cstheme="minorHAnsi"/>
          <w:sz w:val="24"/>
          <w:szCs w:val="24"/>
          <w:lang w:eastAsia="en-IN"/>
        </w:rPr>
        <w:t xml:space="preserve">, and </w:t>
      </w:r>
      <w:r>
        <w:rPr>
          <w:rFonts w:eastAsia="Times New Roman" w:cstheme="minorHAnsi"/>
          <w:bCs/>
          <w:sz w:val="24"/>
          <w:szCs w:val="24"/>
          <w:lang w:eastAsia="en-IN"/>
        </w:rPr>
        <w:t>pymetrozine 50 WG</w:t>
      </w:r>
      <w:r>
        <w:rPr>
          <w:rFonts w:eastAsia="Times New Roman" w:cstheme="minorHAnsi"/>
          <w:sz w:val="24"/>
          <w:szCs w:val="24"/>
          <w:lang w:eastAsia="en-IN"/>
        </w:rPr>
        <w:t xml:space="preserve">. Furthermore, </w:t>
      </w:r>
      <w:r>
        <w:rPr>
          <w:rFonts w:eastAsia="Times New Roman" w:cstheme="minorHAnsi"/>
          <w:bCs/>
          <w:sz w:val="24"/>
          <w:szCs w:val="24"/>
          <w:lang w:eastAsia="en-IN"/>
        </w:rPr>
        <w:t xml:space="preserve">Wang </w:t>
      </w:r>
      <w:r>
        <w:rPr>
          <w:rFonts w:eastAsia="Times New Roman" w:cstheme="minorHAnsi"/>
          <w:bCs/>
          <w:i/>
          <w:sz w:val="24"/>
          <w:szCs w:val="24"/>
          <w:lang w:eastAsia="en-IN"/>
        </w:rPr>
        <w:t>et al</w:t>
      </w:r>
      <w:r>
        <w:rPr>
          <w:rFonts w:eastAsia="Times New Roman" w:cstheme="minorHAnsi"/>
          <w:bCs/>
          <w:sz w:val="24"/>
          <w:szCs w:val="24"/>
          <w:lang w:eastAsia="en-IN"/>
        </w:rPr>
        <w:t>. (2023)</w:t>
      </w:r>
      <w:r>
        <w:rPr>
          <w:rFonts w:eastAsia="Times New Roman" w:cstheme="minorHAnsi"/>
          <w:sz w:val="24"/>
          <w:szCs w:val="24"/>
          <w:lang w:eastAsia="en-IN"/>
        </w:rPr>
        <w:t xml:space="preserve"> demonstrated that even </w:t>
      </w:r>
      <w:r>
        <w:rPr>
          <w:rFonts w:eastAsia="Times New Roman" w:cstheme="minorHAnsi"/>
          <w:bCs/>
          <w:sz w:val="24"/>
          <w:szCs w:val="24"/>
          <w:lang w:eastAsia="en-IN"/>
        </w:rPr>
        <w:t>low concentrations of indoxacarb</w:t>
      </w:r>
      <w:r>
        <w:rPr>
          <w:rFonts w:eastAsia="Times New Roman" w:cstheme="minorHAnsi"/>
          <w:sz w:val="24"/>
          <w:szCs w:val="24"/>
          <w:lang w:eastAsia="en-IN"/>
        </w:rPr>
        <w:t xml:space="preserve"> caused severe damage to the midgut epithelial structure, impaired digestion, and significantly reduced cocoon weights, posing a substantial risk to safe silkworm rearing. Additionally, </w:t>
      </w:r>
      <w:r>
        <w:rPr>
          <w:rFonts w:eastAsia="Times New Roman" w:cstheme="minorHAnsi"/>
          <w:bCs/>
          <w:sz w:val="24"/>
          <w:szCs w:val="24"/>
          <w:lang w:eastAsia="en-IN"/>
        </w:rPr>
        <w:t>Kariappa and Narasimhanna (1978)</w:t>
      </w:r>
      <w:r>
        <w:rPr>
          <w:rFonts w:eastAsia="Times New Roman" w:cstheme="minorHAnsi"/>
          <w:sz w:val="24"/>
          <w:szCs w:val="24"/>
          <w:lang w:eastAsia="en-IN"/>
        </w:rPr>
        <w:t xml:space="preserve"> reported that following a safe waiting period, the use of </w:t>
      </w:r>
      <w:r>
        <w:rPr>
          <w:rFonts w:eastAsia="Times New Roman" w:cstheme="minorHAnsi"/>
          <w:bCs/>
          <w:sz w:val="24"/>
          <w:szCs w:val="24"/>
          <w:lang w:eastAsia="en-IN"/>
        </w:rPr>
        <w:t>dimethoate-treated</w:t>
      </w:r>
      <w:r>
        <w:rPr>
          <w:rFonts w:eastAsia="Times New Roman" w:cstheme="minorHAnsi"/>
          <w:sz w:val="24"/>
          <w:szCs w:val="24"/>
          <w:lang w:eastAsia="en-IN"/>
        </w:rPr>
        <w:t xml:space="preserve"> mulberry leaves led to improved larval and cocoon weights when compared to the pest-infected control group.</w:t>
      </w:r>
    </w:p>
    <w:p w14:paraId="5BA03388">
      <w:pPr>
        <w:spacing w:line="240" w:lineRule="auto"/>
        <w:rPr>
          <w:rFonts w:eastAsia="Times New Roman" w:cstheme="minorHAnsi"/>
          <w:b/>
          <w:sz w:val="24"/>
          <w:szCs w:val="24"/>
        </w:rPr>
      </w:pPr>
      <w:r>
        <w:rPr>
          <w:rFonts w:eastAsia="Times New Roman" w:cstheme="minorHAnsi"/>
          <w:b/>
          <w:sz w:val="24"/>
          <w:szCs w:val="24"/>
        </w:rPr>
        <w:t>Cocoon shell weight</w:t>
      </w:r>
    </w:p>
    <w:p w14:paraId="456E58AA">
      <w:pPr>
        <w:spacing w:line="240" w:lineRule="auto"/>
        <w:jc w:val="both"/>
        <w:rPr>
          <w:rFonts w:cstheme="minorHAnsi"/>
          <w:sz w:val="24"/>
          <w:szCs w:val="24"/>
        </w:rPr>
      </w:pPr>
      <w:r>
        <w:rPr>
          <w:rFonts w:eastAsia="Times New Roman" w:cstheme="minorHAnsi"/>
          <w:b/>
          <w:sz w:val="24"/>
          <w:szCs w:val="24"/>
        </w:rPr>
        <w:tab/>
      </w:r>
      <w:r>
        <w:rPr>
          <w:rFonts w:cstheme="minorHAnsi"/>
          <w:sz w:val="24"/>
          <w:szCs w:val="24"/>
        </w:rPr>
        <w:t xml:space="preserve">At 5 and 10 days after spraying (DAS), the </w:t>
      </w:r>
      <w:r>
        <w:rPr>
          <w:rStyle w:val="12"/>
          <w:rFonts w:cstheme="minorHAnsi"/>
          <w:b w:val="0"/>
          <w:sz w:val="24"/>
          <w:szCs w:val="24"/>
        </w:rPr>
        <w:t>lowest cocoon shell weight</w:t>
      </w:r>
      <w:r>
        <w:rPr>
          <w:rFonts w:cstheme="minorHAnsi"/>
          <w:sz w:val="24"/>
          <w:szCs w:val="24"/>
        </w:rPr>
        <w:t xml:space="preserve"> was observed in batches of cocoons obtained from silkworms fed on </w:t>
      </w:r>
      <w:r>
        <w:rPr>
          <w:rStyle w:val="12"/>
          <w:rFonts w:cstheme="minorHAnsi"/>
          <w:b w:val="0"/>
          <w:sz w:val="24"/>
          <w:szCs w:val="24"/>
        </w:rPr>
        <w:t>Chlorfenapyr 10% SC</w:t>
      </w:r>
      <w:r>
        <w:rPr>
          <w:rFonts w:cstheme="minorHAnsi"/>
          <w:sz w:val="24"/>
          <w:szCs w:val="24"/>
        </w:rPr>
        <w:t xml:space="preserve">, followed by </w:t>
      </w:r>
      <w:r>
        <w:rPr>
          <w:rStyle w:val="12"/>
          <w:rFonts w:cstheme="minorHAnsi"/>
          <w:b w:val="0"/>
          <w:sz w:val="24"/>
          <w:szCs w:val="24"/>
        </w:rPr>
        <w:t>Era Safeguard</w:t>
      </w:r>
      <w:r>
        <w:rPr>
          <w:rFonts w:cstheme="minorHAnsi"/>
          <w:sz w:val="24"/>
          <w:szCs w:val="24"/>
        </w:rPr>
        <w:t xml:space="preserve"> and </w:t>
      </w:r>
      <w:r>
        <w:rPr>
          <w:rStyle w:val="12"/>
          <w:rFonts w:cstheme="minorHAnsi"/>
          <w:b w:val="0"/>
          <w:sz w:val="24"/>
          <w:szCs w:val="24"/>
        </w:rPr>
        <w:t>Wettable Sulphur 80 WP</w:t>
      </w:r>
      <w:r>
        <w:rPr>
          <w:rFonts w:cstheme="minorHAnsi"/>
          <w:sz w:val="24"/>
          <w:szCs w:val="24"/>
        </w:rPr>
        <w:t xml:space="preserve">. In contrast, the </w:t>
      </w:r>
      <w:r>
        <w:rPr>
          <w:rStyle w:val="12"/>
          <w:rFonts w:cstheme="minorHAnsi"/>
          <w:b w:val="0"/>
          <w:sz w:val="24"/>
          <w:szCs w:val="24"/>
        </w:rPr>
        <w:t>highest shell weight</w:t>
      </w:r>
      <w:r>
        <w:rPr>
          <w:rFonts w:cstheme="minorHAnsi"/>
          <w:sz w:val="24"/>
          <w:szCs w:val="24"/>
        </w:rPr>
        <w:t xml:space="preserve"> was recorded in the</w:t>
      </w:r>
      <w:r>
        <w:rPr>
          <w:rFonts w:cstheme="minorHAnsi"/>
          <w:b/>
          <w:sz w:val="24"/>
          <w:szCs w:val="24"/>
        </w:rPr>
        <w:t xml:space="preserve"> </w:t>
      </w:r>
      <w:r>
        <w:rPr>
          <w:rStyle w:val="12"/>
          <w:rFonts w:cstheme="minorHAnsi"/>
          <w:b w:val="0"/>
          <w:sz w:val="24"/>
          <w:szCs w:val="24"/>
        </w:rPr>
        <w:t>control group,</w:t>
      </w:r>
      <w:r>
        <w:rPr>
          <w:rFonts w:cstheme="minorHAnsi"/>
          <w:sz w:val="24"/>
          <w:szCs w:val="24"/>
        </w:rPr>
        <w:t xml:space="preserve"> followed by </w:t>
      </w:r>
      <w:r>
        <w:rPr>
          <w:rStyle w:val="12"/>
          <w:rFonts w:cstheme="minorHAnsi"/>
          <w:b w:val="0"/>
          <w:sz w:val="24"/>
          <w:szCs w:val="24"/>
        </w:rPr>
        <w:t>water spray</w:t>
      </w:r>
      <w:r>
        <w:rPr>
          <w:rFonts w:cstheme="minorHAnsi"/>
          <w:sz w:val="24"/>
          <w:szCs w:val="24"/>
        </w:rPr>
        <w:t xml:space="preserve"> and </w:t>
      </w:r>
      <w:r>
        <w:rPr>
          <w:rStyle w:val="12"/>
          <w:rFonts w:cstheme="minorHAnsi"/>
          <w:b w:val="0"/>
          <w:sz w:val="24"/>
          <w:szCs w:val="24"/>
        </w:rPr>
        <w:t>Orgomite.</w:t>
      </w:r>
      <w:r>
        <w:rPr>
          <w:rFonts w:cstheme="minorHAnsi"/>
          <w:sz w:val="24"/>
          <w:szCs w:val="24"/>
        </w:rPr>
        <w:t xml:space="preserve"> By 15 and 20 DAS, differences in cocoon shell weight across treatments were statistically non-significant. The reduced shell weight observed in treatments involving </w:t>
      </w:r>
      <w:r>
        <w:rPr>
          <w:rStyle w:val="12"/>
          <w:rFonts w:cstheme="minorHAnsi"/>
          <w:b w:val="0"/>
          <w:sz w:val="24"/>
          <w:szCs w:val="24"/>
        </w:rPr>
        <w:t>Chlorfenapyr, Era Safeguard, Azadirachtin</w:t>
      </w:r>
      <w:r>
        <w:rPr>
          <w:rFonts w:cstheme="minorHAnsi"/>
          <w:sz w:val="24"/>
          <w:szCs w:val="24"/>
        </w:rPr>
        <w:t xml:space="preserve">, and </w:t>
      </w:r>
      <w:r>
        <w:rPr>
          <w:rStyle w:val="12"/>
          <w:rFonts w:cstheme="minorHAnsi"/>
          <w:b w:val="0"/>
          <w:sz w:val="24"/>
          <w:szCs w:val="24"/>
        </w:rPr>
        <w:t>Wettable Sulphur</w:t>
      </w:r>
      <w:r>
        <w:rPr>
          <w:rFonts w:cstheme="minorHAnsi"/>
          <w:sz w:val="24"/>
          <w:szCs w:val="24"/>
        </w:rPr>
        <w:t xml:space="preserve"> can be attributed to </w:t>
      </w:r>
      <w:r>
        <w:rPr>
          <w:rStyle w:val="12"/>
          <w:rFonts w:cstheme="minorHAnsi"/>
          <w:b w:val="0"/>
          <w:sz w:val="24"/>
          <w:szCs w:val="24"/>
        </w:rPr>
        <w:t>residual toxicity</w:t>
      </w:r>
      <w:r>
        <w:rPr>
          <w:rFonts w:cstheme="minorHAnsi"/>
          <w:sz w:val="24"/>
          <w:szCs w:val="24"/>
        </w:rPr>
        <w:t>, which likely affected silkworm growth and silk gland function (Table 2).</w:t>
      </w:r>
    </w:p>
    <w:p w14:paraId="0619F338">
      <w:pPr>
        <w:pStyle w:val="11"/>
        <w:jc w:val="both"/>
        <w:rPr>
          <w:rFonts w:asciiTheme="minorHAnsi" w:hAnsiTheme="minorHAnsi" w:cstheme="minorHAnsi"/>
        </w:rPr>
      </w:pPr>
      <w:r>
        <w:rPr>
          <w:rFonts w:asciiTheme="minorHAnsi" w:hAnsiTheme="minorHAnsi" w:cstheme="minorHAnsi"/>
        </w:rPr>
        <w:tab/>
      </w:r>
      <w:r>
        <w:rPr>
          <w:rFonts w:asciiTheme="minorHAnsi" w:hAnsiTheme="minorHAnsi" w:cstheme="minorHAnsi"/>
        </w:rPr>
        <w:t xml:space="preserve">The present results are consistent with the findings of </w:t>
      </w:r>
      <w:r>
        <w:rPr>
          <w:rFonts w:asciiTheme="minorHAnsi" w:hAnsiTheme="minorHAnsi" w:cstheme="minorHAnsi"/>
          <w:bCs/>
        </w:rPr>
        <w:t xml:space="preserve">Narayanaswamy </w:t>
      </w:r>
      <w:r>
        <w:rPr>
          <w:rFonts w:asciiTheme="minorHAnsi" w:hAnsiTheme="minorHAnsi" w:cstheme="minorHAnsi"/>
          <w:bCs/>
          <w:i/>
        </w:rPr>
        <w:t>et al</w:t>
      </w:r>
      <w:r>
        <w:rPr>
          <w:rFonts w:asciiTheme="minorHAnsi" w:hAnsiTheme="minorHAnsi" w:cstheme="minorHAnsi"/>
          <w:bCs/>
        </w:rPr>
        <w:t>. (2017)</w:t>
      </w:r>
      <w:r>
        <w:rPr>
          <w:rFonts w:asciiTheme="minorHAnsi" w:hAnsiTheme="minorHAnsi" w:cstheme="minorHAnsi"/>
        </w:rPr>
        <w:t xml:space="preserve">, who reported that silkworms fed with </w:t>
      </w:r>
      <w:r>
        <w:rPr>
          <w:rFonts w:asciiTheme="minorHAnsi" w:hAnsiTheme="minorHAnsi" w:cstheme="minorHAnsi"/>
          <w:bCs/>
        </w:rPr>
        <w:t>NSKE-treated</w:t>
      </w:r>
      <w:r>
        <w:rPr>
          <w:rFonts w:asciiTheme="minorHAnsi" w:hAnsiTheme="minorHAnsi" w:cstheme="minorHAnsi"/>
        </w:rPr>
        <w:t xml:space="preserve"> mulberry leaves on the 16</w:t>
      </w:r>
      <w:r>
        <w:rPr>
          <w:rFonts w:asciiTheme="minorHAnsi" w:hAnsiTheme="minorHAnsi" w:cstheme="minorHAnsi"/>
          <w:vertAlign w:val="superscript"/>
        </w:rPr>
        <w:t>th</w:t>
      </w:r>
      <w:r>
        <w:rPr>
          <w:rFonts w:asciiTheme="minorHAnsi" w:hAnsiTheme="minorHAnsi" w:cstheme="minorHAnsi"/>
        </w:rPr>
        <w:t>, 17</w:t>
      </w:r>
      <w:r>
        <w:rPr>
          <w:rFonts w:asciiTheme="minorHAnsi" w:hAnsiTheme="minorHAnsi" w:cstheme="minorHAnsi"/>
          <w:vertAlign w:val="superscript"/>
        </w:rPr>
        <w:t>th</w:t>
      </w:r>
      <w:r>
        <w:rPr>
          <w:rFonts w:asciiTheme="minorHAnsi" w:hAnsiTheme="minorHAnsi" w:cstheme="minorHAnsi"/>
        </w:rPr>
        <w:t>, 18</w:t>
      </w:r>
      <w:r>
        <w:rPr>
          <w:rFonts w:asciiTheme="minorHAnsi" w:hAnsiTheme="minorHAnsi" w:cstheme="minorHAnsi"/>
          <w:vertAlign w:val="superscript"/>
        </w:rPr>
        <w:t>th</w:t>
      </w:r>
      <w:r>
        <w:rPr>
          <w:rFonts w:asciiTheme="minorHAnsi" w:hAnsiTheme="minorHAnsi" w:cstheme="minorHAnsi"/>
        </w:rPr>
        <w:t xml:space="preserve"> and 19</w:t>
      </w:r>
      <w:r>
        <w:rPr>
          <w:rFonts w:asciiTheme="minorHAnsi" w:hAnsiTheme="minorHAnsi" w:cstheme="minorHAnsi"/>
          <w:vertAlign w:val="superscript"/>
        </w:rPr>
        <w:t>th</w:t>
      </w:r>
      <w:r>
        <w:rPr>
          <w:rFonts w:asciiTheme="minorHAnsi" w:hAnsiTheme="minorHAnsi" w:cstheme="minorHAnsi"/>
        </w:rPr>
        <w:t xml:space="preserve">  </w:t>
      </w:r>
      <w:r>
        <w:rPr>
          <w:rFonts w:asciiTheme="minorHAnsi" w:hAnsiTheme="minorHAnsi" w:cstheme="minorHAnsi"/>
          <w:bCs/>
        </w:rPr>
        <w:t>days</w:t>
      </w:r>
      <w:r>
        <w:rPr>
          <w:rFonts w:asciiTheme="minorHAnsi" w:hAnsiTheme="minorHAnsi" w:cstheme="minorHAnsi"/>
        </w:rPr>
        <w:t xml:space="preserve"> after spraying exhibited significantly lower cocoon shell weights of </w:t>
      </w:r>
      <w:r>
        <w:rPr>
          <w:rFonts w:asciiTheme="minorHAnsi" w:hAnsiTheme="minorHAnsi" w:cstheme="minorHAnsi"/>
          <w:bCs/>
        </w:rPr>
        <w:t>0.30 g</w:t>
      </w:r>
      <w:r>
        <w:rPr>
          <w:rFonts w:asciiTheme="minorHAnsi" w:hAnsiTheme="minorHAnsi" w:cstheme="minorHAnsi"/>
        </w:rPr>
        <w:t xml:space="preserve">, </w:t>
      </w:r>
      <w:r>
        <w:rPr>
          <w:rFonts w:asciiTheme="minorHAnsi" w:hAnsiTheme="minorHAnsi" w:cstheme="minorHAnsi"/>
          <w:bCs/>
        </w:rPr>
        <w:t>0.32 g</w:t>
      </w:r>
      <w:r>
        <w:rPr>
          <w:rFonts w:asciiTheme="minorHAnsi" w:hAnsiTheme="minorHAnsi" w:cstheme="minorHAnsi"/>
        </w:rPr>
        <w:t xml:space="preserve">, </w:t>
      </w:r>
      <w:r>
        <w:rPr>
          <w:rFonts w:asciiTheme="minorHAnsi" w:hAnsiTheme="minorHAnsi" w:cstheme="minorHAnsi"/>
          <w:bCs/>
        </w:rPr>
        <w:t>0.33 g</w:t>
      </w:r>
      <w:r>
        <w:rPr>
          <w:rFonts w:asciiTheme="minorHAnsi" w:hAnsiTheme="minorHAnsi" w:cstheme="minorHAnsi"/>
        </w:rPr>
        <w:t xml:space="preserve">, and </w:t>
      </w:r>
      <w:r>
        <w:rPr>
          <w:rFonts w:asciiTheme="minorHAnsi" w:hAnsiTheme="minorHAnsi" w:cstheme="minorHAnsi"/>
          <w:bCs/>
        </w:rPr>
        <w:t>0.35 g</w:t>
      </w:r>
      <w:r>
        <w:rPr>
          <w:rFonts w:asciiTheme="minorHAnsi" w:hAnsiTheme="minorHAnsi" w:cstheme="minorHAnsi"/>
        </w:rPr>
        <w:t xml:space="preserve">, respectively. </w:t>
      </w:r>
      <w:r>
        <w:rPr>
          <w:rStyle w:val="12"/>
          <w:rFonts w:asciiTheme="minorHAnsi" w:hAnsiTheme="minorHAnsi" w:cstheme="minorHAnsi"/>
          <w:b w:val="0"/>
        </w:rPr>
        <w:t xml:space="preserve">Vasanth </w:t>
      </w:r>
      <w:r>
        <w:rPr>
          <w:rStyle w:val="12"/>
          <w:rFonts w:asciiTheme="minorHAnsi" w:hAnsiTheme="minorHAnsi" w:cstheme="minorHAnsi"/>
          <w:b w:val="0"/>
          <w:i/>
        </w:rPr>
        <w:t>et al</w:t>
      </w:r>
      <w:r>
        <w:rPr>
          <w:rStyle w:val="12"/>
          <w:rFonts w:asciiTheme="minorHAnsi" w:hAnsiTheme="minorHAnsi" w:cstheme="minorHAnsi"/>
          <w:b w:val="0"/>
        </w:rPr>
        <w:t>., (2025)</w:t>
      </w:r>
      <w:r>
        <w:rPr>
          <w:rFonts w:asciiTheme="minorHAnsi" w:hAnsiTheme="minorHAnsi" w:cstheme="minorHAnsi"/>
        </w:rPr>
        <w:t xml:space="preserve"> reported a marked reduction in </w:t>
      </w:r>
      <w:r>
        <w:rPr>
          <w:rStyle w:val="12"/>
          <w:rFonts w:asciiTheme="minorHAnsi" w:hAnsiTheme="minorHAnsi" w:cstheme="minorHAnsi"/>
          <w:b w:val="0"/>
        </w:rPr>
        <w:t>cocoon shell weight</w:t>
      </w:r>
      <w:r>
        <w:rPr>
          <w:rFonts w:asciiTheme="minorHAnsi" w:hAnsiTheme="minorHAnsi" w:cstheme="minorHAnsi"/>
        </w:rPr>
        <w:t>, highlighting the</w:t>
      </w:r>
      <w:r>
        <w:rPr>
          <w:rFonts w:asciiTheme="minorHAnsi" w:hAnsiTheme="minorHAnsi" w:cstheme="minorHAnsi"/>
          <w:b/>
        </w:rPr>
        <w:t xml:space="preserve"> </w:t>
      </w:r>
      <w:r>
        <w:rPr>
          <w:rStyle w:val="12"/>
          <w:rFonts w:asciiTheme="minorHAnsi" w:hAnsiTheme="minorHAnsi" w:cstheme="minorHAnsi"/>
          <w:b w:val="0"/>
        </w:rPr>
        <w:t>adverse impact of chlorfenapyr</w:t>
      </w:r>
      <w:r>
        <w:rPr>
          <w:rFonts w:asciiTheme="minorHAnsi" w:hAnsiTheme="minorHAnsi" w:cstheme="minorHAnsi"/>
        </w:rPr>
        <w:t xml:space="preserve"> on the growth and silk-producing ability of silkworms. Similarly, </w:t>
      </w:r>
      <w:r>
        <w:rPr>
          <w:rFonts w:asciiTheme="minorHAnsi" w:hAnsiTheme="minorHAnsi" w:cstheme="minorHAnsi"/>
          <w:bCs/>
        </w:rPr>
        <w:t xml:space="preserve">Bandyopadhyay </w:t>
      </w:r>
      <w:r>
        <w:rPr>
          <w:rFonts w:asciiTheme="minorHAnsi" w:hAnsiTheme="minorHAnsi" w:cstheme="minorHAnsi"/>
          <w:bCs/>
          <w:i/>
        </w:rPr>
        <w:t>et al</w:t>
      </w:r>
      <w:r>
        <w:rPr>
          <w:rFonts w:asciiTheme="minorHAnsi" w:hAnsiTheme="minorHAnsi" w:cstheme="minorHAnsi"/>
          <w:bCs/>
        </w:rPr>
        <w:t>. (2013)</w:t>
      </w:r>
      <w:r>
        <w:rPr>
          <w:rFonts w:asciiTheme="minorHAnsi" w:hAnsiTheme="minorHAnsi" w:cstheme="minorHAnsi"/>
        </w:rPr>
        <w:t xml:space="preserve"> observed that the residual toxicity of various pesticides including </w:t>
      </w:r>
      <w:r>
        <w:rPr>
          <w:rFonts w:asciiTheme="minorHAnsi" w:hAnsiTheme="minorHAnsi" w:cstheme="minorHAnsi"/>
          <w:bCs/>
        </w:rPr>
        <w:t>neem-based formulations (Azadirachtin 1500 ppm)</w:t>
      </w:r>
      <w:r>
        <w:rPr>
          <w:rFonts w:asciiTheme="minorHAnsi" w:hAnsiTheme="minorHAnsi" w:cstheme="minorHAnsi"/>
        </w:rPr>
        <w:t xml:space="preserve">, </w:t>
      </w:r>
      <w:r>
        <w:rPr>
          <w:rFonts w:asciiTheme="minorHAnsi" w:hAnsiTheme="minorHAnsi" w:cstheme="minorHAnsi"/>
          <w:bCs/>
        </w:rPr>
        <w:t>Acephate 75% SP</w:t>
      </w:r>
      <w:r>
        <w:rPr>
          <w:rFonts w:asciiTheme="minorHAnsi" w:hAnsiTheme="minorHAnsi" w:cstheme="minorHAnsi"/>
        </w:rPr>
        <w:t xml:space="preserve">, </w:t>
      </w:r>
      <w:r>
        <w:rPr>
          <w:rFonts w:asciiTheme="minorHAnsi" w:hAnsiTheme="minorHAnsi" w:cstheme="minorHAnsi"/>
          <w:bCs/>
        </w:rPr>
        <w:t>Dichlorvos 76% EC</w:t>
      </w:r>
      <w:r>
        <w:rPr>
          <w:rFonts w:asciiTheme="minorHAnsi" w:hAnsiTheme="minorHAnsi" w:cstheme="minorHAnsi"/>
        </w:rPr>
        <w:t xml:space="preserve">, and </w:t>
      </w:r>
      <w:r>
        <w:rPr>
          <w:rFonts w:asciiTheme="minorHAnsi" w:hAnsiTheme="minorHAnsi" w:cstheme="minorHAnsi"/>
          <w:bCs/>
        </w:rPr>
        <w:t>Monocrotophos 36% SL</w:t>
      </w:r>
      <w:r>
        <w:rPr>
          <w:rFonts w:asciiTheme="minorHAnsi" w:hAnsiTheme="minorHAnsi" w:cstheme="minorHAnsi"/>
        </w:rPr>
        <w:t xml:space="preserve"> persisted for up to </w:t>
      </w:r>
      <w:r>
        <w:rPr>
          <w:rFonts w:asciiTheme="minorHAnsi" w:hAnsiTheme="minorHAnsi" w:cstheme="minorHAnsi"/>
          <w:bCs/>
        </w:rPr>
        <w:t>14 days</w:t>
      </w:r>
      <w:r>
        <w:rPr>
          <w:rFonts w:asciiTheme="minorHAnsi" w:hAnsiTheme="minorHAnsi" w:cstheme="minorHAnsi"/>
        </w:rPr>
        <w:t xml:space="preserve">, leading to declines in </w:t>
      </w:r>
      <w:r>
        <w:rPr>
          <w:rFonts w:asciiTheme="minorHAnsi" w:hAnsiTheme="minorHAnsi" w:cstheme="minorHAnsi"/>
          <w:bCs/>
        </w:rPr>
        <w:t>larval weight</w:t>
      </w:r>
      <w:r>
        <w:rPr>
          <w:rFonts w:asciiTheme="minorHAnsi" w:hAnsiTheme="minorHAnsi" w:cstheme="minorHAnsi"/>
        </w:rPr>
        <w:t xml:space="preserve">, </w:t>
      </w:r>
      <w:r>
        <w:rPr>
          <w:rFonts w:asciiTheme="minorHAnsi" w:hAnsiTheme="minorHAnsi" w:cstheme="minorHAnsi"/>
          <w:bCs/>
        </w:rPr>
        <w:t>effective rate of rearing (ERR)</w:t>
      </w:r>
      <w:r>
        <w:rPr>
          <w:rFonts w:asciiTheme="minorHAnsi" w:hAnsiTheme="minorHAnsi" w:cstheme="minorHAnsi"/>
        </w:rPr>
        <w:t xml:space="preserve">, </w:t>
      </w:r>
      <w:r>
        <w:rPr>
          <w:rFonts w:asciiTheme="minorHAnsi" w:hAnsiTheme="minorHAnsi" w:cstheme="minorHAnsi"/>
          <w:bCs/>
        </w:rPr>
        <w:t>cocoon weight</w:t>
      </w:r>
      <w:r>
        <w:rPr>
          <w:rFonts w:asciiTheme="minorHAnsi" w:hAnsiTheme="minorHAnsi" w:cstheme="minorHAnsi"/>
        </w:rPr>
        <w:t xml:space="preserve">, </w:t>
      </w:r>
      <w:r>
        <w:rPr>
          <w:rFonts w:asciiTheme="minorHAnsi" w:hAnsiTheme="minorHAnsi" w:cstheme="minorHAnsi"/>
          <w:bCs/>
        </w:rPr>
        <w:t>shell weight</w:t>
      </w:r>
      <w:r>
        <w:rPr>
          <w:rFonts w:asciiTheme="minorHAnsi" w:hAnsiTheme="minorHAnsi" w:cstheme="minorHAnsi"/>
        </w:rPr>
        <w:t xml:space="preserve">, </w:t>
      </w:r>
      <w:r>
        <w:rPr>
          <w:rFonts w:asciiTheme="minorHAnsi" w:hAnsiTheme="minorHAnsi" w:cstheme="minorHAnsi"/>
          <w:bCs/>
        </w:rPr>
        <w:t>filament length</w:t>
      </w:r>
      <w:r>
        <w:rPr>
          <w:rFonts w:asciiTheme="minorHAnsi" w:hAnsiTheme="minorHAnsi" w:cstheme="minorHAnsi"/>
        </w:rPr>
        <w:t xml:space="preserve">, and </w:t>
      </w:r>
      <w:r>
        <w:rPr>
          <w:rFonts w:asciiTheme="minorHAnsi" w:hAnsiTheme="minorHAnsi" w:cstheme="minorHAnsi"/>
          <w:bCs/>
        </w:rPr>
        <w:t>denier</w:t>
      </w:r>
      <w:r>
        <w:rPr>
          <w:rFonts w:asciiTheme="minorHAnsi" w:hAnsiTheme="minorHAnsi" w:cstheme="minorHAnsi"/>
        </w:rPr>
        <w:t xml:space="preserve">. Furthermore, </w:t>
      </w:r>
      <w:r>
        <w:rPr>
          <w:rFonts w:asciiTheme="minorHAnsi" w:hAnsiTheme="minorHAnsi" w:cstheme="minorHAnsi"/>
          <w:bCs/>
        </w:rPr>
        <w:t xml:space="preserve">Yeshika </w:t>
      </w:r>
      <w:r>
        <w:rPr>
          <w:rFonts w:asciiTheme="minorHAnsi" w:hAnsiTheme="minorHAnsi" w:cstheme="minorHAnsi"/>
          <w:bCs/>
          <w:i/>
        </w:rPr>
        <w:t>et al</w:t>
      </w:r>
      <w:r>
        <w:rPr>
          <w:rFonts w:asciiTheme="minorHAnsi" w:hAnsiTheme="minorHAnsi" w:cstheme="minorHAnsi"/>
          <w:bCs/>
        </w:rPr>
        <w:t>. (2020)</w:t>
      </w:r>
      <w:r>
        <w:rPr>
          <w:rFonts w:asciiTheme="minorHAnsi" w:hAnsiTheme="minorHAnsi" w:cstheme="minorHAnsi"/>
        </w:rPr>
        <w:t xml:space="preserve"> reported that residues from novel insecticidal formulations in mulberry leaves adversely affected cocoon quality traits. Among the treatments tested, the </w:t>
      </w:r>
      <w:r>
        <w:rPr>
          <w:rFonts w:asciiTheme="minorHAnsi" w:hAnsiTheme="minorHAnsi" w:cstheme="minorHAnsi"/>
          <w:bCs/>
        </w:rPr>
        <w:t>untreated control group</w:t>
      </w:r>
      <w:r>
        <w:rPr>
          <w:rFonts w:asciiTheme="minorHAnsi" w:hAnsiTheme="minorHAnsi" w:cstheme="minorHAnsi"/>
        </w:rPr>
        <w:t xml:space="preserve"> recorded the </w:t>
      </w:r>
      <w:r>
        <w:rPr>
          <w:rFonts w:asciiTheme="minorHAnsi" w:hAnsiTheme="minorHAnsi" w:cstheme="minorHAnsi"/>
          <w:bCs/>
        </w:rPr>
        <w:t>highest</w:t>
      </w:r>
      <w:r>
        <w:rPr>
          <w:rFonts w:asciiTheme="minorHAnsi" w:hAnsiTheme="minorHAnsi" w:cstheme="minorHAnsi"/>
          <w:b/>
          <w:bCs/>
        </w:rPr>
        <w:t xml:space="preserve"> </w:t>
      </w:r>
      <w:r>
        <w:rPr>
          <w:rFonts w:asciiTheme="minorHAnsi" w:hAnsiTheme="minorHAnsi" w:cstheme="minorHAnsi"/>
          <w:bCs/>
        </w:rPr>
        <w:t>single cocoon weight and shell weight</w:t>
      </w:r>
      <w:r>
        <w:rPr>
          <w:rFonts w:asciiTheme="minorHAnsi" w:hAnsiTheme="minorHAnsi" w:cstheme="minorHAnsi"/>
        </w:rPr>
        <w:t xml:space="preserve">, outperforming those treated with </w:t>
      </w:r>
      <w:r>
        <w:rPr>
          <w:rFonts w:asciiTheme="minorHAnsi" w:hAnsiTheme="minorHAnsi" w:cstheme="minorHAnsi"/>
          <w:bCs/>
        </w:rPr>
        <w:t>Dichlorvos 76 EC</w:t>
      </w:r>
      <w:r>
        <w:rPr>
          <w:rFonts w:asciiTheme="minorHAnsi" w:hAnsiTheme="minorHAnsi" w:cstheme="minorHAnsi"/>
        </w:rPr>
        <w:t xml:space="preserve">, </w:t>
      </w:r>
      <w:r>
        <w:rPr>
          <w:rFonts w:asciiTheme="minorHAnsi" w:hAnsiTheme="minorHAnsi" w:cstheme="minorHAnsi"/>
          <w:bCs/>
        </w:rPr>
        <w:t>Dinotefuran 20 SG</w:t>
      </w:r>
      <w:r>
        <w:rPr>
          <w:rFonts w:asciiTheme="minorHAnsi" w:hAnsiTheme="minorHAnsi" w:cstheme="minorHAnsi"/>
        </w:rPr>
        <w:t xml:space="preserve">, and </w:t>
      </w:r>
      <w:r>
        <w:rPr>
          <w:rFonts w:asciiTheme="minorHAnsi" w:hAnsiTheme="minorHAnsi" w:cstheme="minorHAnsi"/>
          <w:bCs/>
        </w:rPr>
        <w:t>Pymetrozine 50 WG</w:t>
      </w:r>
      <w:r>
        <w:rPr>
          <w:rFonts w:asciiTheme="minorHAnsi" w:hAnsiTheme="minorHAnsi" w:cstheme="minorHAnsi"/>
        </w:rPr>
        <w:t>.</w:t>
      </w:r>
    </w:p>
    <w:p w14:paraId="1B99C1DC">
      <w:pPr>
        <w:spacing w:line="240" w:lineRule="auto"/>
        <w:rPr>
          <w:rFonts w:eastAsia="Times New Roman" w:cstheme="minorHAnsi"/>
          <w:b/>
          <w:sz w:val="24"/>
          <w:szCs w:val="24"/>
        </w:rPr>
      </w:pPr>
      <w:r>
        <w:rPr>
          <w:rFonts w:eastAsia="Times New Roman" w:cstheme="minorHAnsi"/>
          <w:b/>
          <w:sz w:val="24"/>
          <w:szCs w:val="24"/>
        </w:rPr>
        <w:t xml:space="preserve">Cocoon shell ratio </w:t>
      </w:r>
    </w:p>
    <w:p w14:paraId="4FCEE052">
      <w:pPr>
        <w:spacing w:line="240" w:lineRule="auto"/>
        <w:ind w:firstLine="720"/>
        <w:jc w:val="both"/>
        <w:rPr>
          <w:rFonts w:cstheme="minorHAnsi"/>
          <w:sz w:val="24"/>
          <w:szCs w:val="24"/>
        </w:rPr>
      </w:pPr>
      <w:r>
        <w:rPr>
          <w:rFonts w:cstheme="minorHAnsi"/>
          <w:sz w:val="24"/>
          <w:szCs w:val="24"/>
        </w:rPr>
        <w:t xml:space="preserve">At </w:t>
      </w:r>
      <w:r>
        <w:rPr>
          <w:rStyle w:val="12"/>
          <w:rFonts w:cstheme="minorHAnsi"/>
          <w:b w:val="0"/>
          <w:sz w:val="24"/>
          <w:szCs w:val="24"/>
        </w:rPr>
        <w:t>5 and 10 days after spraying (DAS)</w:t>
      </w:r>
      <w:r>
        <w:rPr>
          <w:rFonts w:cstheme="minorHAnsi"/>
          <w:b/>
          <w:sz w:val="24"/>
          <w:szCs w:val="24"/>
        </w:rPr>
        <w:t>,</w:t>
      </w:r>
      <w:r>
        <w:rPr>
          <w:rFonts w:cstheme="minorHAnsi"/>
          <w:sz w:val="24"/>
          <w:szCs w:val="24"/>
        </w:rPr>
        <w:t xml:space="preserve"> the </w:t>
      </w:r>
      <w:r>
        <w:rPr>
          <w:rStyle w:val="12"/>
          <w:rFonts w:cstheme="minorHAnsi"/>
          <w:b w:val="0"/>
          <w:sz w:val="24"/>
          <w:szCs w:val="24"/>
        </w:rPr>
        <w:t>lowest cocoon shell ratio</w:t>
      </w:r>
      <w:r>
        <w:rPr>
          <w:rFonts w:cstheme="minorHAnsi"/>
          <w:sz w:val="24"/>
          <w:szCs w:val="24"/>
        </w:rPr>
        <w:t xml:space="preserve"> was observed in </w:t>
      </w:r>
      <w:r>
        <w:rPr>
          <w:rStyle w:val="12"/>
          <w:rFonts w:cstheme="minorHAnsi"/>
          <w:b w:val="0"/>
          <w:sz w:val="24"/>
          <w:szCs w:val="24"/>
        </w:rPr>
        <w:t>Chlorfenapyr 10% SC</w:t>
      </w:r>
      <w:r>
        <w:rPr>
          <w:rFonts w:cstheme="minorHAnsi"/>
          <w:sz w:val="24"/>
          <w:szCs w:val="24"/>
        </w:rPr>
        <w:t>, followed by</w:t>
      </w:r>
      <w:r>
        <w:rPr>
          <w:rFonts w:cstheme="minorHAnsi"/>
          <w:b/>
          <w:sz w:val="24"/>
          <w:szCs w:val="24"/>
        </w:rPr>
        <w:t xml:space="preserve"> </w:t>
      </w:r>
      <w:r>
        <w:rPr>
          <w:rStyle w:val="12"/>
          <w:rFonts w:cstheme="minorHAnsi"/>
          <w:b w:val="0"/>
          <w:sz w:val="24"/>
          <w:szCs w:val="24"/>
        </w:rPr>
        <w:t>Era Safeguard</w:t>
      </w:r>
      <w:r>
        <w:rPr>
          <w:rFonts w:cstheme="minorHAnsi"/>
          <w:b/>
          <w:sz w:val="24"/>
          <w:szCs w:val="24"/>
        </w:rPr>
        <w:t xml:space="preserve"> </w:t>
      </w:r>
      <w:r>
        <w:rPr>
          <w:rFonts w:cstheme="minorHAnsi"/>
          <w:sz w:val="24"/>
          <w:szCs w:val="24"/>
        </w:rPr>
        <w:t>and</w:t>
      </w:r>
      <w:r>
        <w:rPr>
          <w:rFonts w:cstheme="minorHAnsi"/>
          <w:b/>
          <w:sz w:val="24"/>
          <w:szCs w:val="24"/>
        </w:rPr>
        <w:t xml:space="preserve"> </w:t>
      </w:r>
      <w:r>
        <w:rPr>
          <w:rStyle w:val="12"/>
          <w:rFonts w:cstheme="minorHAnsi"/>
          <w:b w:val="0"/>
          <w:sz w:val="24"/>
          <w:szCs w:val="24"/>
        </w:rPr>
        <w:t>Wettable Sulphur 80 WP</w:t>
      </w:r>
      <w:r>
        <w:rPr>
          <w:rFonts w:cstheme="minorHAnsi"/>
          <w:sz w:val="24"/>
          <w:szCs w:val="24"/>
        </w:rPr>
        <w:t>. In contrast, the</w:t>
      </w:r>
      <w:r>
        <w:rPr>
          <w:rFonts w:cstheme="minorHAnsi"/>
          <w:b/>
          <w:sz w:val="24"/>
          <w:szCs w:val="24"/>
        </w:rPr>
        <w:t xml:space="preserve"> </w:t>
      </w:r>
      <w:r>
        <w:rPr>
          <w:rStyle w:val="12"/>
          <w:rFonts w:cstheme="minorHAnsi"/>
          <w:b w:val="0"/>
          <w:sz w:val="24"/>
          <w:szCs w:val="24"/>
        </w:rPr>
        <w:t>highest shell ratio</w:t>
      </w:r>
      <w:r>
        <w:rPr>
          <w:rFonts w:cstheme="minorHAnsi"/>
          <w:b/>
          <w:sz w:val="24"/>
          <w:szCs w:val="24"/>
        </w:rPr>
        <w:t xml:space="preserve"> </w:t>
      </w:r>
      <w:r>
        <w:rPr>
          <w:rFonts w:cstheme="minorHAnsi"/>
          <w:sz w:val="24"/>
          <w:szCs w:val="24"/>
        </w:rPr>
        <w:t>was recorded in the</w:t>
      </w:r>
      <w:r>
        <w:rPr>
          <w:rFonts w:cstheme="minorHAnsi"/>
          <w:b/>
          <w:sz w:val="24"/>
          <w:szCs w:val="24"/>
        </w:rPr>
        <w:t xml:space="preserve"> </w:t>
      </w:r>
      <w:r>
        <w:rPr>
          <w:rStyle w:val="12"/>
          <w:rFonts w:cstheme="minorHAnsi"/>
          <w:b w:val="0"/>
          <w:sz w:val="24"/>
          <w:szCs w:val="24"/>
        </w:rPr>
        <w:t>control</w:t>
      </w:r>
      <w:r>
        <w:rPr>
          <w:rFonts w:cstheme="minorHAnsi"/>
          <w:b/>
          <w:sz w:val="24"/>
          <w:szCs w:val="24"/>
        </w:rPr>
        <w:t>,</w:t>
      </w:r>
      <w:r>
        <w:rPr>
          <w:rFonts w:cstheme="minorHAnsi"/>
          <w:sz w:val="24"/>
          <w:szCs w:val="24"/>
        </w:rPr>
        <w:t xml:space="preserve"> followed by</w:t>
      </w:r>
      <w:r>
        <w:rPr>
          <w:rFonts w:cstheme="minorHAnsi"/>
          <w:b/>
          <w:sz w:val="24"/>
          <w:szCs w:val="24"/>
        </w:rPr>
        <w:t xml:space="preserve"> </w:t>
      </w:r>
      <w:r>
        <w:rPr>
          <w:rStyle w:val="12"/>
          <w:rFonts w:cstheme="minorHAnsi"/>
          <w:b w:val="0"/>
          <w:sz w:val="24"/>
          <w:szCs w:val="24"/>
        </w:rPr>
        <w:t>water spray</w:t>
      </w:r>
      <w:r>
        <w:rPr>
          <w:rFonts w:cstheme="minorHAnsi"/>
          <w:b/>
          <w:sz w:val="24"/>
          <w:szCs w:val="24"/>
        </w:rPr>
        <w:t xml:space="preserve"> </w:t>
      </w:r>
      <w:r>
        <w:rPr>
          <w:rFonts w:cstheme="minorHAnsi"/>
          <w:sz w:val="24"/>
          <w:szCs w:val="24"/>
        </w:rPr>
        <w:t xml:space="preserve">and </w:t>
      </w:r>
      <w:r>
        <w:rPr>
          <w:rStyle w:val="12"/>
          <w:rFonts w:cstheme="minorHAnsi"/>
          <w:b w:val="0"/>
          <w:sz w:val="24"/>
          <w:szCs w:val="24"/>
        </w:rPr>
        <w:t>Orgomite</w:t>
      </w:r>
      <w:r>
        <w:rPr>
          <w:rFonts w:cstheme="minorHAnsi"/>
          <w:b/>
          <w:sz w:val="24"/>
          <w:szCs w:val="24"/>
        </w:rPr>
        <w:t>.</w:t>
      </w:r>
      <w:r>
        <w:rPr>
          <w:rFonts w:cstheme="minorHAnsi"/>
          <w:sz w:val="24"/>
          <w:szCs w:val="24"/>
        </w:rPr>
        <w:t xml:space="preserve"> However, by </w:t>
      </w:r>
      <w:r>
        <w:rPr>
          <w:rStyle w:val="12"/>
          <w:rFonts w:cstheme="minorHAnsi"/>
          <w:b w:val="0"/>
          <w:sz w:val="24"/>
          <w:szCs w:val="24"/>
        </w:rPr>
        <w:t>15 and 20 DAS</w:t>
      </w:r>
      <w:r>
        <w:rPr>
          <w:rFonts w:cstheme="minorHAnsi"/>
          <w:b/>
          <w:sz w:val="24"/>
          <w:szCs w:val="24"/>
        </w:rPr>
        <w:t xml:space="preserve">, </w:t>
      </w:r>
      <w:r>
        <w:rPr>
          <w:rFonts w:cstheme="minorHAnsi"/>
          <w:sz w:val="24"/>
          <w:szCs w:val="24"/>
        </w:rPr>
        <w:t>the differences in shell ratio among the treatments were</w:t>
      </w:r>
      <w:r>
        <w:rPr>
          <w:rFonts w:cstheme="minorHAnsi"/>
          <w:b/>
          <w:sz w:val="24"/>
          <w:szCs w:val="24"/>
        </w:rPr>
        <w:t xml:space="preserve"> </w:t>
      </w:r>
      <w:r>
        <w:rPr>
          <w:rStyle w:val="12"/>
          <w:rFonts w:cstheme="minorHAnsi"/>
          <w:b w:val="0"/>
          <w:sz w:val="24"/>
          <w:szCs w:val="24"/>
        </w:rPr>
        <w:t>not statistically significant</w:t>
      </w:r>
      <w:r>
        <w:rPr>
          <w:rFonts w:cstheme="minorHAnsi"/>
          <w:sz w:val="24"/>
          <w:szCs w:val="24"/>
        </w:rPr>
        <w:t xml:space="preserve"> (Table 3). </w:t>
      </w:r>
    </w:p>
    <w:p w14:paraId="484701D5">
      <w:pPr>
        <w:spacing w:line="240" w:lineRule="auto"/>
        <w:ind w:firstLine="720"/>
        <w:jc w:val="both"/>
        <w:rPr>
          <w:rFonts w:cstheme="minorHAnsi"/>
          <w:sz w:val="24"/>
          <w:szCs w:val="24"/>
        </w:rPr>
      </w:pPr>
      <w:r>
        <w:rPr>
          <w:rStyle w:val="12"/>
          <w:rFonts w:cstheme="minorHAnsi"/>
          <w:b w:val="0"/>
          <w:sz w:val="24"/>
          <w:szCs w:val="24"/>
        </w:rPr>
        <w:t>The present results align with previous studies indicating that certain plant protection products negatively influence cocoon shell quality in silkworms.</w:t>
      </w:r>
      <w:r>
        <w:rPr>
          <w:rFonts w:cstheme="minorHAnsi"/>
          <w:b/>
          <w:sz w:val="24"/>
          <w:szCs w:val="24"/>
        </w:rPr>
        <w:t xml:space="preserve"> </w:t>
      </w:r>
      <w:r>
        <w:rPr>
          <w:rFonts w:cstheme="minorHAnsi"/>
          <w:sz w:val="24"/>
          <w:szCs w:val="24"/>
        </w:rPr>
        <w:t xml:space="preserve">Narayanaswamy </w:t>
      </w:r>
      <w:r>
        <w:rPr>
          <w:rFonts w:cstheme="minorHAnsi"/>
          <w:i/>
          <w:sz w:val="24"/>
          <w:szCs w:val="24"/>
        </w:rPr>
        <w:t>et al</w:t>
      </w:r>
      <w:r>
        <w:rPr>
          <w:rFonts w:cstheme="minorHAnsi"/>
          <w:sz w:val="24"/>
          <w:szCs w:val="24"/>
        </w:rPr>
        <w:t>. (2017) observed a significant decline in shell ratio when silkworms were fed with leaves treated with neem seed kernel extract (NSKE) at various intervals post-application (16</w:t>
      </w:r>
      <w:r>
        <w:rPr>
          <w:rFonts w:cstheme="minorHAnsi"/>
          <w:sz w:val="24"/>
          <w:szCs w:val="24"/>
          <w:vertAlign w:val="superscript"/>
        </w:rPr>
        <w:t>th</w:t>
      </w:r>
      <w:r>
        <w:rPr>
          <w:rFonts w:cstheme="minorHAnsi"/>
          <w:sz w:val="24"/>
          <w:szCs w:val="24"/>
        </w:rPr>
        <w:t xml:space="preserve"> to 19</w:t>
      </w:r>
      <w:r>
        <w:rPr>
          <w:rFonts w:cstheme="minorHAnsi"/>
          <w:sz w:val="24"/>
          <w:szCs w:val="24"/>
          <w:vertAlign w:val="superscript"/>
        </w:rPr>
        <w:t>th</w:t>
      </w:r>
      <w:r>
        <w:rPr>
          <w:rFonts w:cstheme="minorHAnsi"/>
          <w:sz w:val="24"/>
          <w:szCs w:val="24"/>
        </w:rPr>
        <w:t xml:space="preserve"> day), recording shell ratios of 16.62%, 17.28%, 17.66%, and 18.14%, respectively. Similarly, Jiequn </w:t>
      </w:r>
      <w:r>
        <w:rPr>
          <w:rFonts w:cstheme="minorHAnsi"/>
          <w:i/>
          <w:sz w:val="24"/>
          <w:szCs w:val="24"/>
        </w:rPr>
        <w:t>et al</w:t>
      </w:r>
      <w:r>
        <w:rPr>
          <w:rFonts w:cstheme="minorHAnsi"/>
          <w:sz w:val="24"/>
          <w:szCs w:val="24"/>
        </w:rPr>
        <w:t xml:space="preserve">. (2019) found that silkworms fed with Chlorfenapyr (8% ME)-treated mulberry leaves at 15 and 30 days after spraying exhibited reduced cocoon shell ratios of 19.06% and 18.09%. In an earlier study, Bhagyalakshmi </w:t>
      </w:r>
      <w:r>
        <w:rPr>
          <w:rFonts w:cstheme="minorHAnsi"/>
          <w:i/>
          <w:sz w:val="24"/>
          <w:szCs w:val="24"/>
        </w:rPr>
        <w:t>et al</w:t>
      </w:r>
      <w:r>
        <w:rPr>
          <w:rFonts w:cstheme="minorHAnsi"/>
          <w:sz w:val="24"/>
          <w:szCs w:val="24"/>
        </w:rPr>
        <w:t xml:space="preserve">. (1995) reported that exposure to Hexachlorocyclohexane (HCH) led to a marked decrease in both cocoon weight and shell ratio, further confirming the adverse effects of pesticide residues on silkworm development. Fajfer </w:t>
      </w:r>
      <w:r>
        <w:rPr>
          <w:rFonts w:cstheme="minorHAnsi"/>
          <w:i/>
          <w:sz w:val="24"/>
          <w:szCs w:val="24"/>
        </w:rPr>
        <w:t>et al</w:t>
      </w:r>
      <w:r>
        <w:rPr>
          <w:rFonts w:cstheme="minorHAnsi"/>
          <w:sz w:val="24"/>
          <w:szCs w:val="24"/>
        </w:rPr>
        <w:t>. (2022) reported that the plant protection product Biosept Active Spray (grapefruit extract) adversely affected the cocoon shell quality of silkworms.</w:t>
      </w:r>
    </w:p>
    <w:p w14:paraId="14A878FF">
      <w:pPr>
        <w:spacing w:line="240" w:lineRule="auto"/>
        <w:jc w:val="both"/>
        <w:rPr>
          <w:rFonts w:cstheme="minorHAnsi"/>
          <w:b/>
          <w:sz w:val="24"/>
          <w:szCs w:val="24"/>
        </w:rPr>
      </w:pPr>
      <w:r>
        <w:rPr>
          <w:rFonts w:cstheme="minorHAnsi"/>
          <w:b/>
          <w:sz w:val="24"/>
          <w:szCs w:val="24"/>
        </w:rPr>
        <w:t xml:space="preserve">Conclusion </w:t>
      </w:r>
    </w:p>
    <w:p w14:paraId="0104F8F8">
      <w:pPr>
        <w:spacing w:line="240" w:lineRule="auto"/>
        <w:ind w:firstLine="720"/>
        <w:jc w:val="both"/>
        <w:rPr>
          <w:rFonts w:cstheme="minorHAnsi"/>
          <w:b/>
          <w:sz w:val="24"/>
          <w:szCs w:val="24"/>
        </w:rPr>
      </w:pPr>
      <w:r>
        <w:rPr>
          <w:rFonts w:cstheme="minorHAnsi"/>
          <w:sz w:val="24"/>
          <w:szCs w:val="24"/>
        </w:rPr>
        <w:t xml:space="preserve">The findings clearly demonstrate that several commonly used insecticides, including Chlorfenapyr, Era Safeguard, Wettable Sulphur and Azadirachtin, exert detrimental effects on key economic traits of silkworms such as cocoon yield, cocoon weight, shell weight, and shell ratio, particularly during the early days following application. In contrast, Orgomite, </w:t>
      </w:r>
      <w:r>
        <w:commentReference w:id="3"/>
      </w:r>
      <w:r>
        <w:rPr>
          <w:rFonts w:cstheme="minorHAnsi"/>
          <w:sz w:val="24"/>
          <w:szCs w:val="24"/>
        </w:rPr>
        <w:t>water spray and untreated control treatments showed more favorable outcomes. These results emphasize the need for careful selection and appropriate waiting periods when using plant protection products in sericulture to minimize their adverse impacts on silkworm growth and silk productivity.</w:t>
      </w:r>
    </w:p>
    <w:p w14:paraId="221CB8BA">
      <w:pPr>
        <w:spacing w:line="240" w:lineRule="auto"/>
        <w:jc w:val="both"/>
        <w:rPr>
          <w:rFonts w:eastAsia="Times New Roman" w:cstheme="minorHAnsi"/>
          <w:b/>
          <w:sz w:val="24"/>
          <w:szCs w:val="24"/>
        </w:rPr>
      </w:pPr>
      <w:r>
        <w:rPr>
          <w:rFonts w:eastAsia="Times New Roman" w:cstheme="minorHAnsi"/>
          <w:b/>
          <w:sz w:val="24"/>
          <w:szCs w:val="24"/>
        </w:rPr>
        <w:t>References</w:t>
      </w:r>
    </w:p>
    <w:p w14:paraId="0CF80080">
      <w:pPr>
        <w:spacing w:before="240" w:line="240" w:lineRule="auto"/>
        <w:ind w:left="709" w:hanging="709"/>
        <w:jc w:val="both"/>
        <w:rPr>
          <w:rFonts w:eastAsia="Times New Roman" w:cstheme="minorHAnsi"/>
          <w:sz w:val="24"/>
          <w:szCs w:val="24"/>
        </w:rPr>
      </w:pPr>
      <w:r>
        <w:rPr>
          <w:rFonts w:cstheme="minorHAnsi"/>
          <w:sz w:val="24"/>
          <w:szCs w:val="24"/>
        </w:rPr>
        <w:t xml:space="preserve">Balavenkatasubbaiah, M., Purushotham Rao, A., &amp; Rao, A. P. (2003). Impact of insecticides on the silkworm </w:t>
      </w:r>
      <w:r>
        <w:rPr>
          <w:rStyle w:val="7"/>
          <w:rFonts w:cstheme="minorHAnsi"/>
          <w:sz w:val="24"/>
          <w:szCs w:val="24"/>
        </w:rPr>
        <w:t>Bombyx mori</w:t>
      </w:r>
      <w:r>
        <w:rPr>
          <w:rFonts w:cstheme="minorHAnsi"/>
          <w:sz w:val="24"/>
          <w:szCs w:val="24"/>
        </w:rPr>
        <w:t xml:space="preserve"> L. </w:t>
      </w:r>
      <w:r>
        <w:rPr>
          <w:rStyle w:val="7"/>
          <w:rFonts w:cstheme="minorHAnsi"/>
          <w:sz w:val="24"/>
          <w:szCs w:val="24"/>
        </w:rPr>
        <w:t>Journal of Experimental Zoology India</w:t>
      </w:r>
      <w:r>
        <w:rPr>
          <w:rFonts w:cstheme="minorHAnsi"/>
          <w:sz w:val="24"/>
          <w:szCs w:val="24"/>
        </w:rPr>
        <w:t>, 6(1), 83-88.</w:t>
      </w:r>
    </w:p>
    <w:p w14:paraId="3E61B5F9">
      <w:pPr>
        <w:spacing w:before="240" w:line="240" w:lineRule="auto"/>
        <w:ind w:left="709" w:hanging="709"/>
        <w:jc w:val="both"/>
        <w:rPr>
          <w:rFonts w:eastAsia="Times New Roman" w:cstheme="minorHAnsi"/>
          <w:sz w:val="24"/>
          <w:szCs w:val="24"/>
        </w:rPr>
      </w:pPr>
      <w:r>
        <w:rPr>
          <w:rFonts w:cstheme="minorHAnsi"/>
          <w:sz w:val="24"/>
          <w:szCs w:val="24"/>
        </w:rPr>
        <w:t>Bandyopadhyay, U. K., Chatterjee, S., Maji, C., &amp; Bindroo, B. B. (2013). Efficacy of plant oils against leaf webber (</w:t>
      </w:r>
      <w:r>
        <w:rPr>
          <w:rStyle w:val="7"/>
          <w:rFonts w:cstheme="minorHAnsi"/>
          <w:sz w:val="24"/>
          <w:szCs w:val="24"/>
        </w:rPr>
        <w:t>Glyphodes pyloalis</w:t>
      </w:r>
      <w:r>
        <w:rPr>
          <w:rFonts w:cstheme="minorHAnsi"/>
          <w:sz w:val="24"/>
          <w:szCs w:val="24"/>
        </w:rPr>
        <w:t xml:space="preserve"> Walker) on mulberry (</w:t>
      </w:r>
      <w:r>
        <w:rPr>
          <w:rStyle w:val="7"/>
          <w:rFonts w:cstheme="minorHAnsi"/>
          <w:sz w:val="24"/>
          <w:szCs w:val="24"/>
        </w:rPr>
        <w:t>Morus alba</w:t>
      </w:r>
      <w:r>
        <w:rPr>
          <w:rFonts w:cstheme="minorHAnsi"/>
          <w:sz w:val="24"/>
          <w:szCs w:val="24"/>
        </w:rPr>
        <w:t xml:space="preserve"> L.). </w:t>
      </w:r>
      <w:r>
        <w:rPr>
          <w:rStyle w:val="7"/>
          <w:rFonts w:cstheme="minorHAnsi"/>
          <w:sz w:val="24"/>
          <w:szCs w:val="24"/>
        </w:rPr>
        <w:t>Annals of Plant Protection Sciences</w:t>
      </w:r>
      <w:r>
        <w:rPr>
          <w:rFonts w:cstheme="minorHAnsi"/>
          <w:sz w:val="24"/>
          <w:szCs w:val="24"/>
        </w:rPr>
        <w:t>, 44(8), 49-53.</w:t>
      </w:r>
    </w:p>
    <w:p w14:paraId="0964806A">
      <w:pPr>
        <w:spacing w:before="240" w:line="240" w:lineRule="auto"/>
        <w:ind w:left="709" w:hanging="709"/>
        <w:jc w:val="both"/>
        <w:rPr>
          <w:rFonts w:eastAsia="Times New Roman" w:cstheme="minorHAnsi"/>
          <w:sz w:val="24"/>
          <w:szCs w:val="24"/>
        </w:rPr>
      </w:pPr>
      <w:r>
        <w:rPr>
          <w:rFonts w:cstheme="minorHAnsi"/>
          <w:sz w:val="24"/>
          <w:szCs w:val="24"/>
        </w:rPr>
        <w:t xml:space="preserve">Bhagyalakshmi, A., Venkata Reddy, S., Ramamurthi, R., &amp; Reddy, P. S. (1995). Studies on the effect of hexachlorocyclohexane on the growth and silk qualities of silkworm, </w:t>
      </w:r>
      <w:r>
        <w:rPr>
          <w:rStyle w:val="7"/>
          <w:rFonts w:cstheme="minorHAnsi"/>
          <w:sz w:val="24"/>
          <w:szCs w:val="24"/>
        </w:rPr>
        <w:t>Bombyx mori</w:t>
      </w:r>
      <w:r>
        <w:rPr>
          <w:rFonts w:cstheme="minorHAnsi"/>
          <w:sz w:val="24"/>
          <w:szCs w:val="24"/>
        </w:rPr>
        <w:t xml:space="preserve"> L. </w:t>
      </w:r>
      <w:r>
        <w:rPr>
          <w:rStyle w:val="7"/>
          <w:rFonts w:cstheme="minorHAnsi"/>
          <w:sz w:val="24"/>
          <w:szCs w:val="24"/>
        </w:rPr>
        <w:t>Chemistry and Ecology</w:t>
      </w:r>
      <w:r>
        <w:rPr>
          <w:rFonts w:cstheme="minorHAnsi"/>
          <w:sz w:val="24"/>
          <w:szCs w:val="24"/>
        </w:rPr>
        <w:t>, 11, 97-104.</w:t>
      </w:r>
    </w:p>
    <w:p w14:paraId="4473D35B">
      <w:pPr>
        <w:spacing w:before="240" w:line="240" w:lineRule="auto"/>
        <w:ind w:left="709" w:hanging="709"/>
        <w:jc w:val="both"/>
        <w:rPr>
          <w:rFonts w:eastAsia="Times New Roman" w:cstheme="minorHAnsi"/>
          <w:sz w:val="24"/>
          <w:szCs w:val="24"/>
        </w:rPr>
      </w:pPr>
      <w:r>
        <w:rPr>
          <w:rFonts w:cstheme="minorHAnsi"/>
          <w:sz w:val="24"/>
          <w:szCs w:val="24"/>
        </w:rPr>
        <w:t xml:space="preserve">Dandin, S. B., &amp; Giridhar, K. (2014). </w:t>
      </w:r>
      <w:r>
        <w:rPr>
          <w:rStyle w:val="7"/>
          <w:rFonts w:cstheme="minorHAnsi"/>
          <w:sz w:val="24"/>
          <w:szCs w:val="24"/>
        </w:rPr>
        <w:t>Handbook of Sericulture Technologies</w:t>
      </w:r>
      <w:r>
        <w:rPr>
          <w:rFonts w:cstheme="minorHAnsi"/>
          <w:sz w:val="24"/>
          <w:szCs w:val="24"/>
        </w:rPr>
        <w:t>. Central Silk Board, Bangalore.</w:t>
      </w:r>
    </w:p>
    <w:p w14:paraId="1CC43F08">
      <w:pPr>
        <w:spacing w:before="240" w:line="240" w:lineRule="auto"/>
        <w:ind w:left="709" w:hanging="709"/>
        <w:jc w:val="both"/>
        <w:rPr>
          <w:rFonts w:cstheme="minorHAnsi"/>
          <w:sz w:val="24"/>
          <w:szCs w:val="24"/>
        </w:rPr>
      </w:pPr>
      <w:r>
        <w:rPr>
          <w:rFonts w:cstheme="minorHAnsi"/>
          <w:sz w:val="24"/>
          <w:szCs w:val="24"/>
        </w:rPr>
        <w:t>Fajfer, D., &amp; Lochynska, M. (2022). Impact of ecological plant protection products on mortality and cocoon shell ratio of mulberry silkworms (</w:t>
      </w:r>
      <w:r>
        <w:rPr>
          <w:rStyle w:val="7"/>
          <w:rFonts w:cstheme="minorHAnsi"/>
          <w:sz w:val="24"/>
          <w:szCs w:val="24"/>
        </w:rPr>
        <w:t>Bombyx mori</w:t>
      </w:r>
      <w:r>
        <w:rPr>
          <w:rFonts w:cstheme="minorHAnsi"/>
          <w:sz w:val="24"/>
          <w:szCs w:val="24"/>
        </w:rPr>
        <w:t xml:space="preserve"> L.) - pilot studies. </w:t>
      </w:r>
      <w:r>
        <w:rPr>
          <w:rStyle w:val="7"/>
          <w:rFonts w:cstheme="minorHAnsi"/>
          <w:sz w:val="24"/>
          <w:szCs w:val="24"/>
        </w:rPr>
        <w:t>Journal of Plant Protection Research</w:t>
      </w:r>
      <w:r>
        <w:rPr>
          <w:rFonts w:cstheme="minorHAnsi"/>
          <w:sz w:val="24"/>
          <w:szCs w:val="24"/>
        </w:rPr>
        <w:t>, 62(3), 281-286.</w:t>
      </w:r>
    </w:p>
    <w:p w14:paraId="7C4A08EE">
      <w:pPr>
        <w:spacing w:before="240" w:line="240" w:lineRule="auto"/>
        <w:ind w:left="709" w:hanging="709"/>
        <w:jc w:val="both"/>
        <w:rPr>
          <w:rFonts w:eastAsia="Times New Roman" w:cstheme="minorHAnsi"/>
          <w:sz w:val="24"/>
          <w:szCs w:val="24"/>
        </w:rPr>
      </w:pPr>
      <w:r>
        <w:rPr>
          <w:rFonts w:cstheme="minorHAnsi"/>
          <w:sz w:val="24"/>
          <w:szCs w:val="24"/>
        </w:rPr>
        <w:t xml:space="preserve">Kariappa, B. K., &amp; Narasimhanna, M. N. (1978). Effect of insecticides in controlling the mulberry thrips and their effect on rearing silkworm, </w:t>
      </w:r>
      <w:r>
        <w:rPr>
          <w:rStyle w:val="7"/>
          <w:rFonts w:cstheme="minorHAnsi"/>
          <w:sz w:val="24"/>
          <w:szCs w:val="24"/>
        </w:rPr>
        <w:t>Bombyx mori</w:t>
      </w:r>
      <w:r>
        <w:rPr>
          <w:rFonts w:cstheme="minorHAnsi"/>
          <w:sz w:val="24"/>
          <w:szCs w:val="24"/>
        </w:rPr>
        <w:t xml:space="preserve">. </w:t>
      </w:r>
      <w:r>
        <w:rPr>
          <w:rStyle w:val="7"/>
          <w:rFonts w:cstheme="minorHAnsi"/>
          <w:sz w:val="24"/>
          <w:szCs w:val="24"/>
        </w:rPr>
        <w:t>Indian Journal of Sericulture</w:t>
      </w:r>
      <w:r>
        <w:rPr>
          <w:rFonts w:cstheme="minorHAnsi"/>
          <w:sz w:val="24"/>
          <w:szCs w:val="24"/>
        </w:rPr>
        <w:t>, 17, 7-14.</w:t>
      </w:r>
    </w:p>
    <w:p w14:paraId="3A5A8191">
      <w:pPr>
        <w:spacing w:before="240" w:line="240" w:lineRule="auto"/>
        <w:ind w:left="709" w:hanging="709"/>
        <w:jc w:val="both"/>
        <w:rPr>
          <w:rFonts w:eastAsia="Times New Roman" w:cstheme="minorHAnsi"/>
          <w:sz w:val="24"/>
          <w:szCs w:val="24"/>
        </w:rPr>
      </w:pPr>
      <w:r>
        <w:rPr>
          <w:rFonts w:cstheme="minorHAnsi"/>
          <w:sz w:val="24"/>
          <w:szCs w:val="24"/>
        </w:rPr>
        <w:t xml:space="preserve">Narayanaswamy, K. C., Harish Babu, S., &amp; Jagadish, K. S. (2017). Effect of NSKE and IPM module treated leaves on rearing performance of the silkworm, </w:t>
      </w:r>
      <w:r>
        <w:rPr>
          <w:rStyle w:val="7"/>
          <w:rFonts w:cstheme="minorHAnsi"/>
          <w:sz w:val="24"/>
          <w:szCs w:val="24"/>
        </w:rPr>
        <w:t>Bombyx mori</w:t>
      </w:r>
      <w:r>
        <w:rPr>
          <w:rFonts w:cstheme="minorHAnsi"/>
          <w:sz w:val="24"/>
          <w:szCs w:val="24"/>
        </w:rPr>
        <w:t xml:space="preserve"> L. </w:t>
      </w:r>
      <w:r>
        <w:rPr>
          <w:rStyle w:val="7"/>
          <w:rFonts w:cstheme="minorHAnsi"/>
          <w:sz w:val="24"/>
          <w:szCs w:val="24"/>
        </w:rPr>
        <w:t>Mysore Journal of Agricultural Sciences</w:t>
      </w:r>
      <w:r>
        <w:rPr>
          <w:rFonts w:cstheme="minorHAnsi"/>
          <w:sz w:val="24"/>
          <w:szCs w:val="24"/>
        </w:rPr>
        <w:t>, 51(1), 102-107.</w:t>
      </w:r>
    </w:p>
    <w:p w14:paraId="1B129D95">
      <w:pPr>
        <w:spacing w:before="240" w:line="240" w:lineRule="auto"/>
        <w:ind w:left="709" w:hanging="709"/>
        <w:jc w:val="both"/>
        <w:rPr>
          <w:rFonts w:eastAsia="Times New Roman" w:cstheme="minorHAnsi"/>
          <w:sz w:val="24"/>
          <w:szCs w:val="24"/>
        </w:rPr>
      </w:pPr>
      <w:r>
        <w:rPr>
          <w:rFonts w:cstheme="minorHAnsi"/>
          <w:sz w:val="24"/>
          <w:szCs w:val="24"/>
        </w:rPr>
        <w:t xml:space="preserve">Ramesh Babu, M., Govindan, R., &amp; Bhat, G. M. (2013). Impact of insecticide residues on silkworm rearing and cocoon production. </w:t>
      </w:r>
      <w:r>
        <w:rPr>
          <w:rStyle w:val="7"/>
          <w:rFonts w:cstheme="minorHAnsi"/>
          <w:sz w:val="24"/>
          <w:szCs w:val="24"/>
        </w:rPr>
        <w:t>Indian Journal of Sericulture</w:t>
      </w:r>
      <w:r>
        <w:rPr>
          <w:rFonts w:cstheme="minorHAnsi"/>
          <w:sz w:val="24"/>
          <w:szCs w:val="24"/>
        </w:rPr>
        <w:t>, 52(2), 123-128.</w:t>
      </w:r>
    </w:p>
    <w:p w14:paraId="5B787428">
      <w:pPr>
        <w:spacing w:before="240" w:line="240" w:lineRule="auto"/>
        <w:ind w:left="709" w:hanging="709"/>
        <w:jc w:val="both"/>
        <w:rPr>
          <w:rFonts w:eastAsia="Times New Roman" w:cstheme="minorHAnsi"/>
          <w:sz w:val="24"/>
          <w:szCs w:val="24"/>
        </w:rPr>
      </w:pPr>
      <w:r>
        <w:rPr>
          <w:rFonts w:cstheme="minorHAnsi"/>
          <w:sz w:val="24"/>
          <w:szCs w:val="24"/>
        </w:rPr>
        <w:t xml:space="preserve">Ren, J., Chen, L., Zhang, M., Li, Z., Yang, Y., Tan, L., &amp; Zheng, Z. (2019). Screening of insecticides against the mulberry fruit gall midge </w:t>
      </w:r>
      <w:r>
        <w:rPr>
          <w:rStyle w:val="7"/>
          <w:rFonts w:cstheme="minorHAnsi"/>
          <w:sz w:val="24"/>
          <w:szCs w:val="24"/>
        </w:rPr>
        <w:t>Cotarina</w:t>
      </w:r>
      <w:r>
        <w:rPr>
          <w:rFonts w:cstheme="minorHAnsi"/>
          <w:sz w:val="24"/>
          <w:szCs w:val="24"/>
        </w:rPr>
        <w:t xml:space="preserve"> sp. </w:t>
      </w:r>
      <w:r>
        <w:rPr>
          <w:rStyle w:val="7"/>
          <w:rFonts w:cstheme="minorHAnsi"/>
          <w:sz w:val="24"/>
          <w:szCs w:val="24"/>
        </w:rPr>
        <w:t>E3S Web of Conferences</w:t>
      </w:r>
      <w:r>
        <w:rPr>
          <w:rFonts w:cstheme="minorHAnsi"/>
          <w:sz w:val="24"/>
          <w:szCs w:val="24"/>
        </w:rPr>
        <w:t>, 131, 01115.</w:t>
      </w:r>
    </w:p>
    <w:p w14:paraId="75D759EA">
      <w:pPr>
        <w:spacing w:before="240" w:line="240" w:lineRule="auto"/>
        <w:ind w:left="709" w:hanging="709"/>
        <w:jc w:val="both"/>
        <w:rPr>
          <w:rFonts w:cstheme="minorHAnsi"/>
          <w:sz w:val="24"/>
          <w:szCs w:val="24"/>
        </w:rPr>
      </w:pPr>
      <w:r>
        <w:rPr>
          <w:rFonts w:cstheme="minorHAnsi"/>
          <w:sz w:val="24"/>
          <w:szCs w:val="24"/>
        </w:rPr>
        <w:t xml:space="preserve">Vasanth, V., Senguttuvan, K., Priyadharsini, P., Gracy, R. G., Ponnuvel, K. M., &amp; Jayakanthan, M. (2025). Impact of the insecticide chlorfenapyr on rearing efficiency of silkworms, </w:t>
      </w:r>
      <w:r>
        <w:rPr>
          <w:rStyle w:val="7"/>
          <w:rFonts w:cstheme="minorHAnsi"/>
          <w:sz w:val="24"/>
          <w:szCs w:val="24"/>
        </w:rPr>
        <w:t>Bombyx mori</w:t>
      </w:r>
      <w:r>
        <w:rPr>
          <w:rFonts w:cstheme="minorHAnsi"/>
          <w:sz w:val="24"/>
          <w:szCs w:val="24"/>
        </w:rPr>
        <w:t xml:space="preserve"> L. </w:t>
      </w:r>
      <w:r>
        <w:rPr>
          <w:rStyle w:val="7"/>
          <w:rFonts w:cstheme="minorHAnsi"/>
          <w:sz w:val="24"/>
          <w:szCs w:val="24"/>
        </w:rPr>
        <w:t>Entomological News</w:t>
      </w:r>
      <w:r>
        <w:rPr>
          <w:rFonts w:cstheme="minorHAnsi"/>
          <w:sz w:val="24"/>
          <w:szCs w:val="24"/>
        </w:rPr>
        <w:t>, 132(3), 325-334.</w:t>
      </w:r>
    </w:p>
    <w:p w14:paraId="1CBB03F6">
      <w:pPr>
        <w:spacing w:before="240" w:line="240" w:lineRule="auto"/>
        <w:ind w:left="709" w:hanging="709"/>
        <w:jc w:val="both"/>
        <w:rPr>
          <w:rFonts w:eastAsia="Times New Roman" w:cstheme="minorHAnsi"/>
          <w:sz w:val="24"/>
          <w:szCs w:val="24"/>
        </w:rPr>
      </w:pPr>
      <w:r>
        <w:rPr>
          <w:rFonts w:cstheme="minorHAnsi"/>
          <w:sz w:val="24"/>
          <w:szCs w:val="24"/>
        </w:rPr>
        <w:t xml:space="preserve">Wang, W., Su, Y., Liu, X., Qi, R., Li, F., Li, B., &amp; Sun, H. (2023). Low concentration of indoxacarb interferes with the growth and development of silkworm by damaging the structure of midgut cells. </w:t>
      </w:r>
      <w:r>
        <w:rPr>
          <w:rStyle w:val="7"/>
          <w:rFonts w:cstheme="minorHAnsi"/>
          <w:sz w:val="24"/>
          <w:szCs w:val="24"/>
        </w:rPr>
        <w:t>Pesticide Biochemistry and Physiology</w:t>
      </w:r>
      <w:r>
        <w:rPr>
          <w:rFonts w:cstheme="minorHAnsi"/>
          <w:sz w:val="24"/>
          <w:szCs w:val="24"/>
        </w:rPr>
        <w:t>, 195, 105567.</w:t>
      </w:r>
    </w:p>
    <w:p w14:paraId="5BB4A48E">
      <w:pPr>
        <w:spacing w:before="240" w:line="240" w:lineRule="auto"/>
        <w:ind w:left="709" w:hanging="709"/>
        <w:jc w:val="both"/>
        <w:rPr>
          <w:rFonts w:eastAsia="Times New Roman" w:cstheme="minorHAnsi"/>
          <w:sz w:val="24"/>
          <w:szCs w:val="24"/>
        </w:rPr>
      </w:pPr>
      <w:r>
        <w:rPr>
          <w:rFonts w:cstheme="minorHAnsi"/>
          <w:sz w:val="24"/>
          <w:szCs w:val="24"/>
        </w:rPr>
        <w:t xml:space="preserve">Yeshika, M. P., Banuprakash, K. G., Murali Mohan, K., &amp; Vinoda, K. S. (2020). Effect of novel insecticide molecules in mulberry on cocoon parameters of silkworm </w:t>
      </w:r>
      <w:r>
        <w:rPr>
          <w:rStyle w:val="7"/>
          <w:rFonts w:cstheme="minorHAnsi"/>
          <w:sz w:val="24"/>
          <w:szCs w:val="24"/>
        </w:rPr>
        <w:t>Bombyx mori</w:t>
      </w:r>
      <w:r>
        <w:rPr>
          <w:rFonts w:cstheme="minorHAnsi"/>
          <w:sz w:val="24"/>
          <w:szCs w:val="24"/>
        </w:rPr>
        <w:t xml:space="preserve"> L. </w:t>
      </w:r>
      <w:r>
        <w:rPr>
          <w:rStyle w:val="7"/>
          <w:rFonts w:cstheme="minorHAnsi"/>
          <w:sz w:val="24"/>
          <w:szCs w:val="24"/>
        </w:rPr>
        <w:t>International Journal of Current Microbiology and Applied Sciences</w:t>
      </w:r>
      <w:r>
        <w:rPr>
          <w:rFonts w:cstheme="minorHAnsi"/>
          <w:sz w:val="24"/>
          <w:szCs w:val="24"/>
        </w:rPr>
        <w:t>, 9(2), 1027-1039.</w:t>
      </w:r>
    </w:p>
    <w:p w14:paraId="15B928B1">
      <w:pPr>
        <w:pStyle w:val="11"/>
        <w:jc w:val="both"/>
        <w:rPr>
          <w:rFonts w:asciiTheme="minorHAnsi" w:hAnsiTheme="minorHAnsi" w:cstheme="minorHAnsi"/>
          <w:b/>
        </w:rPr>
      </w:pPr>
    </w:p>
    <w:p w14:paraId="152056C8">
      <w:pPr>
        <w:pStyle w:val="11"/>
        <w:jc w:val="both"/>
        <w:rPr>
          <w:rFonts w:asciiTheme="minorHAnsi" w:hAnsiTheme="minorHAnsi" w:cstheme="minorHAnsi"/>
          <w:b/>
        </w:rPr>
      </w:pPr>
    </w:p>
    <w:p w14:paraId="0815CA7B">
      <w:pPr>
        <w:pStyle w:val="11"/>
        <w:jc w:val="both"/>
        <w:rPr>
          <w:rFonts w:asciiTheme="minorHAnsi" w:hAnsiTheme="minorHAnsi" w:cstheme="minorHAnsi"/>
          <w:b/>
        </w:rPr>
      </w:pPr>
    </w:p>
    <w:p w14:paraId="379A5358">
      <w:pPr>
        <w:pStyle w:val="11"/>
        <w:jc w:val="both"/>
        <w:rPr>
          <w:rFonts w:asciiTheme="minorHAnsi" w:hAnsiTheme="minorHAnsi" w:cstheme="minorHAnsi"/>
          <w:b/>
        </w:rPr>
      </w:pPr>
    </w:p>
    <w:p w14:paraId="27C386C6">
      <w:pPr>
        <w:pStyle w:val="11"/>
        <w:jc w:val="both"/>
        <w:rPr>
          <w:rFonts w:asciiTheme="minorHAnsi" w:hAnsiTheme="minorHAnsi" w:cstheme="minorHAnsi"/>
          <w:b/>
        </w:rPr>
      </w:pPr>
    </w:p>
    <w:p w14:paraId="3883E5A9">
      <w:pPr>
        <w:pStyle w:val="11"/>
        <w:jc w:val="both"/>
        <w:rPr>
          <w:rFonts w:asciiTheme="minorHAnsi" w:hAnsiTheme="minorHAnsi" w:cstheme="minorHAnsi"/>
          <w:b/>
        </w:rPr>
      </w:pPr>
    </w:p>
    <w:p w14:paraId="3663E201">
      <w:pPr>
        <w:pStyle w:val="11"/>
        <w:jc w:val="both"/>
        <w:rPr>
          <w:rFonts w:asciiTheme="minorHAnsi" w:hAnsiTheme="minorHAnsi" w:cstheme="minorHAnsi"/>
          <w:b/>
        </w:rPr>
      </w:pPr>
      <w:r>
        <w:commentReference w:id="4"/>
      </w:r>
    </w:p>
    <w:p w14:paraId="2B80C047">
      <w:pPr>
        <w:spacing w:line="240" w:lineRule="auto"/>
        <w:rPr>
          <w:rFonts w:eastAsia="Times New Roman" w:cstheme="minorHAnsi"/>
          <w:sz w:val="24"/>
          <w:szCs w:val="24"/>
        </w:rPr>
      </w:pPr>
      <w:r>
        <w:rPr>
          <w:rFonts w:eastAsia="Times New Roman" w:cstheme="minorHAnsi"/>
          <w:b/>
          <w:sz w:val="24"/>
          <w:szCs w:val="24"/>
        </w:rPr>
        <w:t>Table 1:</w:t>
      </w:r>
      <w:r>
        <w:rPr>
          <w:rFonts w:eastAsia="Times New Roman" w:cstheme="minorHAnsi"/>
          <w:sz w:val="24"/>
          <w:szCs w:val="24"/>
        </w:rPr>
        <w:t xml:space="preserve"> Effect of feeding the insecticide treated mulberry leaves on cocoon yield by weight</w:t>
      </w:r>
    </w:p>
    <w:tbl>
      <w:tblPr>
        <w:tblStyle w:val="5"/>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1"/>
        <w:gridCol w:w="1407"/>
        <w:gridCol w:w="1409"/>
        <w:gridCol w:w="1409"/>
        <w:gridCol w:w="1407"/>
      </w:tblGrid>
      <w:tr w14:paraId="51E70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restart"/>
            <w:vAlign w:val="center"/>
          </w:tcPr>
          <w:p w14:paraId="2DBD94CD">
            <w:pPr>
              <w:spacing w:after="0" w:line="240" w:lineRule="auto"/>
              <w:jc w:val="center"/>
              <w:rPr>
                <w:rFonts w:eastAsia="Times New Roman" w:cstheme="minorHAnsi"/>
                <w:sz w:val="24"/>
                <w:szCs w:val="24"/>
              </w:rPr>
            </w:pPr>
            <w:r>
              <w:rPr>
                <w:rFonts w:eastAsia="Times New Roman" w:cstheme="minorHAnsi"/>
                <w:b/>
                <w:sz w:val="24"/>
                <w:szCs w:val="24"/>
              </w:rPr>
              <w:t>Treatment details</w:t>
            </w:r>
          </w:p>
        </w:tc>
        <w:tc>
          <w:tcPr>
            <w:tcW w:w="5632" w:type="dxa"/>
            <w:gridSpan w:val="4"/>
            <w:vAlign w:val="center"/>
          </w:tcPr>
          <w:p w14:paraId="5C36A58E">
            <w:pPr>
              <w:spacing w:after="0" w:line="240" w:lineRule="auto"/>
              <w:rPr>
                <w:rFonts w:eastAsia="Times New Roman" w:cstheme="minorHAnsi"/>
                <w:sz w:val="24"/>
                <w:szCs w:val="24"/>
              </w:rPr>
            </w:pPr>
            <w:r>
              <w:rPr>
                <w:rFonts w:eastAsia="Times New Roman" w:cstheme="minorHAnsi"/>
                <w:b/>
                <w:sz w:val="24"/>
                <w:szCs w:val="24"/>
              </w:rPr>
              <w:t>Cocoon yield by weight (kg/10,000 larvae)</w:t>
            </w:r>
          </w:p>
        </w:tc>
      </w:tr>
      <w:tr w14:paraId="7D23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continue"/>
            <w:vAlign w:val="center"/>
          </w:tcPr>
          <w:p w14:paraId="773F1E0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eastAsia="Times New Roman" w:cstheme="minorHAnsi"/>
                <w:sz w:val="24"/>
                <w:szCs w:val="24"/>
              </w:rPr>
            </w:pPr>
          </w:p>
        </w:tc>
        <w:tc>
          <w:tcPr>
            <w:tcW w:w="1407" w:type="dxa"/>
            <w:vAlign w:val="center"/>
          </w:tcPr>
          <w:p w14:paraId="1E7303EC">
            <w:pPr>
              <w:spacing w:after="0" w:line="240" w:lineRule="auto"/>
              <w:jc w:val="center"/>
              <w:rPr>
                <w:rFonts w:eastAsia="Times New Roman" w:cstheme="minorHAnsi"/>
                <w:sz w:val="24"/>
                <w:szCs w:val="24"/>
              </w:rPr>
            </w:pPr>
            <w:r>
              <w:rPr>
                <w:rFonts w:eastAsia="Times New Roman" w:cstheme="minorHAnsi"/>
                <w:b/>
                <w:sz w:val="24"/>
                <w:szCs w:val="24"/>
              </w:rPr>
              <w:t>5 DAS</w:t>
            </w:r>
          </w:p>
        </w:tc>
        <w:tc>
          <w:tcPr>
            <w:tcW w:w="1409" w:type="dxa"/>
            <w:vAlign w:val="center"/>
          </w:tcPr>
          <w:p w14:paraId="5BE917BE">
            <w:pPr>
              <w:spacing w:after="0" w:line="240" w:lineRule="auto"/>
              <w:jc w:val="center"/>
              <w:rPr>
                <w:rFonts w:eastAsia="Times New Roman" w:cstheme="minorHAnsi"/>
                <w:sz w:val="24"/>
                <w:szCs w:val="24"/>
              </w:rPr>
            </w:pPr>
            <w:r>
              <w:rPr>
                <w:rFonts w:eastAsia="Times New Roman" w:cstheme="minorHAnsi"/>
                <w:b/>
                <w:sz w:val="24"/>
                <w:szCs w:val="24"/>
              </w:rPr>
              <w:t>10 DAS</w:t>
            </w:r>
          </w:p>
        </w:tc>
        <w:tc>
          <w:tcPr>
            <w:tcW w:w="1409" w:type="dxa"/>
            <w:vAlign w:val="center"/>
          </w:tcPr>
          <w:p w14:paraId="300C1BED">
            <w:pPr>
              <w:spacing w:after="0" w:line="240" w:lineRule="auto"/>
              <w:jc w:val="center"/>
              <w:rPr>
                <w:rFonts w:eastAsia="Times New Roman" w:cstheme="minorHAnsi"/>
                <w:sz w:val="24"/>
                <w:szCs w:val="24"/>
              </w:rPr>
            </w:pPr>
            <w:r>
              <w:rPr>
                <w:rFonts w:eastAsia="Times New Roman" w:cstheme="minorHAnsi"/>
                <w:b/>
                <w:sz w:val="24"/>
                <w:szCs w:val="24"/>
              </w:rPr>
              <w:t>15 DAS</w:t>
            </w:r>
          </w:p>
        </w:tc>
        <w:tc>
          <w:tcPr>
            <w:tcW w:w="1407" w:type="dxa"/>
            <w:vAlign w:val="center"/>
          </w:tcPr>
          <w:p w14:paraId="1A45F1B7">
            <w:pPr>
              <w:spacing w:after="0" w:line="240" w:lineRule="auto"/>
              <w:jc w:val="center"/>
              <w:rPr>
                <w:rFonts w:eastAsia="Times New Roman" w:cstheme="minorHAnsi"/>
                <w:sz w:val="24"/>
                <w:szCs w:val="24"/>
              </w:rPr>
            </w:pPr>
            <w:r>
              <w:rPr>
                <w:rFonts w:eastAsia="Times New Roman" w:cstheme="minorHAnsi"/>
                <w:b/>
                <w:sz w:val="24"/>
                <w:szCs w:val="24"/>
              </w:rPr>
              <w:t>20 DAS</w:t>
            </w:r>
          </w:p>
        </w:tc>
      </w:tr>
      <w:tr w14:paraId="74B233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150E828A">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1</w:t>
            </w:r>
            <w:r>
              <w:rPr>
                <w:rFonts w:eastAsia="Times New Roman" w:cstheme="minorHAnsi"/>
                <w:sz w:val="24"/>
                <w:szCs w:val="24"/>
              </w:rPr>
              <w:t>: Chlorfenapyr 10 % SC @ 1.5 mL/L</w:t>
            </w:r>
          </w:p>
        </w:tc>
        <w:tc>
          <w:tcPr>
            <w:tcW w:w="1407" w:type="dxa"/>
            <w:vAlign w:val="center"/>
          </w:tcPr>
          <w:p w14:paraId="08F25A44">
            <w:pPr>
              <w:spacing w:after="0" w:line="240" w:lineRule="auto"/>
              <w:jc w:val="center"/>
              <w:rPr>
                <w:rFonts w:eastAsia="Times New Roman" w:cstheme="minorHAnsi"/>
                <w:sz w:val="24"/>
                <w:szCs w:val="24"/>
              </w:rPr>
            </w:pPr>
            <w:r>
              <w:rPr>
                <w:rFonts w:eastAsia="Times New Roman" w:cstheme="minorHAnsi"/>
                <w:color w:val="000000"/>
                <w:sz w:val="24"/>
                <w:szCs w:val="24"/>
              </w:rPr>
              <w:t>4.51</w:t>
            </w:r>
          </w:p>
        </w:tc>
        <w:tc>
          <w:tcPr>
            <w:tcW w:w="1409" w:type="dxa"/>
            <w:vAlign w:val="center"/>
          </w:tcPr>
          <w:p w14:paraId="3507716D">
            <w:pPr>
              <w:spacing w:after="0" w:line="240" w:lineRule="auto"/>
              <w:jc w:val="center"/>
              <w:rPr>
                <w:rFonts w:eastAsia="Times New Roman" w:cstheme="minorHAnsi"/>
                <w:sz w:val="24"/>
                <w:szCs w:val="24"/>
              </w:rPr>
            </w:pPr>
            <w:r>
              <w:rPr>
                <w:rFonts w:eastAsia="Times New Roman" w:cstheme="minorHAnsi"/>
                <w:color w:val="000000"/>
                <w:sz w:val="24"/>
                <w:szCs w:val="24"/>
              </w:rPr>
              <w:t>14.16</w:t>
            </w:r>
          </w:p>
        </w:tc>
        <w:tc>
          <w:tcPr>
            <w:tcW w:w="1409" w:type="dxa"/>
            <w:vAlign w:val="center"/>
          </w:tcPr>
          <w:p w14:paraId="2AB8CD0F">
            <w:pPr>
              <w:spacing w:after="0" w:line="240" w:lineRule="auto"/>
              <w:jc w:val="center"/>
              <w:rPr>
                <w:rFonts w:eastAsia="Times New Roman" w:cstheme="minorHAnsi"/>
                <w:sz w:val="24"/>
                <w:szCs w:val="24"/>
              </w:rPr>
            </w:pPr>
            <w:r>
              <w:rPr>
                <w:rFonts w:eastAsia="Times New Roman" w:cstheme="minorHAnsi"/>
                <w:color w:val="000000"/>
                <w:sz w:val="24"/>
                <w:szCs w:val="24"/>
              </w:rPr>
              <w:t>16.44</w:t>
            </w:r>
          </w:p>
        </w:tc>
        <w:tc>
          <w:tcPr>
            <w:tcW w:w="1407" w:type="dxa"/>
            <w:vAlign w:val="center"/>
          </w:tcPr>
          <w:p w14:paraId="4B64E9E1">
            <w:pPr>
              <w:spacing w:after="0" w:line="240" w:lineRule="auto"/>
              <w:jc w:val="center"/>
              <w:rPr>
                <w:rFonts w:eastAsia="Times New Roman" w:cstheme="minorHAnsi"/>
                <w:sz w:val="24"/>
                <w:szCs w:val="24"/>
              </w:rPr>
            </w:pPr>
            <w:r>
              <w:rPr>
                <w:rFonts w:eastAsia="Times New Roman" w:cstheme="minorHAnsi"/>
                <w:color w:val="000000"/>
                <w:sz w:val="24"/>
                <w:szCs w:val="24"/>
              </w:rPr>
              <w:t>18.10</w:t>
            </w:r>
          </w:p>
        </w:tc>
      </w:tr>
      <w:tr w14:paraId="13B83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A01A8B0">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2</w:t>
            </w:r>
            <w:r>
              <w:rPr>
                <w:rFonts w:eastAsia="Times New Roman" w:cstheme="minorHAnsi"/>
                <w:sz w:val="24"/>
                <w:szCs w:val="24"/>
              </w:rPr>
              <w:t>: Wettable Sulphur 80 WP @ 2 g/l</w:t>
            </w:r>
          </w:p>
        </w:tc>
        <w:tc>
          <w:tcPr>
            <w:tcW w:w="1407" w:type="dxa"/>
            <w:vAlign w:val="center"/>
          </w:tcPr>
          <w:p w14:paraId="02E72D86">
            <w:pPr>
              <w:spacing w:after="0" w:line="240" w:lineRule="auto"/>
              <w:jc w:val="center"/>
              <w:rPr>
                <w:rFonts w:eastAsia="Times New Roman" w:cstheme="minorHAnsi"/>
                <w:sz w:val="24"/>
                <w:szCs w:val="24"/>
              </w:rPr>
            </w:pPr>
            <w:r>
              <w:rPr>
                <w:rFonts w:eastAsia="Times New Roman" w:cstheme="minorHAnsi"/>
                <w:color w:val="000000"/>
                <w:sz w:val="24"/>
                <w:szCs w:val="24"/>
              </w:rPr>
              <w:t>12.05</w:t>
            </w:r>
          </w:p>
        </w:tc>
        <w:tc>
          <w:tcPr>
            <w:tcW w:w="1409" w:type="dxa"/>
            <w:vAlign w:val="center"/>
          </w:tcPr>
          <w:p w14:paraId="6C0836D8">
            <w:pPr>
              <w:spacing w:after="0" w:line="240" w:lineRule="auto"/>
              <w:jc w:val="center"/>
              <w:rPr>
                <w:rFonts w:eastAsia="Times New Roman" w:cstheme="minorHAnsi"/>
                <w:sz w:val="24"/>
                <w:szCs w:val="24"/>
              </w:rPr>
            </w:pPr>
            <w:r>
              <w:rPr>
                <w:rFonts w:eastAsia="Times New Roman" w:cstheme="minorHAnsi"/>
                <w:color w:val="000000"/>
                <w:sz w:val="24"/>
                <w:szCs w:val="24"/>
              </w:rPr>
              <w:t>16.30</w:t>
            </w:r>
          </w:p>
        </w:tc>
        <w:tc>
          <w:tcPr>
            <w:tcW w:w="1409" w:type="dxa"/>
            <w:vAlign w:val="center"/>
          </w:tcPr>
          <w:p w14:paraId="72321051">
            <w:pPr>
              <w:spacing w:after="0" w:line="240" w:lineRule="auto"/>
              <w:jc w:val="center"/>
              <w:rPr>
                <w:rFonts w:eastAsia="Times New Roman" w:cstheme="minorHAnsi"/>
                <w:sz w:val="24"/>
                <w:szCs w:val="24"/>
              </w:rPr>
            </w:pPr>
            <w:r>
              <w:rPr>
                <w:rFonts w:eastAsia="Times New Roman" w:cstheme="minorHAnsi"/>
                <w:color w:val="000000"/>
                <w:sz w:val="24"/>
                <w:szCs w:val="24"/>
              </w:rPr>
              <w:t>16.81</w:t>
            </w:r>
          </w:p>
        </w:tc>
        <w:tc>
          <w:tcPr>
            <w:tcW w:w="1407" w:type="dxa"/>
            <w:vAlign w:val="center"/>
          </w:tcPr>
          <w:p w14:paraId="14AAC22F">
            <w:pPr>
              <w:spacing w:after="0" w:line="240" w:lineRule="auto"/>
              <w:jc w:val="center"/>
              <w:rPr>
                <w:rFonts w:eastAsia="Times New Roman" w:cstheme="minorHAnsi"/>
                <w:sz w:val="24"/>
                <w:szCs w:val="24"/>
              </w:rPr>
            </w:pPr>
            <w:r>
              <w:rPr>
                <w:rFonts w:eastAsia="Times New Roman" w:cstheme="minorHAnsi"/>
                <w:color w:val="000000"/>
                <w:sz w:val="24"/>
                <w:szCs w:val="24"/>
              </w:rPr>
              <w:t>18.20</w:t>
            </w:r>
          </w:p>
        </w:tc>
      </w:tr>
      <w:tr w14:paraId="3940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1FA21387">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3</w:t>
            </w:r>
            <w:r>
              <w:rPr>
                <w:rFonts w:eastAsia="Times New Roman" w:cstheme="minorHAnsi"/>
                <w:sz w:val="24"/>
                <w:szCs w:val="24"/>
              </w:rPr>
              <w:t>: Orgomite @ 2.5 mL/L</w:t>
            </w:r>
          </w:p>
        </w:tc>
        <w:tc>
          <w:tcPr>
            <w:tcW w:w="1407" w:type="dxa"/>
            <w:vAlign w:val="center"/>
          </w:tcPr>
          <w:p w14:paraId="333DD9A7">
            <w:pPr>
              <w:spacing w:after="0" w:line="240" w:lineRule="auto"/>
              <w:jc w:val="center"/>
              <w:rPr>
                <w:rFonts w:eastAsia="Times New Roman" w:cstheme="minorHAnsi"/>
                <w:sz w:val="24"/>
                <w:szCs w:val="24"/>
              </w:rPr>
            </w:pPr>
            <w:r>
              <w:rPr>
                <w:rFonts w:eastAsia="Times New Roman" w:cstheme="minorHAnsi"/>
                <w:color w:val="000000"/>
                <w:sz w:val="24"/>
                <w:szCs w:val="24"/>
              </w:rPr>
              <w:t>14.23</w:t>
            </w:r>
          </w:p>
        </w:tc>
        <w:tc>
          <w:tcPr>
            <w:tcW w:w="1409" w:type="dxa"/>
            <w:vAlign w:val="center"/>
          </w:tcPr>
          <w:p w14:paraId="75F468CC">
            <w:pPr>
              <w:spacing w:after="0" w:line="240" w:lineRule="auto"/>
              <w:jc w:val="center"/>
              <w:rPr>
                <w:rFonts w:eastAsia="Times New Roman" w:cstheme="minorHAnsi"/>
                <w:sz w:val="24"/>
                <w:szCs w:val="24"/>
              </w:rPr>
            </w:pPr>
            <w:r>
              <w:rPr>
                <w:rFonts w:eastAsia="Times New Roman" w:cstheme="minorHAnsi"/>
                <w:color w:val="000000"/>
                <w:sz w:val="24"/>
                <w:szCs w:val="24"/>
              </w:rPr>
              <w:t>16.50</w:t>
            </w:r>
          </w:p>
        </w:tc>
        <w:tc>
          <w:tcPr>
            <w:tcW w:w="1409" w:type="dxa"/>
            <w:vAlign w:val="center"/>
          </w:tcPr>
          <w:p w14:paraId="30D9FEF5">
            <w:pPr>
              <w:spacing w:after="0" w:line="240" w:lineRule="auto"/>
              <w:jc w:val="center"/>
              <w:rPr>
                <w:rFonts w:eastAsia="Times New Roman" w:cstheme="minorHAnsi"/>
                <w:sz w:val="24"/>
                <w:szCs w:val="24"/>
              </w:rPr>
            </w:pPr>
            <w:r>
              <w:rPr>
                <w:rFonts w:eastAsia="Times New Roman" w:cstheme="minorHAnsi"/>
                <w:color w:val="000000"/>
                <w:sz w:val="24"/>
                <w:szCs w:val="24"/>
              </w:rPr>
              <w:t>17.04</w:t>
            </w:r>
          </w:p>
        </w:tc>
        <w:tc>
          <w:tcPr>
            <w:tcW w:w="1407" w:type="dxa"/>
            <w:vAlign w:val="center"/>
          </w:tcPr>
          <w:p w14:paraId="19F3E099">
            <w:pPr>
              <w:spacing w:after="0" w:line="240" w:lineRule="auto"/>
              <w:jc w:val="center"/>
              <w:rPr>
                <w:rFonts w:eastAsia="Times New Roman" w:cstheme="minorHAnsi"/>
                <w:sz w:val="24"/>
                <w:szCs w:val="24"/>
              </w:rPr>
            </w:pPr>
            <w:r>
              <w:rPr>
                <w:rFonts w:eastAsia="Times New Roman" w:cstheme="minorHAnsi"/>
                <w:color w:val="000000"/>
                <w:sz w:val="24"/>
                <w:szCs w:val="24"/>
              </w:rPr>
              <w:t>18.26</w:t>
            </w:r>
          </w:p>
        </w:tc>
      </w:tr>
      <w:tr w14:paraId="5DC78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355927DC">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4</w:t>
            </w:r>
            <w:r>
              <w:rPr>
                <w:rFonts w:eastAsia="Times New Roman" w:cstheme="minorHAnsi"/>
                <w:sz w:val="24"/>
                <w:szCs w:val="24"/>
              </w:rPr>
              <w:t>: Era Safeguard @ 2.5 mL/L</w:t>
            </w:r>
          </w:p>
        </w:tc>
        <w:tc>
          <w:tcPr>
            <w:tcW w:w="1407" w:type="dxa"/>
            <w:vAlign w:val="center"/>
          </w:tcPr>
          <w:p w14:paraId="01C2D4BE">
            <w:pPr>
              <w:spacing w:after="0" w:line="240" w:lineRule="auto"/>
              <w:jc w:val="center"/>
              <w:rPr>
                <w:rFonts w:eastAsia="Times New Roman" w:cstheme="minorHAnsi"/>
                <w:sz w:val="24"/>
                <w:szCs w:val="24"/>
              </w:rPr>
            </w:pPr>
            <w:r>
              <w:rPr>
                <w:rFonts w:eastAsia="Times New Roman" w:cstheme="minorHAnsi"/>
                <w:color w:val="000000"/>
                <w:sz w:val="24"/>
                <w:szCs w:val="24"/>
              </w:rPr>
              <w:t>5.60</w:t>
            </w:r>
          </w:p>
        </w:tc>
        <w:tc>
          <w:tcPr>
            <w:tcW w:w="1409" w:type="dxa"/>
            <w:vAlign w:val="center"/>
          </w:tcPr>
          <w:p w14:paraId="002CB94B">
            <w:pPr>
              <w:spacing w:after="0" w:line="240" w:lineRule="auto"/>
              <w:jc w:val="center"/>
              <w:rPr>
                <w:rFonts w:eastAsia="Times New Roman" w:cstheme="minorHAnsi"/>
                <w:sz w:val="24"/>
                <w:szCs w:val="24"/>
              </w:rPr>
            </w:pPr>
            <w:r>
              <w:rPr>
                <w:rFonts w:eastAsia="Times New Roman" w:cstheme="minorHAnsi"/>
                <w:color w:val="000000"/>
                <w:sz w:val="24"/>
                <w:szCs w:val="24"/>
              </w:rPr>
              <w:t>14.25</w:t>
            </w:r>
          </w:p>
        </w:tc>
        <w:tc>
          <w:tcPr>
            <w:tcW w:w="1409" w:type="dxa"/>
            <w:vAlign w:val="center"/>
          </w:tcPr>
          <w:p w14:paraId="3077D066">
            <w:pPr>
              <w:spacing w:after="0" w:line="240" w:lineRule="auto"/>
              <w:jc w:val="center"/>
              <w:rPr>
                <w:rFonts w:eastAsia="Times New Roman" w:cstheme="minorHAnsi"/>
                <w:sz w:val="24"/>
                <w:szCs w:val="24"/>
              </w:rPr>
            </w:pPr>
            <w:r>
              <w:rPr>
                <w:rFonts w:eastAsia="Times New Roman" w:cstheme="minorHAnsi"/>
                <w:color w:val="000000"/>
                <w:sz w:val="24"/>
                <w:szCs w:val="24"/>
              </w:rPr>
              <w:t>16.52</w:t>
            </w:r>
          </w:p>
        </w:tc>
        <w:tc>
          <w:tcPr>
            <w:tcW w:w="1407" w:type="dxa"/>
            <w:vAlign w:val="center"/>
          </w:tcPr>
          <w:p w14:paraId="1F6B4384">
            <w:pPr>
              <w:spacing w:after="0" w:line="240" w:lineRule="auto"/>
              <w:jc w:val="center"/>
              <w:rPr>
                <w:rFonts w:eastAsia="Times New Roman" w:cstheme="minorHAnsi"/>
                <w:sz w:val="24"/>
                <w:szCs w:val="24"/>
              </w:rPr>
            </w:pPr>
            <w:r>
              <w:rPr>
                <w:rFonts w:eastAsia="Times New Roman" w:cstheme="minorHAnsi"/>
                <w:color w:val="000000"/>
                <w:sz w:val="24"/>
                <w:szCs w:val="24"/>
              </w:rPr>
              <w:t>18.15</w:t>
            </w:r>
          </w:p>
        </w:tc>
      </w:tr>
      <w:tr w14:paraId="20818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98A95AC">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5</w:t>
            </w:r>
            <w:r>
              <w:rPr>
                <w:rFonts w:eastAsia="Times New Roman" w:cstheme="minorHAnsi"/>
                <w:sz w:val="24"/>
                <w:szCs w:val="24"/>
              </w:rPr>
              <w:t>: Azadirachtin 1 % @ 2 mL/L</w:t>
            </w:r>
          </w:p>
        </w:tc>
        <w:tc>
          <w:tcPr>
            <w:tcW w:w="1407" w:type="dxa"/>
            <w:vAlign w:val="center"/>
          </w:tcPr>
          <w:p w14:paraId="34DCA4F7">
            <w:pPr>
              <w:spacing w:after="0" w:line="240" w:lineRule="auto"/>
              <w:jc w:val="center"/>
              <w:rPr>
                <w:rFonts w:eastAsia="Times New Roman" w:cstheme="minorHAnsi"/>
                <w:sz w:val="24"/>
                <w:szCs w:val="24"/>
              </w:rPr>
            </w:pPr>
            <w:r>
              <w:rPr>
                <w:rFonts w:eastAsia="Times New Roman" w:cstheme="minorHAnsi"/>
                <w:color w:val="000000"/>
                <w:sz w:val="24"/>
                <w:szCs w:val="24"/>
              </w:rPr>
              <w:t>0.00</w:t>
            </w:r>
          </w:p>
        </w:tc>
        <w:tc>
          <w:tcPr>
            <w:tcW w:w="1409" w:type="dxa"/>
            <w:vAlign w:val="center"/>
          </w:tcPr>
          <w:p w14:paraId="65AAA43C">
            <w:pPr>
              <w:spacing w:after="0" w:line="240" w:lineRule="auto"/>
              <w:jc w:val="center"/>
              <w:rPr>
                <w:rFonts w:eastAsia="Times New Roman" w:cstheme="minorHAnsi"/>
                <w:sz w:val="24"/>
                <w:szCs w:val="24"/>
              </w:rPr>
            </w:pPr>
            <w:r>
              <w:rPr>
                <w:rFonts w:eastAsia="Times New Roman" w:cstheme="minorHAnsi"/>
                <w:color w:val="000000"/>
                <w:sz w:val="24"/>
                <w:szCs w:val="24"/>
              </w:rPr>
              <w:t>0.00</w:t>
            </w:r>
          </w:p>
        </w:tc>
        <w:tc>
          <w:tcPr>
            <w:tcW w:w="1409" w:type="dxa"/>
            <w:vAlign w:val="center"/>
          </w:tcPr>
          <w:p w14:paraId="1AA095D7">
            <w:pPr>
              <w:spacing w:after="0" w:line="240" w:lineRule="auto"/>
              <w:jc w:val="center"/>
              <w:rPr>
                <w:rFonts w:eastAsia="Times New Roman" w:cstheme="minorHAnsi"/>
                <w:sz w:val="24"/>
                <w:szCs w:val="24"/>
              </w:rPr>
            </w:pPr>
            <w:r>
              <w:rPr>
                <w:rFonts w:eastAsia="Times New Roman" w:cstheme="minorHAnsi"/>
                <w:color w:val="000000"/>
                <w:sz w:val="24"/>
                <w:szCs w:val="24"/>
              </w:rPr>
              <w:t>16.77</w:t>
            </w:r>
          </w:p>
        </w:tc>
        <w:tc>
          <w:tcPr>
            <w:tcW w:w="1407" w:type="dxa"/>
            <w:vAlign w:val="center"/>
          </w:tcPr>
          <w:p w14:paraId="7B9E92F9">
            <w:pPr>
              <w:spacing w:after="0" w:line="240" w:lineRule="auto"/>
              <w:jc w:val="center"/>
              <w:rPr>
                <w:rFonts w:eastAsia="Times New Roman" w:cstheme="minorHAnsi"/>
                <w:sz w:val="24"/>
                <w:szCs w:val="24"/>
              </w:rPr>
            </w:pPr>
            <w:r>
              <w:rPr>
                <w:rFonts w:eastAsia="Times New Roman" w:cstheme="minorHAnsi"/>
                <w:color w:val="000000"/>
                <w:sz w:val="24"/>
                <w:szCs w:val="24"/>
              </w:rPr>
              <w:t>18.18</w:t>
            </w:r>
          </w:p>
        </w:tc>
      </w:tr>
      <w:tr w14:paraId="1B189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93AEA54">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6</w:t>
            </w:r>
            <w:r>
              <w:rPr>
                <w:rFonts w:eastAsia="Times New Roman" w:cstheme="minorHAnsi"/>
                <w:sz w:val="24"/>
                <w:szCs w:val="24"/>
              </w:rPr>
              <w:t>: Water spray</w:t>
            </w:r>
          </w:p>
        </w:tc>
        <w:tc>
          <w:tcPr>
            <w:tcW w:w="1407" w:type="dxa"/>
            <w:vAlign w:val="center"/>
          </w:tcPr>
          <w:p w14:paraId="62A72916">
            <w:pPr>
              <w:spacing w:after="0" w:line="240" w:lineRule="auto"/>
              <w:jc w:val="center"/>
              <w:rPr>
                <w:rFonts w:eastAsia="Times New Roman" w:cstheme="minorHAnsi"/>
                <w:sz w:val="24"/>
                <w:szCs w:val="24"/>
              </w:rPr>
            </w:pPr>
            <w:r>
              <w:rPr>
                <w:rFonts w:eastAsia="Times New Roman" w:cstheme="minorHAnsi"/>
                <w:color w:val="000000"/>
                <w:sz w:val="24"/>
                <w:szCs w:val="24"/>
              </w:rPr>
              <w:t>18.27</w:t>
            </w:r>
          </w:p>
        </w:tc>
        <w:tc>
          <w:tcPr>
            <w:tcW w:w="1409" w:type="dxa"/>
            <w:vAlign w:val="center"/>
          </w:tcPr>
          <w:p w14:paraId="66393796">
            <w:pPr>
              <w:spacing w:after="0" w:line="240" w:lineRule="auto"/>
              <w:jc w:val="center"/>
              <w:rPr>
                <w:rFonts w:eastAsia="Times New Roman" w:cstheme="minorHAnsi"/>
                <w:sz w:val="24"/>
                <w:szCs w:val="24"/>
              </w:rPr>
            </w:pPr>
            <w:r>
              <w:rPr>
                <w:rFonts w:eastAsia="Times New Roman" w:cstheme="minorHAnsi"/>
                <w:color w:val="000000"/>
                <w:sz w:val="24"/>
                <w:szCs w:val="24"/>
              </w:rPr>
              <w:t>18.25</w:t>
            </w:r>
          </w:p>
        </w:tc>
        <w:tc>
          <w:tcPr>
            <w:tcW w:w="1409" w:type="dxa"/>
            <w:vAlign w:val="center"/>
          </w:tcPr>
          <w:p w14:paraId="06709AAA">
            <w:pPr>
              <w:spacing w:after="0" w:line="240" w:lineRule="auto"/>
              <w:jc w:val="center"/>
              <w:rPr>
                <w:rFonts w:eastAsia="Times New Roman" w:cstheme="minorHAnsi"/>
                <w:sz w:val="24"/>
                <w:szCs w:val="24"/>
              </w:rPr>
            </w:pPr>
            <w:r>
              <w:rPr>
                <w:rFonts w:eastAsia="Times New Roman" w:cstheme="minorHAnsi"/>
                <w:color w:val="000000"/>
                <w:sz w:val="24"/>
                <w:szCs w:val="24"/>
              </w:rPr>
              <w:t>18.22</w:t>
            </w:r>
          </w:p>
        </w:tc>
        <w:tc>
          <w:tcPr>
            <w:tcW w:w="1407" w:type="dxa"/>
            <w:vAlign w:val="center"/>
          </w:tcPr>
          <w:p w14:paraId="1EBF4DA0">
            <w:pPr>
              <w:spacing w:after="0" w:line="240" w:lineRule="auto"/>
              <w:jc w:val="center"/>
              <w:rPr>
                <w:rFonts w:eastAsia="Times New Roman" w:cstheme="minorHAnsi"/>
                <w:sz w:val="24"/>
                <w:szCs w:val="24"/>
              </w:rPr>
            </w:pPr>
            <w:r>
              <w:rPr>
                <w:rFonts w:eastAsia="Times New Roman" w:cstheme="minorHAnsi"/>
                <w:color w:val="000000"/>
                <w:sz w:val="24"/>
                <w:szCs w:val="24"/>
              </w:rPr>
              <w:t>18.29</w:t>
            </w:r>
          </w:p>
        </w:tc>
      </w:tr>
      <w:tr w14:paraId="1776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4C1AACB2">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7</w:t>
            </w:r>
            <w:r>
              <w:rPr>
                <w:rFonts w:eastAsia="Times New Roman" w:cstheme="minorHAnsi"/>
                <w:sz w:val="24"/>
                <w:szCs w:val="24"/>
              </w:rPr>
              <w:t>: Untreated control</w:t>
            </w:r>
          </w:p>
        </w:tc>
        <w:tc>
          <w:tcPr>
            <w:tcW w:w="1407" w:type="dxa"/>
            <w:vAlign w:val="center"/>
          </w:tcPr>
          <w:p w14:paraId="25A34783">
            <w:pPr>
              <w:spacing w:after="0" w:line="240" w:lineRule="auto"/>
              <w:jc w:val="center"/>
              <w:rPr>
                <w:rFonts w:eastAsia="Times New Roman" w:cstheme="minorHAnsi"/>
                <w:sz w:val="24"/>
                <w:szCs w:val="24"/>
              </w:rPr>
            </w:pPr>
            <w:r>
              <w:rPr>
                <w:rFonts w:eastAsia="Times New Roman" w:cstheme="minorHAnsi"/>
                <w:color w:val="000000"/>
                <w:sz w:val="24"/>
                <w:szCs w:val="24"/>
              </w:rPr>
              <w:t>18.34</w:t>
            </w:r>
          </w:p>
        </w:tc>
        <w:tc>
          <w:tcPr>
            <w:tcW w:w="1409" w:type="dxa"/>
            <w:vAlign w:val="center"/>
          </w:tcPr>
          <w:p w14:paraId="1783BAD3">
            <w:pPr>
              <w:spacing w:after="0" w:line="240" w:lineRule="auto"/>
              <w:jc w:val="center"/>
              <w:rPr>
                <w:rFonts w:eastAsia="Times New Roman" w:cstheme="minorHAnsi"/>
                <w:sz w:val="24"/>
                <w:szCs w:val="24"/>
              </w:rPr>
            </w:pPr>
            <w:r>
              <w:rPr>
                <w:rFonts w:eastAsia="Times New Roman" w:cstheme="minorHAnsi"/>
                <w:color w:val="000000"/>
                <w:sz w:val="24"/>
                <w:szCs w:val="24"/>
              </w:rPr>
              <w:t>1.34</w:t>
            </w:r>
          </w:p>
        </w:tc>
        <w:tc>
          <w:tcPr>
            <w:tcW w:w="1409" w:type="dxa"/>
            <w:vAlign w:val="center"/>
          </w:tcPr>
          <w:p w14:paraId="58FEBA29">
            <w:pPr>
              <w:spacing w:after="0" w:line="240" w:lineRule="auto"/>
              <w:jc w:val="center"/>
              <w:rPr>
                <w:rFonts w:eastAsia="Times New Roman" w:cstheme="minorHAnsi"/>
                <w:sz w:val="24"/>
                <w:szCs w:val="24"/>
              </w:rPr>
            </w:pPr>
            <w:r>
              <w:rPr>
                <w:rFonts w:eastAsia="Times New Roman" w:cstheme="minorHAnsi"/>
                <w:color w:val="000000"/>
                <w:sz w:val="24"/>
                <w:szCs w:val="24"/>
              </w:rPr>
              <w:t>18.34</w:t>
            </w:r>
          </w:p>
        </w:tc>
        <w:tc>
          <w:tcPr>
            <w:tcW w:w="1407" w:type="dxa"/>
            <w:vAlign w:val="center"/>
          </w:tcPr>
          <w:p w14:paraId="5B33E190">
            <w:pPr>
              <w:spacing w:after="0" w:line="240" w:lineRule="auto"/>
              <w:jc w:val="center"/>
              <w:rPr>
                <w:rFonts w:eastAsia="Times New Roman" w:cstheme="minorHAnsi"/>
                <w:sz w:val="24"/>
                <w:szCs w:val="24"/>
              </w:rPr>
            </w:pPr>
            <w:r>
              <w:rPr>
                <w:rFonts w:eastAsia="Times New Roman" w:cstheme="minorHAnsi"/>
                <w:color w:val="000000"/>
                <w:sz w:val="24"/>
                <w:szCs w:val="24"/>
              </w:rPr>
              <w:t>18.34</w:t>
            </w:r>
          </w:p>
        </w:tc>
      </w:tr>
      <w:tr w14:paraId="543AA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7A5CFFE">
            <w:pPr>
              <w:spacing w:after="0" w:line="240" w:lineRule="auto"/>
              <w:jc w:val="center"/>
              <w:rPr>
                <w:rFonts w:eastAsia="Times New Roman" w:cstheme="minorHAnsi"/>
                <w:sz w:val="24"/>
                <w:szCs w:val="24"/>
              </w:rPr>
            </w:pPr>
            <w:r>
              <w:rPr>
                <w:rFonts w:eastAsia="Times New Roman" w:cstheme="minorHAnsi"/>
                <w:b/>
                <w:sz w:val="24"/>
                <w:szCs w:val="24"/>
              </w:rPr>
              <w:t>F-test</w:t>
            </w:r>
          </w:p>
        </w:tc>
        <w:tc>
          <w:tcPr>
            <w:tcW w:w="1407" w:type="dxa"/>
            <w:vAlign w:val="center"/>
          </w:tcPr>
          <w:p w14:paraId="752C43D3">
            <w:pPr>
              <w:spacing w:after="0" w:line="240" w:lineRule="auto"/>
              <w:jc w:val="center"/>
              <w:rPr>
                <w:rFonts w:eastAsia="Times New Roman" w:cstheme="minorHAnsi"/>
                <w:sz w:val="24"/>
                <w:szCs w:val="24"/>
              </w:rPr>
            </w:pPr>
            <w:r>
              <w:rPr>
                <w:rFonts w:eastAsia="Times New Roman" w:cstheme="minorHAnsi"/>
                <w:color w:val="000000"/>
                <w:sz w:val="24"/>
                <w:szCs w:val="24"/>
              </w:rPr>
              <w:t>**</w:t>
            </w:r>
          </w:p>
        </w:tc>
        <w:tc>
          <w:tcPr>
            <w:tcW w:w="1409" w:type="dxa"/>
            <w:vAlign w:val="center"/>
          </w:tcPr>
          <w:p w14:paraId="17DBBA5A">
            <w:pPr>
              <w:spacing w:after="0" w:line="240" w:lineRule="auto"/>
              <w:jc w:val="center"/>
              <w:rPr>
                <w:rFonts w:eastAsia="Times New Roman" w:cstheme="minorHAnsi"/>
                <w:sz w:val="24"/>
                <w:szCs w:val="24"/>
              </w:rPr>
            </w:pPr>
            <w:r>
              <w:rPr>
                <w:rFonts w:eastAsia="Times New Roman" w:cstheme="minorHAnsi"/>
                <w:color w:val="000000"/>
                <w:sz w:val="24"/>
                <w:szCs w:val="24"/>
              </w:rPr>
              <w:t>**</w:t>
            </w:r>
          </w:p>
        </w:tc>
        <w:tc>
          <w:tcPr>
            <w:tcW w:w="1409" w:type="dxa"/>
            <w:vAlign w:val="center"/>
          </w:tcPr>
          <w:p w14:paraId="0E04E720">
            <w:pPr>
              <w:spacing w:after="0" w:line="240" w:lineRule="auto"/>
              <w:jc w:val="center"/>
              <w:rPr>
                <w:rFonts w:eastAsia="Times New Roman" w:cstheme="minorHAnsi"/>
                <w:sz w:val="24"/>
                <w:szCs w:val="24"/>
              </w:rPr>
            </w:pPr>
            <w:r>
              <w:rPr>
                <w:rFonts w:eastAsia="Times New Roman" w:cstheme="minorHAnsi"/>
                <w:color w:val="000000"/>
                <w:sz w:val="24"/>
                <w:szCs w:val="24"/>
              </w:rPr>
              <w:t>NS</w:t>
            </w:r>
          </w:p>
        </w:tc>
        <w:tc>
          <w:tcPr>
            <w:tcW w:w="1407" w:type="dxa"/>
            <w:vAlign w:val="center"/>
          </w:tcPr>
          <w:p w14:paraId="21A098D0">
            <w:pPr>
              <w:spacing w:after="0" w:line="240" w:lineRule="auto"/>
              <w:jc w:val="center"/>
              <w:rPr>
                <w:rFonts w:eastAsia="Times New Roman" w:cstheme="minorHAnsi"/>
                <w:sz w:val="24"/>
                <w:szCs w:val="24"/>
              </w:rPr>
            </w:pPr>
            <w:r>
              <w:rPr>
                <w:rFonts w:eastAsia="Times New Roman" w:cstheme="minorHAnsi"/>
                <w:color w:val="000000"/>
                <w:sz w:val="24"/>
                <w:szCs w:val="24"/>
              </w:rPr>
              <w:t>NS</w:t>
            </w:r>
          </w:p>
        </w:tc>
      </w:tr>
      <w:tr w14:paraId="17833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5A32FD1">
            <w:pPr>
              <w:spacing w:after="0" w:line="240" w:lineRule="auto"/>
              <w:jc w:val="center"/>
              <w:rPr>
                <w:rFonts w:eastAsia="Times New Roman" w:cstheme="minorHAnsi"/>
                <w:sz w:val="24"/>
                <w:szCs w:val="24"/>
              </w:rPr>
            </w:pPr>
            <w:r>
              <w:rPr>
                <w:rFonts w:eastAsia="Times New Roman" w:cstheme="minorHAnsi"/>
                <w:b/>
                <w:sz w:val="24"/>
                <w:szCs w:val="24"/>
              </w:rPr>
              <w:t>S.Em±</w:t>
            </w:r>
          </w:p>
        </w:tc>
        <w:tc>
          <w:tcPr>
            <w:tcW w:w="1407" w:type="dxa"/>
            <w:vAlign w:val="center"/>
          </w:tcPr>
          <w:p w14:paraId="0DA9B04E">
            <w:pPr>
              <w:spacing w:after="0" w:line="240" w:lineRule="auto"/>
              <w:jc w:val="center"/>
              <w:rPr>
                <w:rFonts w:eastAsia="Times New Roman" w:cstheme="minorHAnsi"/>
                <w:sz w:val="24"/>
                <w:szCs w:val="24"/>
              </w:rPr>
            </w:pPr>
            <w:r>
              <w:rPr>
                <w:rFonts w:eastAsia="Times New Roman" w:cstheme="minorHAnsi"/>
                <w:color w:val="000000"/>
                <w:sz w:val="24"/>
                <w:szCs w:val="24"/>
              </w:rPr>
              <w:t>0.40</w:t>
            </w:r>
          </w:p>
        </w:tc>
        <w:tc>
          <w:tcPr>
            <w:tcW w:w="1409" w:type="dxa"/>
            <w:vAlign w:val="center"/>
          </w:tcPr>
          <w:p w14:paraId="591EAE4F">
            <w:pPr>
              <w:spacing w:after="0" w:line="240" w:lineRule="auto"/>
              <w:jc w:val="center"/>
              <w:rPr>
                <w:rFonts w:eastAsia="Times New Roman" w:cstheme="minorHAnsi"/>
                <w:sz w:val="24"/>
                <w:szCs w:val="24"/>
              </w:rPr>
            </w:pPr>
            <w:r>
              <w:rPr>
                <w:rFonts w:eastAsia="Times New Roman" w:cstheme="minorHAnsi"/>
                <w:color w:val="000000"/>
                <w:sz w:val="24"/>
                <w:szCs w:val="24"/>
              </w:rPr>
              <w:t>0.29</w:t>
            </w:r>
          </w:p>
        </w:tc>
        <w:tc>
          <w:tcPr>
            <w:tcW w:w="1409" w:type="dxa"/>
            <w:vAlign w:val="center"/>
          </w:tcPr>
          <w:p w14:paraId="0767C67C">
            <w:pPr>
              <w:spacing w:after="0" w:line="240" w:lineRule="auto"/>
              <w:jc w:val="center"/>
              <w:rPr>
                <w:rFonts w:eastAsia="Times New Roman" w:cstheme="minorHAnsi"/>
                <w:sz w:val="24"/>
                <w:szCs w:val="24"/>
              </w:rPr>
            </w:pPr>
            <w:r>
              <w:rPr>
                <w:rFonts w:eastAsia="Times New Roman" w:cstheme="minorHAnsi"/>
                <w:color w:val="000000"/>
                <w:sz w:val="24"/>
                <w:szCs w:val="24"/>
              </w:rPr>
              <w:t>0.56</w:t>
            </w:r>
          </w:p>
        </w:tc>
        <w:tc>
          <w:tcPr>
            <w:tcW w:w="1407" w:type="dxa"/>
            <w:vAlign w:val="center"/>
          </w:tcPr>
          <w:p w14:paraId="3FE4D996">
            <w:pPr>
              <w:spacing w:after="0" w:line="240" w:lineRule="auto"/>
              <w:jc w:val="center"/>
              <w:rPr>
                <w:rFonts w:eastAsia="Times New Roman" w:cstheme="minorHAnsi"/>
                <w:sz w:val="24"/>
                <w:szCs w:val="24"/>
              </w:rPr>
            </w:pPr>
            <w:r>
              <w:rPr>
                <w:rFonts w:eastAsia="Times New Roman" w:cstheme="minorHAnsi"/>
                <w:color w:val="000000"/>
                <w:sz w:val="24"/>
                <w:szCs w:val="24"/>
              </w:rPr>
              <w:t>0.47</w:t>
            </w:r>
          </w:p>
        </w:tc>
      </w:tr>
      <w:tr w14:paraId="3AC5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530A6546">
            <w:pPr>
              <w:spacing w:after="0" w:line="240" w:lineRule="auto"/>
              <w:jc w:val="center"/>
              <w:rPr>
                <w:rFonts w:eastAsia="Times New Roman" w:cstheme="minorHAnsi"/>
                <w:sz w:val="24"/>
                <w:szCs w:val="24"/>
              </w:rPr>
            </w:pPr>
            <w:r>
              <w:rPr>
                <w:rFonts w:eastAsia="Times New Roman" w:cstheme="minorHAnsi"/>
                <w:b/>
                <w:sz w:val="24"/>
                <w:szCs w:val="24"/>
              </w:rPr>
              <w:t>CD @ 5 %</w:t>
            </w:r>
          </w:p>
        </w:tc>
        <w:tc>
          <w:tcPr>
            <w:tcW w:w="1407" w:type="dxa"/>
            <w:vAlign w:val="center"/>
          </w:tcPr>
          <w:p w14:paraId="744EAA54">
            <w:pPr>
              <w:spacing w:after="0" w:line="240" w:lineRule="auto"/>
              <w:jc w:val="center"/>
              <w:rPr>
                <w:rFonts w:eastAsia="Times New Roman" w:cstheme="minorHAnsi"/>
                <w:sz w:val="24"/>
                <w:szCs w:val="24"/>
              </w:rPr>
            </w:pPr>
            <w:r>
              <w:rPr>
                <w:rFonts w:eastAsia="Times New Roman" w:cstheme="minorHAnsi"/>
                <w:color w:val="000000"/>
                <w:sz w:val="24"/>
                <w:szCs w:val="24"/>
              </w:rPr>
              <w:t>1.18</w:t>
            </w:r>
          </w:p>
        </w:tc>
        <w:tc>
          <w:tcPr>
            <w:tcW w:w="1409" w:type="dxa"/>
            <w:vAlign w:val="center"/>
          </w:tcPr>
          <w:p w14:paraId="2429B4E3">
            <w:pPr>
              <w:spacing w:after="0" w:line="240" w:lineRule="auto"/>
              <w:jc w:val="center"/>
              <w:rPr>
                <w:rFonts w:eastAsia="Times New Roman" w:cstheme="minorHAnsi"/>
                <w:sz w:val="24"/>
                <w:szCs w:val="24"/>
              </w:rPr>
            </w:pPr>
            <w:r>
              <w:rPr>
                <w:rFonts w:eastAsia="Times New Roman" w:cstheme="minorHAnsi"/>
                <w:color w:val="000000"/>
                <w:sz w:val="24"/>
                <w:szCs w:val="24"/>
              </w:rPr>
              <w:t>0.86</w:t>
            </w:r>
          </w:p>
        </w:tc>
        <w:tc>
          <w:tcPr>
            <w:tcW w:w="1409" w:type="dxa"/>
            <w:vAlign w:val="center"/>
          </w:tcPr>
          <w:p w14:paraId="49D1EE3F">
            <w:pPr>
              <w:spacing w:after="0" w:line="240" w:lineRule="auto"/>
              <w:jc w:val="center"/>
              <w:rPr>
                <w:rFonts w:eastAsia="Times New Roman" w:cstheme="minorHAnsi"/>
                <w:sz w:val="24"/>
                <w:szCs w:val="24"/>
              </w:rPr>
            </w:pPr>
            <w:r>
              <w:rPr>
                <w:rFonts w:eastAsia="Times New Roman" w:cstheme="minorHAnsi"/>
                <w:sz w:val="24"/>
                <w:szCs w:val="24"/>
              </w:rPr>
              <w:t>-</w:t>
            </w:r>
          </w:p>
        </w:tc>
        <w:tc>
          <w:tcPr>
            <w:tcW w:w="1407" w:type="dxa"/>
            <w:vAlign w:val="center"/>
          </w:tcPr>
          <w:p w14:paraId="0A4AB0EE">
            <w:pPr>
              <w:spacing w:after="0" w:line="240" w:lineRule="auto"/>
              <w:jc w:val="center"/>
              <w:rPr>
                <w:rFonts w:eastAsia="Times New Roman" w:cstheme="minorHAnsi"/>
                <w:sz w:val="24"/>
                <w:szCs w:val="24"/>
              </w:rPr>
            </w:pPr>
            <w:r>
              <w:rPr>
                <w:rFonts w:eastAsia="Times New Roman" w:cstheme="minorHAnsi"/>
                <w:sz w:val="24"/>
                <w:szCs w:val="24"/>
              </w:rPr>
              <w:t>-</w:t>
            </w:r>
          </w:p>
        </w:tc>
      </w:tr>
    </w:tbl>
    <w:p w14:paraId="20787863">
      <w:pPr>
        <w:pStyle w:val="11"/>
        <w:jc w:val="both"/>
        <w:rPr>
          <w:rFonts w:asciiTheme="minorHAnsi" w:hAnsiTheme="minorHAnsi" w:cstheme="minorHAnsi"/>
        </w:rPr>
      </w:pPr>
      <w:r>
        <w:rPr>
          <w:rFonts w:asciiTheme="minorHAnsi" w:hAnsiTheme="minorHAnsi" w:cstheme="minorHAnsi"/>
        </w:rPr>
        <w:t>*Significant at 5 %; ** Significant at 1 %; DAS - Days after spraying.</w:t>
      </w:r>
    </w:p>
    <w:p w14:paraId="27065790">
      <w:pPr>
        <w:spacing w:line="240" w:lineRule="auto"/>
        <w:rPr>
          <w:rFonts w:eastAsia="Times New Roman" w:cstheme="minorHAnsi"/>
          <w:b/>
          <w:sz w:val="24"/>
          <w:szCs w:val="24"/>
        </w:rPr>
      </w:pPr>
    </w:p>
    <w:p w14:paraId="2163AE7C">
      <w:pPr>
        <w:spacing w:line="240" w:lineRule="auto"/>
        <w:rPr>
          <w:rFonts w:eastAsia="Times New Roman" w:cstheme="minorHAnsi"/>
          <w:b/>
          <w:sz w:val="24"/>
          <w:szCs w:val="24"/>
        </w:rPr>
      </w:pPr>
    </w:p>
    <w:p w14:paraId="0562624C">
      <w:pPr>
        <w:spacing w:line="240" w:lineRule="auto"/>
        <w:rPr>
          <w:rFonts w:eastAsia="Times New Roman" w:cstheme="minorHAnsi"/>
          <w:b/>
          <w:sz w:val="24"/>
          <w:szCs w:val="24"/>
        </w:rPr>
      </w:pPr>
    </w:p>
    <w:p w14:paraId="78C83201">
      <w:pPr>
        <w:spacing w:line="240" w:lineRule="auto"/>
        <w:rPr>
          <w:rFonts w:eastAsia="Times New Roman" w:cstheme="minorHAnsi"/>
          <w:b/>
          <w:sz w:val="24"/>
          <w:szCs w:val="24"/>
        </w:rPr>
      </w:pPr>
    </w:p>
    <w:p w14:paraId="19D6341A">
      <w:pPr>
        <w:spacing w:line="240" w:lineRule="auto"/>
        <w:rPr>
          <w:rFonts w:eastAsia="Times New Roman" w:cstheme="minorHAnsi"/>
          <w:sz w:val="24"/>
          <w:szCs w:val="24"/>
        </w:rPr>
      </w:pPr>
      <w:r>
        <w:rPr>
          <w:rFonts w:eastAsia="Times New Roman" w:cstheme="minorHAnsi"/>
          <w:b/>
          <w:sz w:val="24"/>
          <w:szCs w:val="24"/>
        </w:rPr>
        <w:t>Table 2</w:t>
      </w:r>
      <w:r>
        <w:rPr>
          <w:rFonts w:eastAsia="Times New Roman" w:cstheme="minorHAnsi"/>
          <w:sz w:val="24"/>
          <w:szCs w:val="24"/>
        </w:rPr>
        <w:t>: Effect of feeding the insecticide treated mulberry leaves on cocoon shell weight</w:t>
      </w:r>
    </w:p>
    <w:tbl>
      <w:tblPr>
        <w:tblStyle w:val="5"/>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1"/>
        <w:gridCol w:w="1407"/>
        <w:gridCol w:w="1409"/>
        <w:gridCol w:w="1409"/>
        <w:gridCol w:w="1407"/>
      </w:tblGrid>
      <w:tr w14:paraId="1055A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restart"/>
            <w:vAlign w:val="center"/>
          </w:tcPr>
          <w:p w14:paraId="603CA59B">
            <w:pPr>
              <w:spacing w:after="0" w:line="240" w:lineRule="auto"/>
              <w:jc w:val="center"/>
              <w:rPr>
                <w:rFonts w:eastAsia="Times New Roman" w:cstheme="minorHAnsi"/>
                <w:sz w:val="24"/>
                <w:szCs w:val="24"/>
              </w:rPr>
            </w:pPr>
            <w:r>
              <w:rPr>
                <w:rFonts w:eastAsia="Times New Roman" w:cstheme="minorHAnsi"/>
                <w:b/>
                <w:sz w:val="24"/>
                <w:szCs w:val="24"/>
              </w:rPr>
              <w:t>Treatment details</w:t>
            </w:r>
          </w:p>
        </w:tc>
        <w:tc>
          <w:tcPr>
            <w:tcW w:w="5632" w:type="dxa"/>
            <w:gridSpan w:val="4"/>
            <w:vAlign w:val="center"/>
          </w:tcPr>
          <w:p w14:paraId="08A94801">
            <w:pPr>
              <w:spacing w:after="0" w:line="240" w:lineRule="auto"/>
              <w:jc w:val="center"/>
              <w:rPr>
                <w:rFonts w:eastAsia="Times New Roman" w:cstheme="minorHAnsi"/>
                <w:sz w:val="24"/>
                <w:szCs w:val="24"/>
              </w:rPr>
            </w:pPr>
            <w:r>
              <w:rPr>
                <w:rFonts w:eastAsia="Times New Roman" w:cstheme="minorHAnsi"/>
                <w:b/>
                <w:sz w:val="24"/>
                <w:szCs w:val="24"/>
              </w:rPr>
              <w:t>Cocoon shell weight (g)</w:t>
            </w:r>
          </w:p>
        </w:tc>
      </w:tr>
      <w:tr w14:paraId="162DB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continue"/>
            <w:vAlign w:val="center"/>
          </w:tcPr>
          <w:p w14:paraId="221E0F8D">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eastAsia="Times New Roman" w:cstheme="minorHAnsi"/>
                <w:sz w:val="24"/>
                <w:szCs w:val="24"/>
              </w:rPr>
            </w:pPr>
          </w:p>
        </w:tc>
        <w:tc>
          <w:tcPr>
            <w:tcW w:w="1407" w:type="dxa"/>
            <w:vAlign w:val="center"/>
          </w:tcPr>
          <w:p w14:paraId="13844672">
            <w:pPr>
              <w:spacing w:after="0" w:line="240" w:lineRule="auto"/>
              <w:jc w:val="center"/>
              <w:rPr>
                <w:rFonts w:eastAsia="Times New Roman" w:cstheme="minorHAnsi"/>
                <w:sz w:val="24"/>
                <w:szCs w:val="24"/>
              </w:rPr>
            </w:pPr>
            <w:r>
              <w:rPr>
                <w:rFonts w:eastAsia="Times New Roman" w:cstheme="minorHAnsi"/>
                <w:b/>
                <w:sz w:val="24"/>
                <w:szCs w:val="24"/>
              </w:rPr>
              <w:t>5 DAS</w:t>
            </w:r>
          </w:p>
        </w:tc>
        <w:tc>
          <w:tcPr>
            <w:tcW w:w="1409" w:type="dxa"/>
            <w:vAlign w:val="center"/>
          </w:tcPr>
          <w:p w14:paraId="752BFC7F">
            <w:pPr>
              <w:spacing w:after="0" w:line="240" w:lineRule="auto"/>
              <w:jc w:val="center"/>
              <w:rPr>
                <w:rFonts w:eastAsia="Times New Roman" w:cstheme="minorHAnsi"/>
                <w:sz w:val="24"/>
                <w:szCs w:val="24"/>
              </w:rPr>
            </w:pPr>
            <w:r>
              <w:rPr>
                <w:rFonts w:eastAsia="Times New Roman" w:cstheme="minorHAnsi"/>
                <w:b/>
                <w:sz w:val="24"/>
                <w:szCs w:val="24"/>
              </w:rPr>
              <w:t>10 DAS</w:t>
            </w:r>
          </w:p>
        </w:tc>
        <w:tc>
          <w:tcPr>
            <w:tcW w:w="1409" w:type="dxa"/>
            <w:vAlign w:val="center"/>
          </w:tcPr>
          <w:p w14:paraId="4210764E">
            <w:pPr>
              <w:spacing w:after="0" w:line="240" w:lineRule="auto"/>
              <w:jc w:val="center"/>
              <w:rPr>
                <w:rFonts w:eastAsia="Times New Roman" w:cstheme="minorHAnsi"/>
                <w:sz w:val="24"/>
                <w:szCs w:val="24"/>
              </w:rPr>
            </w:pPr>
            <w:r>
              <w:rPr>
                <w:rFonts w:eastAsia="Times New Roman" w:cstheme="minorHAnsi"/>
                <w:b/>
                <w:sz w:val="24"/>
                <w:szCs w:val="24"/>
              </w:rPr>
              <w:t>15 DAS</w:t>
            </w:r>
          </w:p>
        </w:tc>
        <w:tc>
          <w:tcPr>
            <w:tcW w:w="1407" w:type="dxa"/>
            <w:vAlign w:val="center"/>
          </w:tcPr>
          <w:p w14:paraId="4F863FDC">
            <w:pPr>
              <w:spacing w:after="0" w:line="240" w:lineRule="auto"/>
              <w:jc w:val="center"/>
              <w:rPr>
                <w:rFonts w:eastAsia="Times New Roman" w:cstheme="minorHAnsi"/>
                <w:sz w:val="24"/>
                <w:szCs w:val="24"/>
              </w:rPr>
            </w:pPr>
            <w:r>
              <w:rPr>
                <w:rFonts w:eastAsia="Times New Roman" w:cstheme="minorHAnsi"/>
                <w:b/>
                <w:sz w:val="24"/>
                <w:szCs w:val="24"/>
              </w:rPr>
              <w:t>20 DAS</w:t>
            </w:r>
          </w:p>
        </w:tc>
      </w:tr>
      <w:tr w14:paraId="6D7FF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7703913">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1</w:t>
            </w:r>
            <w:r>
              <w:rPr>
                <w:rFonts w:eastAsia="Times New Roman" w:cstheme="minorHAnsi"/>
                <w:sz w:val="24"/>
                <w:szCs w:val="24"/>
              </w:rPr>
              <w:t>: Chlorfenapyr 10 % SC @ 1.5 mL/L</w:t>
            </w:r>
          </w:p>
        </w:tc>
        <w:tc>
          <w:tcPr>
            <w:tcW w:w="1407" w:type="dxa"/>
            <w:vAlign w:val="center"/>
          </w:tcPr>
          <w:p w14:paraId="0279474B">
            <w:pPr>
              <w:spacing w:after="0" w:line="240" w:lineRule="auto"/>
              <w:jc w:val="center"/>
              <w:rPr>
                <w:rFonts w:eastAsia="Times New Roman" w:cstheme="minorHAnsi"/>
                <w:sz w:val="24"/>
                <w:szCs w:val="24"/>
              </w:rPr>
            </w:pPr>
            <w:r>
              <w:rPr>
                <w:rFonts w:eastAsia="Times New Roman" w:cstheme="minorHAnsi"/>
                <w:sz w:val="24"/>
                <w:szCs w:val="24"/>
              </w:rPr>
              <w:t>0.240</w:t>
            </w:r>
          </w:p>
        </w:tc>
        <w:tc>
          <w:tcPr>
            <w:tcW w:w="1409" w:type="dxa"/>
            <w:vAlign w:val="center"/>
          </w:tcPr>
          <w:p w14:paraId="3145C44B">
            <w:pPr>
              <w:spacing w:after="0" w:line="240" w:lineRule="auto"/>
              <w:jc w:val="center"/>
              <w:rPr>
                <w:rFonts w:eastAsia="Times New Roman" w:cstheme="minorHAnsi"/>
                <w:sz w:val="24"/>
                <w:szCs w:val="24"/>
              </w:rPr>
            </w:pPr>
            <w:r>
              <w:rPr>
                <w:rFonts w:eastAsia="Times New Roman" w:cstheme="minorHAnsi"/>
                <w:sz w:val="24"/>
                <w:szCs w:val="24"/>
              </w:rPr>
              <w:t>0.261</w:t>
            </w:r>
          </w:p>
        </w:tc>
        <w:tc>
          <w:tcPr>
            <w:tcW w:w="1409" w:type="dxa"/>
            <w:vAlign w:val="center"/>
          </w:tcPr>
          <w:p w14:paraId="0B2B397A">
            <w:pPr>
              <w:spacing w:after="0" w:line="240" w:lineRule="auto"/>
              <w:jc w:val="center"/>
              <w:rPr>
                <w:rFonts w:eastAsia="Times New Roman" w:cstheme="minorHAnsi"/>
                <w:sz w:val="24"/>
                <w:szCs w:val="24"/>
              </w:rPr>
            </w:pPr>
            <w:r>
              <w:rPr>
                <w:rFonts w:eastAsia="Times New Roman" w:cstheme="minorHAnsi"/>
                <w:sz w:val="24"/>
                <w:szCs w:val="24"/>
              </w:rPr>
              <w:t>0.269</w:t>
            </w:r>
          </w:p>
        </w:tc>
        <w:tc>
          <w:tcPr>
            <w:tcW w:w="1407" w:type="dxa"/>
            <w:vAlign w:val="center"/>
          </w:tcPr>
          <w:p w14:paraId="300F0D1D">
            <w:pPr>
              <w:spacing w:after="0" w:line="240" w:lineRule="auto"/>
              <w:jc w:val="center"/>
              <w:rPr>
                <w:rFonts w:eastAsia="Times New Roman" w:cstheme="minorHAnsi"/>
                <w:sz w:val="24"/>
                <w:szCs w:val="24"/>
              </w:rPr>
            </w:pPr>
            <w:r>
              <w:rPr>
                <w:rFonts w:eastAsia="Times New Roman" w:cstheme="minorHAnsi"/>
                <w:sz w:val="24"/>
                <w:szCs w:val="24"/>
              </w:rPr>
              <w:t>0.283</w:t>
            </w:r>
          </w:p>
        </w:tc>
      </w:tr>
      <w:tr w14:paraId="0707F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6D7CE51">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2</w:t>
            </w:r>
            <w:r>
              <w:rPr>
                <w:rFonts w:eastAsia="Times New Roman" w:cstheme="minorHAnsi"/>
                <w:sz w:val="24"/>
                <w:szCs w:val="24"/>
              </w:rPr>
              <w:t>: Wettable Sulphur 80 WP @ 2 g/l</w:t>
            </w:r>
          </w:p>
        </w:tc>
        <w:tc>
          <w:tcPr>
            <w:tcW w:w="1407" w:type="dxa"/>
            <w:vAlign w:val="center"/>
          </w:tcPr>
          <w:p w14:paraId="0CEA7B38">
            <w:pPr>
              <w:spacing w:after="0" w:line="240" w:lineRule="auto"/>
              <w:jc w:val="center"/>
              <w:rPr>
                <w:rFonts w:eastAsia="Times New Roman" w:cstheme="minorHAnsi"/>
                <w:sz w:val="24"/>
                <w:szCs w:val="24"/>
              </w:rPr>
            </w:pPr>
            <w:r>
              <w:rPr>
                <w:rFonts w:eastAsia="Times New Roman" w:cstheme="minorHAnsi"/>
                <w:sz w:val="24"/>
                <w:szCs w:val="24"/>
              </w:rPr>
              <w:t>0.252</w:t>
            </w:r>
          </w:p>
        </w:tc>
        <w:tc>
          <w:tcPr>
            <w:tcW w:w="1409" w:type="dxa"/>
            <w:vAlign w:val="center"/>
          </w:tcPr>
          <w:p w14:paraId="11A3B46F">
            <w:pPr>
              <w:spacing w:after="0" w:line="240" w:lineRule="auto"/>
              <w:jc w:val="center"/>
              <w:rPr>
                <w:rFonts w:eastAsia="Times New Roman" w:cstheme="minorHAnsi"/>
                <w:sz w:val="24"/>
                <w:szCs w:val="24"/>
              </w:rPr>
            </w:pPr>
            <w:r>
              <w:rPr>
                <w:rFonts w:eastAsia="Times New Roman" w:cstheme="minorHAnsi"/>
                <w:sz w:val="24"/>
                <w:szCs w:val="24"/>
              </w:rPr>
              <w:t>0.270</w:t>
            </w:r>
          </w:p>
        </w:tc>
        <w:tc>
          <w:tcPr>
            <w:tcW w:w="1409" w:type="dxa"/>
            <w:vAlign w:val="center"/>
          </w:tcPr>
          <w:p w14:paraId="6C96146B">
            <w:pPr>
              <w:spacing w:after="0" w:line="240" w:lineRule="auto"/>
              <w:jc w:val="center"/>
              <w:rPr>
                <w:rFonts w:eastAsia="Times New Roman" w:cstheme="minorHAnsi"/>
                <w:sz w:val="24"/>
                <w:szCs w:val="24"/>
              </w:rPr>
            </w:pPr>
            <w:r>
              <w:rPr>
                <w:rFonts w:eastAsia="Times New Roman" w:cstheme="minorHAnsi"/>
                <w:sz w:val="24"/>
                <w:szCs w:val="24"/>
              </w:rPr>
              <w:t>0.278</w:t>
            </w:r>
          </w:p>
        </w:tc>
        <w:tc>
          <w:tcPr>
            <w:tcW w:w="1407" w:type="dxa"/>
            <w:vAlign w:val="center"/>
          </w:tcPr>
          <w:p w14:paraId="5CDEBF56">
            <w:pPr>
              <w:spacing w:after="0" w:line="240" w:lineRule="auto"/>
              <w:jc w:val="center"/>
              <w:rPr>
                <w:rFonts w:eastAsia="Times New Roman" w:cstheme="minorHAnsi"/>
                <w:sz w:val="24"/>
                <w:szCs w:val="24"/>
              </w:rPr>
            </w:pPr>
            <w:r>
              <w:rPr>
                <w:rFonts w:eastAsia="Times New Roman" w:cstheme="minorHAnsi"/>
                <w:sz w:val="24"/>
                <w:szCs w:val="24"/>
              </w:rPr>
              <w:t>0.295</w:t>
            </w:r>
          </w:p>
        </w:tc>
      </w:tr>
      <w:tr w14:paraId="1AA2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C47EB46">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3</w:t>
            </w:r>
            <w:r>
              <w:rPr>
                <w:rFonts w:eastAsia="Times New Roman" w:cstheme="minorHAnsi"/>
                <w:sz w:val="24"/>
                <w:szCs w:val="24"/>
              </w:rPr>
              <w:t>: Orgomite @ 2.5 mL/L</w:t>
            </w:r>
          </w:p>
        </w:tc>
        <w:tc>
          <w:tcPr>
            <w:tcW w:w="1407" w:type="dxa"/>
            <w:vAlign w:val="center"/>
          </w:tcPr>
          <w:p w14:paraId="79C67665">
            <w:pPr>
              <w:spacing w:after="0" w:line="240" w:lineRule="auto"/>
              <w:jc w:val="center"/>
              <w:rPr>
                <w:rFonts w:eastAsia="Times New Roman" w:cstheme="minorHAnsi"/>
                <w:sz w:val="24"/>
                <w:szCs w:val="24"/>
              </w:rPr>
            </w:pPr>
            <w:r>
              <w:rPr>
                <w:rFonts w:eastAsia="Times New Roman" w:cstheme="minorHAnsi"/>
                <w:sz w:val="24"/>
                <w:szCs w:val="24"/>
              </w:rPr>
              <w:t>0.269</w:t>
            </w:r>
          </w:p>
        </w:tc>
        <w:tc>
          <w:tcPr>
            <w:tcW w:w="1409" w:type="dxa"/>
            <w:vAlign w:val="center"/>
          </w:tcPr>
          <w:p w14:paraId="467904C2">
            <w:pPr>
              <w:spacing w:after="0" w:line="240" w:lineRule="auto"/>
              <w:jc w:val="center"/>
              <w:rPr>
                <w:rFonts w:eastAsia="Times New Roman" w:cstheme="minorHAnsi"/>
                <w:sz w:val="24"/>
                <w:szCs w:val="24"/>
              </w:rPr>
            </w:pPr>
            <w:r>
              <w:rPr>
                <w:rFonts w:eastAsia="Times New Roman" w:cstheme="minorHAnsi"/>
                <w:sz w:val="24"/>
                <w:szCs w:val="24"/>
              </w:rPr>
              <w:t>0.278</w:t>
            </w:r>
          </w:p>
        </w:tc>
        <w:tc>
          <w:tcPr>
            <w:tcW w:w="1409" w:type="dxa"/>
            <w:vAlign w:val="center"/>
          </w:tcPr>
          <w:p w14:paraId="1868C876">
            <w:pPr>
              <w:spacing w:after="0" w:line="240" w:lineRule="auto"/>
              <w:jc w:val="center"/>
              <w:rPr>
                <w:rFonts w:eastAsia="Times New Roman" w:cstheme="minorHAnsi"/>
                <w:sz w:val="24"/>
                <w:szCs w:val="24"/>
              </w:rPr>
            </w:pPr>
            <w:r>
              <w:rPr>
                <w:rFonts w:eastAsia="Times New Roman" w:cstheme="minorHAnsi"/>
                <w:sz w:val="24"/>
                <w:szCs w:val="24"/>
              </w:rPr>
              <w:t>0.289</w:t>
            </w:r>
          </w:p>
        </w:tc>
        <w:tc>
          <w:tcPr>
            <w:tcW w:w="1407" w:type="dxa"/>
            <w:vAlign w:val="center"/>
          </w:tcPr>
          <w:p w14:paraId="5C1F99B6">
            <w:pPr>
              <w:spacing w:after="0" w:line="240" w:lineRule="auto"/>
              <w:jc w:val="center"/>
              <w:rPr>
                <w:rFonts w:eastAsia="Times New Roman" w:cstheme="minorHAnsi"/>
                <w:sz w:val="24"/>
                <w:szCs w:val="24"/>
              </w:rPr>
            </w:pPr>
            <w:r>
              <w:rPr>
                <w:rFonts w:eastAsia="Times New Roman" w:cstheme="minorHAnsi"/>
                <w:sz w:val="24"/>
                <w:szCs w:val="24"/>
              </w:rPr>
              <w:t>0.302</w:t>
            </w:r>
          </w:p>
        </w:tc>
      </w:tr>
      <w:tr w14:paraId="6882F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250B99EC">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4</w:t>
            </w:r>
            <w:r>
              <w:rPr>
                <w:rFonts w:eastAsia="Times New Roman" w:cstheme="minorHAnsi"/>
                <w:sz w:val="24"/>
                <w:szCs w:val="24"/>
              </w:rPr>
              <w:t>: Era Safeguard @ 2.5 mL/L</w:t>
            </w:r>
          </w:p>
        </w:tc>
        <w:tc>
          <w:tcPr>
            <w:tcW w:w="1407" w:type="dxa"/>
            <w:vAlign w:val="center"/>
          </w:tcPr>
          <w:p w14:paraId="00196ADC">
            <w:pPr>
              <w:spacing w:after="0" w:line="240" w:lineRule="auto"/>
              <w:jc w:val="center"/>
              <w:rPr>
                <w:rFonts w:eastAsia="Times New Roman" w:cstheme="minorHAnsi"/>
                <w:sz w:val="24"/>
                <w:szCs w:val="24"/>
              </w:rPr>
            </w:pPr>
            <w:r>
              <w:rPr>
                <w:rFonts w:eastAsia="Times New Roman" w:cstheme="minorHAnsi"/>
                <w:sz w:val="24"/>
                <w:szCs w:val="24"/>
              </w:rPr>
              <w:t>0.244</w:t>
            </w:r>
          </w:p>
        </w:tc>
        <w:tc>
          <w:tcPr>
            <w:tcW w:w="1409" w:type="dxa"/>
            <w:vAlign w:val="center"/>
          </w:tcPr>
          <w:p w14:paraId="48D3BE7C">
            <w:pPr>
              <w:spacing w:after="0" w:line="240" w:lineRule="auto"/>
              <w:jc w:val="center"/>
              <w:rPr>
                <w:rFonts w:eastAsia="Times New Roman" w:cstheme="minorHAnsi"/>
                <w:sz w:val="24"/>
                <w:szCs w:val="24"/>
              </w:rPr>
            </w:pPr>
            <w:r>
              <w:rPr>
                <w:rFonts w:eastAsia="Times New Roman" w:cstheme="minorHAnsi"/>
                <w:sz w:val="24"/>
                <w:szCs w:val="24"/>
              </w:rPr>
              <w:t>0.266</w:t>
            </w:r>
          </w:p>
        </w:tc>
        <w:tc>
          <w:tcPr>
            <w:tcW w:w="1409" w:type="dxa"/>
            <w:vAlign w:val="center"/>
          </w:tcPr>
          <w:p w14:paraId="574EFD5F">
            <w:pPr>
              <w:spacing w:after="0" w:line="240" w:lineRule="auto"/>
              <w:jc w:val="center"/>
              <w:rPr>
                <w:rFonts w:eastAsia="Times New Roman" w:cstheme="minorHAnsi"/>
                <w:sz w:val="24"/>
                <w:szCs w:val="24"/>
              </w:rPr>
            </w:pPr>
            <w:r>
              <w:rPr>
                <w:rFonts w:eastAsia="Times New Roman" w:cstheme="minorHAnsi"/>
                <w:sz w:val="24"/>
                <w:szCs w:val="24"/>
              </w:rPr>
              <w:t>0.271</w:t>
            </w:r>
          </w:p>
        </w:tc>
        <w:tc>
          <w:tcPr>
            <w:tcW w:w="1407" w:type="dxa"/>
            <w:vAlign w:val="center"/>
          </w:tcPr>
          <w:p w14:paraId="3EB08921">
            <w:pPr>
              <w:spacing w:after="0" w:line="240" w:lineRule="auto"/>
              <w:jc w:val="center"/>
              <w:rPr>
                <w:rFonts w:eastAsia="Times New Roman" w:cstheme="minorHAnsi"/>
                <w:sz w:val="24"/>
                <w:szCs w:val="24"/>
              </w:rPr>
            </w:pPr>
            <w:r>
              <w:rPr>
                <w:rFonts w:eastAsia="Times New Roman" w:cstheme="minorHAnsi"/>
                <w:sz w:val="24"/>
                <w:szCs w:val="24"/>
              </w:rPr>
              <w:t>0.287</w:t>
            </w:r>
          </w:p>
        </w:tc>
      </w:tr>
      <w:tr w14:paraId="2449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EFB710A">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5</w:t>
            </w:r>
            <w:r>
              <w:rPr>
                <w:rFonts w:eastAsia="Times New Roman" w:cstheme="minorHAnsi"/>
                <w:sz w:val="24"/>
                <w:szCs w:val="24"/>
              </w:rPr>
              <w:t>: Azadirachtin 1 % @ 2 mL/L</w:t>
            </w:r>
          </w:p>
        </w:tc>
        <w:tc>
          <w:tcPr>
            <w:tcW w:w="1407" w:type="dxa"/>
            <w:vAlign w:val="center"/>
          </w:tcPr>
          <w:p w14:paraId="6B8E1FF3">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08BAB555">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3876C65C">
            <w:pPr>
              <w:spacing w:after="0" w:line="240" w:lineRule="auto"/>
              <w:jc w:val="center"/>
              <w:rPr>
                <w:rFonts w:eastAsia="Times New Roman" w:cstheme="minorHAnsi"/>
                <w:sz w:val="24"/>
                <w:szCs w:val="24"/>
              </w:rPr>
            </w:pPr>
            <w:r>
              <w:rPr>
                <w:rFonts w:eastAsia="Times New Roman" w:cstheme="minorHAnsi"/>
                <w:sz w:val="24"/>
                <w:szCs w:val="24"/>
              </w:rPr>
              <w:t>0.274</w:t>
            </w:r>
          </w:p>
        </w:tc>
        <w:tc>
          <w:tcPr>
            <w:tcW w:w="1407" w:type="dxa"/>
            <w:vAlign w:val="center"/>
          </w:tcPr>
          <w:p w14:paraId="536464C7">
            <w:pPr>
              <w:spacing w:after="0" w:line="240" w:lineRule="auto"/>
              <w:jc w:val="center"/>
              <w:rPr>
                <w:rFonts w:eastAsia="Times New Roman" w:cstheme="minorHAnsi"/>
                <w:sz w:val="24"/>
                <w:szCs w:val="24"/>
              </w:rPr>
            </w:pPr>
            <w:r>
              <w:rPr>
                <w:rFonts w:eastAsia="Times New Roman" w:cstheme="minorHAnsi"/>
                <w:sz w:val="24"/>
                <w:szCs w:val="24"/>
              </w:rPr>
              <w:t>0.293</w:t>
            </w:r>
          </w:p>
        </w:tc>
      </w:tr>
      <w:tr w14:paraId="47F90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48A14E04">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6</w:t>
            </w:r>
            <w:r>
              <w:rPr>
                <w:rFonts w:eastAsia="Times New Roman" w:cstheme="minorHAnsi"/>
                <w:sz w:val="24"/>
                <w:szCs w:val="24"/>
              </w:rPr>
              <w:t>: Water spray</w:t>
            </w:r>
          </w:p>
        </w:tc>
        <w:tc>
          <w:tcPr>
            <w:tcW w:w="1407" w:type="dxa"/>
            <w:vAlign w:val="center"/>
          </w:tcPr>
          <w:p w14:paraId="43E79A04">
            <w:pPr>
              <w:spacing w:after="0" w:line="240" w:lineRule="auto"/>
              <w:jc w:val="center"/>
              <w:rPr>
                <w:rFonts w:eastAsia="Times New Roman" w:cstheme="minorHAnsi"/>
                <w:sz w:val="24"/>
                <w:szCs w:val="24"/>
              </w:rPr>
            </w:pPr>
            <w:r>
              <w:rPr>
                <w:rFonts w:eastAsia="Times New Roman" w:cstheme="minorHAnsi"/>
                <w:sz w:val="24"/>
                <w:szCs w:val="24"/>
              </w:rPr>
              <w:t>0.298</w:t>
            </w:r>
          </w:p>
        </w:tc>
        <w:tc>
          <w:tcPr>
            <w:tcW w:w="1409" w:type="dxa"/>
            <w:vAlign w:val="center"/>
          </w:tcPr>
          <w:p w14:paraId="10483499">
            <w:pPr>
              <w:spacing w:after="0" w:line="240" w:lineRule="auto"/>
              <w:jc w:val="center"/>
              <w:rPr>
                <w:rFonts w:eastAsia="Times New Roman" w:cstheme="minorHAnsi"/>
                <w:sz w:val="24"/>
                <w:szCs w:val="24"/>
              </w:rPr>
            </w:pPr>
            <w:r>
              <w:rPr>
                <w:rFonts w:eastAsia="Times New Roman" w:cstheme="minorHAnsi"/>
                <w:sz w:val="24"/>
                <w:szCs w:val="24"/>
              </w:rPr>
              <w:t>0.306</w:t>
            </w:r>
          </w:p>
        </w:tc>
        <w:tc>
          <w:tcPr>
            <w:tcW w:w="1409" w:type="dxa"/>
            <w:vAlign w:val="center"/>
          </w:tcPr>
          <w:p w14:paraId="524C54D2">
            <w:pPr>
              <w:spacing w:after="0" w:line="240" w:lineRule="auto"/>
              <w:jc w:val="center"/>
              <w:rPr>
                <w:rFonts w:eastAsia="Times New Roman" w:cstheme="minorHAnsi"/>
                <w:sz w:val="24"/>
                <w:szCs w:val="24"/>
              </w:rPr>
            </w:pPr>
            <w:r>
              <w:rPr>
                <w:rFonts w:eastAsia="Times New Roman" w:cstheme="minorHAnsi"/>
                <w:sz w:val="24"/>
                <w:szCs w:val="24"/>
              </w:rPr>
              <w:t>0.304</w:t>
            </w:r>
          </w:p>
        </w:tc>
        <w:tc>
          <w:tcPr>
            <w:tcW w:w="1407" w:type="dxa"/>
            <w:vAlign w:val="center"/>
          </w:tcPr>
          <w:p w14:paraId="6327BBB2">
            <w:pPr>
              <w:spacing w:after="0" w:line="240" w:lineRule="auto"/>
              <w:jc w:val="center"/>
              <w:rPr>
                <w:rFonts w:eastAsia="Times New Roman" w:cstheme="minorHAnsi"/>
                <w:sz w:val="24"/>
                <w:szCs w:val="24"/>
              </w:rPr>
            </w:pPr>
            <w:r>
              <w:rPr>
                <w:rFonts w:eastAsia="Times New Roman" w:cstheme="minorHAnsi"/>
                <w:sz w:val="24"/>
                <w:szCs w:val="24"/>
              </w:rPr>
              <w:t>0.308</w:t>
            </w:r>
          </w:p>
        </w:tc>
      </w:tr>
      <w:tr w14:paraId="1B265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A99A399">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7</w:t>
            </w:r>
            <w:r>
              <w:rPr>
                <w:rFonts w:eastAsia="Times New Roman" w:cstheme="minorHAnsi"/>
                <w:sz w:val="24"/>
                <w:szCs w:val="24"/>
              </w:rPr>
              <w:t>: Untreated control</w:t>
            </w:r>
          </w:p>
        </w:tc>
        <w:tc>
          <w:tcPr>
            <w:tcW w:w="1407" w:type="dxa"/>
            <w:vAlign w:val="center"/>
          </w:tcPr>
          <w:p w14:paraId="32C39074">
            <w:pPr>
              <w:spacing w:after="0" w:line="240" w:lineRule="auto"/>
              <w:jc w:val="center"/>
              <w:rPr>
                <w:rFonts w:eastAsia="Times New Roman" w:cstheme="minorHAnsi"/>
                <w:sz w:val="24"/>
                <w:szCs w:val="24"/>
              </w:rPr>
            </w:pPr>
            <w:r>
              <w:rPr>
                <w:rFonts w:eastAsia="Times New Roman" w:cstheme="minorHAnsi"/>
                <w:sz w:val="24"/>
                <w:szCs w:val="24"/>
              </w:rPr>
              <w:t>0.310</w:t>
            </w:r>
          </w:p>
        </w:tc>
        <w:tc>
          <w:tcPr>
            <w:tcW w:w="1409" w:type="dxa"/>
            <w:vAlign w:val="center"/>
          </w:tcPr>
          <w:p w14:paraId="289B6416">
            <w:pPr>
              <w:spacing w:after="0" w:line="240" w:lineRule="auto"/>
              <w:jc w:val="center"/>
              <w:rPr>
                <w:rFonts w:eastAsia="Times New Roman" w:cstheme="minorHAnsi"/>
                <w:sz w:val="24"/>
                <w:szCs w:val="24"/>
              </w:rPr>
            </w:pPr>
            <w:r>
              <w:rPr>
                <w:rFonts w:eastAsia="Times New Roman" w:cstheme="minorHAnsi"/>
                <w:sz w:val="24"/>
                <w:szCs w:val="24"/>
              </w:rPr>
              <w:t>0.310</w:t>
            </w:r>
          </w:p>
        </w:tc>
        <w:tc>
          <w:tcPr>
            <w:tcW w:w="1409" w:type="dxa"/>
            <w:vAlign w:val="center"/>
          </w:tcPr>
          <w:p w14:paraId="146ADD2F">
            <w:pPr>
              <w:spacing w:after="0" w:line="240" w:lineRule="auto"/>
              <w:jc w:val="center"/>
              <w:rPr>
                <w:rFonts w:eastAsia="Times New Roman" w:cstheme="minorHAnsi"/>
                <w:sz w:val="24"/>
                <w:szCs w:val="24"/>
              </w:rPr>
            </w:pPr>
            <w:r>
              <w:rPr>
                <w:rFonts w:eastAsia="Times New Roman" w:cstheme="minorHAnsi"/>
                <w:sz w:val="24"/>
                <w:szCs w:val="24"/>
              </w:rPr>
              <w:t>0.310</w:t>
            </w:r>
          </w:p>
        </w:tc>
        <w:tc>
          <w:tcPr>
            <w:tcW w:w="1407" w:type="dxa"/>
            <w:vAlign w:val="center"/>
          </w:tcPr>
          <w:p w14:paraId="47AC6D5E">
            <w:pPr>
              <w:spacing w:after="0" w:line="240" w:lineRule="auto"/>
              <w:jc w:val="center"/>
              <w:rPr>
                <w:rFonts w:eastAsia="Times New Roman" w:cstheme="minorHAnsi"/>
                <w:sz w:val="24"/>
                <w:szCs w:val="24"/>
              </w:rPr>
            </w:pPr>
            <w:r>
              <w:rPr>
                <w:rFonts w:eastAsia="Times New Roman" w:cstheme="minorHAnsi"/>
                <w:sz w:val="24"/>
                <w:szCs w:val="24"/>
              </w:rPr>
              <w:t>0.310</w:t>
            </w:r>
          </w:p>
        </w:tc>
      </w:tr>
      <w:tr w14:paraId="2DFF1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488CBB45">
            <w:pPr>
              <w:spacing w:after="0" w:line="240" w:lineRule="auto"/>
              <w:jc w:val="center"/>
              <w:rPr>
                <w:rFonts w:eastAsia="Times New Roman" w:cstheme="minorHAnsi"/>
                <w:sz w:val="24"/>
                <w:szCs w:val="24"/>
              </w:rPr>
            </w:pPr>
            <w:r>
              <w:rPr>
                <w:rFonts w:eastAsia="Times New Roman" w:cstheme="minorHAnsi"/>
                <w:b/>
                <w:sz w:val="24"/>
                <w:szCs w:val="24"/>
              </w:rPr>
              <w:t>F-test</w:t>
            </w:r>
          </w:p>
        </w:tc>
        <w:tc>
          <w:tcPr>
            <w:tcW w:w="1407" w:type="dxa"/>
            <w:vAlign w:val="center"/>
          </w:tcPr>
          <w:p w14:paraId="15E70C60">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490FC459">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2CE70B8D">
            <w:pPr>
              <w:spacing w:after="0" w:line="240" w:lineRule="auto"/>
              <w:jc w:val="center"/>
              <w:rPr>
                <w:rFonts w:eastAsia="Times New Roman" w:cstheme="minorHAnsi"/>
                <w:sz w:val="24"/>
                <w:szCs w:val="24"/>
              </w:rPr>
            </w:pPr>
            <w:r>
              <w:rPr>
                <w:rFonts w:eastAsia="Times New Roman" w:cstheme="minorHAnsi"/>
                <w:sz w:val="24"/>
                <w:szCs w:val="24"/>
              </w:rPr>
              <w:t>NS</w:t>
            </w:r>
          </w:p>
        </w:tc>
        <w:tc>
          <w:tcPr>
            <w:tcW w:w="1407" w:type="dxa"/>
            <w:vAlign w:val="center"/>
          </w:tcPr>
          <w:p w14:paraId="61877835">
            <w:pPr>
              <w:spacing w:after="0" w:line="240" w:lineRule="auto"/>
              <w:jc w:val="center"/>
              <w:rPr>
                <w:rFonts w:eastAsia="Times New Roman" w:cstheme="minorHAnsi"/>
                <w:sz w:val="24"/>
                <w:szCs w:val="24"/>
              </w:rPr>
            </w:pPr>
            <w:r>
              <w:rPr>
                <w:rFonts w:eastAsia="Times New Roman" w:cstheme="minorHAnsi"/>
                <w:sz w:val="24"/>
                <w:szCs w:val="24"/>
              </w:rPr>
              <w:t>NS</w:t>
            </w:r>
          </w:p>
        </w:tc>
      </w:tr>
      <w:tr w14:paraId="37C8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5A6D7CB">
            <w:pPr>
              <w:spacing w:after="0" w:line="240" w:lineRule="auto"/>
              <w:jc w:val="center"/>
              <w:rPr>
                <w:rFonts w:eastAsia="Times New Roman" w:cstheme="minorHAnsi"/>
                <w:sz w:val="24"/>
                <w:szCs w:val="24"/>
              </w:rPr>
            </w:pPr>
            <w:r>
              <w:rPr>
                <w:rFonts w:eastAsia="Times New Roman" w:cstheme="minorHAnsi"/>
                <w:b/>
                <w:sz w:val="24"/>
                <w:szCs w:val="24"/>
              </w:rPr>
              <w:t>S.Em±</w:t>
            </w:r>
          </w:p>
        </w:tc>
        <w:tc>
          <w:tcPr>
            <w:tcW w:w="1407" w:type="dxa"/>
            <w:vAlign w:val="center"/>
          </w:tcPr>
          <w:p w14:paraId="3E9AD050">
            <w:pPr>
              <w:spacing w:after="0" w:line="240" w:lineRule="auto"/>
              <w:jc w:val="center"/>
              <w:rPr>
                <w:rFonts w:eastAsia="Times New Roman" w:cstheme="minorHAnsi"/>
                <w:sz w:val="24"/>
                <w:szCs w:val="24"/>
              </w:rPr>
            </w:pPr>
            <w:r>
              <w:rPr>
                <w:rFonts w:eastAsia="Times New Roman" w:cstheme="minorHAnsi"/>
                <w:sz w:val="24"/>
                <w:szCs w:val="24"/>
              </w:rPr>
              <w:t>0.006</w:t>
            </w:r>
          </w:p>
        </w:tc>
        <w:tc>
          <w:tcPr>
            <w:tcW w:w="1409" w:type="dxa"/>
            <w:vAlign w:val="center"/>
          </w:tcPr>
          <w:p w14:paraId="65DF2FE5">
            <w:pPr>
              <w:spacing w:after="0" w:line="240" w:lineRule="auto"/>
              <w:jc w:val="center"/>
              <w:rPr>
                <w:rFonts w:eastAsia="Times New Roman" w:cstheme="minorHAnsi"/>
                <w:sz w:val="24"/>
                <w:szCs w:val="24"/>
              </w:rPr>
            </w:pPr>
            <w:r>
              <w:rPr>
                <w:rFonts w:eastAsia="Times New Roman" w:cstheme="minorHAnsi"/>
                <w:sz w:val="24"/>
                <w:szCs w:val="24"/>
              </w:rPr>
              <w:t>0.004</w:t>
            </w:r>
          </w:p>
        </w:tc>
        <w:tc>
          <w:tcPr>
            <w:tcW w:w="1409" w:type="dxa"/>
            <w:vAlign w:val="center"/>
          </w:tcPr>
          <w:p w14:paraId="54342A4F">
            <w:pPr>
              <w:spacing w:after="0" w:line="240" w:lineRule="auto"/>
              <w:jc w:val="center"/>
              <w:rPr>
                <w:rFonts w:eastAsia="Times New Roman" w:cstheme="minorHAnsi"/>
                <w:sz w:val="24"/>
                <w:szCs w:val="24"/>
              </w:rPr>
            </w:pPr>
            <w:r>
              <w:rPr>
                <w:rFonts w:eastAsia="Times New Roman" w:cstheme="minorHAnsi"/>
                <w:sz w:val="24"/>
                <w:szCs w:val="24"/>
              </w:rPr>
              <w:t>0.011</w:t>
            </w:r>
          </w:p>
        </w:tc>
        <w:tc>
          <w:tcPr>
            <w:tcW w:w="1407" w:type="dxa"/>
            <w:vAlign w:val="center"/>
          </w:tcPr>
          <w:p w14:paraId="454465CD">
            <w:pPr>
              <w:spacing w:after="0" w:line="240" w:lineRule="auto"/>
              <w:jc w:val="center"/>
              <w:rPr>
                <w:rFonts w:eastAsia="Times New Roman" w:cstheme="minorHAnsi"/>
                <w:sz w:val="24"/>
                <w:szCs w:val="24"/>
              </w:rPr>
            </w:pPr>
            <w:r>
              <w:rPr>
                <w:rFonts w:eastAsia="Times New Roman" w:cstheme="minorHAnsi"/>
                <w:sz w:val="24"/>
                <w:szCs w:val="24"/>
              </w:rPr>
              <w:t>0.007</w:t>
            </w:r>
          </w:p>
        </w:tc>
      </w:tr>
      <w:tr w14:paraId="6AD4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0EAE52C1">
            <w:pPr>
              <w:spacing w:after="0" w:line="240" w:lineRule="auto"/>
              <w:jc w:val="center"/>
              <w:rPr>
                <w:rFonts w:eastAsia="Times New Roman" w:cstheme="minorHAnsi"/>
                <w:sz w:val="24"/>
                <w:szCs w:val="24"/>
              </w:rPr>
            </w:pPr>
            <w:r>
              <w:rPr>
                <w:rFonts w:eastAsia="Times New Roman" w:cstheme="minorHAnsi"/>
                <w:b/>
                <w:sz w:val="24"/>
                <w:szCs w:val="24"/>
              </w:rPr>
              <w:t>CD @ 5 %</w:t>
            </w:r>
          </w:p>
        </w:tc>
        <w:tc>
          <w:tcPr>
            <w:tcW w:w="1407" w:type="dxa"/>
            <w:vAlign w:val="center"/>
          </w:tcPr>
          <w:p w14:paraId="463BCAB3">
            <w:pPr>
              <w:spacing w:after="0" w:line="240" w:lineRule="auto"/>
              <w:jc w:val="center"/>
              <w:rPr>
                <w:rFonts w:eastAsia="Times New Roman" w:cstheme="minorHAnsi"/>
                <w:sz w:val="24"/>
                <w:szCs w:val="24"/>
              </w:rPr>
            </w:pPr>
            <w:r>
              <w:rPr>
                <w:rFonts w:eastAsia="Times New Roman" w:cstheme="minorHAnsi"/>
                <w:sz w:val="24"/>
                <w:szCs w:val="24"/>
              </w:rPr>
              <w:t>0.017</w:t>
            </w:r>
          </w:p>
        </w:tc>
        <w:tc>
          <w:tcPr>
            <w:tcW w:w="1409" w:type="dxa"/>
            <w:vAlign w:val="center"/>
          </w:tcPr>
          <w:p w14:paraId="01256D2F">
            <w:pPr>
              <w:spacing w:after="0" w:line="240" w:lineRule="auto"/>
              <w:jc w:val="center"/>
              <w:rPr>
                <w:rFonts w:eastAsia="Times New Roman" w:cstheme="minorHAnsi"/>
                <w:sz w:val="24"/>
                <w:szCs w:val="24"/>
              </w:rPr>
            </w:pPr>
            <w:r>
              <w:rPr>
                <w:rFonts w:eastAsia="Times New Roman" w:cstheme="minorHAnsi"/>
                <w:sz w:val="24"/>
                <w:szCs w:val="24"/>
              </w:rPr>
              <w:t>0.012</w:t>
            </w:r>
          </w:p>
        </w:tc>
        <w:tc>
          <w:tcPr>
            <w:tcW w:w="1409" w:type="dxa"/>
            <w:vAlign w:val="center"/>
          </w:tcPr>
          <w:p w14:paraId="263BE793">
            <w:pPr>
              <w:spacing w:after="0" w:line="240" w:lineRule="auto"/>
              <w:jc w:val="center"/>
              <w:rPr>
                <w:rFonts w:eastAsia="Times New Roman" w:cstheme="minorHAnsi"/>
                <w:sz w:val="24"/>
                <w:szCs w:val="24"/>
              </w:rPr>
            </w:pPr>
            <w:r>
              <w:rPr>
                <w:rFonts w:eastAsia="Times New Roman" w:cstheme="minorHAnsi"/>
                <w:sz w:val="24"/>
                <w:szCs w:val="24"/>
              </w:rPr>
              <w:t>-</w:t>
            </w:r>
          </w:p>
        </w:tc>
        <w:tc>
          <w:tcPr>
            <w:tcW w:w="1407" w:type="dxa"/>
            <w:vAlign w:val="center"/>
          </w:tcPr>
          <w:p w14:paraId="363AA6AE">
            <w:pPr>
              <w:spacing w:after="0" w:line="240" w:lineRule="auto"/>
              <w:jc w:val="center"/>
              <w:rPr>
                <w:rFonts w:eastAsia="Times New Roman" w:cstheme="minorHAnsi"/>
                <w:sz w:val="24"/>
                <w:szCs w:val="24"/>
              </w:rPr>
            </w:pPr>
            <w:r>
              <w:rPr>
                <w:rFonts w:eastAsia="Times New Roman" w:cstheme="minorHAnsi"/>
                <w:sz w:val="24"/>
                <w:szCs w:val="24"/>
              </w:rPr>
              <w:t>-</w:t>
            </w:r>
          </w:p>
        </w:tc>
      </w:tr>
    </w:tbl>
    <w:p w14:paraId="5ECE7E88">
      <w:pPr>
        <w:spacing w:line="240" w:lineRule="auto"/>
        <w:rPr>
          <w:rFonts w:eastAsia="Times New Roman" w:cstheme="minorHAnsi"/>
          <w:sz w:val="24"/>
          <w:szCs w:val="24"/>
        </w:rPr>
      </w:pPr>
      <w:r>
        <w:rPr>
          <w:rFonts w:eastAsia="Times New Roman" w:cstheme="minorHAnsi"/>
          <w:sz w:val="24"/>
          <w:szCs w:val="24"/>
        </w:rPr>
        <w:t>*Significant at 5 %; ** Significant at 1 %; NS- Non significant; DAS - Days after spraying.</w:t>
      </w:r>
    </w:p>
    <w:p w14:paraId="763F0A09">
      <w:pPr>
        <w:pStyle w:val="11"/>
        <w:jc w:val="both"/>
        <w:rPr>
          <w:rFonts w:asciiTheme="minorHAnsi" w:hAnsiTheme="minorHAnsi" w:cstheme="minorHAnsi"/>
          <w:b/>
        </w:rPr>
      </w:pPr>
    </w:p>
    <w:p w14:paraId="43B0A1CC">
      <w:pPr>
        <w:pStyle w:val="11"/>
        <w:jc w:val="both"/>
        <w:rPr>
          <w:rFonts w:asciiTheme="minorHAnsi" w:hAnsiTheme="minorHAnsi" w:cstheme="minorHAnsi"/>
          <w:b/>
        </w:rPr>
      </w:pPr>
    </w:p>
    <w:p w14:paraId="508E2CC2">
      <w:pPr>
        <w:pStyle w:val="11"/>
        <w:jc w:val="both"/>
        <w:rPr>
          <w:rFonts w:asciiTheme="minorHAnsi" w:hAnsiTheme="minorHAnsi" w:cstheme="minorHAnsi"/>
          <w:b/>
        </w:rPr>
      </w:pPr>
    </w:p>
    <w:p w14:paraId="60C47034">
      <w:pPr>
        <w:pStyle w:val="11"/>
        <w:jc w:val="both"/>
        <w:rPr>
          <w:rFonts w:asciiTheme="minorHAnsi" w:hAnsiTheme="minorHAnsi" w:cstheme="minorHAnsi"/>
          <w:b/>
        </w:rPr>
      </w:pPr>
    </w:p>
    <w:p w14:paraId="410225CE">
      <w:pPr>
        <w:pStyle w:val="11"/>
        <w:jc w:val="both"/>
        <w:rPr>
          <w:rFonts w:asciiTheme="minorHAnsi" w:hAnsiTheme="minorHAnsi" w:cstheme="minorHAnsi"/>
          <w:b/>
        </w:rPr>
      </w:pPr>
    </w:p>
    <w:p w14:paraId="27167184">
      <w:pPr>
        <w:pStyle w:val="11"/>
        <w:jc w:val="both"/>
        <w:rPr>
          <w:rFonts w:asciiTheme="minorHAnsi" w:hAnsiTheme="minorHAnsi" w:cstheme="minorHAnsi"/>
          <w:b/>
        </w:rPr>
      </w:pPr>
    </w:p>
    <w:p w14:paraId="26AC27C2">
      <w:pPr>
        <w:pStyle w:val="11"/>
        <w:jc w:val="both"/>
        <w:rPr>
          <w:rFonts w:asciiTheme="minorHAnsi" w:hAnsiTheme="minorHAnsi" w:cstheme="minorHAnsi"/>
          <w:b/>
        </w:rPr>
      </w:pPr>
    </w:p>
    <w:p w14:paraId="7E6152F3">
      <w:pPr>
        <w:pStyle w:val="11"/>
        <w:jc w:val="both"/>
        <w:rPr>
          <w:rFonts w:asciiTheme="minorHAnsi" w:hAnsiTheme="minorHAnsi" w:cstheme="minorHAnsi"/>
          <w:b/>
        </w:rPr>
      </w:pPr>
    </w:p>
    <w:p w14:paraId="584D9DBB">
      <w:pPr>
        <w:pStyle w:val="11"/>
        <w:jc w:val="both"/>
        <w:rPr>
          <w:rFonts w:asciiTheme="minorHAnsi" w:hAnsiTheme="minorHAnsi" w:cstheme="minorHAnsi"/>
          <w:b/>
        </w:rPr>
      </w:pPr>
    </w:p>
    <w:p w14:paraId="21FFB8DD">
      <w:pPr>
        <w:pStyle w:val="11"/>
        <w:jc w:val="both"/>
        <w:rPr>
          <w:rFonts w:asciiTheme="minorHAnsi" w:hAnsiTheme="minorHAnsi" w:cstheme="minorHAnsi"/>
          <w:b/>
        </w:rPr>
      </w:pPr>
    </w:p>
    <w:p w14:paraId="2FA5B140">
      <w:pPr>
        <w:pStyle w:val="11"/>
        <w:jc w:val="both"/>
        <w:rPr>
          <w:rFonts w:asciiTheme="minorHAnsi" w:hAnsiTheme="minorHAnsi" w:cstheme="minorHAnsi"/>
          <w:b/>
        </w:rPr>
      </w:pPr>
    </w:p>
    <w:p w14:paraId="640B7794">
      <w:pPr>
        <w:pStyle w:val="11"/>
        <w:jc w:val="both"/>
        <w:rPr>
          <w:rFonts w:asciiTheme="minorHAnsi" w:hAnsiTheme="minorHAnsi" w:cstheme="minorHAnsi"/>
          <w:b/>
        </w:rPr>
      </w:pPr>
    </w:p>
    <w:p w14:paraId="5DD1FE17">
      <w:pPr>
        <w:pStyle w:val="11"/>
        <w:jc w:val="both"/>
        <w:rPr>
          <w:rFonts w:asciiTheme="minorHAnsi" w:hAnsiTheme="minorHAnsi" w:cstheme="minorHAnsi"/>
          <w:b/>
        </w:rPr>
      </w:pPr>
    </w:p>
    <w:p w14:paraId="182344A4">
      <w:pPr>
        <w:pStyle w:val="11"/>
        <w:jc w:val="both"/>
        <w:rPr>
          <w:rFonts w:asciiTheme="minorHAnsi" w:hAnsiTheme="minorHAnsi" w:cstheme="minorHAnsi"/>
        </w:rPr>
      </w:pPr>
      <w:r>
        <w:rPr>
          <w:rFonts w:asciiTheme="minorHAnsi" w:hAnsiTheme="minorHAnsi" w:cstheme="minorHAnsi"/>
          <w:b/>
        </w:rPr>
        <w:t>Table 3</w:t>
      </w:r>
      <w:r>
        <w:rPr>
          <w:rFonts w:asciiTheme="minorHAnsi" w:hAnsiTheme="minorHAnsi" w:cstheme="minorHAnsi"/>
        </w:rPr>
        <w:t>: Effect of feeding the insecticide treated mulberry leaves on cocoon shell ratio</w:t>
      </w:r>
    </w:p>
    <w:tbl>
      <w:tblPr>
        <w:tblStyle w:val="5"/>
        <w:tblW w:w="98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21"/>
        <w:gridCol w:w="1407"/>
        <w:gridCol w:w="1409"/>
        <w:gridCol w:w="1409"/>
        <w:gridCol w:w="1407"/>
      </w:tblGrid>
      <w:tr w14:paraId="6F217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restart"/>
            <w:vAlign w:val="center"/>
          </w:tcPr>
          <w:p w14:paraId="249C038F">
            <w:pPr>
              <w:spacing w:after="0" w:line="240" w:lineRule="auto"/>
              <w:jc w:val="center"/>
              <w:rPr>
                <w:rFonts w:eastAsia="Times New Roman" w:cstheme="minorHAnsi"/>
                <w:sz w:val="24"/>
                <w:szCs w:val="24"/>
              </w:rPr>
            </w:pPr>
            <w:r>
              <w:rPr>
                <w:rFonts w:eastAsia="Times New Roman" w:cstheme="minorHAnsi"/>
                <w:b/>
                <w:sz w:val="24"/>
                <w:szCs w:val="24"/>
              </w:rPr>
              <w:t>Treatment details</w:t>
            </w:r>
          </w:p>
        </w:tc>
        <w:tc>
          <w:tcPr>
            <w:tcW w:w="5632" w:type="dxa"/>
            <w:gridSpan w:val="4"/>
            <w:vAlign w:val="center"/>
          </w:tcPr>
          <w:p w14:paraId="0BB1DBD0">
            <w:pPr>
              <w:spacing w:after="0" w:line="240" w:lineRule="auto"/>
              <w:jc w:val="center"/>
              <w:rPr>
                <w:rFonts w:eastAsia="Times New Roman" w:cstheme="minorHAnsi"/>
                <w:sz w:val="24"/>
                <w:szCs w:val="24"/>
              </w:rPr>
            </w:pPr>
            <w:r>
              <w:rPr>
                <w:rFonts w:eastAsia="Times New Roman" w:cstheme="minorHAnsi"/>
                <w:b/>
                <w:sz w:val="24"/>
                <w:szCs w:val="24"/>
              </w:rPr>
              <w:t>Cocoon shell ratio (%)</w:t>
            </w:r>
          </w:p>
        </w:tc>
      </w:tr>
      <w:tr w14:paraId="3C7CE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Merge w:val="continue"/>
            <w:vAlign w:val="center"/>
          </w:tcPr>
          <w:p w14:paraId="56DE9B5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rPr>
                <w:rFonts w:eastAsia="Times New Roman" w:cstheme="minorHAnsi"/>
                <w:sz w:val="24"/>
                <w:szCs w:val="24"/>
              </w:rPr>
            </w:pPr>
          </w:p>
        </w:tc>
        <w:tc>
          <w:tcPr>
            <w:tcW w:w="1407" w:type="dxa"/>
            <w:vAlign w:val="center"/>
          </w:tcPr>
          <w:p w14:paraId="15C3E305">
            <w:pPr>
              <w:spacing w:after="0" w:line="240" w:lineRule="auto"/>
              <w:jc w:val="center"/>
              <w:rPr>
                <w:rFonts w:eastAsia="Times New Roman" w:cstheme="minorHAnsi"/>
                <w:sz w:val="24"/>
                <w:szCs w:val="24"/>
              </w:rPr>
            </w:pPr>
            <w:r>
              <w:rPr>
                <w:rFonts w:eastAsia="Times New Roman" w:cstheme="minorHAnsi"/>
                <w:b/>
                <w:sz w:val="24"/>
                <w:szCs w:val="24"/>
              </w:rPr>
              <w:t>5 DAS</w:t>
            </w:r>
          </w:p>
        </w:tc>
        <w:tc>
          <w:tcPr>
            <w:tcW w:w="1409" w:type="dxa"/>
            <w:vAlign w:val="center"/>
          </w:tcPr>
          <w:p w14:paraId="7D5B54C2">
            <w:pPr>
              <w:spacing w:after="0" w:line="240" w:lineRule="auto"/>
              <w:jc w:val="center"/>
              <w:rPr>
                <w:rFonts w:eastAsia="Times New Roman" w:cstheme="minorHAnsi"/>
                <w:sz w:val="24"/>
                <w:szCs w:val="24"/>
              </w:rPr>
            </w:pPr>
            <w:r>
              <w:rPr>
                <w:rFonts w:eastAsia="Times New Roman" w:cstheme="minorHAnsi"/>
                <w:b/>
                <w:sz w:val="24"/>
                <w:szCs w:val="24"/>
              </w:rPr>
              <w:t>10 DAS</w:t>
            </w:r>
          </w:p>
        </w:tc>
        <w:tc>
          <w:tcPr>
            <w:tcW w:w="1409" w:type="dxa"/>
            <w:vAlign w:val="center"/>
          </w:tcPr>
          <w:p w14:paraId="441EC1DD">
            <w:pPr>
              <w:spacing w:after="0" w:line="240" w:lineRule="auto"/>
              <w:jc w:val="center"/>
              <w:rPr>
                <w:rFonts w:eastAsia="Times New Roman" w:cstheme="minorHAnsi"/>
                <w:sz w:val="24"/>
                <w:szCs w:val="24"/>
              </w:rPr>
            </w:pPr>
            <w:r>
              <w:rPr>
                <w:rFonts w:eastAsia="Times New Roman" w:cstheme="minorHAnsi"/>
                <w:b/>
                <w:sz w:val="24"/>
                <w:szCs w:val="24"/>
              </w:rPr>
              <w:t>15 DAS</w:t>
            </w:r>
          </w:p>
        </w:tc>
        <w:tc>
          <w:tcPr>
            <w:tcW w:w="1407" w:type="dxa"/>
            <w:vAlign w:val="center"/>
          </w:tcPr>
          <w:p w14:paraId="2BC06DB7">
            <w:pPr>
              <w:spacing w:after="0" w:line="240" w:lineRule="auto"/>
              <w:jc w:val="center"/>
              <w:rPr>
                <w:rFonts w:eastAsia="Times New Roman" w:cstheme="minorHAnsi"/>
                <w:sz w:val="24"/>
                <w:szCs w:val="24"/>
              </w:rPr>
            </w:pPr>
            <w:r>
              <w:rPr>
                <w:rFonts w:eastAsia="Times New Roman" w:cstheme="minorHAnsi"/>
                <w:b/>
                <w:sz w:val="24"/>
                <w:szCs w:val="24"/>
              </w:rPr>
              <w:t>20 DAS</w:t>
            </w:r>
          </w:p>
        </w:tc>
      </w:tr>
      <w:tr w14:paraId="783FC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39FE5B0C">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1</w:t>
            </w:r>
            <w:r>
              <w:rPr>
                <w:rFonts w:eastAsia="Times New Roman" w:cstheme="minorHAnsi"/>
                <w:sz w:val="24"/>
                <w:szCs w:val="24"/>
              </w:rPr>
              <w:t>: Chlorfenapyr 10 % SC @ 1.5 mL/L</w:t>
            </w:r>
          </w:p>
        </w:tc>
        <w:tc>
          <w:tcPr>
            <w:tcW w:w="1407" w:type="dxa"/>
            <w:vAlign w:val="center"/>
          </w:tcPr>
          <w:p w14:paraId="1BBEB24E">
            <w:pPr>
              <w:spacing w:after="0" w:line="240" w:lineRule="auto"/>
              <w:jc w:val="center"/>
              <w:rPr>
                <w:rFonts w:eastAsia="Times New Roman" w:cstheme="minorHAnsi"/>
                <w:sz w:val="24"/>
                <w:szCs w:val="24"/>
              </w:rPr>
            </w:pPr>
            <w:r>
              <w:rPr>
                <w:rFonts w:eastAsia="Times New Roman" w:cstheme="minorHAnsi"/>
                <w:sz w:val="24"/>
                <w:szCs w:val="24"/>
              </w:rPr>
              <w:t>18.02</w:t>
            </w:r>
          </w:p>
        </w:tc>
        <w:tc>
          <w:tcPr>
            <w:tcW w:w="1409" w:type="dxa"/>
            <w:vAlign w:val="center"/>
          </w:tcPr>
          <w:p w14:paraId="4EEE0BE9">
            <w:pPr>
              <w:spacing w:after="0" w:line="240" w:lineRule="auto"/>
              <w:jc w:val="center"/>
              <w:rPr>
                <w:rFonts w:eastAsia="Times New Roman" w:cstheme="minorHAnsi"/>
                <w:sz w:val="24"/>
                <w:szCs w:val="24"/>
              </w:rPr>
            </w:pPr>
            <w:r>
              <w:rPr>
                <w:rFonts w:eastAsia="Times New Roman" w:cstheme="minorHAnsi"/>
                <w:sz w:val="24"/>
                <w:szCs w:val="24"/>
              </w:rPr>
              <w:t>18.76</w:t>
            </w:r>
          </w:p>
        </w:tc>
        <w:tc>
          <w:tcPr>
            <w:tcW w:w="1409" w:type="dxa"/>
            <w:vAlign w:val="center"/>
          </w:tcPr>
          <w:p w14:paraId="29FA4AA8">
            <w:pPr>
              <w:spacing w:after="0" w:line="240" w:lineRule="auto"/>
              <w:jc w:val="center"/>
              <w:rPr>
                <w:rFonts w:eastAsia="Times New Roman" w:cstheme="minorHAnsi"/>
                <w:sz w:val="24"/>
                <w:szCs w:val="24"/>
              </w:rPr>
            </w:pPr>
            <w:r>
              <w:rPr>
                <w:rFonts w:eastAsia="Times New Roman" w:cstheme="minorHAnsi"/>
                <w:sz w:val="24"/>
                <w:szCs w:val="24"/>
              </w:rPr>
              <w:t>19.85</w:t>
            </w:r>
          </w:p>
        </w:tc>
        <w:tc>
          <w:tcPr>
            <w:tcW w:w="1407" w:type="dxa"/>
            <w:vAlign w:val="center"/>
          </w:tcPr>
          <w:p w14:paraId="6ADF0B6C">
            <w:pPr>
              <w:spacing w:after="0" w:line="240" w:lineRule="auto"/>
              <w:jc w:val="center"/>
              <w:rPr>
                <w:rFonts w:eastAsia="Times New Roman" w:cstheme="minorHAnsi"/>
                <w:sz w:val="24"/>
                <w:szCs w:val="24"/>
              </w:rPr>
            </w:pPr>
            <w:r>
              <w:rPr>
                <w:rFonts w:eastAsia="Times New Roman" w:cstheme="minorHAnsi"/>
                <w:sz w:val="24"/>
                <w:szCs w:val="24"/>
              </w:rPr>
              <w:t>21.63</w:t>
            </w:r>
          </w:p>
        </w:tc>
      </w:tr>
      <w:tr w14:paraId="52EDC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29AA1FAC">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2</w:t>
            </w:r>
            <w:r>
              <w:rPr>
                <w:rFonts w:eastAsia="Times New Roman" w:cstheme="minorHAnsi"/>
                <w:sz w:val="24"/>
                <w:szCs w:val="24"/>
              </w:rPr>
              <w:t>: Wettable Sulphur 80 WP @ 2 g/l</w:t>
            </w:r>
          </w:p>
        </w:tc>
        <w:tc>
          <w:tcPr>
            <w:tcW w:w="1407" w:type="dxa"/>
            <w:vAlign w:val="center"/>
          </w:tcPr>
          <w:p w14:paraId="2D20CDCF">
            <w:pPr>
              <w:spacing w:after="0" w:line="240" w:lineRule="auto"/>
              <w:jc w:val="center"/>
              <w:rPr>
                <w:rFonts w:eastAsia="Times New Roman" w:cstheme="minorHAnsi"/>
                <w:sz w:val="24"/>
                <w:szCs w:val="24"/>
              </w:rPr>
            </w:pPr>
            <w:r>
              <w:rPr>
                <w:rFonts w:eastAsia="Times New Roman" w:cstheme="minorHAnsi"/>
                <w:sz w:val="24"/>
                <w:szCs w:val="24"/>
              </w:rPr>
              <w:t>19.54</w:t>
            </w:r>
          </w:p>
        </w:tc>
        <w:tc>
          <w:tcPr>
            <w:tcW w:w="1409" w:type="dxa"/>
            <w:vAlign w:val="center"/>
          </w:tcPr>
          <w:p w14:paraId="2072345A">
            <w:pPr>
              <w:spacing w:after="0" w:line="240" w:lineRule="auto"/>
              <w:jc w:val="center"/>
              <w:rPr>
                <w:rFonts w:eastAsia="Times New Roman" w:cstheme="minorHAnsi"/>
                <w:sz w:val="24"/>
                <w:szCs w:val="24"/>
              </w:rPr>
            </w:pPr>
            <w:r>
              <w:rPr>
                <w:rFonts w:eastAsia="Times New Roman" w:cstheme="minorHAnsi"/>
                <w:sz w:val="24"/>
                <w:szCs w:val="24"/>
              </w:rPr>
              <w:t>20.83</w:t>
            </w:r>
          </w:p>
        </w:tc>
        <w:tc>
          <w:tcPr>
            <w:tcW w:w="1409" w:type="dxa"/>
            <w:vAlign w:val="center"/>
          </w:tcPr>
          <w:p w14:paraId="29AC4867">
            <w:pPr>
              <w:spacing w:after="0" w:line="240" w:lineRule="auto"/>
              <w:jc w:val="center"/>
              <w:rPr>
                <w:rFonts w:eastAsia="Times New Roman" w:cstheme="minorHAnsi"/>
                <w:sz w:val="24"/>
                <w:szCs w:val="24"/>
              </w:rPr>
            </w:pPr>
            <w:r>
              <w:rPr>
                <w:rFonts w:eastAsia="Times New Roman" w:cstheme="minorHAnsi"/>
                <w:sz w:val="24"/>
                <w:szCs w:val="24"/>
              </w:rPr>
              <w:t>20.91</w:t>
            </w:r>
          </w:p>
        </w:tc>
        <w:tc>
          <w:tcPr>
            <w:tcW w:w="1407" w:type="dxa"/>
            <w:vAlign w:val="center"/>
          </w:tcPr>
          <w:p w14:paraId="2560DC5F">
            <w:pPr>
              <w:spacing w:after="0" w:line="240" w:lineRule="auto"/>
              <w:jc w:val="center"/>
              <w:rPr>
                <w:rFonts w:eastAsia="Times New Roman" w:cstheme="minorHAnsi"/>
                <w:sz w:val="24"/>
                <w:szCs w:val="24"/>
              </w:rPr>
            </w:pPr>
            <w:r>
              <w:rPr>
                <w:rFonts w:eastAsia="Times New Roman" w:cstheme="minorHAnsi"/>
                <w:sz w:val="24"/>
                <w:szCs w:val="24"/>
              </w:rPr>
              <w:t>21.91</w:t>
            </w:r>
          </w:p>
        </w:tc>
      </w:tr>
      <w:tr w14:paraId="10A4C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E7587B6">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3</w:t>
            </w:r>
            <w:r>
              <w:rPr>
                <w:rFonts w:eastAsia="Times New Roman" w:cstheme="minorHAnsi"/>
                <w:sz w:val="24"/>
                <w:szCs w:val="24"/>
              </w:rPr>
              <w:t>: Orgomite @ 2.5 mL/L</w:t>
            </w:r>
          </w:p>
        </w:tc>
        <w:tc>
          <w:tcPr>
            <w:tcW w:w="1407" w:type="dxa"/>
            <w:vAlign w:val="center"/>
          </w:tcPr>
          <w:p w14:paraId="31ABD8A0">
            <w:pPr>
              <w:spacing w:after="0" w:line="240" w:lineRule="auto"/>
              <w:jc w:val="center"/>
              <w:rPr>
                <w:rFonts w:eastAsia="Times New Roman" w:cstheme="minorHAnsi"/>
                <w:sz w:val="24"/>
                <w:szCs w:val="24"/>
              </w:rPr>
            </w:pPr>
            <w:r>
              <w:rPr>
                <w:rFonts w:eastAsia="Times New Roman" w:cstheme="minorHAnsi"/>
                <w:sz w:val="24"/>
                <w:szCs w:val="24"/>
              </w:rPr>
              <w:t>19.85</w:t>
            </w:r>
          </w:p>
        </w:tc>
        <w:tc>
          <w:tcPr>
            <w:tcW w:w="1409" w:type="dxa"/>
            <w:vAlign w:val="center"/>
          </w:tcPr>
          <w:p w14:paraId="4CAD6AC6">
            <w:pPr>
              <w:spacing w:after="0" w:line="240" w:lineRule="auto"/>
              <w:jc w:val="center"/>
              <w:rPr>
                <w:rFonts w:eastAsia="Times New Roman" w:cstheme="minorHAnsi"/>
                <w:sz w:val="24"/>
                <w:szCs w:val="24"/>
              </w:rPr>
            </w:pPr>
            <w:r>
              <w:rPr>
                <w:rFonts w:eastAsia="Times New Roman" w:cstheme="minorHAnsi"/>
                <w:sz w:val="24"/>
                <w:szCs w:val="24"/>
              </w:rPr>
              <w:t>20.99</w:t>
            </w:r>
          </w:p>
        </w:tc>
        <w:tc>
          <w:tcPr>
            <w:tcW w:w="1409" w:type="dxa"/>
            <w:vAlign w:val="center"/>
          </w:tcPr>
          <w:p w14:paraId="103EBD47">
            <w:pPr>
              <w:spacing w:after="0" w:line="240" w:lineRule="auto"/>
              <w:jc w:val="center"/>
              <w:rPr>
                <w:rFonts w:eastAsia="Times New Roman" w:cstheme="minorHAnsi"/>
                <w:sz w:val="24"/>
                <w:szCs w:val="24"/>
              </w:rPr>
            </w:pPr>
            <w:r>
              <w:rPr>
                <w:rFonts w:eastAsia="Times New Roman" w:cstheme="minorHAnsi"/>
                <w:sz w:val="24"/>
                <w:szCs w:val="24"/>
              </w:rPr>
              <w:t>20.95</w:t>
            </w:r>
          </w:p>
        </w:tc>
        <w:tc>
          <w:tcPr>
            <w:tcW w:w="1407" w:type="dxa"/>
            <w:vAlign w:val="center"/>
          </w:tcPr>
          <w:p w14:paraId="56C4855F">
            <w:pPr>
              <w:spacing w:after="0" w:line="240" w:lineRule="auto"/>
              <w:jc w:val="center"/>
              <w:rPr>
                <w:rFonts w:eastAsia="Times New Roman" w:cstheme="minorHAnsi"/>
                <w:sz w:val="24"/>
                <w:szCs w:val="24"/>
              </w:rPr>
            </w:pPr>
            <w:r>
              <w:rPr>
                <w:rFonts w:eastAsia="Times New Roman" w:cstheme="minorHAnsi"/>
                <w:sz w:val="24"/>
                <w:szCs w:val="24"/>
              </w:rPr>
              <w:t>22.03</w:t>
            </w:r>
          </w:p>
        </w:tc>
      </w:tr>
      <w:tr w14:paraId="30A60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12101C97">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4</w:t>
            </w:r>
            <w:r>
              <w:rPr>
                <w:rFonts w:eastAsia="Times New Roman" w:cstheme="minorHAnsi"/>
                <w:sz w:val="24"/>
                <w:szCs w:val="24"/>
              </w:rPr>
              <w:t>: Era Safeguard @ 2.5 mL/L</w:t>
            </w:r>
          </w:p>
        </w:tc>
        <w:tc>
          <w:tcPr>
            <w:tcW w:w="1407" w:type="dxa"/>
            <w:vAlign w:val="center"/>
          </w:tcPr>
          <w:p w14:paraId="459FCA92">
            <w:pPr>
              <w:spacing w:after="0" w:line="240" w:lineRule="auto"/>
              <w:jc w:val="center"/>
              <w:rPr>
                <w:rFonts w:eastAsia="Times New Roman" w:cstheme="minorHAnsi"/>
                <w:sz w:val="24"/>
                <w:szCs w:val="24"/>
              </w:rPr>
            </w:pPr>
            <w:r>
              <w:rPr>
                <w:rFonts w:eastAsia="Times New Roman" w:cstheme="minorHAnsi"/>
                <w:sz w:val="24"/>
                <w:szCs w:val="24"/>
              </w:rPr>
              <w:t>18.066</w:t>
            </w:r>
          </w:p>
        </w:tc>
        <w:tc>
          <w:tcPr>
            <w:tcW w:w="1409" w:type="dxa"/>
            <w:vAlign w:val="center"/>
          </w:tcPr>
          <w:p w14:paraId="6CDA7322">
            <w:pPr>
              <w:spacing w:after="0" w:line="240" w:lineRule="auto"/>
              <w:jc w:val="center"/>
              <w:rPr>
                <w:rFonts w:eastAsia="Times New Roman" w:cstheme="minorHAnsi"/>
                <w:sz w:val="24"/>
                <w:szCs w:val="24"/>
              </w:rPr>
            </w:pPr>
            <w:r>
              <w:rPr>
                <w:rFonts w:eastAsia="Times New Roman" w:cstheme="minorHAnsi"/>
                <w:sz w:val="24"/>
                <w:szCs w:val="24"/>
              </w:rPr>
              <w:t>19.15</w:t>
            </w:r>
          </w:p>
        </w:tc>
        <w:tc>
          <w:tcPr>
            <w:tcW w:w="1409" w:type="dxa"/>
            <w:vAlign w:val="center"/>
          </w:tcPr>
          <w:p w14:paraId="1DE46AF1">
            <w:pPr>
              <w:spacing w:after="0" w:line="240" w:lineRule="auto"/>
              <w:jc w:val="center"/>
              <w:rPr>
                <w:rFonts w:eastAsia="Times New Roman" w:cstheme="minorHAnsi"/>
                <w:sz w:val="24"/>
                <w:szCs w:val="24"/>
              </w:rPr>
            </w:pPr>
            <w:r>
              <w:rPr>
                <w:rFonts w:eastAsia="Times New Roman" w:cstheme="minorHAnsi"/>
                <w:sz w:val="24"/>
                <w:szCs w:val="24"/>
              </w:rPr>
              <w:t>20.09</w:t>
            </w:r>
          </w:p>
        </w:tc>
        <w:tc>
          <w:tcPr>
            <w:tcW w:w="1407" w:type="dxa"/>
            <w:vAlign w:val="center"/>
          </w:tcPr>
          <w:p w14:paraId="29BD0554">
            <w:pPr>
              <w:spacing w:after="0" w:line="240" w:lineRule="auto"/>
              <w:jc w:val="center"/>
              <w:rPr>
                <w:rFonts w:eastAsia="Times New Roman" w:cstheme="minorHAnsi"/>
                <w:sz w:val="24"/>
                <w:szCs w:val="24"/>
              </w:rPr>
            </w:pPr>
            <w:r>
              <w:rPr>
                <w:rFonts w:eastAsia="Times New Roman" w:cstheme="minorHAnsi"/>
                <w:sz w:val="24"/>
                <w:szCs w:val="24"/>
              </w:rPr>
              <w:t>21.76</w:t>
            </w:r>
          </w:p>
        </w:tc>
      </w:tr>
      <w:tr w14:paraId="5C5BE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63E6D059">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5</w:t>
            </w:r>
            <w:r>
              <w:rPr>
                <w:rFonts w:eastAsia="Times New Roman" w:cstheme="minorHAnsi"/>
                <w:sz w:val="24"/>
                <w:szCs w:val="24"/>
              </w:rPr>
              <w:t>: Azadirachtin 1 % @ 2 mL/L</w:t>
            </w:r>
          </w:p>
        </w:tc>
        <w:tc>
          <w:tcPr>
            <w:tcW w:w="1407" w:type="dxa"/>
            <w:vAlign w:val="center"/>
          </w:tcPr>
          <w:p w14:paraId="531FFC6F">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7476457D">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3572CDF8">
            <w:pPr>
              <w:spacing w:after="0" w:line="240" w:lineRule="auto"/>
              <w:jc w:val="center"/>
              <w:rPr>
                <w:rFonts w:eastAsia="Times New Roman" w:cstheme="minorHAnsi"/>
                <w:sz w:val="24"/>
                <w:szCs w:val="24"/>
              </w:rPr>
            </w:pPr>
            <w:r>
              <w:rPr>
                <w:rFonts w:eastAsia="Times New Roman" w:cstheme="minorHAnsi"/>
                <w:sz w:val="24"/>
                <w:szCs w:val="24"/>
              </w:rPr>
              <w:t>20.80</w:t>
            </w:r>
          </w:p>
        </w:tc>
        <w:tc>
          <w:tcPr>
            <w:tcW w:w="1407" w:type="dxa"/>
            <w:vAlign w:val="center"/>
          </w:tcPr>
          <w:p w14:paraId="6D9DDCB7">
            <w:pPr>
              <w:spacing w:after="0" w:line="240" w:lineRule="auto"/>
              <w:jc w:val="center"/>
              <w:rPr>
                <w:rFonts w:eastAsia="Times New Roman" w:cstheme="minorHAnsi"/>
                <w:sz w:val="24"/>
                <w:szCs w:val="24"/>
              </w:rPr>
            </w:pPr>
            <w:r>
              <w:rPr>
                <w:rFonts w:eastAsia="Times New Roman" w:cstheme="minorHAnsi"/>
                <w:sz w:val="24"/>
                <w:szCs w:val="24"/>
              </w:rPr>
              <w:t>21.81</w:t>
            </w:r>
          </w:p>
        </w:tc>
      </w:tr>
      <w:tr w14:paraId="4C566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2D709616">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6</w:t>
            </w:r>
            <w:r>
              <w:rPr>
                <w:rFonts w:eastAsia="Times New Roman" w:cstheme="minorHAnsi"/>
                <w:sz w:val="24"/>
                <w:szCs w:val="24"/>
              </w:rPr>
              <w:t>: Water spray</w:t>
            </w:r>
          </w:p>
        </w:tc>
        <w:tc>
          <w:tcPr>
            <w:tcW w:w="1407" w:type="dxa"/>
            <w:vAlign w:val="center"/>
          </w:tcPr>
          <w:p w14:paraId="06B9FD7E">
            <w:pPr>
              <w:spacing w:after="0" w:line="240" w:lineRule="auto"/>
              <w:jc w:val="center"/>
              <w:rPr>
                <w:rFonts w:eastAsia="Times New Roman" w:cstheme="minorHAnsi"/>
                <w:sz w:val="24"/>
                <w:szCs w:val="24"/>
              </w:rPr>
            </w:pPr>
            <w:r>
              <w:rPr>
                <w:rFonts w:eastAsia="Times New Roman" w:cstheme="minorHAnsi"/>
                <w:sz w:val="24"/>
                <w:szCs w:val="24"/>
              </w:rPr>
              <w:t>21.98</w:t>
            </w:r>
          </w:p>
        </w:tc>
        <w:tc>
          <w:tcPr>
            <w:tcW w:w="1409" w:type="dxa"/>
            <w:vAlign w:val="center"/>
          </w:tcPr>
          <w:p w14:paraId="37BECF15">
            <w:pPr>
              <w:spacing w:after="0" w:line="240" w:lineRule="auto"/>
              <w:jc w:val="center"/>
              <w:rPr>
                <w:rFonts w:eastAsia="Times New Roman" w:cstheme="minorHAnsi"/>
                <w:sz w:val="24"/>
                <w:szCs w:val="24"/>
              </w:rPr>
            </w:pPr>
            <w:r>
              <w:rPr>
                <w:rFonts w:eastAsia="Times New Roman" w:cstheme="minorHAnsi"/>
                <w:sz w:val="24"/>
                <w:szCs w:val="24"/>
              </w:rPr>
              <w:t>21.99</w:t>
            </w:r>
          </w:p>
        </w:tc>
        <w:tc>
          <w:tcPr>
            <w:tcW w:w="1409" w:type="dxa"/>
            <w:vAlign w:val="center"/>
          </w:tcPr>
          <w:p w14:paraId="337CA4C7">
            <w:pPr>
              <w:spacing w:after="0" w:line="240" w:lineRule="auto"/>
              <w:jc w:val="center"/>
              <w:rPr>
                <w:rFonts w:eastAsia="Times New Roman" w:cstheme="minorHAnsi"/>
                <w:sz w:val="24"/>
                <w:szCs w:val="24"/>
              </w:rPr>
            </w:pPr>
            <w:r>
              <w:rPr>
                <w:rFonts w:eastAsia="Times New Roman" w:cstheme="minorHAnsi"/>
                <w:sz w:val="24"/>
                <w:szCs w:val="24"/>
              </w:rPr>
              <w:t>21.94</w:t>
            </w:r>
          </w:p>
        </w:tc>
        <w:tc>
          <w:tcPr>
            <w:tcW w:w="1407" w:type="dxa"/>
            <w:vAlign w:val="center"/>
          </w:tcPr>
          <w:p w14:paraId="19323894">
            <w:pPr>
              <w:spacing w:after="0" w:line="240" w:lineRule="auto"/>
              <w:jc w:val="center"/>
              <w:rPr>
                <w:rFonts w:eastAsia="Times New Roman" w:cstheme="minorHAnsi"/>
                <w:sz w:val="24"/>
                <w:szCs w:val="24"/>
              </w:rPr>
            </w:pPr>
            <w:r>
              <w:rPr>
                <w:rFonts w:eastAsia="Times New Roman" w:cstheme="minorHAnsi"/>
                <w:sz w:val="24"/>
                <w:szCs w:val="24"/>
              </w:rPr>
              <w:t>22.19</w:t>
            </w:r>
          </w:p>
        </w:tc>
      </w:tr>
      <w:tr w14:paraId="7A2A1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780FC90A">
            <w:pPr>
              <w:spacing w:after="0" w:line="240" w:lineRule="auto"/>
              <w:rPr>
                <w:rFonts w:eastAsia="Times New Roman" w:cstheme="minorHAnsi"/>
                <w:sz w:val="24"/>
                <w:szCs w:val="24"/>
              </w:rPr>
            </w:pPr>
            <w:r>
              <w:rPr>
                <w:rFonts w:eastAsia="Times New Roman" w:cstheme="minorHAnsi"/>
                <w:sz w:val="24"/>
                <w:szCs w:val="24"/>
              </w:rPr>
              <w:t>T</w:t>
            </w:r>
            <w:r>
              <w:rPr>
                <w:rFonts w:eastAsia="Times New Roman" w:cstheme="minorHAnsi"/>
                <w:sz w:val="24"/>
                <w:szCs w:val="24"/>
                <w:vertAlign w:val="subscript"/>
              </w:rPr>
              <w:t>7</w:t>
            </w:r>
            <w:r>
              <w:rPr>
                <w:rFonts w:eastAsia="Times New Roman" w:cstheme="minorHAnsi"/>
                <w:sz w:val="24"/>
                <w:szCs w:val="24"/>
              </w:rPr>
              <w:t>: Untreated control</w:t>
            </w:r>
          </w:p>
        </w:tc>
        <w:tc>
          <w:tcPr>
            <w:tcW w:w="1407" w:type="dxa"/>
            <w:vAlign w:val="center"/>
          </w:tcPr>
          <w:p w14:paraId="74D9A846">
            <w:pPr>
              <w:spacing w:after="0" w:line="240" w:lineRule="auto"/>
              <w:jc w:val="center"/>
              <w:rPr>
                <w:rFonts w:eastAsia="Times New Roman" w:cstheme="minorHAnsi"/>
                <w:sz w:val="24"/>
                <w:szCs w:val="24"/>
              </w:rPr>
            </w:pPr>
            <w:r>
              <w:rPr>
                <w:rFonts w:eastAsia="Times New Roman" w:cstheme="minorHAnsi"/>
                <w:sz w:val="24"/>
                <w:szCs w:val="24"/>
              </w:rPr>
              <w:t>22.22</w:t>
            </w:r>
          </w:p>
        </w:tc>
        <w:tc>
          <w:tcPr>
            <w:tcW w:w="1409" w:type="dxa"/>
            <w:vAlign w:val="center"/>
          </w:tcPr>
          <w:p w14:paraId="7CE84F65">
            <w:pPr>
              <w:spacing w:after="0" w:line="240" w:lineRule="auto"/>
              <w:jc w:val="center"/>
              <w:rPr>
                <w:rFonts w:eastAsia="Times New Roman" w:cstheme="minorHAnsi"/>
                <w:sz w:val="24"/>
                <w:szCs w:val="24"/>
              </w:rPr>
            </w:pPr>
            <w:r>
              <w:rPr>
                <w:rFonts w:eastAsia="Times New Roman" w:cstheme="minorHAnsi"/>
                <w:sz w:val="24"/>
                <w:szCs w:val="24"/>
              </w:rPr>
              <w:t>22.22</w:t>
            </w:r>
          </w:p>
        </w:tc>
        <w:tc>
          <w:tcPr>
            <w:tcW w:w="1409" w:type="dxa"/>
            <w:vAlign w:val="center"/>
          </w:tcPr>
          <w:p w14:paraId="002EB376">
            <w:pPr>
              <w:spacing w:after="0" w:line="240" w:lineRule="auto"/>
              <w:jc w:val="center"/>
              <w:rPr>
                <w:rFonts w:eastAsia="Times New Roman" w:cstheme="minorHAnsi"/>
                <w:sz w:val="24"/>
                <w:szCs w:val="24"/>
              </w:rPr>
            </w:pPr>
            <w:r>
              <w:rPr>
                <w:rFonts w:eastAsia="Times New Roman" w:cstheme="minorHAnsi"/>
                <w:sz w:val="24"/>
                <w:szCs w:val="24"/>
              </w:rPr>
              <w:t>22.22</w:t>
            </w:r>
          </w:p>
        </w:tc>
        <w:tc>
          <w:tcPr>
            <w:tcW w:w="1407" w:type="dxa"/>
            <w:vAlign w:val="center"/>
          </w:tcPr>
          <w:p w14:paraId="63B1AA0C">
            <w:pPr>
              <w:spacing w:after="0" w:line="240" w:lineRule="auto"/>
              <w:jc w:val="center"/>
              <w:rPr>
                <w:rFonts w:eastAsia="Times New Roman" w:cstheme="minorHAnsi"/>
                <w:sz w:val="24"/>
                <w:szCs w:val="24"/>
              </w:rPr>
            </w:pPr>
            <w:r>
              <w:rPr>
                <w:rFonts w:eastAsia="Times New Roman" w:cstheme="minorHAnsi"/>
                <w:sz w:val="24"/>
                <w:szCs w:val="24"/>
              </w:rPr>
              <w:t>22.22</w:t>
            </w:r>
          </w:p>
        </w:tc>
      </w:tr>
      <w:tr w14:paraId="40BE9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3CEE15A5">
            <w:pPr>
              <w:spacing w:after="0" w:line="240" w:lineRule="auto"/>
              <w:jc w:val="center"/>
              <w:rPr>
                <w:rFonts w:eastAsia="Times New Roman" w:cstheme="minorHAnsi"/>
                <w:sz w:val="24"/>
                <w:szCs w:val="24"/>
              </w:rPr>
            </w:pPr>
            <w:r>
              <w:rPr>
                <w:rFonts w:eastAsia="Times New Roman" w:cstheme="minorHAnsi"/>
                <w:b/>
                <w:sz w:val="24"/>
                <w:szCs w:val="24"/>
              </w:rPr>
              <w:t>F-test</w:t>
            </w:r>
          </w:p>
        </w:tc>
        <w:tc>
          <w:tcPr>
            <w:tcW w:w="1407" w:type="dxa"/>
            <w:vAlign w:val="center"/>
          </w:tcPr>
          <w:p w14:paraId="0AFAD9D5">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71127943">
            <w:pPr>
              <w:spacing w:after="0" w:line="240" w:lineRule="auto"/>
              <w:jc w:val="center"/>
              <w:rPr>
                <w:rFonts w:eastAsia="Times New Roman" w:cstheme="minorHAnsi"/>
                <w:sz w:val="24"/>
                <w:szCs w:val="24"/>
              </w:rPr>
            </w:pPr>
            <w:r>
              <w:rPr>
                <w:rFonts w:eastAsia="Times New Roman" w:cstheme="minorHAnsi"/>
                <w:sz w:val="24"/>
                <w:szCs w:val="24"/>
              </w:rPr>
              <w:t>**</w:t>
            </w:r>
          </w:p>
        </w:tc>
        <w:tc>
          <w:tcPr>
            <w:tcW w:w="1409" w:type="dxa"/>
            <w:vAlign w:val="center"/>
          </w:tcPr>
          <w:p w14:paraId="4E46AC2F">
            <w:pPr>
              <w:spacing w:after="0" w:line="240" w:lineRule="auto"/>
              <w:jc w:val="center"/>
              <w:rPr>
                <w:rFonts w:eastAsia="Times New Roman" w:cstheme="minorHAnsi"/>
                <w:sz w:val="24"/>
                <w:szCs w:val="24"/>
              </w:rPr>
            </w:pPr>
            <w:r>
              <w:rPr>
                <w:rFonts w:eastAsia="Times New Roman" w:cstheme="minorHAnsi"/>
                <w:sz w:val="24"/>
                <w:szCs w:val="24"/>
              </w:rPr>
              <w:t>NS</w:t>
            </w:r>
          </w:p>
        </w:tc>
        <w:tc>
          <w:tcPr>
            <w:tcW w:w="1407" w:type="dxa"/>
            <w:vAlign w:val="center"/>
          </w:tcPr>
          <w:p w14:paraId="651A95CF">
            <w:pPr>
              <w:spacing w:after="0" w:line="240" w:lineRule="auto"/>
              <w:jc w:val="center"/>
              <w:rPr>
                <w:rFonts w:eastAsia="Times New Roman" w:cstheme="minorHAnsi"/>
                <w:sz w:val="24"/>
                <w:szCs w:val="24"/>
              </w:rPr>
            </w:pPr>
            <w:r>
              <w:rPr>
                <w:rFonts w:eastAsia="Times New Roman" w:cstheme="minorHAnsi"/>
                <w:sz w:val="24"/>
                <w:szCs w:val="24"/>
              </w:rPr>
              <w:t>NS</w:t>
            </w:r>
          </w:p>
        </w:tc>
      </w:tr>
      <w:tr w14:paraId="0F81C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5F176C56">
            <w:pPr>
              <w:spacing w:after="0" w:line="240" w:lineRule="auto"/>
              <w:jc w:val="center"/>
              <w:rPr>
                <w:rFonts w:eastAsia="Times New Roman" w:cstheme="minorHAnsi"/>
                <w:sz w:val="24"/>
                <w:szCs w:val="24"/>
              </w:rPr>
            </w:pPr>
            <w:r>
              <w:rPr>
                <w:rFonts w:eastAsia="Times New Roman" w:cstheme="minorHAnsi"/>
                <w:b/>
                <w:sz w:val="24"/>
                <w:szCs w:val="24"/>
              </w:rPr>
              <w:t>S.Em±</w:t>
            </w:r>
          </w:p>
        </w:tc>
        <w:tc>
          <w:tcPr>
            <w:tcW w:w="1407" w:type="dxa"/>
            <w:vAlign w:val="center"/>
          </w:tcPr>
          <w:p w14:paraId="5A0B34B3">
            <w:pPr>
              <w:spacing w:after="0" w:line="240" w:lineRule="auto"/>
              <w:jc w:val="center"/>
              <w:rPr>
                <w:rFonts w:eastAsia="Times New Roman" w:cstheme="minorHAnsi"/>
                <w:sz w:val="24"/>
                <w:szCs w:val="24"/>
              </w:rPr>
            </w:pPr>
            <w:r>
              <w:rPr>
                <w:rFonts w:eastAsia="Times New Roman" w:cstheme="minorHAnsi"/>
                <w:sz w:val="24"/>
                <w:szCs w:val="24"/>
              </w:rPr>
              <w:t>0.57</w:t>
            </w:r>
          </w:p>
        </w:tc>
        <w:tc>
          <w:tcPr>
            <w:tcW w:w="1409" w:type="dxa"/>
            <w:vAlign w:val="center"/>
          </w:tcPr>
          <w:p w14:paraId="2C2DBCD2">
            <w:pPr>
              <w:spacing w:after="0" w:line="240" w:lineRule="auto"/>
              <w:jc w:val="center"/>
              <w:rPr>
                <w:rFonts w:eastAsia="Times New Roman" w:cstheme="minorHAnsi"/>
                <w:sz w:val="24"/>
                <w:szCs w:val="24"/>
              </w:rPr>
            </w:pPr>
            <w:r>
              <w:rPr>
                <w:rFonts w:eastAsia="Times New Roman" w:cstheme="minorHAnsi"/>
                <w:sz w:val="24"/>
                <w:szCs w:val="24"/>
              </w:rPr>
              <w:t>0.49</w:t>
            </w:r>
          </w:p>
        </w:tc>
        <w:tc>
          <w:tcPr>
            <w:tcW w:w="1409" w:type="dxa"/>
            <w:vAlign w:val="center"/>
          </w:tcPr>
          <w:p w14:paraId="7A147D0E">
            <w:pPr>
              <w:spacing w:after="0" w:line="240" w:lineRule="auto"/>
              <w:jc w:val="center"/>
              <w:rPr>
                <w:rFonts w:eastAsia="Times New Roman" w:cstheme="minorHAnsi"/>
                <w:sz w:val="24"/>
                <w:szCs w:val="24"/>
              </w:rPr>
            </w:pPr>
            <w:r>
              <w:rPr>
                <w:rFonts w:eastAsia="Times New Roman" w:cstheme="minorHAnsi"/>
                <w:sz w:val="24"/>
                <w:szCs w:val="24"/>
              </w:rPr>
              <w:t>0.75</w:t>
            </w:r>
          </w:p>
        </w:tc>
        <w:tc>
          <w:tcPr>
            <w:tcW w:w="1407" w:type="dxa"/>
            <w:vAlign w:val="center"/>
          </w:tcPr>
          <w:p w14:paraId="149559C8">
            <w:pPr>
              <w:spacing w:after="0" w:line="240" w:lineRule="auto"/>
              <w:jc w:val="center"/>
              <w:rPr>
                <w:rFonts w:eastAsia="Times New Roman" w:cstheme="minorHAnsi"/>
                <w:sz w:val="24"/>
                <w:szCs w:val="24"/>
              </w:rPr>
            </w:pPr>
            <w:r>
              <w:rPr>
                <w:rFonts w:eastAsia="Times New Roman" w:cstheme="minorHAnsi"/>
                <w:sz w:val="24"/>
                <w:szCs w:val="24"/>
              </w:rPr>
              <w:t>0.45</w:t>
            </w:r>
          </w:p>
        </w:tc>
      </w:tr>
      <w:tr w14:paraId="5F850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4221" w:type="dxa"/>
            <w:vAlign w:val="center"/>
          </w:tcPr>
          <w:p w14:paraId="2CFDFD03">
            <w:pPr>
              <w:spacing w:after="0" w:line="240" w:lineRule="auto"/>
              <w:jc w:val="center"/>
              <w:rPr>
                <w:rFonts w:eastAsia="Times New Roman" w:cstheme="minorHAnsi"/>
                <w:sz w:val="24"/>
                <w:szCs w:val="24"/>
              </w:rPr>
            </w:pPr>
            <w:r>
              <w:rPr>
                <w:rFonts w:eastAsia="Times New Roman" w:cstheme="minorHAnsi"/>
                <w:b/>
                <w:sz w:val="24"/>
                <w:szCs w:val="24"/>
              </w:rPr>
              <w:t>CD @ 5 %</w:t>
            </w:r>
          </w:p>
        </w:tc>
        <w:tc>
          <w:tcPr>
            <w:tcW w:w="1407" w:type="dxa"/>
            <w:vAlign w:val="center"/>
          </w:tcPr>
          <w:p w14:paraId="632FFDEE">
            <w:pPr>
              <w:spacing w:after="0" w:line="240" w:lineRule="auto"/>
              <w:jc w:val="center"/>
              <w:rPr>
                <w:rFonts w:eastAsia="Times New Roman" w:cstheme="minorHAnsi"/>
                <w:sz w:val="24"/>
                <w:szCs w:val="24"/>
              </w:rPr>
            </w:pPr>
            <w:r>
              <w:rPr>
                <w:rFonts w:eastAsia="Times New Roman" w:cstheme="minorHAnsi"/>
                <w:sz w:val="24"/>
                <w:szCs w:val="24"/>
              </w:rPr>
              <w:t>1.69</w:t>
            </w:r>
          </w:p>
        </w:tc>
        <w:tc>
          <w:tcPr>
            <w:tcW w:w="1409" w:type="dxa"/>
            <w:vAlign w:val="center"/>
          </w:tcPr>
          <w:p w14:paraId="47EBA870">
            <w:pPr>
              <w:spacing w:after="0" w:line="240" w:lineRule="auto"/>
              <w:jc w:val="center"/>
              <w:rPr>
                <w:rFonts w:eastAsia="Times New Roman" w:cstheme="minorHAnsi"/>
                <w:sz w:val="24"/>
                <w:szCs w:val="24"/>
              </w:rPr>
            </w:pPr>
            <w:r>
              <w:rPr>
                <w:rFonts w:eastAsia="Times New Roman" w:cstheme="minorHAnsi"/>
                <w:sz w:val="24"/>
                <w:szCs w:val="24"/>
              </w:rPr>
              <w:t>1.45</w:t>
            </w:r>
          </w:p>
        </w:tc>
        <w:tc>
          <w:tcPr>
            <w:tcW w:w="1409" w:type="dxa"/>
            <w:vAlign w:val="center"/>
          </w:tcPr>
          <w:p w14:paraId="032F1BD6">
            <w:pPr>
              <w:spacing w:after="0" w:line="240" w:lineRule="auto"/>
              <w:jc w:val="center"/>
              <w:rPr>
                <w:rFonts w:eastAsia="Times New Roman" w:cstheme="minorHAnsi"/>
                <w:sz w:val="24"/>
                <w:szCs w:val="24"/>
              </w:rPr>
            </w:pPr>
            <w:r>
              <w:rPr>
                <w:rFonts w:eastAsia="Times New Roman" w:cstheme="minorHAnsi"/>
                <w:sz w:val="24"/>
                <w:szCs w:val="24"/>
              </w:rPr>
              <w:t>-</w:t>
            </w:r>
          </w:p>
        </w:tc>
        <w:tc>
          <w:tcPr>
            <w:tcW w:w="1407" w:type="dxa"/>
            <w:vAlign w:val="center"/>
          </w:tcPr>
          <w:p w14:paraId="200F874E">
            <w:pPr>
              <w:spacing w:after="0" w:line="240" w:lineRule="auto"/>
              <w:jc w:val="center"/>
              <w:rPr>
                <w:rFonts w:eastAsia="Times New Roman" w:cstheme="minorHAnsi"/>
                <w:sz w:val="24"/>
                <w:szCs w:val="24"/>
              </w:rPr>
            </w:pPr>
            <w:r>
              <w:rPr>
                <w:rFonts w:eastAsia="Times New Roman" w:cstheme="minorHAnsi"/>
                <w:sz w:val="24"/>
                <w:szCs w:val="24"/>
              </w:rPr>
              <w:t>-</w:t>
            </w:r>
          </w:p>
        </w:tc>
      </w:tr>
    </w:tbl>
    <w:p w14:paraId="4E1E7F9A">
      <w:pPr>
        <w:spacing w:line="240" w:lineRule="auto"/>
        <w:jc w:val="both"/>
        <w:rPr>
          <w:rFonts w:eastAsia="Times New Roman" w:cstheme="minorHAnsi"/>
          <w:sz w:val="24"/>
          <w:szCs w:val="24"/>
        </w:rPr>
      </w:pPr>
      <w:r>
        <w:rPr>
          <w:rFonts w:eastAsia="Times New Roman" w:cstheme="minorHAnsi"/>
          <w:sz w:val="24"/>
          <w:szCs w:val="24"/>
        </w:rPr>
        <w:t>*Significant at 5 %; ** Significant at 1 %; NS - Non significant; DAS - Days after spraying.</w:t>
      </w:r>
    </w:p>
    <w:p w14:paraId="6A7A6D11">
      <w:pPr>
        <w:spacing w:before="100" w:beforeAutospacing="1" w:after="100" w:afterAutospacing="1" w:line="240" w:lineRule="auto"/>
        <w:rPr>
          <w:rFonts w:ascii="Arial" w:hAnsi="Arial" w:eastAsia="Times New Roman" w:cs="Arial"/>
          <w:color w:val="222222"/>
          <w:sz w:val="24"/>
          <w:szCs w:val="24"/>
          <w:lang w:eastAsia="en-IN"/>
        </w:rPr>
      </w:pPr>
    </w:p>
    <w:p w14:paraId="61A28752">
      <w:pPr>
        <w:spacing w:line="240" w:lineRule="auto"/>
        <w:jc w:val="both"/>
        <w:rPr>
          <w:rFonts w:eastAsia="Times New Roman" w:cstheme="minorHAnsi"/>
          <w:sz w:val="24"/>
          <w:szCs w:val="24"/>
        </w:rPr>
      </w:pPr>
    </w:p>
    <w:sectPr>
      <w:headerReference r:id="rId9" w:type="first"/>
      <w:footerReference r:id="rId12" w:type="first"/>
      <w:headerReference r:id="rId7" w:type="default"/>
      <w:footerReference r:id="rId10" w:type="default"/>
      <w:headerReference r:id="rId8" w:type="even"/>
      <w:footerReference r:id="rId11" w:type="even"/>
      <w:pgSz w:w="11906" w:h="16838"/>
      <w:pgMar w:top="1418" w:right="1418" w:bottom="1418" w:left="1418" w:header="709" w:footer="709"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man Tutlani" w:date="2025-08-02T07:16:37Z" w:initials="">
    <w:p w14:paraId="7AAC9875">
      <w:pPr>
        <w:pStyle w:val="6"/>
      </w:pPr>
      <w:r>
        <w:rPr>
          <w:rFonts w:hint="default"/>
          <w:lang w:val="en-US"/>
        </w:rPr>
        <w:t xml:space="preserve">Mention location and date of research </w:t>
      </w:r>
    </w:p>
  </w:comment>
  <w:comment w:id="1" w:author="Aman Tutlani" w:date="2025-08-02T07:16:53Z" w:initials="">
    <w:p w14:paraId="762CCB6F">
      <w:pPr>
        <w:pStyle w:val="6"/>
        <w:rPr>
          <w:rFonts w:hint="default"/>
          <w:lang w:val="en-US"/>
        </w:rPr>
      </w:pPr>
      <w:r>
        <w:rPr>
          <w:rFonts w:hint="default"/>
          <w:lang w:val="en-US"/>
        </w:rPr>
        <w:t>Add Somemore interesting keyword</w:t>
      </w:r>
    </w:p>
  </w:comment>
  <w:comment w:id="2" w:author="Aman Tutlani" w:date="2025-08-02T07:17:37Z" w:initials="">
    <w:p w14:paraId="020CD5D9">
      <w:pPr>
        <w:pStyle w:val="6"/>
        <w:rPr>
          <w:rFonts w:hint="default"/>
          <w:lang w:val="en-US"/>
        </w:rPr>
      </w:pPr>
      <w:r>
        <w:rPr>
          <w:rFonts w:hint="default"/>
          <w:lang w:val="en-US"/>
        </w:rPr>
        <w:t xml:space="preserve">Add 7-8 latest reference in introduction add some more latest information regarding Your title </w:t>
      </w:r>
    </w:p>
  </w:comment>
  <w:comment w:id="3" w:author="Aman Tutlani" w:date="2025-08-02T07:22:08Z" w:initials="">
    <w:p w14:paraId="342C9F0A">
      <w:pPr>
        <w:pStyle w:val="6"/>
        <w:rPr>
          <w:rFonts w:hint="default" w:ascii="Times New Roman" w:hAnsi="Times New Roman" w:cs="Times New Roman"/>
          <w:sz w:val="20"/>
          <w:szCs w:val="20"/>
        </w:rPr>
      </w:pPr>
      <w:r>
        <w:rPr>
          <w:rFonts w:hint="default" w:ascii="Times New Roman" w:hAnsi="Times New Roman" w:eastAsia="SimSun" w:cs="Times New Roman"/>
          <w:sz w:val="20"/>
          <w:szCs w:val="20"/>
        </w:rPr>
        <w:t xml:space="preserve">The conclusion could be more impactful if it included </w:t>
      </w:r>
      <w:r>
        <w:rPr>
          <w:rStyle w:val="12"/>
          <w:rFonts w:hint="default" w:ascii="Times New Roman" w:hAnsi="Times New Roman" w:eastAsia="SimSun" w:cs="Times New Roman"/>
          <w:sz w:val="20"/>
          <w:szCs w:val="20"/>
        </w:rPr>
        <w:t>quantitative data</w:t>
      </w:r>
      <w:r>
        <w:rPr>
          <w:rFonts w:hint="default" w:ascii="Times New Roman" w:hAnsi="Times New Roman" w:eastAsia="SimSun" w:cs="Times New Roman"/>
          <w:sz w:val="20"/>
          <w:szCs w:val="20"/>
        </w:rPr>
        <w:t xml:space="preserve"> or the </w:t>
      </w:r>
      <w:r>
        <w:rPr>
          <w:rStyle w:val="12"/>
          <w:rFonts w:hint="default" w:ascii="Times New Roman" w:hAnsi="Times New Roman" w:eastAsia="SimSun" w:cs="Times New Roman"/>
          <w:sz w:val="20"/>
          <w:szCs w:val="20"/>
        </w:rPr>
        <w:t>extent</w:t>
      </w:r>
      <w:r>
        <w:rPr>
          <w:rFonts w:hint="default" w:ascii="Times New Roman" w:hAnsi="Times New Roman" w:eastAsia="SimSun" w:cs="Times New Roman"/>
          <w:sz w:val="20"/>
          <w:szCs w:val="20"/>
        </w:rPr>
        <w:t xml:space="preserve"> of detrimental effects.</w:t>
      </w:r>
    </w:p>
  </w:comment>
  <w:comment w:id="4" w:author="Aman Tutlani" w:date="2025-08-02T07:22:43Z" w:initials="">
    <w:p w14:paraId="2FC33220">
      <w:pPr>
        <w:pStyle w:val="6"/>
        <w:rPr>
          <w:rFonts w:hint="default"/>
          <w:lang w:val="en-US"/>
        </w:rPr>
      </w:pPr>
      <w:r>
        <w:rPr>
          <w:rFonts w:hint="default"/>
          <w:lang w:val="en-US"/>
        </w:rPr>
        <w:t xml:space="preserve">If Possible than add some good pictures in it </w:t>
      </w:r>
      <w:bookmarkStart w:id="0" w:name="_GoBack"/>
      <w:bookmarkEnd w:id="0"/>
      <w:r>
        <w:rPr>
          <w:rFonts w:hint="default"/>
          <w:lang w:val="en-US"/>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AAC9875" w15:done="0"/>
  <w15:commentEx w15:paraId="762CCB6F" w15:done="0"/>
  <w15:commentEx w15:paraId="020CD5D9" w15:done="0"/>
  <w15:commentEx w15:paraId="342C9F0A" w15:done="0"/>
  <w15:commentEx w15:paraId="2FC332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BEC3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F3E48">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3516">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02824">
    <w:pPr>
      <w:pStyle w:val="9"/>
    </w:pPr>
    <w:r>
      <w:pict>
        <v:shape id="PowerPlusWaterMarkObject1723541283" o:spid="_x0000_s2051" o:spt="136" type="#_x0000_t136" style="position:absolute;left:0pt;height:100.95pt;width:538.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FB8A">
    <w:pPr>
      <w:pStyle w:val="9"/>
    </w:pPr>
    <w:r>
      <w:pict>
        <v:shape id="PowerPlusWaterMarkObject1723541282" o:spid="_x0000_s2050" o:spt="136" type="#_x0000_t136" style="position:absolute;left:0pt;height:100.95pt;width:538.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5EDF2">
    <w:pPr>
      <w:pStyle w:val="9"/>
    </w:pPr>
    <w:r>
      <w:pict>
        <v:shape id="PowerPlusWaterMarkObject1723541281" o:spid="_x0000_s2049" o:spt="136" type="#_x0000_t136" style="position:absolute;left:0pt;height:100.95pt;width:538.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n Tutlani">
    <w15:presenceInfo w15:providerId="WPS Office" w15:userId="2419237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716"/>
    <w:rsid w:val="0001314E"/>
    <w:rsid w:val="000609CE"/>
    <w:rsid w:val="000C3C5D"/>
    <w:rsid w:val="001C22CF"/>
    <w:rsid w:val="001F1FF5"/>
    <w:rsid w:val="001F7E5D"/>
    <w:rsid w:val="00237A5A"/>
    <w:rsid w:val="00277C5C"/>
    <w:rsid w:val="0029276E"/>
    <w:rsid w:val="002E39BC"/>
    <w:rsid w:val="00364BBB"/>
    <w:rsid w:val="003B52BB"/>
    <w:rsid w:val="003D6F24"/>
    <w:rsid w:val="00454FF2"/>
    <w:rsid w:val="004C7DD8"/>
    <w:rsid w:val="00504482"/>
    <w:rsid w:val="005659E6"/>
    <w:rsid w:val="005C37D3"/>
    <w:rsid w:val="005D7F1A"/>
    <w:rsid w:val="006453FC"/>
    <w:rsid w:val="00665669"/>
    <w:rsid w:val="00675ABA"/>
    <w:rsid w:val="006D4200"/>
    <w:rsid w:val="006E79AF"/>
    <w:rsid w:val="00717356"/>
    <w:rsid w:val="00792F2B"/>
    <w:rsid w:val="008073F0"/>
    <w:rsid w:val="00814E12"/>
    <w:rsid w:val="00837869"/>
    <w:rsid w:val="00850759"/>
    <w:rsid w:val="00870AC3"/>
    <w:rsid w:val="00892235"/>
    <w:rsid w:val="008E2D27"/>
    <w:rsid w:val="009E106F"/>
    <w:rsid w:val="00A1755D"/>
    <w:rsid w:val="00A44218"/>
    <w:rsid w:val="00A62A66"/>
    <w:rsid w:val="00A76657"/>
    <w:rsid w:val="00AA1815"/>
    <w:rsid w:val="00AF4F85"/>
    <w:rsid w:val="00B3611B"/>
    <w:rsid w:val="00B72D68"/>
    <w:rsid w:val="00B85C81"/>
    <w:rsid w:val="00B95662"/>
    <w:rsid w:val="00BF773F"/>
    <w:rsid w:val="00C07F25"/>
    <w:rsid w:val="00C9541C"/>
    <w:rsid w:val="00DC3BEC"/>
    <w:rsid w:val="00DD31AE"/>
    <w:rsid w:val="00DD5534"/>
    <w:rsid w:val="00E129DE"/>
    <w:rsid w:val="00E34E7B"/>
    <w:rsid w:val="00EE0716"/>
    <w:rsid w:val="00F91240"/>
    <w:rsid w:val="437555A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IN" w:eastAsia="en-US" w:bidi="ar-SA"/>
    </w:rPr>
  </w:style>
  <w:style w:type="paragraph" w:styleId="2">
    <w:name w:val="heading 1"/>
    <w:basedOn w:val="1"/>
    <w:link w:val="14"/>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IN"/>
    </w:rPr>
  </w:style>
  <w:style w:type="paragraph" w:styleId="3">
    <w:name w:val="heading 2"/>
    <w:basedOn w:val="1"/>
    <w:link w:val="15"/>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n-IN"/>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annotation text"/>
    <w:basedOn w:val="1"/>
    <w:semiHidden/>
    <w:unhideWhenUsed/>
    <w:uiPriority w:val="99"/>
    <w:pPr>
      <w:jc w:val="left"/>
    </w:pPr>
  </w:style>
  <w:style w:type="character" w:styleId="7">
    <w:name w:val="Emphasis"/>
    <w:basedOn w:val="4"/>
    <w:qFormat/>
    <w:uiPriority w:val="20"/>
    <w:rPr>
      <w:i/>
      <w:iCs/>
    </w:rPr>
  </w:style>
  <w:style w:type="paragraph" w:styleId="8">
    <w:name w:val="footer"/>
    <w:basedOn w:val="1"/>
    <w:link w:val="27"/>
    <w:unhideWhenUsed/>
    <w:uiPriority w:val="99"/>
    <w:pPr>
      <w:tabs>
        <w:tab w:val="center" w:pos="4680"/>
        <w:tab w:val="right" w:pos="9360"/>
      </w:tabs>
      <w:spacing w:after="0" w:line="240" w:lineRule="auto"/>
    </w:pPr>
  </w:style>
  <w:style w:type="paragraph" w:styleId="9">
    <w:name w:val="header"/>
    <w:basedOn w:val="1"/>
    <w:link w:val="26"/>
    <w:unhideWhenUsed/>
    <w:uiPriority w:val="99"/>
    <w:pPr>
      <w:tabs>
        <w:tab w:val="center" w:pos="4680"/>
        <w:tab w:val="right" w:pos="9360"/>
      </w:tabs>
      <w:spacing w:after="0" w:line="240" w:lineRule="auto"/>
    </w:pPr>
  </w:style>
  <w:style w:type="character" w:styleId="10">
    <w:name w:val="Hyperlink"/>
    <w:basedOn w:val="4"/>
    <w:unhideWhenUsed/>
    <w:uiPriority w:val="99"/>
    <w:rPr>
      <w:color w:val="0000FF"/>
      <w:u w:val="single"/>
    </w:rPr>
  </w:style>
  <w:style w:type="paragraph" w:styleId="11">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en-IN"/>
    </w:rPr>
  </w:style>
  <w:style w:type="character" w:styleId="12">
    <w:name w:val="Strong"/>
    <w:basedOn w:val="4"/>
    <w:qFormat/>
    <w:uiPriority w:val="22"/>
    <w:rPr>
      <w:b/>
      <w:bCs/>
    </w:rPr>
  </w:style>
  <w:style w:type="paragraph" w:styleId="13">
    <w:name w:val="No Spacing"/>
    <w:qFormat/>
    <w:uiPriority w:val="1"/>
    <w:pPr>
      <w:spacing w:after="0" w:line="240" w:lineRule="auto"/>
    </w:pPr>
    <w:rPr>
      <w:rFonts w:asciiTheme="minorHAnsi" w:hAnsiTheme="minorHAnsi" w:eastAsiaTheme="minorHAnsi" w:cstheme="minorBidi"/>
      <w:sz w:val="22"/>
      <w:szCs w:val="22"/>
      <w:lang w:val="en-IN" w:eastAsia="en-US" w:bidi="ar-SA"/>
    </w:rPr>
  </w:style>
  <w:style w:type="character" w:customStyle="1" w:styleId="14">
    <w:name w:val="Heading 1 Char"/>
    <w:basedOn w:val="4"/>
    <w:link w:val="2"/>
    <w:uiPriority w:val="9"/>
    <w:rPr>
      <w:rFonts w:ascii="Times New Roman" w:hAnsi="Times New Roman" w:eastAsia="Times New Roman" w:cs="Times New Roman"/>
      <w:b/>
      <w:bCs/>
      <w:kern w:val="36"/>
      <w:sz w:val="48"/>
      <w:szCs w:val="48"/>
      <w:lang w:eastAsia="en-IN"/>
    </w:rPr>
  </w:style>
  <w:style w:type="character" w:customStyle="1" w:styleId="15">
    <w:name w:val="Heading 2 Char"/>
    <w:basedOn w:val="4"/>
    <w:link w:val="3"/>
    <w:qFormat/>
    <w:uiPriority w:val="9"/>
    <w:rPr>
      <w:rFonts w:ascii="Times New Roman" w:hAnsi="Times New Roman" w:eastAsia="Times New Roman" w:cs="Times New Roman"/>
      <w:b/>
      <w:bCs/>
      <w:sz w:val="36"/>
      <w:szCs w:val="36"/>
      <w:lang w:eastAsia="en-IN"/>
    </w:rPr>
  </w:style>
  <w:style w:type="character" w:customStyle="1" w:styleId="16">
    <w:name w:val="period"/>
    <w:basedOn w:val="4"/>
    <w:qFormat/>
    <w:uiPriority w:val="0"/>
  </w:style>
  <w:style w:type="character" w:customStyle="1" w:styleId="17">
    <w:name w:val="cit"/>
    <w:basedOn w:val="4"/>
    <w:qFormat/>
    <w:uiPriority w:val="0"/>
  </w:style>
  <w:style w:type="character" w:customStyle="1" w:styleId="18">
    <w:name w:val="citation-doi"/>
    <w:basedOn w:val="4"/>
    <w:uiPriority w:val="0"/>
  </w:style>
  <w:style w:type="character" w:customStyle="1" w:styleId="19">
    <w:name w:val="secondary-date"/>
    <w:basedOn w:val="4"/>
    <w:uiPriority w:val="0"/>
  </w:style>
  <w:style w:type="character" w:customStyle="1" w:styleId="20">
    <w:name w:val="authors-list-item"/>
    <w:basedOn w:val="4"/>
    <w:uiPriority w:val="0"/>
  </w:style>
  <w:style w:type="character" w:customStyle="1" w:styleId="21">
    <w:name w:val="author-sup-separator"/>
    <w:basedOn w:val="4"/>
    <w:qFormat/>
    <w:uiPriority w:val="0"/>
  </w:style>
  <w:style w:type="character" w:customStyle="1" w:styleId="22">
    <w:name w:val="comma"/>
    <w:basedOn w:val="4"/>
    <w:qFormat/>
    <w:uiPriority w:val="0"/>
  </w:style>
  <w:style w:type="character" w:customStyle="1" w:styleId="23">
    <w:name w:val="Title1"/>
    <w:basedOn w:val="4"/>
    <w:qFormat/>
    <w:uiPriority w:val="0"/>
  </w:style>
  <w:style w:type="character" w:customStyle="1" w:styleId="24">
    <w:name w:val="identifier"/>
    <w:basedOn w:val="4"/>
    <w:qFormat/>
    <w:uiPriority w:val="0"/>
  </w:style>
  <w:style w:type="character" w:customStyle="1" w:styleId="25">
    <w:name w:val="id-label"/>
    <w:basedOn w:val="4"/>
    <w:uiPriority w:val="0"/>
  </w:style>
  <w:style w:type="character" w:customStyle="1" w:styleId="26">
    <w:name w:val="Header Char"/>
    <w:basedOn w:val="4"/>
    <w:link w:val="9"/>
    <w:qFormat/>
    <w:uiPriority w:val="99"/>
  </w:style>
  <w:style w:type="character" w:customStyle="1" w:styleId="27">
    <w:name w:val="Footer Char"/>
    <w:basedOn w:val="4"/>
    <w:link w:val="8"/>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49E5B5-06B5-46F8-9407-27CDA9D7B0CA}">
  <ds:schemaRefs/>
</ds:datastoreItem>
</file>

<file path=docProps/app.xml><?xml version="1.0" encoding="utf-8"?>
<Properties xmlns="http://schemas.openxmlformats.org/officeDocument/2006/extended-properties" xmlns:vt="http://schemas.openxmlformats.org/officeDocument/2006/docPropsVTypes">
  <Template>Normal</Template>
  <Pages>8</Pages>
  <Words>2497</Words>
  <Characters>14236</Characters>
  <Lines>118</Lines>
  <Paragraphs>33</Paragraphs>
  <TotalTime>6</TotalTime>
  <ScaleCrop>false</ScaleCrop>
  <LinksUpToDate>false</LinksUpToDate>
  <CharactersWithSpaces>16700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2025-07-31T15:00:00Z</dcterms:created>
  <dc:creator>admin</dc:creator>
  <cp:lastModifiedBy>Aman Tutlani</cp:lastModifiedBy>
  <dcterms:modified xsi:type="dcterms:W3CDTF">2025-08-02T01:55:19Z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F1D5D250C05247E2BE0392C24B02FB6B_12</vt:lpwstr>
  </property>
</Properties>
</file>