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F175" w14:textId="17699F2A" w:rsidR="003D5189" w:rsidRDefault="000E2567" w:rsidP="00B01605">
      <w:pPr>
        <w:spacing w:after="0" w:line="240" w:lineRule="auto"/>
        <w:jc w:val="center"/>
        <w:rPr>
          <w:rFonts w:ascii="Times New Roman" w:hAnsi="Times New Roman" w:cs="Times New Roman"/>
          <w:b/>
          <w:bCs/>
          <w:szCs w:val="24"/>
        </w:rPr>
      </w:pPr>
      <w:r w:rsidRPr="00B01605">
        <w:rPr>
          <w:rFonts w:ascii="Times New Roman" w:hAnsi="Times New Roman" w:cs="Times New Roman"/>
          <w:b/>
          <w:bCs/>
          <w:szCs w:val="24"/>
        </w:rPr>
        <w:t>Efficacy of Various Control Measures Against Downy Mildew (</w:t>
      </w:r>
      <w:proofErr w:type="spellStart"/>
      <w:r w:rsidR="00B47022" w:rsidRPr="00B01605">
        <w:rPr>
          <w:rStyle w:val="Emphasis"/>
          <w:rFonts w:ascii="Times New Roman" w:hAnsi="Times New Roman" w:cs="Times New Roman"/>
          <w:b/>
          <w:bCs/>
          <w:szCs w:val="24"/>
        </w:rPr>
        <w:t>Sclerospora</w:t>
      </w:r>
      <w:proofErr w:type="spellEnd"/>
      <w:r w:rsidR="00B47022" w:rsidRPr="00B01605">
        <w:rPr>
          <w:rStyle w:val="Emphasis"/>
          <w:rFonts w:ascii="Times New Roman" w:hAnsi="Times New Roman" w:cs="Times New Roman"/>
          <w:b/>
          <w:bCs/>
          <w:szCs w:val="24"/>
        </w:rPr>
        <w:t xml:space="preserve"> </w:t>
      </w:r>
      <w:proofErr w:type="spellStart"/>
      <w:r w:rsidR="00B47022" w:rsidRPr="00B01605">
        <w:rPr>
          <w:rStyle w:val="Emphasis"/>
          <w:rFonts w:ascii="Times New Roman" w:hAnsi="Times New Roman" w:cs="Times New Roman"/>
          <w:b/>
          <w:bCs/>
          <w:szCs w:val="24"/>
        </w:rPr>
        <w:t>graminicola</w:t>
      </w:r>
      <w:proofErr w:type="spellEnd"/>
      <w:r w:rsidRPr="00B01605">
        <w:rPr>
          <w:rFonts w:ascii="Times New Roman" w:hAnsi="Times New Roman" w:cs="Times New Roman"/>
          <w:b/>
          <w:bCs/>
          <w:szCs w:val="24"/>
        </w:rPr>
        <w:t>) in Pearl Millet: A Comparative Analysis</w:t>
      </w:r>
    </w:p>
    <w:p w14:paraId="15C6EC46" w14:textId="77777777" w:rsidR="00B01605" w:rsidRPr="00B01605" w:rsidRDefault="00B01605" w:rsidP="00B01605">
      <w:pPr>
        <w:spacing w:after="0" w:line="240" w:lineRule="auto"/>
        <w:jc w:val="center"/>
        <w:rPr>
          <w:rFonts w:ascii="Times New Roman" w:hAnsi="Times New Roman" w:cs="Times New Roman"/>
          <w:b/>
          <w:bCs/>
          <w:szCs w:val="24"/>
        </w:rPr>
      </w:pPr>
    </w:p>
    <w:p w14:paraId="04186E1D" w14:textId="77777777" w:rsidR="00816151" w:rsidRDefault="00816151" w:rsidP="00B01605">
      <w:pPr>
        <w:tabs>
          <w:tab w:val="left" w:pos="1812"/>
          <w:tab w:val="center" w:pos="4680"/>
        </w:tabs>
        <w:spacing w:after="0" w:line="240" w:lineRule="auto"/>
        <w:jc w:val="both"/>
        <w:rPr>
          <w:rFonts w:ascii="Times New Roman" w:eastAsia="Times New Roman" w:hAnsi="Times New Roman" w:cs="Times New Roman"/>
          <w:szCs w:val="24"/>
        </w:rPr>
      </w:pPr>
    </w:p>
    <w:p w14:paraId="492ECCFD" w14:textId="77777777" w:rsidR="00816151" w:rsidRPr="005B0FA6" w:rsidRDefault="00816151" w:rsidP="00B01605">
      <w:pPr>
        <w:tabs>
          <w:tab w:val="left" w:pos="1812"/>
          <w:tab w:val="center" w:pos="4680"/>
        </w:tabs>
        <w:spacing w:after="0" w:line="240" w:lineRule="auto"/>
        <w:jc w:val="both"/>
        <w:rPr>
          <w:rFonts w:ascii="Times New Roman" w:eastAsia="Times New Roman" w:hAnsi="Times New Roman" w:cs="Times New Roman"/>
          <w:szCs w:val="24"/>
        </w:rPr>
      </w:pPr>
    </w:p>
    <w:p w14:paraId="4C4E6201" w14:textId="56D223D7" w:rsidR="007C295D" w:rsidRPr="00B01605" w:rsidRDefault="00C00AE7" w:rsidP="00B01605">
      <w:pPr>
        <w:tabs>
          <w:tab w:val="left" w:pos="1812"/>
          <w:tab w:val="center" w:pos="4680"/>
        </w:tabs>
        <w:spacing w:after="0" w:line="240" w:lineRule="auto"/>
        <w:jc w:val="both"/>
        <w:rPr>
          <w:rFonts w:ascii="Times New Roman" w:hAnsi="Times New Roman" w:cs="Times New Roman"/>
          <w:b/>
          <w:bCs/>
          <w:szCs w:val="24"/>
        </w:rPr>
      </w:pPr>
      <w:r w:rsidRPr="00B01605">
        <w:rPr>
          <w:rFonts w:ascii="Times New Roman" w:hAnsi="Times New Roman" w:cs="Times New Roman"/>
          <w:b/>
          <w:bCs/>
          <w:szCs w:val="24"/>
        </w:rPr>
        <w:t>ABSTRACT</w:t>
      </w:r>
      <w:r w:rsidR="00B01605">
        <w:rPr>
          <w:rFonts w:ascii="Times New Roman" w:hAnsi="Times New Roman" w:cs="Times New Roman"/>
          <w:b/>
          <w:bCs/>
          <w:szCs w:val="24"/>
        </w:rPr>
        <w:t xml:space="preserve">- </w:t>
      </w:r>
      <w:commentRangeStart w:id="0"/>
      <w:r w:rsidR="007C295D" w:rsidRPr="00B01605">
        <w:rPr>
          <w:rFonts w:ascii="Times New Roman" w:hAnsi="Times New Roman" w:cs="Times New Roman"/>
          <w:szCs w:val="24"/>
        </w:rPr>
        <w:t xml:space="preserve">The present study was undertaken during the </w:t>
      </w:r>
      <w:r w:rsidR="007C295D" w:rsidRPr="00B01605">
        <w:rPr>
          <w:rFonts w:ascii="Times New Roman" w:hAnsi="Times New Roman" w:cs="Times New Roman"/>
          <w:i/>
          <w:iCs/>
          <w:szCs w:val="24"/>
        </w:rPr>
        <w:t>Kharif</w:t>
      </w:r>
      <w:r w:rsidR="007C295D" w:rsidRPr="00B01605">
        <w:rPr>
          <w:rFonts w:ascii="Times New Roman" w:hAnsi="Times New Roman" w:cs="Times New Roman"/>
          <w:szCs w:val="24"/>
        </w:rPr>
        <w:t xml:space="preserve"> season of 2024 at the Rainfed Organic Agriculture Research Farm, Narayan Bagh, Institute of Agricultural Sciences, Department of Plant Pathology, Bundelkhand University, Jhansi Uttar Pradesh</w:t>
      </w:r>
      <w:r w:rsidR="00B01605">
        <w:rPr>
          <w:rFonts w:ascii="Times New Roman" w:hAnsi="Times New Roman" w:cs="Times New Roman"/>
          <w:szCs w:val="24"/>
        </w:rPr>
        <w:t>.</w:t>
      </w:r>
      <w:r w:rsidR="007C295D" w:rsidRPr="00B01605">
        <w:rPr>
          <w:rFonts w:ascii="Times New Roman" w:hAnsi="Times New Roman" w:cs="Times New Roman"/>
          <w:szCs w:val="24"/>
        </w:rPr>
        <w:t xml:space="preserve"> </w:t>
      </w:r>
      <w:commentRangeEnd w:id="0"/>
      <w:r w:rsidR="00285980">
        <w:rPr>
          <w:rStyle w:val="CommentReference"/>
        </w:rPr>
        <w:commentReference w:id="0"/>
      </w:r>
      <w:r w:rsidR="00B01605">
        <w:rPr>
          <w:rFonts w:ascii="Times New Roman" w:hAnsi="Times New Roman" w:cs="Times New Roman"/>
          <w:szCs w:val="24"/>
        </w:rPr>
        <w:t>T</w:t>
      </w:r>
      <w:commentRangeStart w:id="1"/>
      <w:r w:rsidR="007C295D" w:rsidRPr="00B01605">
        <w:rPr>
          <w:rFonts w:ascii="Times New Roman" w:hAnsi="Times New Roman" w:cs="Times New Roman"/>
          <w:szCs w:val="24"/>
        </w:rPr>
        <w:t>o evaluate the progression of</w:t>
      </w:r>
      <w:commentRangeEnd w:id="1"/>
      <w:r w:rsidR="00A33F14">
        <w:rPr>
          <w:rStyle w:val="CommentReference"/>
        </w:rPr>
        <w:commentReference w:id="1"/>
      </w:r>
      <w:r w:rsidR="007C295D" w:rsidRPr="00B01605">
        <w:rPr>
          <w:rFonts w:ascii="Times New Roman" w:hAnsi="Times New Roman" w:cs="Times New Roman"/>
          <w:szCs w:val="24"/>
        </w:rPr>
        <w:t xml:space="preserve"> downy mildew disease of pearl millet under natural epiphytotic conditions and to assess the efficacy of selected seed treatments and foliar applications. Significant differences were observed among treatments in terms of plant population, seedling emergence, and disease incidence. The highest number of plants per plot (47.67) and seedling emergence percentage (95.33%) were recorded in the treatment comprising seed treatment with </w:t>
      </w:r>
      <w:proofErr w:type="spellStart"/>
      <w:r w:rsidR="007C295D" w:rsidRPr="00B01605">
        <w:rPr>
          <w:rFonts w:ascii="Times New Roman" w:hAnsi="Times New Roman" w:cs="Times New Roman"/>
          <w:szCs w:val="24"/>
        </w:rPr>
        <w:t>Metalaxyl</w:t>
      </w:r>
      <w:proofErr w:type="spellEnd"/>
      <w:r w:rsidR="007C295D" w:rsidRPr="00B01605">
        <w:rPr>
          <w:rFonts w:ascii="Times New Roman" w:hAnsi="Times New Roman" w:cs="Times New Roman"/>
          <w:szCs w:val="24"/>
        </w:rPr>
        <w:t xml:space="preserve"> @ 6 g/kg seed combined with foliar spray of Propiconazole 25% EC @ 0.25%. This treatment also exhibited the lowest downy mildew incidence at both 30 DAS (2.00%) and 60 DAS (3.28%). Biocontrol agents such as </w:t>
      </w:r>
      <w:r w:rsidR="007C295D" w:rsidRPr="00B01605">
        <w:rPr>
          <w:rStyle w:val="Emphasis"/>
          <w:rFonts w:ascii="Times New Roman" w:eastAsiaTheme="majorEastAsia" w:hAnsi="Times New Roman" w:cs="Times New Roman"/>
          <w:szCs w:val="24"/>
        </w:rPr>
        <w:t xml:space="preserve">Trichoderma </w:t>
      </w:r>
      <w:proofErr w:type="spellStart"/>
      <w:r w:rsidR="007C295D" w:rsidRPr="00B01605">
        <w:rPr>
          <w:rStyle w:val="Emphasis"/>
          <w:rFonts w:ascii="Times New Roman" w:eastAsiaTheme="majorEastAsia" w:hAnsi="Times New Roman" w:cs="Times New Roman"/>
          <w:szCs w:val="24"/>
        </w:rPr>
        <w:t>harzianum</w:t>
      </w:r>
      <w:proofErr w:type="spellEnd"/>
      <w:r w:rsidR="007C295D" w:rsidRPr="00B01605">
        <w:rPr>
          <w:rFonts w:ascii="Times New Roman" w:hAnsi="Times New Roman" w:cs="Times New Roman"/>
          <w:szCs w:val="24"/>
        </w:rPr>
        <w:t xml:space="preserve"> @ 6 g/kg seed and </w:t>
      </w:r>
      <w:r w:rsidR="007C295D" w:rsidRPr="00B01605">
        <w:rPr>
          <w:rStyle w:val="Emphasis"/>
          <w:rFonts w:ascii="Times New Roman" w:eastAsiaTheme="majorEastAsia" w:hAnsi="Times New Roman" w:cs="Times New Roman"/>
          <w:szCs w:val="24"/>
        </w:rPr>
        <w:t>Pseudomonas fluorescens</w:t>
      </w:r>
      <w:r w:rsidR="007C295D" w:rsidRPr="00B01605">
        <w:rPr>
          <w:rFonts w:ascii="Times New Roman" w:hAnsi="Times New Roman" w:cs="Times New Roman"/>
          <w:szCs w:val="24"/>
        </w:rPr>
        <w:t xml:space="preserve"> @ 8 g/kg seed showed moderate efficacy, recording lower disease incidence than the untreated control. The control plots, which received no seed treatment or spray, showed the poorest performance with the lowest plant count (27.50), lowest seedling emergence (55.00%), and the highest disease incidence at both 30 DAS (33.97%) and 60 DAS (35.12%). These findings clearly demonstrate the superior performance of integrated chemical seed treatment and foliar application in enhancing seedling establishment and reducing downy mildew disease in pearl millet.</w:t>
      </w:r>
    </w:p>
    <w:p w14:paraId="0ADE1685" w14:textId="0DBDFAE2" w:rsidR="00C00AE7" w:rsidRPr="00B01605" w:rsidRDefault="00C00AE7" w:rsidP="000779F7">
      <w:pPr>
        <w:pStyle w:val="NormalWeb"/>
        <w:jc w:val="both"/>
      </w:pPr>
      <w:r w:rsidRPr="00B01605">
        <w:rPr>
          <w:rStyle w:val="Strong"/>
          <w:rFonts w:eastAsiaTheme="majorEastAsia"/>
        </w:rPr>
        <w:t>Keywords</w:t>
      </w:r>
      <w:r w:rsidRPr="00B01605">
        <w:t xml:space="preserve">: Downy mildew, </w:t>
      </w:r>
      <w:proofErr w:type="spellStart"/>
      <w:r w:rsidR="00B47022" w:rsidRPr="00B01605">
        <w:rPr>
          <w:rStyle w:val="Emphasis"/>
          <w:rFonts w:eastAsiaTheme="majorEastAsia"/>
        </w:rPr>
        <w:t>Sclerospora</w:t>
      </w:r>
      <w:proofErr w:type="spellEnd"/>
      <w:r w:rsidR="00B47022" w:rsidRPr="00B01605">
        <w:rPr>
          <w:rStyle w:val="Emphasis"/>
          <w:rFonts w:eastAsiaTheme="majorEastAsia"/>
        </w:rPr>
        <w:t xml:space="preserve"> </w:t>
      </w:r>
      <w:proofErr w:type="spellStart"/>
      <w:r w:rsidR="00B47022" w:rsidRPr="00B01605">
        <w:rPr>
          <w:rStyle w:val="Emphasis"/>
          <w:rFonts w:eastAsiaTheme="majorEastAsia"/>
        </w:rPr>
        <w:t>graminicola</w:t>
      </w:r>
      <w:proofErr w:type="spellEnd"/>
      <w:r w:rsidRPr="00B01605">
        <w:t>, Pearl millet, Disease progression</w:t>
      </w:r>
      <w:r w:rsidR="0060119D" w:rsidRPr="00B01605">
        <w:t>.</w:t>
      </w:r>
    </w:p>
    <w:p w14:paraId="7AD0E17E" w14:textId="2290D886" w:rsidR="00E3409E" w:rsidRPr="00B01605" w:rsidRDefault="00E3409E" w:rsidP="000779F7">
      <w:pPr>
        <w:spacing w:after="0" w:line="240" w:lineRule="auto"/>
        <w:jc w:val="both"/>
        <w:rPr>
          <w:rFonts w:ascii="Times New Roman" w:hAnsi="Times New Roman" w:cs="Times New Roman"/>
          <w:b/>
          <w:bCs/>
          <w:szCs w:val="24"/>
        </w:rPr>
      </w:pPr>
      <w:r w:rsidRPr="00B01605">
        <w:rPr>
          <w:rFonts w:ascii="Times New Roman" w:hAnsi="Times New Roman" w:cs="Times New Roman"/>
          <w:b/>
          <w:bCs/>
          <w:szCs w:val="24"/>
        </w:rPr>
        <w:t>INTRODUCTION</w:t>
      </w:r>
    </w:p>
    <w:p w14:paraId="5EF05016" w14:textId="40E92A96" w:rsidR="003D5189" w:rsidRPr="00B01605" w:rsidRDefault="003D5189" w:rsidP="00B01605">
      <w:pPr>
        <w:spacing w:after="0" w:line="240" w:lineRule="auto"/>
        <w:ind w:firstLine="720"/>
        <w:jc w:val="both"/>
        <w:rPr>
          <w:rFonts w:ascii="Times New Roman" w:hAnsi="Times New Roman" w:cs="Times New Roman"/>
          <w:b/>
          <w:bCs/>
          <w:szCs w:val="24"/>
        </w:rPr>
      </w:pPr>
      <w:r w:rsidRPr="00B01605">
        <w:rPr>
          <w:rFonts w:ascii="Times New Roman" w:hAnsi="Times New Roman" w:cs="Times New Roman"/>
          <w:szCs w:val="24"/>
        </w:rPr>
        <w:t>Pearl millet (</w:t>
      </w:r>
      <w:r w:rsidRPr="00B01605">
        <w:rPr>
          <w:rStyle w:val="Emphasis"/>
          <w:rFonts w:ascii="Times New Roman" w:hAnsi="Times New Roman" w:cs="Times New Roman"/>
          <w:szCs w:val="24"/>
        </w:rPr>
        <w:t>Pennisetum glaucum</w:t>
      </w:r>
      <w:r w:rsidRPr="00B01605">
        <w:rPr>
          <w:rFonts w:ascii="Times New Roman" w:hAnsi="Times New Roman" w:cs="Times New Roman"/>
          <w:szCs w:val="24"/>
        </w:rPr>
        <w:t xml:space="preserve"> (L.) R. Br), commonly known as Bajra, is a staple cereal crop in dry and semi-arid regions of Asia and Africa, valued for its nutritional richness, drought tolerance, and adaptability to poor soils. Despite its resilience, pearl millet is highly susceptible to downy mildew, a major disease caused by the pathogen </w:t>
      </w:r>
      <w:proofErr w:type="spellStart"/>
      <w:r w:rsidR="00B47022" w:rsidRPr="00B01605">
        <w:rPr>
          <w:rStyle w:val="Emphasis"/>
          <w:rFonts w:ascii="Times New Roman" w:hAnsi="Times New Roman" w:cs="Times New Roman"/>
          <w:szCs w:val="24"/>
        </w:rPr>
        <w:t>Sclerospora</w:t>
      </w:r>
      <w:proofErr w:type="spellEnd"/>
      <w:r w:rsidR="00B47022" w:rsidRPr="00B01605">
        <w:rPr>
          <w:rStyle w:val="Emphasis"/>
          <w:rFonts w:ascii="Times New Roman" w:hAnsi="Times New Roman" w:cs="Times New Roman"/>
          <w:szCs w:val="24"/>
        </w:rPr>
        <w:t xml:space="preserve"> </w:t>
      </w:r>
      <w:proofErr w:type="spellStart"/>
      <w:r w:rsidR="00B47022" w:rsidRPr="00B01605">
        <w:rPr>
          <w:rStyle w:val="Emphasis"/>
          <w:rFonts w:ascii="Times New Roman" w:hAnsi="Times New Roman" w:cs="Times New Roman"/>
          <w:szCs w:val="24"/>
        </w:rPr>
        <w:t>graminicola</w:t>
      </w:r>
      <w:proofErr w:type="spellEnd"/>
      <w:r w:rsidRPr="00B01605">
        <w:rPr>
          <w:rFonts w:ascii="Times New Roman" w:hAnsi="Times New Roman" w:cs="Times New Roman"/>
          <w:szCs w:val="24"/>
        </w:rPr>
        <w:t xml:space="preserve">, which leads to significant yield losses by affecting plant growth and grain development. Traditional management strategies such as chemical fungicides and resistant cultivars have shown limited long-term success due to pathogen variability, environmental influences, and emerging resistance. Therefore, integrated approaches combining bio-agents like fluorescent </w:t>
      </w:r>
      <w:r w:rsidRPr="00B01605">
        <w:rPr>
          <w:rStyle w:val="Emphasis"/>
          <w:rFonts w:ascii="Times New Roman" w:hAnsi="Times New Roman" w:cs="Times New Roman"/>
          <w:szCs w:val="24"/>
        </w:rPr>
        <w:t>Pseudomonas</w:t>
      </w:r>
      <w:r w:rsidRPr="00B01605">
        <w:rPr>
          <w:rFonts w:ascii="Times New Roman" w:hAnsi="Times New Roman" w:cs="Times New Roman"/>
          <w:szCs w:val="24"/>
        </w:rPr>
        <w:t xml:space="preserve"> spp., fungicides, and resistant varieties are gaining importance for sustainable disease control. This research aims to compare the efficacy of different treatments against </w:t>
      </w:r>
      <w:proofErr w:type="spellStart"/>
      <w:r w:rsidR="00B47022" w:rsidRPr="00B01605">
        <w:rPr>
          <w:rStyle w:val="Emphasis"/>
          <w:rFonts w:ascii="Times New Roman" w:hAnsi="Times New Roman" w:cs="Times New Roman"/>
          <w:szCs w:val="24"/>
        </w:rPr>
        <w:t>Sclerospora</w:t>
      </w:r>
      <w:proofErr w:type="spellEnd"/>
      <w:r w:rsidR="00B47022" w:rsidRPr="00B01605">
        <w:rPr>
          <w:rStyle w:val="Emphasis"/>
          <w:rFonts w:ascii="Times New Roman" w:hAnsi="Times New Roman" w:cs="Times New Roman"/>
          <w:szCs w:val="24"/>
        </w:rPr>
        <w:t xml:space="preserve"> </w:t>
      </w:r>
      <w:proofErr w:type="spellStart"/>
      <w:r w:rsidR="00B47022" w:rsidRPr="00B01605">
        <w:rPr>
          <w:rStyle w:val="Emphasis"/>
          <w:rFonts w:ascii="Times New Roman" w:hAnsi="Times New Roman" w:cs="Times New Roman"/>
          <w:szCs w:val="24"/>
        </w:rPr>
        <w:t>graminicola</w:t>
      </w:r>
      <w:proofErr w:type="spellEnd"/>
      <w:r w:rsidRPr="00B01605">
        <w:rPr>
          <w:rFonts w:ascii="Times New Roman" w:hAnsi="Times New Roman" w:cs="Times New Roman"/>
          <w:szCs w:val="24"/>
        </w:rPr>
        <w:t xml:space="preserve"> to identify the most effective and environmentally sustainable strategy for managing downy mildew in pearl millet cultivation.</w:t>
      </w:r>
    </w:p>
    <w:p w14:paraId="5C065CB4" w14:textId="77777777" w:rsidR="00930B2A" w:rsidRPr="00B01605" w:rsidRDefault="00930B2A" w:rsidP="000779F7">
      <w:pPr>
        <w:spacing w:after="0" w:line="240" w:lineRule="auto"/>
        <w:jc w:val="both"/>
        <w:rPr>
          <w:rFonts w:ascii="Times New Roman" w:hAnsi="Times New Roman" w:cs="Times New Roman"/>
          <w:b/>
          <w:bCs/>
          <w:szCs w:val="24"/>
        </w:rPr>
      </w:pPr>
    </w:p>
    <w:p w14:paraId="78F78A08" w14:textId="77777777" w:rsidR="00930B2A" w:rsidRPr="00B01605" w:rsidRDefault="00930B2A" w:rsidP="000779F7">
      <w:pPr>
        <w:spacing w:after="0" w:line="240" w:lineRule="auto"/>
        <w:jc w:val="both"/>
        <w:rPr>
          <w:rFonts w:ascii="Times New Roman" w:hAnsi="Times New Roman" w:cs="Times New Roman"/>
          <w:b/>
          <w:bCs/>
          <w:szCs w:val="24"/>
        </w:rPr>
      </w:pPr>
    </w:p>
    <w:p w14:paraId="3A6792C3" w14:textId="7B1F406D" w:rsidR="00E3409E" w:rsidRPr="00B01605" w:rsidRDefault="00E3409E" w:rsidP="000779F7">
      <w:pPr>
        <w:spacing w:after="0" w:line="240" w:lineRule="auto"/>
        <w:jc w:val="both"/>
        <w:rPr>
          <w:rFonts w:ascii="Times New Roman" w:hAnsi="Times New Roman" w:cs="Times New Roman"/>
          <w:b/>
          <w:bCs/>
          <w:szCs w:val="24"/>
        </w:rPr>
      </w:pPr>
      <w:commentRangeStart w:id="2"/>
      <w:r w:rsidRPr="00B01605">
        <w:rPr>
          <w:rFonts w:ascii="Times New Roman" w:hAnsi="Times New Roman" w:cs="Times New Roman"/>
          <w:b/>
          <w:bCs/>
          <w:szCs w:val="24"/>
        </w:rPr>
        <w:t>MATERIALS AND METHODS</w:t>
      </w:r>
      <w:commentRangeEnd w:id="2"/>
      <w:r w:rsidR="00E62F61">
        <w:rPr>
          <w:rStyle w:val="CommentReference"/>
        </w:rPr>
        <w:commentReference w:id="2"/>
      </w:r>
    </w:p>
    <w:p w14:paraId="6D6128C4" w14:textId="77777777" w:rsidR="00CB7A28" w:rsidRPr="00B01605" w:rsidRDefault="00CB7A28" w:rsidP="000779F7">
      <w:pPr>
        <w:spacing w:after="0" w:line="240" w:lineRule="auto"/>
        <w:jc w:val="both"/>
        <w:rPr>
          <w:rFonts w:ascii="Times New Roman" w:hAnsi="Times New Roman" w:cs="Times New Roman"/>
          <w:szCs w:val="24"/>
        </w:rPr>
      </w:pPr>
    </w:p>
    <w:p w14:paraId="0053683E" w14:textId="4E636DF2" w:rsidR="008C548D" w:rsidRPr="00B01605" w:rsidRDefault="008C548D" w:rsidP="00B47022">
      <w:pPr>
        <w:autoSpaceDE w:val="0"/>
        <w:autoSpaceDN w:val="0"/>
        <w:adjustRightInd w:val="0"/>
        <w:spacing w:line="240" w:lineRule="auto"/>
        <w:ind w:firstLine="720"/>
        <w:jc w:val="both"/>
        <w:rPr>
          <w:rFonts w:ascii="Times New Roman" w:hAnsi="Times New Roman" w:cs="Times New Roman"/>
          <w:szCs w:val="24"/>
        </w:rPr>
      </w:pPr>
      <w:commentRangeStart w:id="3"/>
      <w:r w:rsidRPr="00B01605">
        <w:rPr>
          <w:rFonts w:ascii="Times New Roman" w:hAnsi="Times New Roman" w:cs="Times New Roman"/>
          <w:szCs w:val="24"/>
        </w:rPr>
        <w:t>A</w:t>
      </w:r>
      <w:commentRangeEnd w:id="3"/>
      <w:r w:rsidR="002C3B4E">
        <w:rPr>
          <w:rStyle w:val="CommentReference"/>
        </w:rPr>
        <w:commentReference w:id="3"/>
      </w:r>
      <w:r w:rsidRPr="00B01605">
        <w:rPr>
          <w:rFonts w:ascii="Times New Roman" w:hAnsi="Times New Roman" w:cs="Times New Roman"/>
          <w:szCs w:val="24"/>
        </w:rPr>
        <w:t xml:space="preserve"> field experiment was conducted during the </w:t>
      </w:r>
      <w:r w:rsidRPr="00B01605">
        <w:rPr>
          <w:rFonts w:ascii="Times New Roman" w:hAnsi="Times New Roman" w:cs="Times New Roman"/>
          <w:i/>
          <w:iCs/>
          <w:szCs w:val="24"/>
        </w:rPr>
        <w:t xml:space="preserve">Kharif </w:t>
      </w:r>
      <w:r w:rsidRPr="00B01605">
        <w:rPr>
          <w:rFonts w:ascii="Times New Roman" w:hAnsi="Times New Roman" w:cs="Times New Roman"/>
          <w:szCs w:val="24"/>
        </w:rPr>
        <w:t xml:space="preserve">season of 2024 to study the management of downy mildew of pearl millet caused by </w:t>
      </w:r>
      <w:proofErr w:type="spellStart"/>
      <w:r w:rsidR="00B47022" w:rsidRPr="00B01605">
        <w:rPr>
          <w:rFonts w:ascii="Times New Roman" w:hAnsi="Times New Roman" w:cs="Times New Roman"/>
          <w:i/>
          <w:iCs/>
          <w:szCs w:val="24"/>
        </w:rPr>
        <w:t>Sclerospora</w:t>
      </w:r>
      <w:proofErr w:type="spellEnd"/>
      <w:r w:rsidR="00B47022" w:rsidRPr="00B01605">
        <w:rPr>
          <w:rFonts w:ascii="Times New Roman" w:hAnsi="Times New Roman" w:cs="Times New Roman"/>
          <w:i/>
          <w:iCs/>
          <w:szCs w:val="24"/>
        </w:rPr>
        <w:t xml:space="preserve"> </w:t>
      </w:r>
      <w:proofErr w:type="spellStart"/>
      <w:r w:rsidR="00B47022" w:rsidRPr="00B01605">
        <w:rPr>
          <w:rFonts w:ascii="Times New Roman" w:hAnsi="Times New Roman" w:cs="Times New Roman"/>
          <w:i/>
          <w:iCs/>
          <w:szCs w:val="24"/>
        </w:rPr>
        <w:t>graminicola</w:t>
      </w:r>
      <w:proofErr w:type="spellEnd"/>
      <w:r w:rsidRPr="00B01605">
        <w:rPr>
          <w:rFonts w:ascii="Times New Roman" w:hAnsi="Times New Roman" w:cs="Times New Roman"/>
          <w:szCs w:val="24"/>
        </w:rPr>
        <w:t xml:space="preserve">. The test crop used was a moderately resistant cultivar, Leo-7601. The study was undertaken at the Rainfed Organic Agriculture Research Farm, Narayan Bagh, Institute of Agricultural Sciences, Department </w:t>
      </w:r>
      <w:r w:rsidRPr="00B01605">
        <w:rPr>
          <w:rFonts w:ascii="Times New Roman" w:hAnsi="Times New Roman" w:cs="Times New Roman"/>
          <w:szCs w:val="24"/>
        </w:rPr>
        <w:lastRenderedPageBreak/>
        <w:t>of Plant Pathology, Bundelkhand University, Jhansi (Uttar Pradesh). The experimental design followed a Randomized Block Design (RBD) with nine treatments, each replicated thrice.</w:t>
      </w:r>
      <w:r w:rsidR="00B47022" w:rsidRPr="00B01605">
        <w:rPr>
          <w:rFonts w:ascii="Times New Roman" w:hAnsi="Times New Roman" w:cs="Times New Roman"/>
          <w:szCs w:val="24"/>
        </w:rPr>
        <w:t xml:space="preserve"> </w:t>
      </w:r>
      <w:r w:rsidRPr="00B01605">
        <w:rPr>
          <w:rFonts w:ascii="Times New Roman" w:hAnsi="Times New Roman" w:cs="Times New Roman"/>
          <w:szCs w:val="24"/>
        </w:rPr>
        <w:t xml:space="preserve">Seeds were treated with selected fungicides and bio-agents to evaluate their effectiveness through seed treatment and foliar sprays. </w:t>
      </w:r>
      <w:proofErr w:type="spellStart"/>
      <w:r w:rsidRPr="00B01605">
        <w:rPr>
          <w:rFonts w:ascii="Times New Roman" w:hAnsi="Times New Roman" w:cs="Times New Roman"/>
          <w:szCs w:val="24"/>
        </w:rPr>
        <w:t>Metalaxyl</w:t>
      </w:r>
      <w:proofErr w:type="spellEnd"/>
      <w:r w:rsidRPr="00B01605">
        <w:rPr>
          <w:rFonts w:ascii="Times New Roman" w:hAnsi="Times New Roman" w:cs="Times New Roman"/>
          <w:szCs w:val="24"/>
        </w:rPr>
        <w:t xml:space="preserve"> was used for seed treatment in one of the effective treatments. A non-treated control (without fungicide application) was also maintained for comparison. Each plot measured 2.0 m × 1.0 m, with a plant spacing of 30 cm between rows and 10 cm between plants to ensure uniform plant population.</w:t>
      </w:r>
      <w:r w:rsidR="00B47022" w:rsidRPr="00B01605">
        <w:rPr>
          <w:rFonts w:ascii="Times New Roman" w:hAnsi="Times New Roman" w:cs="Times New Roman"/>
          <w:szCs w:val="24"/>
        </w:rPr>
        <w:t xml:space="preserve"> </w:t>
      </w:r>
      <w:r w:rsidRPr="00B01605">
        <w:rPr>
          <w:rFonts w:ascii="Times New Roman" w:hAnsi="Times New Roman" w:cs="Times New Roman"/>
          <w:szCs w:val="24"/>
        </w:rPr>
        <w:t>Farmyard manure (FYM) was incorporated at the rate of 10</w:t>
      </w:r>
      <w:r w:rsidR="009B4F1C" w:rsidRPr="00B01605">
        <w:rPr>
          <w:rFonts w:ascii="Times New Roman" w:hAnsi="Times New Roman" w:cs="Times New Roman"/>
          <w:szCs w:val="24"/>
        </w:rPr>
        <w:t>-</w:t>
      </w:r>
      <w:r w:rsidRPr="00B01605">
        <w:rPr>
          <w:rFonts w:ascii="Times New Roman" w:hAnsi="Times New Roman" w:cs="Times New Roman"/>
          <w:szCs w:val="24"/>
        </w:rPr>
        <w:t>12 tonnes/ha two to three weeks before sowing. Fertilizers were applied at a rate of 90:30 kg/ha (N:P₂O₅), with nitrogen split into two equal doses</w:t>
      </w:r>
      <w:r w:rsidR="00F632CB" w:rsidRPr="00B01605">
        <w:rPr>
          <w:rFonts w:ascii="Times New Roman" w:hAnsi="Times New Roman" w:cs="Times New Roman"/>
          <w:szCs w:val="24"/>
        </w:rPr>
        <w:t>-</w:t>
      </w:r>
      <w:r w:rsidRPr="00B01605">
        <w:rPr>
          <w:rFonts w:ascii="Times New Roman" w:hAnsi="Times New Roman" w:cs="Times New Roman"/>
          <w:szCs w:val="24"/>
        </w:rPr>
        <w:t>half as basal and half as top dressing at 30 days after sowing. All agronomic practices including irrigation, weed, and pest management were uniformly maintained throughout the experimental period. The first spray treatment was applied 21 days after sowing.</w:t>
      </w:r>
      <w:r w:rsidR="00B47022" w:rsidRPr="00B01605">
        <w:rPr>
          <w:rFonts w:ascii="Times New Roman" w:hAnsi="Times New Roman" w:cs="Times New Roman"/>
          <w:szCs w:val="24"/>
        </w:rPr>
        <w:t xml:space="preserve"> </w:t>
      </w:r>
      <w:r w:rsidRPr="00B01605">
        <w:rPr>
          <w:rFonts w:ascii="Times New Roman" w:hAnsi="Times New Roman" w:cs="Times New Roman"/>
          <w:szCs w:val="24"/>
        </w:rPr>
        <w:t xml:space="preserve">The virulent isolate of </w:t>
      </w:r>
      <w:proofErr w:type="spellStart"/>
      <w:r w:rsidR="00B47022" w:rsidRPr="00B01605">
        <w:rPr>
          <w:rFonts w:ascii="Times New Roman" w:hAnsi="Times New Roman" w:cs="Times New Roman"/>
          <w:i/>
          <w:iCs/>
          <w:szCs w:val="24"/>
        </w:rPr>
        <w:t>Sclerospora</w:t>
      </w:r>
      <w:proofErr w:type="spellEnd"/>
      <w:r w:rsidR="00B47022" w:rsidRPr="00B01605">
        <w:rPr>
          <w:rFonts w:ascii="Times New Roman" w:hAnsi="Times New Roman" w:cs="Times New Roman"/>
          <w:i/>
          <w:iCs/>
          <w:szCs w:val="24"/>
        </w:rPr>
        <w:t xml:space="preserve"> </w:t>
      </w:r>
      <w:proofErr w:type="spellStart"/>
      <w:r w:rsidR="00B47022" w:rsidRPr="00B01605">
        <w:rPr>
          <w:rFonts w:ascii="Times New Roman" w:hAnsi="Times New Roman" w:cs="Times New Roman"/>
          <w:i/>
          <w:iCs/>
          <w:szCs w:val="24"/>
        </w:rPr>
        <w:t>graminicola</w:t>
      </w:r>
      <w:proofErr w:type="spellEnd"/>
      <w:r w:rsidRPr="00B01605">
        <w:rPr>
          <w:rFonts w:ascii="Times New Roman" w:hAnsi="Times New Roman" w:cs="Times New Roman"/>
          <w:szCs w:val="24"/>
        </w:rPr>
        <w:t xml:space="preserve"> was used for disease inoculation. The objective was to evaluate the long-term efficacy of fungicides and biocontrol agents under natural epiphytotic conditions for sustainable management of pearl millet downy mildew. </w:t>
      </w:r>
      <w:commentRangeStart w:id="4"/>
      <w:r w:rsidRPr="00B01605">
        <w:rPr>
          <w:rFonts w:ascii="Times New Roman" w:hAnsi="Times New Roman" w:cs="Times New Roman"/>
          <w:szCs w:val="24"/>
        </w:rPr>
        <w:t>Treatment details of the experiment are given below.</w:t>
      </w:r>
      <w:commentRangeEnd w:id="4"/>
      <w:r w:rsidR="00E62F61">
        <w:rPr>
          <w:rStyle w:val="CommentReference"/>
        </w:rPr>
        <w:commentReference w:id="4"/>
      </w:r>
    </w:p>
    <w:p w14:paraId="415645CE" w14:textId="42E5AE10" w:rsidR="00CB7A28" w:rsidRPr="00B01605" w:rsidRDefault="00CB7A28" w:rsidP="008C548D">
      <w:pPr>
        <w:autoSpaceDE w:val="0"/>
        <w:autoSpaceDN w:val="0"/>
        <w:adjustRightInd w:val="0"/>
        <w:spacing w:line="240" w:lineRule="auto"/>
        <w:jc w:val="both"/>
        <w:rPr>
          <w:rFonts w:ascii="Times New Roman" w:hAnsi="Times New Roman" w:cs="Times New Roman"/>
          <w:b/>
          <w:bCs/>
          <w:color w:val="000000" w:themeColor="text1"/>
          <w:kern w:val="0"/>
          <w:szCs w:val="24"/>
        </w:rPr>
      </w:pPr>
      <w:r w:rsidRPr="00B01605">
        <w:rPr>
          <w:rFonts w:ascii="Times New Roman" w:hAnsi="Times New Roman" w:cs="Times New Roman"/>
          <w:b/>
          <w:bCs/>
          <w:color w:val="000000" w:themeColor="text1"/>
          <w:kern w:val="0"/>
          <w:szCs w:val="24"/>
        </w:rPr>
        <w:t>Observations recorded</w:t>
      </w:r>
    </w:p>
    <w:p w14:paraId="25C0CF85" w14:textId="77777777" w:rsidR="00CB7A28" w:rsidRPr="00B01605" w:rsidRDefault="00CB7A28" w:rsidP="000779F7">
      <w:pPr>
        <w:autoSpaceDE w:val="0"/>
        <w:autoSpaceDN w:val="0"/>
        <w:adjustRightInd w:val="0"/>
        <w:spacing w:line="240" w:lineRule="auto"/>
        <w:jc w:val="both"/>
        <w:rPr>
          <w:rFonts w:ascii="Times New Roman" w:hAnsi="Times New Roman" w:cs="Times New Roman"/>
          <w:color w:val="000000" w:themeColor="text1"/>
          <w:kern w:val="0"/>
          <w:szCs w:val="24"/>
        </w:rPr>
      </w:pPr>
      <w:r w:rsidRPr="00B01605">
        <w:rPr>
          <w:rFonts w:ascii="Times New Roman" w:hAnsi="Times New Roman" w:cs="Times New Roman"/>
          <w:b/>
          <w:bCs/>
          <w:color w:val="000000" w:themeColor="text1"/>
          <w:kern w:val="0"/>
          <w:szCs w:val="24"/>
        </w:rPr>
        <w:t xml:space="preserve">Downy mildew incidence (%): </w:t>
      </w:r>
      <w:r w:rsidRPr="00B01605">
        <w:rPr>
          <w:rFonts w:ascii="Times New Roman" w:hAnsi="Times New Roman" w:cs="Times New Roman"/>
          <w:color w:val="000000" w:themeColor="text1"/>
          <w:kern w:val="0"/>
          <w:szCs w:val="24"/>
        </w:rPr>
        <w:t xml:space="preserve">The total number of plants was recorded at the time of thinning </w:t>
      </w:r>
      <w:r w:rsidRPr="00B01605">
        <w:rPr>
          <w:rFonts w:ascii="Times New Roman" w:hAnsi="Times New Roman" w:cs="Times New Roman"/>
          <w:i/>
          <w:iCs/>
          <w:color w:val="000000" w:themeColor="text1"/>
          <w:kern w:val="0"/>
          <w:szCs w:val="24"/>
        </w:rPr>
        <w:t xml:space="preserve">i.e., </w:t>
      </w:r>
      <w:r w:rsidRPr="00B01605">
        <w:rPr>
          <w:rFonts w:ascii="Times New Roman" w:hAnsi="Times New Roman" w:cs="Times New Roman"/>
          <w:color w:val="000000" w:themeColor="text1"/>
          <w:kern w:val="0"/>
          <w:szCs w:val="24"/>
        </w:rPr>
        <w:t>fifteen days after sowing, while the number of downy mildew infected plants was recorded at 30 and 60 days after sowing then the downy mildew incidence per cent was calculated with the help of following formula:</w:t>
      </w:r>
    </w:p>
    <w:p w14:paraId="70E5F96E" w14:textId="77777777" w:rsidR="00CB7A28" w:rsidRPr="00B01605" w:rsidRDefault="00CB7A28" w:rsidP="000779F7">
      <w:pPr>
        <w:autoSpaceDE w:val="0"/>
        <w:autoSpaceDN w:val="0"/>
        <w:adjustRightInd w:val="0"/>
        <w:spacing w:line="240" w:lineRule="auto"/>
        <w:jc w:val="both"/>
        <w:rPr>
          <w:rFonts w:ascii="Times New Roman" w:hAnsi="Times New Roman" w:cs="Times New Roman"/>
          <w:color w:val="000000" w:themeColor="text1"/>
          <w:kern w:val="0"/>
          <w:szCs w:val="24"/>
        </w:rPr>
      </w:pPr>
      <m:oMathPara>
        <m:oMath>
          <m:r>
            <w:rPr>
              <w:rFonts w:ascii="Cambria Math" w:hAnsi="Cambria Math" w:cs="Times New Roman"/>
              <w:color w:val="000000" w:themeColor="text1"/>
              <w:kern w:val="0"/>
              <w:szCs w:val="24"/>
            </w:rPr>
            <m:t>Downy mildew incidence (%)=</m:t>
          </m:r>
          <m:f>
            <m:fPr>
              <m:ctrlPr>
                <w:rPr>
                  <w:rFonts w:ascii="Cambria Math" w:hAnsi="Cambria Math" w:cs="Times New Roman"/>
                  <w:color w:val="000000" w:themeColor="text1"/>
                  <w:kern w:val="0"/>
                  <w:szCs w:val="24"/>
                </w:rPr>
              </m:ctrlPr>
            </m:fPr>
            <m:num>
              <m:r>
                <w:rPr>
                  <w:rFonts w:ascii="Cambria Math" w:hAnsi="Cambria Math" w:cs="Times New Roman"/>
                  <w:color w:val="000000" w:themeColor="text1"/>
                  <w:kern w:val="0"/>
                  <w:szCs w:val="24"/>
                </w:rPr>
                <m:t xml:space="preserve">Downy mildew infected plants </m:t>
              </m:r>
            </m:num>
            <m:den>
              <m:r>
                <w:rPr>
                  <w:rFonts w:ascii="Cambria Math" w:hAnsi="Cambria Math" w:cs="Times New Roman"/>
                  <w:color w:val="000000" w:themeColor="text1"/>
                  <w:kern w:val="0"/>
                  <w:szCs w:val="24"/>
                </w:rPr>
                <m:t>Total number of plants</m:t>
              </m:r>
            </m:den>
          </m:f>
          <m:r>
            <w:rPr>
              <w:rFonts w:ascii="Cambria Math" w:hAnsi="Cambria Math" w:cs="Times New Roman"/>
              <w:color w:val="000000" w:themeColor="text1"/>
              <w:kern w:val="0"/>
              <w:szCs w:val="24"/>
            </w:rPr>
            <m:t>×100</m:t>
          </m:r>
        </m:oMath>
      </m:oMathPara>
    </w:p>
    <w:p w14:paraId="0757C3E0" w14:textId="7589905F" w:rsidR="00CB7A28" w:rsidRPr="00B01605" w:rsidRDefault="00CB7A28" w:rsidP="000779F7">
      <w:pPr>
        <w:autoSpaceDE w:val="0"/>
        <w:autoSpaceDN w:val="0"/>
        <w:adjustRightInd w:val="0"/>
        <w:spacing w:line="240" w:lineRule="auto"/>
        <w:jc w:val="both"/>
        <w:rPr>
          <w:rFonts w:ascii="Times New Roman" w:hAnsi="Times New Roman" w:cs="Times New Roman"/>
          <w:b/>
          <w:bCs/>
          <w:color w:val="000000" w:themeColor="text1"/>
          <w:kern w:val="0"/>
          <w:szCs w:val="24"/>
        </w:rPr>
      </w:pPr>
      <w:r w:rsidRPr="00B01605">
        <w:rPr>
          <w:rFonts w:ascii="Times New Roman" w:hAnsi="Times New Roman" w:cs="Times New Roman"/>
          <w:b/>
          <w:bCs/>
          <w:color w:val="000000" w:themeColor="text1"/>
          <w:kern w:val="0"/>
          <w:szCs w:val="24"/>
        </w:rPr>
        <w:t>Seedling emergence</w:t>
      </w:r>
    </w:p>
    <w:p w14:paraId="605C9530" w14:textId="26754CD0" w:rsidR="00C54E41" w:rsidRPr="00B01605" w:rsidRDefault="00CB7A28" w:rsidP="00B47022">
      <w:pPr>
        <w:autoSpaceDE w:val="0"/>
        <w:autoSpaceDN w:val="0"/>
        <w:adjustRightInd w:val="0"/>
        <w:spacing w:line="240" w:lineRule="auto"/>
        <w:jc w:val="both"/>
        <w:rPr>
          <w:rFonts w:ascii="Times New Roman" w:hAnsi="Times New Roman" w:cs="Times New Roman"/>
          <w:color w:val="000000" w:themeColor="text1"/>
          <w:kern w:val="0"/>
          <w:szCs w:val="24"/>
        </w:rPr>
      </w:pPr>
      <m:oMathPara>
        <m:oMath>
          <m:r>
            <w:rPr>
              <w:rFonts w:ascii="Cambria Math" w:hAnsi="Cambria Math" w:cs="Times New Roman"/>
              <w:color w:val="000000" w:themeColor="text1"/>
              <w:kern w:val="0"/>
              <w:szCs w:val="24"/>
            </w:rPr>
            <m:t>Percent seedling emergence=</m:t>
          </m:r>
          <m:f>
            <m:fPr>
              <m:ctrlPr>
                <w:rPr>
                  <w:rFonts w:ascii="Cambria Math" w:hAnsi="Cambria Math" w:cs="Times New Roman"/>
                  <w:color w:val="000000" w:themeColor="text1"/>
                  <w:kern w:val="0"/>
                  <w:szCs w:val="24"/>
                </w:rPr>
              </m:ctrlPr>
            </m:fPr>
            <m:num>
              <m:r>
                <w:rPr>
                  <w:rFonts w:ascii="Cambria Math" w:hAnsi="Cambria Math" w:cs="Times New Roman"/>
                  <w:color w:val="000000" w:themeColor="text1"/>
                  <w:kern w:val="0"/>
                  <w:szCs w:val="24"/>
                </w:rPr>
                <m:t xml:space="preserve">Number of seeds germinates </m:t>
              </m:r>
            </m:num>
            <m:den>
              <m:r>
                <w:rPr>
                  <w:rFonts w:ascii="Cambria Math" w:hAnsi="Cambria Math" w:cs="Times New Roman"/>
                  <w:color w:val="000000" w:themeColor="text1"/>
                  <w:kern w:val="0"/>
                  <w:szCs w:val="24"/>
                </w:rPr>
                <m:t>Total number of seeds sown</m:t>
              </m:r>
            </m:den>
          </m:f>
          <m:r>
            <w:rPr>
              <w:rFonts w:ascii="Cambria Math" w:hAnsi="Cambria Math" w:cs="Times New Roman"/>
              <w:color w:val="000000" w:themeColor="text1"/>
              <w:kern w:val="0"/>
              <w:szCs w:val="24"/>
            </w:rPr>
            <m:t>×100</m:t>
          </m:r>
        </m:oMath>
      </m:oMathPara>
    </w:p>
    <w:p w14:paraId="1086EED6" w14:textId="77777777" w:rsidR="0002188C" w:rsidRPr="00B01605" w:rsidRDefault="0002188C" w:rsidP="00A227EE">
      <w:pPr>
        <w:spacing w:after="0" w:line="240" w:lineRule="auto"/>
        <w:jc w:val="both"/>
        <w:rPr>
          <w:rFonts w:ascii="Times New Roman" w:hAnsi="Times New Roman" w:cs="Times New Roman"/>
          <w:b/>
          <w:bCs/>
          <w:szCs w:val="24"/>
        </w:rPr>
      </w:pPr>
    </w:p>
    <w:p w14:paraId="32762393" w14:textId="570FB45B" w:rsidR="00E3409E" w:rsidRPr="00B01605" w:rsidRDefault="00E3409E" w:rsidP="00A227EE">
      <w:pPr>
        <w:spacing w:after="0" w:line="240" w:lineRule="auto"/>
        <w:jc w:val="both"/>
        <w:rPr>
          <w:rFonts w:ascii="Times New Roman" w:hAnsi="Times New Roman" w:cs="Times New Roman"/>
          <w:b/>
          <w:bCs/>
          <w:szCs w:val="24"/>
        </w:rPr>
      </w:pPr>
      <w:r w:rsidRPr="00B01605">
        <w:rPr>
          <w:rFonts w:ascii="Times New Roman" w:hAnsi="Times New Roman" w:cs="Times New Roman"/>
          <w:b/>
          <w:bCs/>
          <w:szCs w:val="24"/>
        </w:rPr>
        <w:t xml:space="preserve">RESULTS </w:t>
      </w:r>
    </w:p>
    <w:p w14:paraId="7D77F2DA" w14:textId="2C5B8AF0" w:rsidR="00B47022" w:rsidRPr="00B01605" w:rsidRDefault="00F61CA0" w:rsidP="005D7AED">
      <w:pPr>
        <w:autoSpaceDE w:val="0"/>
        <w:autoSpaceDN w:val="0"/>
        <w:adjustRightInd w:val="0"/>
        <w:spacing w:after="0"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The present investigation was undertaken to evaluate the effect of various chemical, biological, and botanical seed treatments and foliar applications on the incidence of downy mildew disease in pearl millet under natural epiphytotic conditions. The results obtained on seedling emergence, average number of plants per plot, and disease incidence at 30 and 60 days after sowing (DAS) are summarized in Table 1 &amp; Fig.1</w:t>
      </w:r>
    </w:p>
    <w:p w14:paraId="6BA31DEB" w14:textId="7D1082D4" w:rsidR="00F61CA0" w:rsidRPr="00B01605" w:rsidRDefault="00F61CA0" w:rsidP="00A227EE">
      <w:pPr>
        <w:autoSpaceDE w:val="0"/>
        <w:autoSpaceDN w:val="0"/>
        <w:adjustRightInd w:val="0"/>
        <w:spacing w:after="0" w:line="240" w:lineRule="auto"/>
        <w:jc w:val="both"/>
        <w:rPr>
          <w:rStyle w:val="Strong"/>
          <w:rFonts w:ascii="Times New Roman" w:hAnsi="Times New Roman" w:cs="Times New Roman"/>
          <w:szCs w:val="24"/>
        </w:rPr>
      </w:pPr>
      <w:r w:rsidRPr="00B01605">
        <w:rPr>
          <w:rStyle w:val="Strong"/>
          <w:rFonts w:ascii="Times New Roman" w:hAnsi="Times New Roman" w:cs="Times New Roman"/>
          <w:szCs w:val="24"/>
        </w:rPr>
        <w:t>Seedling Emergence and Average Number of Plants</w:t>
      </w:r>
    </w:p>
    <w:p w14:paraId="6BBFAE5D" w14:textId="77777777" w:rsidR="00F61CA0" w:rsidRPr="00B01605" w:rsidRDefault="00F61CA0" w:rsidP="00A227EE">
      <w:pPr>
        <w:autoSpaceDE w:val="0"/>
        <w:autoSpaceDN w:val="0"/>
        <w:adjustRightInd w:val="0"/>
        <w:spacing w:after="0"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The average number of plants per plot differed significantly among treatments. The highest number of plants per plot was observed in the treatment T</w:t>
      </w:r>
      <w:r w:rsidRPr="00B01605">
        <w:rPr>
          <w:rStyle w:val="Strong"/>
          <w:rFonts w:ascii="Times New Roman" w:hAnsi="Times New Roman" w:cs="Times New Roman"/>
          <w:b w:val="0"/>
          <w:bCs w:val="0"/>
          <w:szCs w:val="24"/>
          <w:vertAlign w:val="subscript"/>
        </w:rPr>
        <w:t>4</w:t>
      </w:r>
      <w:r w:rsidRPr="00B01605">
        <w:rPr>
          <w:rStyle w:val="Strong"/>
          <w:rFonts w:ascii="Times New Roman" w:hAnsi="Times New Roman" w:cs="Times New Roman"/>
          <w:b w:val="0"/>
          <w:bCs w:val="0"/>
          <w:szCs w:val="24"/>
        </w:rPr>
        <w:t xml:space="preserve"> (Seed treatment with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 6 g/kg seed + foliar spray of Propiconazole 25% EC @ 0.25%) with 47.67 plants, followed by </w:t>
      </w:r>
      <w:r w:rsidRPr="00B01605">
        <w:rPr>
          <w:rStyle w:val="Strong"/>
          <w:rFonts w:ascii="Times New Roman" w:hAnsi="Times New Roman" w:cs="Times New Roman"/>
          <w:b w:val="0"/>
          <w:bCs w:val="0"/>
          <w:i/>
          <w:iCs/>
          <w:szCs w:val="24"/>
        </w:rPr>
        <w:t xml:space="preserve">Trichoderma </w:t>
      </w:r>
      <w:proofErr w:type="spellStart"/>
      <w:r w:rsidRPr="00B01605">
        <w:rPr>
          <w:rStyle w:val="Strong"/>
          <w:rFonts w:ascii="Times New Roman" w:hAnsi="Times New Roman" w:cs="Times New Roman"/>
          <w:b w:val="0"/>
          <w:bCs w:val="0"/>
          <w:i/>
          <w:iCs/>
          <w:szCs w:val="24"/>
        </w:rPr>
        <w:t>harzianum</w:t>
      </w:r>
      <w:proofErr w:type="spellEnd"/>
      <w:r w:rsidRPr="00B01605">
        <w:rPr>
          <w:rStyle w:val="Strong"/>
          <w:rFonts w:ascii="Times New Roman" w:hAnsi="Times New Roman" w:cs="Times New Roman"/>
          <w:b w:val="0"/>
          <w:bCs w:val="0"/>
          <w:i/>
          <w:iCs/>
          <w:szCs w:val="24"/>
        </w:rPr>
        <w:t xml:space="preserve"> </w:t>
      </w:r>
      <w:r w:rsidRPr="00B01605">
        <w:rPr>
          <w:rStyle w:val="Strong"/>
          <w:rFonts w:ascii="Times New Roman" w:hAnsi="Times New Roman" w:cs="Times New Roman"/>
          <w:b w:val="0"/>
          <w:bCs w:val="0"/>
          <w:szCs w:val="24"/>
        </w:rPr>
        <w:t xml:space="preserve">@ 6 g/kg seed (44.73 plants) and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 0.25% (44.22 plants). The lowest plant count (27.50) was recorded in the control treatment, indicating a poor establishment due to disease pressure and absence of seed protection. The differences among treatments were statistically significant. Seedling emergence percentage was highest in the combined Seed treatment with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 6g/kg seed + Spray of Propiconazole 25% EC @ 0.25% treatment (95.33%), followed by </w:t>
      </w:r>
      <w:r w:rsidRPr="00B01605">
        <w:rPr>
          <w:rStyle w:val="Strong"/>
          <w:rFonts w:ascii="Times New Roman" w:hAnsi="Times New Roman" w:cs="Times New Roman"/>
          <w:b w:val="0"/>
          <w:bCs w:val="0"/>
          <w:i/>
          <w:iCs/>
          <w:szCs w:val="24"/>
        </w:rPr>
        <w:t xml:space="preserve">Trichoderma </w:t>
      </w:r>
      <w:proofErr w:type="spellStart"/>
      <w:r w:rsidRPr="00B01605">
        <w:rPr>
          <w:rStyle w:val="Strong"/>
          <w:rFonts w:ascii="Times New Roman" w:hAnsi="Times New Roman" w:cs="Times New Roman"/>
          <w:b w:val="0"/>
          <w:bCs w:val="0"/>
          <w:i/>
          <w:iCs/>
          <w:szCs w:val="24"/>
        </w:rPr>
        <w:t>harzianum</w:t>
      </w:r>
      <w:proofErr w:type="spellEnd"/>
      <w:r w:rsidRPr="00B01605">
        <w:rPr>
          <w:rStyle w:val="Strong"/>
          <w:rFonts w:ascii="Times New Roman" w:hAnsi="Times New Roman" w:cs="Times New Roman"/>
          <w:b w:val="0"/>
          <w:bCs w:val="0"/>
          <w:i/>
          <w:iCs/>
          <w:szCs w:val="24"/>
        </w:rPr>
        <w:t xml:space="preserve"> </w:t>
      </w:r>
      <w:r w:rsidRPr="00B01605">
        <w:rPr>
          <w:rFonts w:ascii="Times New Roman" w:hAnsi="Times New Roman" w:cs="Times New Roman"/>
          <w:szCs w:val="24"/>
        </w:rPr>
        <w:t>@ 6g/kg seed</w:t>
      </w:r>
      <w:r w:rsidRPr="00B01605">
        <w:rPr>
          <w:rStyle w:val="Strong"/>
          <w:rFonts w:ascii="Times New Roman" w:hAnsi="Times New Roman" w:cs="Times New Roman"/>
          <w:szCs w:val="24"/>
        </w:rPr>
        <w:t xml:space="preserve"> </w:t>
      </w:r>
      <w:r w:rsidRPr="00B01605">
        <w:rPr>
          <w:rStyle w:val="Strong"/>
          <w:rFonts w:ascii="Times New Roman" w:hAnsi="Times New Roman" w:cs="Times New Roman"/>
          <w:b w:val="0"/>
          <w:bCs w:val="0"/>
          <w:szCs w:val="24"/>
        </w:rPr>
        <w:t xml:space="preserve">(89.47%), </w:t>
      </w:r>
      <w:r w:rsidRPr="00B01605">
        <w:rPr>
          <w:rStyle w:val="Strong"/>
          <w:rFonts w:ascii="Times New Roman" w:hAnsi="Times New Roman" w:cs="Times New Roman"/>
          <w:b w:val="0"/>
          <w:bCs w:val="0"/>
          <w:i/>
          <w:iCs/>
          <w:szCs w:val="24"/>
        </w:rPr>
        <w:t xml:space="preserve">Pseudomonas fluorescens @ </w:t>
      </w:r>
      <w:r w:rsidRPr="00B01605">
        <w:rPr>
          <w:rStyle w:val="Strong"/>
          <w:rFonts w:ascii="Times New Roman" w:hAnsi="Times New Roman" w:cs="Times New Roman"/>
          <w:b w:val="0"/>
          <w:bCs w:val="0"/>
          <w:szCs w:val="24"/>
        </w:rPr>
        <w:t xml:space="preserve">8g/kg seed (89.13%) and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(88.43%). The lowest emergence (55.00%) was recorded </w:t>
      </w:r>
      <w:r w:rsidRPr="00B01605">
        <w:rPr>
          <w:rStyle w:val="Strong"/>
          <w:rFonts w:ascii="Times New Roman" w:hAnsi="Times New Roman" w:cs="Times New Roman"/>
          <w:b w:val="0"/>
          <w:bCs w:val="0"/>
          <w:szCs w:val="24"/>
        </w:rPr>
        <w:lastRenderedPageBreak/>
        <w:t>in the control, the adverse effect of seed- and soil-borne pathogens on germination in the absence of treatment.</w:t>
      </w:r>
    </w:p>
    <w:p w14:paraId="33911880" w14:textId="3E9B5FD8" w:rsidR="00F61CA0" w:rsidRPr="00B01605" w:rsidRDefault="00F61CA0" w:rsidP="00A227EE">
      <w:pPr>
        <w:autoSpaceDE w:val="0"/>
        <w:autoSpaceDN w:val="0"/>
        <w:adjustRightInd w:val="0"/>
        <w:spacing w:after="0" w:line="240" w:lineRule="auto"/>
        <w:jc w:val="both"/>
        <w:rPr>
          <w:rStyle w:val="Strong"/>
          <w:rFonts w:ascii="Times New Roman" w:hAnsi="Times New Roman" w:cs="Times New Roman"/>
          <w:szCs w:val="24"/>
        </w:rPr>
      </w:pPr>
      <w:r w:rsidRPr="00B01605">
        <w:rPr>
          <w:rStyle w:val="Strong"/>
          <w:rFonts w:ascii="Times New Roman" w:hAnsi="Times New Roman" w:cs="Times New Roman"/>
          <w:szCs w:val="24"/>
        </w:rPr>
        <w:t>Downy Mildew Incidence at 30 DAS</w:t>
      </w:r>
    </w:p>
    <w:p w14:paraId="6065C3EF" w14:textId="1A5962BF" w:rsidR="00F61CA0" w:rsidRPr="00B01605" w:rsidRDefault="00F61CA0" w:rsidP="00A227EE">
      <w:pPr>
        <w:spacing w:after="0"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 xml:space="preserve">Disease incidence at 30 DAS revealed significant variations. The lowest disease incidence (2.00%) was recorded in the Seed treatment with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 6g/kg seed + Spray of Propiconazole 25% EC @ 0.25% treatment, followed by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alone (2.58%), and Carbendazim (2.60%). Biocontrol agents such as </w:t>
      </w:r>
      <w:commentRangeStart w:id="5"/>
      <w:r w:rsidRPr="00B01605">
        <w:rPr>
          <w:rStyle w:val="Strong"/>
          <w:rFonts w:ascii="Times New Roman" w:hAnsi="Times New Roman" w:cs="Times New Roman"/>
          <w:b w:val="0"/>
          <w:bCs w:val="0"/>
          <w:i/>
          <w:iCs/>
          <w:szCs w:val="24"/>
        </w:rPr>
        <w:t xml:space="preserve">Trichoderma </w:t>
      </w:r>
      <w:proofErr w:type="spellStart"/>
      <w:r w:rsidRPr="00B01605">
        <w:rPr>
          <w:rStyle w:val="Strong"/>
          <w:rFonts w:ascii="Times New Roman" w:hAnsi="Times New Roman" w:cs="Times New Roman"/>
          <w:b w:val="0"/>
          <w:bCs w:val="0"/>
          <w:i/>
          <w:iCs/>
          <w:szCs w:val="24"/>
        </w:rPr>
        <w:t>harzianum</w:t>
      </w:r>
      <w:proofErr w:type="spellEnd"/>
      <w:r w:rsidRPr="00B01605">
        <w:rPr>
          <w:rStyle w:val="Strong"/>
          <w:rFonts w:ascii="Times New Roman" w:hAnsi="Times New Roman" w:cs="Times New Roman"/>
          <w:b w:val="0"/>
          <w:bCs w:val="0"/>
          <w:i/>
          <w:iCs/>
          <w:szCs w:val="24"/>
        </w:rPr>
        <w:t xml:space="preserve"> </w:t>
      </w:r>
      <w:r w:rsidRPr="00B01605">
        <w:rPr>
          <w:rFonts w:ascii="Times New Roman" w:hAnsi="Times New Roman" w:cs="Times New Roman"/>
          <w:b/>
          <w:bCs/>
          <w:szCs w:val="24"/>
        </w:rPr>
        <w:t xml:space="preserve">@ </w:t>
      </w:r>
      <w:r w:rsidRPr="00B01605">
        <w:rPr>
          <w:rFonts w:ascii="Times New Roman" w:hAnsi="Times New Roman" w:cs="Times New Roman"/>
          <w:szCs w:val="24"/>
        </w:rPr>
        <w:t>6g/kg seed</w:t>
      </w:r>
      <w:r w:rsidRPr="00B01605">
        <w:rPr>
          <w:rStyle w:val="Strong"/>
          <w:rFonts w:ascii="Times New Roman" w:hAnsi="Times New Roman" w:cs="Times New Roman"/>
          <w:b w:val="0"/>
          <w:bCs w:val="0"/>
          <w:szCs w:val="24"/>
        </w:rPr>
        <w:t xml:space="preserve"> (2.87%) and </w:t>
      </w:r>
      <w:r w:rsidRPr="00B01605">
        <w:rPr>
          <w:rStyle w:val="Strong"/>
          <w:rFonts w:ascii="Times New Roman" w:hAnsi="Times New Roman" w:cs="Times New Roman"/>
          <w:b w:val="0"/>
          <w:bCs w:val="0"/>
          <w:i/>
          <w:iCs/>
          <w:szCs w:val="24"/>
        </w:rPr>
        <w:t>Pseudomonas fluorescens</w:t>
      </w:r>
      <w:commentRangeEnd w:id="5"/>
      <w:r w:rsidR="002C3B4E">
        <w:rPr>
          <w:rStyle w:val="CommentReference"/>
        </w:rPr>
        <w:commentReference w:id="5"/>
      </w:r>
      <w:r w:rsidRPr="00B01605">
        <w:rPr>
          <w:rStyle w:val="Strong"/>
          <w:rFonts w:ascii="Times New Roman" w:hAnsi="Times New Roman" w:cs="Times New Roman"/>
          <w:b w:val="0"/>
          <w:bCs w:val="0"/>
          <w:i/>
          <w:iCs/>
          <w:szCs w:val="24"/>
        </w:rPr>
        <w:t xml:space="preserve"> @ </w:t>
      </w:r>
      <w:r w:rsidRPr="00B01605">
        <w:rPr>
          <w:rStyle w:val="Strong"/>
          <w:rFonts w:ascii="Times New Roman" w:hAnsi="Times New Roman" w:cs="Times New Roman"/>
          <w:b w:val="0"/>
          <w:bCs w:val="0"/>
          <w:szCs w:val="24"/>
        </w:rPr>
        <w:t xml:space="preserve">8g/kg seed (2.93%) were moderately effective. </w:t>
      </w:r>
      <w:commentRangeStart w:id="6"/>
      <w:r w:rsidRPr="00B01605">
        <w:rPr>
          <w:rStyle w:val="Strong"/>
          <w:rFonts w:ascii="Times New Roman" w:hAnsi="Times New Roman" w:cs="Times New Roman"/>
          <w:b w:val="0"/>
          <w:bCs w:val="0"/>
          <w:szCs w:val="24"/>
        </w:rPr>
        <w:t>The</w:t>
      </w:r>
      <w:commentRangeEnd w:id="6"/>
      <w:r w:rsidR="00E744EF">
        <w:rPr>
          <w:rStyle w:val="CommentReference"/>
        </w:rPr>
        <w:commentReference w:id="6"/>
      </w:r>
      <w:r w:rsidRPr="00B01605">
        <w:rPr>
          <w:rStyle w:val="Strong"/>
          <w:rFonts w:ascii="Times New Roman" w:hAnsi="Times New Roman" w:cs="Times New Roman"/>
          <w:b w:val="0"/>
          <w:bCs w:val="0"/>
          <w:szCs w:val="24"/>
        </w:rPr>
        <w:t xml:space="preserve"> highest incidence (33.97%) occurred in the untreated control, indicating a high level of early disease development when no protective treatment was applied.</w:t>
      </w:r>
    </w:p>
    <w:p w14:paraId="3B1A9512" w14:textId="7B1E0B16" w:rsidR="00F61CA0" w:rsidRPr="00B01605" w:rsidRDefault="00F61CA0" w:rsidP="00A227EE">
      <w:pPr>
        <w:autoSpaceDE w:val="0"/>
        <w:autoSpaceDN w:val="0"/>
        <w:adjustRightInd w:val="0"/>
        <w:spacing w:after="0" w:line="240" w:lineRule="auto"/>
        <w:jc w:val="both"/>
        <w:rPr>
          <w:rStyle w:val="Strong"/>
          <w:rFonts w:ascii="Times New Roman" w:hAnsi="Times New Roman" w:cs="Times New Roman"/>
          <w:szCs w:val="24"/>
        </w:rPr>
      </w:pPr>
      <w:r w:rsidRPr="00B01605">
        <w:rPr>
          <w:rStyle w:val="Strong"/>
          <w:rFonts w:ascii="Times New Roman" w:hAnsi="Times New Roman" w:cs="Times New Roman"/>
          <w:szCs w:val="24"/>
        </w:rPr>
        <w:t>Downy Mildew Incidence at 60 DAS</w:t>
      </w:r>
    </w:p>
    <w:p w14:paraId="10F43BAC" w14:textId="116B0DCF" w:rsidR="00F61CA0" w:rsidRPr="00B01605" w:rsidRDefault="00F61CA0" w:rsidP="00B01605">
      <w:pPr>
        <w:spacing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 xml:space="preserve">At 60 DAS, disease progression followed a similar trend. The combined treatment of Seed treatment with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 6g/kg seed + Spray of Propiconazole 25% EC @ 0.25%again exhibited the lowest incidence (3.28%), followed by </w:t>
      </w:r>
      <w:proofErr w:type="spellStart"/>
      <w:r w:rsidRPr="00B01605">
        <w:rPr>
          <w:rStyle w:val="Strong"/>
          <w:rFonts w:ascii="Times New Roman" w:hAnsi="Times New Roman" w:cs="Times New Roman"/>
          <w:b w:val="0"/>
          <w:bCs w:val="0"/>
          <w:szCs w:val="24"/>
        </w:rPr>
        <w:t>Metalaxyl</w:t>
      </w:r>
      <w:proofErr w:type="spellEnd"/>
      <w:r w:rsidRPr="00B01605">
        <w:rPr>
          <w:rStyle w:val="Strong"/>
          <w:rFonts w:ascii="Times New Roman" w:hAnsi="Times New Roman" w:cs="Times New Roman"/>
          <w:b w:val="0"/>
          <w:bCs w:val="0"/>
          <w:szCs w:val="24"/>
        </w:rPr>
        <w:t xml:space="preserve"> (3.40%), and Carbendazim (3.57%). Among biocontrol agents, </w:t>
      </w:r>
      <w:r w:rsidRPr="00B01605">
        <w:rPr>
          <w:rStyle w:val="Strong"/>
          <w:rFonts w:ascii="Times New Roman" w:hAnsi="Times New Roman" w:cs="Times New Roman"/>
          <w:b w:val="0"/>
          <w:bCs w:val="0"/>
          <w:i/>
          <w:iCs/>
          <w:szCs w:val="24"/>
        </w:rPr>
        <w:t xml:space="preserve">Trichoderma </w:t>
      </w:r>
      <w:proofErr w:type="spellStart"/>
      <w:r w:rsidRPr="00B01605">
        <w:rPr>
          <w:rStyle w:val="Strong"/>
          <w:rFonts w:ascii="Times New Roman" w:hAnsi="Times New Roman" w:cs="Times New Roman"/>
          <w:b w:val="0"/>
          <w:bCs w:val="0"/>
          <w:i/>
          <w:iCs/>
          <w:szCs w:val="24"/>
        </w:rPr>
        <w:t>harzianum</w:t>
      </w:r>
      <w:proofErr w:type="spellEnd"/>
      <w:r w:rsidRPr="00B01605">
        <w:rPr>
          <w:rStyle w:val="Strong"/>
          <w:rFonts w:ascii="Times New Roman" w:hAnsi="Times New Roman" w:cs="Times New Roman"/>
          <w:b w:val="0"/>
          <w:bCs w:val="0"/>
          <w:i/>
          <w:iCs/>
          <w:szCs w:val="24"/>
        </w:rPr>
        <w:t xml:space="preserve"> </w:t>
      </w:r>
      <w:r w:rsidRPr="00B01605">
        <w:rPr>
          <w:rFonts w:ascii="Times New Roman" w:hAnsi="Times New Roman" w:cs="Times New Roman"/>
          <w:szCs w:val="24"/>
        </w:rPr>
        <w:t>@ 6g/kg seed</w:t>
      </w:r>
      <w:r w:rsidRPr="00B01605">
        <w:rPr>
          <w:rStyle w:val="Strong"/>
          <w:rFonts w:ascii="Times New Roman" w:hAnsi="Times New Roman" w:cs="Times New Roman"/>
          <w:b w:val="0"/>
          <w:bCs w:val="0"/>
          <w:i/>
          <w:iCs/>
          <w:szCs w:val="24"/>
        </w:rPr>
        <w:t xml:space="preserve"> </w:t>
      </w:r>
      <w:r w:rsidRPr="00B01605">
        <w:rPr>
          <w:rStyle w:val="Strong"/>
          <w:rFonts w:ascii="Times New Roman" w:hAnsi="Times New Roman" w:cs="Times New Roman"/>
          <w:b w:val="0"/>
          <w:bCs w:val="0"/>
          <w:szCs w:val="24"/>
        </w:rPr>
        <w:t xml:space="preserve">and </w:t>
      </w:r>
      <w:r w:rsidRPr="00B01605">
        <w:rPr>
          <w:rStyle w:val="Strong"/>
          <w:rFonts w:ascii="Times New Roman" w:hAnsi="Times New Roman" w:cs="Times New Roman"/>
          <w:b w:val="0"/>
          <w:bCs w:val="0"/>
          <w:i/>
          <w:iCs/>
          <w:szCs w:val="24"/>
        </w:rPr>
        <w:t xml:space="preserve">Pseudomonas fluorescens @ </w:t>
      </w:r>
      <w:r w:rsidRPr="00B01605">
        <w:rPr>
          <w:rStyle w:val="Strong"/>
          <w:rFonts w:ascii="Times New Roman" w:hAnsi="Times New Roman" w:cs="Times New Roman"/>
          <w:b w:val="0"/>
          <w:bCs w:val="0"/>
          <w:szCs w:val="24"/>
        </w:rPr>
        <w:t>8g/kg seed showed moderate disease control. Neem oil recorded higher incidence (5.51%), but still significantly lower than the control treatment, which recorded 35.12% incidence the highest among all treatments.</w:t>
      </w:r>
    </w:p>
    <w:p w14:paraId="266CD539" w14:textId="77777777" w:rsidR="00B01605" w:rsidRDefault="00B01605" w:rsidP="00B01605">
      <w:pPr>
        <w:spacing w:after="0"/>
        <w:rPr>
          <w:rFonts w:ascii="Times New Roman" w:hAnsi="Times New Roman" w:cs="Times New Roman"/>
          <w:b/>
          <w:bCs/>
          <w:szCs w:val="24"/>
        </w:rPr>
      </w:pPr>
      <w:r w:rsidRPr="00B01605">
        <w:rPr>
          <w:rFonts w:ascii="Times New Roman" w:hAnsi="Times New Roman" w:cs="Times New Roman"/>
          <w:b/>
          <w:bCs/>
          <w:szCs w:val="24"/>
        </w:rPr>
        <w:t xml:space="preserve">Table: - 1 Effectiveness of different treatments against </w:t>
      </w:r>
      <w:proofErr w:type="spellStart"/>
      <w:r w:rsidRPr="00B01605">
        <w:rPr>
          <w:rFonts w:ascii="Times New Roman" w:hAnsi="Times New Roman" w:cs="Times New Roman"/>
          <w:b/>
          <w:bCs/>
          <w:i/>
          <w:iCs/>
          <w:szCs w:val="24"/>
        </w:rPr>
        <w:t>Sclerospora</w:t>
      </w:r>
      <w:proofErr w:type="spellEnd"/>
      <w:r w:rsidRPr="00B01605">
        <w:rPr>
          <w:rFonts w:ascii="Times New Roman" w:hAnsi="Times New Roman" w:cs="Times New Roman"/>
          <w:b/>
          <w:bCs/>
          <w:i/>
          <w:iCs/>
          <w:szCs w:val="24"/>
        </w:rPr>
        <w:t xml:space="preserve"> </w:t>
      </w:r>
      <w:proofErr w:type="spellStart"/>
      <w:r w:rsidRPr="00B01605">
        <w:rPr>
          <w:rFonts w:ascii="Times New Roman" w:hAnsi="Times New Roman" w:cs="Times New Roman"/>
          <w:b/>
          <w:bCs/>
          <w:i/>
          <w:iCs/>
          <w:szCs w:val="24"/>
        </w:rPr>
        <w:t>graminicola</w:t>
      </w:r>
      <w:proofErr w:type="spellEnd"/>
      <w:r w:rsidRPr="00B01605">
        <w:rPr>
          <w:rFonts w:ascii="Times New Roman" w:hAnsi="Times New Roman" w:cs="Times New Roman"/>
          <w:b/>
          <w:bCs/>
          <w:szCs w:val="24"/>
        </w:rPr>
        <w:t xml:space="preserve">, the causal agent of downy mildew in </w:t>
      </w:r>
      <w:proofErr w:type="spellStart"/>
      <w:r w:rsidRPr="00B01605">
        <w:rPr>
          <w:rFonts w:ascii="Times New Roman" w:hAnsi="Times New Roman" w:cs="Times New Roman"/>
          <w:b/>
          <w:bCs/>
          <w:szCs w:val="24"/>
        </w:rPr>
        <w:t>pearlmillet</w:t>
      </w:r>
      <w:proofErr w:type="spellEnd"/>
      <w:r w:rsidRPr="00B01605">
        <w:rPr>
          <w:rFonts w:ascii="Times New Roman" w:hAnsi="Times New Roman" w:cs="Times New Roman"/>
          <w:b/>
          <w:bCs/>
          <w:szCs w:val="24"/>
        </w:rPr>
        <w:t xml:space="preserve">. </w:t>
      </w:r>
      <w:r w:rsidRPr="00B01605">
        <w:rPr>
          <w:rFonts w:ascii="Times New Roman" w:hAnsi="Times New Roman" w:cs="Times New Roman"/>
          <w:b/>
          <w:bCs/>
          <w:color w:val="000000" w:themeColor="text1"/>
          <w:kern w:val="0"/>
          <w:szCs w:val="24"/>
        </w:rPr>
        <w:t xml:space="preserve"> </w:t>
      </w:r>
      <w:r w:rsidRPr="00B01605">
        <w:rPr>
          <w:rFonts w:ascii="Times New Roman" w:hAnsi="Times New Roman" w:cs="Times New Roman"/>
          <w:b/>
          <w:bCs/>
          <w:szCs w:val="24"/>
        </w:rPr>
        <w:t xml:space="preserve">during </w:t>
      </w:r>
      <w:r w:rsidRPr="00B01605">
        <w:rPr>
          <w:rFonts w:ascii="Times New Roman" w:hAnsi="Times New Roman" w:cs="Times New Roman"/>
          <w:b/>
          <w:bCs/>
          <w:i/>
          <w:iCs/>
          <w:szCs w:val="24"/>
        </w:rPr>
        <w:t xml:space="preserve">Kharif </w:t>
      </w:r>
      <w:r w:rsidRPr="00B01605">
        <w:rPr>
          <w:rFonts w:ascii="Times New Roman" w:hAnsi="Times New Roman" w:cs="Times New Roman"/>
          <w:b/>
          <w:bCs/>
          <w:szCs w:val="24"/>
        </w:rPr>
        <w:t>2024 under field conditions.</w:t>
      </w:r>
    </w:p>
    <w:p w14:paraId="0AE42688" w14:textId="77777777" w:rsidR="00B01605" w:rsidRDefault="00B01605" w:rsidP="00B01605">
      <w:pPr>
        <w:spacing w:after="0"/>
        <w:rPr>
          <w:rFonts w:ascii="Times New Roman" w:hAnsi="Times New Roman" w:cs="Times New Roman"/>
          <w:b/>
          <w:bCs/>
          <w:szCs w:val="24"/>
        </w:rPr>
      </w:pPr>
    </w:p>
    <w:tbl>
      <w:tblPr>
        <w:tblStyle w:val="TableGrid"/>
        <w:tblW w:w="9175" w:type="dxa"/>
        <w:jc w:val="center"/>
        <w:tblLook w:val="04A0" w:firstRow="1" w:lastRow="0" w:firstColumn="1" w:lastColumn="0" w:noHBand="0" w:noVBand="1"/>
      </w:tblPr>
      <w:tblGrid>
        <w:gridCol w:w="3099"/>
        <w:gridCol w:w="1810"/>
        <w:gridCol w:w="1551"/>
        <w:gridCol w:w="1422"/>
        <w:gridCol w:w="1293"/>
      </w:tblGrid>
      <w:tr w:rsidR="00B01605" w:rsidRPr="00B01605" w14:paraId="5E5BA816" w14:textId="77777777" w:rsidTr="00D71A9B">
        <w:trPr>
          <w:trHeight w:val="19"/>
          <w:jc w:val="center"/>
        </w:trPr>
        <w:tc>
          <w:tcPr>
            <w:tcW w:w="3099" w:type="dxa"/>
            <w:vAlign w:val="center"/>
          </w:tcPr>
          <w:p w14:paraId="6D0FE1C3"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Treatments</w:t>
            </w:r>
          </w:p>
        </w:tc>
        <w:tc>
          <w:tcPr>
            <w:tcW w:w="1810" w:type="dxa"/>
            <w:vAlign w:val="center"/>
          </w:tcPr>
          <w:p w14:paraId="1554F9DE"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Average no. of plants/Plots</w:t>
            </w:r>
          </w:p>
        </w:tc>
        <w:tc>
          <w:tcPr>
            <w:tcW w:w="1551" w:type="dxa"/>
            <w:vAlign w:val="center"/>
          </w:tcPr>
          <w:p w14:paraId="78026F38"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Seedling emergence</w:t>
            </w:r>
          </w:p>
          <w:p w14:paraId="1071B2AE"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w:t>
            </w:r>
          </w:p>
        </w:tc>
        <w:tc>
          <w:tcPr>
            <w:tcW w:w="1422" w:type="dxa"/>
            <w:vAlign w:val="center"/>
          </w:tcPr>
          <w:p w14:paraId="74E07016"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Downy mildew incidence (%) at 30 DAS</w:t>
            </w:r>
          </w:p>
        </w:tc>
        <w:tc>
          <w:tcPr>
            <w:tcW w:w="1293" w:type="dxa"/>
            <w:vAlign w:val="center"/>
          </w:tcPr>
          <w:p w14:paraId="6138E2A4"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Downy mildew incidence (%) at 60 DAS</w:t>
            </w:r>
          </w:p>
        </w:tc>
      </w:tr>
      <w:tr w:rsidR="00B01605" w:rsidRPr="00B01605" w14:paraId="704E0F13" w14:textId="77777777" w:rsidTr="00D71A9B">
        <w:trPr>
          <w:trHeight w:val="469"/>
          <w:jc w:val="center"/>
        </w:trPr>
        <w:tc>
          <w:tcPr>
            <w:tcW w:w="3099" w:type="dxa"/>
            <w:vAlign w:val="center"/>
          </w:tcPr>
          <w:p w14:paraId="7D4C2D27" w14:textId="77777777" w:rsidR="00B01605" w:rsidRPr="00B01605" w:rsidRDefault="00B01605" w:rsidP="004922CD">
            <w:pPr>
              <w:spacing w:line="276" w:lineRule="auto"/>
              <w:jc w:val="center"/>
              <w:rPr>
                <w:rFonts w:cs="Times New Roman"/>
                <w:color w:val="000000"/>
                <w:sz w:val="18"/>
                <w:szCs w:val="18"/>
              </w:rPr>
            </w:pPr>
            <w:proofErr w:type="spellStart"/>
            <w:r w:rsidRPr="00B01605">
              <w:rPr>
                <w:rFonts w:cs="Times New Roman"/>
                <w:color w:val="000000"/>
                <w:sz w:val="18"/>
                <w:szCs w:val="18"/>
              </w:rPr>
              <w:t>Metalaxyl</w:t>
            </w:r>
            <w:proofErr w:type="spellEnd"/>
            <w:r w:rsidRPr="00B01605">
              <w:rPr>
                <w:rFonts w:cs="Times New Roman"/>
                <w:color w:val="000000"/>
                <w:sz w:val="18"/>
                <w:szCs w:val="18"/>
              </w:rPr>
              <w:t xml:space="preserve"> @ 0.25%</w:t>
            </w:r>
          </w:p>
        </w:tc>
        <w:tc>
          <w:tcPr>
            <w:tcW w:w="1810" w:type="dxa"/>
            <w:vAlign w:val="center"/>
          </w:tcPr>
          <w:p w14:paraId="6E6D373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44.22 (6.69) *</w:t>
            </w:r>
          </w:p>
        </w:tc>
        <w:tc>
          <w:tcPr>
            <w:tcW w:w="1551" w:type="dxa"/>
            <w:vAlign w:val="center"/>
          </w:tcPr>
          <w:p w14:paraId="6EEC112B"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88.43</w:t>
            </w:r>
          </w:p>
        </w:tc>
        <w:tc>
          <w:tcPr>
            <w:tcW w:w="1422" w:type="dxa"/>
            <w:vAlign w:val="center"/>
          </w:tcPr>
          <w:p w14:paraId="715B96E1"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2.58 (1.74)</w:t>
            </w:r>
          </w:p>
        </w:tc>
        <w:tc>
          <w:tcPr>
            <w:tcW w:w="1293" w:type="dxa"/>
            <w:vAlign w:val="center"/>
          </w:tcPr>
          <w:p w14:paraId="61B8241B"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3.40 (1.96)</w:t>
            </w:r>
          </w:p>
        </w:tc>
      </w:tr>
      <w:tr w:rsidR="00B01605" w:rsidRPr="00B01605" w14:paraId="7E0045D5" w14:textId="77777777" w:rsidTr="00D71A9B">
        <w:trPr>
          <w:trHeight w:val="469"/>
          <w:jc w:val="center"/>
        </w:trPr>
        <w:tc>
          <w:tcPr>
            <w:tcW w:w="3099" w:type="dxa"/>
            <w:vAlign w:val="center"/>
          </w:tcPr>
          <w:p w14:paraId="7DA541FC"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Carbendazim @ 0.25%</w:t>
            </w:r>
          </w:p>
        </w:tc>
        <w:tc>
          <w:tcPr>
            <w:tcW w:w="1810" w:type="dxa"/>
            <w:vAlign w:val="center"/>
          </w:tcPr>
          <w:p w14:paraId="47E16AF0"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42.15 (6.53)</w:t>
            </w:r>
          </w:p>
        </w:tc>
        <w:tc>
          <w:tcPr>
            <w:tcW w:w="1551" w:type="dxa"/>
            <w:vAlign w:val="center"/>
          </w:tcPr>
          <w:p w14:paraId="2DD065E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84.30</w:t>
            </w:r>
          </w:p>
        </w:tc>
        <w:tc>
          <w:tcPr>
            <w:tcW w:w="1422" w:type="dxa"/>
            <w:vAlign w:val="center"/>
          </w:tcPr>
          <w:p w14:paraId="2EE264A0"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2.60 (1.75)</w:t>
            </w:r>
          </w:p>
        </w:tc>
        <w:tc>
          <w:tcPr>
            <w:tcW w:w="1293" w:type="dxa"/>
            <w:vAlign w:val="center"/>
          </w:tcPr>
          <w:p w14:paraId="3E3B24D1"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3.57 (2.01)</w:t>
            </w:r>
          </w:p>
        </w:tc>
      </w:tr>
      <w:tr w:rsidR="00B01605" w:rsidRPr="00B01605" w14:paraId="79FA7677" w14:textId="77777777" w:rsidTr="00D71A9B">
        <w:trPr>
          <w:trHeight w:val="469"/>
          <w:jc w:val="center"/>
        </w:trPr>
        <w:tc>
          <w:tcPr>
            <w:tcW w:w="3099" w:type="dxa"/>
            <w:vAlign w:val="center"/>
          </w:tcPr>
          <w:p w14:paraId="6B83E966"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 xml:space="preserve">Mancozeb @ 0.2 % </w:t>
            </w:r>
          </w:p>
        </w:tc>
        <w:tc>
          <w:tcPr>
            <w:tcW w:w="1810" w:type="dxa"/>
            <w:vAlign w:val="center"/>
          </w:tcPr>
          <w:p w14:paraId="3E9DD2F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41.70 (6.50)</w:t>
            </w:r>
          </w:p>
        </w:tc>
        <w:tc>
          <w:tcPr>
            <w:tcW w:w="1551" w:type="dxa"/>
            <w:vAlign w:val="center"/>
          </w:tcPr>
          <w:p w14:paraId="47B3DAC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83.40</w:t>
            </w:r>
          </w:p>
        </w:tc>
        <w:tc>
          <w:tcPr>
            <w:tcW w:w="1422" w:type="dxa"/>
            <w:vAlign w:val="center"/>
          </w:tcPr>
          <w:p w14:paraId="59DDA85D"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2.82 (1.81)</w:t>
            </w:r>
          </w:p>
        </w:tc>
        <w:tc>
          <w:tcPr>
            <w:tcW w:w="1293" w:type="dxa"/>
            <w:vAlign w:val="center"/>
          </w:tcPr>
          <w:p w14:paraId="2790D2FA"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3.82 (2.07)</w:t>
            </w:r>
          </w:p>
        </w:tc>
      </w:tr>
      <w:tr w:rsidR="00B01605" w:rsidRPr="00B01605" w14:paraId="073CBF85" w14:textId="77777777" w:rsidTr="00D71A9B">
        <w:trPr>
          <w:trHeight w:val="469"/>
          <w:jc w:val="center"/>
        </w:trPr>
        <w:tc>
          <w:tcPr>
            <w:tcW w:w="3099" w:type="dxa"/>
            <w:vAlign w:val="center"/>
          </w:tcPr>
          <w:p w14:paraId="189FB589"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 xml:space="preserve">Seed treatment with </w:t>
            </w:r>
            <w:proofErr w:type="spellStart"/>
            <w:r w:rsidRPr="00B01605">
              <w:rPr>
                <w:rFonts w:cs="Times New Roman"/>
                <w:color w:val="000000"/>
                <w:sz w:val="18"/>
                <w:szCs w:val="18"/>
              </w:rPr>
              <w:t>Metalaxyl</w:t>
            </w:r>
            <w:proofErr w:type="spellEnd"/>
            <w:r w:rsidRPr="00B01605">
              <w:rPr>
                <w:rFonts w:cs="Times New Roman"/>
                <w:color w:val="000000"/>
                <w:sz w:val="18"/>
                <w:szCs w:val="18"/>
              </w:rPr>
              <w:t xml:space="preserve"> (@ 6g/kg seed + Spray of Propiconazole 25% EC @ 0.25%</w:t>
            </w:r>
          </w:p>
        </w:tc>
        <w:tc>
          <w:tcPr>
            <w:tcW w:w="1810" w:type="dxa"/>
            <w:vAlign w:val="center"/>
          </w:tcPr>
          <w:p w14:paraId="4203F773"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47.67 (6.94)</w:t>
            </w:r>
          </w:p>
        </w:tc>
        <w:tc>
          <w:tcPr>
            <w:tcW w:w="1551" w:type="dxa"/>
            <w:vAlign w:val="center"/>
          </w:tcPr>
          <w:p w14:paraId="2D38D6D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95.33</w:t>
            </w:r>
          </w:p>
        </w:tc>
        <w:tc>
          <w:tcPr>
            <w:tcW w:w="1422" w:type="dxa"/>
            <w:vAlign w:val="center"/>
          </w:tcPr>
          <w:p w14:paraId="7896A455"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2.00 (1.57)</w:t>
            </w:r>
          </w:p>
        </w:tc>
        <w:tc>
          <w:tcPr>
            <w:tcW w:w="1293" w:type="dxa"/>
            <w:vAlign w:val="center"/>
          </w:tcPr>
          <w:p w14:paraId="462B53DA"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3.28 (1.92)</w:t>
            </w:r>
          </w:p>
        </w:tc>
      </w:tr>
      <w:tr w:rsidR="00B01605" w:rsidRPr="00B01605" w14:paraId="3A4A2D28" w14:textId="77777777" w:rsidTr="00D71A9B">
        <w:trPr>
          <w:trHeight w:val="469"/>
          <w:jc w:val="center"/>
        </w:trPr>
        <w:tc>
          <w:tcPr>
            <w:tcW w:w="3099" w:type="dxa"/>
            <w:vAlign w:val="center"/>
          </w:tcPr>
          <w:p w14:paraId="408C0551" w14:textId="77777777" w:rsidR="00B01605" w:rsidRPr="00B01605" w:rsidRDefault="00B01605" w:rsidP="004922CD">
            <w:pPr>
              <w:spacing w:line="276" w:lineRule="auto"/>
              <w:jc w:val="center"/>
              <w:rPr>
                <w:rFonts w:cs="Times New Roman"/>
                <w:sz w:val="18"/>
                <w:szCs w:val="18"/>
              </w:rPr>
            </w:pPr>
            <w:bookmarkStart w:id="7" w:name="_Hlk161924750"/>
            <w:r w:rsidRPr="00B01605">
              <w:rPr>
                <w:rFonts w:cs="Times New Roman"/>
                <w:color w:val="000000"/>
                <w:sz w:val="18"/>
                <w:szCs w:val="18"/>
              </w:rPr>
              <w:t xml:space="preserve">Seed treatment with </w:t>
            </w:r>
            <w:r w:rsidRPr="00B01605">
              <w:rPr>
                <w:rFonts w:cs="Times New Roman"/>
                <w:i/>
                <w:iCs/>
                <w:color w:val="000000"/>
                <w:sz w:val="18"/>
                <w:szCs w:val="18"/>
              </w:rPr>
              <w:t xml:space="preserve">Trichoderma </w:t>
            </w:r>
            <w:proofErr w:type="spellStart"/>
            <w:r w:rsidRPr="00B01605">
              <w:rPr>
                <w:rFonts w:cs="Times New Roman"/>
                <w:i/>
                <w:iCs/>
                <w:color w:val="000000"/>
                <w:sz w:val="18"/>
                <w:szCs w:val="18"/>
              </w:rPr>
              <w:t>harzianum</w:t>
            </w:r>
            <w:proofErr w:type="spellEnd"/>
            <w:r w:rsidRPr="00B01605">
              <w:rPr>
                <w:rFonts w:cs="Times New Roman"/>
                <w:color w:val="000000"/>
                <w:sz w:val="18"/>
                <w:szCs w:val="18"/>
              </w:rPr>
              <w:t xml:space="preserve"> @ 6g/kg seed</w:t>
            </w:r>
          </w:p>
        </w:tc>
        <w:tc>
          <w:tcPr>
            <w:tcW w:w="1810" w:type="dxa"/>
            <w:vAlign w:val="center"/>
          </w:tcPr>
          <w:p w14:paraId="56B4D083"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44.73 (6.73)</w:t>
            </w:r>
          </w:p>
        </w:tc>
        <w:tc>
          <w:tcPr>
            <w:tcW w:w="1551" w:type="dxa"/>
            <w:vAlign w:val="center"/>
          </w:tcPr>
          <w:p w14:paraId="71B0147E"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89.47</w:t>
            </w:r>
          </w:p>
        </w:tc>
        <w:tc>
          <w:tcPr>
            <w:tcW w:w="1422" w:type="dxa"/>
            <w:vAlign w:val="center"/>
          </w:tcPr>
          <w:p w14:paraId="0B0F1CFD"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2.87 (1.82)</w:t>
            </w:r>
          </w:p>
        </w:tc>
        <w:tc>
          <w:tcPr>
            <w:tcW w:w="1293" w:type="dxa"/>
            <w:vAlign w:val="center"/>
          </w:tcPr>
          <w:p w14:paraId="5DD7C91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3.93 (2.11)</w:t>
            </w:r>
          </w:p>
        </w:tc>
      </w:tr>
      <w:bookmarkEnd w:id="7"/>
      <w:tr w:rsidR="00B01605" w:rsidRPr="00B01605" w14:paraId="040A8BD7" w14:textId="77777777" w:rsidTr="00D71A9B">
        <w:trPr>
          <w:trHeight w:val="469"/>
          <w:jc w:val="center"/>
        </w:trPr>
        <w:tc>
          <w:tcPr>
            <w:tcW w:w="3099" w:type="dxa"/>
            <w:vAlign w:val="center"/>
          </w:tcPr>
          <w:p w14:paraId="4AB31B0B"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 xml:space="preserve">Seed treatment with </w:t>
            </w:r>
            <w:r w:rsidRPr="00B01605">
              <w:rPr>
                <w:rFonts w:cs="Times New Roman"/>
                <w:i/>
                <w:iCs/>
                <w:color w:val="000000"/>
                <w:sz w:val="18"/>
                <w:szCs w:val="18"/>
              </w:rPr>
              <w:t>Pseudomonas fluorescens</w:t>
            </w:r>
            <w:r w:rsidRPr="00B01605">
              <w:rPr>
                <w:rFonts w:cs="Times New Roman"/>
                <w:color w:val="000000"/>
                <w:sz w:val="18"/>
                <w:szCs w:val="18"/>
              </w:rPr>
              <w:t xml:space="preserve"> @ 8g/kg seed</w:t>
            </w:r>
          </w:p>
        </w:tc>
        <w:tc>
          <w:tcPr>
            <w:tcW w:w="1810" w:type="dxa"/>
            <w:vAlign w:val="center"/>
          </w:tcPr>
          <w:p w14:paraId="542141B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44.57 (6.71)</w:t>
            </w:r>
          </w:p>
        </w:tc>
        <w:tc>
          <w:tcPr>
            <w:tcW w:w="1551" w:type="dxa"/>
            <w:vAlign w:val="center"/>
          </w:tcPr>
          <w:p w14:paraId="1AE3300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89.13</w:t>
            </w:r>
          </w:p>
        </w:tc>
        <w:tc>
          <w:tcPr>
            <w:tcW w:w="1422" w:type="dxa"/>
            <w:vAlign w:val="center"/>
          </w:tcPr>
          <w:p w14:paraId="18B70E0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2.93 (1.84)</w:t>
            </w:r>
          </w:p>
        </w:tc>
        <w:tc>
          <w:tcPr>
            <w:tcW w:w="1293" w:type="dxa"/>
            <w:vAlign w:val="center"/>
          </w:tcPr>
          <w:p w14:paraId="41A2224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4.60 (2.26)</w:t>
            </w:r>
          </w:p>
        </w:tc>
      </w:tr>
      <w:tr w:rsidR="00B01605" w:rsidRPr="00B01605" w14:paraId="7917EA88" w14:textId="77777777" w:rsidTr="00D71A9B">
        <w:trPr>
          <w:trHeight w:val="469"/>
          <w:jc w:val="center"/>
        </w:trPr>
        <w:tc>
          <w:tcPr>
            <w:tcW w:w="3099" w:type="dxa"/>
            <w:vAlign w:val="center"/>
          </w:tcPr>
          <w:p w14:paraId="23A35C7F" w14:textId="77777777" w:rsidR="00B01605" w:rsidRPr="00B01605" w:rsidRDefault="00B01605" w:rsidP="004922CD">
            <w:pPr>
              <w:spacing w:line="276" w:lineRule="auto"/>
              <w:jc w:val="center"/>
              <w:rPr>
                <w:rFonts w:cs="Times New Roman"/>
                <w:sz w:val="18"/>
                <w:szCs w:val="18"/>
              </w:rPr>
            </w:pPr>
            <w:bookmarkStart w:id="8" w:name="_Hlk161924832"/>
            <w:r w:rsidRPr="00B01605">
              <w:rPr>
                <w:rFonts w:cs="Times New Roman"/>
                <w:color w:val="000000"/>
                <w:sz w:val="18"/>
                <w:szCs w:val="18"/>
              </w:rPr>
              <w:t xml:space="preserve">Seed treatment with </w:t>
            </w:r>
            <w:r w:rsidRPr="00B01605">
              <w:rPr>
                <w:rFonts w:cs="Times New Roman"/>
                <w:i/>
                <w:iCs/>
                <w:color w:val="000000"/>
                <w:sz w:val="18"/>
                <w:szCs w:val="18"/>
              </w:rPr>
              <w:t xml:space="preserve">Trichoderma asperellum </w:t>
            </w:r>
            <w:r w:rsidRPr="00B01605">
              <w:rPr>
                <w:rFonts w:cs="Times New Roman"/>
                <w:color w:val="000000"/>
                <w:sz w:val="18"/>
                <w:szCs w:val="18"/>
              </w:rPr>
              <w:t>@ 6g/kg seed</w:t>
            </w:r>
          </w:p>
        </w:tc>
        <w:tc>
          <w:tcPr>
            <w:tcW w:w="1810" w:type="dxa"/>
            <w:vAlign w:val="center"/>
          </w:tcPr>
          <w:p w14:paraId="4D20401D"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44.40 (6.70)</w:t>
            </w:r>
          </w:p>
        </w:tc>
        <w:tc>
          <w:tcPr>
            <w:tcW w:w="1551" w:type="dxa"/>
            <w:vAlign w:val="center"/>
          </w:tcPr>
          <w:p w14:paraId="6948796A"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88.80</w:t>
            </w:r>
          </w:p>
        </w:tc>
        <w:tc>
          <w:tcPr>
            <w:tcW w:w="1422" w:type="dxa"/>
            <w:vAlign w:val="center"/>
          </w:tcPr>
          <w:p w14:paraId="1C66D265"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3.13 (1.89)</w:t>
            </w:r>
          </w:p>
        </w:tc>
        <w:tc>
          <w:tcPr>
            <w:tcW w:w="1293" w:type="dxa"/>
            <w:vAlign w:val="center"/>
          </w:tcPr>
          <w:p w14:paraId="2FA21BF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4.87 (2.32)</w:t>
            </w:r>
          </w:p>
        </w:tc>
      </w:tr>
      <w:bookmarkEnd w:id="8"/>
      <w:tr w:rsidR="00B01605" w:rsidRPr="00B01605" w14:paraId="5DDFF97A" w14:textId="77777777" w:rsidTr="00D71A9B">
        <w:trPr>
          <w:trHeight w:val="469"/>
          <w:jc w:val="center"/>
        </w:trPr>
        <w:tc>
          <w:tcPr>
            <w:tcW w:w="3099" w:type="dxa"/>
            <w:vAlign w:val="center"/>
          </w:tcPr>
          <w:p w14:paraId="258D63C3"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Neem oil</w:t>
            </w:r>
          </w:p>
        </w:tc>
        <w:tc>
          <w:tcPr>
            <w:tcW w:w="1810" w:type="dxa"/>
            <w:vAlign w:val="center"/>
          </w:tcPr>
          <w:p w14:paraId="3C38E92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40.23 (6.38)</w:t>
            </w:r>
          </w:p>
        </w:tc>
        <w:tc>
          <w:tcPr>
            <w:tcW w:w="1551" w:type="dxa"/>
            <w:vAlign w:val="center"/>
          </w:tcPr>
          <w:p w14:paraId="6E55A202"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80.45</w:t>
            </w:r>
          </w:p>
        </w:tc>
        <w:tc>
          <w:tcPr>
            <w:tcW w:w="1422" w:type="dxa"/>
            <w:vAlign w:val="center"/>
          </w:tcPr>
          <w:p w14:paraId="663517F1"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4.11 (2.15)</w:t>
            </w:r>
          </w:p>
        </w:tc>
        <w:tc>
          <w:tcPr>
            <w:tcW w:w="1293" w:type="dxa"/>
            <w:vAlign w:val="center"/>
          </w:tcPr>
          <w:p w14:paraId="1DE46413"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5.51 (2.45)</w:t>
            </w:r>
          </w:p>
        </w:tc>
      </w:tr>
      <w:tr w:rsidR="00B01605" w:rsidRPr="00B01605" w14:paraId="19D19F5B" w14:textId="77777777" w:rsidTr="00D71A9B">
        <w:trPr>
          <w:trHeight w:val="469"/>
          <w:jc w:val="center"/>
        </w:trPr>
        <w:tc>
          <w:tcPr>
            <w:tcW w:w="3099" w:type="dxa"/>
            <w:vAlign w:val="center"/>
          </w:tcPr>
          <w:p w14:paraId="7472AF95"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Control</w:t>
            </w:r>
          </w:p>
        </w:tc>
        <w:tc>
          <w:tcPr>
            <w:tcW w:w="1810" w:type="dxa"/>
            <w:vAlign w:val="center"/>
          </w:tcPr>
          <w:p w14:paraId="6EC6E767"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27.50 (6.29)</w:t>
            </w:r>
          </w:p>
        </w:tc>
        <w:tc>
          <w:tcPr>
            <w:tcW w:w="1551" w:type="dxa"/>
            <w:vAlign w:val="center"/>
          </w:tcPr>
          <w:p w14:paraId="5FA8596B"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55.00</w:t>
            </w:r>
          </w:p>
        </w:tc>
        <w:tc>
          <w:tcPr>
            <w:tcW w:w="1422" w:type="dxa"/>
            <w:vAlign w:val="center"/>
          </w:tcPr>
          <w:p w14:paraId="587B5994"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33.97 (5.87)</w:t>
            </w:r>
          </w:p>
        </w:tc>
        <w:tc>
          <w:tcPr>
            <w:tcW w:w="1293" w:type="dxa"/>
            <w:vAlign w:val="center"/>
          </w:tcPr>
          <w:p w14:paraId="0F28585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35.12 (5.97)</w:t>
            </w:r>
          </w:p>
        </w:tc>
      </w:tr>
      <w:tr w:rsidR="00B01605" w:rsidRPr="00B01605" w14:paraId="76D61A80" w14:textId="77777777" w:rsidTr="00D71A9B">
        <w:trPr>
          <w:trHeight w:val="469"/>
          <w:jc w:val="center"/>
        </w:trPr>
        <w:tc>
          <w:tcPr>
            <w:tcW w:w="3099" w:type="dxa"/>
            <w:vAlign w:val="center"/>
          </w:tcPr>
          <w:p w14:paraId="19DB1DCF"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S. Em±</w:t>
            </w:r>
          </w:p>
        </w:tc>
        <w:tc>
          <w:tcPr>
            <w:tcW w:w="1810" w:type="dxa"/>
            <w:vAlign w:val="center"/>
          </w:tcPr>
          <w:p w14:paraId="06134713" w14:textId="77777777" w:rsidR="00B01605" w:rsidRPr="00B01605" w:rsidRDefault="00B01605" w:rsidP="004922CD">
            <w:pPr>
              <w:spacing w:line="276" w:lineRule="auto"/>
              <w:jc w:val="center"/>
              <w:rPr>
                <w:rFonts w:cs="Times New Roman"/>
                <w:b/>
                <w:bCs/>
                <w:sz w:val="18"/>
                <w:szCs w:val="18"/>
              </w:rPr>
            </w:pPr>
            <w:r w:rsidRPr="00B01605">
              <w:rPr>
                <w:rFonts w:cs="Times New Roman"/>
                <w:b/>
                <w:bCs/>
                <w:color w:val="000000"/>
                <w:sz w:val="18"/>
                <w:szCs w:val="18"/>
              </w:rPr>
              <w:t>0.03</w:t>
            </w:r>
          </w:p>
        </w:tc>
        <w:tc>
          <w:tcPr>
            <w:tcW w:w="1551" w:type="dxa"/>
            <w:vAlign w:val="center"/>
          </w:tcPr>
          <w:p w14:paraId="2C9A5236"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w:t>
            </w:r>
          </w:p>
        </w:tc>
        <w:tc>
          <w:tcPr>
            <w:tcW w:w="1422" w:type="dxa"/>
            <w:vAlign w:val="center"/>
          </w:tcPr>
          <w:p w14:paraId="37509ED6"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0.09</w:t>
            </w:r>
          </w:p>
        </w:tc>
        <w:tc>
          <w:tcPr>
            <w:tcW w:w="1293" w:type="dxa"/>
            <w:vAlign w:val="center"/>
          </w:tcPr>
          <w:p w14:paraId="2AEA3A94"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0.09</w:t>
            </w:r>
          </w:p>
        </w:tc>
      </w:tr>
      <w:tr w:rsidR="00B01605" w:rsidRPr="00B01605" w14:paraId="62BDA158" w14:textId="77777777" w:rsidTr="00D71A9B">
        <w:trPr>
          <w:trHeight w:val="469"/>
          <w:jc w:val="center"/>
        </w:trPr>
        <w:tc>
          <w:tcPr>
            <w:tcW w:w="3099" w:type="dxa"/>
            <w:vAlign w:val="center"/>
          </w:tcPr>
          <w:p w14:paraId="0EC39F6F"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C.D. @ 5%</w:t>
            </w:r>
          </w:p>
        </w:tc>
        <w:tc>
          <w:tcPr>
            <w:tcW w:w="1810" w:type="dxa"/>
            <w:vAlign w:val="center"/>
          </w:tcPr>
          <w:p w14:paraId="01C80D6A" w14:textId="77777777" w:rsidR="00B01605" w:rsidRPr="00B01605" w:rsidRDefault="00B01605" w:rsidP="004922CD">
            <w:pPr>
              <w:spacing w:line="276" w:lineRule="auto"/>
              <w:jc w:val="center"/>
              <w:rPr>
                <w:rFonts w:cs="Times New Roman"/>
                <w:b/>
                <w:bCs/>
                <w:sz w:val="18"/>
                <w:szCs w:val="18"/>
              </w:rPr>
            </w:pPr>
            <w:r w:rsidRPr="00B01605">
              <w:rPr>
                <w:rFonts w:cs="Times New Roman"/>
                <w:b/>
                <w:bCs/>
                <w:color w:val="000000"/>
                <w:sz w:val="18"/>
                <w:szCs w:val="18"/>
              </w:rPr>
              <w:t>0.10</w:t>
            </w:r>
          </w:p>
        </w:tc>
        <w:tc>
          <w:tcPr>
            <w:tcW w:w="1551" w:type="dxa"/>
            <w:vAlign w:val="center"/>
          </w:tcPr>
          <w:p w14:paraId="72B755CD"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w:t>
            </w:r>
          </w:p>
        </w:tc>
        <w:tc>
          <w:tcPr>
            <w:tcW w:w="1422" w:type="dxa"/>
            <w:vAlign w:val="center"/>
          </w:tcPr>
          <w:p w14:paraId="7E637F73"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0.28</w:t>
            </w:r>
          </w:p>
        </w:tc>
        <w:tc>
          <w:tcPr>
            <w:tcW w:w="1293" w:type="dxa"/>
            <w:vAlign w:val="center"/>
          </w:tcPr>
          <w:p w14:paraId="4A1D57C9"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0.27</w:t>
            </w:r>
          </w:p>
        </w:tc>
      </w:tr>
      <w:tr w:rsidR="00B01605" w:rsidRPr="00B01605" w14:paraId="045C5489" w14:textId="77777777" w:rsidTr="00D71A9B">
        <w:trPr>
          <w:trHeight w:val="469"/>
          <w:jc w:val="center"/>
        </w:trPr>
        <w:tc>
          <w:tcPr>
            <w:tcW w:w="3099" w:type="dxa"/>
            <w:vAlign w:val="center"/>
          </w:tcPr>
          <w:p w14:paraId="1FE39951"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lastRenderedPageBreak/>
              <w:t>CV%</w:t>
            </w:r>
          </w:p>
        </w:tc>
        <w:tc>
          <w:tcPr>
            <w:tcW w:w="1810" w:type="dxa"/>
            <w:vAlign w:val="center"/>
          </w:tcPr>
          <w:p w14:paraId="797D84ED"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0.87</w:t>
            </w:r>
          </w:p>
        </w:tc>
        <w:tc>
          <w:tcPr>
            <w:tcW w:w="1551" w:type="dxa"/>
            <w:vAlign w:val="center"/>
          </w:tcPr>
          <w:p w14:paraId="5F616365"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w:t>
            </w:r>
          </w:p>
        </w:tc>
        <w:tc>
          <w:tcPr>
            <w:tcW w:w="1422" w:type="dxa"/>
            <w:vAlign w:val="center"/>
          </w:tcPr>
          <w:p w14:paraId="362EF7BA"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7.14</w:t>
            </w:r>
          </w:p>
        </w:tc>
        <w:tc>
          <w:tcPr>
            <w:tcW w:w="1293" w:type="dxa"/>
            <w:vAlign w:val="center"/>
          </w:tcPr>
          <w:p w14:paraId="42E272D6"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6.18</w:t>
            </w:r>
          </w:p>
        </w:tc>
      </w:tr>
    </w:tbl>
    <w:p w14:paraId="535A85C7" w14:textId="607AE5B0" w:rsidR="00D71A9B" w:rsidRDefault="00D71A9B" w:rsidP="00B01605">
      <w:pPr>
        <w:spacing w:after="0"/>
        <w:rPr>
          <w:rFonts w:ascii="Times New Roman" w:hAnsi="Times New Roman" w:cs="Times New Roman"/>
          <w:szCs w:val="24"/>
        </w:rPr>
      </w:pPr>
      <w:r>
        <w:rPr>
          <w:rFonts w:ascii="Times New Roman" w:hAnsi="Times New Roman" w:cs="Times New Roman"/>
          <w:szCs w:val="24"/>
        </w:rPr>
        <w:t>*A</w:t>
      </w:r>
      <w:r w:rsidRPr="00B01605">
        <w:rPr>
          <w:rFonts w:ascii="Times New Roman" w:hAnsi="Times New Roman" w:cs="Times New Roman"/>
          <w:szCs w:val="24"/>
        </w:rPr>
        <w:t>l</w:t>
      </w:r>
      <w:r>
        <w:rPr>
          <w:rFonts w:ascii="Times New Roman" w:hAnsi="Times New Roman" w:cs="Times New Roman"/>
          <w:szCs w:val="24"/>
        </w:rPr>
        <w:t>l Data are means of three replications.</w:t>
      </w:r>
    </w:p>
    <w:p w14:paraId="02F40980" w14:textId="77777777" w:rsidR="00B01605" w:rsidRDefault="00D71A9B" w:rsidP="00B01605">
      <w:pPr>
        <w:spacing w:after="0"/>
        <w:rPr>
          <w:rFonts w:ascii="Times New Roman" w:hAnsi="Times New Roman" w:cs="Times New Roman"/>
          <w:szCs w:val="24"/>
        </w:rPr>
      </w:pPr>
      <w:r w:rsidRPr="00B01605">
        <w:rPr>
          <w:rFonts w:ascii="Times New Roman" w:hAnsi="Times New Roman" w:cs="Times New Roman"/>
          <w:szCs w:val="24"/>
        </w:rPr>
        <w:t>*Figures in parentheses are angular transformed value.</w:t>
      </w:r>
    </w:p>
    <w:p w14:paraId="63C37E1F" w14:textId="77777777" w:rsidR="00D71A9B" w:rsidRDefault="00D71A9B" w:rsidP="00B01605">
      <w:pPr>
        <w:spacing w:after="0"/>
        <w:rPr>
          <w:rFonts w:ascii="Times New Roman" w:hAnsi="Times New Roman" w:cs="Times New Roman"/>
          <w:szCs w:val="24"/>
        </w:rPr>
      </w:pPr>
    </w:p>
    <w:p w14:paraId="068E5087" w14:textId="6A745E68" w:rsidR="00D71A9B" w:rsidRPr="00D71A9B" w:rsidRDefault="00D71A9B" w:rsidP="00D71A9B">
      <w:pPr>
        <w:spacing w:after="0"/>
        <w:rPr>
          <w:rStyle w:val="Strong"/>
          <w:rFonts w:ascii="Times New Roman" w:hAnsi="Times New Roman" w:cs="Times New Roman"/>
          <w:szCs w:val="24"/>
        </w:rPr>
      </w:pPr>
      <w:r w:rsidRPr="00B01605">
        <w:rPr>
          <w:rFonts w:ascii="Times New Roman" w:hAnsi="Times New Roman" w:cs="Times New Roman"/>
          <w:noProof/>
          <w:szCs w:val="24"/>
        </w:rPr>
        <w:drawing>
          <wp:inline distT="0" distB="0" distL="0" distR="0" wp14:anchorId="391C4AD1" wp14:editId="4FC906D0">
            <wp:extent cx="5791200" cy="3206750"/>
            <wp:effectExtent l="0" t="0" r="0" b="12700"/>
            <wp:docPr id="1866082847" name="Chart 1">
              <a:extLst xmlns:a="http://schemas.openxmlformats.org/drawingml/2006/main">
                <a:ext uri="{FF2B5EF4-FFF2-40B4-BE49-F238E27FC236}">
                  <a16:creationId xmlns:a16="http://schemas.microsoft.com/office/drawing/2014/main" id="{574E136D-E267-1CF4-F5DE-4F1F453F1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71FF08" w14:textId="4E4C3FB5" w:rsidR="00D71A9B" w:rsidRPr="00D71A9B" w:rsidRDefault="00D71A9B" w:rsidP="00D71A9B">
      <w:pPr>
        <w:spacing w:after="0" w:line="240" w:lineRule="auto"/>
        <w:jc w:val="center"/>
        <w:rPr>
          <w:rStyle w:val="Strong"/>
          <w:rFonts w:ascii="Times New Roman" w:hAnsi="Times New Roman" w:cs="Times New Roman"/>
          <w:b w:val="0"/>
          <w:bCs w:val="0"/>
          <w:szCs w:val="24"/>
        </w:rPr>
        <w:sectPr w:rsidR="00D71A9B" w:rsidRPr="00D71A9B" w:rsidSect="00E772B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pgNumType w:start="25" w:chapStyle="2"/>
          <w:cols w:space="720"/>
          <w:docGrid w:linePitch="360"/>
        </w:sectPr>
      </w:pPr>
      <w:r w:rsidRPr="00D71A9B">
        <w:rPr>
          <w:rFonts w:ascii="Times New Roman" w:hAnsi="Times New Roman" w:cs="Times New Roman"/>
          <w:b/>
          <w:bCs/>
          <w:szCs w:val="24"/>
        </w:rPr>
        <w:t>Figure: 1</w:t>
      </w:r>
      <w:r w:rsidRPr="00D71A9B">
        <w:rPr>
          <w:rFonts w:ascii="Times New Roman" w:hAnsi="Times New Roman" w:cs="Times New Roman"/>
          <w:szCs w:val="24"/>
        </w:rPr>
        <w:t xml:space="preserve"> Effectiveness of different treatments against </w:t>
      </w:r>
      <w:proofErr w:type="spellStart"/>
      <w:r w:rsidRPr="00D71A9B">
        <w:rPr>
          <w:rFonts w:ascii="Times New Roman" w:hAnsi="Times New Roman" w:cs="Times New Roman"/>
          <w:i/>
          <w:iCs/>
          <w:szCs w:val="24"/>
        </w:rPr>
        <w:t>Sclerospora</w:t>
      </w:r>
      <w:proofErr w:type="spellEnd"/>
      <w:r w:rsidRPr="00D71A9B">
        <w:rPr>
          <w:rFonts w:ascii="Times New Roman" w:hAnsi="Times New Roman" w:cs="Times New Roman"/>
          <w:i/>
          <w:iCs/>
          <w:szCs w:val="24"/>
        </w:rPr>
        <w:t xml:space="preserve"> </w:t>
      </w:r>
      <w:proofErr w:type="spellStart"/>
      <w:r w:rsidRPr="00D71A9B">
        <w:rPr>
          <w:rFonts w:ascii="Times New Roman" w:hAnsi="Times New Roman" w:cs="Times New Roman"/>
          <w:i/>
          <w:iCs/>
          <w:szCs w:val="24"/>
        </w:rPr>
        <w:t>graminicola</w:t>
      </w:r>
      <w:proofErr w:type="spellEnd"/>
      <w:r w:rsidRPr="00D71A9B">
        <w:rPr>
          <w:rFonts w:ascii="Times New Roman" w:hAnsi="Times New Roman" w:cs="Times New Roman"/>
          <w:szCs w:val="24"/>
        </w:rPr>
        <w:t xml:space="preserve">, the causal agent of downy mildew in pearl millet. </w:t>
      </w:r>
      <w:r w:rsidRPr="00D71A9B">
        <w:rPr>
          <w:rFonts w:ascii="Times New Roman" w:hAnsi="Times New Roman" w:cs="Times New Roman"/>
          <w:color w:val="000000" w:themeColor="text1"/>
          <w:kern w:val="0"/>
          <w:szCs w:val="24"/>
        </w:rPr>
        <w:t xml:space="preserve"> </w:t>
      </w:r>
      <w:r w:rsidRPr="00D71A9B">
        <w:rPr>
          <w:rFonts w:ascii="Times New Roman" w:hAnsi="Times New Roman" w:cs="Times New Roman"/>
          <w:szCs w:val="24"/>
        </w:rPr>
        <w:t xml:space="preserve">during </w:t>
      </w:r>
      <w:r w:rsidRPr="00D71A9B">
        <w:rPr>
          <w:rFonts w:ascii="Times New Roman" w:hAnsi="Times New Roman" w:cs="Times New Roman"/>
          <w:i/>
          <w:iCs/>
          <w:szCs w:val="24"/>
        </w:rPr>
        <w:t xml:space="preserve">Kharif </w:t>
      </w:r>
      <w:r w:rsidRPr="00D71A9B">
        <w:rPr>
          <w:rFonts w:ascii="Times New Roman" w:hAnsi="Times New Roman" w:cs="Times New Roman"/>
          <w:szCs w:val="24"/>
        </w:rPr>
        <w:t>2024 under field</w:t>
      </w:r>
    </w:p>
    <w:p w14:paraId="3A1D7522" w14:textId="7C56BED5" w:rsidR="00F61CA0" w:rsidRPr="00B01605" w:rsidRDefault="00F61CA0" w:rsidP="00B01605">
      <w:pPr>
        <w:spacing w:after="0"/>
        <w:ind w:firstLine="720"/>
        <w:rPr>
          <w:rFonts w:ascii="Times New Roman" w:hAnsi="Times New Roman" w:cs="Times New Roman"/>
          <w:szCs w:val="24"/>
        </w:rPr>
      </w:pPr>
    </w:p>
    <w:p w14:paraId="0C38AD75" w14:textId="7B02AA5E" w:rsidR="00F61CA0" w:rsidRPr="00D71A9B" w:rsidRDefault="00F61CA0" w:rsidP="00D71A9B">
      <w:pPr>
        <w:spacing w:after="0"/>
        <w:jc w:val="both"/>
        <w:rPr>
          <w:rFonts w:ascii="Times New Roman" w:hAnsi="Times New Roman" w:cs="Times New Roman"/>
          <w:szCs w:val="24"/>
        </w:rPr>
      </w:pPr>
      <w:commentRangeStart w:id="9"/>
      <w:r w:rsidRPr="00B01605">
        <w:rPr>
          <w:rFonts w:ascii="Times New Roman" w:hAnsi="Times New Roman" w:cs="Times New Roman"/>
          <w:b/>
          <w:bCs/>
          <w:kern w:val="0"/>
          <w:szCs w:val="24"/>
        </w:rPr>
        <w:t>DISCUSSION</w:t>
      </w:r>
      <w:commentRangeEnd w:id="9"/>
      <w:r w:rsidR="00575942">
        <w:rPr>
          <w:rStyle w:val="CommentReference"/>
        </w:rPr>
        <w:commentReference w:id="9"/>
      </w:r>
    </w:p>
    <w:p w14:paraId="6E7CA6F8"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b/>
          <w:bCs/>
          <w:kern w:val="0"/>
          <w:szCs w:val="24"/>
        </w:rPr>
        <w:tab/>
      </w:r>
      <w:r w:rsidRPr="00B01605">
        <w:rPr>
          <w:rFonts w:ascii="Times New Roman" w:hAnsi="Times New Roman" w:cs="Times New Roman"/>
          <w:kern w:val="0"/>
          <w:szCs w:val="24"/>
        </w:rPr>
        <w:t xml:space="preserve">The highest seedling emergence (95.33%) and plant stand (47.67 plants per plot) were observed with the combined treatment of seed treatment using </w:t>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 xml:space="preserve"> @ 6 g/kg seed along with foliar spray of Propiconazole 25% EC @ 0.25%. This might be due to the systemic and protective action of both fungicides, which protected seedlings from primary infection and delayed disease onset. These findings are supported by Patil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 xml:space="preserve">(2008), who reported that </w:t>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 xml:space="preserve"> seed treatment combined with a foliar fungicide spray effectively controlled downy mildew and improved seedling emergence in pearl millet.</w:t>
      </w:r>
    </w:p>
    <w:p w14:paraId="3F1E5B39" w14:textId="0256BECF"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 xml:space="preserve"> alone also performed significantly well (88.43% emergence), indicating its systemic activity against oomycetes such as </w:t>
      </w:r>
      <w:proofErr w:type="spellStart"/>
      <w:r w:rsidR="00B47022" w:rsidRPr="00B01605">
        <w:rPr>
          <w:rFonts w:ascii="Times New Roman" w:hAnsi="Times New Roman" w:cs="Times New Roman"/>
          <w:i/>
          <w:iCs/>
          <w:kern w:val="0"/>
          <w:szCs w:val="24"/>
        </w:rPr>
        <w:t>Sclerospora</w:t>
      </w:r>
      <w:proofErr w:type="spellEnd"/>
      <w:r w:rsidR="00B47022" w:rsidRPr="00B01605">
        <w:rPr>
          <w:rFonts w:ascii="Times New Roman" w:hAnsi="Times New Roman" w:cs="Times New Roman"/>
          <w:i/>
          <w:iCs/>
          <w:kern w:val="0"/>
          <w:szCs w:val="24"/>
        </w:rPr>
        <w:t xml:space="preserve"> </w:t>
      </w:r>
      <w:proofErr w:type="spellStart"/>
      <w:r w:rsidR="00B47022" w:rsidRPr="00B01605">
        <w:rPr>
          <w:rFonts w:ascii="Times New Roman" w:hAnsi="Times New Roman" w:cs="Times New Roman"/>
          <w:i/>
          <w:iCs/>
          <w:kern w:val="0"/>
          <w:szCs w:val="24"/>
        </w:rPr>
        <w:t>graminicola</w:t>
      </w:r>
      <w:proofErr w:type="spellEnd"/>
      <w:r w:rsidRPr="00B01605">
        <w:rPr>
          <w:rFonts w:ascii="Times New Roman" w:hAnsi="Times New Roman" w:cs="Times New Roman"/>
          <w:kern w:val="0"/>
          <w:szCs w:val="24"/>
        </w:rPr>
        <w:t xml:space="preserve">. Thakur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 xml:space="preserve">(2003) observed similar results, where </w:t>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-treated seeds showed improved germination and reduced early infection of downy mildew.</w:t>
      </w:r>
    </w:p>
    <w:p w14:paraId="0A9E7F8A"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Minimum disease incidence at 30 and 60 DAS was recorded in the combined Seed treatment with </w:t>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 xml:space="preserve"> (@ 6g/kg seed + Spray of Propiconazole 25% EC @ 0.25%treatment (2.00% and 3.28%, respectively). This confirms the synergistic effect of dual fungicide application, offering both protective and curative action against the pathogen. Singh and Shetty (1990) highlighted the importance of combining seed and foliar fungicide applications for effective management of downy mildew in susceptible crops like pearl millet and sorghum.</w:t>
      </w:r>
    </w:p>
    <w:p w14:paraId="7D8F7ED6"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lastRenderedPageBreak/>
        <w:tab/>
        <w:t>Chemical fungicides like Carbendazim and Mancozeb also performed moderately well. Carbendazim, a systemic benzimidazole fungicide, inhibited fungal mycelial development. These results are in line with Reddy and Anahosur (1994), who observed that Carbendazim significantly suppressed downy mildew development in pearl millet under field conditions.</w:t>
      </w:r>
    </w:p>
    <w:p w14:paraId="0501D04E" w14:textId="77777777" w:rsidR="00F61CA0" w:rsidRPr="00B01605" w:rsidRDefault="00F61CA0" w:rsidP="005462CD">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Among the biological treatments, seed treatment with </w:t>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i/>
          <w:iCs/>
          <w:kern w:val="0"/>
          <w:szCs w:val="24"/>
        </w:rPr>
        <w:t xml:space="preserve"> </w:t>
      </w:r>
      <w:r w:rsidRPr="00B01605">
        <w:rPr>
          <w:rFonts w:ascii="Times New Roman" w:hAnsi="Times New Roman" w:cs="Times New Roman"/>
          <w:kern w:val="0"/>
          <w:szCs w:val="24"/>
        </w:rPr>
        <w:t xml:space="preserve">and </w:t>
      </w:r>
      <w:r w:rsidRPr="00B01605">
        <w:rPr>
          <w:rFonts w:ascii="Times New Roman" w:hAnsi="Times New Roman" w:cs="Times New Roman"/>
          <w:i/>
          <w:iCs/>
          <w:kern w:val="0"/>
          <w:szCs w:val="24"/>
        </w:rPr>
        <w:t xml:space="preserve">Trichoderma aspergillus </w:t>
      </w:r>
      <w:r w:rsidRPr="00B01605">
        <w:rPr>
          <w:rFonts w:ascii="Times New Roman" w:hAnsi="Times New Roman" w:cs="Times New Roman"/>
          <w:kern w:val="0"/>
          <w:szCs w:val="24"/>
        </w:rPr>
        <w:t xml:space="preserve">demonstrated moderate efficacy in reducing disease incidence. These organisms are known for their antagonistic activity, induced systemic resistance (ISR), and rhizosphere competence. </w:t>
      </w:r>
      <w:r w:rsidRPr="00B01605">
        <w:rPr>
          <w:rFonts w:ascii="Times New Roman" w:hAnsi="Times New Roman" w:cs="Times New Roman"/>
          <w:i/>
          <w:iCs/>
          <w:kern w:val="0"/>
          <w:szCs w:val="24"/>
        </w:rPr>
        <w:t>Trichoderma spp</w:t>
      </w:r>
      <w:r w:rsidRPr="00B01605">
        <w:rPr>
          <w:rFonts w:ascii="Times New Roman" w:hAnsi="Times New Roman" w:cs="Times New Roman"/>
          <w:kern w:val="0"/>
          <w:szCs w:val="24"/>
        </w:rPr>
        <w:t xml:space="preserve">. produces secondary metabolites and hydrolytic enzymes that suppress soil-borne pathogens. Similar results were reported by Niranjana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 xml:space="preserve">(2002), who found that </w:t>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i/>
          <w:iCs/>
          <w:kern w:val="0"/>
          <w:szCs w:val="24"/>
        </w:rPr>
        <w:t xml:space="preserve"> </w:t>
      </w:r>
      <w:r w:rsidRPr="00B01605">
        <w:rPr>
          <w:rFonts w:ascii="Times New Roman" w:hAnsi="Times New Roman" w:cs="Times New Roman"/>
          <w:kern w:val="0"/>
          <w:szCs w:val="24"/>
        </w:rPr>
        <w:t>reduced the incidence of several soil-borne diseases through competition and antibiosis.</w:t>
      </w:r>
    </w:p>
    <w:p w14:paraId="31A0FDDA"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kern w:val="0"/>
          <w:szCs w:val="24"/>
        </w:rPr>
        <w:t xml:space="preserve">, a plant growth-promoting rhizobacteria (PGPR), showed promising disease suppression, supporting findings of Kloepper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(2004), who stated that PGPR enhance plant immunity and reduce disease incidence by activating ISR mechanisms. However, biological treatments were not as effective as chemical fungicides, possibly due to environmental variability and lower pathogen suppression under high disease pressure.</w:t>
      </w:r>
    </w:p>
    <w:p w14:paraId="083772E9"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Neem oil showed limited efficacy in suppressing downy mildew (5.51% incidence at 60 DAS), but it was significantly better than the control (35.12%). Neem oil contains azadirachtin and other compounds that have antifungal properties. Choudhary and Kumari (2010) reported moderate antifungal activity of neem-based formulations against various plant pathogens.</w:t>
      </w:r>
    </w:p>
    <w:p w14:paraId="523FF889"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Carbendazim and Mancozeb treatments also showed considerable disease suppression, which is in agreement with Sharma and Jain (2012), who reported the broad-spectrum protective activity of these fungicides against downy mildew pathogens. Among the biological agents, </w:t>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i/>
          <w:iCs/>
          <w:kern w:val="0"/>
          <w:szCs w:val="24"/>
        </w:rPr>
        <w:t xml:space="preserve"> </w:t>
      </w:r>
      <w:r w:rsidRPr="00B01605">
        <w:rPr>
          <w:rFonts w:ascii="Times New Roman" w:hAnsi="Times New Roman" w:cs="Times New Roman"/>
          <w:kern w:val="0"/>
          <w:szCs w:val="24"/>
        </w:rPr>
        <w:t xml:space="preserve">and </w:t>
      </w:r>
      <w:r w:rsidRPr="00B01605">
        <w:rPr>
          <w:rFonts w:ascii="Times New Roman" w:hAnsi="Times New Roman" w:cs="Times New Roman"/>
          <w:i/>
          <w:iCs/>
          <w:kern w:val="0"/>
          <w:szCs w:val="24"/>
        </w:rPr>
        <w:t xml:space="preserve">Trichoderma aspergillus </w:t>
      </w:r>
      <w:r w:rsidRPr="00B01605">
        <w:rPr>
          <w:rFonts w:ascii="Times New Roman" w:hAnsi="Times New Roman" w:cs="Times New Roman"/>
          <w:kern w:val="0"/>
          <w:szCs w:val="24"/>
        </w:rPr>
        <w:t xml:space="preserve">showed moderate disease control (around 3.2-3.7% incidence), reflecting their potential in inducing systemic resistance and producing antifungal metabolites, as documented by Gopalakrishnan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(2011) and Basha and Ulaganathan (2002).</w:t>
      </w:r>
    </w:p>
    <w:p w14:paraId="7B2E79D4"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szCs w:val="24"/>
        </w:rPr>
      </w:pPr>
      <w:r w:rsidRPr="00B01605">
        <w:rPr>
          <w:rFonts w:ascii="Times New Roman" w:hAnsi="Times New Roman" w:cs="Times New Roman"/>
          <w:kern w:val="0"/>
          <w:szCs w:val="24"/>
        </w:rPr>
        <w:tab/>
      </w:r>
      <w:r w:rsidRPr="00B01605">
        <w:rPr>
          <w:rFonts w:ascii="Times New Roman" w:hAnsi="Times New Roman" w:cs="Times New Roman"/>
          <w:szCs w:val="24"/>
        </w:rPr>
        <w:t xml:space="preserve">The findings of the present study are in agreement with those of Ramesh </w:t>
      </w:r>
      <w:r w:rsidRPr="00B01605">
        <w:rPr>
          <w:rFonts w:ascii="Times New Roman" w:hAnsi="Times New Roman" w:cs="Times New Roman"/>
          <w:i/>
          <w:iCs/>
          <w:szCs w:val="24"/>
        </w:rPr>
        <w:t>et al.</w:t>
      </w:r>
      <w:r w:rsidRPr="00B01605">
        <w:rPr>
          <w:rFonts w:ascii="Times New Roman" w:hAnsi="Times New Roman" w:cs="Times New Roman"/>
          <w:szCs w:val="24"/>
        </w:rPr>
        <w:t xml:space="preserve"> (2009), who reported that seed treatment with </w:t>
      </w:r>
      <w:r w:rsidRPr="00B01605">
        <w:rPr>
          <w:rStyle w:val="Emphasis"/>
          <w:rFonts w:ascii="Times New Roman" w:hAnsi="Times New Roman" w:cs="Times New Roman"/>
          <w:szCs w:val="24"/>
        </w:rPr>
        <w:t>P. fluorescens</w:t>
      </w:r>
      <w:r w:rsidRPr="00B01605">
        <w:rPr>
          <w:rFonts w:ascii="Times New Roman" w:hAnsi="Times New Roman" w:cs="Times New Roman"/>
          <w:szCs w:val="24"/>
        </w:rPr>
        <w:t xml:space="preserve"> significantly reduced downy mildew severity and improved seedling </w:t>
      </w:r>
      <w:proofErr w:type="spellStart"/>
      <w:r w:rsidRPr="00B01605">
        <w:rPr>
          <w:rFonts w:ascii="Times New Roman" w:hAnsi="Times New Roman" w:cs="Times New Roman"/>
          <w:szCs w:val="24"/>
        </w:rPr>
        <w:t>vigour</w:t>
      </w:r>
      <w:proofErr w:type="spellEnd"/>
      <w:r w:rsidRPr="00B01605">
        <w:rPr>
          <w:rFonts w:ascii="Times New Roman" w:hAnsi="Times New Roman" w:cs="Times New Roman"/>
          <w:szCs w:val="24"/>
        </w:rPr>
        <w:t xml:space="preserve"> in pearl millet. Similarly, Thirumala-Devi </w:t>
      </w:r>
      <w:r w:rsidRPr="00B01605">
        <w:rPr>
          <w:rFonts w:ascii="Times New Roman" w:hAnsi="Times New Roman" w:cs="Times New Roman"/>
          <w:i/>
          <w:iCs/>
          <w:szCs w:val="24"/>
        </w:rPr>
        <w:t>et al.</w:t>
      </w:r>
      <w:r w:rsidRPr="00B01605">
        <w:rPr>
          <w:rFonts w:ascii="Times New Roman" w:hAnsi="Times New Roman" w:cs="Times New Roman"/>
          <w:szCs w:val="24"/>
        </w:rPr>
        <w:t xml:space="preserve"> (2012) also reported a substantial reduction in disease incidence and enhancement of plant growth when </w:t>
      </w:r>
      <w:r w:rsidRPr="00B01605">
        <w:rPr>
          <w:rStyle w:val="Emphasis"/>
          <w:rFonts w:ascii="Times New Roman" w:hAnsi="Times New Roman" w:cs="Times New Roman"/>
          <w:szCs w:val="24"/>
        </w:rPr>
        <w:t>P. fluorescens</w:t>
      </w:r>
      <w:r w:rsidRPr="00B01605">
        <w:rPr>
          <w:rFonts w:ascii="Times New Roman" w:hAnsi="Times New Roman" w:cs="Times New Roman"/>
          <w:szCs w:val="24"/>
        </w:rPr>
        <w:t xml:space="preserve"> was applied as a seed or soil treatment under field conditions.</w:t>
      </w:r>
    </w:p>
    <w:p w14:paraId="4104C6F5"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Neem oil, though slightly less effective than chemical treatments, still demonstrated suppressive effects on disease incidence, supporting earlier work by Singh and Prasad (2008) that highlighted the antifungal properties of neem-based formulations. The significantly high disease incidence in the untreated control (33.97% at 30 DAS and 35.12% at 60 DAS) confirmed the conducive conditions for natural epiphytotic development of downy mildew and emphasized the necessity of effective disease management strategies.</w:t>
      </w:r>
    </w:p>
    <w:p w14:paraId="6F51721A"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Overall, the results underscore the importance of integrated disease management (IDM) involving compatible chemical and biological agents. The systemic fungicides, particularly in combination treatments, offer reliable protection, while bioagents and botanicals contribute to sustainable, eco-friendly disease suppression. These findings are consistent with the principles of IDM and advocate for their adoption in downy mildew-prone regions to ensure healthy crop establishment and yield sustainability.</w:t>
      </w:r>
    </w:p>
    <w:p w14:paraId="2F11D7FB" w14:textId="0BCF7500" w:rsidR="00E11C54" w:rsidRDefault="00F61CA0"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r w:rsidRPr="00B01605">
        <w:rPr>
          <w:rFonts w:ascii="Times New Roman" w:hAnsi="Times New Roman" w:cs="Times New Roman"/>
          <w:b/>
          <w:bCs/>
          <w:kern w:val="0"/>
          <w:szCs w:val="24"/>
        </w:rPr>
        <w:tab/>
      </w:r>
      <w:r w:rsidRPr="00B01605">
        <w:rPr>
          <w:rFonts w:ascii="Times New Roman" w:hAnsi="Times New Roman" w:cs="Times New Roman"/>
          <w:kern w:val="0"/>
          <w:szCs w:val="24"/>
        </w:rPr>
        <w:t xml:space="preserve">The integrated treatment of </w:t>
      </w:r>
      <w:r w:rsidRPr="00B01605">
        <w:rPr>
          <w:rFonts w:ascii="Times New Roman" w:eastAsia="Times New Roman" w:hAnsi="Times New Roman" w:cs="Times New Roman"/>
          <w:szCs w:val="24"/>
        </w:rPr>
        <w:t xml:space="preserve">Seed treatment with </w:t>
      </w:r>
      <w:proofErr w:type="spellStart"/>
      <w:r w:rsidRPr="00B01605">
        <w:rPr>
          <w:rFonts w:ascii="Times New Roman" w:eastAsia="Times New Roman" w:hAnsi="Times New Roman" w:cs="Times New Roman"/>
          <w:szCs w:val="24"/>
        </w:rPr>
        <w:t>Metalaxyl</w:t>
      </w:r>
      <w:proofErr w:type="spellEnd"/>
      <w:r w:rsidRPr="00B01605">
        <w:rPr>
          <w:rFonts w:ascii="Times New Roman" w:eastAsia="Times New Roman" w:hAnsi="Times New Roman" w:cs="Times New Roman"/>
          <w:szCs w:val="24"/>
        </w:rPr>
        <w:t xml:space="preserve"> (@ 6 g/kg seed) + Spray of Propiconazole 25% EC @ 0.25% </w:t>
      </w:r>
      <w:r w:rsidRPr="00B01605">
        <w:rPr>
          <w:rFonts w:ascii="Times New Roman" w:hAnsi="Times New Roman" w:cs="Times New Roman"/>
          <w:kern w:val="0"/>
          <w:szCs w:val="24"/>
        </w:rPr>
        <w:t xml:space="preserve">also provided moderate disease suppression (4.33% at 30 DAS </w:t>
      </w:r>
      <w:r w:rsidRPr="00B01605">
        <w:rPr>
          <w:rFonts w:ascii="Times New Roman" w:hAnsi="Times New Roman" w:cs="Times New Roman"/>
          <w:kern w:val="0"/>
          <w:szCs w:val="24"/>
        </w:rPr>
        <w:lastRenderedPageBreak/>
        <w:t xml:space="preserve">and 5.23% at 60 DAS), which agrees with observations made by Meena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(2016), advocating for integrated management as a sustainable strategy against downy mildew.</w:t>
      </w:r>
      <w:r w:rsidRPr="00B01605">
        <w:rPr>
          <w:rFonts w:ascii="Times New Roman" w:hAnsi="Times New Roman" w:cs="Times New Roman"/>
          <w:b/>
          <w:bCs/>
          <w:kern w:val="0"/>
          <w:szCs w:val="24"/>
        </w:rPr>
        <w:t xml:space="preserve"> </w:t>
      </w:r>
      <w:r w:rsidRPr="00B01605">
        <w:rPr>
          <w:rFonts w:ascii="Times New Roman" w:hAnsi="Times New Roman" w:cs="Times New Roman"/>
          <w:kern w:val="0"/>
          <w:szCs w:val="24"/>
        </w:rPr>
        <w:t xml:space="preserve">Biocontrol agents like </w:t>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i/>
          <w:iCs/>
          <w:kern w:val="0"/>
          <w:szCs w:val="24"/>
        </w:rPr>
        <w:t xml:space="preserve"> </w:t>
      </w:r>
      <w:r w:rsidRPr="00B01605">
        <w:rPr>
          <w:rFonts w:ascii="Times New Roman" w:hAnsi="Times New Roman" w:cs="Times New Roman"/>
          <w:kern w:val="0"/>
          <w:szCs w:val="24"/>
        </w:rPr>
        <w:t xml:space="preserve">and </w:t>
      </w:r>
      <w:r w:rsidRPr="00B01605">
        <w:rPr>
          <w:rFonts w:ascii="Times New Roman" w:hAnsi="Times New Roman" w:cs="Times New Roman"/>
          <w:i/>
          <w:iCs/>
          <w:kern w:val="0"/>
          <w:szCs w:val="24"/>
        </w:rPr>
        <w:t>P. fluorescens</w:t>
      </w:r>
      <w:r w:rsidRPr="00B01605">
        <w:rPr>
          <w:rFonts w:ascii="Times New Roman" w:hAnsi="Times New Roman" w:cs="Times New Roman"/>
          <w:kern w:val="0"/>
          <w:szCs w:val="24"/>
        </w:rPr>
        <w:t xml:space="preserve"> performed well initially but showed higher disease incidence by 60 DAS compared to chemical treatments. This could be attributed to the slower mode of action of bioagents, which often require colonization and competition to effectively suppress pathogens (Baker and </w:t>
      </w:r>
      <w:proofErr w:type="spellStart"/>
      <w:r w:rsidRPr="00B01605">
        <w:rPr>
          <w:rFonts w:ascii="Times New Roman" w:hAnsi="Times New Roman" w:cs="Times New Roman"/>
          <w:kern w:val="0"/>
          <w:szCs w:val="24"/>
        </w:rPr>
        <w:t>Paulitz</w:t>
      </w:r>
      <w:proofErr w:type="spellEnd"/>
      <w:r w:rsidRPr="00B01605">
        <w:rPr>
          <w:rFonts w:ascii="Times New Roman" w:hAnsi="Times New Roman" w:cs="Times New Roman"/>
          <w:kern w:val="0"/>
          <w:szCs w:val="24"/>
        </w:rPr>
        <w:t>, 1996).</w:t>
      </w:r>
      <w:r w:rsidRPr="00B01605">
        <w:rPr>
          <w:rFonts w:ascii="Times New Roman" w:hAnsi="Times New Roman" w:cs="Times New Roman"/>
          <w:b/>
          <w:bCs/>
          <w:kern w:val="0"/>
          <w:szCs w:val="24"/>
        </w:rPr>
        <w:t xml:space="preserve"> </w:t>
      </w:r>
      <w:r w:rsidRPr="00B01605">
        <w:rPr>
          <w:rFonts w:ascii="Times New Roman" w:hAnsi="Times New Roman" w:cs="Times New Roman"/>
          <w:kern w:val="0"/>
          <w:szCs w:val="24"/>
        </w:rPr>
        <w:t>Neem oil, despite being considered a natural pesticide, was the least effective among the treatments with disease incidences of 7.83% (30 DAS) and 8.23% (60 DAS). This suggests that while neem oil may offer some level of antifungal activity, it is insufficient for managing systemic diseases like downy mildew in susceptible crops like pearl millet.</w:t>
      </w:r>
      <w:r w:rsidRPr="00B01605">
        <w:rPr>
          <w:rFonts w:ascii="Times New Roman" w:hAnsi="Times New Roman" w:cs="Times New Roman"/>
          <w:b/>
          <w:bCs/>
          <w:kern w:val="0"/>
          <w:szCs w:val="24"/>
        </w:rPr>
        <w:t xml:space="preserve"> </w:t>
      </w:r>
      <w:r w:rsidRPr="00B01605">
        <w:rPr>
          <w:rFonts w:ascii="Times New Roman" w:hAnsi="Times New Roman" w:cs="Times New Roman"/>
          <w:kern w:val="0"/>
          <w:szCs w:val="24"/>
        </w:rPr>
        <w:t xml:space="preserve">The untreated control consistently showed the highest incidence of downy mildew (33.97% at 30 DAS and 35.10% at 60 DAS), illustrating the epiphytotic potential of the disease under favorable weather conditions (high humidity and moderate temperatures), as reported by </w:t>
      </w:r>
      <w:proofErr w:type="spellStart"/>
      <w:r w:rsidRPr="00B01605">
        <w:rPr>
          <w:rFonts w:ascii="Times New Roman" w:hAnsi="Times New Roman" w:cs="Times New Roman"/>
          <w:kern w:val="0"/>
          <w:szCs w:val="24"/>
        </w:rPr>
        <w:t>Safeeulla</w:t>
      </w:r>
      <w:proofErr w:type="spellEnd"/>
      <w:r w:rsidRPr="00B01605">
        <w:rPr>
          <w:rFonts w:ascii="Times New Roman" w:hAnsi="Times New Roman" w:cs="Times New Roman"/>
          <w:kern w:val="0"/>
          <w:szCs w:val="24"/>
        </w:rPr>
        <w:t xml:space="preserve"> (1976) and Thakur </w:t>
      </w:r>
      <w:r w:rsidRPr="00B01605">
        <w:rPr>
          <w:rFonts w:ascii="Times New Roman" w:hAnsi="Times New Roman" w:cs="Times New Roman"/>
          <w:i/>
          <w:iCs/>
          <w:kern w:val="0"/>
          <w:szCs w:val="24"/>
        </w:rPr>
        <w:t xml:space="preserve">et al., </w:t>
      </w:r>
      <w:commentRangeStart w:id="10"/>
      <w:r w:rsidRPr="00B01605">
        <w:rPr>
          <w:rFonts w:ascii="Times New Roman" w:hAnsi="Times New Roman" w:cs="Times New Roman"/>
          <w:kern w:val="0"/>
          <w:szCs w:val="24"/>
        </w:rPr>
        <w:t>(2007).</w:t>
      </w:r>
      <w:commentRangeEnd w:id="10"/>
      <w:r w:rsidR="00575942">
        <w:rPr>
          <w:rStyle w:val="CommentReference"/>
        </w:rPr>
        <w:commentReference w:id="10"/>
      </w:r>
    </w:p>
    <w:p w14:paraId="2E7BD4D3" w14:textId="77777777" w:rsidR="002A3DE8"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27D821D9" w14:textId="77777777" w:rsidR="002A3DE8"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2C20C420" w14:textId="77777777" w:rsidR="002A3DE8"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555B171C" w14:textId="77777777" w:rsidR="002A3DE8" w:rsidRPr="002A3DE8" w:rsidRDefault="002A3DE8" w:rsidP="002A3DE8">
      <w:pPr>
        <w:pBdr>
          <w:bottom w:val="double" w:sz="6" w:space="1" w:color="auto"/>
        </w:pBdr>
        <w:tabs>
          <w:tab w:val="left" w:pos="810"/>
          <w:tab w:val="right" w:pos="8640"/>
        </w:tabs>
        <w:spacing w:line="240" w:lineRule="auto"/>
        <w:jc w:val="both"/>
        <w:rPr>
          <w:rFonts w:ascii="Times New Roman" w:hAnsi="Times New Roman" w:cs="Times New Roman"/>
          <w:kern w:val="0"/>
          <w:szCs w:val="24"/>
        </w:rPr>
      </w:pPr>
      <w:r w:rsidRPr="002A3DE8">
        <w:rPr>
          <w:rFonts w:ascii="Times New Roman" w:hAnsi="Times New Roman" w:cs="Times New Roman"/>
          <w:kern w:val="0"/>
          <w:szCs w:val="24"/>
        </w:rPr>
        <w:t>COMPETING INTERESTS DISCLAIMER:</w:t>
      </w:r>
    </w:p>
    <w:p w14:paraId="21BE388B" w14:textId="2292777F" w:rsidR="002A3DE8" w:rsidRDefault="002A3DE8" w:rsidP="002A3DE8">
      <w:pPr>
        <w:pBdr>
          <w:bottom w:val="double" w:sz="6" w:space="1" w:color="auto"/>
        </w:pBdr>
        <w:tabs>
          <w:tab w:val="left" w:pos="810"/>
          <w:tab w:val="right" w:pos="8640"/>
        </w:tabs>
        <w:spacing w:line="240" w:lineRule="auto"/>
        <w:jc w:val="both"/>
        <w:rPr>
          <w:rFonts w:ascii="Times New Roman" w:hAnsi="Times New Roman" w:cs="Times New Roman"/>
          <w:kern w:val="0"/>
          <w:szCs w:val="24"/>
        </w:rPr>
      </w:pPr>
      <w:r w:rsidRPr="002A3DE8">
        <w:rPr>
          <w:rFonts w:ascii="Times New Roman" w:hAnsi="Times New Roman" w:cs="Times New Roman"/>
          <w:kern w:val="0"/>
          <w:szCs w:val="24"/>
        </w:rPr>
        <w:t>Authors have declared that they have no known competing financial interests OR non-financial interests OR personal relationships that could have appeared to influence the work reported in this paper.</w:t>
      </w:r>
    </w:p>
    <w:p w14:paraId="273BA5D6" w14:textId="77777777" w:rsidR="002A3DE8"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12FCBFD8" w14:textId="77777777" w:rsidR="002A3DE8"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2EDE6A54" w14:textId="77777777" w:rsidR="002A3DE8" w:rsidRPr="00B01605"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1A7A03F2" w14:textId="7CD8BACB" w:rsidR="00B27251" w:rsidRPr="00B01605" w:rsidRDefault="00B27251" w:rsidP="00B27251">
      <w:pPr>
        <w:pBdr>
          <w:bottom w:val="double" w:sz="6" w:space="1" w:color="auto"/>
        </w:pBdr>
        <w:tabs>
          <w:tab w:val="left" w:pos="810"/>
          <w:tab w:val="right" w:pos="8640"/>
        </w:tabs>
        <w:spacing w:line="360" w:lineRule="auto"/>
        <w:jc w:val="both"/>
        <w:rPr>
          <w:rFonts w:ascii="Times New Roman" w:hAnsi="Times New Roman" w:cs="Times New Roman"/>
          <w:b/>
          <w:bCs/>
          <w:kern w:val="0"/>
          <w:szCs w:val="24"/>
        </w:rPr>
      </w:pPr>
      <w:r w:rsidRPr="00B01605">
        <w:rPr>
          <w:rFonts w:ascii="Times New Roman" w:hAnsi="Times New Roman" w:cs="Times New Roman"/>
          <w:b/>
          <w:bCs/>
          <w:kern w:val="0"/>
          <w:szCs w:val="24"/>
        </w:rPr>
        <w:t>REFERENCE</w:t>
      </w:r>
    </w:p>
    <w:p w14:paraId="0204FF6D" w14:textId="77777777" w:rsidR="00E11C54" w:rsidRPr="00B01605" w:rsidRDefault="00E11C54"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sectPr w:rsidR="00E11C54" w:rsidRPr="00B01605" w:rsidSect="00E772B6">
          <w:type w:val="continuous"/>
          <w:pgSz w:w="12240" w:h="15840"/>
          <w:pgMar w:top="1440" w:right="1440" w:bottom="1440" w:left="1440" w:header="720" w:footer="720" w:gutter="0"/>
          <w:cols w:space="720"/>
          <w:docGrid w:linePitch="360"/>
        </w:sectPr>
      </w:pPr>
    </w:p>
    <w:p w14:paraId="0261C6CD" w14:textId="507CDCED"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Baker, R., &amp; </w:t>
      </w:r>
      <w:proofErr w:type="spellStart"/>
      <w:r w:rsidRPr="00B01605">
        <w:rPr>
          <w:rFonts w:ascii="Times New Roman" w:hAnsi="Times New Roman" w:cs="Times New Roman"/>
          <w:kern w:val="0"/>
          <w:szCs w:val="24"/>
        </w:rPr>
        <w:t>Paulitz</w:t>
      </w:r>
      <w:proofErr w:type="spellEnd"/>
      <w:r w:rsidRPr="00B01605">
        <w:rPr>
          <w:rFonts w:ascii="Times New Roman" w:hAnsi="Times New Roman" w:cs="Times New Roman"/>
          <w:kern w:val="0"/>
          <w:szCs w:val="24"/>
        </w:rPr>
        <w:t>, T. (1996). Theoretical basis for using biocontrol agents in disease management. Annual Review of Phytopathology, 34, 451</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470.</w:t>
      </w:r>
    </w:p>
    <w:p w14:paraId="7C145FCA" w14:textId="24A0CEFF"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285980">
        <w:rPr>
          <w:rFonts w:ascii="Times New Roman" w:hAnsi="Times New Roman" w:cs="Times New Roman"/>
          <w:kern w:val="0"/>
          <w:szCs w:val="24"/>
          <w:lang w:val="it-IT"/>
        </w:rPr>
        <w:t xml:space="preserve">Basha, S. A., &amp; Ulaganathan, K. (2002). </w:t>
      </w:r>
      <w:r w:rsidRPr="00B01605">
        <w:rPr>
          <w:rFonts w:ascii="Times New Roman" w:hAnsi="Times New Roman" w:cs="Times New Roman"/>
          <w:kern w:val="0"/>
          <w:szCs w:val="24"/>
        </w:rPr>
        <w:t xml:space="preserve">An antifungal protein from Pseudomonas fluorescens inhibits the growth of Rhizoctonia </w:t>
      </w:r>
      <w:proofErr w:type="spellStart"/>
      <w:r w:rsidRPr="00B01605">
        <w:rPr>
          <w:rFonts w:ascii="Times New Roman" w:hAnsi="Times New Roman" w:cs="Times New Roman"/>
          <w:kern w:val="0"/>
          <w:szCs w:val="24"/>
        </w:rPr>
        <w:t>solani</w:t>
      </w:r>
      <w:proofErr w:type="spellEnd"/>
      <w:r w:rsidRPr="00B01605">
        <w:rPr>
          <w:rFonts w:ascii="Times New Roman" w:hAnsi="Times New Roman" w:cs="Times New Roman"/>
          <w:kern w:val="0"/>
          <w:szCs w:val="24"/>
        </w:rPr>
        <w:t>. World Journal of Microbiology and Biotechnology, 18, 221</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225.</w:t>
      </w:r>
    </w:p>
    <w:p w14:paraId="34ABC6DD" w14:textId="3AE2A4D5"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Choudhary, R., &amp; Kumari, P. (2010). Efficacy of neem-based formulations against fungal pathogens of crops. Journal of Biopesticides, 3(3), 590</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592.</w:t>
      </w:r>
    </w:p>
    <w:p w14:paraId="3CF8EE38" w14:textId="0A4A2EC5"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Gopalakrishnan, S., Kiran, B. K., Humayun, P., Vidya, M. S., Deepthi, K., &amp; </w:t>
      </w:r>
      <w:proofErr w:type="spellStart"/>
      <w:r w:rsidRPr="00B01605">
        <w:rPr>
          <w:rFonts w:ascii="Times New Roman" w:hAnsi="Times New Roman" w:cs="Times New Roman"/>
          <w:kern w:val="0"/>
          <w:szCs w:val="24"/>
        </w:rPr>
        <w:t>Rupela</w:t>
      </w:r>
      <w:proofErr w:type="spellEnd"/>
      <w:r w:rsidRPr="00B01605">
        <w:rPr>
          <w:rFonts w:ascii="Times New Roman" w:hAnsi="Times New Roman" w:cs="Times New Roman"/>
          <w:kern w:val="0"/>
          <w:szCs w:val="24"/>
        </w:rPr>
        <w:t>, O. (2011). Biocontrol of charcoal rot of sorghum by Streptomyces spp. under field conditions. Plant Pathology Journal, 10, 79</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86.</w:t>
      </w:r>
    </w:p>
    <w:p w14:paraId="34D79D55" w14:textId="68A7A3D0"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proofErr w:type="spellStart"/>
      <w:r w:rsidRPr="00285980">
        <w:rPr>
          <w:rFonts w:ascii="Times New Roman" w:hAnsi="Times New Roman" w:cs="Times New Roman"/>
          <w:kern w:val="0"/>
          <w:szCs w:val="24"/>
          <w:lang w:val="da-DK"/>
        </w:rPr>
        <w:t>Kloepper</w:t>
      </w:r>
      <w:proofErr w:type="spellEnd"/>
      <w:r w:rsidRPr="00285980">
        <w:rPr>
          <w:rFonts w:ascii="Times New Roman" w:hAnsi="Times New Roman" w:cs="Times New Roman"/>
          <w:kern w:val="0"/>
          <w:szCs w:val="24"/>
          <w:lang w:val="da-DK"/>
        </w:rPr>
        <w:t xml:space="preserve">, J. W., Ryu, C. M., &amp; Zhang, S. (2004). </w:t>
      </w:r>
      <w:r w:rsidRPr="00B01605">
        <w:rPr>
          <w:rFonts w:ascii="Times New Roman" w:hAnsi="Times New Roman" w:cs="Times New Roman"/>
          <w:kern w:val="0"/>
          <w:szCs w:val="24"/>
        </w:rPr>
        <w:t>Induced systemic resistance and promotion of plant growth by Bacillus spp. Phytopathology, 94, 1259</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1266.</w:t>
      </w:r>
    </w:p>
    <w:p w14:paraId="4EBB8831" w14:textId="10801991"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Meena, P. D., Chattopadhyay, C., Meena, S. S., &amp; Meena, R. L. (2016). Integrated disease management in oilseed crops: A review. Indian Journal of Agricultural Sciences, 86(9), 1117</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1125.</w:t>
      </w:r>
    </w:p>
    <w:p w14:paraId="0B649021" w14:textId="3F9B473C"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lastRenderedPageBreak/>
        <w:t xml:space="preserve">Niranjana, S. R., Shetty, H. S., &amp; Prakash, H. S. (2002). Evaluation of biological agents for the control of Fusarium </w:t>
      </w:r>
      <w:proofErr w:type="spellStart"/>
      <w:r w:rsidRPr="00B01605">
        <w:rPr>
          <w:rFonts w:ascii="Times New Roman" w:hAnsi="Times New Roman" w:cs="Times New Roman"/>
          <w:kern w:val="0"/>
          <w:szCs w:val="24"/>
        </w:rPr>
        <w:t>oxysporum</w:t>
      </w:r>
      <w:proofErr w:type="spellEnd"/>
      <w:r w:rsidRPr="00B01605">
        <w:rPr>
          <w:rFonts w:ascii="Times New Roman" w:hAnsi="Times New Roman" w:cs="Times New Roman"/>
          <w:kern w:val="0"/>
          <w:szCs w:val="24"/>
        </w:rPr>
        <w:t xml:space="preserve"> f. sp. </w:t>
      </w:r>
      <w:proofErr w:type="spellStart"/>
      <w:r w:rsidRPr="00B01605">
        <w:rPr>
          <w:rFonts w:ascii="Times New Roman" w:hAnsi="Times New Roman" w:cs="Times New Roman"/>
          <w:kern w:val="0"/>
          <w:szCs w:val="24"/>
        </w:rPr>
        <w:t>cubense</w:t>
      </w:r>
      <w:proofErr w:type="spellEnd"/>
      <w:r w:rsidRPr="00B01605">
        <w:rPr>
          <w:rFonts w:ascii="Times New Roman" w:hAnsi="Times New Roman" w:cs="Times New Roman"/>
          <w:kern w:val="0"/>
          <w:szCs w:val="24"/>
        </w:rPr>
        <w:t xml:space="preserve">, the causal agent of Panama wilt of banana. Acta </w:t>
      </w:r>
      <w:proofErr w:type="spellStart"/>
      <w:r w:rsidRPr="00B01605">
        <w:rPr>
          <w:rFonts w:ascii="Times New Roman" w:hAnsi="Times New Roman" w:cs="Times New Roman"/>
          <w:kern w:val="0"/>
          <w:szCs w:val="24"/>
        </w:rPr>
        <w:t>Phytopathologica</w:t>
      </w:r>
      <w:proofErr w:type="spellEnd"/>
      <w:r w:rsidRPr="00B01605">
        <w:rPr>
          <w:rFonts w:ascii="Times New Roman" w:hAnsi="Times New Roman" w:cs="Times New Roman"/>
          <w:kern w:val="0"/>
          <w:szCs w:val="24"/>
        </w:rPr>
        <w:t xml:space="preserve"> et </w:t>
      </w:r>
      <w:proofErr w:type="spellStart"/>
      <w:r w:rsidRPr="00B01605">
        <w:rPr>
          <w:rFonts w:ascii="Times New Roman" w:hAnsi="Times New Roman" w:cs="Times New Roman"/>
          <w:kern w:val="0"/>
          <w:szCs w:val="24"/>
        </w:rPr>
        <w:t>Entomologica</w:t>
      </w:r>
      <w:proofErr w:type="spellEnd"/>
      <w:r w:rsidRPr="00B01605">
        <w:rPr>
          <w:rFonts w:ascii="Times New Roman" w:hAnsi="Times New Roman" w:cs="Times New Roman"/>
          <w:kern w:val="0"/>
          <w:szCs w:val="24"/>
        </w:rPr>
        <w:t xml:space="preserve"> </w:t>
      </w:r>
      <w:proofErr w:type="spellStart"/>
      <w:r w:rsidRPr="00B01605">
        <w:rPr>
          <w:rFonts w:ascii="Times New Roman" w:hAnsi="Times New Roman" w:cs="Times New Roman"/>
          <w:kern w:val="0"/>
          <w:szCs w:val="24"/>
        </w:rPr>
        <w:t>Hungarica</w:t>
      </w:r>
      <w:proofErr w:type="spellEnd"/>
      <w:r w:rsidRPr="00B01605">
        <w:rPr>
          <w:rFonts w:ascii="Times New Roman" w:hAnsi="Times New Roman" w:cs="Times New Roman"/>
          <w:kern w:val="0"/>
          <w:szCs w:val="24"/>
        </w:rPr>
        <w:t>, 37(1-3), 231</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236.</w:t>
      </w:r>
    </w:p>
    <w:p w14:paraId="2BF9EAAD" w14:textId="3AA7F7AB"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285980">
        <w:rPr>
          <w:rFonts w:ascii="Times New Roman" w:hAnsi="Times New Roman" w:cs="Times New Roman"/>
          <w:kern w:val="0"/>
          <w:szCs w:val="24"/>
          <w:lang w:val="it-IT"/>
        </w:rPr>
        <w:t xml:space="preserve">Patil, J. V., Desai, S., &amp; Karibasappa, G. S. (2008). </w:t>
      </w:r>
      <w:r w:rsidRPr="00B01605">
        <w:rPr>
          <w:rFonts w:ascii="Times New Roman" w:hAnsi="Times New Roman" w:cs="Times New Roman"/>
          <w:kern w:val="0"/>
          <w:szCs w:val="24"/>
        </w:rPr>
        <w:t>Evaluation of fungicides for the management of downy mildew in pearl millet. Indian Phytopathology, 61(3), 334</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336.</w:t>
      </w:r>
    </w:p>
    <w:p w14:paraId="2DACBA87" w14:textId="03CE3088"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285980">
        <w:rPr>
          <w:rFonts w:ascii="Times New Roman" w:hAnsi="Times New Roman" w:cs="Times New Roman"/>
          <w:kern w:val="0"/>
          <w:szCs w:val="24"/>
          <w:lang w:val="pt-BR"/>
        </w:rPr>
        <w:t xml:space="preserve">Ramesh, R., Joshi, P., &amp; Srivastava, A. K. (2009). </w:t>
      </w:r>
      <w:r w:rsidRPr="00B01605">
        <w:rPr>
          <w:rFonts w:ascii="Times New Roman" w:hAnsi="Times New Roman" w:cs="Times New Roman"/>
          <w:kern w:val="0"/>
          <w:szCs w:val="24"/>
        </w:rPr>
        <w:t>Seed treatment with Pseudomonas fluorescens reduces downy mildew severity in pearl millet. Indian Phytopathology, 62(1), 64</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67.</w:t>
      </w:r>
    </w:p>
    <w:p w14:paraId="567C920D" w14:textId="6282062C"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Reddy, M. S., &amp; Anahosur, K. H. (1994). Efficacy of systemic fungicides against downy mildew of pearl millet. Journal of Mycology and Plant Pathology, 24, 229</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231.</w:t>
      </w:r>
    </w:p>
    <w:p w14:paraId="03FBE1BB" w14:textId="77777777"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proofErr w:type="spellStart"/>
      <w:r w:rsidRPr="00B01605">
        <w:rPr>
          <w:rFonts w:ascii="Times New Roman" w:hAnsi="Times New Roman" w:cs="Times New Roman"/>
          <w:kern w:val="0"/>
          <w:szCs w:val="24"/>
        </w:rPr>
        <w:t>Safeeulla</w:t>
      </w:r>
      <w:proofErr w:type="spellEnd"/>
      <w:r w:rsidRPr="00B01605">
        <w:rPr>
          <w:rFonts w:ascii="Times New Roman" w:hAnsi="Times New Roman" w:cs="Times New Roman"/>
          <w:kern w:val="0"/>
          <w:szCs w:val="24"/>
        </w:rPr>
        <w:t>, K. M. (1976). Biology and control of downy mildew of pearl millet. All India Coordinated Millets Improvement Project, Indian Council of Agricultural Research.</w:t>
      </w:r>
    </w:p>
    <w:p w14:paraId="710F70B6" w14:textId="27C30E15"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Sharma, P., &amp; Jain, S. (2012). Evaluation of fungicides against downy mildew of cucurbits. Plant Disease Research, 27(1), 72</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74.</w:t>
      </w:r>
    </w:p>
    <w:p w14:paraId="7863F5A4" w14:textId="77777777"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Singh, S. D., &amp; Shetty, H. S. (1990). Downy mildew of pearl millet. Technical Bulletin, ICRISAT, </w:t>
      </w:r>
      <w:proofErr w:type="spellStart"/>
      <w:r w:rsidRPr="00B01605">
        <w:rPr>
          <w:rFonts w:ascii="Times New Roman" w:hAnsi="Times New Roman" w:cs="Times New Roman"/>
          <w:kern w:val="0"/>
          <w:szCs w:val="24"/>
        </w:rPr>
        <w:t>Patancheru</w:t>
      </w:r>
      <w:proofErr w:type="spellEnd"/>
      <w:r w:rsidRPr="00B01605">
        <w:rPr>
          <w:rFonts w:ascii="Times New Roman" w:hAnsi="Times New Roman" w:cs="Times New Roman"/>
          <w:kern w:val="0"/>
          <w:szCs w:val="24"/>
        </w:rPr>
        <w:t>, India.</w:t>
      </w:r>
    </w:p>
    <w:p w14:paraId="2DD39AC7" w14:textId="75CF6D1D"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Singh, A. K., &amp; Prasad, R. (2008). Evaluation of neem-based formulations against major fungal diseases in crops. Pesticide Research Journal, 20(2), 207</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209.</w:t>
      </w:r>
    </w:p>
    <w:p w14:paraId="29E5840F" w14:textId="77777777"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Thakur, R. P., Mathur, K., &amp; Rao, V. P. (2003). Downy mildew of pearl millet. Information Bulletin, ICRISAT, </w:t>
      </w:r>
      <w:proofErr w:type="spellStart"/>
      <w:r w:rsidRPr="00B01605">
        <w:rPr>
          <w:rFonts w:ascii="Times New Roman" w:hAnsi="Times New Roman" w:cs="Times New Roman"/>
          <w:kern w:val="0"/>
          <w:szCs w:val="24"/>
        </w:rPr>
        <w:t>Patancheru</w:t>
      </w:r>
      <w:proofErr w:type="spellEnd"/>
      <w:r w:rsidRPr="00B01605">
        <w:rPr>
          <w:rFonts w:ascii="Times New Roman" w:hAnsi="Times New Roman" w:cs="Times New Roman"/>
          <w:kern w:val="0"/>
          <w:szCs w:val="24"/>
        </w:rPr>
        <w:t>, India.</w:t>
      </w:r>
    </w:p>
    <w:p w14:paraId="464E18BF" w14:textId="7AFB3003"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Thakur, R. P., Shetty, H. S., &amp; Rai, K. N. (2007). Resistance to downy mildew in pearl millet: Retrospect and prospects. Indian Journal of Plant Protection, 35(2), 127</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136.</w:t>
      </w:r>
    </w:p>
    <w:p w14:paraId="58AA3580" w14:textId="3C430D9F" w:rsidR="00AC77E8" w:rsidRPr="00B01605" w:rsidRDefault="00B27251"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Thirumala-Devi, K., Ramesh, R., &amp; Singh, S. D. (2012). Biological control of downy mildew of pearl millet. Indian Phytopathology, 65(2), 187</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190.</w:t>
      </w:r>
    </w:p>
    <w:sectPr w:rsidR="00AC77E8" w:rsidRPr="00B01605" w:rsidSect="00907C7A">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7-19T16:02:00Z" w:initials="S">
    <w:p w14:paraId="0342B450" w14:textId="77777777" w:rsidR="00285980" w:rsidRDefault="00285980" w:rsidP="00285980">
      <w:pPr>
        <w:pStyle w:val="CommentText"/>
      </w:pPr>
      <w:r>
        <w:rPr>
          <w:rStyle w:val="CommentReference"/>
        </w:rPr>
        <w:annotationRef/>
      </w:r>
      <w:r>
        <w:t xml:space="preserve">The first sentence is too long and includes multiple ideas The present study was undertaken consider splitting it for clarity </w:t>
      </w:r>
    </w:p>
  </w:comment>
  <w:comment w:id="1" w:author="Reviewer" w:date="2025-07-19T16:05:00Z" w:initials="S">
    <w:p w14:paraId="202A2B03" w14:textId="77777777" w:rsidR="00A33F14" w:rsidRDefault="00A33F14" w:rsidP="00A33F14">
      <w:pPr>
        <w:pStyle w:val="CommentText"/>
      </w:pPr>
      <w:r>
        <w:rPr>
          <w:rStyle w:val="CommentReference"/>
        </w:rPr>
        <w:annotationRef/>
      </w:r>
      <w:r>
        <w:t>This mixes an infinitive with past tense. Rephrase to past tense (The study evaluated) Was recorded</w:t>
      </w:r>
      <w:r>
        <w:rPr>
          <w:lang w:val="en-IN"/>
        </w:rPr>
        <w:t xml:space="preserve"> &amp; </w:t>
      </w:r>
      <w:r>
        <w:t>exhibited – inconsistent verb usage.</w:t>
      </w:r>
    </w:p>
  </w:comment>
  <w:comment w:id="2" w:author="Reviewer" w:date="2025-07-19T16:19:00Z" w:initials="S">
    <w:p w14:paraId="4A7B86DF" w14:textId="77777777" w:rsidR="00E62F61" w:rsidRDefault="00E62F61" w:rsidP="00E62F61">
      <w:pPr>
        <w:pStyle w:val="CommentText"/>
      </w:pPr>
      <w:r>
        <w:rPr>
          <w:rStyle w:val="CommentReference"/>
        </w:rPr>
        <w:annotationRef/>
      </w:r>
      <w:r>
        <w:t>there is no mention of</w:t>
      </w:r>
    </w:p>
    <w:p w14:paraId="63230F45" w14:textId="77777777" w:rsidR="00E62F61" w:rsidRDefault="00E62F61" w:rsidP="00E62F61">
      <w:pPr>
        <w:pStyle w:val="CommentText"/>
        <w:numPr>
          <w:ilvl w:val="0"/>
          <w:numId w:val="2"/>
        </w:numPr>
        <w:ind w:left="300"/>
      </w:pPr>
      <w:r>
        <w:t>CFU (colony forming units</w:t>
      </w:r>
      <w:r>
        <w:rPr>
          <w:b/>
          <w:bCs/>
        </w:rPr>
        <w:t>)</w:t>
      </w:r>
      <w:r>
        <w:t xml:space="preserve"> per gram or per ml or the bioagents like </w:t>
      </w:r>
      <w:r>
        <w:rPr>
          <w:i/>
          <w:iCs/>
        </w:rPr>
        <w:t>Trichoderma harzianum</w:t>
      </w:r>
      <w:r>
        <w:t xml:space="preserve"> or </w:t>
      </w:r>
      <w:r>
        <w:rPr>
          <w:i/>
          <w:iCs/>
        </w:rPr>
        <w:t>Pseudomonas fluorescens</w:t>
      </w:r>
    </w:p>
  </w:comment>
  <w:comment w:id="3" w:author="Reviewer" w:date="2025-07-19T16:31:00Z" w:initials="S">
    <w:p w14:paraId="0294FE71" w14:textId="77777777" w:rsidR="002C3B4E" w:rsidRDefault="002C3B4E" w:rsidP="002C3B4E">
      <w:pPr>
        <w:pStyle w:val="CommentText"/>
      </w:pPr>
      <w:r>
        <w:rPr>
          <w:rStyle w:val="CommentReference"/>
        </w:rPr>
        <w:annotationRef/>
      </w:r>
      <w:r>
        <w:rPr>
          <w:b/>
          <w:bCs/>
        </w:rPr>
        <w:t>Problem with M&amp;M Presentation</w:t>
      </w:r>
    </w:p>
    <w:p w14:paraId="28F1D3B3" w14:textId="77777777" w:rsidR="002C3B4E" w:rsidRDefault="002C3B4E" w:rsidP="002C3B4E">
      <w:pPr>
        <w:pStyle w:val="CommentText"/>
        <w:numPr>
          <w:ilvl w:val="0"/>
          <w:numId w:val="5"/>
        </w:numPr>
      </w:pPr>
      <w:r>
        <w:rPr>
          <w:b/>
          <w:bCs/>
        </w:rPr>
        <w:t xml:space="preserve">Lack of Subheadings </w:t>
      </w:r>
      <w:r>
        <w:t>Everything is merged into a single block of text</w:t>
      </w:r>
    </w:p>
    <w:p w14:paraId="605338AB" w14:textId="77777777" w:rsidR="002C3B4E" w:rsidRDefault="002C3B4E" w:rsidP="002C3B4E">
      <w:pPr>
        <w:pStyle w:val="CommentText"/>
        <w:numPr>
          <w:ilvl w:val="0"/>
          <w:numId w:val="5"/>
        </w:numPr>
      </w:pPr>
      <w:r>
        <w:rPr>
          <w:b/>
          <w:bCs/>
        </w:rPr>
        <w:t xml:space="preserve">Unclear Flow </w:t>
      </w:r>
      <w:r>
        <w:t>Seed treatment, foliar spray, layout, inoculation, and observations are not organized logically.</w:t>
      </w:r>
    </w:p>
    <w:p w14:paraId="2B6C2193" w14:textId="77777777" w:rsidR="002C3B4E" w:rsidRDefault="002C3B4E" w:rsidP="002C3B4E">
      <w:pPr>
        <w:pStyle w:val="CommentText"/>
        <w:numPr>
          <w:ilvl w:val="0"/>
          <w:numId w:val="5"/>
        </w:numPr>
      </w:pPr>
      <w:r>
        <w:rPr>
          <w:b/>
          <w:bCs/>
        </w:rPr>
        <w:t xml:space="preserve">Hard to Read </w:t>
      </w:r>
      <w:r>
        <w:t xml:space="preserve">separation of steps makes it difficult to follow. </w:t>
      </w:r>
    </w:p>
  </w:comment>
  <w:comment w:id="4" w:author="Reviewer" w:date="2025-07-19T16:21:00Z" w:initials="S">
    <w:p w14:paraId="2FD69D25" w14:textId="0A689E2B" w:rsidR="00E62F61" w:rsidRDefault="00E62F61" w:rsidP="00E62F61">
      <w:pPr>
        <w:pStyle w:val="CommentText"/>
      </w:pPr>
      <w:r>
        <w:rPr>
          <w:rStyle w:val="CommentReference"/>
        </w:rPr>
        <w:annotationRef/>
      </w:r>
      <w:r>
        <w:t>The authors directly mention species names like</w:t>
      </w:r>
    </w:p>
    <w:p w14:paraId="57575EEB" w14:textId="77777777" w:rsidR="00E62F61" w:rsidRDefault="00E62F61" w:rsidP="00E62F61">
      <w:pPr>
        <w:pStyle w:val="CommentText"/>
        <w:numPr>
          <w:ilvl w:val="0"/>
          <w:numId w:val="3"/>
        </w:numPr>
        <w:ind w:left="360"/>
      </w:pPr>
      <w:r>
        <w:rPr>
          <w:i/>
          <w:iCs/>
        </w:rPr>
        <w:t>T. harzianum</w:t>
      </w:r>
      <w:r>
        <w:t xml:space="preserve"> @ 6 g/kg</w:t>
      </w:r>
    </w:p>
    <w:p w14:paraId="4DE14C57" w14:textId="77777777" w:rsidR="00E62F61" w:rsidRDefault="00E62F61" w:rsidP="00E62F61">
      <w:pPr>
        <w:pStyle w:val="CommentText"/>
        <w:numPr>
          <w:ilvl w:val="0"/>
          <w:numId w:val="3"/>
        </w:numPr>
      </w:pPr>
      <w:r>
        <w:rPr>
          <w:i/>
          <w:iCs/>
        </w:rPr>
        <w:t>T. asperellum</w:t>
      </w:r>
    </w:p>
    <w:p w14:paraId="573A7FD1" w14:textId="77777777" w:rsidR="00E62F61" w:rsidRDefault="00E62F61" w:rsidP="00E62F61">
      <w:pPr>
        <w:pStyle w:val="CommentText"/>
        <w:numPr>
          <w:ilvl w:val="0"/>
          <w:numId w:val="3"/>
        </w:numPr>
        <w:ind w:left="360"/>
      </w:pPr>
      <w:r>
        <w:rPr>
          <w:i/>
          <w:iCs/>
        </w:rPr>
        <w:t>P. fluorescens</w:t>
      </w:r>
      <w:r>
        <w:t xml:space="preserve"> @ 8 g/kg</w:t>
      </w:r>
    </w:p>
    <w:p w14:paraId="7A466970" w14:textId="77777777" w:rsidR="00E62F61" w:rsidRDefault="00E62F61" w:rsidP="00E62F61">
      <w:pPr>
        <w:pStyle w:val="CommentText"/>
      </w:pPr>
    </w:p>
    <w:p w14:paraId="7A47D8D5" w14:textId="77777777" w:rsidR="00E62F61" w:rsidRDefault="00E62F61" w:rsidP="00E62F61">
      <w:pPr>
        <w:pStyle w:val="CommentText"/>
      </w:pPr>
      <w:r>
        <w:t>But there is no mention of</w:t>
      </w:r>
    </w:p>
    <w:p w14:paraId="315659FE" w14:textId="77777777" w:rsidR="00E62F61" w:rsidRDefault="00E62F61" w:rsidP="00E62F61">
      <w:pPr>
        <w:pStyle w:val="CommentText"/>
        <w:numPr>
          <w:ilvl w:val="0"/>
          <w:numId w:val="4"/>
        </w:numPr>
      </w:pPr>
      <w:r>
        <w:t xml:space="preserve">Source or culture collection </w:t>
      </w:r>
    </w:p>
    <w:p w14:paraId="58C72D6E" w14:textId="77777777" w:rsidR="00E62F61" w:rsidRDefault="00E62F61" w:rsidP="00E62F61">
      <w:pPr>
        <w:pStyle w:val="CommentText"/>
        <w:numPr>
          <w:ilvl w:val="0"/>
          <w:numId w:val="4"/>
        </w:numPr>
      </w:pPr>
      <w:r>
        <w:t>Isolation procedure from rhizosphere, phylloplane.</w:t>
      </w:r>
    </w:p>
    <w:p w14:paraId="6C26ABBA" w14:textId="77777777" w:rsidR="00E62F61" w:rsidRDefault="00E62F61" w:rsidP="00E62F61">
      <w:pPr>
        <w:pStyle w:val="CommentText"/>
        <w:numPr>
          <w:ilvl w:val="0"/>
          <w:numId w:val="4"/>
        </w:numPr>
      </w:pPr>
      <w:r>
        <w:t>Accession number or confirmation if available (morphological/molecular identification)</w:t>
      </w:r>
    </w:p>
    <w:p w14:paraId="485BFDB4" w14:textId="77777777" w:rsidR="00E62F61" w:rsidRDefault="00E62F61" w:rsidP="00E62F61">
      <w:pPr>
        <w:pStyle w:val="CommentText"/>
        <w:numPr>
          <w:ilvl w:val="0"/>
          <w:numId w:val="4"/>
        </w:numPr>
      </w:pPr>
      <w:r>
        <w:t>Culture purity or CFU/ml or g (as i discussed earlier)</w:t>
      </w:r>
    </w:p>
  </w:comment>
  <w:comment w:id="5" w:author="Reviewer" w:date="2025-07-19T16:24:00Z" w:initials="S">
    <w:p w14:paraId="6085C166" w14:textId="77777777" w:rsidR="002C3B4E" w:rsidRDefault="002C3B4E" w:rsidP="002C3B4E">
      <w:pPr>
        <w:pStyle w:val="CommentText"/>
      </w:pPr>
      <w:r>
        <w:rPr>
          <w:rStyle w:val="CommentReference"/>
        </w:rPr>
        <w:annotationRef/>
      </w:r>
      <w:r>
        <w:rPr>
          <w:lang w:val="en-IN"/>
        </w:rPr>
        <w:t>Or it is the commercial formulation kindly mention the procured from [Company Name]</w:t>
      </w:r>
    </w:p>
  </w:comment>
  <w:comment w:id="6" w:author="Reviewer" w:date="2025-07-19T16:46:00Z" w:initials="S">
    <w:p w14:paraId="722E007E" w14:textId="77777777" w:rsidR="00E744EF" w:rsidRDefault="00E744EF" w:rsidP="00E744EF">
      <w:pPr>
        <w:pStyle w:val="CommentText"/>
      </w:pPr>
      <w:r>
        <w:rPr>
          <w:rStyle w:val="CommentReference"/>
        </w:rPr>
        <w:annotationRef/>
      </w:r>
      <w:r>
        <w:t xml:space="preserve">Include Neem oil’s 30 DAS result (4.11%) in the Results section </w:t>
      </w:r>
    </w:p>
  </w:comment>
  <w:comment w:id="9" w:author="Reviewer" w:date="2025-07-19T16:38:00Z" w:initials="S">
    <w:p w14:paraId="2EBD2A33" w14:textId="5EFD6395" w:rsidR="00575942" w:rsidRDefault="00575942" w:rsidP="00575942">
      <w:pPr>
        <w:pStyle w:val="CommentText"/>
      </w:pPr>
      <w:r>
        <w:rPr>
          <w:rStyle w:val="CommentReference"/>
        </w:rPr>
        <w:annotationRef/>
      </w:r>
      <w:r>
        <w:t xml:space="preserve">The manuscript would benefit from incorporating more recent literature (preferably post-2015) </w:t>
      </w:r>
    </w:p>
  </w:comment>
  <w:comment w:id="10" w:author="Reviewer" w:date="2025-07-19T16:40:00Z" w:initials="S">
    <w:p w14:paraId="5E54DF42" w14:textId="77777777" w:rsidR="00575942" w:rsidRDefault="00575942" w:rsidP="00575942">
      <w:pPr>
        <w:pStyle w:val="CommentText"/>
      </w:pPr>
      <w:r>
        <w:rPr>
          <w:rStyle w:val="CommentReference"/>
        </w:rPr>
        <w:annotationRef/>
      </w:r>
      <w:r>
        <w:rPr>
          <w:lang w:val="en-IN"/>
        </w:rPr>
        <w:t>Give more recent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42B450" w15:done="0"/>
  <w15:commentEx w15:paraId="202A2B03" w15:done="0"/>
  <w15:commentEx w15:paraId="63230F45" w15:done="0"/>
  <w15:commentEx w15:paraId="2B6C2193" w15:done="0"/>
  <w15:commentEx w15:paraId="485BFDB4" w15:done="0"/>
  <w15:commentEx w15:paraId="6085C166" w15:done="0"/>
  <w15:commentEx w15:paraId="722E007E" w15:done="0"/>
  <w15:commentEx w15:paraId="2EBD2A33" w15:done="0"/>
  <w15:commentEx w15:paraId="5E54DF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B7491D" w16cex:dateUtc="2025-07-19T10:32:00Z"/>
  <w16cex:commentExtensible w16cex:durableId="5490F509" w16cex:dateUtc="2025-07-19T10:35:00Z"/>
  <w16cex:commentExtensible w16cex:durableId="052236F1" w16cex:dateUtc="2025-07-19T10:49:00Z"/>
  <w16cex:commentExtensible w16cex:durableId="695DAD1B" w16cex:dateUtc="2025-07-19T11:01:00Z"/>
  <w16cex:commentExtensible w16cex:durableId="4AA41A0B" w16cex:dateUtc="2025-07-19T10:51:00Z"/>
  <w16cex:commentExtensible w16cex:durableId="7B308A7E" w16cex:dateUtc="2025-07-19T10:54:00Z"/>
  <w16cex:commentExtensible w16cex:durableId="3C17DFDA" w16cex:dateUtc="2025-07-19T11:16:00Z"/>
  <w16cex:commentExtensible w16cex:durableId="2F9B4F14" w16cex:dateUtc="2025-07-19T11:08:00Z"/>
  <w16cex:commentExtensible w16cex:durableId="223ED144" w16cex:dateUtc="2025-07-19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42B450" w16cid:durableId="47B7491D"/>
  <w16cid:commentId w16cid:paraId="202A2B03" w16cid:durableId="5490F509"/>
  <w16cid:commentId w16cid:paraId="63230F45" w16cid:durableId="052236F1"/>
  <w16cid:commentId w16cid:paraId="2B6C2193" w16cid:durableId="695DAD1B"/>
  <w16cid:commentId w16cid:paraId="485BFDB4" w16cid:durableId="4AA41A0B"/>
  <w16cid:commentId w16cid:paraId="6085C166" w16cid:durableId="7B308A7E"/>
  <w16cid:commentId w16cid:paraId="722E007E" w16cid:durableId="3C17DFDA"/>
  <w16cid:commentId w16cid:paraId="2EBD2A33" w16cid:durableId="2F9B4F14"/>
  <w16cid:commentId w16cid:paraId="5E54DF42" w16cid:durableId="223ED1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926A4" w14:textId="77777777" w:rsidR="001C521A" w:rsidRDefault="001C521A" w:rsidP="00EA0A11">
      <w:pPr>
        <w:spacing w:after="0" w:line="240" w:lineRule="auto"/>
      </w:pPr>
      <w:r>
        <w:separator/>
      </w:r>
    </w:p>
  </w:endnote>
  <w:endnote w:type="continuationSeparator" w:id="0">
    <w:p w14:paraId="29535B14" w14:textId="77777777" w:rsidR="001C521A" w:rsidRDefault="001C521A" w:rsidP="00EA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3EE0" w14:textId="77777777" w:rsidR="00BF5D0A" w:rsidRDefault="00BF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BAA9" w14:textId="77777777" w:rsidR="00BF5D0A" w:rsidRDefault="00BF5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A70A" w14:textId="77777777" w:rsidR="00BF5D0A" w:rsidRDefault="00BF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F4DBA" w14:textId="77777777" w:rsidR="001C521A" w:rsidRDefault="001C521A" w:rsidP="00EA0A11">
      <w:pPr>
        <w:spacing w:after="0" w:line="240" w:lineRule="auto"/>
      </w:pPr>
      <w:r>
        <w:separator/>
      </w:r>
    </w:p>
  </w:footnote>
  <w:footnote w:type="continuationSeparator" w:id="0">
    <w:p w14:paraId="3F5B6056" w14:textId="77777777" w:rsidR="001C521A" w:rsidRDefault="001C521A" w:rsidP="00EA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67A9" w14:textId="72490E6E" w:rsidR="00BF5D0A" w:rsidRDefault="00000000">
    <w:pPr>
      <w:pStyle w:val="Header"/>
    </w:pPr>
    <w:r>
      <w:rPr>
        <w:noProof/>
      </w:rPr>
      <w:pict w14:anchorId="4670D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71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9570" w14:textId="41844720" w:rsidR="00BF5D0A" w:rsidRDefault="00000000">
    <w:pPr>
      <w:pStyle w:val="Header"/>
    </w:pPr>
    <w:r>
      <w:rPr>
        <w:noProof/>
      </w:rPr>
      <w:pict w14:anchorId="72124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71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FA61" w14:textId="3325146F" w:rsidR="00BF5D0A" w:rsidRDefault="00000000">
    <w:pPr>
      <w:pStyle w:val="Header"/>
    </w:pPr>
    <w:r>
      <w:rPr>
        <w:noProof/>
      </w:rPr>
      <w:pict w14:anchorId="7DA80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71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1F59"/>
    <w:multiLevelType w:val="hybridMultilevel"/>
    <w:tmpl w:val="AE6CE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6204A"/>
    <w:multiLevelType w:val="hybridMultilevel"/>
    <w:tmpl w:val="E2E873B2"/>
    <w:lvl w:ilvl="0" w:tplc="DC96F8C6">
      <w:start w:val="1"/>
      <w:numFmt w:val="bullet"/>
      <w:lvlText w:val=""/>
      <w:lvlJc w:val="left"/>
      <w:pPr>
        <w:ind w:left="1080" w:hanging="360"/>
      </w:pPr>
      <w:rPr>
        <w:rFonts w:ascii="Symbol" w:hAnsi="Symbol"/>
      </w:rPr>
    </w:lvl>
    <w:lvl w:ilvl="1" w:tplc="8ED4D40A">
      <w:start w:val="1"/>
      <w:numFmt w:val="bullet"/>
      <w:lvlText w:val=""/>
      <w:lvlJc w:val="left"/>
      <w:pPr>
        <w:ind w:left="1080" w:hanging="360"/>
      </w:pPr>
      <w:rPr>
        <w:rFonts w:ascii="Symbol" w:hAnsi="Symbol"/>
      </w:rPr>
    </w:lvl>
    <w:lvl w:ilvl="2" w:tplc="1D884640">
      <w:start w:val="1"/>
      <w:numFmt w:val="bullet"/>
      <w:lvlText w:val=""/>
      <w:lvlJc w:val="left"/>
      <w:pPr>
        <w:ind w:left="1080" w:hanging="360"/>
      </w:pPr>
      <w:rPr>
        <w:rFonts w:ascii="Symbol" w:hAnsi="Symbol"/>
      </w:rPr>
    </w:lvl>
    <w:lvl w:ilvl="3" w:tplc="63984E66">
      <w:start w:val="1"/>
      <w:numFmt w:val="bullet"/>
      <w:lvlText w:val=""/>
      <w:lvlJc w:val="left"/>
      <w:pPr>
        <w:ind w:left="1080" w:hanging="360"/>
      </w:pPr>
      <w:rPr>
        <w:rFonts w:ascii="Symbol" w:hAnsi="Symbol"/>
      </w:rPr>
    </w:lvl>
    <w:lvl w:ilvl="4" w:tplc="F0BC19E8">
      <w:start w:val="1"/>
      <w:numFmt w:val="bullet"/>
      <w:lvlText w:val=""/>
      <w:lvlJc w:val="left"/>
      <w:pPr>
        <w:ind w:left="1080" w:hanging="360"/>
      </w:pPr>
      <w:rPr>
        <w:rFonts w:ascii="Symbol" w:hAnsi="Symbol"/>
      </w:rPr>
    </w:lvl>
    <w:lvl w:ilvl="5" w:tplc="566CE68E">
      <w:start w:val="1"/>
      <w:numFmt w:val="bullet"/>
      <w:lvlText w:val=""/>
      <w:lvlJc w:val="left"/>
      <w:pPr>
        <w:ind w:left="1080" w:hanging="360"/>
      </w:pPr>
      <w:rPr>
        <w:rFonts w:ascii="Symbol" w:hAnsi="Symbol"/>
      </w:rPr>
    </w:lvl>
    <w:lvl w:ilvl="6" w:tplc="753040D4">
      <w:start w:val="1"/>
      <w:numFmt w:val="bullet"/>
      <w:lvlText w:val=""/>
      <w:lvlJc w:val="left"/>
      <w:pPr>
        <w:ind w:left="1080" w:hanging="360"/>
      </w:pPr>
      <w:rPr>
        <w:rFonts w:ascii="Symbol" w:hAnsi="Symbol"/>
      </w:rPr>
    </w:lvl>
    <w:lvl w:ilvl="7" w:tplc="5114D3E6">
      <w:start w:val="1"/>
      <w:numFmt w:val="bullet"/>
      <w:lvlText w:val=""/>
      <w:lvlJc w:val="left"/>
      <w:pPr>
        <w:ind w:left="1080" w:hanging="360"/>
      </w:pPr>
      <w:rPr>
        <w:rFonts w:ascii="Symbol" w:hAnsi="Symbol"/>
      </w:rPr>
    </w:lvl>
    <w:lvl w:ilvl="8" w:tplc="BC465D3E">
      <w:start w:val="1"/>
      <w:numFmt w:val="bullet"/>
      <w:lvlText w:val=""/>
      <w:lvlJc w:val="left"/>
      <w:pPr>
        <w:ind w:left="1080" w:hanging="360"/>
      </w:pPr>
      <w:rPr>
        <w:rFonts w:ascii="Symbol" w:hAnsi="Symbol"/>
      </w:rPr>
    </w:lvl>
  </w:abstractNum>
  <w:abstractNum w:abstractNumId="2" w15:restartNumberingAfterBreak="0">
    <w:nsid w:val="2A6764CA"/>
    <w:multiLevelType w:val="hybridMultilevel"/>
    <w:tmpl w:val="D7742C52"/>
    <w:lvl w:ilvl="0" w:tplc="A61C2496">
      <w:start w:val="1"/>
      <w:numFmt w:val="decimal"/>
      <w:lvlText w:val="%1."/>
      <w:lvlJc w:val="left"/>
      <w:pPr>
        <w:ind w:left="1020" w:hanging="360"/>
      </w:pPr>
    </w:lvl>
    <w:lvl w:ilvl="1" w:tplc="F2D0DCF8">
      <w:start w:val="1"/>
      <w:numFmt w:val="decimal"/>
      <w:lvlText w:val="%2."/>
      <w:lvlJc w:val="left"/>
      <w:pPr>
        <w:ind w:left="1020" w:hanging="360"/>
      </w:pPr>
    </w:lvl>
    <w:lvl w:ilvl="2" w:tplc="DA8E35DE">
      <w:start w:val="1"/>
      <w:numFmt w:val="decimal"/>
      <w:lvlText w:val="%3."/>
      <w:lvlJc w:val="left"/>
      <w:pPr>
        <w:ind w:left="1020" w:hanging="360"/>
      </w:pPr>
    </w:lvl>
    <w:lvl w:ilvl="3" w:tplc="E2B84422">
      <w:start w:val="1"/>
      <w:numFmt w:val="decimal"/>
      <w:lvlText w:val="%4."/>
      <w:lvlJc w:val="left"/>
      <w:pPr>
        <w:ind w:left="1020" w:hanging="360"/>
      </w:pPr>
    </w:lvl>
    <w:lvl w:ilvl="4" w:tplc="5B9600EC">
      <w:start w:val="1"/>
      <w:numFmt w:val="decimal"/>
      <w:lvlText w:val="%5."/>
      <w:lvlJc w:val="left"/>
      <w:pPr>
        <w:ind w:left="1020" w:hanging="360"/>
      </w:pPr>
    </w:lvl>
    <w:lvl w:ilvl="5" w:tplc="CE566DD8">
      <w:start w:val="1"/>
      <w:numFmt w:val="decimal"/>
      <w:lvlText w:val="%6."/>
      <w:lvlJc w:val="left"/>
      <w:pPr>
        <w:ind w:left="1020" w:hanging="360"/>
      </w:pPr>
    </w:lvl>
    <w:lvl w:ilvl="6" w:tplc="6832C120">
      <w:start w:val="1"/>
      <w:numFmt w:val="decimal"/>
      <w:lvlText w:val="%7."/>
      <w:lvlJc w:val="left"/>
      <w:pPr>
        <w:ind w:left="1020" w:hanging="360"/>
      </w:pPr>
    </w:lvl>
    <w:lvl w:ilvl="7" w:tplc="70CE05AA">
      <w:start w:val="1"/>
      <w:numFmt w:val="decimal"/>
      <w:lvlText w:val="%8."/>
      <w:lvlJc w:val="left"/>
      <w:pPr>
        <w:ind w:left="1020" w:hanging="360"/>
      </w:pPr>
    </w:lvl>
    <w:lvl w:ilvl="8" w:tplc="A54CBE42">
      <w:start w:val="1"/>
      <w:numFmt w:val="decimal"/>
      <w:lvlText w:val="%9."/>
      <w:lvlJc w:val="left"/>
      <w:pPr>
        <w:ind w:left="1020" w:hanging="360"/>
      </w:pPr>
    </w:lvl>
  </w:abstractNum>
  <w:abstractNum w:abstractNumId="3" w15:restartNumberingAfterBreak="0">
    <w:nsid w:val="3B0F730D"/>
    <w:multiLevelType w:val="hybridMultilevel"/>
    <w:tmpl w:val="04BC0836"/>
    <w:lvl w:ilvl="0" w:tplc="73202B54">
      <w:start w:val="1"/>
      <w:numFmt w:val="bullet"/>
      <w:lvlText w:val=""/>
      <w:lvlJc w:val="left"/>
      <w:pPr>
        <w:ind w:left="1080" w:hanging="360"/>
      </w:pPr>
      <w:rPr>
        <w:rFonts w:ascii="Symbol" w:hAnsi="Symbol"/>
      </w:rPr>
    </w:lvl>
    <w:lvl w:ilvl="1" w:tplc="A7F04A2C">
      <w:start w:val="1"/>
      <w:numFmt w:val="bullet"/>
      <w:lvlText w:val=""/>
      <w:lvlJc w:val="left"/>
      <w:pPr>
        <w:ind w:left="1080" w:hanging="360"/>
      </w:pPr>
      <w:rPr>
        <w:rFonts w:ascii="Symbol" w:hAnsi="Symbol"/>
      </w:rPr>
    </w:lvl>
    <w:lvl w:ilvl="2" w:tplc="E144875C">
      <w:start w:val="1"/>
      <w:numFmt w:val="bullet"/>
      <w:lvlText w:val=""/>
      <w:lvlJc w:val="left"/>
      <w:pPr>
        <w:ind w:left="1080" w:hanging="360"/>
      </w:pPr>
      <w:rPr>
        <w:rFonts w:ascii="Symbol" w:hAnsi="Symbol"/>
      </w:rPr>
    </w:lvl>
    <w:lvl w:ilvl="3" w:tplc="55EA6FBA">
      <w:start w:val="1"/>
      <w:numFmt w:val="bullet"/>
      <w:lvlText w:val=""/>
      <w:lvlJc w:val="left"/>
      <w:pPr>
        <w:ind w:left="1080" w:hanging="360"/>
      </w:pPr>
      <w:rPr>
        <w:rFonts w:ascii="Symbol" w:hAnsi="Symbol"/>
      </w:rPr>
    </w:lvl>
    <w:lvl w:ilvl="4" w:tplc="9A4CF8D2">
      <w:start w:val="1"/>
      <w:numFmt w:val="bullet"/>
      <w:lvlText w:val=""/>
      <w:lvlJc w:val="left"/>
      <w:pPr>
        <w:ind w:left="1080" w:hanging="360"/>
      </w:pPr>
      <w:rPr>
        <w:rFonts w:ascii="Symbol" w:hAnsi="Symbol"/>
      </w:rPr>
    </w:lvl>
    <w:lvl w:ilvl="5" w:tplc="57141BBC">
      <w:start w:val="1"/>
      <w:numFmt w:val="bullet"/>
      <w:lvlText w:val=""/>
      <w:lvlJc w:val="left"/>
      <w:pPr>
        <w:ind w:left="1080" w:hanging="360"/>
      </w:pPr>
      <w:rPr>
        <w:rFonts w:ascii="Symbol" w:hAnsi="Symbol"/>
      </w:rPr>
    </w:lvl>
    <w:lvl w:ilvl="6" w:tplc="56903670">
      <w:start w:val="1"/>
      <w:numFmt w:val="bullet"/>
      <w:lvlText w:val=""/>
      <w:lvlJc w:val="left"/>
      <w:pPr>
        <w:ind w:left="1080" w:hanging="360"/>
      </w:pPr>
      <w:rPr>
        <w:rFonts w:ascii="Symbol" w:hAnsi="Symbol"/>
      </w:rPr>
    </w:lvl>
    <w:lvl w:ilvl="7" w:tplc="F4748CF8">
      <w:start w:val="1"/>
      <w:numFmt w:val="bullet"/>
      <w:lvlText w:val=""/>
      <w:lvlJc w:val="left"/>
      <w:pPr>
        <w:ind w:left="1080" w:hanging="360"/>
      </w:pPr>
      <w:rPr>
        <w:rFonts w:ascii="Symbol" w:hAnsi="Symbol"/>
      </w:rPr>
    </w:lvl>
    <w:lvl w:ilvl="8" w:tplc="9E44024E">
      <w:start w:val="1"/>
      <w:numFmt w:val="bullet"/>
      <w:lvlText w:val=""/>
      <w:lvlJc w:val="left"/>
      <w:pPr>
        <w:ind w:left="1080" w:hanging="360"/>
      </w:pPr>
      <w:rPr>
        <w:rFonts w:ascii="Symbol" w:hAnsi="Symbol"/>
      </w:rPr>
    </w:lvl>
  </w:abstractNum>
  <w:abstractNum w:abstractNumId="4" w15:restartNumberingAfterBreak="0">
    <w:nsid w:val="4B233914"/>
    <w:multiLevelType w:val="hybridMultilevel"/>
    <w:tmpl w:val="E760DD96"/>
    <w:lvl w:ilvl="0" w:tplc="74B00AC8">
      <w:start w:val="1"/>
      <w:numFmt w:val="bullet"/>
      <w:lvlText w:val=""/>
      <w:lvlJc w:val="left"/>
      <w:pPr>
        <w:ind w:left="720" w:hanging="360"/>
      </w:pPr>
      <w:rPr>
        <w:rFonts w:ascii="Symbol" w:hAnsi="Symbol"/>
      </w:rPr>
    </w:lvl>
    <w:lvl w:ilvl="1" w:tplc="F83A771A">
      <w:start w:val="1"/>
      <w:numFmt w:val="bullet"/>
      <w:lvlText w:val=""/>
      <w:lvlJc w:val="left"/>
      <w:pPr>
        <w:ind w:left="720" w:hanging="360"/>
      </w:pPr>
      <w:rPr>
        <w:rFonts w:ascii="Symbol" w:hAnsi="Symbol"/>
      </w:rPr>
    </w:lvl>
    <w:lvl w:ilvl="2" w:tplc="94CE35A6">
      <w:start w:val="1"/>
      <w:numFmt w:val="bullet"/>
      <w:lvlText w:val=""/>
      <w:lvlJc w:val="left"/>
      <w:pPr>
        <w:ind w:left="720" w:hanging="360"/>
      </w:pPr>
      <w:rPr>
        <w:rFonts w:ascii="Symbol" w:hAnsi="Symbol"/>
      </w:rPr>
    </w:lvl>
    <w:lvl w:ilvl="3" w:tplc="70001028">
      <w:start w:val="1"/>
      <w:numFmt w:val="bullet"/>
      <w:lvlText w:val=""/>
      <w:lvlJc w:val="left"/>
      <w:pPr>
        <w:ind w:left="720" w:hanging="360"/>
      </w:pPr>
      <w:rPr>
        <w:rFonts w:ascii="Symbol" w:hAnsi="Symbol"/>
      </w:rPr>
    </w:lvl>
    <w:lvl w:ilvl="4" w:tplc="168C6C7C">
      <w:start w:val="1"/>
      <w:numFmt w:val="bullet"/>
      <w:lvlText w:val=""/>
      <w:lvlJc w:val="left"/>
      <w:pPr>
        <w:ind w:left="720" w:hanging="360"/>
      </w:pPr>
      <w:rPr>
        <w:rFonts w:ascii="Symbol" w:hAnsi="Symbol"/>
      </w:rPr>
    </w:lvl>
    <w:lvl w:ilvl="5" w:tplc="68B2D748">
      <w:start w:val="1"/>
      <w:numFmt w:val="bullet"/>
      <w:lvlText w:val=""/>
      <w:lvlJc w:val="left"/>
      <w:pPr>
        <w:ind w:left="720" w:hanging="360"/>
      </w:pPr>
      <w:rPr>
        <w:rFonts w:ascii="Symbol" w:hAnsi="Symbol"/>
      </w:rPr>
    </w:lvl>
    <w:lvl w:ilvl="6" w:tplc="8196C468">
      <w:start w:val="1"/>
      <w:numFmt w:val="bullet"/>
      <w:lvlText w:val=""/>
      <w:lvlJc w:val="left"/>
      <w:pPr>
        <w:ind w:left="720" w:hanging="360"/>
      </w:pPr>
      <w:rPr>
        <w:rFonts w:ascii="Symbol" w:hAnsi="Symbol"/>
      </w:rPr>
    </w:lvl>
    <w:lvl w:ilvl="7" w:tplc="764833E4">
      <w:start w:val="1"/>
      <w:numFmt w:val="bullet"/>
      <w:lvlText w:val=""/>
      <w:lvlJc w:val="left"/>
      <w:pPr>
        <w:ind w:left="720" w:hanging="360"/>
      </w:pPr>
      <w:rPr>
        <w:rFonts w:ascii="Symbol" w:hAnsi="Symbol"/>
      </w:rPr>
    </w:lvl>
    <w:lvl w:ilvl="8" w:tplc="1626078A">
      <w:start w:val="1"/>
      <w:numFmt w:val="bullet"/>
      <w:lvlText w:val=""/>
      <w:lvlJc w:val="left"/>
      <w:pPr>
        <w:ind w:left="720" w:hanging="360"/>
      </w:pPr>
      <w:rPr>
        <w:rFonts w:ascii="Symbol" w:hAnsi="Symbol"/>
      </w:rPr>
    </w:lvl>
  </w:abstractNum>
  <w:num w:numId="1" w16cid:durableId="466239323">
    <w:abstractNumId w:val="0"/>
  </w:num>
  <w:num w:numId="2" w16cid:durableId="774980816">
    <w:abstractNumId w:val="2"/>
  </w:num>
  <w:num w:numId="3" w16cid:durableId="1263609444">
    <w:abstractNumId w:val="1"/>
  </w:num>
  <w:num w:numId="4" w16cid:durableId="1661230196">
    <w:abstractNumId w:val="3"/>
  </w:num>
  <w:num w:numId="5" w16cid:durableId="15721087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1MQUCM0NLcyNjAyUdpeDU4uLM/DyQAkOjWgB6zBWBLQAAAA=="/>
  </w:docVars>
  <w:rsids>
    <w:rsidRoot w:val="00030224"/>
    <w:rsid w:val="00020BFA"/>
    <w:rsid w:val="0002188C"/>
    <w:rsid w:val="00030131"/>
    <w:rsid w:val="00030224"/>
    <w:rsid w:val="00053A71"/>
    <w:rsid w:val="00056FA1"/>
    <w:rsid w:val="000779F7"/>
    <w:rsid w:val="0008015F"/>
    <w:rsid w:val="00085747"/>
    <w:rsid w:val="00097D8C"/>
    <w:rsid w:val="000B2C58"/>
    <w:rsid w:val="000E2567"/>
    <w:rsid w:val="00144487"/>
    <w:rsid w:val="00156951"/>
    <w:rsid w:val="00172DEC"/>
    <w:rsid w:val="001773EF"/>
    <w:rsid w:val="00177FB4"/>
    <w:rsid w:val="001A7355"/>
    <w:rsid w:val="001C521A"/>
    <w:rsid w:val="001F7E86"/>
    <w:rsid w:val="00202C65"/>
    <w:rsid w:val="002212FD"/>
    <w:rsid w:val="00265FBC"/>
    <w:rsid w:val="00273592"/>
    <w:rsid w:val="00285980"/>
    <w:rsid w:val="002A3DE8"/>
    <w:rsid w:val="002C3B4E"/>
    <w:rsid w:val="002C74E2"/>
    <w:rsid w:val="002E2A9D"/>
    <w:rsid w:val="002E4EF2"/>
    <w:rsid w:val="003211BD"/>
    <w:rsid w:val="00335C76"/>
    <w:rsid w:val="003511A2"/>
    <w:rsid w:val="00354E4F"/>
    <w:rsid w:val="003D5189"/>
    <w:rsid w:val="003E00D0"/>
    <w:rsid w:val="00423D5A"/>
    <w:rsid w:val="004626A2"/>
    <w:rsid w:val="004660A2"/>
    <w:rsid w:val="0049266E"/>
    <w:rsid w:val="004C660E"/>
    <w:rsid w:val="004E0C44"/>
    <w:rsid w:val="00506D41"/>
    <w:rsid w:val="005452FB"/>
    <w:rsid w:val="005462CD"/>
    <w:rsid w:val="00575942"/>
    <w:rsid w:val="00590B6A"/>
    <w:rsid w:val="005A5328"/>
    <w:rsid w:val="005B36DE"/>
    <w:rsid w:val="005C73D0"/>
    <w:rsid w:val="005D7AED"/>
    <w:rsid w:val="005E5D1C"/>
    <w:rsid w:val="005E6005"/>
    <w:rsid w:val="005F0896"/>
    <w:rsid w:val="0060119D"/>
    <w:rsid w:val="00685AA9"/>
    <w:rsid w:val="00686923"/>
    <w:rsid w:val="006962C0"/>
    <w:rsid w:val="006F1F6B"/>
    <w:rsid w:val="007134AD"/>
    <w:rsid w:val="007718E1"/>
    <w:rsid w:val="00796019"/>
    <w:rsid w:val="00797C87"/>
    <w:rsid w:val="007A2E21"/>
    <w:rsid w:val="007A6BB7"/>
    <w:rsid w:val="007B79E6"/>
    <w:rsid w:val="007C295D"/>
    <w:rsid w:val="00816151"/>
    <w:rsid w:val="008306CB"/>
    <w:rsid w:val="008537F0"/>
    <w:rsid w:val="00877ABC"/>
    <w:rsid w:val="00885A1F"/>
    <w:rsid w:val="008944A7"/>
    <w:rsid w:val="00895BE1"/>
    <w:rsid w:val="008A0D42"/>
    <w:rsid w:val="008C548D"/>
    <w:rsid w:val="008E45B0"/>
    <w:rsid w:val="008F30F8"/>
    <w:rsid w:val="00900D48"/>
    <w:rsid w:val="00907C7A"/>
    <w:rsid w:val="00930B2A"/>
    <w:rsid w:val="00946BFF"/>
    <w:rsid w:val="009B4F1C"/>
    <w:rsid w:val="009F0F79"/>
    <w:rsid w:val="00A02913"/>
    <w:rsid w:val="00A227EE"/>
    <w:rsid w:val="00A3093B"/>
    <w:rsid w:val="00A33966"/>
    <w:rsid w:val="00A33F14"/>
    <w:rsid w:val="00A56054"/>
    <w:rsid w:val="00A84F60"/>
    <w:rsid w:val="00AC77E8"/>
    <w:rsid w:val="00B01605"/>
    <w:rsid w:val="00B27251"/>
    <w:rsid w:val="00B34680"/>
    <w:rsid w:val="00B47022"/>
    <w:rsid w:val="00B608A7"/>
    <w:rsid w:val="00B80E28"/>
    <w:rsid w:val="00B95A4A"/>
    <w:rsid w:val="00BF5D0A"/>
    <w:rsid w:val="00C00AE7"/>
    <w:rsid w:val="00C24E60"/>
    <w:rsid w:val="00C26042"/>
    <w:rsid w:val="00C40628"/>
    <w:rsid w:val="00C54E41"/>
    <w:rsid w:val="00C6190D"/>
    <w:rsid w:val="00CB7A28"/>
    <w:rsid w:val="00CD7735"/>
    <w:rsid w:val="00D074E4"/>
    <w:rsid w:val="00D108AA"/>
    <w:rsid w:val="00D71A9B"/>
    <w:rsid w:val="00D776AB"/>
    <w:rsid w:val="00D83BD8"/>
    <w:rsid w:val="00DA1ACA"/>
    <w:rsid w:val="00E11C54"/>
    <w:rsid w:val="00E25AFD"/>
    <w:rsid w:val="00E3409E"/>
    <w:rsid w:val="00E62F61"/>
    <w:rsid w:val="00E744EF"/>
    <w:rsid w:val="00E772B6"/>
    <w:rsid w:val="00E916C2"/>
    <w:rsid w:val="00EA0A11"/>
    <w:rsid w:val="00EB2D64"/>
    <w:rsid w:val="00EE4F1B"/>
    <w:rsid w:val="00EF743F"/>
    <w:rsid w:val="00F13FB4"/>
    <w:rsid w:val="00F35837"/>
    <w:rsid w:val="00F40113"/>
    <w:rsid w:val="00F61CA0"/>
    <w:rsid w:val="00F632CB"/>
    <w:rsid w:val="00F64093"/>
    <w:rsid w:val="00F751C0"/>
    <w:rsid w:val="00FB440B"/>
    <w:rsid w:val="00FD31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093B9"/>
  <w15:chartTrackingRefBased/>
  <w15:docId w15:val="{D0F7E11E-451B-422E-A6D1-6C3F808B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9E"/>
  </w:style>
  <w:style w:type="paragraph" w:styleId="Heading1">
    <w:name w:val="heading 1"/>
    <w:basedOn w:val="Normal"/>
    <w:next w:val="Normal"/>
    <w:link w:val="Heading1Char"/>
    <w:uiPriority w:val="9"/>
    <w:qFormat/>
    <w:rsid w:val="0003022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3022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3022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302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2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2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3022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3022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302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2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224"/>
    <w:rPr>
      <w:rFonts w:eastAsiaTheme="majorEastAsia" w:cstheme="majorBidi"/>
      <w:color w:val="272727" w:themeColor="text1" w:themeTint="D8"/>
    </w:rPr>
  </w:style>
  <w:style w:type="paragraph" w:styleId="Title">
    <w:name w:val="Title"/>
    <w:basedOn w:val="Normal"/>
    <w:next w:val="Normal"/>
    <w:link w:val="TitleChar"/>
    <w:uiPriority w:val="10"/>
    <w:qFormat/>
    <w:rsid w:val="0003022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3022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3022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3022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30224"/>
    <w:pPr>
      <w:spacing w:before="160"/>
      <w:jc w:val="center"/>
    </w:pPr>
    <w:rPr>
      <w:i/>
      <w:iCs/>
      <w:color w:val="404040" w:themeColor="text1" w:themeTint="BF"/>
    </w:rPr>
  </w:style>
  <w:style w:type="character" w:customStyle="1" w:styleId="QuoteChar">
    <w:name w:val="Quote Char"/>
    <w:basedOn w:val="DefaultParagraphFont"/>
    <w:link w:val="Quote"/>
    <w:uiPriority w:val="29"/>
    <w:rsid w:val="00030224"/>
    <w:rPr>
      <w:i/>
      <w:iCs/>
      <w:color w:val="404040" w:themeColor="text1" w:themeTint="BF"/>
    </w:rPr>
  </w:style>
  <w:style w:type="paragraph" w:styleId="ListParagraph">
    <w:name w:val="List Paragraph"/>
    <w:basedOn w:val="Normal"/>
    <w:uiPriority w:val="34"/>
    <w:qFormat/>
    <w:rsid w:val="00030224"/>
    <w:pPr>
      <w:ind w:left="720"/>
      <w:contextualSpacing/>
    </w:pPr>
  </w:style>
  <w:style w:type="character" w:styleId="IntenseEmphasis">
    <w:name w:val="Intense Emphasis"/>
    <w:basedOn w:val="DefaultParagraphFont"/>
    <w:uiPriority w:val="21"/>
    <w:qFormat/>
    <w:rsid w:val="00030224"/>
    <w:rPr>
      <w:i/>
      <w:iCs/>
      <w:color w:val="2F5496" w:themeColor="accent1" w:themeShade="BF"/>
    </w:rPr>
  </w:style>
  <w:style w:type="paragraph" w:styleId="IntenseQuote">
    <w:name w:val="Intense Quote"/>
    <w:basedOn w:val="Normal"/>
    <w:next w:val="Normal"/>
    <w:link w:val="IntenseQuoteChar"/>
    <w:uiPriority w:val="30"/>
    <w:qFormat/>
    <w:rsid w:val="00030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224"/>
    <w:rPr>
      <w:i/>
      <w:iCs/>
      <w:color w:val="2F5496" w:themeColor="accent1" w:themeShade="BF"/>
    </w:rPr>
  </w:style>
  <w:style w:type="character" w:styleId="IntenseReference">
    <w:name w:val="Intense Reference"/>
    <w:basedOn w:val="DefaultParagraphFont"/>
    <w:uiPriority w:val="32"/>
    <w:qFormat/>
    <w:rsid w:val="00030224"/>
    <w:rPr>
      <w:b/>
      <w:bCs/>
      <w:smallCaps/>
      <w:color w:val="2F5496" w:themeColor="accent1" w:themeShade="BF"/>
      <w:spacing w:val="5"/>
    </w:rPr>
  </w:style>
  <w:style w:type="character" w:styleId="Emphasis">
    <w:name w:val="Emphasis"/>
    <w:basedOn w:val="DefaultParagraphFont"/>
    <w:uiPriority w:val="20"/>
    <w:qFormat/>
    <w:rsid w:val="003D5189"/>
    <w:rPr>
      <w:i/>
      <w:iCs/>
    </w:rPr>
  </w:style>
  <w:style w:type="character" w:styleId="Strong">
    <w:name w:val="Strong"/>
    <w:basedOn w:val="DefaultParagraphFont"/>
    <w:uiPriority w:val="22"/>
    <w:qFormat/>
    <w:rsid w:val="007B79E6"/>
    <w:rPr>
      <w:b/>
      <w:bCs/>
    </w:rPr>
  </w:style>
  <w:style w:type="paragraph" w:styleId="NormalWeb">
    <w:name w:val="Normal (Web)"/>
    <w:basedOn w:val="Normal"/>
    <w:uiPriority w:val="99"/>
    <w:semiHidden/>
    <w:unhideWhenUsed/>
    <w:rsid w:val="008F30F8"/>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table" w:styleId="TableGrid">
    <w:name w:val="Table Grid"/>
    <w:basedOn w:val="TableNormal"/>
    <w:uiPriority w:val="39"/>
    <w:rsid w:val="00EA0A11"/>
    <w:pPr>
      <w:spacing w:after="0" w:line="240" w:lineRule="auto"/>
    </w:pPr>
    <w:rPr>
      <w:rFonts w:ascii="Times New Roman" w:hAnsi="Times New Roman"/>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A11"/>
  </w:style>
  <w:style w:type="paragraph" w:styleId="Footer">
    <w:name w:val="footer"/>
    <w:basedOn w:val="Normal"/>
    <w:link w:val="FooterChar"/>
    <w:uiPriority w:val="99"/>
    <w:unhideWhenUsed/>
    <w:rsid w:val="00EA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A11"/>
  </w:style>
  <w:style w:type="character" w:styleId="Hyperlink">
    <w:name w:val="Hyperlink"/>
    <w:basedOn w:val="DefaultParagraphFont"/>
    <w:uiPriority w:val="99"/>
    <w:unhideWhenUsed/>
    <w:rsid w:val="00D776AB"/>
    <w:rPr>
      <w:color w:val="0000FF"/>
      <w:u w:val="single"/>
    </w:rPr>
  </w:style>
  <w:style w:type="character" w:styleId="UnresolvedMention">
    <w:name w:val="Unresolved Mention"/>
    <w:basedOn w:val="DefaultParagraphFont"/>
    <w:uiPriority w:val="99"/>
    <w:semiHidden/>
    <w:unhideWhenUsed/>
    <w:rsid w:val="00796019"/>
    <w:rPr>
      <w:color w:val="605E5C"/>
      <w:shd w:val="clear" w:color="auto" w:fill="E1DFDD"/>
    </w:rPr>
  </w:style>
  <w:style w:type="character" w:styleId="CommentReference">
    <w:name w:val="annotation reference"/>
    <w:basedOn w:val="DefaultParagraphFont"/>
    <w:uiPriority w:val="99"/>
    <w:semiHidden/>
    <w:unhideWhenUsed/>
    <w:rsid w:val="00285980"/>
    <w:rPr>
      <w:sz w:val="16"/>
      <w:szCs w:val="16"/>
    </w:rPr>
  </w:style>
  <w:style w:type="paragraph" w:styleId="CommentText">
    <w:name w:val="annotation text"/>
    <w:basedOn w:val="Normal"/>
    <w:link w:val="CommentTextChar"/>
    <w:uiPriority w:val="99"/>
    <w:unhideWhenUsed/>
    <w:rsid w:val="00285980"/>
    <w:pPr>
      <w:spacing w:line="240" w:lineRule="auto"/>
    </w:pPr>
    <w:rPr>
      <w:sz w:val="20"/>
      <w:szCs w:val="18"/>
    </w:rPr>
  </w:style>
  <w:style w:type="character" w:customStyle="1" w:styleId="CommentTextChar">
    <w:name w:val="Comment Text Char"/>
    <w:basedOn w:val="DefaultParagraphFont"/>
    <w:link w:val="CommentText"/>
    <w:uiPriority w:val="99"/>
    <w:rsid w:val="00285980"/>
    <w:rPr>
      <w:sz w:val="20"/>
      <w:szCs w:val="18"/>
    </w:rPr>
  </w:style>
  <w:style w:type="paragraph" w:styleId="CommentSubject">
    <w:name w:val="annotation subject"/>
    <w:basedOn w:val="CommentText"/>
    <w:next w:val="CommentText"/>
    <w:link w:val="CommentSubjectChar"/>
    <w:uiPriority w:val="99"/>
    <w:semiHidden/>
    <w:unhideWhenUsed/>
    <w:rsid w:val="00285980"/>
    <w:rPr>
      <w:b/>
      <w:bCs/>
    </w:rPr>
  </w:style>
  <w:style w:type="character" w:customStyle="1" w:styleId="CommentSubjectChar">
    <w:name w:val="Comment Subject Char"/>
    <w:basedOn w:val="CommentTextChar"/>
    <w:link w:val="CommentSubject"/>
    <w:uiPriority w:val="99"/>
    <w:semiHidden/>
    <w:rsid w:val="00285980"/>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5669">
      <w:bodyDiv w:val="1"/>
      <w:marLeft w:val="0"/>
      <w:marRight w:val="0"/>
      <w:marTop w:val="0"/>
      <w:marBottom w:val="0"/>
      <w:divBdr>
        <w:top w:val="none" w:sz="0" w:space="0" w:color="auto"/>
        <w:left w:val="none" w:sz="0" w:space="0" w:color="auto"/>
        <w:bottom w:val="none" w:sz="0" w:space="0" w:color="auto"/>
        <w:right w:val="none" w:sz="0" w:space="0" w:color="auto"/>
      </w:divBdr>
    </w:div>
    <w:div w:id="500894625">
      <w:bodyDiv w:val="1"/>
      <w:marLeft w:val="0"/>
      <w:marRight w:val="0"/>
      <w:marTop w:val="0"/>
      <w:marBottom w:val="0"/>
      <w:divBdr>
        <w:top w:val="none" w:sz="0" w:space="0" w:color="auto"/>
        <w:left w:val="none" w:sz="0" w:space="0" w:color="auto"/>
        <w:bottom w:val="none" w:sz="0" w:space="0" w:color="auto"/>
        <w:right w:val="none" w:sz="0" w:space="0" w:color="auto"/>
      </w:divBdr>
    </w:div>
    <w:div w:id="18882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Thesis%202025\3.%20Ajay%20Gora\PEARL%20MILLET%20D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'Transformation Value final da '!$AM$5</c:f>
              <c:strCache>
                <c:ptCount val="1"/>
                <c:pt idx="0">
                  <c:v>Average No. of plants / plots</c:v>
                </c:pt>
              </c:strCache>
            </c:strRef>
          </c:tx>
          <c:spPr>
            <a:solidFill>
              <a:schemeClr val="accent1"/>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'!$AM$6:$AM$14</c:f>
              <c:numCache>
                <c:formatCode>0.00</c:formatCode>
                <c:ptCount val="9"/>
                <c:pt idx="0">
                  <c:v>44.216666666666669</c:v>
                </c:pt>
                <c:pt idx="1">
                  <c:v>42.150000000000006</c:v>
                </c:pt>
                <c:pt idx="2">
                  <c:v>41.699999999999996</c:v>
                </c:pt>
                <c:pt idx="3">
                  <c:v>47.666666666666664</c:v>
                </c:pt>
                <c:pt idx="4">
                  <c:v>44.733333333333327</c:v>
                </c:pt>
                <c:pt idx="5">
                  <c:v>44.566666666666663</c:v>
                </c:pt>
                <c:pt idx="6">
                  <c:v>44.4</c:v>
                </c:pt>
                <c:pt idx="7">
                  <c:v>40.226666666666667</c:v>
                </c:pt>
                <c:pt idx="8">
                  <c:v>27.5</c:v>
                </c:pt>
              </c:numCache>
            </c:numRef>
          </c:val>
          <c:extLst>
            <c:ext xmlns:c16="http://schemas.microsoft.com/office/drawing/2014/chart" uri="{C3380CC4-5D6E-409C-BE32-E72D297353CC}">
              <c16:uniqueId val="{00000000-FC7D-4D2A-9DBC-01647E7FFA73}"/>
            </c:ext>
          </c:extLst>
        </c:ser>
        <c:ser>
          <c:idx val="1"/>
          <c:order val="1"/>
          <c:tx>
            <c:strRef>
              <c:f>'Transformation Value final da '!$AN$5</c:f>
              <c:strCache>
                <c:ptCount val="1"/>
                <c:pt idx="0">
                  <c:v>% Seedling emergence </c:v>
                </c:pt>
              </c:strCache>
            </c:strRef>
          </c:tx>
          <c:spPr>
            <a:solidFill>
              <a:schemeClr val="accent2"/>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'!$AN$6:$AN$14</c:f>
              <c:numCache>
                <c:formatCode>0.00</c:formatCode>
                <c:ptCount val="9"/>
                <c:pt idx="0">
                  <c:v>88.433333333333337</c:v>
                </c:pt>
                <c:pt idx="1">
                  <c:v>84.300000000000011</c:v>
                </c:pt>
                <c:pt idx="2">
                  <c:v>83.4</c:v>
                </c:pt>
                <c:pt idx="3">
                  <c:v>95.333333333333314</c:v>
                </c:pt>
                <c:pt idx="4">
                  <c:v>89.466666666666654</c:v>
                </c:pt>
                <c:pt idx="5">
                  <c:v>89.133333333333326</c:v>
                </c:pt>
                <c:pt idx="6">
                  <c:v>88.8</c:v>
                </c:pt>
                <c:pt idx="7">
                  <c:v>80.453333333333333</c:v>
                </c:pt>
                <c:pt idx="8">
                  <c:v>55</c:v>
                </c:pt>
              </c:numCache>
            </c:numRef>
          </c:val>
          <c:extLst>
            <c:ext xmlns:c16="http://schemas.microsoft.com/office/drawing/2014/chart" uri="{C3380CC4-5D6E-409C-BE32-E72D297353CC}">
              <c16:uniqueId val="{00000001-FC7D-4D2A-9DBC-01647E7FFA73}"/>
            </c:ext>
          </c:extLst>
        </c:ser>
        <c:ser>
          <c:idx val="2"/>
          <c:order val="2"/>
          <c:tx>
            <c:strRef>
              <c:f>'Transformation Value final da '!$AO$5</c:f>
              <c:strCache>
                <c:ptCount val="1"/>
                <c:pt idx="0">
                  <c:v> Downy mildew incidence(%) at  30 DAS </c:v>
                </c:pt>
              </c:strCache>
            </c:strRef>
          </c:tx>
          <c:spPr>
            <a:solidFill>
              <a:schemeClr val="accent3"/>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'!$AO$6:$AO$14</c:f>
              <c:numCache>
                <c:formatCode>0.00</c:formatCode>
                <c:ptCount val="9"/>
                <c:pt idx="0">
                  <c:v>2.5833333333333335</c:v>
                </c:pt>
                <c:pt idx="1">
                  <c:v>2.6</c:v>
                </c:pt>
                <c:pt idx="2">
                  <c:v>2.8166666666666664</c:v>
                </c:pt>
                <c:pt idx="3">
                  <c:v>2</c:v>
                </c:pt>
                <c:pt idx="4">
                  <c:v>2.8666666666666667</c:v>
                </c:pt>
                <c:pt idx="5">
                  <c:v>2.9333333333333336</c:v>
                </c:pt>
                <c:pt idx="6">
                  <c:v>3.1333333333333333</c:v>
                </c:pt>
                <c:pt idx="7">
                  <c:v>4.1100000000000003</c:v>
                </c:pt>
                <c:pt idx="8">
                  <c:v>33.966666666666669</c:v>
                </c:pt>
              </c:numCache>
            </c:numRef>
          </c:val>
          <c:extLst>
            <c:ext xmlns:c16="http://schemas.microsoft.com/office/drawing/2014/chart" uri="{C3380CC4-5D6E-409C-BE32-E72D297353CC}">
              <c16:uniqueId val="{00000002-FC7D-4D2A-9DBC-01647E7FFA73}"/>
            </c:ext>
          </c:extLst>
        </c:ser>
        <c:ser>
          <c:idx val="3"/>
          <c:order val="3"/>
          <c:tx>
            <c:strRef>
              <c:f>'Transformation Value final da '!$AP$5</c:f>
              <c:strCache>
                <c:ptCount val="1"/>
                <c:pt idx="0">
                  <c:v> Downy mildew incidence(%) at  60 DAS </c:v>
                </c:pt>
              </c:strCache>
            </c:strRef>
          </c:tx>
          <c:spPr>
            <a:solidFill>
              <a:schemeClr val="accent4"/>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'!$AP$6:$AP$14</c:f>
              <c:numCache>
                <c:formatCode>0.00</c:formatCode>
                <c:ptCount val="9"/>
                <c:pt idx="0">
                  <c:v>3.4</c:v>
                </c:pt>
                <c:pt idx="1">
                  <c:v>3.5666666666666669</c:v>
                </c:pt>
                <c:pt idx="2">
                  <c:v>3.82</c:v>
                </c:pt>
                <c:pt idx="3">
                  <c:v>3.2833333333333332</c:v>
                </c:pt>
                <c:pt idx="4">
                  <c:v>3.9333333333333336</c:v>
                </c:pt>
                <c:pt idx="5">
                  <c:v>4.6000000000000005</c:v>
                </c:pt>
                <c:pt idx="6">
                  <c:v>4.8666666666666663</c:v>
                </c:pt>
                <c:pt idx="7">
                  <c:v>5.5066666666666668</c:v>
                </c:pt>
                <c:pt idx="8">
                  <c:v>35.119999999999997</c:v>
                </c:pt>
              </c:numCache>
            </c:numRef>
          </c:val>
          <c:extLst>
            <c:ext xmlns:c16="http://schemas.microsoft.com/office/drawing/2014/chart" uri="{C3380CC4-5D6E-409C-BE32-E72D297353CC}">
              <c16:uniqueId val="{00000003-FC7D-4D2A-9DBC-01647E7FFA73}"/>
            </c:ext>
          </c:extLst>
        </c:ser>
        <c:dLbls>
          <c:showLegendKey val="0"/>
          <c:showVal val="0"/>
          <c:showCatName val="0"/>
          <c:showSerName val="0"/>
          <c:showPercent val="0"/>
          <c:showBubbleSize val="0"/>
        </c:dLbls>
        <c:gapWidth val="219"/>
        <c:overlap val="-27"/>
        <c:axId val="302085215"/>
        <c:axId val="410629631"/>
      </c:barChart>
      <c:catAx>
        <c:axId val="302085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0629631"/>
        <c:crosses val="autoZero"/>
        <c:auto val="1"/>
        <c:lblAlgn val="ctr"/>
        <c:lblOffset val="100"/>
        <c:noMultiLvlLbl val="0"/>
      </c:catAx>
      <c:valAx>
        <c:axId val="4106296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2085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0" i="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E403-929E-44D5-921E-388486BA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SITARAM SEERVI</dc:creator>
  <cp:keywords/>
  <dc:description/>
  <cp:lastModifiedBy>Reviewer</cp:lastModifiedBy>
  <cp:revision>2</cp:revision>
  <cp:lastPrinted>2025-06-30T13:44:00Z</cp:lastPrinted>
  <dcterms:created xsi:type="dcterms:W3CDTF">2025-07-19T11:16:00Z</dcterms:created>
  <dcterms:modified xsi:type="dcterms:W3CDTF">2025-07-19T11:16:00Z</dcterms:modified>
</cp:coreProperties>
</file>