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FF" w:rsidRPr="007A0B95" w:rsidRDefault="003121FF" w:rsidP="003121FF">
      <w:pPr>
        <w:jc w:val="both"/>
        <w:rPr>
          <w:rFonts w:ascii="Arial" w:hAnsi="Arial" w:cs="Arial"/>
          <w:sz w:val="24"/>
          <w:szCs w:val="24"/>
        </w:rPr>
      </w:pPr>
    </w:p>
    <w:p w:rsidR="00346A8B" w:rsidRDefault="00346A8B" w:rsidP="005F3882">
      <w:pPr>
        <w:jc w:val="center"/>
        <w:rPr>
          <w:rFonts w:ascii="Arial" w:hAnsi="Arial" w:cs="Arial"/>
          <w:b/>
          <w:sz w:val="28"/>
          <w:szCs w:val="24"/>
        </w:rPr>
      </w:pPr>
      <w:bookmarkStart w:id="0" w:name="_Hlk205313080"/>
      <w:r w:rsidRPr="00346A8B">
        <w:rPr>
          <w:rFonts w:ascii="Arial" w:hAnsi="Arial" w:cs="Arial"/>
          <w:b/>
          <w:sz w:val="28"/>
          <w:szCs w:val="24"/>
        </w:rPr>
        <w:t>Short Research Article</w:t>
      </w:r>
    </w:p>
    <w:p w:rsidR="005D7A5B" w:rsidRPr="007A0B95" w:rsidRDefault="005D7A5B" w:rsidP="005F3882">
      <w:pPr>
        <w:jc w:val="center"/>
        <w:rPr>
          <w:rFonts w:ascii="Arial" w:hAnsi="Arial" w:cs="Arial"/>
          <w:b/>
          <w:sz w:val="28"/>
          <w:szCs w:val="24"/>
        </w:rPr>
      </w:pPr>
      <w:r w:rsidRPr="007A0B95">
        <w:rPr>
          <w:rFonts w:ascii="Arial" w:hAnsi="Arial" w:cs="Arial"/>
          <w:b/>
          <w:sz w:val="28"/>
          <w:szCs w:val="24"/>
        </w:rPr>
        <w:t>Shade-</w:t>
      </w:r>
      <w:r w:rsidR="004E7472" w:rsidRPr="007A0B95">
        <w:rPr>
          <w:rFonts w:ascii="Arial" w:hAnsi="Arial" w:cs="Arial"/>
          <w:b/>
          <w:sz w:val="28"/>
          <w:szCs w:val="24"/>
        </w:rPr>
        <w:t>i</w:t>
      </w:r>
      <w:r w:rsidRPr="007A0B95">
        <w:rPr>
          <w:rFonts w:ascii="Arial" w:hAnsi="Arial" w:cs="Arial"/>
          <w:b/>
          <w:sz w:val="28"/>
          <w:szCs w:val="24"/>
        </w:rPr>
        <w:t xml:space="preserve">nduced </w:t>
      </w:r>
      <w:r w:rsidR="004E7472" w:rsidRPr="007A0B95">
        <w:rPr>
          <w:rFonts w:ascii="Arial" w:hAnsi="Arial" w:cs="Arial"/>
          <w:b/>
          <w:sz w:val="28"/>
          <w:szCs w:val="24"/>
        </w:rPr>
        <w:t>m</w:t>
      </w:r>
      <w:r w:rsidRPr="007A0B95">
        <w:rPr>
          <w:rFonts w:ascii="Arial" w:hAnsi="Arial" w:cs="Arial"/>
          <w:b/>
          <w:sz w:val="28"/>
          <w:szCs w:val="24"/>
        </w:rPr>
        <w:t xml:space="preserve">odulation of </w:t>
      </w:r>
      <w:r w:rsidR="004E7472" w:rsidRPr="007A0B95">
        <w:rPr>
          <w:rFonts w:ascii="Arial" w:hAnsi="Arial" w:cs="Arial"/>
          <w:b/>
          <w:sz w:val="28"/>
          <w:szCs w:val="24"/>
        </w:rPr>
        <w:t>g</w:t>
      </w:r>
      <w:r w:rsidRPr="007A0B95">
        <w:rPr>
          <w:rFonts w:ascii="Arial" w:hAnsi="Arial" w:cs="Arial"/>
          <w:b/>
          <w:sz w:val="28"/>
          <w:szCs w:val="24"/>
        </w:rPr>
        <w:t xml:space="preserve">rowth, </w:t>
      </w:r>
      <w:r w:rsidR="004E7472" w:rsidRPr="007A0B95">
        <w:rPr>
          <w:rFonts w:ascii="Arial" w:hAnsi="Arial" w:cs="Arial"/>
          <w:b/>
          <w:sz w:val="28"/>
          <w:szCs w:val="24"/>
        </w:rPr>
        <w:t>y</w:t>
      </w:r>
      <w:r w:rsidRPr="007A0B95">
        <w:rPr>
          <w:rFonts w:ascii="Arial" w:hAnsi="Arial" w:cs="Arial"/>
          <w:b/>
          <w:sz w:val="28"/>
          <w:szCs w:val="24"/>
        </w:rPr>
        <w:t xml:space="preserve">ield, and </w:t>
      </w:r>
      <w:r w:rsidR="004E7472" w:rsidRPr="007A0B95">
        <w:rPr>
          <w:rFonts w:ascii="Arial" w:hAnsi="Arial" w:cs="Arial"/>
          <w:b/>
          <w:sz w:val="28"/>
          <w:szCs w:val="24"/>
        </w:rPr>
        <w:t>s</w:t>
      </w:r>
      <w:r w:rsidRPr="007A0B95">
        <w:rPr>
          <w:rFonts w:ascii="Arial" w:hAnsi="Arial" w:cs="Arial"/>
          <w:b/>
          <w:sz w:val="28"/>
          <w:szCs w:val="24"/>
        </w:rPr>
        <w:t xml:space="preserve">oil </w:t>
      </w:r>
      <w:r w:rsidR="004E7472" w:rsidRPr="007A0B95">
        <w:rPr>
          <w:rFonts w:ascii="Arial" w:hAnsi="Arial" w:cs="Arial"/>
          <w:b/>
          <w:sz w:val="28"/>
          <w:szCs w:val="24"/>
        </w:rPr>
        <w:t>d</w:t>
      </w:r>
      <w:r w:rsidRPr="007A0B95">
        <w:rPr>
          <w:rFonts w:ascii="Arial" w:hAnsi="Arial" w:cs="Arial"/>
          <w:b/>
          <w:sz w:val="28"/>
          <w:szCs w:val="24"/>
        </w:rPr>
        <w:t xml:space="preserve">ynamics in </w:t>
      </w:r>
      <w:r w:rsidR="004E7472" w:rsidRPr="007A0B95">
        <w:rPr>
          <w:rFonts w:ascii="Arial" w:hAnsi="Arial" w:cs="Arial"/>
          <w:b/>
          <w:sz w:val="28"/>
          <w:szCs w:val="24"/>
        </w:rPr>
        <w:t>m</w:t>
      </w:r>
      <w:r w:rsidRPr="007A0B95">
        <w:rPr>
          <w:rFonts w:ascii="Arial" w:hAnsi="Arial" w:cs="Arial"/>
          <w:b/>
          <w:sz w:val="28"/>
          <w:szCs w:val="24"/>
        </w:rPr>
        <w:t xml:space="preserve">edicinal </w:t>
      </w:r>
      <w:r w:rsidR="004E7472" w:rsidRPr="007A0B95">
        <w:rPr>
          <w:rFonts w:ascii="Arial" w:hAnsi="Arial" w:cs="Arial"/>
          <w:b/>
          <w:sz w:val="28"/>
          <w:szCs w:val="24"/>
        </w:rPr>
        <w:t>c</w:t>
      </w:r>
      <w:r w:rsidRPr="007A0B95">
        <w:rPr>
          <w:rFonts w:ascii="Arial" w:hAnsi="Arial" w:cs="Arial"/>
          <w:b/>
          <w:sz w:val="28"/>
          <w:szCs w:val="24"/>
        </w:rPr>
        <w:t>oleus (</w:t>
      </w:r>
      <w:r w:rsidRPr="007A0B95">
        <w:rPr>
          <w:rFonts w:ascii="Arial" w:hAnsi="Arial" w:cs="Arial"/>
          <w:b/>
          <w:i/>
          <w:sz w:val="28"/>
          <w:szCs w:val="24"/>
        </w:rPr>
        <w:t>Coleus forskohlii</w:t>
      </w:r>
      <w:r w:rsidR="0067640B">
        <w:rPr>
          <w:rFonts w:ascii="Arial" w:hAnsi="Arial" w:cs="Arial"/>
          <w:b/>
          <w:i/>
          <w:sz w:val="28"/>
          <w:szCs w:val="24"/>
        </w:rPr>
        <w:t xml:space="preserve"> </w:t>
      </w:r>
      <w:r w:rsidRPr="007A0B95">
        <w:rPr>
          <w:rFonts w:ascii="Arial" w:hAnsi="Arial" w:cs="Arial"/>
          <w:b/>
          <w:sz w:val="28"/>
          <w:szCs w:val="24"/>
        </w:rPr>
        <w:t>Briq.)</w:t>
      </w:r>
    </w:p>
    <w:bookmarkEnd w:id="0"/>
    <w:p w:rsidR="00690DBD" w:rsidRDefault="00690DBD" w:rsidP="00377709">
      <w:pPr>
        <w:jc w:val="right"/>
        <w:rPr>
          <w:rFonts w:ascii="Arial" w:hAnsi="Arial" w:cs="Arial"/>
          <w:sz w:val="20"/>
          <w:szCs w:val="20"/>
        </w:rPr>
      </w:pPr>
    </w:p>
    <w:p w:rsidR="00D17942" w:rsidRPr="00377709" w:rsidRDefault="00D17942" w:rsidP="00377709">
      <w:pPr>
        <w:jc w:val="right"/>
        <w:rPr>
          <w:rFonts w:ascii="Arial" w:hAnsi="Arial" w:cs="Arial"/>
          <w:sz w:val="20"/>
          <w:szCs w:val="20"/>
        </w:rPr>
      </w:pPr>
    </w:p>
    <w:p w:rsidR="005F3882" w:rsidRPr="00377709" w:rsidRDefault="005F3882" w:rsidP="005F3882">
      <w:pPr>
        <w:jc w:val="center"/>
        <w:rPr>
          <w:rFonts w:ascii="Arial" w:hAnsi="Arial" w:cs="Arial"/>
          <w:sz w:val="20"/>
          <w:szCs w:val="20"/>
        </w:rPr>
      </w:pPr>
    </w:p>
    <w:p w:rsidR="002D1661" w:rsidRPr="007A0B95" w:rsidRDefault="003826C6" w:rsidP="002D1661">
      <w:pPr>
        <w:jc w:val="both"/>
        <w:rPr>
          <w:rFonts w:ascii="Arial" w:hAnsi="Arial" w:cs="Arial"/>
          <w:b/>
        </w:rPr>
      </w:pPr>
      <w:r>
        <w:rPr>
          <w:rFonts w:ascii="Arial" w:hAnsi="Arial" w:cs="Arial"/>
          <w:b/>
          <w:noProof/>
        </w:rPr>
        <w:pict>
          <v:rect id="Rectangle 1" o:spid="_x0000_s1026" style="position:absolute;left:0;text-align:left;margin-left:-9.6pt;margin-top:17pt;width:484.8pt;height:147.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" filled="f" strokecolor="#091723 [484]" strokeweight="1pt"/>
        </w:pict>
      </w:r>
      <w:r w:rsidR="007A0B95" w:rsidRPr="007A0B95">
        <w:rPr>
          <w:rFonts w:ascii="Arial" w:hAnsi="Arial" w:cs="Arial"/>
          <w:b/>
        </w:rPr>
        <w:t>ABSTRACT</w:t>
      </w:r>
    </w:p>
    <w:p w:rsidR="002D1661" w:rsidRPr="007A0B95" w:rsidRDefault="004B13A6" w:rsidP="002D1661">
      <w:pPr>
        <w:jc w:val="both"/>
        <w:rPr>
          <w:rFonts w:ascii="Arial" w:hAnsi="Arial" w:cs="Arial"/>
          <w:sz w:val="20"/>
          <w:szCs w:val="20"/>
        </w:rPr>
      </w:pPr>
      <w:r w:rsidRPr="007A0B95">
        <w:rPr>
          <w:rFonts w:ascii="Arial" w:hAnsi="Arial" w:cs="Arial"/>
          <w:sz w:val="20"/>
          <w:szCs w:val="20"/>
        </w:rPr>
        <w:t xml:space="preserve">This study evaluated the effects of varying shade levels on the growth, yield, and soil properties of </w:t>
      </w:r>
      <w:r w:rsidRPr="007A0B95">
        <w:rPr>
          <w:rFonts w:ascii="Arial" w:hAnsi="Arial" w:cs="Arial"/>
          <w:i/>
          <w:sz w:val="20"/>
          <w:szCs w:val="20"/>
        </w:rPr>
        <w:t>Coleus forskohlii</w:t>
      </w:r>
      <w:r w:rsidR="0067640B">
        <w:rPr>
          <w:rFonts w:ascii="Arial" w:hAnsi="Arial" w:cs="Arial"/>
          <w:i/>
          <w:sz w:val="20"/>
          <w:szCs w:val="20"/>
        </w:rPr>
        <w:t xml:space="preserve"> </w:t>
      </w:r>
      <w:r w:rsidRPr="007A0B95">
        <w:rPr>
          <w:rFonts w:ascii="Arial" w:hAnsi="Arial" w:cs="Arial"/>
          <w:sz w:val="20"/>
          <w:szCs w:val="20"/>
        </w:rPr>
        <w:t>Briq., a medicinal plant of economic and therapeutic importance. The</w:t>
      </w:r>
      <w:r w:rsidR="002D1661" w:rsidRPr="007A0B95">
        <w:rPr>
          <w:rFonts w:ascii="Arial" w:hAnsi="Arial" w:cs="Arial"/>
          <w:sz w:val="20"/>
          <w:szCs w:val="20"/>
        </w:rPr>
        <w:t xml:space="preserve"> experiment involved three shade treatments: full sun (open), 25% shade, and 50% shade, combined with polythene mulching. Results indicated that shade significantly influenced plant morphology and productivity. Maximum plant height was recorded under 50% shade, while the greatest number of branches per plant occurred in full sun. The highest root yield per plant was observed under 25% shade. Additionally, shade and mulching treatments significantly affected soil properties such as pH, electrical conductivity (EC), moisture content, organic carbon (OC), and microbial activity. Mulched soils, particularly under 50% shade, exhibited enhanced moisture retention, microbial biomass carbon, and enzyme activity. These findings underscore the importance of integrating optimal shade management and mulching practices to enhance the productivity and sustainability of </w:t>
      </w:r>
      <w:r w:rsidR="002D1661" w:rsidRPr="007A0B95">
        <w:rPr>
          <w:rFonts w:ascii="Arial" w:hAnsi="Arial" w:cs="Arial"/>
          <w:i/>
          <w:sz w:val="20"/>
          <w:szCs w:val="20"/>
        </w:rPr>
        <w:t>Coleus forskohlii</w:t>
      </w:r>
      <w:r w:rsidR="002D1661" w:rsidRPr="007A0B95">
        <w:rPr>
          <w:rFonts w:ascii="Arial" w:hAnsi="Arial" w:cs="Arial"/>
          <w:sz w:val="20"/>
          <w:szCs w:val="20"/>
        </w:rPr>
        <w:t xml:space="preserve"> cultivation.</w:t>
      </w:r>
    </w:p>
    <w:p w:rsidR="009E3BBA" w:rsidRPr="007A0B95" w:rsidRDefault="009E3BBA" w:rsidP="007A0B95">
      <w:pPr>
        <w:rPr>
          <w:rFonts w:ascii="Arial" w:hAnsi="Arial" w:cs="Arial"/>
          <w:i/>
          <w:sz w:val="20"/>
          <w:szCs w:val="20"/>
        </w:rPr>
      </w:pPr>
      <w:r w:rsidRPr="007A0B95">
        <w:rPr>
          <w:rFonts w:ascii="Arial" w:hAnsi="Arial" w:cs="Arial"/>
          <w:b/>
          <w:i/>
          <w:sz w:val="20"/>
          <w:szCs w:val="20"/>
        </w:rPr>
        <w:t>Key words</w:t>
      </w:r>
      <w:r w:rsidRPr="007A0B95">
        <w:rPr>
          <w:rFonts w:ascii="Arial" w:hAnsi="Arial" w:cs="Arial"/>
          <w:i/>
          <w:sz w:val="20"/>
          <w:szCs w:val="20"/>
        </w:rPr>
        <w:t>: Root biomass, Soil moisture retention, Microbial biomass carbon, Enzymatic activity, Organic carbon</w:t>
      </w:r>
      <w:r w:rsidR="000E3BC3" w:rsidRPr="007A0B95">
        <w:rPr>
          <w:rFonts w:ascii="Arial" w:hAnsi="Arial" w:cs="Arial"/>
          <w:i/>
          <w:sz w:val="20"/>
          <w:szCs w:val="20"/>
        </w:rPr>
        <w:t>, Light</w:t>
      </w:r>
      <w:r w:rsidRPr="007A0B95">
        <w:rPr>
          <w:rFonts w:ascii="Arial" w:hAnsi="Arial" w:cs="Arial"/>
          <w:i/>
          <w:sz w:val="20"/>
          <w:szCs w:val="20"/>
        </w:rPr>
        <w:t xml:space="preserve"> intensity</w:t>
      </w:r>
    </w:p>
    <w:p w:rsidR="008917F9" w:rsidRDefault="008917F9" w:rsidP="002D1661">
      <w:pPr>
        <w:jc w:val="both"/>
        <w:rPr>
          <w:rFonts w:ascii="Arial" w:hAnsi="Arial" w:cs="Arial"/>
          <w:b/>
          <w:sz w:val="24"/>
          <w:szCs w:val="24"/>
        </w:rPr>
        <w:sectPr w:rsidR="008917F9" w:rsidSect="00F508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2D1661" w:rsidRPr="007A0B95" w:rsidRDefault="007A0B95" w:rsidP="002D1661">
      <w:pPr>
        <w:jc w:val="both"/>
        <w:rPr>
          <w:rFonts w:ascii="Arial" w:hAnsi="Arial" w:cs="Arial"/>
          <w:b/>
          <w:sz w:val="24"/>
          <w:szCs w:val="24"/>
        </w:rPr>
      </w:pPr>
      <w:r w:rsidRPr="007A0B95">
        <w:rPr>
          <w:rFonts w:ascii="Arial" w:hAnsi="Arial" w:cs="Arial"/>
          <w:b/>
          <w:sz w:val="24"/>
          <w:szCs w:val="24"/>
        </w:rPr>
        <w:lastRenderedPageBreak/>
        <w:t xml:space="preserve">1. </w:t>
      </w:r>
      <w:r w:rsidRPr="007A0B95">
        <w:rPr>
          <w:rFonts w:ascii="Arial" w:hAnsi="Arial" w:cs="Arial"/>
          <w:b/>
        </w:rPr>
        <w:t>INTRODUCTION</w:t>
      </w:r>
    </w:p>
    <w:p w:rsidR="005654F8" w:rsidRPr="00A13C04" w:rsidRDefault="005654F8" w:rsidP="005654F8">
      <w:pPr>
        <w:jc w:val="both"/>
        <w:rPr>
          <w:rFonts w:ascii="Arial" w:hAnsi="Arial" w:cs="Arial"/>
          <w:sz w:val="20"/>
          <w:szCs w:val="20"/>
        </w:rPr>
      </w:pPr>
      <w:r w:rsidRPr="00A13C04">
        <w:rPr>
          <w:rFonts w:ascii="Arial" w:hAnsi="Arial" w:cs="Arial"/>
          <w:i/>
          <w:sz w:val="20"/>
          <w:szCs w:val="20"/>
        </w:rPr>
        <w:t>Coleus forskohlii</w:t>
      </w:r>
      <w:r w:rsidR="0067640B">
        <w:rPr>
          <w:rFonts w:ascii="Arial" w:hAnsi="Arial" w:cs="Arial"/>
          <w:i/>
          <w:sz w:val="20"/>
          <w:szCs w:val="20"/>
        </w:rPr>
        <w:t xml:space="preserve"> </w:t>
      </w:r>
      <w:r w:rsidRPr="00A13C04">
        <w:rPr>
          <w:rFonts w:ascii="Arial" w:hAnsi="Arial" w:cs="Arial"/>
          <w:sz w:val="20"/>
          <w:szCs w:val="20"/>
        </w:rPr>
        <w:t>Briq., commonly known as medicinal coleus, is a perennial herb native to the tropical and subtropical regions of Asia and Africa</w:t>
      </w:r>
      <w:r w:rsidR="0067640B">
        <w:rPr>
          <w:rFonts w:ascii="Arial" w:hAnsi="Arial" w:cs="Arial"/>
          <w:sz w:val="20"/>
          <w:szCs w:val="20"/>
        </w:rPr>
        <w:t xml:space="preserve"> </w:t>
      </w:r>
      <w:r w:rsidR="0067640B" w:rsidRPr="0067640B">
        <w:rPr>
          <w:rFonts w:ascii="Arial" w:hAnsi="Arial" w:cs="Arial"/>
          <w:color w:val="FF0000"/>
          <w:sz w:val="20"/>
          <w:szCs w:val="20"/>
        </w:rPr>
        <w:t>(Reference?)</w:t>
      </w:r>
      <w:r w:rsidRPr="00A13C04">
        <w:rPr>
          <w:rFonts w:ascii="Arial" w:hAnsi="Arial" w:cs="Arial"/>
          <w:sz w:val="20"/>
          <w:szCs w:val="20"/>
        </w:rPr>
        <w:t>. It is widely recognized for its therapeutic value and is increasingly cultivated for use in traditional and modern herbal medicine systems. With rising demand, there is a growing need to refine agronomic practices to enhance biomass production and overall crop performance.</w:t>
      </w:r>
    </w:p>
    <w:p w:rsidR="005654F8" w:rsidRPr="00A13C04" w:rsidRDefault="005654F8" w:rsidP="005654F8">
      <w:pPr>
        <w:jc w:val="both"/>
        <w:rPr>
          <w:rFonts w:ascii="Arial" w:hAnsi="Arial" w:cs="Arial"/>
          <w:sz w:val="20"/>
          <w:szCs w:val="20"/>
        </w:rPr>
      </w:pPr>
      <w:r w:rsidRPr="00A13C04">
        <w:rPr>
          <w:rFonts w:ascii="Arial" w:hAnsi="Arial" w:cs="Arial"/>
          <w:sz w:val="20"/>
          <w:szCs w:val="20"/>
        </w:rPr>
        <w:t>Among the key environmental factors influencing medicinal plant cultivation, light availability</w:t>
      </w:r>
      <w:r w:rsidR="000E3BC3" w:rsidRPr="00A13C04">
        <w:rPr>
          <w:rFonts w:ascii="Arial" w:hAnsi="Arial" w:cs="Arial"/>
          <w:sz w:val="20"/>
          <w:szCs w:val="20"/>
        </w:rPr>
        <w:t xml:space="preserve">, </w:t>
      </w:r>
      <w:r w:rsidRPr="00A13C04">
        <w:rPr>
          <w:rFonts w:ascii="Arial" w:hAnsi="Arial" w:cs="Arial"/>
          <w:sz w:val="20"/>
          <w:szCs w:val="20"/>
        </w:rPr>
        <w:t>particularly shade</w:t>
      </w:r>
      <w:r w:rsidR="000E3BC3" w:rsidRPr="00A13C04">
        <w:rPr>
          <w:rFonts w:ascii="Arial" w:hAnsi="Arial" w:cs="Arial"/>
          <w:sz w:val="20"/>
          <w:szCs w:val="20"/>
        </w:rPr>
        <w:t xml:space="preserve">, </w:t>
      </w:r>
      <w:r w:rsidRPr="00A13C04">
        <w:rPr>
          <w:rFonts w:ascii="Arial" w:hAnsi="Arial" w:cs="Arial"/>
          <w:sz w:val="20"/>
          <w:szCs w:val="20"/>
        </w:rPr>
        <w:t>plays a vital role in determining vegetative growth, biomass partitioning, and the accumulation of bioactive compounds. In addition, shade conditions, along with cultural practices like mulching, can significantly alter soil physicochemical and biological properties, thereby influencing soil moisture, nutrient dynamics, microbial activity, and long-term soil health.</w:t>
      </w:r>
    </w:p>
    <w:p w:rsidR="005654F8" w:rsidRPr="00A13C04" w:rsidRDefault="005654F8" w:rsidP="005654F8">
      <w:pPr>
        <w:jc w:val="both"/>
        <w:rPr>
          <w:rFonts w:ascii="Arial" w:hAnsi="Arial" w:cs="Arial"/>
          <w:sz w:val="20"/>
          <w:szCs w:val="20"/>
        </w:rPr>
      </w:pPr>
      <w:r w:rsidRPr="00A13C04">
        <w:rPr>
          <w:rFonts w:ascii="Arial" w:hAnsi="Arial" w:cs="Arial"/>
          <w:sz w:val="20"/>
          <w:szCs w:val="20"/>
        </w:rPr>
        <w:t xml:space="preserve">This study was designed to investigate the impact of different shade levels on the growth, yield, and soil properties of </w:t>
      </w:r>
      <w:r w:rsidRPr="00A13C04">
        <w:rPr>
          <w:rFonts w:ascii="Arial" w:hAnsi="Arial" w:cs="Arial"/>
          <w:i/>
          <w:sz w:val="20"/>
          <w:szCs w:val="20"/>
        </w:rPr>
        <w:t>C. forskohlii</w:t>
      </w:r>
      <w:r w:rsidRPr="00A13C04">
        <w:rPr>
          <w:rFonts w:ascii="Arial" w:hAnsi="Arial" w:cs="Arial"/>
          <w:sz w:val="20"/>
          <w:szCs w:val="20"/>
        </w:rPr>
        <w:t xml:space="preserve"> under uniform polythene mulching. The findings aim to provide practical insights for optimizing cultivation strategies, promoting resource-efficient practices, and supporting sustainable land use in medicinal plant production systems.</w:t>
      </w:r>
    </w:p>
    <w:p w:rsidR="00CC36C7" w:rsidRPr="007A0B95" w:rsidRDefault="007A0B95" w:rsidP="005654F8">
      <w:pPr>
        <w:jc w:val="both"/>
        <w:rPr>
          <w:rFonts w:ascii="Arial" w:hAnsi="Arial" w:cs="Arial"/>
          <w:b/>
        </w:rPr>
      </w:pPr>
      <w:r w:rsidRPr="007A0B95">
        <w:rPr>
          <w:rFonts w:ascii="Arial" w:hAnsi="Arial" w:cs="Arial"/>
          <w:b/>
        </w:rPr>
        <w:t>2. MATERIALS AND METHODS</w:t>
      </w:r>
    </w:p>
    <w:p w:rsidR="00674962" w:rsidRPr="00A13C04" w:rsidRDefault="00674962" w:rsidP="00674962">
      <w:pPr>
        <w:jc w:val="both"/>
        <w:rPr>
          <w:rFonts w:ascii="Arial" w:hAnsi="Arial" w:cs="Arial"/>
          <w:sz w:val="20"/>
          <w:szCs w:val="24"/>
        </w:rPr>
      </w:pPr>
      <w:r w:rsidRPr="00A13C04">
        <w:rPr>
          <w:rFonts w:ascii="Arial" w:hAnsi="Arial" w:cs="Arial"/>
          <w:sz w:val="20"/>
          <w:szCs w:val="24"/>
        </w:rPr>
        <w:t xml:space="preserve">The field experiment was carried out from October 2024 to January 2025 at the Agronomy Farm, Department of Agronomy, College of Agriculture, Vellanikkara, Thrissur, Kerala. Stem cuttings of </w:t>
      </w:r>
      <w:r w:rsidRPr="00A13C04">
        <w:rPr>
          <w:rFonts w:ascii="Arial" w:hAnsi="Arial" w:cs="Arial"/>
          <w:i/>
          <w:iCs/>
          <w:sz w:val="20"/>
          <w:szCs w:val="24"/>
        </w:rPr>
        <w:t>Coleus forskohlii</w:t>
      </w:r>
      <w:r w:rsidRPr="00A13C04">
        <w:rPr>
          <w:rFonts w:ascii="Arial" w:hAnsi="Arial" w:cs="Arial"/>
          <w:sz w:val="20"/>
          <w:szCs w:val="24"/>
        </w:rPr>
        <w:t xml:space="preserve"> (variety K8), procured from the Indian Institute of Horticultural Research (IIHR), Bengaluru, were planted in raised beds enriched with organic manure at the rate of 10 t/ha. The cuttings were spaced at </w:t>
      </w:r>
      <w:r w:rsidRPr="00A13C04">
        <w:rPr>
          <w:rFonts w:ascii="Arial" w:hAnsi="Arial" w:cs="Arial"/>
          <w:sz w:val="20"/>
          <w:szCs w:val="24"/>
        </w:rPr>
        <w:lastRenderedPageBreak/>
        <w:t>45 cm × 45 cm. The study involved three shade treatments: open conditions (0% shade), 25% shade, and 50% shade, established using standard agricultural shade nets. Polythene mulch was applied to minimize weed growth and conserve soil moisture.</w:t>
      </w:r>
    </w:p>
    <w:p w:rsidR="00674962" w:rsidRPr="00A13C04" w:rsidRDefault="00674962" w:rsidP="00674962">
      <w:pPr>
        <w:jc w:val="both"/>
        <w:rPr>
          <w:rFonts w:ascii="Arial" w:hAnsi="Arial" w:cs="Arial"/>
          <w:sz w:val="20"/>
          <w:szCs w:val="24"/>
        </w:rPr>
      </w:pPr>
      <w:r w:rsidRPr="00A13C04">
        <w:rPr>
          <w:rFonts w:ascii="Arial" w:hAnsi="Arial" w:cs="Arial"/>
          <w:sz w:val="20"/>
          <w:szCs w:val="24"/>
        </w:rPr>
        <w:t>At 100 days after planting (DAP), key plant growth parameters were recorded. Plant height was measured from the soil surface to the terminal growing point, and the number of branches was counted from the main stem. Fresh root weight per plant was measured after carefully harvesting</w:t>
      </w:r>
      <w:r w:rsidR="0067640B">
        <w:rPr>
          <w:rFonts w:ascii="Arial" w:hAnsi="Arial" w:cs="Arial"/>
          <w:sz w:val="20"/>
          <w:szCs w:val="24"/>
        </w:rPr>
        <w:t xml:space="preserve"> </w:t>
      </w:r>
      <w:r w:rsidR="0067640B" w:rsidRPr="0067640B">
        <w:rPr>
          <w:rFonts w:ascii="Arial" w:hAnsi="Arial" w:cs="Arial"/>
          <w:color w:val="FF0000"/>
          <w:sz w:val="20"/>
          <w:szCs w:val="24"/>
        </w:rPr>
        <w:t>(uprooting?)</w:t>
      </w:r>
      <w:r w:rsidRPr="00A13C04">
        <w:rPr>
          <w:rFonts w:ascii="Arial" w:hAnsi="Arial" w:cs="Arial"/>
          <w:sz w:val="20"/>
          <w:szCs w:val="24"/>
        </w:rPr>
        <w:t xml:space="preserve"> and weighing the detached roots. Soil samples were collected from each treatment plot to assess a range of physical, chemical, and biological properties.</w:t>
      </w:r>
    </w:p>
    <w:p w:rsidR="00674962" w:rsidRPr="00A13C04" w:rsidRDefault="00674962" w:rsidP="00674962">
      <w:pPr>
        <w:jc w:val="both"/>
        <w:rPr>
          <w:rFonts w:ascii="Arial" w:hAnsi="Arial" w:cs="Arial"/>
          <w:sz w:val="20"/>
          <w:szCs w:val="24"/>
        </w:rPr>
      </w:pPr>
      <w:r w:rsidRPr="00A13C04">
        <w:rPr>
          <w:rFonts w:ascii="Arial" w:hAnsi="Arial" w:cs="Arial"/>
          <w:sz w:val="20"/>
          <w:szCs w:val="24"/>
        </w:rPr>
        <w:t>Soil pH, electrical conductivity (EC), and organic carbon content were determined following the p</w:t>
      </w:r>
      <w:r w:rsidR="00A13C04">
        <w:rPr>
          <w:rFonts w:ascii="Arial" w:hAnsi="Arial" w:cs="Arial"/>
          <w:sz w:val="20"/>
          <w:szCs w:val="24"/>
        </w:rPr>
        <w:t>rocedures described by Jackson, 1958</w:t>
      </w:r>
      <w:r w:rsidRPr="00A13C04">
        <w:rPr>
          <w:rFonts w:ascii="Arial" w:hAnsi="Arial" w:cs="Arial"/>
          <w:sz w:val="20"/>
          <w:szCs w:val="24"/>
        </w:rPr>
        <w:t>, while moisture content was assessed using the method prescribed by the Standards</w:t>
      </w:r>
      <w:r w:rsidR="00A13C04">
        <w:rPr>
          <w:rFonts w:ascii="Arial" w:hAnsi="Arial" w:cs="Arial"/>
          <w:sz w:val="20"/>
          <w:szCs w:val="24"/>
        </w:rPr>
        <w:t xml:space="preserve"> Association of Australia, 1977</w:t>
      </w:r>
      <w:r w:rsidRPr="00A13C04">
        <w:rPr>
          <w:rFonts w:ascii="Arial" w:hAnsi="Arial" w:cs="Arial"/>
          <w:sz w:val="20"/>
          <w:szCs w:val="24"/>
        </w:rPr>
        <w:t>. Available phosphorus was esti</w:t>
      </w:r>
      <w:r w:rsidR="00466FCA">
        <w:rPr>
          <w:rFonts w:ascii="Arial" w:hAnsi="Arial" w:cs="Arial"/>
          <w:sz w:val="20"/>
          <w:szCs w:val="24"/>
        </w:rPr>
        <w:t>mated using the Bray and Kurtz, 1945</w:t>
      </w:r>
      <w:r w:rsidRPr="00A13C04">
        <w:rPr>
          <w:rFonts w:ascii="Arial" w:hAnsi="Arial" w:cs="Arial"/>
          <w:sz w:val="20"/>
          <w:szCs w:val="24"/>
        </w:rPr>
        <w:t xml:space="preserve"> method, and available potassi</w:t>
      </w:r>
      <w:r w:rsidR="00A13C04">
        <w:rPr>
          <w:rFonts w:ascii="Arial" w:hAnsi="Arial" w:cs="Arial"/>
          <w:sz w:val="20"/>
          <w:szCs w:val="24"/>
        </w:rPr>
        <w:t>um was measured as per Jackson, 1958</w:t>
      </w:r>
      <w:r w:rsidRPr="00A13C04">
        <w:rPr>
          <w:rFonts w:ascii="Arial" w:hAnsi="Arial" w:cs="Arial"/>
          <w:sz w:val="20"/>
          <w:szCs w:val="24"/>
        </w:rPr>
        <w:t>. Microbial biomass carbon (MBC) was quantified using the m</w:t>
      </w:r>
      <w:r w:rsidR="00A13C04" w:rsidRPr="00A13C04">
        <w:rPr>
          <w:rFonts w:ascii="Arial" w:hAnsi="Arial" w:cs="Arial"/>
          <w:sz w:val="20"/>
          <w:szCs w:val="24"/>
        </w:rPr>
        <w:t>ethod proposed by Vance et al., 1987</w:t>
      </w:r>
      <w:r w:rsidRPr="00A13C04">
        <w:rPr>
          <w:rFonts w:ascii="Arial" w:hAnsi="Arial" w:cs="Arial"/>
          <w:sz w:val="20"/>
          <w:szCs w:val="24"/>
        </w:rPr>
        <w:t>. Soil enzyme activities, including dehydrogenase and phosphatase activity, were evaluated accordi</w:t>
      </w:r>
      <w:r w:rsidR="00A13C04" w:rsidRPr="00A13C04">
        <w:rPr>
          <w:rFonts w:ascii="Arial" w:hAnsi="Arial" w:cs="Arial"/>
          <w:sz w:val="20"/>
          <w:szCs w:val="24"/>
        </w:rPr>
        <w:t>ng to the methods of Stevenson, 1959</w:t>
      </w:r>
      <w:r w:rsidR="00A13C04">
        <w:rPr>
          <w:rFonts w:ascii="Arial" w:hAnsi="Arial" w:cs="Arial"/>
          <w:sz w:val="20"/>
          <w:szCs w:val="24"/>
        </w:rPr>
        <w:t xml:space="preserve"> and Tabatabai and Bremner, 1969</w:t>
      </w:r>
      <w:r w:rsidRPr="00A13C04">
        <w:rPr>
          <w:rFonts w:ascii="Arial" w:hAnsi="Arial" w:cs="Arial"/>
          <w:sz w:val="20"/>
          <w:szCs w:val="24"/>
        </w:rPr>
        <w:t xml:space="preserve">, respectively. All collected data were statistically analyzed using the "Grapes" statistical software </w:t>
      </w:r>
      <w:r w:rsidRPr="0067640B">
        <w:rPr>
          <w:rFonts w:ascii="Arial" w:hAnsi="Arial" w:cs="Arial"/>
          <w:strike/>
          <w:color w:val="FF0000"/>
          <w:sz w:val="20"/>
          <w:szCs w:val="24"/>
        </w:rPr>
        <w:t>platfor</w:t>
      </w:r>
      <w:r w:rsidR="00A13C04" w:rsidRPr="0067640B">
        <w:rPr>
          <w:rFonts w:ascii="Arial" w:hAnsi="Arial" w:cs="Arial"/>
          <w:strike/>
          <w:color w:val="FF0000"/>
          <w:sz w:val="20"/>
          <w:szCs w:val="24"/>
        </w:rPr>
        <w:t>m</w:t>
      </w:r>
      <w:r w:rsidR="00A13C04" w:rsidRPr="00A13C04">
        <w:rPr>
          <w:rFonts w:ascii="Arial" w:hAnsi="Arial" w:cs="Arial"/>
          <w:sz w:val="20"/>
          <w:szCs w:val="24"/>
        </w:rPr>
        <w:t xml:space="preserve"> developed by Gopinath et al., 2020</w:t>
      </w:r>
      <w:r w:rsidRPr="00A13C04">
        <w:rPr>
          <w:rFonts w:ascii="Arial" w:hAnsi="Arial" w:cs="Arial"/>
          <w:sz w:val="20"/>
          <w:szCs w:val="24"/>
        </w:rPr>
        <w:t xml:space="preserve"> with appropriate tests to assess treatment effects at standard significance levels.</w:t>
      </w:r>
    </w:p>
    <w:p w:rsidR="008917F9" w:rsidRDefault="008917F9" w:rsidP="00674962">
      <w:pPr>
        <w:jc w:val="both"/>
        <w:rPr>
          <w:rFonts w:ascii="Arial" w:hAnsi="Arial" w:cs="Arial"/>
          <w:b/>
        </w:rPr>
        <w:sectPr w:rsidR="008917F9" w:rsidSect="00A74535">
          <w:type w:val="continuous"/>
          <w:pgSz w:w="12240" w:h="15840"/>
          <w:pgMar w:top="1440" w:right="1440" w:bottom="1440" w:left="1440" w:header="720" w:footer="720" w:gutter="0"/>
          <w:cols w:space="720"/>
          <w:docGrid w:linePitch="360"/>
        </w:sectPr>
      </w:pPr>
    </w:p>
    <w:p w:rsidR="003121FF" w:rsidRPr="00A13C04" w:rsidRDefault="00466FCA" w:rsidP="00674962">
      <w:pPr>
        <w:jc w:val="both"/>
        <w:rPr>
          <w:rFonts w:ascii="Arial" w:hAnsi="Arial" w:cs="Arial"/>
          <w:b/>
        </w:rPr>
      </w:pPr>
      <w:r>
        <w:rPr>
          <w:rFonts w:ascii="Arial" w:hAnsi="Arial" w:cs="Arial"/>
          <w:b/>
        </w:rPr>
        <w:lastRenderedPageBreak/>
        <w:t xml:space="preserve">3. </w:t>
      </w:r>
      <w:r w:rsidR="00A13C04" w:rsidRPr="00A13C04">
        <w:rPr>
          <w:rFonts w:ascii="Arial" w:hAnsi="Arial" w:cs="Arial"/>
          <w:b/>
        </w:rPr>
        <w:t>RESULTS AND DISCUSSION</w:t>
      </w:r>
    </w:p>
    <w:p w:rsidR="00674962" w:rsidRPr="00466FCA" w:rsidRDefault="00466FCA" w:rsidP="00674962">
      <w:pPr>
        <w:jc w:val="both"/>
        <w:rPr>
          <w:rFonts w:ascii="Arial" w:hAnsi="Arial" w:cs="Arial"/>
          <w:b/>
          <w:szCs w:val="20"/>
        </w:rPr>
      </w:pPr>
      <w:r w:rsidRPr="00466FCA">
        <w:rPr>
          <w:rFonts w:ascii="Arial" w:hAnsi="Arial" w:cs="Arial"/>
          <w:b/>
          <w:szCs w:val="20"/>
        </w:rPr>
        <w:t xml:space="preserve">3.1 </w:t>
      </w:r>
      <w:r w:rsidR="00674962" w:rsidRPr="00466FCA">
        <w:rPr>
          <w:rFonts w:ascii="Arial" w:hAnsi="Arial" w:cs="Arial"/>
          <w:b/>
          <w:szCs w:val="20"/>
        </w:rPr>
        <w:t>Plant growth and yield</w:t>
      </w:r>
    </w:p>
    <w:p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3.1.1 </w:t>
      </w:r>
      <w:r w:rsidR="00674962" w:rsidRPr="00466FCA">
        <w:rPr>
          <w:rFonts w:ascii="Arial" w:hAnsi="Arial" w:cs="Arial"/>
          <w:b/>
          <w:sz w:val="20"/>
          <w:szCs w:val="20"/>
          <w:u w:val="single"/>
        </w:rPr>
        <w:t>Plant h</w:t>
      </w:r>
      <w:r w:rsidRPr="00466FCA">
        <w:rPr>
          <w:rFonts w:ascii="Arial" w:hAnsi="Arial" w:cs="Arial"/>
          <w:b/>
          <w:sz w:val="20"/>
          <w:szCs w:val="20"/>
          <w:u w:val="single"/>
        </w:rPr>
        <w:t>eight</w:t>
      </w:r>
    </w:p>
    <w:p w:rsidR="00674962" w:rsidRPr="00A13C04" w:rsidRDefault="00674962" w:rsidP="00674962">
      <w:pPr>
        <w:jc w:val="both"/>
        <w:rPr>
          <w:rFonts w:ascii="Arial" w:hAnsi="Arial" w:cs="Arial"/>
          <w:sz w:val="20"/>
          <w:szCs w:val="20"/>
        </w:rPr>
      </w:pPr>
      <w:r w:rsidRPr="00A13C04">
        <w:rPr>
          <w:rFonts w:ascii="Arial" w:hAnsi="Arial" w:cs="Arial"/>
          <w:sz w:val="20"/>
          <w:szCs w:val="20"/>
        </w:rPr>
        <w:t>Plant height was significantly influenced by shade level. Plants under 50% shade attained the greatest height (52.36 cm), followed by 25% shade (41.24 cm), and full sun (30.88 cm). This is co</w:t>
      </w:r>
      <w:r w:rsidR="00A13C04">
        <w:rPr>
          <w:rFonts w:ascii="Arial" w:hAnsi="Arial" w:cs="Arial"/>
          <w:sz w:val="20"/>
          <w:szCs w:val="20"/>
        </w:rPr>
        <w:t>nsistent with Udadeniya et al., 2016</w:t>
      </w:r>
      <w:r w:rsidRPr="00A13C04">
        <w:rPr>
          <w:rFonts w:ascii="Arial" w:hAnsi="Arial" w:cs="Arial"/>
          <w:sz w:val="20"/>
          <w:szCs w:val="20"/>
        </w:rPr>
        <w:t xml:space="preserve">, who reported that higher shade levels promote elongation in shade-adapted species such as </w:t>
      </w:r>
      <w:r w:rsidRPr="00A13C04">
        <w:rPr>
          <w:rFonts w:ascii="Arial" w:hAnsi="Arial" w:cs="Arial"/>
          <w:i/>
          <w:sz w:val="20"/>
          <w:szCs w:val="20"/>
        </w:rPr>
        <w:t>Pogostemon</w:t>
      </w:r>
      <w:r w:rsidR="0067640B">
        <w:rPr>
          <w:rFonts w:ascii="Arial" w:hAnsi="Arial" w:cs="Arial"/>
          <w:i/>
          <w:sz w:val="20"/>
          <w:szCs w:val="20"/>
        </w:rPr>
        <w:t xml:space="preserve"> </w:t>
      </w:r>
      <w:r w:rsidRPr="00A13C04">
        <w:rPr>
          <w:rFonts w:ascii="Arial" w:hAnsi="Arial" w:cs="Arial"/>
          <w:i/>
          <w:sz w:val="20"/>
          <w:szCs w:val="20"/>
        </w:rPr>
        <w:t>heyneanus</w:t>
      </w:r>
      <w:r w:rsidRPr="00A13C04">
        <w:rPr>
          <w:rFonts w:ascii="Arial" w:hAnsi="Arial" w:cs="Arial"/>
          <w:sz w:val="20"/>
          <w:szCs w:val="20"/>
        </w:rPr>
        <w:t>.</w:t>
      </w:r>
    </w:p>
    <w:p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3.1.2 </w:t>
      </w:r>
      <w:r w:rsidR="00674962" w:rsidRPr="00466FCA">
        <w:rPr>
          <w:rFonts w:ascii="Arial" w:hAnsi="Arial" w:cs="Arial"/>
          <w:b/>
          <w:sz w:val="20"/>
          <w:szCs w:val="20"/>
          <w:u w:val="single"/>
        </w:rPr>
        <w:t>Number of b</w:t>
      </w:r>
      <w:r w:rsidRPr="00466FCA">
        <w:rPr>
          <w:rFonts w:ascii="Arial" w:hAnsi="Arial" w:cs="Arial"/>
          <w:b/>
          <w:sz w:val="20"/>
          <w:szCs w:val="20"/>
          <w:u w:val="single"/>
        </w:rPr>
        <w:t>ranches</w:t>
      </w:r>
    </w:p>
    <w:p w:rsidR="00674962" w:rsidRPr="00A13C04" w:rsidRDefault="00674962" w:rsidP="00674962">
      <w:pPr>
        <w:jc w:val="both"/>
        <w:rPr>
          <w:rFonts w:ascii="Arial" w:hAnsi="Arial" w:cs="Arial"/>
          <w:sz w:val="20"/>
          <w:szCs w:val="20"/>
        </w:rPr>
      </w:pPr>
      <w:r w:rsidRPr="00A13C04">
        <w:rPr>
          <w:rFonts w:ascii="Arial" w:hAnsi="Arial" w:cs="Arial"/>
          <w:sz w:val="20"/>
          <w:szCs w:val="20"/>
        </w:rPr>
        <w:t>The highest number of branches per plant (18) was observed under open conditions, followed by 25% shade (15) and 50% shade (10). Lower branching under shade could be attributed to reduced light intensity limiting axillary bud development</w:t>
      </w:r>
      <w:r w:rsidR="0067640B">
        <w:rPr>
          <w:rFonts w:ascii="Arial" w:hAnsi="Arial" w:cs="Arial"/>
          <w:sz w:val="20"/>
          <w:szCs w:val="20"/>
        </w:rPr>
        <w:t xml:space="preserve"> </w:t>
      </w:r>
      <w:r w:rsidR="0067640B" w:rsidRPr="0067640B">
        <w:rPr>
          <w:rFonts w:ascii="Arial" w:hAnsi="Arial" w:cs="Arial"/>
          <w:color w:val="FF0000"/>
          <w:sz w:val="20"/>
          <w:szCs w:val="20"/>
        </w:rPr>
        <w:t>(Reference?)</w:t>
      </w:r>
      <w:r w:rsidRPr="00A13C04">
        <w:rPr>
          <w:rFonts w:ascii="Arial" w:hAnsi="Arial" w:cs="Arial"/>
          <w:sz w:val="20"/>
          <w:szCs w:val="20"/>
        </w:rPr>
        <w:t>. This contrasts wi</w:t>
      </w:r>
      <w:r w:rsidR="00A13C04">
        <w:rPr>
          <w:rFonts w:ascii="Arial" w:hAnsi="Arial" w:cs="Arial"/>
          <w:sz w:val="20"/>
          <w:szCs w:val="20"/>
        </w:rPr>
        <w:t>th Labrooy et al., 2016,</w:t>
      </w:r>
      <w:r w:rsidRPr="00A13C04">
        <w:rPr>
          <w:rFonts w:ascii="Arial" w:hAnsi="Arial" w:cs="Arial"/>
          <w:sz w:val="20"/>
          <w:szCs w:val="20"/>
        </w:rPr>
        <w:t xml:space="preserve"> who found increased biomass in </w:t>
      </w:r>
      <w:r w:rsidRPr="00A13C04">
        <w:rPr>
          <w:rFonts w:ascii="Arial" w:hAnsi="Arial" w:cs="Arial"/>
          <w:i/>
          <w:sz w:val="20"/>
          <w:szCs w:val="20"/>
        </w:rPr>
        <w:t>Kaempferia</w:t>
      </w:r>
      <w:r w:rsidR="0067640B">
        <w:rPr>
          <w:rFonts w:ascii="Arial" w:hAnsi="Arial" w:cs="Arial"/>
          <w:i/>
          <w:sz w:val="20"/>
          <w:szCs w:val="20"/>
        </w:rPr>
        <w:t xml:space="preserve"> </w:t>
      </w:r>
      <w:r w:rsidRPr="00A13C04">
        <w:rPr>
          <w:rFonts w:ascii="Arial" w:hAnsi="Arial" w:cs="Arial"/>
          <w:i/>
          <w:sz w:val="20"/>
          <w:szCs w:val="20"/>
        </w:rPr>
        <w:t>parviflora</w:t>
      </w:r>
      <w:r w:rsidRPr="00A13C04">
        <w:rPr>
          <w:rFonts w:ascii="Arial" w:hAnsi="Arial" w:cs="Arial"/>
          <w:sz w:val="20"/>
          <w:szCs w:val="20"/>
        </w:rPr>
        <w:t xml:space="preserve"> at moderate shade levels.</w:t>
      </w:r>
    </w:p>
    <w:p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3.1.3 </w:t>
      </w:r>
      <w:r w:rsidR="00674962" w:rsidRPr="00466FCA">
        <w:rPr>
          <w:rFonts w:ascii="Arial" w:hAnsi="Arial" w:cs="Arial"/>
          <w:b/>
          <w:sz w:val="20"/>
          <w:szCs w:val="20"/>
          <w:u w:val="single"/>
        </w:rPr>
        <w:t>Root y</w:t>
      </w:r>
      <w:r w:rsidRPr="00466FCA">
        <w:rPr>
          <w:rFonts w:ascii="Arial" w:hAnsi="Arial" w:cs="Arial"/>
          <w:b/>
          <w:sz w:val="20"/>
          <w:szCs w:val="20"/>
          <w:u w:val="single"/>
        </w:rPr>
        <w:t>ield</w:t>
      </w:r>
    </w:p>
    <w:p w:rsidR="00674962" w:rsidRDefault="00674962" w:rsidP="00674962">
      <w:pPr>
        <w:jc w:val="both"/>
        <w:rPr>
          <w:rFonts w:ascii="Arial" w:hAnsi="Arial" w:cs="Arial"/>
          <w:sz w:val="20"/>
          <w:szCs w:val="20"/>
        </w:rPr>
      </w:pPr>
      <w:r w:rsidRPr="00A13C04">
        <w:rPr>
          <w:rFonts w:ascii="Arial" w:hAnsi="Arial" w:cs="Arial"/>
          <w:sz w:val="20"/>
          <w:szCs w:val="20"/>
        </w:rPr>
        <w:t>The highest root yield per plant (18.97 g) was recorded under 25% shade, followed by full sun</w:t>
      </w:r>
      <w:r w:rsidR="0067640B">
        <w:rPr>
          <w:rFonts w:ascii="Arial" w:hAnsi="Arial" w:cs="Arial"/>
          <w:sz w:val="20"/>
          <w:szCs w:val="20"/>
        </w:rPr>
        <w:t xml:space="preserve"> </w:t>
      </w:r>
      <w:r w:rsidR="0067640B" w:rsidRPr="0067640B">
        <w:rPr>
          <w:rFonts w:ascii="Arial" w:hAnsi="Arial" w:cs="Arial"/>
          <w:color w:val="FF0000"/>
          <w:sz w:val="20"/>
          <w:szCs w:val="20"/>
        </w:rPr>
        <w:t>(0% shade)</w:t>
      </w:r>
      <w:r w:rsidRPr="00A13C04">
        <w:rPr>
          <w:rFonts w:ascii="Arial" w:hAnsi="Arial" w:cs="Arial"/>
          <w:sz w:val="20"/>
          <w:szCs w:val="20"/>
        </w:rPr>
        <w:t xml:space="preserve"> (12.36 g) and 50% shade (10.73 g), with statistically significant differences across treatments. Similar results wer</w:t>
      </w:r>
      <w:r w:rsidR="00A13C04">
        <w:rPr>
          <w:rFonts w:ascii="Arial" w:hAnsi="Arial" w:cs="Arial"/>
          <w:sz w:val="20"/>
          <w:szCs w:val="20"/>
        </w:rPr>
        <w:t>e reported by Sindhu and Beena, 2022</w:t>
      </w:r>
      <w:r w:rsidRPr="00A13C04">
        <w:rPr>
          <w:rFonts w:ascii="Arial" w:hAnsi="Arial" w:cs="Arial"/>
          <w:sz w:val="20"/>
          <w:szCs w:val="20"/>
        </w:rPr>
        <w:t xml:space="preserve"> for </w:t>
      </w:r>
      <w:r w:rsidRPr="00A13C04">
        <w:rPr>
          <w:rFonts w:ascii="Arial" w:hAnsi="Arial" w:cs="Arial"/>
          <w:i/>
          <w:sz w:val="20"/>
          <w:szCs w:val="20"/>
        </w:rPr>
        <w:t>Plectranthus</w:t>
      </w:r>
      <w:r w:rsidR="0067640B">
        <w:rPr>
          <w:rFonts w:ascii="Arial" w:hAnsi="Arial" w:cs="Arial"/>
          <w:i/>
          <w:sz w:val="20"/>
          <w:szCs w:val="20"/>
        </w:rPr>
        <w:t xml:space="preserve"> </w:t>
      </w:r>
      <w:r w:rsidRPr="00A13C04">
        <w:rPr>
          <w:rFonts w:ascii="Arial" w:hAnsi="Arial" w:cs="Arial"/>
          <w:i/>
          <w:sz w:val="20"/>
          <w:szCs w:val="20"/>
        </w:rPr>
        <w:t>vettiveroides</w:t>
      </w:r>
      <w:r w:rsidRPr="00A13C04">
        <w:rPr>
          <w:rFonts w:ascii="Arial" w:hAnsi="Arial" w:cs="Arial"/>
          <w:sz w:val="20"/>
          <w:szCs w:val="20"/>
        </w:rPr>
        <w:t>, indicating that moderate shade supports optimal root development by balancing photosynthesis and transpiration.</w:t>
      </w:r>
    </w:p>
    <w:p w:rsidR="00CD708F" w:rsidRDefault="00CD708F" w:rsidP="00674962">
      <w:pPr>
        <w:jc w:val="both"/>
        <w:rPr>
          <w:rFonts w:ascii="Arial" w:hAnsi="Arial" w:cs="Arial"/>
          <w:sz w:val="20"/>
          <w:szCs w:val="20"/>
        </w:rPr>
      </w:pPr>
    </w:p>
    <w:p w:rsidR="00CD708F" w:rsidRDefault="00CD708F" w:rsidP="00674962">
      <w:pPr>
        <w:jc w:val="both"/>
        <w:rPr>
          <w:rFonts w:ascii="Arial" w:hAnsi="Arial" w:cs="Arial"/>
          <w:sz w:val="20"/>
          <w:szCs w:val="20"/>
        </w:rPr>
      </w:pPr>
    </w:p>
    <w:p w:rsidR="00CD708F" w:rsidRDefault="00CD708F" w:rsidP="00674962">
      <w:pPr>
        <w:jc w:val="both"/>
        <w:rPr>
          <w:rFonts w:ascii="Arial" w:hAnsi="Arial" w:cs="Arial"/>
          <w:sz w:val="20"/>
          <w:szCs w:val="20"/>
        </w:rPr>
      </w:pPr>
    </w:p>
    <w:p w:rsidR="00CD708F" w:rsidRDefault="00CD708F" w:rsidP="00674962">
      <w:pPr>
        <w:jc w:val="both"/>
        <w:rPr>
          <w:rFonts w:ascii="Arial" w:hAnsi="Arial" w:cs="Arial"/>
          <w:sz w:val="20"/>
          <w:szCs w:val="20"/>
        </w:rPr>
      </w:pPr>
    </w:p>
    <w:p w:rsidR="00CD708F" w:rsidRDefault="00CD708F" w:rsidP="00674962">
      <w:pPr>
        <w:jc w:val="both"/>
        <w:rPr>
          <w:rFonts w:ascii="Arial" w:hAnsi="Arial" w:cs="Arial"/>
          <w:sz w:val="20"/>
          <w:szCs w:val="20"/>
        </w:rPr>
      </w:pPr>
    </w:p>
    <w:p w:rsidR="008917F9" w:rsidRDefault="008917F9" w:rsidP="00CD708F">
      <w:pPr>
        <w:jc w:val="both"/>
        <w:rPr>
          <w:rFonts w:ascii="Arial" w:hAnsi="Arial" w:cs="Arial"/>
          <w:b/>
          <w:sz w:val="20"/>
          <w:szCs w:val="24"/>
        </w:rPr>
        <w:sectPr w:rsidR="008917F9" w:rsidSect="00A74535">
          <w:type w:val="continuous"/>
          <w:pgSz w:w="12240" w:h="15840"/>
          <w:pgMar w:top="1440" w:right="1440" w:bottom="1440" w:left="1440" w:header="720" w:footer="720" w:gutter="0"/>
          <w:cols w:space="720"/>
          <w:docGrid w:linePitch="360"/>
        </w:sectPr>
      </w:pPr>
    </w:p>
    <w:p w:rsidR="00CD708F" w:rsidRPr="00CD708F" w:rsidRDefault="00CD708F" w:rsidP="00CD708F">
      <w:pPr>
        <w:jc w:val="both"/>
        <w:rPr>
          <w:rFonts w:ascii="Arial" w:hAnsi="Arial" w:cs="Arial"/>
          <w:b/>
          <w:sz w:val="20"/>
          <w:szCs w:val="24"/>
        </w:rPr>
      </w:pPr>
      <w:r>
        <w:rPr>
          <w:rFonts w:ascii="Arial" w:hAnsi="Arial" w:cs="Arial"/>
          <w:b/>
          <w:sz w:val="20"/>
          <w:szCs w:val="24"/>
        </w:rPr>
        <w:lastRenderedPageBreak/>
        <w:t>Table 1</w:t>
      </w:r>
      <w:r w:rsidRPr="00CD708F">
        <w:rPr>
          <w:rFonts w:ascii="Arial" w:hAnsi="Arial" w:cs="Arial"/>
          <w:b/>
          <w:sz w:val="20"/>
          <w:szCs w:val="24"/>
        </w:rPr>
        <w:t xml:space="preserve">. Effect of shade levels on plant height, number of branches </w:t>
      </w:r>
      <w:r w:rsidR="00362C0B" w:rsidRPr="00362C0B">
        <w:rPr>
          <w:rFonts w:ascii="Arial" w:hAnsi="Arial" w:cs="Arial"/>
          <w:b/>
          <w:sz w:val="20"/>
          <w:szCs w:val="24"/>
        </w:rPr>
        <w:t>and</w:t>
      </w:r>
      <w:r w:rsidR="00362C0B" w:rsidRPr="00CD708F">
        <w:rPr>
          <w:rFonts w:ascii="Arial" w:hAnsi="Arial" w:cs="Arial"/>
          <w:b/>
          <w:sz w:val="20"/>
          <w:szCs w:val="24"/>
        </w:rPr>
        <w:t xml:space="preserve"> </w:t>
      </w:r>
      <w:r w:rsidR="00362C0B" w:rsidRPr="00362C0B">
        <w:rPr>
          <w:rFonts w:ascii="Arial" w:hAnsi="Arial" w:cs="Arial"/>
          <w:b/>
          <w:strike/>
          <w:color w:val="FF0000"/>
          <w:sz w:val="20"/>
          <w:szCs w:val="24"/>
        </w:rPr>
        <w:t>per plant</w:t>
      </w:r>
      <w:r w:rsidR="00362C0B" w:rsidRPr="00362C0B">
        <w:rPr>
          <w:rFonts w:ascii="Arial" w:hAnsi="Arial" w:cs="Arial"/>
          <w:b/>
          <w:color w:val="FF0000"/>
          <w:sz w:val="20"/>
          <w:szCs w:val="24"/>
        </w:rPr>
        <w:t xml:space="preserve"> </w:t>
      </w:r>
      <w:r w:rsidRPr="00CD708F">
        <w:rPr>
          <w:rFonts w:ascii="Arial" w:hAnsi="Arial" w:cs="Arial"/>
          <w:b/>
          <w:sz w:val="20"/>
          <w:szCs w:val="24"/>
        </w:rPr>
        <w:t>root yield of medicinal coleus (</w:t>
      </w:r>
      <w:r w:rsidRPr="00CD708F">
        <w:rPr>
          <w:rFonts w:ascii="Arial" w:hAnsi="Arial" w:cs="Arial"/>
          <w:b/>
          <w:i/>
          <w:sz w:val="20"/>
          <w:szCs w:val="24"/>
        </w:rPr>
        <w:t>Coleus forskohlii</w:t>
      </w:r>
      <w:r w:rsidRPr="00CD708F">
        <w:rPr>
          <w:rFonts w:ascii="Arial" w:hAnsi="Arial" w:cs="Arial"/>
          <w:b/>
          <w:sz w:val="20"/>
          <w:szCs w:val="24"/>
        </w:rPr>
        <w:t>Briq.)</w:t>
      </w:r>
    </w:p>
    <w:tbl>
      <w:tblPr>
        <w:tblStyle w:val="PlainTable2"/>
        <w:tblW w:w="0" w:type="auto"/>
        <w:tblLook w:val="04A0"/>
      </w:tblPr>
      <w:tblGrid>
        <w:gridCol w:w="1442"/>
        <w:gridCol w:w="2252"/>
        <w:gridCol w:w="2412"/>
        <w:gridCol w:w="2412"/>
      </w:tblGrid>
      <w:tr w:rsidR="00CD708F" w:rsidRPr="00CD708F" w:rsidTr="00EE755B">
        <w:trPr>
          <w:cnfStyle w:val="100000000000"/>
          <w:trHeight w:val="535"/>
        </w:trPr>
        <w:tc>
          <w:tcPr>
            <w:cnfStyle w:val="001000000000"/>
            <w:tcW w:w="1442" w:type="dxa"/>
          </w:tcPr>
          <w:p w:rsidR="00CD708F" w:rsidRPr="00CD708F" w:rsidRDefault="00CD708F" w:rsidP="00840BB1">
            <w:pPr>
              <w:jc w:val="center"/>
              <w:rPr>
                <w:rFonts w:ascii="Arial" w:hAnsi="Arial" w:cs="Arial"/>
                <w:sz w:val="20"/>
                <w:szCs w:val="20"/>
              </w:rPr>
            </w:pPr>
          </w:p>
        </w:tc>
        <w:tc>
          <w:tcPr>
            <w:tcW w:w="2252" w:type="dxa"/>
          </w:tcPr>
          <w:p w:rsidR="00CD708F" w:rsidRPr="00CD708F" w:rsidRDefault="00CD708F" w:rsidP="00840BB1">
            <w:pPr>
              <w:jc w:val="center"/>
              <w:cnfStyle w:val="100000000000"/>
              <w:rPr>
                <w:rFonts w:ascii="Arial" w:hAnsi="Arial" w:cs="Arial"/>
                <w:sz w:val="20"/>
                <w:szCs w:val="20"/>
              </w:rPr>
            </w:pPr>
            <w:r w:rsidRPr="00CD708F">
              <w:rPr>
                <w:rFonts w:ascii="Arial" w:hAnsi="Arial" w:cs="Arial"/>
                <w:sz w:val="20"/>
                <w:szCs w:val="20"/>
              </w:rPr>
              <w:t>Plant height (cm)</w:t>
            </w:r>
          </w:p>
        </w:tc>
        <w:tc>
          <w:tcPr>
            <w:tcW w:w="2412" w:type="dxa"/>
          </w:tcPr>
          <w:p w:rsidR="00CD708F" w:rsidRPr="00CD708F" w:rsidRDefault="00CD708F" w:rsidP="00840BB1">
            <w:pPr>
              <w:jc w:val="center"/>
              <w:cnfStyle w:val="100000000000"/>
              <w:rPr>
                <w:rFonts w:ascii="Arial" w:hAnsi="Arial" w:cs="Arial"/>
                <w:sz w:val="20"/>
                <w:szCs w:val="20"/>
              </w:rPr>
            </w:pPr>
            <w:r w:rsidRPr="00CD708F">
              <w:rPr>
                <w:rFonts w:ascii="Arial" w:hAnsi="Arial" w:cs="Arial"/>
                <w:sz w:val="20"/>
                <w:szCs w:val="20"/>
              </w:rPr>
              <w:t>No. of branches</w:t>
            </w:r>
          </w:p>
        </w:tc>
        <w:tc>
          <w:tcPr>
            <w:tcW w:w="2412" w:type="dxa"/>
          </w:tcPr>
          <w:p w:rsidR="00CD708F" w:rsidRPr="00CD708F" w:rsidRDefault="00CD708F" w:rsidP="00840BB1">
            <w:pPr>
              <w:jc w:val="center"/>
              <w:cnfStyle w:val="100000000000"/>
              <w:rPr>
                <w:rFonts w:ascii="Arial" w:hAnsi="Arial" w:cs="Arial"/>
                <w:sz w:val="20"/>
                <w:szCs w:val="20"/>
              </w:rPr>
            </w:pPr>
            <w:r w:rsidRPr="00CD708F">
              <w:rPr>
                <w:rFonts w:ascii="Arial" w:hAnsi="Arial" w:cs="Arial"/>
                <w:sz w:val="20"/>
                <w:szCs w:val="20"/>
              </w:rPr>
              <w:t xml:space="preserve">Per plant </w:t>
            </w:r>
            <w:r w:rsidR="00362C0B" w:rsidRPr="00362C0B">
              <w:rPr>
                <w:rFonts w:ascii="Arial" w:hAnsi="Arial" w:cs="Arial"/>
                <w:color w:val="FF0000"/>
                <w:sz w:val="20"/>
                <w:szCs w:val="20"/>
              </w:rPr>
              <w:t>(Root ?)</w:t>
            </w:r>
            <w:r w:rsidR="00362C0B">
              <w:rPr>
                <w:rFonts w:ascii="Arial" w:hAnsi="Arial" w:cs="Arial"/>
                <w:color w:val="FF0000"/>
                <w:sz w:val="20"/>
                <w:szCs w:val="20"/>
              </w:rPr>
              <w:t xml:space="preserve"> </w:t>
            </w:r>
            <w:r w:rsidRPr="00CD708F">
              <w:rPr>
                <w:rFonts w:ascii="Arial" w:hAnsi="Arial" w:cs="Arial"/>
                <w:sz w:val="20"/>
                <w:szCs w:val="20"/>
              </w:rPr>
              <w:t xml:space="preserve">yield </w:t>
            </w:r>
            <w:r w:rsidRPr="00362C0B">
              <w:rPr>
                <w:rFonts w:ascii="Arial" w:hAnsi="Arial" w:cs="Arial"/>
                <w:color w:val="FF0000"/>
                <w:sz w:val="20"/>
                <w:szCs w:val="20"/>
              </w:rPr>
              <w:t>(g</w:t>
            </w:r>
            <w:r w:rsidR="00362C0B" w:rsidRPr="00362C0B">
              <w:rPr>
                <w:rFonts w:ascii="Arial" w:hAnsi="Arial" w:cs="Arial"/>
                <w:color w:val="FF0000"/>
                <w:sz w:val="20"/>
                <w:szCs w:val="20"/>
              </w:rPr>
              <w:t>/plant?</w:t>
            </w:r>
            <w:r w:rsidRPr="00362C0B">
              <w:rPr>
                <w:rFonts w:ascii="Arial" w:hAnsi="Arial" w:cs="Arial"/>
                <w:color w:val="FF0000"/>
                <w:sz w:val="20"/>
                <w:szCs w:val="20"/>
              </w:rPr>
              <w:t>)</w:t>
            </w:r>
          </w:p>
        </w:tc>
      </w:tr>
      <w:tr w:rsidR="00CD708F" w:rsidRPr="00CD708F" w:rsidTr="00EE755B">
        <w:trPr>
          <w:cnfStyle w:val="000000100000"/>
          <w:trHeight w:val="312"/>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Open</w:t>
            </w:r>
          </w:p>
        </w:tc>
        <w:tc>
          <w:tcPr>
            <w:tcW w:w="225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30.88</w:t>
            </w:r>
            <w:r w:rsidRPr="00CD708F">
              <w:rPr>
                <w:rFonts w:ascii="Arial" w:hAnsi="Arial" w:cs="Arial"/>
                <w:sz w:val="20"/>
                <w:szCs w:val="20"/>
                <w:vertAlign w:val="superscript"/>
              </w:rPr>
              <w:t>c</w:t>
            </w:r>
          </w:p>
        </w:tc>
        <w:tc>
          <w:tcPr>
            <w:tcW w:w="241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18</w:t>
            </w:r>
            <w:r w:rsidRPr="00CD708F">
              <w:rPr>
                <w:rFonts w:ascii="Arial" w:hAnsi="Arial" w:cs="Arial"/>
                <w:sz w:val="20"/>
                <w:szCs w:val="20"/>
                <w:vertAlign w:val="superscript"/>
              </w:rPr>
              <w:t>a</w:t>
            </w:r>
          </w:p>
        </w:tc>
        <w:tc>
          <w:tcPr>
            <w:tcW w:w="2412" w:type="dxa"/>
          </w:tcPr>
          <w:p w:rsidR="00CD708F" w:rsidRPr="00CD708F" w:rsidRDefault="00CD708F" w:rsidP="00840BB1">
            <w:pPr>
              <w:cnfStyle w:val="000000100000"/>
              <w:rPr>
                <w:rFonts w:ascii="Arial" w:hAnsi="Arial" w:cs="Arial"/>
                <w:sz w:val="20"/>
                <w:szCs w:val="20"/>
              </w:rPr>
            </w:pPr>
            <w:r w:rsidRPr="00CD708F">
              <w:rPr>
                <w:rFonts w:ascii="Arial" w:hAnsi="Arial" w:cs="Arial"/>
                <w:sz w:val="20"/>
                <w:szCs w:val="20"/>
              </w:rPr>
              <w:t xml:space="preserve">       12.360</w:t>
            </w:r>
            <w:r w:rsidRPr="00CD708F">
              <w:rPr>
                <w:rFonts w:ascii="Arial" w:hAnsi="Arial" w:cs="Arial"/>
                <w:sz w:val="20"/>
                <w:szCs w:val="20"/>
                <w:vertAlign w:val="superscript"/>
              </w:rPr>
              <w:t>b</w:t>
            </w:r>
          </w:p>
        </w:tc>
      </w:tr>
      <w:tr w:rsidR="00CD708F" w:rsidRPr="00CD708F" w:rsidTr="00EE755B">
        <w:trPr>
          <w:trHeight w:val="293"/>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25% shade</w:t>
            </w:r>
          </w:p>
        </w:tc>
        <w:tc>
          <w:tcPr>
            <w:tcW w:w="225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41.24</w:t>
            </w:r>
            <w:r w:rsidRPr="00CD708F">
              <w:rPr>
                <w:rFonts w:ascii="Arial" w:hAnsi="Arial" w:cs="Arial"/>
                <w:sz w:val="20"/>
                <w:szCs w:val="20"/>
                <w:vertAlign w:val="superscript"/>
              </w:rPr>
              <w:t>b</w:t>
            </w:r>
          </w:p>
        </w:tc>
        <w:tc>
          <w:tcPr>
            <w:tcW w:w="241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15</w:t>
            </w:r>
            <w:r w:rsidRPr="00CD708F">
              <w:rPr>
                <w:rFonts w:ascii="Arial" w:hAnsi="Arial" w:cs="Arial"/>
                <w:sz w:val="20"/>
                <w:szCs w:val="20"/>
                <w:vertAlign w:val="superscript"/>
              </w:rPr>
              <w:t>b</w:t>
            </w:r>
          </w:p>
        </w:tc>
        <w:tc>
          <w:tcPr>
            <w:tcW w:w="2412" w:type="dxa"/>
          </w:tcPr>
          <w:p w:rsidR="00CD708F" w:rsidRPr="00CD708F" w:rsidRDefault="00CD708F" w:rsidP="00840BB1">
            <w:pPr>
              <w:cnfStyle w:val="000000000000"/>
              <w:rPr>
                <w:rFonts w:ascii="Arial" w:hAnsi="Arial" w:cs="Arial"/>
                <w:sz w:val="20"/>
                <w:szCs w:val="20"/>
              </w:rPr>
            </w:pPr>
            <w:r w:rsidRPr="00CD708F">
              <w:rPr>
                <w:rFonts w:ascii="Arial" w:hAnsi="Arial" w:cs="Arial"/>
                <w:sz w:val="20"/>
                <w:szCs w:val="20"/>
              </w:rPr>
              <w:t xml:space="preserve">       18.966</w:t>
            </w:r>
            <w:r w:rsidRPr="00CD708F">
              <w:rPr>
                <w:rFonts w:ascii="Arial" w:hAnsi="Arial" w:cs="Arial"/>
                <w:sz w:val="20"/>
                <w:szCs w:val="20"/>
                <w:vertAlign w:val="superscript"/>
              </w:rPr>
              <w:t>a</w:t>
            </w:r>
          </w:p>
        </w:tc>
      </w:tr>
      <w:tr w:rsidR="00CD708F" w:rsidRPr="00CD708F" w:rsidTr="00EE755B">
        <w:trPr>
          <w:cnfStyle w:val="000000100000"/>
          <w:trHeight w:val="312"/>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50% shade</w:t>
            </w:r>
          </w:p>
        </w:tc>
        <w:tc>
          <w:tcPr>
            <w:tcW w:w="225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52.36</w:t>
            </w:r>
            <w:r w:rsidRPr="00CD708F">
              <w:rPr>
                <w:rFonts w:ascii="Arial" w:hAnsi="Arial" w:cs="Arial"/>
                <w:sz w:val="20"/>
                <w:szCs w:val="20"/>
                <w:vertAlign w:val="superscript"/>
              </w:rPr>
              <w:t>a</w:t>
            </w:r>
          </w:p>
        </w:tc>
        <w:tc>
          <w:tcPr>
            <w:tcW w:w="241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10</w:t>
            </w:r>
            <w:r w:rsidRPr="00CD708F">
              <w:rPr>
                <w:rFonts w:ascii="Arial" w:hAnsi="Arial" w:cs="Arial"/>
                <w:sz w:val="20"/>
                <w:szCs w:val="20"/>
                <w:vertAlign w:val="superscript"/>
              </w:rPr>
              <w:t>c</w:t>
            </w:r>
          </w:p>
        </w:tc>
        <w:tc>
          <w:tcPr>
            <w:tcW w:w="2412" w:type="dxa"/>
          </w:tcPr>
          <w:p w:rsidR="00CD708F" w:rsidRPr="00CD708F" w:rsidRDefault="00CD708F" w:rsidP="00840BB1">
            <w:pPr>
              <w:cnfStyle w:val="000000100000"/>
              <w:rPr>
                <w:rFonts w:ascii="Arial" w:hAnsi="Arial" w:cs="Arial"/>
                <w:sz w:val="20"/>
                <w:szCs w:val="20"/>
              </w:rPr>
            </w:pPr>
            <w:r w:rsidRPr="00CD708F">
              <w:rPr>
                <w:rFonts w:ascii="Arial" w:hAnsi="Arial" w:cs="Arial"/>
                <w:sz w:val="20"/>
                <w:szCs w:val="20"/>
              </w:rPr>
              <w:t xml:space="preserve">       10.732</w:t>
            </w:r>
            <w:r w:rsidRPr="00CD708F">
              <w:rPr>
                <w:rFonts w:ascii="Arial" w:hAnsi="Arial" w:cs="Arial"/>
                <w:sz w:val="20"/>
                <w:szCs w:val="20"/>
                <w:vertAlign w:val="superscript"/>
              </w:rPr>
              <w:t>c</w:t>
            </w:r>
          </w:p>
        </w:tc>
      </w:tr>
      <w:tr w:rsidR="00CD708F" w:rsidRPr="00CD708F" w:rsidTr="00EE755B">
        <w:trPr>
          <w:trHeight w:val="312"/>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CV (%)</w:t>
            </w:r>
          </w:p>
        </w:tc>
        <w:tc>
          <w:tcPr>
            <w:tcW w:w="225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5.298</w:t>
            </w:r>
          </w:p>
        </w:tc>
        <w:tc>
          <w:tcPr>
            <w:tcW w:w="241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10.657</w:t>
            </w:r>
          </w:p>
        </w:tc>
        <w:tc>
          <w:tcPr>
            <w:tcW w:w="2412" w:type="dxa"/>
          </w:tcPr>
          <w:p w:rsidR="00CD708F" w:rsidRPr="00CD708F" w:rsidRDefault="00CD708F" w:rsidP="00840BB1">
            <w:pPr>
              <w:tabs>
                <w:tab w:val="left" w:pos="324"/>
              </w:tabs>
              <w:cnfStyle w:val="000000000000"/>
              <w:rPr>
                <w:rFonts w:ascii="Arial" w:hAnsi="Arial" w:cs="Arial"/>
                <w:sz w:val="20"/>
                <w:szCs w:val="20"/>
              </w:rPr>
            </w:pPr>
            <w:r w:rsidRPr="00CD708F">
              <w:rPr>
                <w:rFonts w:ascii="Arial" w:hAnsi="Arial" w:cs="Arial"/>
                <w:sz w:val="20"/>
                <w:szCs w:val="20"/>
              </w:rPr>
              <w:tab/>
              <w:t xml:space="preserve"> 7.267</w:t>
            </w:r>
          </w:p>
        </w:tc>
      </w:tr>
      <w:tr w:rsidR="00CD708F" w:rsidRPr="00CD708F" w:rsidTr="00EE755B">
        <w:trPr>
          <w:cnfStyle w:val="000000100000"/>
          <w:trHeight w:val="293"/>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CD (0.05)</w:t>
            </w:r>
          </w:p>
        </w:tc>
        <w:tc>
          <w:tcPr>
            <w:tcW w:w="225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3.206</w:t>
            </w:r>
          </w:p>
        </w:tc>
        <w:tc>
          <w:tcPr>
            <w:tcW w:w="2412" w:type="dxa"/>
          </w:tcPr>
          <w:p w:rsidR="00CD708F" w:rsidRPr="00CD708F" w:rsidRDefault="00CD708F" w:rsidP="00840BB1">
            <w:pPr>
              <w:jc w:val="center"/>
              <w:cnfStyle w:val="000000100000"/>
              <w:rPr>
                <w:rFonts w:ascii="Arial" w:hAnsi="Arial" w:cs="Arial"/>
                <w:sz w:val="20"/>
                <w:szCs w:val="20"/>
              </w:rPr>
            </w:pPr>
            <w:r w:rsidRPr="00CD708F">
              <w:rPr>
                <w:rFonts w:ascii="Arial" w:hAnsi="Arial" w:cs="Arial"/>
                <w:sz w:val="20"/>
                <w:szCs w:val="20"/>
              </w:rPr>
              <w:t>2.228</w:t>
            </w:r>
          </w:p>
        </w:tc>
        <w:tc>
          <w:tcPr>
            <w:tcW w:w="2412" w:type="dxa"/>
          </w:tcPr>
          <w:p w:rsidR="00CD708F" w:rsidRPr="00CD708F" w:rsidRDefault="00CD708F" w:rsidP="00840BB1">
            <w:pPr>
              <w:tabs>
                <w:tab w:val="left" w:pos="372"/>
              </w:tabs>
              <w:cnfStyle w:val="000000100000"/>
              <w:rPr>
                <w:rFonts w:ascii="Arial" w:hAnsi="Arial" w:cs="Arial"/>
                <w:sz w:val="20"/>
                <w:szCs w:val="20"/>
              </w:rPr>
            </w:pPr>
            <w:r w:rsidRPr="00CD708F">
              <w:rPr>
                <w:rFonts w:ascii="Arial" w:hAnsi="Arial" w:cs="Arial"/>
                <w:sz w:val="20"/>
                <w:szCs w:val="20"/>
              </w:rPr>
              <w:tab/>
              <w:t>1.486</w:t>
            </w:r>
          </w:p>
        </w:tc>
      </w:tr>
      <w:tr w:rsidR="00CD708F" w:rsidRPr="00CD708F" w:rsidTr="00EE755B">
        <w:trPr>
          <w:trHeight w:val="312"/>
        </w:trPr>
        <w:tc>
          <w:tcPr>
            <w:cnfStyle w:val="001000000000"/>
            <w:tcW w:w="1442" w:type="dxa"/>
          </w:tcPr>
          <w:p w:rsidR="00CD708F" w:rsidRPr="00CD708F" w:rsidRDefault="00CD708F" w:rsidP="00840BB1">
            <w:pPr>
              <w:jc w:val="center"/>
              <w:rPr>
                <w:rFonts w:ascii="Arial" w:hAnsi="Arial" w:cs="Arial"/>
                <w:sz w:val="20"/>
                <w:szCs w:val="20"/>
              </w:rPr>
            </w:pPr>
            <w:r w:rsidRPr="00CD708F">
              <w:rPr>
                <w:rFonts w:ascii="Arial" w:hAnsi="Arial" w:cs="Arial"/>
                <w:sz w:val="20"/>
                <w:szCs w:val="20"/>
              </w:rPr>
              <w:t>SE(m)</w:t>
            </w:r>
          </w:p>
        </w:tc>
        <w:tc>
          <w:tcPr>
            <w:tcW w:w="225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4.833</w:t>
            </w:r>
          </w:p>
        </w:tc>
        <w:tc>
          <w:tcPr>
            <w:tcW w:w="2412" w:type="dxa"/>
          </w:tcPr>
          <w:p w:rsidR="00CD708F" w:rsidRPr="00CD708F" w:rsidRDefault="00CD708F" w:rsidP="00840BB1">
            <w:pPr>
              <w:jc w:val="center"/>
              <w:cnfStyle w:val="000000000000"/>
              <w:rPr>
                <w:rFonts w:ascii="Arial" w:hAnsi="Arial" w:cs="Arial"/>
                <w:sz w:val="20"/>
                <w:szCs w:val="20"/>
              </w:rPr>
            </w:pPr>
            <w:r w:rsidRPr="00CD708F">
              <w:rPr>
                <w:rFonts w:ascii="Arial" w:hAnsi="Arial" w:cs="Arial"/>
                <w:sz w:val="20"/>
                <w:szCs w:val="20"/>
              </w:rPr>
              <w:t>2.333</w:t>
            </w:r>
          </w:p>
        </w:tc>
        <w:tc>
          <w:tcPr>
            <w:tcW w:w="2412" w:type="dxa"/>
          </w:tcPr>
          <w:p w:rsidR="00CD708F" w:rsidRPr="00CD708F" w:rsidRDefault="00CD708F" w:rsidP="00840BB1">
            <w:pPr>
              <w:tabs>
                <w:tab w:val="left" w:pos="612"/>
              </w:tabs>
              <w:cnfStyle w:val="000000000000"/>
              <w:rPr>
                <w:rFonts w:ascii="Arial" w:hAnsi="Arial" w:cs="Arial"/>
                <w:sz w:val="20"/>
                <w:szCs w:val="20"/>
              </w:rPr>
            </w:pPr>
            <w:r w:rsidRPr="00CD708F">
              <w:rPr>
                <w:rFonts w:ascii="Arial" w:hAnsi="Arial" w:cs="Arial"/>
                <w:sz w:val="20"/>
                <w:szCs w:val="20"/>
              </w:rPr>
              <w:t xml:space="preserve">      1.038</w:t>
            </w:r>
          </w:p>
        </w:tc>
      </w:tr>
    </w:tbl>
    <w:p w:rsidR="00CD708F" w:rsidRPr="00A13C04" w:rsidRDefault="00CD708F" w:rsidP="00674962">
      <w:pPr>
        <w:jc w:val="both"/>
        <w:rPr>
          <w:rFonts w:ascii="Arial" w:hAnsi="Arial" w:cs="Arial"/>
          <w:sz w:val="20"/>
          <w:szCs w:val="20"/>
        </w:rPr>
      </w:pPr>
    </w:p>
    <w:p w:rsidR="008917F9" w:rsidRDefault="008917F9" w:rsidP="00674962">
      <w:pPr>
        <w:jc w:val="both"/>
        <w:rPr>
          <w:rFonts w:ascii="Arial" w:hAnsi="Arial" w:cs="Arial"/>
          <w:b/>
          <w:szCs w:val="20"/>
        </w:rPr>
        <w:sectPr w:rsidR="008917F9" w:rsidSect="00A74535">
          <w:type w:val="continuous"/>
          <w:pgSz w:w="12240" w:h="15840"/>
          <w:pgMar w:top="1440" w:right="1440" w:bottom="1440" w:left="1440" w:header="720" w:footer="720" w:gutter="0"/>
          <w:cols w:space="720"/>
          <w:docGrid w:linePitch="360"/>
        </w:sectPr>
      </w:pPr>
    </w:p>
    <w:p w:rsidR="00674962" w:rsidRPr="00466FCA" w:rsidRDefault="00466FCA" w:rsidP="00674962">
      <w:pPr>
        <w:jc w:val="both"/>
        <w:rPr>
          <w:rFonts w:ascii="Arial" w:hAnsi="Arial" w:cs="Arial"/>
          <w:b/>
          <w:szCs w:val="20"/>
        </w:rPr>
      </w:pPr>
      <w:r>
        <w:rPr>
          <w:rFonts w:ascii="Arial" w:hAnsi="Arial" w:cs="Arial"/>
          <w:b/>
          <w:szCs w:val="20"/>
        </w:rPr>
        <w:lastRenderedPageBreak/>
        <w:t xml:space="preserve">3.2 </w:t>
      </w:r>
      <w:r w:rsidR="00674962" w:rsidRPr="00466FCA">
        <w:rPr>
          <w:rFonts w:ascii="Arial" w:hAnsi="Arial" w:cs="Arial"/>
          <w:b/>
          <w:szCs w:val="20"/>
        </w:rPr>
        <w:t>Soil properties under shade and mulch conditions</w:t>
      </w:r>
    </w:p>
    <w:p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3.2.1 Soil pH</w:t>
      </w:r>
    </w:p>
    <w:p w:rsidR="00674962" w:rsidRPr="00A13C04" w:rsidRDefault="00674962" w:rsidP="00674962">
      <w:pPr>
        <w:jc w:val="both"/>
        <w:rPr>
          <w:rFonts w:ascii="Arial" w:hAnsi="Arial" w:cs="Arial"/>
          <w:sz w:val="20"/>
          <w:szCs w:val="20"/>
        </w:rPr>
      </w:pPr>
      <w:r w:rsidRPr="00A13C04">
        <w:rPr>
          <w:rFonts w:ascii="Arial" w:hAnsi="Arial" w:cs="Arial"/>
          <w:sz w:val="20"/>
          <w:szCs w:val="20"/>
        </w:rPr>
        <w:t>Soil pH exhibited notable variation across treatments. The highest pH was observed in non-mulched soil under 25% shade, while the lowest was recorded in mulched soil at 50% shade. This</w:t>
      </w:r>
      <w:r w:rsidR="00A13C04">
        <w:rPr>
          <w:rFonts w:ascii="Arial" w:hAnsi="Arial" w:cs="Arial"/>
          <w:sz w:val="20"/>
          <w:szCs w:val="20"/>
        </w:rPr>
        <w:t xml:space="preserve"> trend aligns with Wang et al., 2017</w:t>
      </w:r>
      <w:r w:rsidRPr="00A13C04">
        <w:rPr>
          <w:rFonts w:ascii="Arial" w:hAnsi="Arial" w:cs="Arial"/>
          <w:sz w:val="20"/>
          <w:szCs w:val="20"/>
        </w:rPr>
        <w:t>, who noted acidification in mulched soils due to organic matter decomposition.</w:t>
      </w:r>
    </w:p>
    <w:p w:rsidR="00674962" w:rsidRPr="00CD708F" w:rsidRDefault="00CD708F" w:rsidP="00674962">
      <w:pPr>
        <w:jc w:val="both"/>
        <w:rPr>
          <w:rFonts w:ascii="Arial" w:hAnsi="Arial" w:cs="Arial"/>
          <w:b/>
          <w:sz w:val="20"/>
          <w:szCs w:val="20"/>
          <w:u w:val="single"/>
        </w:rPr>
      </w:pPr>
      <w:r>
        <w:rPr>
          <w:rFonts w:ascii="Arial" w:hAnsi="Arial" w:cs="Arial"/>
          <w:b/>
          <w:sz w:val="20"/>
          <w:szCs w:val="20"/>
          <w:u w:val="single"/>
        </w:rPr>
        <w:t xml:space="preserve">3.2.2 </w:t>
      </w:r>
      <w:r w:rsidR="00674962" w:rsidRPr="00CD708F">
        <w:rPr>
          <w:rFonts w:ascii="Arial" w:hAnsi="Arial" w:cs="Arial"/>
          <w:b/>
          <w:sz w:val="20"/>
          <w:szCs w:val="20"/>
          <w:u w:val="single"/>
        </w:rPr>
        <w:t>Electrical conduc</w:t>
      </w:r>
      <w:r>
        <w:rPr>
          <w:rFonts w:ascii="Arial" w:hAnsi="Arial" w:cs="Arial"/>
          <w:b/>
          <w:sz w:val="20"/>
          <w:szCs w:val="20"/>
          <w:u w:val="single"/>
        </w:rPr>
        <w:t>tivity (EC)</w:t>
      </w:r>
    </w:p>
    <w:p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Non-mulched soils displayed higher EC values, particularly under open conditions, while the lowest EC was recorded in mulched soil under 50% shade. These findings are </w:t>
      </w:r>
      <w:r w:rsidR="00A13C04">
        <w:rPr>
          <w:rFonts w:ascii="Arial" w:hAnsi="Arial" w:cs="Arial"/>
          <w:sz w:val="20"/>
          <w:szCs w:val="20"/>
        </w:rPr>
        <w:t>in agreement with Haque et al., 2018</w:t>
      </w:r>
      <w:r w:rsidRPr="00A13C04">
        <w:rPr>
          <w:rFonts w:ascii="Arial" w:hAnsi="Arial" w:cs="Arial"/>
          <w:sz w:val="20"/>
          <w:szCs w:val="20"/>
        </w:rPr>
        <w:t>, who reported that plastic mulching reduces EC by improving leaching and lowering salt accumulation.</w:t>
      </w:r>
    </w:p>
    <w:p w:rsidR="00674962" w:rsidRPr="00CD708F" w:rsidRDefault="00CD708F" w:rsidP="00674962">
      <w:pPr>
        <w:jc w:val="both"/>
        <w:rPr>
          <w:rFonts w:ascii="Arial" w:hAnsi="Arial" w:cs="Arial"/>
          <w:b/>
          <w:sz w:val="20"/>
          <w:szCs w:val="20"/>
          <w:u w:val="single"/>
        </w:rPr>
      </w:pPr>
      <w:r w:rsidRPr="00CD708F">
        <w:rPr>
          <w:rFonts w:ascii="Arial" w:hAnsi="Arial" w:cs="Arial"/>
          <w:b/>
          <w:sz w:val="20"/>
          <w:szCs w:val="20"/>
          <w:u w:val="single"/>
        </w:rPr>
        <w:t xml:space="preserve">3.2.3 </w:t>
      </w:r>
      <w:r w:rsidR="00674962" w:rsidRPr="00CD708F">
        <w:rPr>
          <w:rFonts w:ascii="Arial" w:hAnsi="Arial" w:cs="Arial"/>
          <w:b/>
          <w:sz w:val="20"/>
          <w:szCs w:val="20"/>
          <w:u w:val="single"/>
        </w:rPr>
        <w:t>Soil moisture c</w:t>
      </w:r>
      <w:r w:rsidRPr="00CD708F">
        <w:rPr>
          <w:rFonts w:ascii="Arial" w:hAnsi="Arial" w:cs="Arial"/>
          <w:b/>
          <w:sz w:val="20"/>
          <w:szCs w:val="20"/>
          <w:u w:val="single"/>
        </w:rPr>
        <w:t>ontent</w:t>
      </w:r>
    </w:p>
    <w:p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Mulching significantly enhanced soil moisture retention. The highest soil moisture content was recorded in mulched soil under 50% shade, followed closely by mulched </w:t>
      </w:r>
      <w:r w:rsidR="00362C0B" w:rsidRPr="00362C0B">
        <w:rPr>
          <w:rFonts w:ascii="Arial" w:hAnsi="Arial" w:cs="Arial"/>
          <w:color w:val="FF0000"/>
          <w:sz w:val="20"/>
          <w:szCs w:val="20"/>
        </w:rPr>
        <w:t>under</w:t>
      </w:r>
      <w:r w:rsidR="00362C0B">
        <w:rPr>
          <w:rFonts w:ascii="Arial" w:hAnsi="Arial" w:cs="Arial"/>
          <w:sz w:val="20"/>
          <w:szCs w:val="20"/>
        </w:rPr>
        <w:t xml:space="preserve"> </w:t>
      </w:r>
      <w:r w:rsidRPr="00A13C04">
        <w:rPr>
          <w:rFonts w:ascii="Arial" w:hAnsi="Arial" w:cs="Arial"/>
          <w:sz w:val="20"/>
          <w:szCs w:val="20"/>
        </w:rPr>
        <w:t>25% shade. These results corrobora</w:t>
      </w:r>
      <w:r w:rsidR="00A13C04">
        <w:rPr>
          <w:rFonts w:ascii="Arial" w:hAnsi="Arial" w:cs="Arial"/>
          <w:sz w:val="20"/>
          <w:szCs w:val="20"/>
        </w:rPr>
        <w:t xml:space="preserve">te </w:t>
      </w:r>
      <w:r w:rsidR="00A13C04" w:rsidRPr="00362C0B">
        <w:rPr>
          <w:rFonts w:ascii="Arial" w:hAnsi="Arial" w:cs="Arial"/>
          <w:strike/>
          <w:color w:val="FF0000"/>
          <w:sz w:val="20"/>
          <w:szCs w:val="20"/>
        </w:rPr>
        <w:t>those of</w:t>
      </w:r>
      <w:r w:rsidR="00A13C04">
        <w:rPr>
          <w:rFonts w:ascii="Arial" w:hAnsi="Arial" w:cs="Arial"/>
          <w:sz w:val="20"/>
          <w:szCs w:val="20"/>
        </w:rPr>
        <w:t xml:space="preserve"> </w:t>
      </w:r>
      <w:r w:rsidR="00362C0B" w:rsidRPr="00362C0B">
        <w:rPr>
          <w:rFonts w:ascii="Arial" w:hAnsi="Arial" w:cs="Arial"/>
          <w:color w:val="FF0000"/>
          <w:sz w:val="20"/>
          <w:szCs w:val="20"/>
        </w:rPr>
        <w:t>with</w:t>
      </w:r>
      <w:r w:rsidR="00362C0B">
        <w:rPr>
          <w:rFonts w:ascii="Arial" w:hAnsi="Arial" w:cs="Arial"/>
          <w:sz w:val="20"/>
          <w:szCs w:val="20"/>
        </w:rPr>
        <w:t xml:space="preserve"> </w:t>
      </w:r>
      <w:r w:rsidR="00A13C04">
        <w:rPr>
          <w:rFonts w:ascii="Arial" w:hAnsi="Arial" w:cs="Arial"/>
          <w:sz w:val="20"/>
          <w:szCs w:val="20"/>
        </w:rPr>
        <w:t>Ravi and Lourduraj, 1998</w:t>
      </w:r>
      <w:r w:rsidRPr="00A13C04">
        <w:rPr>
          <w:rFonts w:ascii="Arial" w:hAnsi="Arial" w:cs="Arial"/>
          <w:sz w:val="20"/>
          <w:szCs w:val="20"/>
        </w:rPr>
        <w:t>, highlighting the role of black LLDPE mulch in reducing evaporation losses.</w:t>
      </w:r>
    </w:p>
    <w:p w:rsidR="00674962" w:rsidRPr="00A13C04" w:rsidRDefault="00CD708F" w:rsidP="00674962">
      <w:pPr>
        <w:jc w:val="both"/>
        <w:rPr>
          <w:rFonts w:ascii="Arial" w:hAnsi="Arial" w:cs="Arial"/>
          <w:sz w:val="20"/>
          <w:szCs w:val="20"/>
        </w:rPr>
      </w:pPr>
      <w:r>
        <w:rPr>
          <w:rFonts w:ascii="Arial" w:hAnsi="Arial" w:cs="Arial"/>
          <w:b/>
          <w:sz w:val="20"/>
          <w:szCs w:val="20"/>
          <w:u w:val="single"/>
        </w:rPr>
        <w:t xml:space="preserve">3.2.4 </w:t>
      </w:r>
      <w:r w:rsidR="00674962" w:rsidRPr="00CD708F">
        <w:rPr>
          <w:rFonts w:ascii="Arial" w:hAnsi="Arial" w:cs="Arial"/>
          <w:b/>
          <w:sz w:val="20"/>
          <w:szCs w:val="20"/>
          <w:u w:val="single"/>
        </w:rPr>
        <w:t>Organic carbon and nutrients</w:t>
      </w:r>
    </w:p>
    <w:p w:rsidR="008917F9" w:rsidRPr="00A74535" w:rsidRDefault="00674962" w:rsidP="00674962">
      <w:pPr>
        <w:jc w:val="both"/>
        <w:rPr>
          <w:rFonts w:ascii="Arial" w:hAnsi="Arial" w:cs="Arial"/>
          <w:sz w:val="20"/>
          <w:szCs w:val="20"/>
        </w:rPr>
      </w:pPr>
      <w:r w:rsidRPr="00A13C04">
        <w:rPr>
          <w:rFonts w:ascii="Arial" w:hAnsi="Arial" w:cs="Arial"/>
          <w:sz w:val="20"/>
          <w:szCs w:val="20"/>
        </w:rPr>
        <w:t>Organic carbon content and nutrient availability (NPK) were highest in mulched plots under 50% shade. The addition of organic matter under mulch likely enhanced microbial activity and nutrient m</w:t>
      </w:r>
      <w:r w:rsidR="00A13C04">
        <w:rPr>
          <w:rFonts w:ascii="Arial" w:hAnsi="Arial" w:cs="Arial"/>
          <w:sz w:val="20"/>
          <w:szCs w:val="20"/>
        </w:rPr>
        <w:t>ineralization. Ren et al., 2025</w:t>
      </w:r>
      <w:r w:rsidRPr="00A13C04">
        <w:rPr>
          <w:rFonts w:ascii="Arial" w:hAnsi="Arial" w:cs="Arial"/>
          <w:sz w:val="20"/>
          <w:szCs w:val="20"/>
        </w:rPr>
        <w:t xml:space="preserve"> similarly found elevated soil organic carbon and nitrogen levels under mulched fertilizer treatments.</w:t>
      </w:r>
    </w:p>
    <w:p w:rsidR="00674962" w:rsidRPr="00A13C04" w:rsidRDefault="00CD708F" w:rsidP="00674962">
      <w:pPr>
        <w:jc w:val="both"/>
        <w:rPr>
          <w:rFonts w:ascii="Arial" w:hAnsi="Arial" w:cs="Arial"/>
          <w:sz w:val="20"/>
          <w:szCs w:val="20"/>
        </w:rPr>
      </w:pPr>
      <w:r w:rsidRPr="00CD708F">
        <w:rPr>
          <w:rFonts w:ascii="Arial" w:hAnsi="Arial" w:cs="Arial"/>
          <w:b/>
          <w:sz w:val="20"/>
          <w:szCs w:val="20"/>
          <w:u w:val="single"/>
        </w:rPr>
        <w:t xml:space="preserve">3.2.5 </w:t>
      </w:r>
      <w:r w:rsidR="00674962" w:rsidRPr="00CD708F">
        <w:rPr>
          <w:rFonts w:ascii="Arial" w:hAnsi="Arial" w:cs="Arial"/>
          <w:b/>
          <w:sz w:val="20"/>
          <w:szCs w:val="20"/>
          <w:u w:val="single"/>
        </w:rPr>
        <w:t>Microbial biomass and enzymatic activity</w:t>
      </w:r>
    </w:p>
    <w:p w:rsidR="00CD708F" w:rsidRPr="00CD708F" w:rsidRDefault="00674962" w:rsidP="00674962">
      <w:pPr>
        <w:jc w:val="both"/>
        <w:rPr>
          <w:rFonts w:ascii="Arial" w:hAnsi="Arial" w:cs="Arial"/>
          <w:sz w:val="20"/>
          <w:szCs w:val="20"/>
        </w:rPr>
      </w:pPr>
      <w:r w:rsidRPr="00A13C04">
        <w:rPr>
          <w:rFonts w:ascii="Arial" w:hAnsi="Arial" w:cs="Arial"/>
          <w:sz w:val="20"/>
          <w:szCs w:val="20"/>
        </w:rPr>
        <w:t>Microbial biomass carbon and enzymatic activity (dehydrogenase and phosphatase) were significantly elevated in mulched soils under 50% shade. Higher moisture and organic content under these conditions likely created a conducive environment for microbial proliferation. These results align with Wardl</w:t>
      </w:r>
      <w:r w:rsidR="00A13C04">
        <w:rPr>
          <w:rFonts w:ascii="Arial" w:hAnsi="Arial" w:cs="Arial"/>
          <w:sz w:val="20"/>
          <w:szCs w:val="20"/>
        </w:rPr>
        <w:t>e, 1992 and Brzezińska et al., 1998</w:t>
      </w:r>
      <w:r w:rsidRPr="00A13C04">
        <w:rPr>
          <w:rFonts w:ascii="Arial" w:hAnsi="Arial" w:cs="Arial"/>
          <w:sz w:val="20"/>
          <w:szCs w:val="20"/>
        </w:rPr>
        <w:t>, who highlighted the role of SOC in driving microbial and enzymatic soil processes.</w:t>
      </w:r>
    </w:p>
    <w:p w:rsidR="008917F9" w:rsidRPr="00A13C04" w:rsidRDefault="008917F9" w:rsidP="008917F9">
      <w:pPr>
        <w:jc w:val="both"/>
        <w:rPr>
          <w:rFonts w:ascii="Arial" w:hAnsi="Arial" w:cs="Arial"/>
          <w:sz w:val="20"/>
          <w:szCs w:val="20"/>
        </w:rPr>
      </w:pPr>
      <w:r w:rsidRPr="00A13C04">
        <w:rPr>
          <w:rFonts w:ascii="Arial" w:hAnsi="Arial" w:cs="Arial"/>
          <w:sz w:val="20"/>
          <w:szCs w:val="20"/>
        </w:rPr>
        <w:t>Soil parameters play a critical role in determining plant growth, root development, and overall yield. Positive influences are seen with appropriate soil moisture content, organic carbon levels (especially under moderate shade), and microbial biomass carbon, which enhance nutrient availability and soil fertility. Enzyme activities such as dehydrogenase and phosphatase also contribute indirectly by boosting nutrient cycling and plant performance.</w:t>
      </w:r>
    </w:p>
    <w:p w:rsidR="008917F9" w:rsidRPr="00A13C04" w:rsidRDefault="008917F9" w:rsidP="008917F9">
      <w:pPr>
        <w:jc w:val="both"/>
        <w:rPr>
          <w:rFonts w:ascii="Arial" w:hAnsi="Arial" w:cs="Arial"/>
          <w:sz w:val="20"/>
          <w:szCs w:val="20"/>
        </w:rPr>
      </w:pPr>
      <w:r w:rsidRPr="00A13C04">
        <w:rPr>
          <w:rFonts w:ascii="Arial" w:hAnsi="Arial" w:cs="Arial"/>
          <w:sz w:val="20"/>
          <w:szCs w:val="20"/>
        </w:rPr>
        <w:t xml:space="preserve">However, not all parameters have a straightforward effect. Electrical conductivity (EC), when high, adversely impacts nutrient uptake and reduces yield, highlighting the need for salinity management. Soil </w:t>
      </w:r>
      <w:r w:rsidRPr="00A13C04">
        <w:rPr>
          <w:rFonts w:ascii="Arial" w:hAnsi="Arial" w:cs="Arial"/>
          <w:sz w:val="20"/>
          <w:szCs w:val="20"/>
        </w:rPr>
        <w:lastRenderedPageBreak/>
        <w:t>pH demonstrates a curvilinear relationship with plant performance-while optimal pH promotes nutrient availability and root development, extremes (too acidic or too alkaline) can be detrimental. In conclusion, maintaining a balanced soil environment with optimal moisture, organic content, microbial activity, and pH is crucial for maximizing plant health and productivity, while mitigating adverse effects like high salinity.</w:t>
      </w:r>
    </w:p>
    <w:p w:rsidR="00CD708F" w:rsidRDefault="00CD708F" w:rsidP="00674962">
      <w:pPr>
        <w:jc w:val="both"/>
        <w:rPr>
          <w:rFonts w:ascii="Arial" w:hAnsi="Arial" w:cs="Arial"/>
          <w:b/>
          <w:sz w:val="20"/>
          <w:szCs w:val="20"/>
        </w:rPr>
        <w:sectPr w:rsidR="00CD708F" w:rsidSect="00A74535">
          <w:type w:val="continuous"/>
          <w:pgSz w:w="12240" w:h="15840"/>
          <w:pgMar w:top="1440" w:right="1440" w:bottom="1440" w:left="1440" w:header="720" w:footer="720" w:gutter="0"/>
          <w:cols w:space="720"/>
          <w:docGrid w:linePitch="360"/>
        </w:sectPr>
      </w:pPr>
    </w:p>
    <w:tbl>
      <w:tblPr>
        <w:tblStyle w:val="PlainTable2"/>
        <w:tblpPr w:leftFromText="180" w:rightFromText="180" w:vertAnchor="page" w:horzAnchor="margin" w:tblpY="2161"/>
        <w:tblW w:w="0" w:type="auto"/>
        <w:tblLayout w:type="fixed"/>
        <w:tblLook w:val="04A0"/>
      </w:tblPr>
      <w:tblGrid>
        <w:gridCol w:w="1413"/>
        <w:gridCol w:w="850"/>
        <w:gridCol w:w="993"/>
        <w:gridCol w:w="992"/>
        <w:gridCol w:w="850"/>
        <w:gridCol w:w="1134"/>
        <w:gridCol w:w="1134"/>
        <w:gridCol w:w="1560"/>
        <w:gridCol w:w="1134"/>
        <w:gridCol w:w="1701"/>
        <w:gridCol w:w="1189"/>
      </w:tblGrid>
      <w:tr w:rsidR="00CE60D5" w:rsidRPr="00EE755B" w:rsidTr="00CE60D5">
        <w:trPr>
          <w:cnfStyle w:val="100000000000"/>
        </w:trPr>
        <w:tc>
          <w:tcPr>
            <w:cnfStyle w:val="001000000000"/>
            <w:tcW w:w="1413" w:type="dxa"/>
          </w:tcPr>
          <w:p w:rsidR="00CE60D5" w:rsidRPr="00EE755B" w:rsidRDefault="00CE60D5" w:rsidP="00CE60D5">
            <w:pPr>
              <w:jc w:val="both"/>
              <w:rPr>
                <w:rFonts w:ascii="Arial" w:hAnsi="Arial" w:cs="Arial"/>
                <w:sz w:val="20"/>
                <w:szCs w:val="20"/>
              </w:rPr>
            </w:pPr>
            <w:r w:rsidRPr="00EE755B">
              <w:rPr>
                <w:rFonts w:ascii="Arial" w:hAnsi="Arial" w:cs="Arial"/>
                <w:sz w:val="20"/>
                <w:szCs w:val="20"/>
              </w:rPr>
              <w:lastRenderedPageBreak/>
              <w:t>Samples</w:t>
            </w:r>
          </w:p>
        </w:tc>
        <w:tc>
          <w:tcPr>
            <w:tcW w:w="850"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pH</w:t>
            </w:r>
          </w:p>
        </w:tc>
        <w:tc>
          <w:tcPr>
            <w:tcW w:w="993"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EC (mS/m)</w:t>
            </w:r>
          </w:p>
        </w:tc>
        <w:tc>
          <w:tcPr>
            <w:tcW w:w="992"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MC (%)</w:t>
            </w:r>
          </w:p>
        </w:tc>
        <w:tc>
          <w:tcPr>
            <w:tcW w:w="850"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OC %</w:t>
            </w:r>
          </w:p>
        </w:tc>
        <w:tc>
          <w:tcPr>
            <w:tcW w:w="1134" w:type="dxa"/>
          </w:tcPr>
          <w:p w:rsidR="00CE60D5" w:rsidRPr="00EE755B" w:rsidRDefault="00CE60D5" w:rsidP="00CE60D5">
            <w:pPr>
              <w:ind w:right="113"/>
              <w:jc w:val="center"/>
              <w:cnfStyle w:val="100000000000"/>
              <w:rPr>
                <w:rFonts w:ascii="Arial" w:hAnsi="Arial" w:cs="Arial"/>
                <w:sz w:val="20"/>
                <w:szCs w:val="20"/>
              </w:rPr>
            </w:pPr>
            <w:r w:rsidRPr="00EE755B">
              <w:rPr>
                <w:rFonts w:ascii="Arial" w:hAnsi="Arial" w:cs="Arial"/>
                <w:sz w:val="20"/>
                <w:szCs w:val="20"/>
              </w:rPr>
              <w:t>MBC (μg    C/g)</w:t>
            </w:r>
          </w:p>
        </w:tc>
        <w:tc>
          <w:tcPr>
            <w:tcW w:w="1134"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Av.  N (kg/ha)</w:t>
            </w:r>
          </w:p>
        </w:tc>
        <w:tc>
          <w:tcPr>
            <w:tcW w:w="1560" w:type="dxa"/>
          </w:tcPr>
          <w:p w:rsidR="00CE60D5" w:rsidRPr="00EE755B" w:rsidRDefault="00CE60D5" w:rsidP="00CE60D5">
            <w:pPr>
              <w:ind w:right="113"/>
              <w:jc w:val="center"/>
              <w:cnfStyle w:val="100000000000"/>
              <w:rPr>
                <w:rFonts w:ascii="Arial" w:hAnsi="Arial" w:cs="Arial"/>
                <w:sz w:val="20"/>
                <w:szCs w:val="20"/>
              </w:rPr>
            </w:pPr>
            <w:r w:rsidRPr="00EE755B">
              <w:rPr>
                <w:rFonts w:ascii="Arial" w:hAnsi="Arial" w:cs="Arial"/>
                <w:sz w:val="20"/>
                <w:szCs w:val="20"/>
              </w:rPr>
              <w:t>Dehydrogenase activity (µg TPF g</w:t>
            </w:r>
            <w:r w:rsidRPr="00EE755B">
              <w:rPr>
                <w:rFonts w:ascii="Cambria Math" w:hAnsi="Cambria Math" w:cs="Cambria Math"/>
                <w:sz w:val="20"/>
                <w:szCs w:val="20"/>
              </w:rPr>
              <w:t>⁻</w:t>
            </w:r>
            <w:r w:rsidRPr="00EE755B">
              <w:rPr>
                <w:rFonts w:ascii="Arial" w:hAnsi="Arial" w:cs="Arial"/>
                <w:sz w:val="20"/>
                <w:szCs w:val="20"/>
              </w:rPr>
              <w:t>¹ soil 24 h</w:t>
            </w:r>
            <w:r w:rsidRPr="00EE755B">
              <w:rPr>
                <w:rFonts w:ascii="Cambria Math" w:hAnsi="Cambria Math" w:cs="Cambria Math"/>
                <w:sz w:val="20"/>
                <w:szCs w:val="20"/>
              </w:rPr>
              <w:t>⁻</w:t>
            </w:r>
            <w:r w:rsidRPr="00EE755B">
              <w:rPr>
                <w:rFonts w:ascii="Arial" w:hAnsi="Arial" w:cs="Arial"/>
                <w:sz w:val="20"/>
                <w:szCs w:val="20"/>
              </w:rPr>
              <w:t>¹)</w:t>
            </w:r>
          </w:p>
        </w:tc>
        <w:tc>
          <w:tcPr>
            <w:tcW w:w="1134" w:type="dxa"/>
          </w:tcPr>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Av. P (kg/ha)</w:t>
            </w:r>
          </w:p>
        </w:tc>
        <w:tc>
          <w:tcPr>
            <w:tcW w:w="1701" w:type="dxa"/>
          </w:tcPr>
          <w:p w:rsidR="00CE60D5" w:rsidRPr="00EE755B" w:rsidRDefault="00CE60D5" w:rsidP="00CE60D5">
            <w:pPr>
              <w:ind w:right="113"/>
              <w:jc w:val="center"/>
              <w:cnfStyle w:val="100000000000"/>
              <w:rPr>
                <w:rFonts w:ascii="Arial" w:hAnsi="Arial" w:cs="Arial"/>
                <w:sz w:val="20"/>
                <w:szCs w:val="20"/>
              </w:rPr>
            </w:pPr>
            <w:r w:rsidRPr="00EE755B">
              <w:rPr>
                <w:rFonts w:ascii="Arial" w:hAnsi="Arial" w:cs="Arial"/>
                <w:sz w:val="20"/>
                <w:szCs w:val="20"/>
              </w:rPr>
              <w:t>Phosphatase</w:t>
            </w:r>
          </w:p>
          <w:p w:rsidR="00CE60D5" w:rsidRPr="00EE755B" w:rsidRDefault="00CE60D5" w:rsidP="00CE60D5">
            <w:pPr>
              <w:jc w:val="center"/>
              <w:cnfStyle w:val="100000000000"/>
              <w:rPr>
                <w:rFonts w:ascii="Arial" w:hAnsi="Arial" w:cs="Arial"/>
                <w:sz w:val="20"/>
                <w:szCs w:val="20"/>
              </w:rPr>
            </w:pPr>
            <w:r w:rsidRPr="00EE755B">
              <w:rPr>
                <w:rFonts w:ascii="Arial" w:hAnsi="Arial" w:cs="Arial"/>
                <w:sz w:val="20"/>
                <w:szCs w:val="20"/>
              </w:rPr>
              <w:t>activity (µg PNP g</w:t>
            </w:r>
            <w:r w:rsidRPr="00EE755B">
              <w:rPr>
                <w:rFonts w:ascii="Cambria Math" w:hAnsi="Cambria Math" w:cs="Cambria Math"/>
                <w:sz w:val="20"/>
                <w:szCs w:val="20"/>
              </w:rPr>
              <w:t>⁻</w:t>
            </w:r>
            <w:r w:rsidRPr="00EE755B">
              <w:rPr>
                <w:rFonts w:ascii="Arial" w:hAnsi="Arial" w:cs="Arial"/>
                <w:sz w:val="20"/>
                <w:szCs w:val="20"/>
              </w:rPr>
              <w:t>¹ soil h</w:t>
            </w:r>
            <w:r w:rsidRPr="00EE755B">
              <w:rPr>
                <w:rFonts w:ascii="Cambria Math" w:hAnsi="Cambria Math" w:cs="Cambria Math"/>
                <w:sz w:val="20"/>
                <w:szCs w:val="20"/>
              </w:rPr>
              <w:t>⁻</w:t>
            </w:r>
            <w:r w:rsidRPr="00EE755B">
              <w:rPr>
                <w:rFonts w:ascii="Arial" w:hAnsi="Arial" w:cs="Arial"/>
                <w:sz w:val="20"/>
                <w:szCs w:val="20"/>
              </w:rPr>
              <w:t>¹)</w:t>
            </w:r>
          </w:p>
          <w:p w:rsidR="00CE60D5" w:rsidRPr="00EE755B" w:rsidRDefault="00CE60D5" w:rsidP="00CE60D5">
            <w:pPr>
              <w:jc w:val="center"/>
              <w:cnfStyle w:val="100000000000"/>
              <w:rPr>
                <w:rFonts w:ascii="Arial" w:hAnsi="Arial" w:cs="Arial"/>
                <w:sz w:val="20"/>
                <w:szCs w:val="20"/>
              </w:rPr>
            </w:pPr>
          </w:p>
        </w:tc>
        <w:tc>
          <w:tcPr>
            <w:tcW w:w="1189" w:type="dxa"/>
          </w:tcPr>
          <w:p w:rsidR="00CE60D5" w:rsidRPr="00EE755B" w:rsidRDefault="00CE60D5" w:rsidP="00CE60D5">
            <w:pPr>
              <w:ind w:left="113" w:right="113"/>
              <w:jc w:val="center"/>
              <w:cnfStyle w:val="100000000000"/>
              <w:rPr>
                <w:rFonts w:ascii="Arial" w:hAnsi="Arial" w:cs="Arial"/>
                <w:sz w:val="20"/>
                <w:szCs w:val="20"/>
              </w:rPr>
            </w:pPr>
            <w:r w:rsidRPr="00EE755B">
              <w:rPr>
                <w:rFonts w:ascii="Arial" w:hAnsi="Arial" w:cs="Arial"/>
                <w:sz w:val="20"/>
                <w:szCs w:val="20"/>
              </w:rPr>
              <w:t>Av. K (kg/ha)</w:t>
            </w:r>
          </w:p>
        </w:tc>
      </w:tr>
      <w:tr w:rsidR="00CE60D5" w:rsidRPr="00EE755B" w:rsidTr="00CE60D5">
        <w:trPr>
          <w:cnfStyle w:val="000000100000"/>
        </w:trPr>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Open+ mulch</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4.63</w:t>
            </w:r>
            <w:r w:rsidRPr="00EE755B">
              <w:rPr>
                <w:rFonts w:ascii="Arial" w:hAnsi="Arial" w:cs="Arial"/>
                <w:sz w:val="20"/>
                <w:szCs w:val="20"/>
                <w:vertAlign w:val="superscript"/>
              </w:rPr>
              <w:t>bc</w:t>
            </w:r>
          </w:p>
        </w:tc>
        <w:tc>
          <w:tcPr>
            <w:tcW w:w="993"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0.34</w:t>
            </w:r>
            <w:r w:rsidRPr="00EE755B">
              <w:rPr>
                <w:rFonts w:ascii="Arial" w:hAnsi="Arial" w:cs="Arial"/>
                <w:sz w:val="20"/>
                <w:szCs w:val="20"/>
                <w:vertAlign w:val="superscript"/>
              </w:rPr>
              <w:t>c</w:t>
            </w:r>
          </w:p>
        </w:tc>
        <w:tc>
          <w:tcPr>
            <w:tcW w:w="992"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1.21</w:t>
            </w:r>
            <w:r w:rsidRPr="00EE755B">
              <w:rPr>
                <w:rFonts w:ascii="Arial" w:hAnsi="Arial" w:cs="Arial"/>
                <w:sz w:val="20"/>
                <w:szCs w:val="20"/>
                <w:vertAlign w:val="superscript"/>
              </w:rPr>
              <w:t>c</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402.4</w:t>
            </w:r>
            <w:r w:rsidRPr="00EE755B">
              <w:rPr>
                <w:rFonts w:ascii="Arial" w:hAnsi="Arial" w:cs="Arial"/>
                <w:sz w:val="20"/>
                <w:szCs w:val="20"/>
                <w:vertAlign w:val="superscript"/>
              </w:rPr>
              <w:t>b</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282.90</w:t>
            </w:r>
            <w:r w:rsidRPr="00EE755B">
              <w:rPr>
                <w:rFonts w:ascii="Arial" w:hAnsi="Arial" w:cs="Arial"/>
                <w:sz w:val="20"/>
                <w:szCs w:val="20"/>
                <w:vertAlign w:val="superscript"/>
              </w:rPr>
              <w:t>bc</w:t>
            </w:r>
          </w:p>
        </w:tc>
        <w:tc>
          <w:tcPr>
            <w:tcW w:w="156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2.03</w:t>
            </w:r>
            <w:r w:rsidRPr="00EE755B">
              <w:rPr>
                <w:rFonts w:ascii="Arial" w:hAnsi="Arial" w:cs="Arial"/>
                <w:sz w:val="20"/>
                <w:szCs w:val="20"/>
                <w:vertAlign w:val="superscript"/>
              </w:rPr>
              <w:t>c</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48.33</w:t>
            </w:r>
            <w:r w:rsidRPr="00EE755B">
              <w:rPr>
                <w:rFonts w:ascii="Arial" w:hAnsi="Arial" w:cs="Arial"/>
                <w:sz w:val="20"/>
                <w:szCs w:val="20"/>
                <w:vertAlign w:val="superscript"/>
              </w:rPr>
              <w:t>b</w:t>
            </w:r>
          </w:p>
        </w:tc>
        <w:tc>
          <w:tcPr>
            <w:tcW w:w="1701"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126.10</w:t>
            </w:r>
            <w:r w:rsidRPr="00EE755B">
              <w:rPr>
                <w:rFonts w:ascii="Arial" w:hAnsi="Arial" w:cs="Arial"/>
                <w:sz w:val="20"/>
                <w:szCs w:val="20"/>
                <w:vertAlign w:val="superscript"/>
              </w:rPr>
              <w:t>b</w:t>
            </w:r>
          </w:p>
        </w:tc>
        <w:tc>
          <w:tcPr>
            <w:tcW w:w="1189"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369.20</w:t>
            </w:r>
            <w:r w:rsidRPr="00EE755B">
              <w:rPr>
                <w:rFonts w:ascii="Arial" w:hAnsi="Arial" w:cs="Arial"/>
                <w:sz w:val="20"/>
                <w:szCs w:val="20"/>
                <w:vertAlign w:val="superscript"/>
              </w:rPr>
              <w:t>b</w:t>
            </w:r>
          </w:p>
        </w:tc>
      </w:tr>
      <w:tr w:rsidR="00CE60D5" w:rsidRPr="00EE755B" w:rsidTr="00CE60D5">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Open</w:t>
            </w:r>
          </w:p>
          <w:p w:rsidR="00CE60D5" w:rsidRPr="00EE755B" w:rsidRDefault="00CE60D5" w:rsidP="00CE60D5">
            <w:pPr>
              <w:rPr>
                <w:rFonts w:ascii="Arial" w:hAnsi="Arial" w:cs="Arial"/>
                <w:sz w:val="20"/>
                <w:szCs w:val="20"/>
              </w:rPr>
            </w:pP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5.26</w:t>
            </w:r>
            <w:r w:rsidRPr="00EE755B">
              <w:rPr>
                <w:rFonts w:ascii="Arial" w:hAnsi="Arial" w:cs="Arial"/>
                <w:sz w:val="20"/>
                <w:szCs w:val="20"/>
                <w:vertAlign w:val="superscript"/>
              </w:rPr>
              <w:t>a</w:t>
            </w:r>
          </w:p>
        </w:tc>
        <w:tc>
          <w:tcPr>
            <w:tcW w:w="993"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0.53</w:t>
            </w:r>
            <w:r w:rsidRPr="00EE755B">
              <w:rPr>
                <w:rFonts w:ascii="Arial" w:hAnsi="Arial" w:cs="Arial"/>
                <w:sz w:val="20"/>
                <w:szCs w:val="20"/>
                <w:vertAlign w:val="superscript"/>
              </w:rPr>
              <w:t>a</w:t>
            </w:r>
          </w:p>
        </w:tc>
        <w:tc>
          <w:tcPr>
            <w:tcW w:w="992"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6.33</w:t>
            </w:r>
            <w:r w:rsidRPr="00EE755B">
              <w:rPr>
                <w:rFonts w:ascii="Arial" w:hAnsi="Arial" w:cs="Arial"/>
                <w:sz w:val="20"/>
                <w:szCs w:val="20"/>
                <w:vertAlign w:val="superscript"/>
              </w:rPr>
              <w:t>d</w:t>
            </w: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0.89</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264.5</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237.30</w:t>
            </w:r>
            <w:r w:rsidRPr="00EE755B">
              <w:rPr>
                <w:rFonts w:ascii="Arial" w:hAnsi="Arial" w:cs="Arial"/>
                <w:sz w:val="20"/>
                <w:szCs w:val="20"/>
                <w:vertAlign w:val="superscript"/>
              </w:rPr>
              <w:t>d</w:t>
            </w:r>
          </w:p>
        </w:tc>
        <w:tc>
          <w:tcPr>
            <w:tcW w:w="156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1.70</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26.91</w:t>
            </w:r>
            <w:r w:rsidRPr="00EE755B">
              <w:rPr>
                <w:rFonts w:ascii="Arial" w:hAnsi="Arial" w:cs="Arial"/>
                <w:sz w:val="20"/>
                <w:szCs w:val="20"/>
                <w:vertAlign w:val="superscript"/>
              </w:rPr>
              <w:t>c</w:t>
            </w:r>
          </w:p>
        </w:tc>
        <w:tc>
          <w:tcPr>
            <w:tcW w:w="1701"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80.69</w:t>
            </w:r>
            <w:r w:rsidRPr="00EE755B">
              <w:rPr>
                <w:rFonts w:ascii="Arial" w:hAnsi="Arial" w:cs="Arial"/>
                <w:sz w:val="20"/>
                <w:szCs w:val="20"/>
                <w:vertAlign w:val="superscript"/>
              </w:rPr>
              <w:t>d</w:t>
            </w:r>
          </w:p>
        </w:tc>
        <w:tc>
          <w:tcPr>
            <w:tcW w:w="1189"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70.35</w:t>
            </w:r>
            <w:r w:rsidRPr="00EE755B">
              <w:rPr>
                <w:rFonts w:ascii="Arial" w:hAnsi="Arial" w:cs="Arial"/>
                <w:sz w:val="20"/>
                <w:szCs w:val="20"/>
                <w:vertAlign w:val="superscript"/>
              </w:rPr>
              <w:t>c</w:t>
            </w:r>
          </w:p>
        </w:tc>
      </w:tr>
      <w:tr w:rsidR="00CE60D5" w:rsidRPr="00EE755B" w:rsidTr="00CE60D5">
        <w:trPr>
          <w:cnfStyle w:val="000000100000"/>
        </w:trPr>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25 % shade + mulch</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5.10</w:t>
            </w:r>
            <w:r w:rsidRPr="00EE755B">
              <w:rPr>
                <w:rFonts w:ascii="Arial" w:hAnsi="Arial" w:cs="Arial"/>
                <w:sz w:val="20"/>
                <w:szCs w:val="20"/>
                <w:vertAlign w:val="superscript"/>
              </w:rPr>
              <w:t>ab</w:t>
            </w:r>
          </w:p>
        </w:tc>
        <w:tc>
          <w:tcPr>
            <w:tcW w:w="993"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0.27</w:t>
            </w:r>
            <w:r w:rsidRPr="00EE755B">
              <w:rPr>
                <w:rFonts w:ascii="Arial" w:hAnsi="Arial" w:cs="Arial"/>
                <w:sz w:val="20"/>
                <w:szCs w:val="20"/>
                <w:vertAlign w:val="superscript"/>
              </w:rPr>
              <w:t>d</w:t>
            </w:r>
          </w:p>
          <w:p w:rsidR="00CE60D5" w:rsidRPr="00EE755B" w:rsidRDefault="00CE60D5" w:rsidP="00CE60D5">
            <w:pPr>
              <w:jc w:val="center"/>
              <w:cnfStyle w:val="000000100000"/>
              <w:rPr>
                <w:rFonts w:ascii="Arial" w:hAnsi="Arial" w:cs="Arial"/>
                <w:sz w:val="20"/>
                <w:szCs w:val="20"/>
              </w:rPr>
            </w:pPr>
          </w:p>
        </w:tc>
        <w:tc>
          <w:tcPr>
            <w:tcW w:w="992"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13.13</w:t>
            </w:r>
            <w:r w:rsidRPr="00EE755B">
              <w:rPr>
                <w:rFonts w:ascii="Arial" w:hAnsi="Arial" w:cs="Arial"/>
                <w:sz w:val="20"/>
                <w:szCs w:val="20"/>
                <w:vertAlign w:val="superscript"/>
              </w:rPr>
              <w:t>b</w:t>
            </w:r>
          </w:p>
          <w:p w:rsidR="00CE60D5" w:rsidRPr="00EE755B" w:rsidRDefault="00CE60D5" w:rsidP="00CE60D5">
            <w:pPr>
              <w:cnfStyle w:val="000000100000"/>
              <w:rPr>
                <w:rFonts w:ascii="Arial" w:hAnsi="Arial" w:cs="Arial"/>
                <w:sz w:val="20"/>
                <w:szCs w:val="20"/>
              </w:rPr>
            </w:pP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1.41</w:t>
            </w:r>
            <w:r w:rsidRPr="00EE755B">
              <w:rPr>
                <w:rFonts w:ascii="Arial" w:hAnsi="Arial" w:cs="Arial"/>
                <w:sz w:val="20"/>
                <w:szCs w:val="20"/>
                <w:vertAlign w:val="superscript"/>
              </w:rPr>
              <w:t>b</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426.0</w:t>
            </w:r>
            <w:r w:rsidRPr="00EE755B">
              <w:rPr>
                <w:rFonts w:ascii="Arial" w:hAnsi="Arial" w:cs="Arial"/>
                <w:sz w:val="20"/>
                <w:szCs w:val="20"/>
                <w:vertAlign w:val="superscript"/>
              </w:rPr>
              <w:t>b</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300.33</w:t>
            </w:r>
            <w:r w:rsidRPr="00EE755B">
              <w:rPr>
                <w:rFonts w:ascii="Arial" w:hAnsi="Arial" w:cs="Arial"/>
                <w:sz w:val="20"/>
                <w:szCs w:val="20"/>
                <w:vertAlign w:val="superscript"/>
              </w:rPr>
              <w:t>b</w:t>
            </w:r>
          </w:p>
          <w:p w:rsidR="00CE60D5" w:rsidRPr="00EE755B" w:rsidRDefault="00CE60D5" w:rsidP="00CE60D5">
            <w:pPr>
              <w:cnfStyle w:val="000000100000"/>
              <w:rPr>
                <w:rFonts w:ascii="Arial" w:hAnsi="Arial" w:cs="Arial"/>
                <w:sz w:val="20"/>
                <w:szCs w:val="20"/>
              </w:rPr>
            </w:pPr>
          </w:p>
        </w:tc>
        <w:tc>
          <w:tcPr>
            <w:tcW w:w="156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2.43</w:t>
            </w:r>
            <w:r w:rsidRPr="00EE755B">
              <w:rPr>
                <w:rFonts w:ascii="Arial" w:hAnsi="Arial" w:cs="Arial"/>
                <w:sz w:val="20"/>
                <w:szCs w:val="20"/>
                <w:vertAlign w:val="superscript"/>
              </w:rPr>
              <w:t>b</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53.52</w:t>
            </w:r>
            <w:r w:rsidRPr="00EE755B">
              <w:rPr>
                <w:rFonts w:ascii="Arial" w:hAnsi="Arial" w:cs="Arial"/>
                <w:sz w:val="20"/>
                <w:szCs w:val="20"/>
                <w:vertAlign w:val="superscript"/>
              </w:rPr>
              <w:t>ab</w:t>
            </w:r>
          </w:p>
        </w:tc>
        <w:tc>
          <w:tcPr>
            <w:tcW w:w="1701"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130.10</w:t>
            </w:r>
            <w:r w:rsidRPr="00EE755B">
              <w:rPr>
                <w:rFonts w:ascii="Arial" w:hAnsi="Arial" w:cs="Arial"/>
                <w:sz w:val="20"/>
                <w:szCs w:val="20"/>
                <w:vertAlign w:val="superscript"/>
              </w:rPr>
              <w:t>b</w:t>
            </w:r>
          </w:p>
        </w:tc>
        <w:tc>
          <w:tcPr>
            <w:tcW w:w="1189"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444.14</w:t>
            </w:r>
            <w:r w:rsidRPr="00EE755B">
              <w:rPr>
                <w:rFonts w:ascii="Arial" w:hAnsi="Arial" w:cs="Arial"/>
                <w:sz w:val="20"/>
                <w:szCs w:val="20"/>
                <w:vertAlign w:val="superscript"/>
              </w:rPr>
              <w:t>a</w:t>
            </w:r>
          </w:p>
        </w:tc>
      </w:tr>
      <w:tr w:rsidR="00CE60D5" w:rsidRPr="00EE755B" w:rsidTr="00CE60D5">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 xml:space="preserve">25 % shade </w:t>
            </w:r>
          </w:p>
          <w:p w:rsidR="00CE60D5" w:rsidRPr="00EE755B" w:rsidRDefault="00CE60D5" w:rsidP="00CE60D5">
            <w:pPr>
              <w:rPr>
                <w:rFonts w:ascii="Arial" w:hAnsi="Arial" w:cs="Arial"/>
                <w:sz w:val="20"/>
                <w:szCs w:val="20"/>
              </w:rPr>
            </w:pP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5.53</w:t>
            </w:r>
            <w:r w:rsidRPr="00EE755B">
              <w:rPr>
                <w:rFonts w:ascii="Arial" w:hAnsi="Arial" w:cs="Arial"/>
                <w:sz w:val="20"/>
                <w:szCs w:val="20"/>
                <w:vertAlign w:val="superscript"/>
              </w:rPr>
              <w:t>a</w:t>
            </w:r>
          </w:p>
        </w:tc>
        <w:tc>
          <w:tcPr>
            <w:tcW w:w="993"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9.233</w:t>
            </w:r>
            <w:r w:rsidRPr="00EE755B">
              <w:rPr>
                <w:rFonts w:ascii="Arial" w:hAnsi="Arial" w:cs="Arial"/>
                <w:sz w:val="20"/>
                <w:szCs w:val="20"/>
                <w:vertAlign w:val="superscript"/>
              </w:rPr>
              <w:t>c</w:t>
            </w: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0.95</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347.8</w:t>
            </w:r>
            <w:r w:rsidRPr="00EE755B">
              <w:rPr>
                <w:rFonts w:ascii="Arial" w:hAnsi="Arial" w:cs="Arial"/>
                <w:sz w:val="20"/>
                <w:szCs w:val="20"/>
                <w:vertAlign w:val="superscript"/>
              </w:rPr>
              <w:t>c</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261.27</w:t>
            </w:r>
            <w:r w:rsidRPr="00EE755B">
              <w:rPr>
                <w:rFonts w:ascii="Arial" w:hAnsi="Arial" w:cs="Arial"/>
                <w:sz w:val="20"/>
                <w:szCs w:val="20"/>
                <w:vertAlign w:val="superscript"/>
              </w:rPr>
              <w:t>cd</w:t>
            </w:r>
          </w:p>
        </w:tc>
        <w:tc>
          <w:tcPr>
            <w:tcW w:w="156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1.72</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22.96</w:t>
            </w:r>
            <w:r w:rsidRPr="00EE755B">
              <w:rPr>
                <w:rFonts w:ascii="Arial" w:hAnsi="Arial" w:cs="Arial"/>
                <w:sz w:val="20"/>
                <w:szCs w:val="20"/>
                <w:vertAlign w:val="superscript"/>
              </w:rPr>
              <w:t>c</w:t>
            </w:r>
          </w:p>
        </w:tc>
        <w:tc>
          <w:tcPr>
            <w:tcW w:w="1701"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106.60</w:t>
            </w:r>
            <w:r w:rsidRPr="00EE755B">
              <w:rPr>
                <w:rFonts w:ascii="Arial" w:hAnsi="Arial" w:cs="Arial"/>
                <w:sz w:val="20"/>
                <w:szCs w:val="20"/>
                <w:vertAlign w:val="superscript"/>
              </w:rPr>
              <w:t>c</w:t>
            </w:r>
          </w:p>
        </w:tc>
        <w:tc>
          <w:tcPr>
            <w:tcW w:w="1189"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83.46</w:t>
            </w:r>
            <w:r w:rsidRPr="00EE755B">
              <w:rPr>
                <w:rFonts w:ascii="Arial" w:hAnsi="Arial" w:cs="Arial"/>
                <w:sz w:val="20"/>
                <w:szCs w:val="20"/>
                <w:vertAlign w:val="superscript"/>
              </w:rPr>
              <w:t>c</w:t>
            </w:r>
          </w:p>
        </w:tc>
      </w:tr>
      <w:tr w:rsidR="00CE60D5" w:rsidRPr="00EE755B" w:rsidTr="00CE60D5">
        <w:trPr>
          <w:cnfStyle w:val="000000100000"/>
        </w:trPr>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50% shade + mulch</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4.62</w:t>
            </w:r>
            <w:r w:rsidRPr="00EE755B">
              <w:rPr>
                <w:rFonts w:ascii="Arial" w:hAnsi="Arial" w:cs="Arial"/>
                <w:sz w:val="20"/>
                <w:szCs w:val="20"/>
                <w:vertAlign w:val="superscript"/>
              </w:rPr>
              <w:t>c</w:t>
            </w:r>
          </w:p>
          <w:p w:rsidR="00CE60D5" w:rsidRPr="00EE755B" w:rsidRDefault="00CE60D5" w:rsidP="00CE60D5">
            <w:pPr>
              <w:jc w:val="center"/>
              <w:cnfStyle w:val="000000100000"/>
              <w:rPr>
                <w:rFonts w:ascii="Arial" w:hAnsi="Arial" w:cs="Arial"/>
                <w:sz w:val="20"/>
                <w:szCs w:val="20"/>
              </w:rPr>
            </w:pPr>
          </w:p>
        </w:tc>
        <w:tc>
          <w:tcPr>
            <w:tcW w:w="993"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0.17</w:t>
            </w:r>
            <w:r w:rsidRPr="00EE755B">
              <w:rPr>
                <w:rFonts w:ascii="Arial" w:hAnsi="Arial" w:cs="Arial"/>
                <w:sz w:val="20"/>
                <w:szCs w:val="20"/>
                <w:vertAlign w:val="superscript"/>
              </w:rPr>
              <w:t>e</w:t>
            </w:r>
          </w:p>
        </w:tc>
        <w:tc>
          <w:tcPr>
            <w:tcW w:w="992"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16.30</w:t>
            </w:r>
            <w:r w:rsidRPr="00EE755B">
              <w:rPr>
                <w:rFonts w:ascii="Arial" w:hAnsi="Arial" w:cs="Arial"/>
                <w:sz w:val="20"/>
                <w:szCs w:val="20"/>
                <w:vertAlign w:val="superscript"/>
              </w:rPr>
              <w:t>a</w:t>
            </w:r>
          </w:p>
          <w:p w:rsidR="00CE60D5" w:rsidRPr="00EE755B" w:rsidRDefault="00CE60D5" w:rsidP="00CE60D5">
            <w:pPr>
              <w:cnfStyle w:val="000000100000"/>
              <w:rPr>
                <w:rFonts w:ascii="Arial" w:hAnsi="Arial" w:cs="Arial"/>
                <w:sz w:val="20"/>
                <w:szCs w:val="20"/>
              </w:rPr>
            </w:pP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1.57</w:t>
            </w:r>
            <w:r w:rsidRPr="00EE755B">
              <w:rPr>
                <w:rFonts w:ascii="Arial" w:hAnsi="Arial" w:cs="Arial"/>
                <w:sz w:val="20"/>
                <w:szCs w:val="20"/>
                <w:vertAlign w:val="superscript"/>
              </w:rPr>
              <w:t>a</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474.6</w:t>
            </w:r>
            <w:r w:rsidRPr="00EE755B">
              <w:rPr>
                <w:rFonts w:ascii="Arial" w:hAnsi="Arial" w:cs="Arial"/>
                <w:sz w:val="20"/>
                <w:szCs w:val="20"/>
                <w:vertAlign w:val="superscript"/>
              </w:rPr>
              <w:t>a</w:t>
            </w:r>
          </w:p>
          <w:p w:rsidR="00CE60D5" w:rsidRPr="00EE755B" w:rsidRDefault="00CE60D5" w:rsidP="00CE60D5">
            <w:pPr>
              <w:cnfStyle w:val="000000100000"/>
              <w:rPr>
                <w:rFonts w:ascii="Arial" w:hAnsi="Arial" w:cs="Arial"/>
                <w:sz w:val="20"/>
                <w:szCs w:val="20"/>
              </w:rPr>
            </w:pP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342.93</w:t>
            </w:r>
            <w:r w:rsidRPr="00EE755B">
              <w:rPr>
                <w:rFonts w:ascii="Arial" w:hAnsi="Arial" w:cs="Arial"/>
                <w:sz w:val="20"/>
                <w:szCs w:val="20"/>
                <w:vertAlign w:val="superscript"/>
              </w:rPr>
              <w:t>a</w:t>
            </w:r>
          </w:p>
        </w:tc>
        <w:tc>
          <w:tcPr>
            <w:tcW w:w="156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2.68</w:t>
            </w:r>
            <w:r w:rsidRPr="00EE755B">
              <w:rPr>
                <w:rFonts w:ascii="Arial" w:hAnsi="Arial" w:cs="Arial"/>
                <w:sz w:val="20"/>
                <w:szCs w:val="20"/>
                <w:vertAlign w:val="superscript"/>
              </w:rPr>
              <w:t>a</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57.60</w:t>
            </w:r>
            <w:r w:rsidRPr="00EE755B">
              <w:rPr>
                <w:rFonts w:ascii="Arial" w:hAnsi="Arial" w:cs="Arial"/>
                <w:sz w:val="20"/>
                <w:szCs w:val="20"/>
                <w:vertAlign w:val="superscript"/>
              </w:rPr>
              <w:t>a</w:t>
            </w:r>
          </w:p>
        </w:tc>
        <w:tc>
          <w:tcPr>
            <w:tcW w:w="1701"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157.26</w:t>
            </w:r>
            <w:r w:rsidRPr="00EE755B">
              <w:rPr>
                <w:rFonts w:ascii="Arial" w:hAnsi="Arial" w:cs="Arial"/>
                <w:sz w:val="20"/>
                <w:szCs w:val="20"/>
                <w:vertAlign w:val="superscript"/>
              </w:rPr>
              <w:t>a</w:t>
            </w:r>
          </w:p>
        </w:tc>
        <w:tc>
          <w:tcPr>
            <w:tcW w:w="1189"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376.51</w:t>
            </w:r>
            <w:r w:rsidRPr="00EE755B">
              <w:rPr>
                <w:rFonts w:ascii="Arial" w:hAnsi="Arial" w:cs="Arial"/>
                <w:sz w:val="20"/>
                <w:szCs w:val="20"/>
                <w:vertAlign w:val="superscript"/>
              </w:rPr>
              <w:t>b</w:t>
            </w:r>
          </w:p>
        </w:tc>
      </w:tr>
      <w:tr w:rsidR="00CE60D5" w:rsidRPr="00EE755B" w:rsidTr="00CE60D5">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50% shade</w:t>
            </w:r>
          </w:p>
          <w:p w:rsidR="00CE60D5" w:rsidRPr="00EE755B" w:rsidRDefault="00CE60D5" w:rsidP="00CE60D5">
            <w:pPr>
              <w:rPr>
                <w:rFonts w:ascii="Arial" w:hAnsi="Arial" w:cs="Arial"/>
                <w:sz w:val="20"/>
                <w:szCs w:val="20"/>
              </w:rPr>
            </w:pP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5.40</w:t>
            </w:r>
            <w:r w:rsidRPr="00EE755B">
              <w:rPr>
                <w:rFonts w:ascii="Arial" w:hAnsi="Arial" w:cs="Arial"/>
                <w:sz w:val="20"/>
                <w:szCs w:val="20"/>
                <w:vertAlign w:val="superscript"/>
              </w:rPr>
              <w:t>a</w:t>
            </w:r>
          </w:p>
        </w:tc>
        <w:tc>
          <w:tcPr>
            <w:tcW w:w="993"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0.99</w:t>
            </w:r>
            <w:r w:rsidRPr="00EE755B">
              <w:rPr>
                <w:rFonts w:ascii="Arial" w:hAnsi="Arial" w:cs="Arial"/>
                <w:sz w:val="20"/>
                <w:szCs w:val="20"/>
                <w:vertAlign w:val="superscript"/>
              </w:rPr>
              <w:t>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362.7</w:t>
            </w:r>
            <w:r w:rsidRPr="00EE755B">
              <w:rPr>
                <w:rFonts w:ascii="Arial" w:hAnsi="Arial" w:cs="Arial"/>
                <w:sz w:val="20"/>
                <w:szCs w:val="20"/>
                <w:vertAlign w:val="superscript"/>
              </w:rPr>
              <w:t>c</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278.27</w:t>
            </w:r>
            <w:r w:rsidRPr="00EE755B">
              <w:rPr>
                <w:rFonts w:ascii="Arial" w:hAnsi="Arial" w:cs="Arial"/>
                <w:sz w:val="20"/>
                <w:szCs w:val="20"/>
                <w:vertAlign w:val="superscript"/>
              </w:rPr>
              <w:t>bc</w:t>
            </w:r>
          </w:p>
        </w:tc>
        <w:tc>
          <w:tcPr>
            <w:tcW w:w="156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1.89</w:t>
            </w:r>
            <w:r w:rsidRPr="00EE755B">
              <w:rPr>
                <w:rFonts w:ascii="Arial" w:hAnsi="Arial" w:cs="Arial"/>
                <w:sz w:val="20"/>
                <w:szCs w:val="20"/>
                <w:vertAlign w:val="superscript"/>
              </w:rPr>
              <w:t>cd</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22.21</w:t>
            </w:r>
            <w:r w:rsidRPr="00EE755B">
              <w:rPr>
                <w:rFonts w:ascii="Arial" w:hAnsi="Arial" w:cs="Arial"/>
                <w:sz w:val="20"/>
                <w:szCs w:val="20"/>
                <w:vertAlign w:val="superscript"/>
              </w:rPr>
              <w:t>c</w:t>
            </w:r>
          </w:p>
        </w:tc>
        <w:tc>
          <w:tcPr>
            <w:tcW w:w="1701"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113.48</w:t>
            </w:r>
            <w:r w:rsidRPr="00EE755B">
              <w:rPr>
                <w:rFonts w:ascii="Arial" w:hAnsi="Arial" w:cs="Arial"/>
                <w:sz w:val="20"/>
                <w:szCs w:val="20"/>
                <w:vertAlign w:val="superscript"/>
              </w:rPr>
              <w:t>bc</w:t>
            </w:r>
          </w:p>
        </w:tc>
        <w:tc>
          <w:tcPr>
            <w:tcW w:w="1189"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68.71</w:t>
            </w:r>
            <w:r w:rsidRPr="00EE755B">
              <w:rPr>
                <w:rFonts w:ascii="Arial" w:hAnsi="Arial" w:cs="Arial"/>
                <w:sz w:val="20"/>
                <w:szCs w:val="20"/>
                <w:vertAlign w:val="superscript"/>
              </w:rPr>
              <w:t>c</w:t>
            </w:r>
          </w:p>
        </w:tc>
      </w:tr>
      <w:tr w:rsidR="00CE60D5" w:rsidRPr="00EE755B" w:rsidTr="00CE60D5">
        <w:trPr>
          <w:cnfStyle w:val="000000100000"/>
        </w:trPr>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CV (%)</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5.139</w:t>
            </w:r>
          </w:p>
        </w:tc>
        <w:tc>
          <w:tcPr>
            <w:tcW w:w="993"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8.556</w:t>
            </w:r>
          </w:p>
        </w:tc>
        <w:tc>
          <w:tcPr>
            <w:tcW w:w="992"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5.6</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7.213</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5.336</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5.840</w:t>
            </w:r>
          </w:p>
        </w:tc>
        <w:tc>
          <w:tcPr>
            <w:tcW w:w="156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5.205</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11.376</w:t>
            </w:r>
          </w:p>
        </w:tc>
        <w:tc>
          <w:tcPr>
            <w:tcW w:w="1701"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8.566</w:t>
            </w:r>
          </w:p>
        </w:tc>
        <w:tc>
          <w:tcPr>
            <w:tcW w:w="1189"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6.313</w:t>
            </w:r>
          </w:p>
        </w:tc>
      </w:tr>
      <w:tr w:rsidR="00CE60D5" w:rsidRPr="00EE755B" w:rsidTr="00CE60D5">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CD</w:t>
            </w: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0.465</w:t>
            </w:r>
          </w:p>
        </w:tc>
        <w:tc>
          <w:tcPr>
            <w:tcW w:w="993"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0.055</w:t>
            </w:r>
          </w:p>
        </w:tc>
        <w:tc>
          <w:tcPr>
            <w:tcW w:w="992"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1.072</w:t>
            </w:r>
          </w:p>
        </w:tc>
        <w:tc>
          <w:tcPr>
            <w:tcW w:w="85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0.150</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36.246</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29.452</w:t>
            </w:r>
          </w:p>
        </w:tc>
        <w:tc>
          <w:tcPr>
            <w:tcW w:w="1560"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0.192</w:t>
            </w:r>
          </w:p>
        </w:tc>
        <w:tc>
          <w:tcPr>
            <w:tcW w:w="1134"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7.809</w:t>
            </w:r>
          </w:p>
        </w:tc>
        <w:tc>
          <w:tcPr>
            <w:tcW w:w="1701"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18.141</w:t>
            </w:r>
          </w:p>
        </w:tc>
        <w:tc>
          <w:tcPr>
            <w:tcW w:w="1189" w:type="dxa"/>
          </w:tcPr>
          <w:p w:rsidR="00CE60D5" w:rsidRPr="00EE755B" w:rsidRDefault="00CE60D5" w:rsidP="00CE60D5">
            <w:pPr>
              <w:jc w:val="center"/>
              <w:cnfStyle w:val="000000000000"/>
              <w:rPr>
                <w:rFonts w:ascii="Arial" w:hAnsi="Arial" w:cs="Arial"/>
                <w:sz w:val="20"/>
                <w:szCs w:val="20"/>
              </w:rPr>
            </w:pPr>
            <w:r w:rsidRPr="00EE755B">
              <w:rPr>
                <w:rFonts w:ascii="Arial" w:hAnsi="Arial" w:cs="Arial"/>
                <w:sz w:val="20"/>
                <w:szCs w:val="20"/>
              </w:rPr>
              <w:t>26.438</w:t>
            </w:r>
          </w:p>
        </w:tc>
      </w:tr>
      <w:tr w:rsidR="00CE60D5" w:rsidRPr="00EE755B" w:rsidTr="00CE60D5">
        <w:trPr>
          <w:cnfStyle w:val="000000100000"/>
        </w:trPr>
        <w:tc>
          <w:tcPr>
            <w:cnfStyle w:val="001000000000"/>
            <w:tcW w:w="1413" w:type="dxa"/>
          </w:tcPr>
          <w:p w:rsidR="00CE60D5" w:rsidRPr="00EE755B" w:rsidRDefault="00CE60D5" w:rsidP="00CE60D5">
            <w:pPr>
              <w:rPr>
                <w:rFonts w:ascii="Arial" w:hAnsi="Arial" w:cs="Arial"/>
                <w:sz w:val="20"/>
                <w:szCs w:val="20"/>
              </w:rPr>
            </w:pPr>
            <w:r w:rsidRPr="00EE755B">
              <w:rPr>
                <w:rFonts w:ascii="Arial" w:hAnsi="Arial" w:cs="Arial"/>
                <w:sz w:val="20"/>
                <w:szCs w:val="20"/>
              </w:rPr>
              <w:t>SE(m)</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0.068</w:t>
            </w:r>
          </w:p>
        </w:tc>
        <w:tc>
          <w:tcPr>
            <w:tcW w:w="993"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0.001</w:t>
            </w:r>
          </w:p>
        </w:tc>
        <w:tc>
          <w:tcPr>
            <w:tcW w:w="992"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0.363</w:t>
            </w:r>
          </w:p>
        </w:tc>
        <w:tc>
          <w:tcPr>
            <w:tcW w:w="85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0.007</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415.121</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274.079</w:t>
            </w:r>
          </w:p>
        </w:tc>
        <w:tc>
          <w:tcPr>
            <w:tcW w:w="1560"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0.012</w:t>
            </w:r>
          </w:p>
        </w:tc>
        <w:tc>
          <w:tcPr>
            <w:tcW w:w="1134"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19.270</w:t>
            </w:r>
          </w:p>
        </w:tc>
        <w:tc>
          <w:tcPr>
            <w:tcW w:w="1701"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103.980</w:t>
            </w:r>
          </w:p>
        </w:tc>
        <w:tc>
          <w:tcPr>
            <w:tcW w:w="1189" w:type="dxa"/>
          </w:tcPr>
          <w:p w:rsidR="00CE60D5" w:rsidRPr="00EE755B" w:rsidRDefault="00CE60D5" w:rsidP="00CE60D5">
            <w:pPr>
              <w:jc w:val="center"/>
              <w:cnfStyle w:val="000000100000"/>
              <w:rPr>
                <w:rFonts w:ascii="Arial" w:hAnsi="Arial" w:cs="Arial"/>
                <w:sz w:val="20"/>
                <w:szCs w:val="20"/>
              </w:rPr>
            </w:pPr>
            <w:r w:rsidRPr="00EE755B">
              <w:rPr>
                <w:rFonts w:ascii="Arial" w:hAnsi="Arial" w:cs="Arial"/>
                <w:sz w:val="20"/>
                <w:szCs w:val="20"/>
              </w:rPr>
              <w:t>220.864</w:t>
            </w:r>
          </w:p>
        </w:tc>
      </w:tr>
    </w:tbl>
    <w:p w:rsidR="00CD708F" w:rsidRDefault="003826C6" w:rsidP="00674962">
      <w:pPr>
        <w:jc w:val="both"/>
        <w:rPr>
          <w:rFonts w:ascii="Arial" w:hAnsi="Arial" w:cs="Arial"/>
          <w:b/>
          <w:sz w:val="20"/>
          <w:szCs w:val="20"/>
        </w:rPr>
        <w:sectPr w:rsidR="00CD708F" w:rsidSect="00CD708F">
          <w:pgSz w:w="15840" w:h="12240" w:orient="landscape"/>
          <w:pgMar w:top="1440" w:right="1440" w:bottom="1440" w:left="1440" w:header="720" w:footer="720" w:gutter="0"/>
          <w:cols w:space="720"/>
          <w:docGrid w:linePitch="360"/>
        </w:sectPr>
      </w:pPr>
      <w:r w:rsidRPr="003826C6">
        <w:rPr>
          <w:rFonts w:ascii="Arial" w:hAnsi="Arial" w:cs="Arial"/>
          <w:b/>
          <w:bCs/>
          <w:noProof/>
          <w:sz w:val="24"/>
          <w:szCs w:val="24"/>
        </w:rPr>
        <w:pict>
          <v:shapetype id="_x0000_t202" coordsize="21600,21600" o:spt="202" path="m,l,21600r21600,l21600,xe">
            <v:stroke joinstyle="miter"/>
            <v:path gradientshapeok="t" o:connecttype="rect"/>
          </v:shapetype>
          <v:shape id="Text Box 2" o:spid="_x0000_s1027" type="#_x0000_t202" style="position:absolute;left:0;text-align:left;margin-left:.6pt;margin-top:0;width:612.6pt;height:28.8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" stroked="f">
            <v:textbox>
              <w:txbxContent>
                <w:p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CD708F">
                    <w:rPr>
                      <w:rFonts w:ascii="Arial" w:hAnsi="Arial" w:cs="Arial"/>
                      <w:b/>
                      <w:sz w:val="20"/>
                      <w:szCs w:val="24"/>
                    </w:rPr>
                    <w:t xml:space="preserve">Effect of shade levels </w:t>
                  </w:r>
                  <w:r>
                    <w:rPr>
                      <w:rFonts w:ascii="Arial" w:hAnsi="Arial" w:cs="Arial"/>
                      <w:b/>
                      <w:sz w:val="20"/>
                      <w:szCs w:val="24"/>
                    </w:rPr>
                    <w:t>and mulch conditions on soil properties</w:t>
                  </w:r>
                  <w:r w:rsidR="00362C0B">
                    <w:rPr>
                      <w:rFonts w:ascii="Arial" w:hAnsi="Arial" w:cs="Arial"/>
                      <w:b/>
                      <w:sz w:val="20"/>
                      <w:szCs w:val="24"/>
                    </w:rPr>
                    <w:t xml:space="preserve"> </w:t>
                  </w:r>
                  <w:r w:rsidR="00362C0B" w:rsidRPr="00362C0B">
                    <w:rPr>
                      <w:rFonts w:ascii="Arial" w:hAnsi="Arial" w:cs="Arial"/>
                      <w:b/>
                      <w:color w:val="FF0000"/>
                      <w:sz w:val="20"/>
                      <w:szCs w:val="24"/>
                    </w:rPr>
                    <w:t>under</w:t>
                  </w:r>
                  <w:r>
                    <w:rPr>
                      <w:rFonts w:ascii="Arial" w:hAnsi="Arial" w:cs="Arial"/>
                      <w:b/>
                      <w:sz w:val="20"/>
                      <w:szCs w:val="24"/>
                    </w:rPr>
                    <w:t xml:space="preserve"> </w:t>
                  </w:r>
                  <w:r w:rsidR="00CE60D5" w:rsidRPr="00362C0B">
                    <w:rPr>
                      <w:rFonts w:ascii="Arial" w:hAnsi="Arial" w:cs="Arial"/>
                      <w:b/>
                      <w:strike/>
                      <w:color w:val="FF0000"/>
                      <w:sz w:val="20"/>
                      <w:szCs w:val="24"/>
                    </w:rPr>
                    <w:t>of</w:t>
                  </w:r>
                  <w:r w:rsidR="00CE60D5" w:rsidRPr="00CD708F">
                    <w:rPr>
                      <w:rFonts w:ascii="Arial" w:hAnsi="Arial" w:cs="Arial"/>
                      <w:b/>
                      <w:sz w:val="20"/>
                      <w:szCs w:val="24"/>
                    </w:rPr>
                    <w:t xml:space="preserve"> medicinal coleus (</w:t>
                  </w:r>
                  <w:r w:rsidR="00CE60D5" w:rsidRPr="00CD708F">
                    <w:rPr>
                      <w:rFonts w:ascii="Arial" w:hAnsi="Arial" w:cs="Arial"/>
                      <w:b/>
                      <w:i/>
                      <w:sz w:val="20"/>
                      <w:szCs w:val="24"/>
                    </w:rPr>
                    <w:t>Coleus forskohlii</w:t>
                  </w:r>
                  <w:r w:rsidR="00CE60D5" w:rsidRPr="00CD708F">
                    <w:rPr>
                      <w:rFonts w:ascii="Arial" w:hAnsi="Arial" w:cs="Arial"/>
                      <w:b/>
                      <w:sz w:val="20"/>
                      <w:szCs w:val="24"/>
                    </w:rPr>
                    <w:t>Briq.)</w:t>
                  </w:r>
                </w:p>
                <w:p w:rsidR="00EE755B" w:rsidRPr="00CE60D5" w:rsidRDefault="00EE755B"/>
              </w:txbxContent>
            </v:textbox>
            <w10:wrap type="square"/>
          </v:shape>
        </w:pict>
      </w:r>
    </w:p>
    <w:p w:rsidR="00CD708F" w:rsidRDefault="00CD708F" w:rsidP="00674962">
      <w:pPr>
        <w:jc w:val="both"/>
        <w:rPr>
          <w:rFonts w:ascii="Arial" w:hAnsi="Arial" w:cs="Arial"/>
          <w:b/>
          <w:sz w:val="20"/>
          <w:szCs w:val="20"/>
        </w:rPr>
      </w:pPr>
    </w:p>
    <w:p w:rsidR="00FE5F74" w:rsidRPr="00466FCA" w:rsidRDefault="00CD708F" w:rsidP="00674962">
      <w:pPr>
        <w:jc w:val="both"/>
        <w:rPr>
          <w:rFonts w:ascii="Arial" w:hAnsi="Arial" w:cs="Arial"/>
          <w:b/>
          <w:sz w:val="20"/>
          <w:szCs w:val="20"/>
        </w:rPr>
      </w:pPr>
      <w:r>
        <w:rPr>
          <w:rFonts w:ascii="Arial" w:hAnsi="Arial" w:cs="Arial"/>
          <w:b/>
          <w:sz w:val="20"/>
          <w:szCs w:val="20"/>
        </w:rPr>
        <w:t>Table 3</w:t>
      </w:r>
      <w:r w:rsidR="00466FCA" w:rsidRPr="00466FCA">
        <w:rPr>
          <w:rFonts w:ascii="Arial" w:hAnsi="Arial" w:cs="Arial"/>
          <w:b/>
          <w:sz w:val="20"/>
          <w:szCs w:val="20"/>
        </w:rPr>
        <w:t xml:space="preserve">. </w:t>
      </w:r>
      <w:r w:rsidR="00FE5F74" w:rsidRPr="00466FCA">
        <w:rPr>
          <w:rFonts w:ascii="Arial" w:hAnsi="Arial" w:cs="Arial"/>
          <w:b/>
          <w:sz w:val="20"/>
          <w:szCs w:val="20"/>
        </w:rPr>
        <w:t>Influence of soil parameters on plant growth and yield</w:t>
      </w:r>
    </w:p>
    <w:tbl>
      <w:tblPr>
        <w:tblStyle w:val="PlainTable2"/>
        <w:tblW w:w="0" w:type="auto"/>
        <w:tblLook w:val="04A0"/>
      </w:tblPr>
      <w:tblGrid>
        <w:gridCol w:w="3006"/>
        <w:gridCol w:w="3369"/>
        <w:gridCol w:w="2346"/>
      </w:tblGrid>
      <w:tr w:rsidR="00FE5F74" w:rsidRPr="00466FCA" w:rsidTr="00EE755B">
        <w:trPr>
          <w:cnfStyle w:val="100000000000"/>
        </w:trPr>
        <w:tc>
          <w:tcPr>
            <w:cnfStyle w:val="001000000000"/>
            <w:tcW w:w="2949" w:type="dxa"/>
          </w:tcPr>
          <w:p w:rsidR="00FE5F74" w:rsidRPr="00466FCA" w:rsidRDefault="00FE5F74" w:rsidP="00FE5F74">
            <w:pPr>
              <w:jc w:val="both"/>
              <w:rPr>
                <w:rFonts w:ascii="Arial" w:hAnsi="Arial" w:cs="Arial"/>
                <w:b w:val="0"/>
                <w:sz w:val="20"/>
                <w:szCs w:val="20"/>
              </w:rPr>
            </w:pPr>
            <w:r w:rsidRPr="00466FCA">
              <w:rPr>
                <w:rFonts w:ascii="Arial" w:hAnsi="Arial" w:cs="Arial"/>
                <w:sz w:val="20"/>
                <w:szCs w:val="20"/>
              </w:rPr>
              <w:t>Soil Parameter</w:t>
            </w:r>
            <w:r w:rsidRPr="00466FCA">
              <w:rPr>
                <w:rFonts w:ascii="Arial" w:hAnsi="Arial" w:cs="Arial"/>
                <w:sz w:val="20"/>
                <w:szCs w:val="20"/>
              </w:rPr>
              <w:tab/>
            </w:r>
            <w:r w:rsidRPr="00466FCA">
              <w:rPr>
                <w:rFonts w:ascii="Arial" w:hAnsi="Arial" w:cs="Arial"/>
                <w:sz w:val="20"/>
                <w:szCs w:val="20"/>
              </w:rPr>
              <w:tab/>
            </w:r>
          </w:p>
        </w:tc>
        <w:tc>
          <w:tcPr>
            <w:tcW w:w="3369" w:type="dxa"/>
          </w:tcPr>
          <w:p w:rsidR="00FE5F74" w:rsidRPr="00466FCA" w:rsidRDefault="00FE5F74" w:rsidP="00674962">
            <w:pPr>
              <w:jc w:val="both"/>
              <w:cnfStyle w:val="100000000000"/>
              <w:rPr>
                <w:rFonts w:ascii="Arial" w:hAnsi="Arial" w:cs="Arial"/>
                <w:b w:val="0"/>
                <w:sz w:val="20"/>
                <w:szCs w:val="20"/>
              </w:rPr>
            </w:pPr>
            <w:r w:rsidRPr="00466FCA">
              <w:rPr>
                <w:rFonts w:ascii="Arial" w:hAnsi="Arial" w:cs="Arial"/>
                <w:sz w:val="20"/>
                <w:szCs w:val="20"/>
              </w:rPr>
              <w:t>Influence on Growth Parameter</w:t>
            </w:r>
          </w:p>
        </w:tc>
        <w:tc>
          <w:tcPr>
            <w:tcW w:w="2346" w:type="dxa"/>
          </w:tcPr>
          <w:p w:rsidR="00FE5F74" w:rsidRPr="00466FCA" w:rsidRDefault="00FE5F74" w:rsidP="00674962">
            <w:pPr>
              <w:jc w:val="both"/>
              <w:cnfStyle w:val="100000000000"/>
              <w:rPr>
                <w:rFonts w:ascii="Arial" w:hAnsi="Arial" w:cs="Arial"/>
                <w:b w:val="0"/>
                <w:sz w:val="20"/>
                <w:szCs w:val="20"/>
              </w:rPr>
            </w:pPr>
            <w:r w:rsidRPr="00466FCA">
              <w:rPr>
                <w:rFonts w:ascii="Arial" w:hAnsi="Arial" w:cs="Arial"/>
                <w:sz w:val="20"/>
                <w:szCs w:val="20"/>
              </w:rPr>
              <w:t>Type of Relationship</w:t>
            </w:r>
          </w:p>
        </w:tc>
      </w:tr>
      <w:tr w:rsidR="00FE5F74" w:rsidRPr="007A0B95" w:rsidTr="00EE755B">
        <w:trPr>
          <w:cnfStyle w:val="000000100000"/>
        </w:trPr>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Soil moisture content</w:t>
            </w:r>
          </w:p>
        </w:tc>
        <w:tc>
          <w:tcPr>
            <w:tcW w:w="3369" w:type="dxa"/>
          </w:tcPr>
          <w:p w:rsidR="00FE5F74" w:rsidRPr="00466FCA" w:rsidRDefault="00845AF7" w:rsidP="00FE5F74">
            <w:pPr>
              <w:jc w:val="both"/>
              <w:cnfStyle w:val="000000100000"/>
              <w:rPr>
                <w:rFonts w:ascii="Arial" w:hAnsi="Arial" w:cs="Arial"/>
                <w:sz w:val="20"/>
                <w:szCs w:val="20"/>
              </w:rPr>
            </w:pPr>
            <w:r w:rsidRPr="00466FCA">
              <w:rPr>
                <w:rFonts w:ascii="Arial" w:hAnsi="Arial" w:cs="Arial"/>
                <w:sz w:val="20"/>
                <w:szCs w:val="20"/>
              </w:rPr>
              <w:t>Increased plant height and root growth</w:t>
            </w:r>
          </w:p>
        </w:tc>
        <w:tc>
          <w:tcPr>
            <w:tcW w:w="2346" w:type="dxa"/>
          </w:tcPr>
          <w:p w:rsidR="00FE5F74" w:rsidRPr="00466FCA" w:rsidRDefault="00FE5F74" w:rsidP="00674962">
            <w:pPr>
              <w:jc w:val="both"/>
              <w:cnfStyle w:val="000000100000"/>
              <w:rPr>
                <w:rFonts w:ascii="Arial" w:hAnsi="Arial" w:cs="Arial"/>
                <w:sz w:val="20"/>
                <w:szCs w:val="20"/>
              </w:rPr>
            </w:pPr>
            <w:r w:rsidRPr="00466FCA">
              <w:rPr>
                <w:rFonts w:ascii="Arial" w:hAnsi="Arial" w:cs="Arial"/>
                <w:sz w:val="20"/>
                <w:szCs w:val="20"/>
              </w:rPr>
              <w:t>Positive</w:t>
            </w:r>
          </w:p>
        </w:tc>
      </w:tr>
      <w:tr w:rsidR="00FE5F74" w:rsidRPr="007A0B95" w:rsidTr="00EE755B">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Organic carbon (OC%)</w:t>
            </w:r>
            <w:r w:rsidRPr="00466FCA">
              <w:rPr>
                <w:rFonts w:ascii="Arial" w:hAnsi="Arial" w:cs="Arial"/>
                <w:sz w:val="20"/>
                <w:szCs w:val="20"/>
              </w:rPr>
              <w:tab/>
            </w:r>
            <w:r w:rsidRPr="00466FCA">
              <w:rPr>
                <w:rFonts w:ascii="Arial" w:hAnsi="Arial" w:cs="Arial"/>
                <w:sz w:val="20"/>
                <w:szCs w:val="20"/>
              </w:rPr>
              <w:tab/>
            </w:r>
          </w:p>
        </w:tc>
        <w:tc>
          <w:tcPr>
            <w:tcW w:w="3369" w:type="dxa"/>
          </w:tcPr>
          <w:p w:rsidR="00FE5F74" w:rsidRPr="00466FCA" w:rsidRDefault="00845AF7" w:rsidP="00674962">
            <w:pPr>
              <w:jc w:val="both"/>
              <w:cnfStyle w:val="000000000000"/>
              <w:rPr>
                <w:rFonts w:ascii="Arial" w:hAnsi="Arial" w:cs="Arial"/>
                <w:sz w:val="20"/>
                <w:szCs w:val="20"/>
              </w:rPr>
            </w:pPr>
            <w:r w:rsidRPr="00466FCA">
              <w:rPr>
                <w:rFonts w:ascii="Arial" w:hAnsi="Arial" w:cs="Arial"/>
                <w:sz w:val="20"/>
                <w:szCs w:val="20"/>
              </w:rPr>
              <w:t>Enhanced nutrient availability and root yield (under moderate shade)</w:t>
            </w:r>
          </w:p>
        </w:tc>
        <w:tc>
          <w:tcPr>
            <w:tcW w:w="2346" w:type="dxa"/>
          </w:tcPr>
          <w:p w:rsidR="00FE5F74" w:rsidRPr="00466FCA" w:rsidRDefault="00FE5F74" w:rsidP="00845AF7">
            <w:pPr>
              <w:jc w:val="both"/>
              <w:cnfStyle w:val="000000000000"/>
              <w:rPr>
                <w:rFonts w:ascii="Arial" w:hAnsi="Arial" w:cs="Arial"/>
                <w:sz w:val="20"/>
                <w:szCs w:val="20"/>
              </w:rPr>
            </w:pPr>
            <w:r w:rsidRPr="00466FCA">
              <w:rPr>
                <w:rFonts w:ascii="Arial" w:hAnsi="Arial" w:cs="Arial"/>
                <w:sz w:val="20"/>
                <w:szCs w:val="20"/>
              </w:rPr>
              <w:t xml:space="preserve">Positive </w:t>
            </w:r>
          </w:p>
        </w:tc>
      </w:tr>
      <w:tr w:rsidR="00FE5F74" w:rsidRPr="007A0B95" w:rsidTr="00EE755B">
        <w:trPr>
          <w:cnfStyle w:val="000000100000"/>
        </w:trPr>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 xml:space="preserve">Microbial biomass carbon </w:t>
            </w:r>
          </w:p>
        </w:tc>
        <w:tc>
          <w:tcPr>
            <w:tcW w:w="3369" w:type="dxa"/>
          </w:tcPr>
          <w:p w:rsidR="00FE5F74" w:rsidRPr="00466FCA" w:rsidRDefault="00845AF7" w:rsidP="00674962">
            <w:pPr>
              <w:jc w:val="both"/>
              <w:cnfStyle w:val="000000100000"/>
              <w:rPr>
                <w:rFonts w:ascii="Arial" w:hAnsi="Arial" w:cs="Arial"/>
                <w:sz w:val="20"/>
                <w:szCs w:val="20"/>
              </w:rPr>
            </w:pPr>
            <w:r w:rsidRPr="00466FCA">
              <w:rPr>
                <w:rFonts w:ascii="Arial" w:hAnsi="Arial" w:cs="Arial"/>
                <w:sz w:val="20"/>
                <w:szCs w:val="20"/>
              </w:rPr>
              <w:t>Improved soil fertility and enzyme activity, indirectly enhancing yield</w:t>
            </w:r>
          </w:p>
        </w:tc>
        <w:tc>
          <w:tcPr>
            <w:tcW w:w="2346" w:type="dxa"/>
          </w:tcPr>
          <w:p w:rsidR="00FE5F74" w:rsidRPr="00466FCA" w:rsidRDefault="00FE5F74" w:rsidP="00674962">
            <w:pPr>
              <w:jc w:val="both"/>
              <w:cnfStyle w:val="000000100000"/>
              <w:rPr>
                <w:rFonts w:ascii="Arial" w:hAnsi="Arial" w:cs="Arial"/>
                <w:sz w:val="20"/>
                <w:szCs w:val="20"/>
              </w:rPr>
            </w:pPr>
            <w:r w:rsidRPr="00466FCA">
              <w:rPr>
                <w:rFonts w:ascii="Arial" w:hAnsi="Arial" w:cs="Arial"/>
                <w:sz w:val="20"/>
                <w:szCs w:val="20"/>
              </w:rPr>
              <w:t>Indirect positive</w:t>
            </w:r>
          </w:p>
        </w:tc>
      </w:tr>
      <w:tr w:rsidR="00FE5F74" w:rsidRPr="007A0B95" w:rsidTr="00EE755B">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Dehydrogenase/phosphatase</w:t>
            </w:r>
            <w:r w:rsidRPr="00466FCA">
              <w:rPr>
                <w:rFonts w:ascii="Arial" w:hAnsi="Arial" w:cs="Arial"/>
                <w:sz w:val="20"/>
                <w:szCs w:val="20"/>
              </w:rPr>
              <w:tab/>
            </w:r>
            <w:r w:rsidRPr="00466FCA">
              <w:rPr>
                <w:rFonts w:ascii="Arial" w:hAnsi="Arial" w:cs="Arial"/>
                <w:sz w:val="20"/>
                <w:szCs w:val="20"/>
              </w:rPr>
              <w:tab/>
            </w:r>
          </w:p>
        </w:tc>
        <w:tc>
          <w:tcPr>
            <w:tcW w:w="3369" w:type="dxa"/>
          </w:tcPr>
          <w:p w:rsidR="00FE5F74" w:rsidRPr="00466FCA" w:rsidRDefault="00845AF7" w:rsidP="00674962">
            <w:pPr>
              <w:jc w:val="both"/>
              <w:cnfStyle w:val="000000000000"/>
              <w:rPr>
                <w:rFonts w:ascii="Arial" w:hAnsi="Arial" w:cs="Arial"/>
                <w:sz w:val="20"/>
                <w:szCs w:val="20"/>
              </w:rPr>
            </w:pPr>
            <w:r w:rsidRPr="00466FCA">
              <w:rPr>
                <w:rFonts w:ascii="Arial" w:hAnsi="Arial" w:cs="Arial"/>
                <w:sz w:val="20"/>
                <w:szCs w:val="20"/>
              </w:rPr>
              <w:t>Boosted nutrient cycling and plant performance</w:t>
            </w:r>
          </w:p>
        </w:tc>
        <w:tc>
          <w:tcPr>
            <w:tcW w:w="2346" w:type="dxa"/>
          </w:tcPr>
          <w:p w:rsidR="00FE5F74" w:rsidRPr="00466FCA" w:rsidRDefault="00FE5F74" w:rsidP="00674962">
            <w:pPr>
              <w:jc w:val="both"/>
              <w:cnfStyle w:val="000000000000"/>
              <w:rPr>
                <w:rFonts w:ascii="Arial" w:hAnsi="Arial" w:cs="Arial"/>
                <w:sz w:val="20"/>
                <w:szCs w:val="20"/>
              </w:rPr>
            </w:pPr>
            <w:r w:rsidRPr="00466FCA">
              <w:rPr>
                <w:rFonts w:ascii="Arial" w:hAnsi="Arial" w:cs="Arial"/>
                <w:sz w:val="20"/>
                <w:szCs w:val="20"/>
              </w:rPr>
              <w:t>Indirect positive</w:t>
            </w:r>
          </w:p>
        </w:tc>
      </w:tr>
      <w:tr w:rsidR="00FE5F74" w:rsidRPr="007A0B95" w:rsidTr="00EE755B">
        <w:trPr>
          <w:cnfStyle w:val="000000100000"/>
        </w:trPr>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Electrical conductivity (EC)</w:t>
            </w:r>
            <w:r w:rsidRPr="00466FCA">
              <w:rPr>
                <w:rFonts w:ascii="Arial" w:hAnsi="Arial" w:cs="Arial"/>
                <w:sz w:val="20"/>
                <w:szCs w:val="20"/>
              </w:rPr>
              <w:tab/>
            </w:r>
            <w:r w:rsidRPr="00466FCA">
              <w:rPr>
                <w:rFonts w:ascii="Arial" w:hAnsi="Arial" w:cs="Arial"/>
                <w:sz w:val="20"/>
                <w:szCs w:val="20"/>
              </w:rPr>
              <w:tab/>
            </w:r>
          </w:p>
        </w:tc>
        <w:tc>
          <w:tcPr>
            <w:tcW w:w="3369" w:type="dxa"/>
          </w:tcPr>
          <w:p w:rsidR="00FE5F74" w:rsidRPr="00466FCA" w:rsidRDefault="00845AF7" w:rsidP="00674962">
            <w:pPr>
              <w:jc w:val="both"/>
              <w:cnfStyle w:val="000000100000"/>
              <w:rPr>
                <w:rFonts w:ascii="Arial" w:hAnsi="Arial" w:cs="Arial"/>
                <w:sz w:val="20"/>
                <w:szCs w:val="20"/>
              </w:rPr>
            </w:pPr>
            <w:r w:rsidRPr="00466FCA">
              <w:rPr>
                <w:rFonts w:ascii="Arial" w:hAnsi="Arial" w:cs="Arial"/>
                <w:sz w:val="20"/>
                <w:szCs w:val="20"/>
              </w:rPr>
              <w:t>High EC reduced nutrient uptake and yield</w:t>
            </w:r>
          </w:p>
        </w:tc>
        <w:tc>
          <w:tcPr>
            <w:tcW w:w="2346" w:type="dxa"/>
          </w:tcPr>
          <w:p w:rsidR="00FE5F74" w:rsidRPr="00466FCA" w:rsidRDefault="00FE5F74" w:rsidP="00674962">
            <w:pPr>
              <w:jc w:val="both"/>
              <w:cnfStyle w:val="000000100000"/>
              <w:rPr>
                <w:rFonts w:ascii="Arial" w:hAnsi="Arial" w:cs="Arial"/>
                <w:sz w:val="20"/>
                <w:szCs w:val="20"/>
              </w:rPr>
            </w:pPr>
            <w:r w:rsidRPr="00466FCA">
              <w:rPr>
                <w:rFonts w:ascii="Arial" w:hAnsi="Arial" w:cs="Arial"/>
                <w:sz w:val="20"/>
                <w:szCs w:val="20"/>
              </w:rPr>
              <w:t>Negative</w:t>
            </w:r>
          </w:p>
        </w:tc>
      </w:tr>
      <w:tr w:rsidR="00FE5F74" w:rsidRPr="007A0B95" w:rsidTr="00EE755B">
        <w:tc>
          <w:tcPr>
            <w:cnfStyle w:val="001000000000"/>
            <w:tcW w:w="2949" w:type="dxa"/>
          </w:tcPr>
          <w:p w:rsidR="00FE5F74" w:rsidRPr="00466FCA" w:rsidRDefault="00FE5F74" w:rsidP="00FE5F74">
            <w:pPr>
              <w:jc w:val="both"/>
              <w:rPr>
                <w:rFonts w:ascii="Arial" w:hAnsi="Arial" w:cs="Arial"/>
                <w:sz w:val="20"/>
                <w:szCs w:val="20"/>
              </w:rPr>
            </w:pPr>
            <w:r w:rsidRPr="00466FCA">
              <w:rPr>
                <w:rFonts w:ascii="Arial" w:hAnsi="Arial" w:cs="Arial"/>
                <w:sz w:val="20"/>
                <w:szCs w:val="20"/>
              </w:rPr>
              <w:t>Soil pH</w:t>
            </w:r>
            <w:r w:rsidRPr="00466FCA">
              <w:rPr>
                <w:rFonts w:ascii="Arial" w:hAnsi="Arial" w:cs="Arial"/>
                <w:sz w:val="20"/>
                <w:szCs w:val="20"/>
              </w:rPr>
              <w:tab/>
            </w:r>
            <w:r w:rsidRPr="00466FCA">
              <w:rPr>
                <w:rFonts w:ascii="Arial" w:hAnsi="Arial" w:cs="Arial"/>
                <w:sz w:val="20"/>
                <w:szCs w:val="20"/>
              </w:rPr>
              <w:tab/>
            </w:r>
          </w:p>
        </w:tc>
        <w:tc>
          <w:tcPr>
            <w:tcW w:w="3369" w:type="dxa"/>
          </w:tcPr>
          <w:p w:rsidR="00FE5F74" w:rsidRPr="00466FCA" w:rsidRDefault="00845AF7" w:rsidP="00674962">
            <w:pPr>
              <w:jc w:val="both"/>
              <w:cnfStyle w:val="000000000000"/>
              <w:rPr>
                <w:rFonts w:ascii="Arial" w:hAnsi="Arial" w:cs="Arial"/>
                <w:sz w:val="20"/>
                <w:szCs w:val="20"/>
              </w:rPr>
            </w:pPr>
            <w:r w:rsidRPr="00466FCA">
              <w:rPr>
                <w:rFonts w:ascii="Arial" w:hAnsi="Arial" w:cs="Arial"/>
                <w:sz w:val="20"/>
                <w:szCs w:val="20"/>
              </w:rPr>
              <w:t>Optimal pH promoted nutrient availability and root development; extremes were detrimental</w:t>
            </w:r>
          </w:p>
        </w:tc>
        <w:tc>
          <w:tcPr>
            <w:tcW w:w="2346" w:type="dxa"/>
          </w:tcPr>
          <w:p w:rsidR="00FE5F74" w:rsidRPr="00466FCA" w:rsidRDefault="00FE5F74" w:rsidP="00674962">
            <w:pPr>
              <w:jc w:val="both"/>
              <w:cnfStyle w:val="000000000000"/>
              <w:rPr>
                <w:rFonts w:ascii="Arial" w:hAnsi="Arial" w:cs="Arial"/>
                <w:sz w:val="20"/>
                <w:szCs w:val="20"/>
              </w:rPr>
            </w:pPr>
            <w:r w:rsidRPr="00466FCA">
              <w:rPr>
                <w:rFonts w:ascii="Arial" w:hAnsi="Arial" w:cs="Arial"/>
                <w:sz w:val="20"/>
                <w:szCs w:val="20"/>
              </w:rPr>
              <w:t>Curvilinear (too high/low = harmful)</w:t>
            </w:r>
          </w:p>
        </w:tc>
      </w:tr>
    </w:tbl>
    <w:p w:rsidR="00FE5F74" w:rsidRPr="007A0B95" w:rsidRDefault="00FE5F74" w:rsidP="00674962">
      <w:pPr>
        <w:jc w:val="both"/>
        <w:rPr>
          <w:rFonts w:ascii="Arial" w:hAnsi="Arial" w:cs="Arial"/>
          <w:sz w:val="24"/>
          <w:szCs w:val="24"/>
        </w:rPr>
      </w:pPr>
    </w:p>
    <w:p w:rsidR="008917F9" w:rsidRDefault="008917F9" w:rsidP="00674962">
      <w:pPr>
        <w:jc w:val="both"/>
        <w:rPr>
          <w:rFonts w:ascii="Arial" w:hAnsi="Arial" w:cs="Arial"/>
          <w:b/>
          <w:szCs w:val="24"/>
        </w:rPr>
      </w:pPr>
    </w:p>
    <w:p w:rsidR="00027179" w:rsidRDefault="00027179" w:rsidP="00027179">
      <w:pPr>
        <w:jc w:val="both"/>
        <w:rPr>
          <w:rFonts w:ascii="Arial" w:hAnsi="Arial" w:cs="Arial"/>
          <w:b/>
          <w:szCs w:val="24"/>
        </w:rPr>
      </w:pPr>
      <w:bookmarkStart w:id="1" w:name="_GoBack"/>
      <w:bookmarkEnd w:id="1"/>
    </w:p>
    <w:p w:rsidR="00027179" w:rsidRDefault="00027179" w:rsidP="00027179">
      <w:pPr>
        <w:jc w:val="both"/>
        <w:rPr>
          <w:rFonts w:ascii="Arial" w:hAnsi="Arial" w:cs="Arial"/>
          <w:b/>
          <w:szCs w:val="24"/>
        </w:rPr>
        <w:sectPr w:rsidR="00027179" w:rsidSect="001937D0">
          <w:pgSz w:w="12240" w:h="15840"/>
          <w:pgMar w:top="1440" w:right="1440" w:bottom="1440" w:left="1440" w:header="720" w:footer="720" w:gutter="0"/>
          <w:cols w:space="720"/>
          <w:docGrid w:linePitch="360"/>
        </w:sectPr>
      </w:pPr>
    </w:p>
    <w:p w:rsidR="00674962" w:rsidRPr="007A0B95" w:rsidRDefault="00466FCA" w:rsidP="00674962">
      <w:pPr>
        <w:jc w:val="both"/>
        <w:rPr>
          <w:rFonts w:ascii="Arial" w:hAnsi="Arial" w:cs="Arial"/>
          <w:b/>
          <w:sz w:val="24"/>
          <w:szCs w:val="24"/>
        </w:rPr>
      </w:pPr>
      <w:r>
        <w:rPr>
          <w:rFonts w:ascii="Arial" w:hAnsi="Arial" w:cs="Arial"/>
          <w:b/>
          <w:szCs w:val="24"/>
        </w:rPr>
        <w:lastRenderedPageBreak/>
        <w:t xml:space="preserve">4. </w:t>
      </w:r>
      <w:r w:rsidRPr="00466FCA">
        <w:rPr>
          <w:rFonts w:ascii="Arial" w:hAnsi="Arial" w:cs="Arial"/>
          <w:b/>
          <w:szCs w:val="24"/>
        </w:rPr>
        <w:t>CONCLUSION</w:t>
      </w:r>
    </w:p>
    <w:p w:rsidR="00A90B0F" w:rsidRPr="007A0B95" w:rsidRDefault="00E608AD" w:rsidP="003121FF">
      <w:pPr>
        <w:jc w:val="both"/>
        <w:rPr>
          <w:rFonts w:ascii="Arial" w:hAnsi="Arial" w:cs="Arial"/>
          <w:sz w:val="24"/>
          <w:szCs w:val="24"/>
        </w:rPr>
      </w:pPr>
      <w:r w:rsidRPr="00A13C04">
        <w:rPr>
          <w:rFonts w:ascii="Arial" w:hAnsi="Arial" w:cs="Arial"/>
          <w:sz w:val="20"/>
          <w:szCs w:val="20"/>
        </w:rPr>
        <w:t xml:space="preserve">The study underscores the pivotal role of shade management in optimizing both plant performance and soil health in </w:t>
      </w:r>
      <w:r w:rsidRPr="00A13C04">
        <w:rPr>
          <w:rFonts w:ascii="Arial" w:hAnsi="Arial" w:cs="Arial"/>
          <w:i/>
          <w:sz w:val="20"/>
          <w:szCs w:val="20"/>
        </w:rPr>
        <w:t>Coleus forskohlii</w:t>
      </w:r>
      <w:r w:rsidRPr="00A13C04">
        <w:rPr>
          <w:rFonts w:ascii="Arial" w:hAnsi="Arial" w:cs="Arial"/>
          <w:sz w:val="20"/>
          <w:szCs w:val="20"/>
        </w:rPr>
        <w:t xml:space="preserve"> cultivation. Moderate shade (25%) emerged as the ideal condition, striking a balance between vegetative growth and root yield. Simultaneously, the use of polythene mulch enhanced soil moisture retention, organic carbon levels, microbial activity, and enzymatic functions-creating a biologically active and nutritionally rich soil environment. These findings highlight that strategic light modulation, when combined with effective soil conservation practices, can significantly boost productivity while promoting sustainable cultivation. Adopting such integrated agronomic approaches offers a practical pathway for farmers and stakeholders aiming to improve yield quality, conserve resources, and maintain long-term soil vitality</w:t>
      </w:r>
      <w:r w:rsidRPr="007A0B95">
        <w:rPr>
          <w:rFonts w:ascii="Arial" w:hAnsi="Arial" w:cs="Arial"/>
          <w:sz w:val="24"/>
          <w:szCs w:val="24"/>
        </w:rPr>
        <w:t>.</w:t>
      </w:r>
    </w:p>
    <w:p w:rsidR="00D43E09" w:rsidRPr="00C52563" w:rsidRDefault="00C52563" w:rsidP="00D43E09">
      <w:pPr>
        <w:jc w:val="both"/>
        <w:rPr>
          <w:rFonts w:ascii="Arial" w:hAnsi="Arial" w:cs="Arial"/>
          <w:b/>
          <w:szCs w:val="24"/>
        </w:rPr>
      </w:pPr>
      <w:r w:rsidRPr="00C52563">
        <w:rPr>
          <w:rFonts w:ascii="Arial" w:hAnsi="Arial" w:cs="Arial"/>
          <w:b/>
          <w:szCs w:val="24"/>
        </w:rPr>
        <w:t>REFERENCES</w:t>
      </w:r>
    </w:p>
    <w:p w:rsidR="00D43E09" w:rsidRPr="00AC07B4" w:rsidRDefault="00D43E09" w:rsidP="00D43E09">
      <w:pPr>
        <w:jc w:val="both"/>
        <w:rPr>
          <w:rFonts w:ascii="Arial" w:hAnsi="Arial" w:cs="Arial"/>
          <w:sz w:val="20"/>
          <w:szCs w:val="20"/>
        </w:rPr>
      </w:pPr>
      <w:r w:rsidRPr="00AC07B4">
        <w:rPr>
          <w:rFonts w:ascii="Arial" w:hAnsi="Arial" w:cs="Arial"/>
          <w:sz w:val="20"/>
          <w:szCs w:val="20"/>
        </w:rPr>
        <w:t>Jackson, W.A. (1958). Soil Chemical Analysis (2nd ed.). Prentice Hall Inc. New Jersey.</w:t>
      </w:r>
    </w:p>
    <w:p w:rsidR="00D43E09" w:rsidRPr="00AC07B4" w:rsidRDefault="00D43E09" w:rsidP="00D43E09">
      <w:pPr>
        <w:rPr>
          <w:rFonts w:ascii="Arial" w:eastAsia="Times New Roman" w:hAnsi="Arial" w:cs="Arial"/>
          <w:sz w:val="20"/>
          <w:szCs w:val="20"/>
          <w:lang w:val="en-IN" w:eastAsia="en-IN"/>
        </w:rPr>
      </w:pPr>
      <w:r w:rsidRPr="00AC07B4">
        <w:rPr>
          <w:rFonts w:ascii="Arial" w:hAnsi="Arial" w:cs="Arial"/>
          <w:sz w:val="20"/>
          <w:szCs w:val="20"/>
          <w:highlight w:val="yellow"/>
        </w:rPr>
        <w:t>Standards Association of Australia. AS 1289 B1.1-1977. Determination of the Moisture Content of a Soil: Oven Drying Method (standard method</w:t>
      </w:r>
      <w:r w:rsidRPr="00AC07B4">
        <w:rPr>
          <w:rFonts w:ascii="Arial" w:hAnsi="Arial" w:cs="Arial"/>
          <w:sz w:val="20"/>
          <w:szCs w:val="20"/>
        </w:rPr>
        <w:t xml:space="preserve">). </w:t>
      </w:r>
      <w:r w:rsidRPr="00AC07B4">
        <w:rPr>
          <w:rFonts w:ascii="Arial" w:eastAsia="Times New Roman" w:hAnsi="Arial" w:cs="Arial"/>
          <w:sz w:val="20"/>
          <w:szCs w:val="20"/>
          <w:lang w:val="en-IN" w:eastAsia="en-IN"/>
        </w:rPr>
        <w:t>The Association, North Sydney, N.S.W.</w:t>
      </w:r>
    </w:p>
    <w:p w:rsidR="00D43E09" w:rsidRPr="00AC07B4" w:rsidRDefault="00D43E09" w:rsidP="00D43E09">
      <w:pPr>
        <w:jc w:val="both"/>
        <w:rPr>
          <w:rFonts w:ascii="Arial" w:hAnsi="Arial" w:cs="Arial"/>
          <w:sz w:val="20"/>
          <w:szCs w:val="20"/>
        </w:rPr>
      </w:pPr>
      <w:r w:rsidRPr="00AC07B4">
        <w:rPr>
          <w:rFonts w:ascii="Arial" w:hAnsi="Arial" w:cs="Arial"/>
          <w:sz w:val="20"/>
          <w:szCs w:val="20"/>
        </w:rPr>
        <w:t>Bray, R.H., &amp; Kurtz, L.T. (1945). Determination of total, organic, and available forms of phosphorus in soils. Soil Science, 59(1), 39-46.</w:t>
      </w:r>
    </w:p>
    <w:p w:rsidR="00D43E09" w:rsidRPr="00AC07B4" w:rsidRDefault="00D43E09" w:rsidP="00D43E09">
      <w:pPr>
        <w:jc w:val="both"/>
        <w:rPr>
          <w:rFonts w:ascii="Arial" w:hAnsi="Arial" w:cs="Arial"/>
          <w:sz w:val="20"/>
          <w:szCs w:val="20"/>
        </w:rPr>
      </w:pPr>
      <w:r w:rsidRPr="00AC07B4">
        <w:rPr>
          <w:rFonts w:ascii="Arial" w:hAnsi="Arial" w:cs="Arial"/>
          <w:sz w:val="20"/>
          <w:szCs w:val="20"/>
        </w:rPr>
        <w:t>Vance, E.D., Brookes, P.C., &amp; Jenkinson, D.S. (1987). An extraction method for measuring soil microbial biomass C. Soil Biol</w:t>
      </w:r>
      <w:r>
        <w:rPr>
          <w:rFonts w:ascii="Arial" w:hAnsi="Arial" w:cs="Arial"/>
          <w:sz w:val="20"/>
          <w:szCs w:val="20"/>
        </w:rPr>
        <w:t xml:space="preserve">ogy and Biochemistry, 19(6), </w:t>
      </w:r>
      <w:r w:rsidRPr="00AC07B4">
        <w:rPr>
          <w:rFonts w:ascii="Arial" w:hAnsi="Arial" w:cs="Arial"/>
          <w:sz w:val="20"/>
          <w:szCs w:val="20"/>
        </w:rPr>
        <w:t>703-707.</w:t>
      </w:r>
    </w:p>
    <w:p w:rsidR="00D43E09" w:rsidRPr="00AC07B4" w:rsidRDefault="00D43E09" w:rsidP="00D43E09">
      <w:pPr>
        <w:jc w:val="both"/>
        <w:rPr>
          <w:rFonts w:ascii="Arial" w:hAnsi="Arial" w:cs="Arial"/>
          <w:sz w:val="20"/>
          <w:szCs w:val="20"/>
        </w:rPr>
      </w:pPr>
      <w:r w:rsidRPr="00AC07B4">
        <w:rPr>
          <w:rFonts w:ascii="Arial" w:hAnsi="Arial" w:cs="Arial"/>
          <w:sz w:val="20"/>
          <w:szCs w:val="20"/>
        </w:rPr>
        <w:t>Stevenson, I.L. (1959). Dehydrogenase activity in soils. Canadian Journal of Microbiology, 5(2), 229-235.</w:t>
      </w:r>
    </w:p>
    <w:p w:rsidR="00D43E09" w:rsidRPr="00AC07B4" w:rsidRDefault="00D43E09" w:rsidP="00D43E09">
      <w:pPr>
        <w:jc w:val="both"/>
        <w:rPr>
          <w:rFonts w:ascii="Arial" w:hAnsi="Arial" w:cs="Arial"/>
          <w:sz w:val="20"/>
          <w:szCs w:val="20"/>
        </w:rPr>
      </w:pPr>
      <w:r w:rsidRPr="00AC07B4">
        <w:rPr>
          <w:rFonts w:ascii="Arial" w:hAnsi="Arial" w:cs="Arial"/>
          <w:sz w:val="20"/>
          <w:szCs w:val="20"/>
        </w:rPr>
        <w:t>Tabatabai, M.A., &amp;Bremner, J.M., 1969. Use of p-nitrophenyl phosphate for assay of soil phosphatase activity. Soil Biology and Biochemistry, 1(4), 301-307.</w:t>
      </w:r>
    </w:p>
    <w:p w:rsidR="00D43E09" w:rsidRPr="00D43E09" w:rsidRDefault="00D43E09" w:rsidP="00D43E09">
      <w:pPr>
        <w:jc w:val="both"/>
        <w:rPr>
          <w:rFonts w:ascii="Arial" w:hAnsi="Arial" w:cs="Arial"/>
          <w:sz w:val="20"/>
          <w:szCs w:val="20"/>
        </w:rPr>
      </w:pPr>
      <w:r w:rsidRPr="00D43E09">
        <w:rPr>
          <w:rFonts w:ascii="Arial" w:hAnsi="Arial" w:cs="Arial"/>
          <w:sz w:val="20"/>
          <w:szCs w:val="20"/>
        </w:rPr>
        <w:t>Gopinath, P. P., Prasad, R., Joseph, B., and Adarsh, V. S. 2020. GRAPES: General Rshiny Based Analysis Platform Empowered by Statistics. https://www.kaugrapes.com/home. Version 1.0.0. DOI: 10.5281/zenodo.4923220.</w:t>
      </w:r>
    </w:p>
    <w:p w:rsidR="00D43E09" w:rsidRPr="00AC07B4" w:rsidRDefault="00D43E09" w:rsidP="00D43E09">
      <w:pPr>
        <w:jc w:val="both"/>
        <w:rPr>
          <w:rFonts w:ascii="Arial" w:hAnsi="Arial" w:cs="Arial"/>
          <w:sz w:val="20"/>
          <w:szCs w:val="20"/>
        </w:rPr>
      </w:pPr>
      <w:r w:rsidRPr="00D43E09">
        <w:rPr>
          <w:rFonts w:ascii="Arial" w:hAnsi="Arial" w:cs="Arial"/>
          <w:sz w:val="20"/>
          <w:szCs w:val="20"/>
        </w:rPr>
        <w:lastRenderedPageBreak/>
        <w:t>Udadeniya, A.G.S.G., Amadoru, I.J., Abeysinghe, D.C., Gunathilaka, H.A.W.S. and Dharmadasa, R.M. (2016). Effect of different shade levels on vegetative growth of PogostemonheyneanusBenth. (Lamiaceae). Proceedings of 15th Agricultural Research Symposium (2016) 514-518.</w:t>
      </w:r>
    </w:p>
    <w:p w:rsidR="00D43E09" w:rsidRPr="00AC07B4" w:rsidRDefault="00D43E09" w:rsidP="00D43E09">
      <w:pPr>
        <w:jc w:val="both"/>
        <w:rPr>
          <w:rFonts w:ascii="Arial" w:hAnsi="Arial" w:cs="Arial"/>
          <w:sz w:val="20"/>
          <w:szCs w:val="20"/>
        </w:rPr>
      </w:pPr>
      <w:r w:rsidRPr="00AC07B4">
        <w:rPr>
          <w:rFonts w:ascii="Arial" w:hAnsi="Arial" w:cs="Arial"/>
          <w:sz w:val="20"/>
          <w:szCs w:val="20"/>
        </w:rPr>
        <w:t>Labrooy, C.D., Abdullah, T.L., Abdullah, N.A.P. and Stanslas, J. (2016). Optimum shade enhances growth and 5, 7-dimethoxyflavone accumulation in Kaempferiaparviflora Wall. ex Baker cultivars. Scientia Horticulturae, 213, 346-353.</w:t>
      </w:r>
    </w:p>
    <w:p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Sindhu, P.V., &amp;Beena, C. (2022). Effect of growing condition and mulching management for enhancing yield and quality of </w:t>
      </w:r>
      <w:r w:rsidRPr="00AC07B4">
        <w:rPr>
          <w:rFonts w:ascii="Arial" w:hAnsi="Arial" w:cs="Arial"/>
          <w:i/>
          <w:iCs/>
          <w:sz w:val="20"/>
          <w:szCs w:val="20"/>
        </w:rPr>
        <w:t>Plectranthusvettiveroides</w:t>
      </w:r>
      <w:r w:rsidRPr="00AC07B4">
        <w:rPr>
          <w:rFonts w:ascii="Arial" w:hAnsi="Arial" w:cs="Arial"/>
          <w:sz w:val="20"/>
          <w:szCs w:val="20"/>
        </w:rPr>
        <w:t xml:space="preserve"> (KC Jacob) NP Singh and BD Sharma. </w:t>
      </w:r>
      <w:r w:rsidRPr="00AC07B4">
        <w:rPr>
          <w:rFonts w:ascii="Arial" w:hAnsi="Arial" w:cs="Arial"/>
          <w:iCs/>
          <w:sz w:val="20"/>
          <w:szCs w:val="20"/>
        </w:rPr>
        <w:t>Journal of Crop and Weed</w:t>
      </w:r>
      <w:r w:rsidRPr="00AC07B4">
        <w:rPr>
          <w:rFonts w:ascii="Arial" w:hAnsi="Arial" w:cs="Arial"/>
          <w:sz w:val="20"/>
          <w:szCs w:val="20"/>
        </w:rPr>
        <w:t xml:space="preserve"> 18(1), 50-54.</w:t>
      </w:r>
    </w:p>
    <w:p w:rsidR="00D43E09" w:rsidRPr="00AC07B4" w:rsidRDefault="00D43E09" w:rsidP="00D43E09">
      <w:pPr>
        <w:jc w:val="both"/>
        <w:rPr>
          <w:rFonts w:ascii="Arial" w:hAnsi="Arial" w:cs="Arial"/>
          <w:sz w:val="20"/>
          <w:szCs w:val="20"/>
        </w:rPr>
      </w:pPr>
      <w:r w:rsidRPr="00AC07B4">
        <w:rPr>
          <w:rFonts w:ascii="Arial" w:hAnsi="Arial" w:cs="Arial"/>
          <w:sz w:val="20"/>
          <w:szCs w:val="20"/>
        </w:rPr>
        <w:t>Wang, L., Li, X.G., Lv, J., Fu, T., Ma, Q., Song, W., Wang, Y.P., &amp; Li, F.M. (2017). Continuous plastic-film mulching increases soil aggregation but decreases soil pH in semiarid areas of China. Soil and Tillage Research, 167, 46-53.</w:t>
      </w:r>
    </w:p>
    <w:p w:rsidR="00D43E09" w:rsidRPr="00AC07B4" w:rsidRDefault="00D43E09" w:rsidP="00D43E09">
      <w:pPr>
        <w:jc w:val="both"/>
        <w:rPr>
          <w:rFonts w:ascii="Arial" w:hAnsi="Arial" w:cs="Arial"/>
          <w:sz w:val="20"/>
          <w:szCs w:val="20"/>
        </w:rPr>
      </w:pPr>
      <w:r w:rsidRPr="00AC07B4">
        <w:rPr>
          <w:rFonts w:ascii="Arial" w:hAnsi="Arial" w:cs="Arial"/>
          <w:sz w:val="20"/>
          <w:szCs w:val="20"/>
        </w:rPr>
        <w:t>Haque, M.A., Jahiruddin, M. and Clarke, D. (2018). Effect of plastic mulch on crop yield and land degradation in south coastal saline soils of Bangladesh. International Soil and Water Conservation Research, 6(4), 317-324.</w:t>
      </w:r>
    </w:p>
    <w:p w:rsidR="00D43E09" w:rsidRPr="00AC07B4" w:rsidRDefault="00D43E09" w:rsidP="00D43E09">
      <w:pPr>
        <w:jc w:val="both"/>
        <w:rPr>
          <w:rFonts w:ascii="Arial" w:hAnsi="Arial" w:cs="Arial"/>
          <w:sz w:val="20"/>
          <w:szCs w:val="20"/>
        </w:rPr>
      </w:pPr>
      <w:r w:rsidRPr="00AC07B4">
        <w:rPr>
          <w:rFonts w:ascii="Arial" w:hAnsi="Arial" w:cs="Arial"/>
          <w:sz w:val="20"/>
          <w:szCs w:val="20"/>
        </w:rPr>
        <w:t>Ravi, V. and Lourduraj, A.C., 1998. Comparative performance of plastic mulching on soil moisture content, soil temperature and yield of rainfed cotton. Madras Agricultural Journal, 83(1). 709-711.</w:t>
      </w:r>
    </w:p>
    <w:p w:rsidR="00D43E09" w:rsidRPr="00AC07B4" w:rsidRDefault="00D43E09" w:rsidP="00D43E09">
      <w:pPr>
        <w:jc w:val="both"/>
        <w:rPr>
          <w:rFonts w:ascii="Arial" w:hAnsi="Arial" w:cs="Arial"/>
          <w:sz w:val="20"/>
          <w:szCs w:val="20"/>
        </w:rPr>
      </w:pPr>
      <w:r w:rsidRPr="00AC07B4">
        <w:rPr>
          <w:rFonts w:ascii="Arial" w:hAnsi="Arial" w:cs="Arial"/>
          <w:sz w:val="20"/>
          <w:szCs w:val="20"/>
        </w:rPr>
        <w:t>Ren, L., Yang, H., Li, J., Zhang, N., Han, Y., Zou, H. and Zhang, Y., 2025. Organic fertilizer enhances soil aggregate stability by altering greenhouse soil content of iron oxide and organic carbon. Journal of Integrative Agriculture, 24(1), pp.306-321.</w:t>
      </w:r>
    </w:p>
    <w:p w:rsidR="00D43E09" w:rsidRPr="00AC07B4" w:rsidRDefault="00D43E09" w:rsidP="00D43E09">
      <w:pPr>
        <w:jc w:val="both"/>
        <w:rPr>
          <w:rFonts w:ascii="Arial" w:hAnsi="Arial" w:cs="Arial"/>
          <w:sz w:val="20"/>
          <w:szCs w:val="20"/>
        </w:rPr>
      </w:pPr>
      <w:r w:rsidRPr="00AC07B4">
        <w:rPr>
          <w:rFonts w:ascii="Arial" w:hAnsi="Arial" w:cs="Arial"/>
          <w:sz w:val="20"/>
          <w:szCs w:val="20"/>
        </w:rPr>
        <w:t>Wardle, D., 1992. A comparative assessment or factors which influence microbial biomass carbon and nitrogen levels in soil. Biological reviews of the Cambridge Philosophical society Vol. 67, No. 3, 321-358</w:t>
      </w:r>
    </w:p>
    <w:p w:rsidR="00693516" w:rsidRDefault="00D43E09" w:rsidP="003121FF">
      <w:pPr>
        <w:jc w:val="both"/>
        <w:rPr>
          <w:rFonts w:ascii="Arial" w:hAnsi="Arial" w:cs="Arial"/>
          <w:sz w:val="20"/>
          <w:szCs w:val="24"/>
        </w:rPr>
      </w:pPr>
      <w:r w:rsidRPr="00AC07B4">
        <w:rPr>
          <w:rFonts w:ascii="Arial" w:hAnsi="Arial" w:cs="Arial"/>
          <w:sz w:val="20"/>
          <w:szCs w:val="24"/>
        </w:rPr>
        <w:t>Brzezińska, M., Stępniewska, Z. and Stępniewski, W., 1998. Soil oxygen status and dehydrogenase activity. </w:t>
      </w:r>
      <w:r w:rsidRPr="00AC07B4">
        <w:rPr>
          <w:rFonts w:ascii="Arial" w:hAnsi="Arial" w:cs="Arial"/>
          <w:i/>
          <w:iCs/>
          <w:sz w:val="20"/>
          <w:szCs w:val="24"/>
        </w:rPr>
        <w:t>Soil Biology and Biochemistry</w:t>
      </w:r>
      <w:r w:rsidRPr="00AC07B4">
        <w:rPr>
          <w:rFonts w:ascii="Arial" w:hAnsi="Arial" w:cs="Arial"/>
          <w:sz w:val="20"/>
          <w:szCs w:val="24"/>
        </w:rPr>
        <w:t>, </w:t>
      </w:r>
      <w:r w:rsidRPr="00AC07B4">
        <w:rPr>
          <w:rFonts w:ascii="Arial" w:hAnsi="Arial" w:cs="Arial"/>
          <w:i/>
          <w:iCs/>
          <w:sz w:val="20"/>
          <w:szCs w:val="24"/>
        </w:rPr>
        <w:t>30</w:t>
      </w:r>
      <w:r w:rsidRPr="00AC07B4">
        <w:rPr>
          <w:rFonts w:ascii="Arial" w:hAnsi="Arial" w:cs="Arial"/>
          <w:sz w:val="20"/>
          <w:szCs w:val="24"/>
        </w:rPr>
        <w:t>(13), pp.1783-1790.</w:t>
      </w:r>
    </w:p>
    <w:p w:rsidR="00A74535" w:rsidRDefault="00A74535" w:rsidP="003121FF">
      <w:pPr>
        <w:jc w:val="both"/>
        <w:rPr>
          <w:rFonts w:ascii="Arial" w:hAnsi="Arial" w:cs="Arial"/>
          <w:sz w:val="20"/>
          <w:szCs w:val="24"/>
          <w:lang w:val="en-IN"/>
        </w:rPr>
        <w:sectPr w:rsidR="00A74535" w:rsidSect="00A74535">
          <w:type w:val="continuous"/>
          <w:pgSz w:w="12240" w:h="15840"/>
          <w:pgMar w:top="1440" w:right="1440" w:bottom="1440" w:left="1440" w:header="720" w:footer="720" w:gutter="0"/>
          <w:cols w:space="720"/>
          <w:docGrid w:linePitch="360"/>
        </w:sectPr>
      </w:pPr>
    </w:p>
    <w:p w:rsidR="001937D0" w:rsidRPr="001937D0" w:rsidRDefault="001937D0" w:rsidP="003121FF">
      <w:pPr>
        <w:jc w:val="both"/>
        <w:rPr>
          <w:rFonts w:ascii="Arial" w:hAnsi="Arial" w:cs="Arial"/>
          <w:sz w:val="20"/>
          <w:szCs w:val="24"/>
          <w:lang w:val="en-IN"/>
        </w:rPr>
      </w:pPr>
    </w:p>
    <w:p w:rsidR="001937D0" w:rsidRDefault="001937D0" w:rsidP="003121FF">
      <w:pPr>
        <w:jc w:val="both"/>
        <w:rPr>
          <w:rFonts w:ascii="Arial" w:hAnsi="Arial" w:cs="Arial"/>
          <w:sz w:val="20"/>
          <w:szCs w:val="24"/>
        </w:rPr>
      </w:pPr>
    </w:p>
    <w:p w:rsidR="001937D0" w:rsidRPr="001937D0" w:rsidRDefault="001937D0" w:rsidP="001937D0">
      <w:pPr>
        <w:ind w:left="-142"/>
        <w:jc w:val="both"/>
        <w:rPr>
          <w:rFonts w:ascii="Arial" w:hAnsi="Arial" w:cs="Arial"/>
          <w:sz w:val="20"/>
          <w:szCs w:val="24"/>
        </w:rPr>
        <w:sectPr w:rsidR="001937D0" w:rsidRPr="001937D0" w:rsidSect="008917F9">
          <w:type w:val="continuous"/>
          <w:pgSz w:w="12240" w:h="15840"/>
          <w:pgMar w:top="1440" w:right="1440" w:bottom="1440" w:left="1440" w:header="720" w:footer="720" w:gutter="0"/>
          <w:cols w:num="2" w:space="720"/>
          <w:docGrid w:linePitch="360"/>
        </w:sectPr>
      </w:pPr>
    </w:p>
    <w:p w:rsidR="009F2E5A" w:rsidRPr="007A0B95" w:rsidRDefault="009F2E5A" w:rsidP="003121FF">
      <w:pPr>
        <w:jc w:val="both"/>
        <w:rPr>
          <w:rFonts w:ascii="Arial" w:hAnsi="Arial" w:cs="Arial"/>
          <w:sz w:val="24"/>
          <w:szCs w:val="24"/>
        </w:rPr>
        <w:sectPr w:rsidR="009F2E5A" w:rsidRPr="007A0B95" w:rsidSect="00693516">
          <w:pgSz w:w="15840" w:h="12240" w:orient="landscape"/>
          <w:pgMar w:top="1440" w:right="1440" w:bottom="1440" w:left="1440" w:header="720" w:footer="720" w:gutter="0"/>
          <w:cols w:space="720"/>
          <w:docGrid w:linePitch="360"/>
        </w:sectPr>
      </w:pPr>
    </w:p>
    <w:p w:rsidR="009169B2" w:rsidRPr="007A0B95" w:rsidRDefault="009169B2" w:rsidP="001937D0">
      <w:pPr>
        <w:jc w:val="both"/>
        <w:rPr>
          <w:rFonts w:ascii="Arial" w:hAnsi="Arial" w:cs="Arial"/>
          <w:sz w:val="24"/>
          <w:szCs w:val="24"/>
        </w:rPr>
      </w:pPr>
    </w:p>
    <w:sectPr w:rsidR="009169B2" w:rsidRPr="007A0B95" w:rsidSect="009F2E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89B" w:rsidRDefault="0002689B" w:rsidP="00F50869">
      <w:pPr>
        <w:spacing w:after="0" w:line="240" w:lineRule="auto"/>
      </w:pPr>
      <w:r>
        <w:separator/>
      </w:r>
    </w:p>
  </w:endnote>
  <w:endnote w:type="continuationSeparator" w:id="1">
    <w:p w:rsidR="0002689B" w:rsidRDefault="0002689B" w:rsidP="00F5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D17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D17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D17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89B" w:rsidRDefault="0002689B" w:rsidP="00F50869">
      <w:pPr>
        <w:spacing w:after="0" w:line="240" w:lineRule="auto"/>
      </w:pPr>
      <w:r>
        <w:separator/>
      </w:r>
    </w:p>
  </w:footnote>
  <w:footnote w:type="continuationSeparator" w:id="1">
    <w:p w:rsidR="0002689B" w:rsidRDefault="0002689B" w:rsidP="00F50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3826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3826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42" w:rsidRDefault="003826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tDA0NzAyNjA2MjMztDBS0lEKTi0uzszPAykwrAUA+o26AiwAAAA="/>
  </w:docVars>
  <w:rsids>
    <w:rsidRoot w:val="003121FF"/>
    <w:rsid w:val="00007A59"/>
    <w:rsid w:val="0002689B"/>
    <w:rsid w:val="00027179"/>
    <w:rsid w:val="00044758"/>
    <w:rsid w:val="00094125"/>
    <w:rsid w:val="000A60B2"/>
    <w:rsid w:val="000B44FA"/>
    <w:rsid w:val="000E3BC3"/>
    <w:rsid w:val="00152733"/>
    <w:rsid w:val="001737A8"/>
    <w:rsid w:val="001937D0"/>
    <w:rsid w:val="002D1661"/>
    <w:rsid w:val="003121FF"/>
    <w:rsid w:val="00323AA0"/>
    <w:rsid w:val="00346A8B"/>
    <w:rsid w:val="00362C0B"/>
    <w:rsid w:val="00377709"/>
    <w:rsid w:val="003826C6"/>
    <w:rsid w:val="00383F22"/>
    <w:rsid w:val="003C211D"/>
    <w:rsid w:val="00466FCA"/>
    <w:rsid w:val="004945C4"/>
    <w:rsid w:val="004B13A6"/>
    <w:rsid w:val="004E7472"/>
    <w:rsid w:val="005053CC"/>
    <w:rsid w:val="005654F8"/>
    <w:rsid w:val="005D056E"/>
    <w:rsid w:val="005D7A5B"/>
    <w:rsid w:val="005F3882"/>
    <w:rsid w:val="0061071B"/>
    <w:rsid w:val="00626700"/>
    <w:rsid w:val="0063669F"/>
    <w:rsid w:val="0064799C"/>
    <w:rsid w:val="00674962"/>
    <w:rsid w:val="0067640B"/>
    <w:rsid w:val="00690DBD"/>
    <w:rsid w:val="00693516"/>
    <w:rsid w:val="007006A1"/>
    <w:rsid w:val="007207C0"/>
    <w:rsid w:val="00782080"/>
    <w:rsid w:val="007A0B95"/>
    <w:rsid w:val="007F2822"/>
    <w:rsid w:val="00845AF7"/>
    <w:rsid w:val="008917F9"/>
    <w:rsid w:val="00892594"/>
    <w:rsid w:val="008A16F2"/>
    <w:rsid w:val="008D3DCB"/>
    <w:rsid w:val="008E1612"/>
    <w:rsid w:val="009169B2"/>
    <w:rsid w:val="00934394"/>
    <w:rsid w:val="00983C29"/>
    <w:rsid w:val="009E3BBA"/>
    <w:rsid w:val="009F0804"/>
    <w:rsid w:val="009F2E5A"/>
    <w:rsid w:val="00A13C04"/>
    <w:rsid w:val="00A74535"/>
    <w:rsid w:val="00A90B0F"/>
    <w:rsid w:val="00AC07B4"/>
    <w:rsid w:val="00BC0681"/>
    <w:rsid w:val="00C52563"/>
    <w:rsid w:val="00C705DD"/>
    <w:rsid w:val="00C91AE5"/>
    <w:rsid w:val="00CC36C7"/>
    <w:rsid w:val="00CD708F"/>
    <w:rsid w:val="00CE60D5"/>
    <w:rsid w:val="00D17942"/>
    <w:rsid w:val="00D43E09"/>
    <w:rsid w:val="00D6178A"/>
    <w:rsid w:val="00DD623F"/>
    <w:rsid w:val="00E608AD"/>
    <w:rsid w:val="00E65C94"/>
    <w:rsid w:val="00EE755B"/>
    <w:rsid w:val="00F423D4"/>
    <w:rsid w:val="00F50869"/>
    <w:rsid w:val="00F629AD"/>
    <w:rsid w:val="00FE5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7C0"/>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0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69"/>
  </w:style>
  <w:style w:type="paragraph" w:styleId="Footer">
    <w:name w:val="footer"/>
    <w:basedOn w:val="Normal"/>
    <w:link w:val="FooterChar"/>
    <w:uiPriority w:val="99"/>
    <w:unhideWhenUsed/>
    <w:rsid w:val="00F5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869"/>
  </w:style>
  <w:style w:type="table" w:customStyle="1" w:styleId="PlainTable2">
    <w:name w:val="Plain Table 2"/>
    <w:basedOn w:val="TableNormal"/>
    <w:uiPriority w:val="42"/>
    <w:rsid w:val="00EE75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90DB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25899323">
      <w:bodyDiv w:val="1"/>
      <w:marLeft w:val="0"/>
      <w:marRight w:val="0"/>
      <w:marTop w:val="0"/>
      <w:marBottom w:val="0"/>
      <w:divBdr>
        <w:top w:val="none" w:sz="0" w:space="0" w:color="auto"/>
        <w:left w:val="none" w:sz="0" w:space="0" w:color="auto"/>
        <w:bottom w:val="none" w:sz="0" w:space="0" w:color="auto"/>
        <w:right w:val="none" w:sz="0" w:space="0" w:color="auto"/>
      </w:divBdr>
      <w:divsChild>
        <w:div w:id="795609363">
          <w:marLeft w:val="0"/>
          <w:marRight w:val="0"/>
          <w:marTop w:val="0"/>
          <w:marBottom w:val="0"/>
          <w:divBdr>
            <w:top w:val="none" w:sz="0" w:space="0" w:color="auto"/>
            <w:left w:val="none" w:sz="0" w:space="0" w:color="auto"/>
            <w:bottom w:val="none" w:sz="0" w:space="0" w:color="auto"/>
            <w:right w:val="none" w:sz="0" w:space="0" w:color="auto"/>
          </w:divBdr>
          <w:divsChild>
            <w:div w:id="129636972">
              <w:marLeft w:val="0"/>
              <w:marRight w:val="0"/>
              <w:marTop w:val="0"/>
              <w:marBottom w:val="0"/>
              <w:divBdr>
                <w:top w:val="none" w:sz="0" w:space="0" w:color="auto"/>
                <w:left w:val="none" w:sz="0" w:space="0" w:color="auto"/>
                <w:bottom w:val="none" w:sz="0" w:space="0" w:color="auto"/>
                <w:right w:val="none" w:sz="0" w:space="0" w:color="auto"/>
              </w:divBdr>
              <w:divsChild>
                <w:div w:id="144976882">
                  <w:marLeft w:val="0"/>
                  <w:marRight w:val="0"/>
                  <w:marTop w:val="120"/>
                  <w:marBottom w:val="0"/>
                  <w:divBdr>
                    <w:top w:val="none" w:sz="0" w:space="0" w:color="auto"/>
                    <w:left w:val="none" w:sz="0" w:space="0" w:color="auto"/>
                    <w:bottom w:val="none" w:sz="0" w:space="0" w:color="auto"/>
                    <w:right w:val="none" w:sz="0" w:space="0" w:color="auto"/>
                  </w:divBdr>
                  <w:divsChild>
                    <w:div w:id="5869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9</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43</cp:revision>
  <dcterms:created xsi:type="dcterms:W3CDTF">2025-07-28T06:14:00Z</dcterms:created>
  <dcterms:modified xsi:type="dcterms:W3CDTF">2025-08-06T14:16:00Z</dcterms:modified>
</cp:coreProperties>
</file>