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9BDEE">
      <w:pPr>
        <w:spacing w:after="0" w:line="360" w:lineRule="auto"/>
        <w:jc w:val="right"/>
        <w:rPr>
          <w:rFonts w:ascii="Times New Roman" w:hAnsi="Times New Roman"/>
          <w:b/>
          <w:bCs/>
          <w:i/>
          <w:iCs/>
          <w:sz w:val="24"/>
          <w:szCs w:val="24"/>
          <w:u w:val="single"/>
          <w:lang w:val="it-IT"/>
        </w:rPr>
      </w:pPr>
      <w:r>
        <w:rPr>
          <w:rFonts w:ascii="Times New Roman" w:hAnsi="Times New Roman"/>
          <w:b/>
          <w:bCs/>
          <w:i/>
          <w:iCs/>
          <w:sz w:val="24"/>
          <w:szCs w:val="24"/>
          <w:u w:val="single"/>
          <w:lang w:val="it-IT"/>
        </w:rPr>
        <w:t xml:space="preserve">Original </w:t>
      </w:r>
      <w:r>
        <w:rPr>
          <w:rFonts w:ascii="Times New Roman" w:hAnsi="Times New Roman"/>
          <w:b/>
          <w:bCs/>
          <w:i/>
          <w:iCs/>
          <w:sz w:val="24"/>
          <w:szCs w:val="24"/>
          <w:u w:val="single"/>
        </w:rPr>
        <w:t xml:space="preserve">Research </w:t>
      </w:r>
      <w:r>
        <w:rPr>
          <w:rFonts w:ascii="Times New Roman" w:hAnsi="Times New Roman"/>
          <w:b/>
          <w:bCs/>
          <w:i/>
          <w:iCs/>
          <w:sz w:val="24"/>
          <w:szCs w:val="24"/>
          <w:u w:val="single"/>
          <w:lang w:val="it-IT"/>
        </w:rPr>
        <w:t>article</w:t>
      </w:r>
    </w:p>
    <w:p w14:paraId="34DF56EC">
      <w:pPr>
        <w:spacing w:line="360" w:lineRule="auto"/>
        <w:jc w:val="center"/>
        <w:rPr>
          <w:rFonts w:ascii="Times New Roman" w:hAnsi="Times New Roman"/>
          <w:b/>
          <w:bCs/>
          <w:sz w:val="28"/>
          <w:szCs w:val="28"/>
        </w:rPr>
      </w:pPr>
      <w:bookmarkStart w:id="0" w:name="_GoBack"/>
      <w:r>
        <w:rPr>
          <w:rFonts w:ascii="Times New Roman" w:hAnsi="Times New Roman"/>
          <w:b/>
          <w:bCs/>
          <w:sz w:val="28"/>
          <w:szCs w:val="28"/>
        </w:rPr>
        <w:t xml:space="preserve">Molecular Characterization of </w:t>
      </w:r>
      <w:r>
        <w:rPr>
          <w:rFonts w:ascii="Times New Roman" w:hAnsi="Times New Roman"/>
          <w:b/>
          <w:bCs/>
          <w:i/>
          <w:iCs/>
          <w:sz w:val="28"/>
          <w:szCs w:val="28"/>
        </w:rPr>
        <w:t>Melia dubia</w:t>
      </w:r>
      <w:r>
        <w:rPr>
          <w:rFonts w:ascii="Times New Roman" w:hAnsi="Times New Roman"/>
          <w:b/>
          <w:bCs/>
          <w:sz w:val="28"/>
          <w:szCs w:val="28"/>
        </w:rPr>
        <w:t xml:space="preserve"> Cav.: Insights from Natural Populations in South Gujarat</w:t>
      </w:r>
    </w:p>
    <w:bookmarkEnd w:id="0"/>
    <w:p w14:paraId="4B6616B2">
      <w:pPr>
        <w:pStyle w:val="40"/>
        <w:spacing w:line="360" w:lineRule="auto"/>
        <w:jc w:val="both"/>
        <w:rPr>
          <w:rFonts w:ascii="Times New Roman" w:hAnsi="Times New Roman"/>
          <w:b/>
          <w:bCs/>
          <w:sz w:val="24"/>
          <w:szCs w:val="24"/>
        </w:rPr>
      </w:pPr>
    </w:p>
    <w:p w14:paraId="30BA8CAA">
      <w:pPr>
        <w:pStyle w:val="40"/>
        <w:spacing w:line="360" w:lineRule="auto"/>
        <w:jc w:val="both"/>
        <w:rPr>
          <w:rFonts w:ascii="Times New Roman" w:hAnsi="Times New Roman"/>
          <w:b/>
          <w:bCs/>
          <w:sz w:val="24"/>
          <w:szCs w:val="24"/>
        </w:rPr>
      </w:pPr>
    </w:p>
    <w:p w14:paraId="3C2209F1">
      <w:pPr>
        <w:pStyle w:val="40"/>
        <w:spacing w:line="360" w:lineRule="auto"/>
        <w:jc w:val="both"/>
        <w:rPr>
          <w:rFonts w:ascii="Times New Roman" w:hAnsi="Times New Roman"/>
          <w:b/>
          <w:bCs/>
          <w:sz w:val="24"/>
          <w:szCs w:val="24"/>
        </w:rPr>
      </w:pPr>
      <w:r>
        <w:rPr>
          <w:rFonts w:ascii="Times New Roman" w:hAnsi="Times New Roman"/>
          <w:b/>
          <w:bCs/>
          <w:sz w:val="24"/>
          <w:szCs w:val="24"/>
        </w:rPr>
        <w:t>ABSTRACT</w:t>
      </w:r>
    </w:p>
    <w:p w14:paraId="6C0B9CCE">
      <w:pPr>
        <w:spacing w:after="0" w:line="360" w:lineRule="auto"/>
        <w:ind w:firstLine="720"/>
        <w:jc w:val="both"/>
        <w:rPr>
          <w:rFonts w:ascii="Times New Roman" w:hAnsi="Times New Roman"/>
          <w:sz w:val="24"/>
          <w:szCs w:val="24"/>
        </w:rPr>
      </w:pPr>
      <w:r>
        <w:rPr>
          <w:rFonts w:ascii="Times New Roman" w:hAnsi="Times New Roman"/>
          <w:i/>
          <w:iCs/>
          <w:sz w:val="24"/>
          <w:szCs w:val="24"/>
        </w:rPr>
        <w:t>Melia dubia</w:t>
      </w:r>
      <w:r>
        <w:rPr>
          <w:rFonts w:ascii="Times New Roman" w:hAnsi="Times New Roman"/>
          <w:sz w:val="24"/>
          <w:szCs w:val="24"/>
        </w:rPr>
        <w:t xml:space="preserve">, a short rotational agroforestry tree species, has earned wide fame among farmers of India for its apparent monetary benefits. </w:t>
      </w:r>
      <w:r>
        <w:rPr>
          <w:rStyle w:val="43"/>
          <w:rFonts w:ascii="Times New Roman" w:hAnsi="Times New Roman"/>
          <w:sz w:val="24"/>
          <w:szCs w:val="24"/>
        </w:rPr>
        <w:t>To</w:t>
      </w:r>
      <w:r>
        <w:rPr>
          <w:rFonts w:ascii="Times New Roman" w:hAnsi="Times New Roman"/>
          <w:sz w:val="24"/>
          <w:szCs w:val="24"/>
        </w:rPr>
        <w:t xml:space="preserve"> </w:t>
      </w:r>
      <w:r>
        <w:rPr>
          <w:rStyle w:val="43"/>
          <w:rFonts w:ascii="Times New Roman" w:hAnsi="Times New Roman"/>
          <w:sz w:val="24"/>
          <w:szCs w:val="24"/>
        </w:rPr>
        <w:t>gain</w:t>
      </w:r>
      <w:r>
        <w:rPr>
          <w:rFonts w:ascii="Times New Roman" w:hAnsi="Times New Roman"/>
          <w:sz w:val="24"/>
          <w:szCs w:val="24"/>
        </w:rPr>
        <w:t xml:space="preserve"> </w:t>
      </w:r>
      <w:r>
        <w:rPr>
          <w:rStyle w:val="43"/>
          <w:rFonts w:ascii="Times New Roman" w:hAnsi="Times New Roman"/>
          <w:sz w:val="24"/>
          <w:szCs w:val="24"/>
        </w:rPr>
        <w:t>firsthand</w:t>
      </w:r>
      <w:r>
        <w:rPr>
          <w:rFonts w:ascii="Times New Roman" w:hAnsi="Times New Roman"/>
          <w:sz w:val="24"/>
          <w:szCs w:val="24"/>
        </w:rPr>
        <w:t xml:space="preserve"> </w:t>
      </w:r>
      <w:r>
        <w:rPr>
          <w:rStyle w:val="43"/>
          <w:rFonts w:ascii="Times New Roman" w:hAnsi="Times New Roman"/>
          <w:sz w:val="24"/>
          <w:szCs w:val="24"/>
        </w:rPr>
        <w:t>knowledge</w:t>
      </w:r>
      <w:r>
        <w:rPr>
          <w:rFonts w:ascii="Times New Roman" w:hAnsi="Times New Roman"/>
          <w:sz w:val="24"/>
          <w:szCs w:val="24"/>
        </w:rPr>
        <w:t xml:space="preserve"> about population structure and diversity, unexplored naturally occurring four populations of this </w:t>
      </w:r>
      <w:r>
        <w:rPr>
          <w:rStyle w:val="43"/>
          <w:rFonts w:ascii="Times New Roman" w:hAnsi="Times New Roman"/>
          <w:sz w:val="24"/>
          <w:szCs w:val="24"/>
        </w:rPr>
        <w:t>species are being examined</w:t>
      </w:r>
      <w:r>
        <w:rPr>
          <w:rFonts w:ascii="Times New Roman" w:hAnsi="Times New Roman"/>
          <w:sz w:val="24"/>
          <w:szCs w:val="24"/>
        </w:rPr>
        <w:t xml:space="preserve"> in India's northernmost Western Ghats region. Our approach used assessment based on molecular analysis using Random Amplified Polymorphic DNA (RAPD) technique. RAPD profiling suggested moderate gene diversity (PPL= 52.54-59.32 %, H= 0.16-0.21) and genetic differentiation (G</w:t>
      </w:r>
      <w:r>
        <w:rPr>
          <w:rFonts w:ascii="Times New Roman" w:hAnsi="Times New Roman"/>
          <w:sz w:val="24"/>
          <w:szCs w:val="24"/>
          <w:vertAlign w:val="subscript"/>
        </w:rPr>
        <w:t>ST</w:t>
      </w:r>
      <w:r>
        <w:rPr>
          <w:rFonts w:ascii="Times New Roman" w:hAnsi="Times New Roman"/>
          <w:sz w:val="24"/>
          <w:szCs w:val="24"/>
        </w:rPr>
        <w:t>=0.11) but high gene flow (N</w:t>
      </w:r>
      <w:r>
        <w:rPr>
          <w:rFonts w:ascii="Times New Roman" w:hAnsi="Times New Roman"/>
          <w:i/>
          <w:iCs/>
          <w:sz w:val="24"/>
          <w:szCs w:val="24"/>
        </w:rPr>
        <w:t>m</w:t>
      </w:r>
      <w:r>
        <w:rPr>
          <w:rFonts w:ascii="Times New Roman" w:hAnsi="Times New Roman"/>
          <w:sz w:val="24"/>
          <w:szCs w:val="24"/>
        </w:rPr>
        <w:t xml:space="preserve">=4.22) among populations. Most genetic differentiation (96%) was ascribed within-population. The close </w:t>
      </w:r>
      <w:r>
        <w:commentReference w:id="0"/>
      </w:r>
      <w:r>
        <w:rPr>
          <w:rFonts w:ascii="Times New Roman" w:hAnsi="Times New Roman"/>
          <w:sz w:val="24"/>
          <w:szCs w:val="24"/>
        </w:rPr>
        <w:t xml:space="preserve">range of Nei’s genetic identity coefficient (0.955-0.973) among populations confirmed a limited gene pool of this species. Divulgence of narrow genetic base warrants immediate measures for </w:t>
      </w:r>
      <w:r>
        <w:rPr>
          <w:rFonts w:ascii="Times New Roman" w:hAnsi="Times New Roman"/>
          <w:i/>
          <w:iCs/>
          <w:sz w:val="24"/>
          <w:szCs w:val="24"/>
        </w:rPr>
        <w:t>in-situ</w:t>
      </w:r>
      <w:r>
        <w:rPr>
          <w:rFonts w:ascii="Times New Roman" w:hAnsi="Times New Roman"/>
          <w:sz w:val="24"/>
          <w:szCs w:val="24"/>
        </w:rPr>
        <w:t xml:space="preserve"> conservation of </w:t>
      </w:r>
      <w:r>
        <w:rPr>
          <w:rFonts w:ascii="Times New Roman" w:hAnsi="Times New Roman"/>
          <w:i/>
          <w:iCs/>
          <w:sz w:val="24"/>
          <w:szCs w:val="24"/>
        </w:rPr>
        <w:t>M. dubia</w:t>
      </w:r>
      <w:r>
        <w:rPr>
          <w:rFonts w:ascii="Times New Roman" w:hAnsi="Times New Roman"/>
          <w:sz w:val="24"/>
          <w:szCs w:val="24"/>
        </w:rPr>
        <w:t xml:space="preserve"> in the northernmost Western Ghats region. </w:t>
      </w:r>
      <w:r>
        <w:rPr>
          <w:rFonts w:ascii="Times New Roman" w:hAnsi="Times New Roman"/>
          <w:i/>
          <w:iCs/>
          <w:sz w:val="24"/>
          <w:szCs w:val="24"/>
        </w:rPr>
        <w:t>WG and NP</w:t>
      </w:r>
      <w:r>
        <w:rPr>
          <w:rFonts w:ascii="Times New Roman" w:hAnsi="Times New Roman"/>
          <w:sz w:val="24"/>
          <w:szCs w:val="24"/>
        </w:rPr>
        <w:t xml:space="preserve"> appeared to be the most genetically diverse among the populations. Therefore, they should be prioritised as a seed source for artificial regeneration.</w:t>
      </w:r>
    </w:p>
    <w:p w14:paraId="471CFF11">
      <w:pPr>
        <w:pStyle w:val="40"/>
        <w:spacing w:line="360" w:lineRule="auto"/>
        <w:jc w:val="both"/>
        <w:rPr>
          <w:rFonts w:ascii="Times New Roman" w:hAnsi="Times New Roman"/>
          <w:b/>
          <w:bCs/>
          <w:sz w:val="24"/>
          <w:szCs w:val="24"/>
        </w:rPr>
      </w:pPr>
      <w:r>
        <w:rPr>
          <w:rFonts w:ascii="Times New Roman" w:hAnsi="Times New Roman"/>
          <w:b/>
          <w:bCs/>
          <w:sz w:val="24"/>
          <w:szCs w:val="24"/>
        </w:rPr>
        <w:t>Keywords</w:t>
      </w:r>
      <w:r>
        <w:rPr>
          <w:rFonts w:ascii="Times New Roman" w:hAnsi="Times New Roman"/>
          <w:sz w:val="24"/>
          <w:szCs w:val="24"/>
        </w:rPr>
        <w:t>: Genetic diversity, Malabar neem, Population structure, RAPD markers</w:t>
      </w:r>
    </w:p>
    <w:p w14:paraId="2C1D1213">
      <w:pPr>
        <w:pStyle w:val="40"/>
        <w:spacing w:line="360" w:lineRule="auto"/>
        <w:jc w:val="both"/>
        <w:rPr>
          <w:rFonts w:ascii="Times New Roman" w:hAnsi="Times New Roman"/>
          <w:b/>
          <w:bCs/>
          <w:sz w:val="24"/>
          <w:szCs w:val="24"/>
        </w:rPr>
      </w:pPr>
    </w:p>
    <w:p w14:paraId="271FB49D">
      <w:pPr>
        <w:pStyle w:val="40"/>
        <w:spacing w:line="360" w:lineRule="auto"/>
        <w:jc w:val="both"/>
        <w:rPr>
          <w:rFonts w:ascii="Times New Roman" w:hAnsi="Times New Roman"/>
          <w:b/>
          <w:bCs/>
          <w:sz w:val="24"/>
          <w:szCs w:val="24"/>
        </w:rPr>
      </w:pPr>
      <w:r>
        <w:rPr>
          <w:rFonts w:ascii="Times New Roman" w:hAnsi="Times New Roman"/>
          <w:b/>
          <w:bCs/>
          <w:sz w:val="24"/>
          <w:szCs w:val="24"/>
        </w:rPr>
        <w:t>1. INTRODUCTION</w:t>
      </w:r>
    </w:p>
    <w:p w14:paraId="738D1EC6">
      <w:pPr>
        <w:pStyle w:val="41"/>
        <w:spacing w:line="360" w:lineRule="auto"/>
        <w:ind w:firstLine="720"/>
        <w:jc w:val="both"/>
        <w:rPr>
          <w:color w:val="auto"/>
        </w:rPr>
      </w:pPr>
      <w:r>
        <w:rPr>
          <w:color w:val="auto"/>
        </w:rPr>
        <w:t xml:space="preserve">Assessment of genetic diversity in natural plant populations is important in two ways. First, screening diversity distribution in available germplasm is the foremost foundation for developing new and productive tree lines. Second, it is helpful to understand the social structure for effective planning and development of conservational strategies. Several tools and techniques, </w:t>
      </w:r>
      <w:r>
        <w:rPr>
          <w:i/>
          <w:iCs/>
          <w:color w:val="auto"/>
        </w:rPr>
        <w:t>viz.</w:t>
      </w:r>
      <w:r>
        <w:rPr>
          <w:color w:val="auto"/>
        </w:rPr>
        <w:t xml:space="preserve"> morphotyping, molecular and biochemical profiling, are available at biologists' disposal to characterise genetic diversity. Notwithstanding, each of them offers some advantages over others on one side and a few shortcomings on another side (Jiang, </w:t>
      </w:r>
      <w:r>
        <w:commentReference w:id="1"/>
      </w:r>
      <w:r>
        <w:rPr>
          <w:color w:val="auto"/>
        </w:rPr>
        <w:t xml:space="preserve">2013). In this genomic era, molecular markers have proven to be an indispensable tool in diversity measurement within and among populations, genotype characterisation, population dynamics and gene flow, owing to their high and accurate output with no dependency on environmental variables (Govindraj </w:t>
      </w:r>
      <w:r>
        <w:rPr>
          <w:i/>
          <w:iCs/>
          <w:color w:val="auto"/>
        </w:rPr>
        <w:t>et al.</w:t>
      </w:r>
      <w:r>
        <w:rPr>
          <w:color w:val="auto"/>
        </w:rPr>
        <w:t xml:space="preserve"> 2015). Since a combination of diversified marker</w:t>
      </w:r>
      <w:r>
        <w:rPr>
          <w:rFonts w:eastAsia="Times New Roman"/>
          <w:color w:val="auto"/>
        </w:rPr>
        <w:t xml:space="preserve"> types is recommended by Porth and El-Kassaby (2014)  for precise detection of diversity, we employed RAPD markers, to assess the </w:t>
      </w:r>
      <w:r>
        <w:rPr>
          <w:color w:val="auto"/>
        </w:rPr>
        <w:t xml:space="preserve">extent of intra and inter-population genetic diversity in populations of </w:t>
      </w:r>
      <w:r>
        <w:rPr>
          <w:i/>
          <w:iCs/>
          <w:color w:val="auto"/>
        </w:rPr>
        <w:t xml:space="preserve">Melia dubia Cav. </w:t>
      </w:r>
      <w:r>
        <w:rPr>
          <w:color w:val="auto"/>
        </w:rPr>
        <w:t xml:space="preserve">in south Gujarat region of India. </w:t>
      </w:r>
    </w:p>
    <w:p w14:paraId="07E280D4">
      <w:pPr>
        <w:spacing w:after="0" w:line="360" w:lineRule="auto"/>
        <w:ind w:firstLine="720"/>
        <w:jc w:val="both"/>
        <w:rPr>
          <w:rFonts w:ascii="Times New Roman" w:hAnsi="Times New Roman" w:eastAsia="Times New Roman"/>
          <w:sz w:val="24"/>
          <w:szCs w:val="24"/>
        </w:rPr>
      </w:pPr>
      <w:r>
        <w:rPr>
          <w:rFonts w:ascii="Times New Roman" w:hAnsi="Times New Roman" w:eastAsia="Times New Roman"/>
          <w:i/>
          <w:iCs/>
          <w:sz w:val="24"/>
          <w:szCs w:val="24"/>
        </w:rPr>
        <w:t>M. dubia</w:t>
      </w:r>
      <w:r>
        <w:rPr>
          <w:rFonts w:ascii="Times New Roman" w:hAnsi="Times New Roman" w:eastAsia="Times New Roman"/>
          <w:sz w:val="24"/>
          <w:szCs w:val="24"/>
        </w:rPr>
        <w:t xml:space="preserve"> is an industrially important,  short rotational tree species belonging to the </w:t>
      </w:r>
      <w:r>
        <w:commentReference w:id="2"/>
      </w:r>
      <w:r>
        <w:rPr>
          <w:rFonts w:ascii="Times New Roman" w:hAnsi="Times New Roman" w:eastAsia="Times New Roman"/>
          <w:sz w:val="24"/>
          <w:szCs w:val="24"/>
        </w:rPr>
        <w:t xml:space="preserve">family Meliaceae. It is indigenous to South–East Asia and Australia and is popularly known as  ‘Malabar Neem’ in the Indian subcontinent. It grows naturally in Northern Bengal, Assam, Khasi hills, Deccan plateau and the Western ghats region of India. This species has recently gained good recognition among Indian farmers and is widely adopted on farmlands for monetary benefits (Thakur </w:t>
      </w:r>
      <w:r>
        <w:rPr>
          <w:rFonts w:ascii="Times New Roman" w:hAnsi="Times New Roman" w:eastAsia="Times New Roman"/>
          <w:i/>
          <w:iCs/>
          <w:sz w:val="24"/>
          <w:szCs w:val="24"/>
        </w:rPr>
        <w:t>et al.</w:t>
      </w:r>
      <w:r>
        <w:rPr>
          <w:rFonts w:ascii="Times New Roman" w:hAnsi="Times New Roman" w:eastAsia="Times New Roman"/>
          <w:sz w:val="24"/>
          <w:szCs w:val="24"/>
        </w:rPr>
        <w:t xml:space="preserve"> 2018; Prajapati </w:t>
      </w:r>
      <w:r>
        <w:rPr>
          <w:rFonts w:ascii="Times New Roman" w:hAnsi="Times New Roman" w:eastAsia="Times New Roman"/>
          <w:i/>
          <w:iCs/>
          <w:sz w:val="24"/>
          <w:szCs w:val="24"/>
        </w:rPr>
        <w:t>et al.</w:t>
      </w:r>
      <w:r>
        <w:rPr>
          <w:rFonts w:ascii="Times New Roman" w:hAnsi="Times New Roman" w:eastAsia="Times New Roman"/>
          <w:sz w:val="24"/>
          <w:szCs w:val="24"/>
        </w:rPr>
        <w:t xml:space="preserve"> 2020). As an estimate, 75 tons of commercial wood fetching approximately 2.25 lacs (INR) from one hectare of plantation in a </w:t>
      </w:r>
      <w:r>
        <w:commentReference w:id="3"/>
      </w:r>
      <w:r>
        <w:rPr>
          <w:rFonts w:ascii="Times New Roman" w:hAnsi="Times New Roman" w:eastAsia="Times New Roman"/>
          <w:sz w:val="24"/>
          <w:szCs w:val="24"/>
        </w:rPr>
        <w:t>short span of three years (FAO, 2016). Wood is primarily used for making paper, plywood, packing boxes, match sticks, small furniture and agricultural implements (</w:t>
      </w:r>
      <w:r>
        <w:rPr>
          <w:rFonts w:ascii="Times New Roman" w:hAnsi="Times New Roman"/>
          <w:sz w:val="24"/>
          <w:szCs w:val="24"/>
        </w:rPr>
        <w:t xml:space="preserve">Parthiban </w:t>
      </w:r>
      <w:r>
        <w:rPr>
          <w:rFonts w:ascii="Times New Roman" w:hAnsi="Times New Roman"/>
          <w:i/>
          <w:iCs/>
          <w:sz w:val="24"/>
          <w:szCs w:val="24"/>
        </w:rPr>
        <w:t xml:space="preserve">et al. </w:t>
      </w:r>
      <w:r>
        <w:rPr>
          <w:rFonts w:ascii="Times New Roman" w:hAnsi="Times New Roman"/>
          <w:sz w:val="24"/>
          <w:szCs w:val="24"/>
        </w:rPr>
        <w:t xml:space="preserve">2019; Sinha </w:t>
      </w:r>
      <w:r>
        <w:rPr>
          <w:rFonts w:ascii="Times New Roman" w:hAnsi="Times New Roman"/>
          <w:i/>
          <w:iCs/>
          <w:sz w:val="24"/>
          <w:szCs w:val="24"/>
        </w:rPr>
        <w:t>et al.</w:t>
      </w:r>
      <w:r>
        <w:rPr>
          <w:rFonts w:ascii="Times New Roman" w:hAnsi="Times New Roman"/>
          <w:iCs/>
          <w:sz w:val="24"/>
          <w:szCs w:val="24"/>
        </w:rPr>
        <w:t xml:space="preserve"> </w:t>
      </w:r>
      <w:r>
        <w:rPr>
          <w:rFonts w:ascii="Times New Roman" w:hAnsi="Times New Roman"/>
          <w:sz w:val="24"/>
          <w:szCs w:val="24"/>
        </w:rPr>
        <w:t>2019</w:t>
      </w:r>
      <w:r>
        <w:rPr>
          <w:rFonts w:ascii="Times New Roman" w:hAnsi="Times New Roman" w:eastAsia="Times New Roman"/>
          <w:sz w:val="24"/>
          <w:szCs w:val="24"/>
        </w:rPr>
        <w:t xml:space="preserve">). Besides wood, leaf, bark and fruit extract were tested for their anti-oxidant, anti-cancerous, anti-microbial, anti-feedent and biopesticidal properties (Thangavel </w:t>
      </w:r>
      <w:r>
        <w:rPr>
          <w:rFonts w:ascii="Times New Roman" w:hAnsi="Times New Roman" w:eastAsia="Times New Roman"/>
          <w:i/>
          <w:iCs/>
          <w:sz w:val="24"/>
          <w:szCs w:val="24"/>
        </w:rPr>
        <w:t>et al.</w:t>
      </w:r>
      <w:r>
        <w:rPr>
          <w:rFonts w:ascii="Times New Roman" w:hAnsi="Times New Roman" w:eastAsia="Times New Roman"/>
          <w:sz w:val="24"/>
          <w:szCs w:val="24"/>
        </w:rPr>
        <w:t xml:space="preserve"> 2019). The fruit pulp is recommended as an alternative livestock feed  (Sukhadiya </w:t>
      </w:r>
      <w:r>
        <w:rPr>
          <w:rFonts w:ascii="Times New Roman" w:hAnsi="Times New Roman" w:eastAsia="Times New Roman"/>
          <w:i/>
          <w:iCs/>
          <w:sz w:val="24"/>
          <w:szCs w:val="24"/>
        </w:rPr>
        <w:t>et al.</w:t>
      </w:r>
      <w:r>
        <w:rPr>
          <w:rFonts w:ascii="Times New Roman" w:hAnsi="Times New Roman" w:eastAsia="Times New Roman"/>
          <w:sz w:val="24"/>
          <w:szCs w:val="24"/>
        </w:rPr>
        <w:t xml:space="preserve"> 2021). </w:t>
      </w:r>
    </w:p>
    <w:p w14:paraId="0F1CB8CE">
      <w:pPr>
        <w:spacing w:after="0" w:line="360" w:lineRule="auto"/>
        <w:jc w:val="both"/>
        <w:rPr>
          <w:rFonts w:ascii="Times New Roman" w:hAnsi="Times New Roman" w:eastAsia="Times New Roman"/>
          <w:sz w:val="24"/>
          <w:szCs w:val="24"/>
        </w:rPr>
      </w:pPr>
      <w:commentRangeStart w:id="4"/>
      <w:r>
        <w:rPr>
          <w:rFonts w:ascii="Times New Roman" w:hAnsi="Times New Roman" w:eastAsia="Times New Roman"/>
          <w:sz w:val="24"/>
          <w:szCs w:val="24"/>
        </w:rPr>
        <w:t>The demand for quality planting material is picking up in the western Indian state of Gujarat (Khakhariya, 2018).</w:t>
      </w:r>
      <w:commentRangeEnd w:id="4"/>
      <w:r>
        <w:commentReference w:id="4"/>
      </w:r>
      <w:r>
        <w:rPr>
          <w:rFonts w:ascii="Times New Roman" w:hAnsi="Times New Roman" w:eastAsia="Times New Roman"/>
          <w:sz w:val="24"/>
          <w:szCs w:val="24"/>
        </w:rPr>
        <w:t xml:space="preserve"> In South Gujarat, near the northernmost tip of the Western Ghats, this species has a sparse natural distribution with a regional 'Endangered category (Khanna and Singh, 2010). Assuming the commercial importance of </w:t>
      </w:r>
      <w:r>
        <w:rPr>
          <w:rFonts w:ascii="Times New Roman" w:hAnsi="Times New Roman" w:eastAsia="Times New Roman"/>
          <w:i/>
          <w:iCs/>
          <w:sz w:val="24"/>
          <w:szCs w:val="24"/>
        </w:rPr>
        <w:t>M. dubia</w:t>
      </w:r>
      <w:r>
        <w:rPr>
          <w:rFonts w:ascii="Times New Roman" w:hAnsi="Times New Roman" w:eastAsia="Times New Roman"/>
          <w:sz w:val="24"/>
          <w:szCs w:val="24"/>
        </w:rPr>
        <w:t>, few attempts have been made to study DNA-based genetic diversity and population structure studies</w:t>
      </w:r>
      <w:r>
        <w:rPr>
          <w:rFonts w:ascii="Times New Roman" w:hAnsi="Times New Roman" w:eastAsia="Times New Roman"/>
          <w:i/>
          <w:iCs/>
          <w:sz w:val="24"/>
          <w:szCs w:val="24"/>
        </w:rPr>
        <w:t>,</w:t>
      </w:r>
      <w:r>
        <w:rPr>
          <w:rFonts w:ascii="Times New Roman" w:hAnsi="Times New Roman" w:eastAsia="Times New Roman"/>
          <w:sz w:val="24"/>
          <w:szCs w:val="24"/>
        </w:rPr>
        <w:t xml:space="preserve"> covering parts of Haryana and Punjab (Johar </w:t>
      </w:r>
      <w:r>
        <w:rPr>
          <w:rFonts w:ascii="Times New Roman" w:hAnsi="Times New Roman" w:eastAsia="Times New Roman"/>
          <w:i/>
          <w:iCs/>
          <w:sz w:val="24"/>
          <w:szCs w:val="24"/>
        </w:rPr>
        <w:t>et al.</w:t>
      </w:r>
      <w:r>
        <w:rPr>
          <w:rFonts w:ascii="Times New Roman" w:hAnsi="Times New Roman" w:eastAsia="Times New Roman"/>
          <w:sz w:val="24"/>
          <w:szCs w:val="24"/>
        </w:rPr>
        <w:t xml:space="preserve"> 2017), Karnataka (Rawat </w:t>
      </w:r>
      <w:r>
        <w:rPr>
          <w:rFonts w:ascii="Times New Roman" w:hAnsi="Times New Roman" w:eastAsia="Times New Roman"/>
          <w:i/>
          <w:iCs/>
          <w:sz w:val="24"/>
          <w:szCs w:val="24"/>
        </w:rPr>
        <w:t>et al.</w:t>
      </w:r>
      <w:r>
        <w:rPr>
          <w:rFonts w:ascii="Times New Roman" w:hAnsi="Times New Roman" w:eastAsia="Times New Roman"/>
          <w:sz w:val="24"/>
          <w:szCs w:val="24"/>
        </w:rPr>
        <w:t xml:space="preserve"> 2018), Uttarakhand, West Bengal and Tamil Nadu (Kumar </w:t>
      </w:r>
      <w:r>
        <w:rPr>
          <w:rFonts w:ascii="Times New Roman" w:hAnsi="Times New Roman" w:eastAsia="Times New Roman"/>
          <w:i/>
          <w:iCs/>
          <w:sz w:val="24"/>
          <w:szCs w:val="24"/>
        </w:rPr>
        <w:t>et al.</w:t>
      </w:r>
      <w:r>
        <w:rPr>
          <w:rFonts w:ascii="Times New Roman" w:hAnsi="Times New Roman" w:eastAsia="Times New Roman"/>
          <w:sz w:val="24"/>
          <w:szCs w:val="24"/>
        </w:rPr>
        <w:t xml:space="preserve"> 2021). However, the genetic diversity and population structure of </w:t>
      </w:r>
      <w:r>
        <w:rPr>
          <w:rFonts w:ascii="Times New Roman" w:hAnsi="Times New Roman" w:eastAsia="Times New Roman"/>
          <w:i/>
          <w:iCs/>
          <w:sz w:val="24"/>
          <w:szCs w:val="24"/>
        </w:rPr>
        <w:t>M. dubia</w:t>
      </w:r>
      <w:r>
        <w:rPr>
          <w:rFonts w:ascii="Times New Roman" w:hAnsi="Times New Roman" w:eastAsia="Times New Roman"/>
          <w:sz w:val="24"/>
          <w:szCs w:val="24"/>
        </w:rPr>
        <w:t xml:space="preserve"> from Gujarat state are still undisclosed. </w:t>
      </w:r>
      <w:commentRangeStart w:id="5"/>
      <w:r>
        <w:rPr>
          <w:rFonts w:ascii="Times New Roman" w:hAnsi="Times New Roman" w:eastAsia="Times New Roman"/>
          <w:sz w:val="24"/>
          <w:szCs w:val="24"/>
        </w:rPr>
        <w:t>We are unique in exercising molecular approaches to assess diversity and relation among natural</w:t>
      </w:r>
      <w:commentRangeEnd w:id="5"/>
      <w:r>
        <w:commentReference w:id="5"/>
      </w:r>
      <w:r>
        <w:rPr>
          <w:rFonts w:ascii="Times New Roman" w:hAnsi="Times New Roman" w:eastAsia="Times New Roman"/>
          <w:sz w:val="24"/>
          <w:szCs w:val="24"/>
        </w:rPr>
        <w:t xml:space="preserve"> populations from this region. The findings of this study are assumed to be invaluable for developing superior and locally adaptive planting materials for wood-based industries and setting the conservation goal for this species. </w:t>
      </w:r>
    </w:p>
    <w:p w14:paraId="6520FA52">
      <w:pPr>
        <w:spacing w:after="0" w:line="360" w:lineRule="auto"/>
        <w:jc w:val="both"/>
        <w:rPr>
          <w:rFonts w:ascii="Times New Roman" w:hAnsi="Times New Roman" w:eastAsia="Times New Roman"/>
          <w:sz w:val="24"/>
          <w:szCs w:val="24"/>
        </w:rPr>
      </w:pPr>
    </w:p>
    <w:p w14:paraId="0BD9D22A">
      <w:pPr>
        <w:pStyle w:val="40"/>
        <w:spacing w:line="360" w:lineRule="auto"/>
        <w:jc w:val="both"/>
        <w:rPr>
          <w:rFonts w:ascii="Times New Roman" w:hAnsi="Times New Roman"/>
          <w:b/>
          <w:bCs/>
          <w:sz w:val="24"/>
          <w:szCs w:val="24"/>
        </w:rPr>
      </w:pPr>
      <w:r>
        <w:rPr>
          <w:rFonts w:ascii="Times New Roman" w:hAnsi="Times New Roman"/>
          <w:b/>
          <w:bCs/>
          <w:sz w:val="24"/>
          <w:szCs w:val="24"/>
        </w:rPr>
        <w:t>2. MATERIALS AND METHODS</w:t>
      </w:r>
    </w:p>
    <w:p w14:paraId="7AC58920">
      <w:pPr>
        <w:spacing w:after="0" w:line="360" w:lineRule="auto"/>
        <w:jc w:val="both"/>
        <w:rPr>
          <w:rFonts w:ascii="Times New Roman" w:hAnsi="Times New Roman"/>
          <w:b/>
          <w:bCs/>
          <w:sz w:val="24"/>
          <w:szCs w:val="24"/>
        </w:rPr>
      </w:pPr>
      <w:r>
        <w:rPr>
          <w:rFonts w:ascii="Times New Roman" w:hAnsi="Times New Roman"/>
          <w:b/>
          <w:bCs/>
          <w:sz w:val="24"/>
          <w:szCs w:val="24"/>
        </w:rPr>
        <w:t>2.1 Study area and sampling</w:t>
      </w:r>
    </w:p>
    <w:p w14:paraId="072A8165">
      <w:pPr>
        <w:spacing w:after="0" w:line="360" w:lineRule="auto"/>
        <w:ind w:firstLine="720"/>
        <w:jc w:val="both"/>
        <w:rPr>
          <w:rFonts w:ascii="Times New Roman" w:hAnsi="Times New Roman" w:eastAsia="Arial Unicode MS"/>
          <w:sz w:val="24"/>
          <w:szCs w:val="24"/>
        </w:rPr>
      </w:pPr>
      <w:r>
        <w:rPr>
          <w:rFonts w:ascii="Times New Roman" w:hAnsi="Times New Roman"/>
          <w:sz w:val="24"/>
          <w:szCs w:val="24"/>
        </w:rPr>
        <w:t xml:space="preserve">The present investigation </w:t>
      </w:r>
      <w:r>
        <w:rPr>
          <w:rFonts w:ascii="Times New Roman" w:hAnsi="Times New Roman"/>
          <w:bCs/>
          <w:sz w:val="24"/>
          <w:szCs w:val="24"/>
        </w:rPr>
        <w:t>was carried out at the College of Forestry, Navsari Agricultural University, Navsari, Gujarat, India.</w:t>
      </w:r>
      <w:r>
        <w:rPr>
          <w:rFonts w:ascii="Times New Roman" w:hAnsi="Times New Roman"/>
          <w:sz w:val="24"/>
          <w:szCs w:val="24"/>
        </w:rPr>
        <w:t xml:space="preserve"> Four populations of </w:t>
      </w:r>
      <w:r>
        <w:rPr>
          <w:rFonts w:ascii="Times New Roman" w:hAnsi="Times New Roman"/>
          <w:i/>
          <w:iCs/>
          <w:sz w:val="24"/>
          <w:szCs w:val="24"/>
        </w:rPr>
        <w:t xml:space="preserve">M. dubia viz. Kaprada (KP), Nanapondha (NP), Waghai (WG) and Sagai (SG) </w:t>
      </w:r>
      <w:r>
        <w:rPr>
          <w:rFonts w:ascii="Times New Roman" w:hAnsi="Times New Roman"/>
          <w:sz w:val="24"/>
          <w:szCs w:val="24"/>
        </w:rPr>
        <w:t xml:space="preserve">were selected from the natural growing regions of the hilly tract in South Gujarat (Fig. 1). A total of 10 individuals per population, having good phenotypic characteristics, abundant fruits and at least 100 m apart were marked for the study. The climate of the south Gujarat region </w:t>
      </w:r>
      <w:r>
        <w:rPr>
          <w:rFonts w:ascii="Times New Roman" w:hAnsi="Times New Roman" w:eastAsia="Arial Unicode MS"/>
          <w:sz w:val="24"/>
          <w:szCs w:val="24"/>
        </w:rPr>
        <w:t>is typically sub-humid with an averagely hot summer, moderately cold winter and humid and warm monsoon. Most precipitation received from the southwest monsoon condensed in July and August.</w:t>
      </w:r>
    </w:p>
    <w:p w14:paraId="279CE52D">
      <w:pPr>
        <w:spacing w:after="0" w:line="360" w:lineRule="auto"/>
        <w:jc w:val="center"/>
      </w:pPr>
      <w:r>
        <w:drawing>
          <wp:inline distT="0" distB="0" distL="0" distR="0">
            <wp:extent cx="4870450" cy="2738755"/>
            <wp:effectExtent l="0" t="0" r="6350" b="4445"/>
            <wp:docPr id="6" name="Picture 1" descr="C:\Users\admin\Downloads\Fig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admin\Downloads\Figure 3.png"/>
                    <pic:cNvPicPr>
                      <a:picLocks noChangeAspect="1" noChangeArrowheads="1"/>
                    </pic:cNvPicPr>
                  </pic:nvPicPr>
                  <pic:blipFill>
                    <a:blip r:embed="rId14"/>
                    <a:srcRect/>
                    <a:stretch>
                      <a:fillRect/>
                    </a:stretch>
                  </pic:blipFill>
                  <pic:spPr>
                    <a:xfrm>
                      <a:off x="0" y="0"/>
                      <a:ext cx="4895494" cy="2752999"/>
                    </a:xfrm>
                    <a:prstGeom prst="rect">
                      <a:avLst/>
                    </a:prstGeom>
                    <a:noFill/>
                    <a:ln w="9525">
                      <a:noFill/>
                      <a:miter lim="800000"/>
                      <a:headEnd/>
                      <a:tailEnd/>
                    </a:ln>
                  </pic:spPr>
                </pic:pic>
              </a:graphicData>
            </a:graphic>
          </wp:inline>
        </w:drawing>
      </w:r>
    </w:p>
    <w:p w14:paraId="2618167B">
      <w:pPr>
        <w:spacing w:after="0" w:line="360" w:lineRule="auto"/>
        <w:jc w:val="center"/>
        <w:rPr>
          <w:rFonts w:ascii="Times New Roman" w:hAnsi="Times New Roman"/>
          <w:bCs/>
          <w:sz w:val="24"/>
          <w:szCs w:val="24"/>
        </w:rPr>
      </w:pPr>
      <w:r>
        <w:rPr>
          <w:rFonts w:ascii="Times New Roman" w:hAnsi="Times New Roman"/>
          <w:b/>
          <w:sz w:val="24"/>
          <w:szCs w:val="24"/>
        </w:rPr>
        <w:t>Fig. 1.</w:t>
      </w:r>
      <w:r>
        <w:rPr>
          <w:rFonts w:ascii="Times New Roman" w:hAnsi="Times New Roman"/>
          <w:bCs/>
          <w:sz w:val="24"/>
          <w:szCs w:val="24"/>
        </w:rPr>
        <w:t xml:space="preserve"> Geographic location of </w:t>
      </w:r>
      <w:r>
        <w:rPr>
          <w:rFonts w:ascii="Times New Roman" w:hAnsi="Times New Roman"/>
          <w:bCs/>
          <w:i/>
          <w:iCs/>
          <w:sz w:val="24"/>
          <w:szCs w:val="24"/>
        </w:rPr>
        <w:t>M. dubia</w:t>
      </w:r>
      <w:r>
        <w:rPr>
          <w:rFonts w:ascii="Times New Roman" w:hAnsi="Times New Roman"/>
          <w:bCs/>
          <w:sz w:val="24"/>
          <w:szCs w:val="24"/>
        </w:rPr>
        <w:t xml:space="preserve"> natural populations selected in the present study</w:t>
      </w:r>
    </w:p>
    <w:p w14:paraId="17A7D30D">
      <w:pPr>
        <w:spacing w:after="0" w:line="360" w:lineRule="auto"/>
        <w:jc w:val="both"/>
        <w:rPr>
          <w:rFonts w:ascii="Times New Roman" w:hAnsi="Times New Roman"/>
          <w:b/>
          <w:bCs/>
          <w:sz w:val="24"/>
          <w:szCs w:val="24"/>
        </w:rPr>
      </w:pPr>
    </w:p>
    <w:p w14:paraId="3E8CF9AB">
      <w:pPr>
        <w:spacing w:after="0" w:line="360" w:lineRule="auto"/>
        <w:jc w:val="both"/>
        <w:rPr>
          <w:rFonts w:ascii="Times New Roman" w:hAnsi="Times New Roman"/>
          <w:b/>
          <w:bCs/>
          <w:sz w:val="24"/>
          <w:szCs w:val="24"/>
        </w:rPr>
      </w:pPr>
      <w:r>
        <w:rPr>
          <w:rFonts w:ascii="Times New Roman" w:hAnsi="Times New Roman"/>
          <w:b/>
          <w:bCs/>
          <w:sz w:val="24"/>
          <w:szCs w:val="24"/>
        </w:rPr>
        <w:t>2.2 Assessment of molecular variability</w:t>
      </w:r>
      <w:r>
        <w:commentReference w:id="6"/>
      </w:r>
    </w:p>
    <w:p w14:paraId="264CDD8A">
      <w:pPr>
        <w:spacing w:after="0" w:line="360" w:lineRule="auto"/>
        <w:ind w:firstLine="720"/>
        <w:jc w:val="both"/>
        <w:rPr>
          <w:rFonts w:ascii="Times New Roman" w:hAnsi="Times New Roman"/>
          <w:sz w:val="24"/>
          <w:szCs w:val="24"/>
          <w:lang w:bidi="gu-IN"/>
        </w:rPr>
      </w:pPr>
      <w:r>
        <w:rPr>
          <w:rFonts w:ascii="Times New Roman" w:hAnsi="Times New Roman"/>
          <w:sz w:val="24"/>
          <w:szCs w:val="24"/>
        </w:rPr>
        <w:t xml:space="preserve">We used the Random amplified polymorphic DNA (RAPD) markers technique to reveal the genetic diversity among selected populations of </w:t>
      </w:r>
      <w:r>
        <w:rPr>
          <w:rFonts w:ascii="Times New Roman" w:hAnsi="Times New Roman"/>
          <w:i/>
          <w:iCs/>
          <w:sz w:val="24"/>
          <w:szCs w:val="24"/>
        </w:rPr>
        <w:t>M. dubia</w:t>
      </w:r>
      <w:r>
        <w:rPr>
          <w:rFonts w:ascii="Times New Roman" w:hAnsi="Times New Roman"/>
          <w:sz w:val="24"/>
          <w:szCs w:val="24"/>
        </w:rPr>
        <w:t xml:space="preserve">. Fresh leaves with no sign of disease were collected from the selected trees, brought to the laboratory in paper bags, and stored in an ice pack bucket. Samples were shifted to the laboratory on the same day and kept in a deep freezer (-20°C) for DNA extraction. </w:t>
      </w:r>
      <w:r>
        <w:rPr>
          <w:rFonts w:ascii="Times New Roman" w:hAnsi="Times New Roman"/>
          <w:sz w:val="24"/>
          <w:szCs w:val="24"/>
          <w:lang w:bidi="gu-IN"/>
        </w:rPr>
        <w:t>The</w:t>
      </w:r>
      <w:r>
        <w:rPr>
          <w:rFonts w:ascii="Times New Roman" w:hAnsi="Times New Roman"/>
          <w:sz w:val="24"/>
          <w:szCs w:val="24"/>
        </w:rPr>
        <w:t xml:space="preserve"> genomic DNA was extracted using the standard method (Doyle and Doyle, 1990) with modified buffer concentrations per 10 ml (1 M Tris-1 ml, 0.5 M EDTA-1 ml, 4 M NaCl-3.75 ml, 3% CTAB- 300 mg, 2% PVP-200 mg and de-ionised water-4.25 ml). </w:t>
      </w:r>
      <w:r>
        <w:rPr>
          <w:rFonts w:ascii="Times New Roman" w:hAnsi="Times New Roman"/>
          <w:sz w:val="24"/>
          <w:szCs w:val="24"/>
          <w:lang w:bidi="gu-IN"/>
        </w:rPr>
        <w:t xml:space="preserve">According to Sambrook </w:t>
      </w:r>
      <w:r>
        <w:rPr>
          <w:rFonts w:ascii="Times New Roman" w:hAnsi="Times New Roman"/>
          <w:i/>
          <w:iCs/>
          <w:sz w:val="24"/>
          <w:szCs w:val="24"/>
          <w:lang w:bidi="gu-IN"/>
        </w:rPr>
        <w:t>et al.</w:t>
      </w:r>
      <w:r>
        <w:rPr>
          <w:rFonts w:ascii="Times New Roman" w:hAnsi="Times New Roman"/>
          <w:sz w:val="24"/>
          <w:szCs w:val="24"/>
          <w:lang w:bidi="gu-IN"/>
        </w:rPr>
        <w:t xml:space="preserve"> (1989), DNA was quantified using Nanodrop (at 260 nm), and the quality of the DNA was determined using agarose micro gel electrophoresis. Genomic DNA was electrophoresed on a 0.8 per cent agarose gel using 1x TBE buffer and ethidium bromide (0.4μg/ml) staining at a voltage of 6V/cm. The gel was inspected under UV light and photographed using the GeNei UVITEC, Gel Documentation system Cambridge at the end of the run. Good quality DNA samples with a ratio of 1.8-2.0 at OD 260/280 were kept for DNA fingerprinting. Random decamer oligonucleotide primers from Qarta Bio Inc., USA, were used in the RAPD tests. The PCR amplification for each primer was carried out in a 25 µl reaction volume combination in a 96-well thermal cycler from Applied Biosystems (Thermo Fisher Scientific Inc.) as per Williams </w:t>
      </w:r>
      <w:r>
        <w:rPr>
          <w:rFonts w:ascii="Times New Roman" w:hAnsi="Times New Roman"/>
          <w:i/>
          <w:iCs/>
          <w:sz w:val="24"/>
          <w:szCs w:val="24"/>
          <w:lang w:bidi="gu-IN"/>
        </w:rPr>
        <w:t>et al.</w:t>
      </w:r>
      <w:r>
        <w:rPr>
          <w:rFonts w:ascii="Times New Roman" w:hAnsi="Times New Roman"/>
          <w:sz w:val="24"/>
          <w:szCs w:val="24"/>
          <w:lang w:bidi="gu-IN"/>
        </w:rPr>
        <w:t xml:space="preserve"> (1990). The PCR amplification programme was run for 35 cycles with initial denaturation (95° C for 4 minutes), denaturation (95° C for 30 seconds), primer annealing (40° C for 1 minute), extension (72° C for 1 minute), final extension (72° C for 7 minutes) and hold at 4° C. The amplified product was removed from the thermal cycler and put onto a 1.8 per cent (w/v) agarose gel with 4 µl ethidium bromide in 100 ml (0.4 µg/ml electrophoresis buffer) produced in 1x TBE (pH 8.0). The entire amplified PCR product was mixed with 6x gel loading dye, of which 10 µl was loaded in well. The ready-to-use DNA ladder of 100bp was also loaded with the samples for reference. A potential difference of 7-8V/cm was provided until the bands resolved properly.</w:t>
      </w:r>
    </w:p>
    <w:p w14:paraId="0ED56B6E">
      <w:pPr>
        <w:spacing w:after="0" w:line="360" w:lineRule="auto"/>
        <w:jc w:val="both"/>
        <w:rPr>
          <w:rFonts w:ascii="Times New Roman" w:hAnsi="Times New Roman"/>
          <w:b/>
          <w:bCs/>
          <w:sz w:val="24"/>
          <w:szCs w:val="24"/>
          <w:lang w:bidi="gu-IN"/>
        </w:rPr>
      </w:pPr>
    </w:p>
    <w:p w14:paraId="6DDBC7AE">
      <w:pPr>
        <w:spacing w:after="0" w:line="360" w:lineRule="auto"/>
        <w:jc w:val="both"/>
        <w:rPr>
          <w:rFonts w:ascii="Times New Roman" w:hAnsi="Times New Roman"/>
          <w:b/>
          <w:bCs/>
          <w:sz w:val="24"/>
          <w:szCs w:val="24"/>
          <w:lang w:bidi="gu-IN"/>
        </w:rPr>
      </w:pPr>
      <w:r>
        <w:rPr>
          <w:rFonts w:ascii="Times New Roman" w:hAnsi="Times New Roman"/>
          <w:b/>
          <w:bCs/>
          <w:sz w:val="24"/>
          <w:szCs w:val="24"/>
          <w:lang w:bidi="gu-IN"/>
        </w:rPr>
        <w:t>2.3 Statistical analysis</w:t>
      </w:r>
    </w:p>
    <w:p w14:paraId="75AC56E7">
      <w:pPr>
        <w:spacing w:after="0" w:line="360" w:lineRule="auto"/>
        <w:ind w:firstLine="720"/>
        <w:contextualSpacing/>
        <w:jc w:val="both"/>
        <w:rPr>
          <w:rFonts w:ascii="Times New Roman" w:hAnsi="Times New Roman"/>
          <w:sz w:val="24"/>
          <w:szCs w:val="24"/>
          <w:lang w:bidi="gu-IN"/>
        </w:rPr>
      </w:pPr>
      <w:r>
        <w:rPr>
          <w:rFonts w:ascii="Times New Roman" w:hAnsi="Times New Roman"/>
          <w:sz w:val="24"/>
          <w:szCs w:val="24"/>
          <w:lang w:bidi="gu-IN"/>
        </w:rPr>
        <w:t>Reproducible RAPD results were manually scored for band presence (1) or absence (0) for each individual in a population, and a binary qualitative data matrix was built.</w:t>
      </w:r>
      <w:r>
        <w:rPr>
          <w:rFonts w:ascii="Times New Roman" w:hAnsi="Times New Roman"/>
          <w:spacing w:val="20"/>
          <w:sz w:val="24"/>
          <w:szCs w:val="24"/>
          <w:lang w:bidi="gu-IN"/>
        </w:rPr>
        <w:t xml:space="preserve"> </w:t>
      </w:r>
      <w:r>
        <w:rPr>
          <w:rFonts w:ascii="Times New Roman" w:hAnsi="Times New Roman"/>
          <w:sz w:val="24"/>
          <w:szCs w:val="24"/>
          <w:lang w:bidi="gu-IN"/>
        </w:rPr>
        <w:t>Primer banding characteristics, such as number of total bands (NB), number of the monomorphic band (NM), number of polymorphic bands (NP) and percentage of polymorphic bands (PPB), were assessed manually. PIC values of each marker were calculated as per the formula for dominant marker PIC= 1- [(1-</w:t>
      </w:r>
      <w:r>
        <w:rPr>
          <w:rFonts w:ascii="Times New Roman" w:hAnsi="Times New Roman"/>
          <w:i/>
          <w:iCs/>
          <w:sz w:val="24"/>
          <w:szCs w:val="24"/>
          <w:lang w:bidi="gu-IN"/>
        </w:rPr>
        <w:t xml:space="preserve">f </w:t>
      </w:r>
      <w:r>
        <w:rPr>
          <w:rFonts w:ascii="Times New Roman" w:hAnsi="Times New Roman"/>
          <w:sz w:val="24"/>
          <w:szCs w:val="24"/>
          <w:vertAlign w:val="superscript"/>
          <w:lang w:bidi="gu-IN"/>
        </w:rPr>
        <w:t xml:space="preserve">2 </w:t>
      </w:r>
      <w:r>
        <w:rPr>
          <w:rFonts w:ascii="Times New Roman" w:hAnsi="Times New Roman"/>
          <w:sz w:val="24"/>
          <w:szCs w:val="24"/>
          <w:lang w:bidi="gu-IN"/>
        </w:rPr>
        <w:t>+(1-</w:t>
      </w:r>
      <w:r>
        <w:rPr>
          <w:rFonts w:ascii="Times New Roman" w:hAnsi="Times New Roman"/>
          <w:i/>
          <w:iCs/>
          <w:sz w:val="24"/>
          <w:szCs w:val="24"/>
          <w:lang w:bidi="gu-IN"/>
        </w:rPr>
        <w:t>f</w:t>
      </w:r>
      <w:r>
        <w:rPr>
          <w:rFonts w:ascii="Times New Roman" w:hAnsi="Times New Roman"/>
          <w:sz w:val="24"/>
          <w:szCs w:val="24"/>
          <w:lang w:bidi="gu-IN"/>
        </w:rPr>
        <w:t>)</w:t>
      </w:r>
      <w:r>
        <w:rPr>
          <w:rFonts w:ascii="Times New Roman" w:hAnsi="Times New Roman"/>
          <w:sz w:val="24"/>
          <w:szCs w:val="24"/>
          <w:vertAlign w:val="superscript"/>
          <w:lang w:bidi="gu-IN"/>
        </w:rPr>
        <w:t>2</w:t>
      </w:r>
      <w:r>
        <w:rPr>
          <w:rFonts w:ascii="Times New Roman" w:hAnsi="Times New Roman"/>
          <w:sz w:val="24"/>
          <w:szCs w:val="24"/>
          <w:lang w:bidi="gu-IN"/>
        </w:rPr>
        <w:t xml:space="preserve">], where </w:t>
      </w:r>
      <w:r>
        <w:rPr>
          <w:rFonts w:ascii="Times New Roman" w:hAnsi="Times New Roman"/>
          <w:i/>
          <w:iCs/>
          <w:sz w:val="24"/>
          <w:szCs w:val="24"/>
          <w:lang w:bidi="gu-IN"/>
        </w:rPr>
        <w:t>f</w:t>
      </w:r>
      <w:r>
        <w:rPr>
          <w:rFonts w:ascii="Times New Roman" w:hAnsi="Times New Roman"/>
          <w:sz w:val="24"/>
          <w:szCs w:val="24"/>
          <w:lang w:bidi="gu-IN"/>
        </w:rPr>
        <w:t xml:space="preserve"> is the frequency of the marker (Cheskonov and Artemyeva, 2015). We employed the genetic software package POPGENE version 1.31 (Yeh </w:t>
      </w:r>
      <w:r>
        <w:rPr>
          <w:rFonts w:ascii="Times New Roman" w:hAnsi="Times New Roman"/>
          <w:i/>
          <w:iCs/>
          <w:sz w:val="24"/>
          <w:szCs w:val="24"/>
          <w:lang w:bidi="gu-IN"/>
        </w:rPr>
        <w:t>et al.</w:t>
      </w:r>
      <w:r>
        <w:rPr>
          <w:rFonts w:ascii="Times New Roman" w:hAnsi="Times New Roman"/>
          <w:sz w:val="24"/>
          <w:szCs w:val="24"/>
          <w:lang w:bidi="gu-IN"/>
        </w:rPr>
        <w:t xml:space="preserve"> 1997) by choosing the dominant marker data setting to generate</w:t>
      </w:r>
      <w:r>
        <w:rPr>
          <w:rFonts w:ascii="Times New Roman" w:hAnsi="Times New Roman"/>
          <w:sz w:val="24"/>
          <w:szCs w:val="24"/>
        </w:rPr>
        <w:t xml:space="preserve"> </w:t>
      </w:r>
      <w:r>
        <w:rPr>
          <w:rFonts w:ascii="Times New Roman" w:hAnsi="Times New Roman"/>
          <w:sz w:val="24"/>
          <w:szCs w:val="24"/>
          <w:lang w:bidi="gu-IN"/>
        </w:rPr>
        <w:t xml:space="preserve">genetic variations statistics, </w:t>
      </w:r>
      <w:r>
        <w:rPr>
          <w:rFonts w:ascii="Times New Roman" w:hAnsi="Times New Roman"/>
          <w:i/>
          <w:iCs/>
          <w:sz w:val="24"/>
          <w:szCs w:val="24"/>
          <w:lang w:bidi="gu-IN"/>
        </w:rPr>
        <w:t>viz</w:t>
      </w:r>
      <w:r>
        <w:rPr>
          <w:rFonts w:ascii="Times New Roman" w:hAnsi="Times New Roman"/>
          <w:sz w:val="24"/>
          <w:szCs w:val="24"/>
          <w:lang w:bidi="gu-IN"/>
        </w:rPr>
        <w:t xml:space="preserve">. </w:t>
      </w:r>
      <w:r>
        <w:rPr>
          <w:rFonts w:ascii="Times New Roman" w:hAnsi="Times New Roman"/>
          <w:sz w:val="24"/>
          <w:szCs w:val="24"/>
        </w:rPr>
        <w:t xml:space="preserve">Per cent polymorphism (PPL), Observed and effective number of alleles (Na and Ne), Nei's gene diversity (H), Shannon information index (I) and </w:t>
      </w:r>
      <w:r>
        <w:rPr>
          <w:rFonts w:ascii="Times New Roman" w:hAnsi="Times New Roman"/>
          <w:sz w:val="24"/>
          <w:szCs w:val="24"/>
          <w:lang w:bidi="gu-IN"/>
        </w:rPr>
        <w:t xml:space="preserve">gene diversity parameters in subdivided populations </w:t>
      </w:r>
      <w:r>
        <w:rPr>
          <w:rFonts w:ascii="Times New Roman" w:hAnsi="Times New Roman"/>
          <w:i/>
          <w:iCs/>
          <w:sz w:val="24"/>
          <w:szCs w:val="24"/>
          <w:lang w:bidi="gu-IN"/>
        </w:rPr>
        <w:t>viz</w:t>
      </w:r>
      <w:r>
        <w:rPr>
          <w:rFonts w:ascii="Times New Roman" w:hAnsi="Times New Roman"/>
          <w:sz w:val="24"/>
          <w:szCs w:val="24"/>
          <w:lang w:bidi="gu-IN"/>
        </w:rPr>
        <w:t>.</w:t>
      </w:r>
      <w:r>
        <w:rPr>
          <w:rFonts w:ascii="Times New Roman" w:hAnsi="Times New Roman"/>
          <w:sz w:val="24"/>
          <w:szCs w:val="24"/>
          <w:vertAlign w:val="subscript"/>
          <w:lang w:bidi="gu-IN"/>
        </w:rPr>
        <w:t xml:space="preserve">  </w:t>
      </w:r>
      <w:r>
        <w:rPr>
          <w:rFonts w:ascii="Times New Roman" w:hAnsi="Times New Roman"/>
          <w:sz w:val="24"/>
          <w:szCs w:val="24"/>
          <w:lang w:bidi="gu-IN"/>
        </w:rPr>
        <w:t>total genetic diversity (H</w:t>
      </w:r>
      <w:r>
        <w:rPr>
          <w:rFonts w:ascii="Times New Roman" w:hAnsi="Times New Roman"/>
          <w:sz w:val="24"/>
          <w:szCs w:val="24"/>
          <w:vertAlign w:val="subscript"/>
          <w:lang w:bidi="gu-IN"/>
        </w:rPr>
        <w:t xml:space="preserve">T </w:t>
      </w:r>
      <w:r>
        <w:rPr>
          <w:rFonts w:ascii="Times New Roman" w:hAnsi="Times New Roman"/>
          <w:sz w:val="24"/>
          <w:szCs w:val="24"/>
          <w:lang w:bidi="gu-IN"/>
        </w:rPr>
        <w:t>),  genetic diversity within the population (Hs), coefﬁcient of gene differentiation between populations (</w:t>
      </w:r>
      <w:r>
        <w:rPr>
          <w:rFonts w:ascii="Times New Roman" w:hAnsi="Times New Roman"/>
          <w:i/>
          <w:iCs/>
          <w:sz w:val="24"/>
          <w:szCs w:val="24"/>
          <w:lang w:bidi="gu-IN"/>
        </w:rPr>
        <w:t>G</w:t>
      </w:r>
      <w:r>
        <w:rPr>
          <w:rFonts w:ascii="Times New Roman" w:hAnsi="Times New Roman"/>
          <w:i/>
          <w:iCs/>
          <w:sz w:val="24"/>
          <w:szCs w:val="24"/>
          <w:vertAlign w:val="subscript"/>
          <w:lang w:bidi="gu-IN"/>
        </w:rPr>
        <w:t>ST</w:t>
      </w:r>
      <w:r>
        <w:rPr>
          <w:rFonts w:ascii="Times New Roman" w:hAnsi="Times New Roman"/>
          <w:i/>
          <w:iCs/>
          <w:sz w:val="24"/>
          <w:szCs w:val="24"/>
          <w:lang w:bidi="gu-IN"/>
        </w:rPr>
        <w:t xml:space="preserve">) </w:t>
      </w:r>
      <w:r>
        <w:rPr>
          <w:rFonts w:ascii="Times New Roman" w:hAnsi="Times New Roman"/>
          <w:sz w:val="24"/>
          <w:szCs w:val="24"/>
          <w:lang w:bidi="gu-IN"/>
        </w:rPr>
        <w:t xml:space="preserve"> and gene flow (</w:t>
      </w:r>
      <w:r>
        <w:rPr>
          <w:rFonts w:ascii="Times New Roman" w:hAnsi="Times New Roman"/>
          <w:i/>
          <w:iCs/>
          <w:sz w:val="24"/>
          <w:szCs w:val="24"/>
          <w:lang w:bidi="gu-IN"/>
        </w:rPr>
        <w:t>Nm</w:t>
      </w:r>
      <w:r>
        <w:rPr>
          <w:rFonts w:ascii="Times New Roman" w:hAnsi="Times New Roman"/>
          <w:sz w:val="24"/>
          <w:szCs w:val="24"/>
          <w:lang w:bidi="gu-IN"/>
        </w:rPr>
        <w:t>) among populations, according to Nei (1987). Nei's original measures of genetic identity and distance (Nei, 1972) were also calculated in POPGENE 1.31, and the dendrogram</w:t>
      </w:r>
      <w:r>
        <w:rPr>
          <w:rFonts w:ascii="Times New Roman" w:hAnsi="Times New Roman"/>
          <w:spacing w:val="20"/>
          <w:sz w:val="24"/>
          <w:szCs w:val="24"/>
          <w:lang w:bidi="gu-IN"/>
        </w:rPr>
        <w:t xml:space="preserve"> </w:t>
      </w:r>
      <w:r>
        <w:rPr>
          <w:rFonts w:ascii="Times New Roman" w:hAnsi="Times New Roman"/>
          <w:sz w:val="24"/>
          <w:szCs w:val="24"/>
          <w:lang w:bidi="gu-IN"/>
        </w:rPr>
        <w:t>was constructed using an unweighted pair group method with arithmetic average (UPGMA). Analysis of Molecular Variance (AMOVA) was done with software package  GenAlEx6 (Peakall and Smouse, 2006).</w:t>
      </w:r>
    </w:p>
    <w:p w14:paraId="678A773F">
      <w:pPr>
        <w:spacing w:after="0" w:line="360" w:lineRule="auto"/>
        <w:ind w:firstLine="720"/>
        <w:contextualSpacing/>
        <w:jc w:val="both"/>
        <w:rPr>
          <w:rFonts w:ascii="Times New Roman" w:hAnsi="Times New Roman"/>
          <w:sz w:val="24"/>
          <w:szCs w:val="24"/>
          <w:lang w:bidi="gu-IN"/>
        </w:rPr>
      </w:pPr>
    </w:p>
    <w:p w14:paraId="619DC1E9">
      <w:pPr>
        <w:pStyle w:val="40"/>
        <w:spacing w:line="360" w:lineRule="auto"/>
        <w:jc w:val="both"/>
        <w:rPr>
          <w:rFonts w:ascii="Times New Roman" w:hAnsi="Times New Roman"/>
          <w:b/>
          <w:bCs/>
          <w:sz w:val="24"/>
          <w:szCs w:val="24"/>
        </w:rPr>
      </w:pPr>
      <w:r>
        <w:rPr>
          <w:rFonts w:ascii="Times New Roman" w:hAnsi="Times New Roman"/>
          <w:b/>
          <w:bCs/>
          <w:sz w:val="24"/>
          <w:szCs w:val="24"/>
        </w:rPr>
        <w:t>3. RESULTS AND DISCUSSION</w:t>
      </w:r>
    </w:p>
    <w:p w14:paraId="238D5822">
      <w:pPr>
        <w:pStyle w:val="40"/>
        <w:spacing w:line="360" w:lineRule="auto"/>
        <w:jc w:val="both"/>
        <w:rPr>
          <w:rFonts w:ascii="Times New Roman" w:hAnsi="Times New Roman"/>
          <w:b/>
          <w:bCs/>
          <w:sz w:val="24"/>
          <w:szCs w:val="24"/>
        </w:rPr>
      </w:pPr>
      <w:r>
        <w:rPr>
          <w:rFonts w:ascii="Times New Roman" w:hAnsi="Times New Roman"/>
          <w:b/>
          <w:bCs/>
          <w:sz w:val="24"/>
          <w:szCs w:val="24"/>
        </w:rPr>
        <w:t xml:space="preserve">3.1 Molecular variability among natural populations of </w:t>
      </w:r>
      <w:r>
        <w:rPr>
          <w:rFonts w:ascii="Times New Roman" w:hAnsi="Times New Roman"/>
          <w:b/>
          <w:bCs/>
          <w:i/>
          <w:iCs/>
          <w:sz w:val="24"/>
          <w:szCs w:val="24"/>
        </w:rPr>
        <w:t>M. dubia</w:t>
      </w:r>
      <w:r>
        <w:rPr>
          <w:rFonts w:ascii="Times New Roman" w:hAnsi="Times New Roman"/>
          <w:b/>
          <w:bCs/>
          <w:sz w:val="24"/>
          <w:szCs w:val="24"/>
        </w:rPr>
        <w:t xml:space="preserve"> as revealed by RAPD markers</w:t>
      </w:r>
    </w:p>
    <w:p w14:paraId="007AD750">
      <w:pPr>
        <w:spacing w:line="360" w:lineRule="auto"/>
        <w:ind w:firstLine="720"/>
        <w:jc w:val="both"/>
        <w:rPr>
          <w:rFonts w:ascii="Times New Roman" w:hAnsi="Times New Roman"/>
          <w:sz w:val="24"/>
          <w:szCs w:val="24"/>
        </w:rPr>
      </w:pPr>
      <w:r>
        <w:rPr>
          <w:rFonts w:ascii="Times New Roman" w:hAnsi="Times New Roman"/>
          <w:sz w:val="24"/>
          <w:szCs w:val="24"/>
        </w:rPr>
        <w:t xml:space="preserve">Molecular profiling of 40 genotypes, comprising 4 natural populations was done in the present study using RAPD markers. Out of 18 RAPD primers tested, 10 primers (Table 1) produced clear and reproducible band. The number of loci amplified by these RAPD primers ranged between 4 (OPL 12) to 8 (OPD 02) (Fig. 2). A total of 59 locus amplified of which 44 (74.58%) loci were polymorphic and 15 (25.42%) loci were monomorphic. The highest diversity in DNA band pattern was evident from OPD 02 (6 polymorphic loci), followed by OPB 02, OPD 15, OPL 13 and OPL 14 with 5 polymorphic loci in each whereas, minimum diversity was resulted from OPB 11 and OPL 12 with 3 PL each. The percentage of polymorphism ranged from 60 % for OPB 11 to 83.33 % for OPB 02, OPL 13 and OPL 14. High PIC value of 0.5 (OPB 11) and low PIC value of 0.16 (OPL 13), with an average value of PIC per primer 0.32 were obtained. The differences in DNA band pattern was result of amplification of DNA sequence at certain base pairs due to differences in base pairs (Na'iem </w:t>
      </w:r>
      <w:r>
        <w:rPr>
          <w:rFonts w:ascii="Times New Roman" w:hAnsi="Times New Roman"/>
          <w:i/>
          <w:iCs/>
          <w:sz w:val="24"/>
          <w:szCs w:val="24"/>
        </w:rPr>
        <w:t>et al.,</w:t>
      </w:r>
      <w:r>
        <w:rPr>
          <w:rFonts w:ascii="Times New Roman" w:hAnsi="Times New Roman"/>
          <w:sz w:val="24"/>
          <w:szCs w:val="24"/>
        </w:rPr>
        <w:t xml:space="preserve"> 2017). Similar variations in DNA band pattern was noted in </w:t>
      </w:r>
      <w:r>
        <w:rPr>
          <w:rFonts w:ascii="Times New Roman" w:hAnsi="Times New Roman"/>
          <w:i/>
          <w:iCs/>
          <w:sz w:val="24"/>
          <w:szCs w:val="24"/>
        </w:rPr>
        <w:t xml:space="preserve">Melia azedarach </w:t>
      </w:r>
      <w:r>
        <w:rPr>
          <w:rFonts w:ascii="Times New Roman" w:hAnsi="Times New Roman"/>
          <w:sz w:val="24"/>
          <w:szCs w:val="24"/>
        </w:rPr>
        <w:t xml:space="preserve">by Yulianti </w:t>
      </w:r>
      <w:r>
        <w:rPr>
          <w:rFonts w:ascii="Times New Roman" w:hAnsi="Times New Roman"/>
          <w:i/>
          <w:iCs/>
          <w:sz w:val="24"/>
          <w:szCs w:val="24"/>
        </w:rPr>
        <w:t xml:space="preserve">et al. </w:t>
      </w:r>
      <w:r>
        <w:rPr>
          <w:rFonts w:ascii="Times New Roman" w:hAnsi="Times New Roman"/>
          <w:sz w:val="24"/>
          <w:szCs w:val="24"/>
        </w:rPr>
        <w:t xml:space="preserve">(2011), </w:t>
      </w:r>
      <w:r>
        <w:rPr>
          <w:rFonts w:ascii="Times New Roman" w:hAnsi="Times New Roman"/>
          <w:i/>
          <w:iCs/>
          <w:sz w:val="24"/>
          <w:szCs w:val="24"/>
        </w:rPr>
        <w:t xml:space="preserve">Melia volkeensii </w:t>
      </w:r>
      <w:r>
        <w:rPr>
          <w:rFonts w:ascii="Times New Roman" w:hAnsi="Times New Roman"/>
          <w:sz w:val="24"/>
          <w:szCs w:val="24"/>
        </w:rPr>
        <w:t xml:space="preserve">by Runo </w:t>
      </w:r>
      <w:r>
        <w:rPr>
          <w:rFonts w:ascii="Times New Roman" w:hAnsi="Times New Roman"/>
          <w:i/>
          <w:iCs/>
          <w:sz w:val="24"/>
          <w:szCs w:val="24"/>
        </w:rPr>
        <w:t xml:space="preserve">et al. </w:t>
      </w:r>
      <w:r>
        <w:rPr>
          <w:rFonts w:ascii="Times New Roman" w:hAnsi="Times New Roman"/>
          <w:sz w:val="24"/>
          <w:szCs w:val="24"/>
        </w:rPr>
        <w:t xml:space="preserve">(2004) and in </w:t>
      </w:r>
      <w:r>
        <w:rPr>
          <w:rFonts w:ascii="Times New Roman" w:hAnsi="Times New Roman"/>
          <w:i/>
          <w:iCs/>
          <w:sz w:val="24"/>
          <w:szCs w:val="24"/>
        </w:rPr>
        <w:t xml:space="preserve">A. indica </w:t>
      </w:r>
      <w:r>
        <w:rPr>
          <w:rFonts w:ascii="Times New Roman" w:hAnsi="Times New Roman"/>
          <w:sz w:val="24"/>
          <w:szCs w:val="24"/>
        </w:rPr>
        <w:t xml:space="preserve">by Dhillon </w:t>
      </w:r>
      <w:r>
        <w:rPr>
          <w:rFonts w:ascii="Times New Roman" w:hAnsi="Times New Roman"/>
          <w:i/>
          <w:iCs/>
          <w:sz w:val="24"/>
          <w:szCs w:val="24"/>
        </w:rPr>
        <w:t xml:space="preserve">et al. </w:t>
      </w:r>
      <w:r>
        <w:rPr>
          <w:rFonts w:ascii="Times New Roman" w:hAnsi="Times New Roman"/>
          <w:sz w:val="24"/>
          <w:szCs w:val="24"/>
        </w:rPr>
        <w:t>(2007).</w:t>
      </w:r>
    </w:p>
    <w:p w14:paraId="61FE9CE9">
      <w:pPr>
        <w:pStyle w:val="40"/>
        <w:spacing w:line="360" w:lineRule="auto"/>
        <w:jc w:val="both"/>
        <w:rPr>
          <w:rFonts w:ascii="Times New Roman" w:hAnsi="Times New Roman"/>
          <w:b/>
          <w:bCs/>
          <w:sz w:val="32"/>
          <w:szCs w:val="32"/>
        </w:rPr>
      </w:pPr>
      <w:r>
        <w:rPr>
          <w:rFonts w:ascii="Times New Roman" w:hAnsi="Times New Roman"/>
          <w:b/>
          <w:bCs/>
          <w:sz w:val="24"/>
          <w:szCs w:val="24"/>
        </w:rPr>
        <w:t xml:space="preserve">Table 1. Primer-wise analysis of banding patterns generated by RAPD marker assays in natural populations of </w:t>
      </w:r>
      <w:r>
        <w:rPr>
          <w:rFonts w:ascii="Times New Roman" w:hAnsi="Times New Roman"/>
          <w:b/>
          <w:bCs/>
          <w:i/>
          <w:iCs/>
          <w:sz w:val="24"/>
          <w:szCs w:val="24"/>
        </w:rPr>
        <w:t>M. dubia</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1253"/>
        <w:gridCol w:w="1117"/>
        <w:gridCol w:w="1254"/>
        <w:gridCol w:w="1535"/>
        <w:gridCol w:w="1439"/>
        <w:gridCol w:w="1437"/>
      </w:tblGrid>
      <w:tr w14:paraId="4256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54" w:type="pct"/>
            <w:noWrap/>
            <w:vAlign w:val="center"/>
          </w:tcPr>
          <w:p w14:paraId="64F8C4ED">
            <w:pPr>
              <w:spacing w:after="0" w:line="240" w:lineRule="auto"/>
              <w:jc w:val="center"/>
              <w:rPr>
                <w:rFonts w:ascii="Times New Roman" w:hAnsi="Times New Roman" w:eastAsia="Times New Roman"/>
                <w:b/>
                <w:bCs/>
                <w:sz w:val="24"/>
                <w:szCs w:val="24"/>
                <w:lang w:eastAsia="en-IN"/>
              </w:rPr>
            </w:pPr>
            <w:r>
              <w:rPr>
                <w:rFonts w:ascii="Times New Roman" w:hAnsi="Times New Roman" w:eastAsia="Times New Roman"/>
                <w:b/>
                <w:bCs/>
                <w:sz w:val="24"/>
                <w:szCs w:val="24"/>
                <w:lang w:eastAsia="en-IN"/>
              </w:rPr>
              <w:t>Primer</w:t>
            </w:r>
          </w:p>
        </w:tc>
        <w:tc>
          <w:tcPr>
            <w:tcW w:w="678" w:type="pct"/>
            <w:vAlign w:val="center"/>
          </w:tcPr>
          <w:p w14:paraId="195256E4">
            <w:pPr>
              <w:spacing w:after="0" w:line="240" w:lineRule="auto"/>
              <w:jc w:val="center"/>
              <w:rPr>
                <w:rFonts w:ascii="Times New Roman" w:hAnsi="Times New Roman" w:eastAsia="Times New Roman"/>
                <w:b/>
                <w:bCs/>
                <w:sz w:val="24"/>
                <w:szCs w:val="24"/>
                <w:lang w:eastAsia="en-IN"/>
              </w:rPr>
            </w:pPr>
            <w:r>
              <w:rPr>
                <w:rFonts w:ascii="Times New Roman" w:hAnsi="Times New Roman" w:eastAsia="Times New Roman"/>
                <w:b/>
                <w:bCs/>
                <w:sz w:val="24"/>
                <w:szCs w:val="24"/>
                <w:lang w:eastAsia="en-IN"/>
              </w:rPr>
              <w:t>TL</w:t>
            </w:r>
          </w:p>
        </w:tc>
        <w:tc>
          <w:tcPr>
            <w:tcW w:w="604" w:type="pct"/>
            <w:vAlign w:val="center"/>
          </w:tcPr>
          <w:p w14:paraId="446A9731">
            <w:pPr>
              <w:spacing w:after="0" w:line="240" w:lineRule="auto"/>
              <w:jc w:val="center"/>
              <w:rPr>
                <w:rFonts w:ascii="Times New Roman" w:hAnsi="Times New Roman" w:eastAsia="Times New Roman"/>
                <w:b/>
                <w:bCs/>
                <w:sz w:val="24"/>
                <w:szCs w:val="24"/>
                <w:lang w:eastAsia="en-IN"/>
              </w:rPr>
            </w:pPr>
            <w:r>
              <w:rPr>
                <w:rFonts w:ascii="Times New Roman" w:hAnsi="Times New Roman" w:eastAsia="Times New Roman"/>
                <w:b/>
                <w:bCs/>
                <w:sz w:val="24"/>
                <w:szCs w:val="24"/>
                <w:lang w:eastAsia="en-IN"/>
              </w:rPr>
              <w:t>NML</w:t>
            </w:r>
          </w:p>
        </w:tc>
        <w:tc>
          <w:tcPr>
            <w:tcW w:w="678" w:type="pct"/>
            <w:vAlign w:val="center"/>
          </w:tcPr>
          <w:p w14:paraId="00B67ABB">
            <w:pPr>
              <w:spacing w:after="0" w:line="240" w:lineRule="auto"/>
              <w:jc w:val="center"/>
              <w:rPr>
                <w:rFonts w:ascii="Times New Roman" w:hAnsi="Times New Roman" w:eastAsia="Times New Roman"/>
                <w:b/>
                <w:bCs/>
                <w:sz w:val="24"/>
                <w:szCs w:val="24"/>
                <w:lang w:eastAsia="en-IN"/>
              </w:rPr>
            </w:pPr>
            <w:r>
              <w:rPr>
                <w:rFonts w:ascii="Times New Roman" w:hAnsi="Times New Roman" w:eastAsia="Times New Roman"/>
                <w:b/>
                <w:bCs/>
                <w:sz w:val="24"/>
                <w:szCs w:val="24"/>
                <w:lang w:eastAsia="en-IN"/>
              </w:rPr>
              <w:t>NPL</w:t>
            </w:r>
          </w:p>
        </w:tc>
        <w:tc>
          <w:tcPr>
            <w:tcW w:w="830" w:type="pct"/>
            <w:vAlign w:val="center"/>
          </w:tcPr>
          <w:p w14:paraId="5292E2DC">
            <w:pPr>
              <w:spacing w:after="0" w:line="240" w:lineRule="auto"/>
              <w:jc w:val="center"/>
              <w:rPr>
                <w:rFonts w:ascii="Times New Roman" w:hAnsi="Times New Roman" w:eastAsia="Times New Roman"/>
                <w:b/>
                <w:bCs/>
                <w:sz w:val="24"/>
                <w:szCs w:val="24"/>
                <w:lang w:eastAsia="en-IN"/>
              </w:rPr>
            </w:pPr>
            <w:r>
              <w:rPr>
                <w:rFonts w:ascii="Times New Roman" w:hAnsi="Times New Roman" w:eastAsia="Times New Roman"/>
                <w:b/>
                <w:bCs/>
                <w:sz w:val="24"/>
                <w:szCs w:val="24"/>
                <w:lang w:eastAsia="en-IN"/>
              </w:rPr>
              <w:t>PP (%)</w:t>
            </w:r>
          </w:p>
        </w:tc>
        <w:tc>
          <w:tcPr>
            <w:tcW w:w="778" w:type="pct"/>
            <w:vAlign w:val="center"/>
          </w:tcPr>
          <w:p w14:paraId="2C1F2838">
            <w:pPr>
              <w:spacing w:after="0" w:line="240" w:lineRule="auto"/>
              <w:jc w:val="center"/>
              <w:rPr>
                <w:rFonts w:ascii="Times New Roman" w:hAnsi="Times New Roman" w:eastAsia="Times New Roman"/>
                <w:b/>
                <w:bCs/>
                <w:sz w:val="24"/>
                <w:szCs w:val="24"/>
                <w:lang w:eastAsia="en-IN"/>
              </w:rPr>
            </w:pPr>
            <w:r>
              <w:rPr>
                <w:rFonts w:ascii="Times New Roman" w:hAnsi="Times New Roman" w:eastAsia="Times New Roman"/>
                <w:b/>
                <w:bCs/>
                <w:sz w:val="24"/>
                <w:szCs w:val="24"/>
                <w:lang w:eastAsia="en-IN"/>
              </w:rPr>
              <w:t>PIC</w:t>
            </w:r>
          </w:p>
        </w:tc>
        <w:tc>
          <w:tcPr>
            <w:tcW w:w="777" w:type="pct"/>
            <w:vAlign w:val="center"/>
          </w:tcPr>
          <w:p w14:paraId="0F8F3672">
            <w:pPr>
              <w:spacing w:after="0" w:line="240" w:lineRule="auto"/>
              <w:jc w:val="center"/>
              <w:rPr>
                <w:rFonts w:ascii="Times New Roman" w:hAnsi="Times New Roman" w:eastAsia="Times New Roman"/>
                <w:b/>
                <w:bCs/>
                <w:sz w:val="24"/>
                <w:szCs w:val="24"/>
                <w:lang w:eastAsia="en-IN"/>
              </w:rPr>
            </w:pPr>
            <w:r>
              <w:rPr>
                <w:rFonts w:ascii="Times New Roman" w:hAnsi="Times New Roman"/>
                <w:b/>
                <w:bCs/>
                <w:sz w:val="24"/>
                <w:szCs w:val="24"/>
                <w:lang w:eastAsia="en-IN"/>
              </w:rPr>
              <w:t>BP</w:t>
            </w:r>
          </w:p>
        </w:tc>
      </w:tr>
      <w:tr w14:paraId="4534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54" w:type="pct"/>
            <w:noWrap/>
          </w:tcPr>
          <w:p w14:paraId="157F5070">
            <w:pPr>
              <w:spacing w:after="0" w:line="240" w:lineRule="auto"/>
              <w:jc w:val="center"/>
              <w:rPr>
                <w:rFonts w:ascii="Times New Roman" w:hAnsi="Times New Roman" w:eastAsia="Times New Roman"/>
                <w:b/>
                <w:bCs/>
                <w:sz w:val="24"/>
                <w:szCs w:val="24"/>
                <w:lang w:eastAsia="en-IN"/>
              </w:rPr>
            </w:pPr>
            <w:r>
              <w:rPr>
                <w:rFonts w:ascii="Times New Roman" w:hAnsi="Times New Roman" w:eastAsia="Times New Roman"/>
                <w:b/>
                <w:bCs/>
                <w:sz w:val="24"/>
                <w:szCs w:val="24"/>
                <w:lang w:eastAsia="en-IN"/>
              </w:rPr>
              <w:t>OPB 02</w:t>
            </w:r>
          </w:p>
        </w:tc>
        <w:tc>
          <w:tcPr>
            <w:tcW w:w="678" w:type="pct"/>
          </w:tcPr>
          <w:p w14:paraId="68530998">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6</w:t>
            </w:r>
          </w:p>
        </w:tc>
        <w:tc>
          <w:tcPr>
            <w:tcW w:w="604" w:type="pct"/>
          </w:tcPr>
          <w:p w14:paraId="54A3FFD5">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1</w:t>
            </w:r>
          </w:p>
        </w:tc>
        <w:tc>
          <w:tcPr>
            <w:tcW w:w="678" w:type="pct"/>
          </w:tcPr>
          <w:p w14:paraId="329A72A2">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5</w:t>
            </w:r>
          </w:p>
        </w:tc>
        <w:tc>
          <w:tcPr>
            <w:tcW w:w="830" w:type="pct"/>
          </w:tcPr>
          <w:p w14:paraId="6A2C8C09">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83.33</w:t>
            </w:r>
          </w:p>
        </w:tc>
        <w:tc>
          <w:tcPr>
            <w:tcW w:w="778" w:type="pct"/>
          </w:tcPr>
          <w:p w14:paraId="4A0537A5">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0.23</w:t>
            </w:r>
          </w:p>
        </w:tc>
        <w:tc>
          <w:tcPr>
            <w:tcW w:w="777" w:type="pct"/>
          </w:tcPr>
          <w:p w14:paraId="1ED1B58D">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300-1300</w:t>
            </w:r>
          </w:p>
        </w:tc>
      </w:tr>
      <w:tr w14:paraId="2ECF4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54" w:type="pct"/>
            <w:noWrap/>
          </w:tcPr>
          <w:p w14:paraId="0CA6DCB6">
            <w:pPr>
              <w:spacing w:after="0" w:line="240" w:lineRule="auto"/>
              <w:jc w:val="center"/>
              <w:rPr>
                <w:rFonts w:ascii="Times New Roman" w:hAnsi="Times New Roman" w:eastAsia="Times New Roman"/>
                <w:b/>
                <w:bCs/>
                <w:sz w:val="24"/>
                <w:szCs w:val="24"/>
                <w:lang w:eastAsia="en-IN"/>
              </w:rPr>
            </w:pPr>
            <w:r>
              <w:rPr>
                <w:rFonts w:ascii="Times New Roman" w:hAnsi="Times New Roman" w:eastAsia="Times New Roman"/>
                <w:b/>
                <w:bCs/>
                <w:sz w:val="24"/>
                <w:szCs w:val="24"/>
                <w:lang w:eastAsia="en-IN"/>
              </w:rPr>
              <w:t>OPB 11</w:t>
            </w:r>
          </w:p>
        </w:tc>
        <w:tc>
          <w:tcPr>
            <w:tcW w:w="678" w:type="pct"/>
          </w:tcPr>
          <w:p w14:paraId="2AF10B2F">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5</w:t>
            </w:r>
          </w:p>
        </w:tc>
        <w:tc>
          <w:tcPr>
            <w:tcW w:w="604" w:type="pct"/>
          </w:tcPr>
          <w:p w14:paraId="7C46E64F">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2</w:t>
            </w:r>
          </w:p>
        </w:tc>
        <w:tc>
          <w:tcPr>
            <w:tcW w:w="678" w:type="pct"/>
          </w:tcPr>
          <w:p w14:paraId="46FE558B">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3</w:t>
            </w:r>
          </w:p>
        </w:tc>
        <w:tc>
          <w:tcPr>
            <w:tcW w:w="830" w:type="pct"/>
          </w:tcPr>
          <w:p w14:paraId="26247E41">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60.00</w:t>
            </w:r>
          </w:p>
        </w:tc>
        <w:tc>
          <w:tcPr>
            <w:tcW w:w="778" w:type="pct"/>
          </w:tcPr>
          <w:p w14:paraId="610C4566">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0.50</w:t>
            </w:r>
          </w:p>
        </w:tc>
        <w:tc>
          <w:tcPr>
            <w:tcW w:w="777" w:type="pct"/>
          </w:tcPr>
          <w:p w14:paraId="0F901EE8">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300-2000</w:t>
            </w:r>
          </w:p>
        </w:tc>
      </w:tr>
      <w:tr w14:paraId="6105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54" w:type="pct"/>
            <w:noWrap/>
          </w:tcPr>
          <w:p w14:paraId="60C9CA0C">
            <w:pPr>
              <w:spacing w:after="0" w:line="240" w:lineRule="auto"/>
              <w:jc w:val="center"/>
              <w:rPr>
                <w:rFonts w:ascii="Times New Roman" w:hAnsi="Times New Roman" w:eastAsia="Times New Roman"/>
                <w:b/>
                <w:bCs/>
                <w:sz w:val="24"/>
                <w:szCs w:val="24"/>
                <w:lang w:eastAsia="en-IN"/>
              </w:rPr>
            </w:pPr>
            <w:r>
              <w:rPr>
                <w:rFonts w:ascii="Times New Roman" w:hAnsi="Times New Roman" w:eastAsia="Times New Roman"/>
                <w:b/>
                <w:bCs/>
                <w:sz w:val="24"/>
                <w:szCs w:val="24"/>
                <w:lang w:eastAsia="en-IN"/>
              </w:rPr>
              <w:t>OPD 02</w:t>
            </w:r>
          </w:p>
        </w:tc>
        <w:tc>
          <w:tcPr>
            <w:tcW w:w="678" w:type="pct"/>
          </w:tcPr>
          <w:p w14:paraId="4DD838F4">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8</w:t>
            </w:r>
          </w:p>
        </w:tc>
        <w:tc>
          <w:tcPr>
            <w:tcW w:w="604" w:type="pct"/>
          </w:tcPr>
          <w:p w14:paraId="7B0DC46D">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2</w:t>
            </w:r>
          </w:p>
        </w:tc>
        <w:tc>
          <w:tcPr>
            <w:tcW w:w="678" w:type="pct"/>
          </w:tcPr>
          <w:p w14:paraId="5A3576FE">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6</w:t>
            </w:r>
          </w:p>
        </w:tc>
        <w:tc>
          <w:tcPr>
            <w:tcW w:w="830" w:type="pct"/>
          </w:tcPr>
          <w:p w14:paraId="5022CF9B">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75.00</w:t>
            </w:r>
          </w:p>
        </w:tc>
        <w:tc>
          <w:tcPr>
            <w:tcW w:w="778" w:type="pct"/>
          </w:tcPr>
          <w:p w14:paraId="62834546">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0.43</w:t>
            </w:r>
          </w:p>
        </w:tc>
        <w:tc>
          <w:tcPr>
            <w:tcW w:w="777" w:type="pct"/>
          </w:tcPr>
          <w:p w14:paraId="0606BCAC">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300-2500</w:t>
            </w:r>
          </w:p>
        </w:tc>
      </w:tr>
      <w:tr w14:paraId="2863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54" w:type="pct"/>
            <w:noWrap/>
          </w:tcPr>
          <w:p w14:paraId="28E82072">
            <w:pPr>
              <w:spacing w:after="0" w:line="240" w:lineRule="auto"/>
              <w:jc w:val="center"/>
              <w:rPr>
                <w:rFonts w:ascii="Times New Roman" w:hAnsi="Times New Roman" w:eastAsia="Times New Roman"/>
                <w:b/>
                <w:bCs/>
                <w:sz w:val="24"/>
                <w:szCs w:val="24"/>
                <w:lang w:eastAsia="en-IN"/>
              </w:rPr>
            </w:pPr>
            <w:r>
              <w:rPr>
                <w:rFonts w:ascii="Times New Roman" w:hAnsi="Times New Roman" w:eastAsia="Times New Roman"/>
                <w:b/>
                <w:bCs/>
                <w:sz w:val="24"/>
                <w:szCs w:val="24"/>
                <w:lang w:eastAsia="en-IN"/>
              </w:rPr>
              <w:t>OPD 15</w:t>
            </w:r>
          </w:p>
        </w:tc>
        <w:tc>
          <w:tcPr>
            <w:tcW w:w="678" w:type="pct"/>
          </w:tcPr>
          <w:p w14:paraId="412CA67F">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7</w:t>
            </w:r>
          </w:p>
        </w:tc>
        <w:tc>
          <w:tcPr>
            <w:tcW w:w="604" w:type="pct"/>
          </w:tcPr>
          <w:p w14:paraId="68FC32AC">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2</w:t>
            </w:r>
          </w:p>
        </w:tc>
        <w:tc>
          <w:tcPr>
            <w:tcW w:w="678" w:type="pct"/>
          </w:tcPr>
          <w:p w14:paraId="2E30D6D6">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5</w:t>
            </w:r>
          </w:p>
        </w:tc>
        <w:tc>
          <w:tcPr>
            <w:tcW w:w="830" w:type="pct"/>
          </w:tcPr>
          <w:p w14:paraId="22AEAE3B">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71.42</w:t>
            </w:r>
          </w:p>
        </w:tc>
        <w:tc>
          <w:tcPr>
            <w:tcW w:w="778" w:type="pct"/>
          </w:tcPr>
          <w:p w14:paraId="225EC2C9">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0.32</w:t>
            </w:r>
          </w:p>
        </w:tc>
        <w:tc>
          <w:tcPr>
            <w:tcW w:w="777" w:type="pct"/>
          </w:tcPr>
          <w:p w14:paraId="2585080F">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275-2150</w:t>
            </w:r>
          </w:p>
        </w:tc>
      </w:tr>
      <w:tr w14:paraId="1329B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54" w:type="pct"/>
            <w:noWrap/>
          </w:tcPr>
          <w:p w14:paraId="065D6016">
            <w:pPr>
              <w:spacing w:after="0" w:line="240" w:lineRule="auto"/>
              <w:jc w:val="center"/>
              <w:rPr>
                <w:rFonts w:ascii="Times New Roman" w:hAnsi="Times New Roman" w:eastAsia="Times New Roman"/>
                <w:b/>
                <w:bCs/>
                <w:sz w:val="24"/>
                <w:szCs w:val="24"/>
                <w:lang w:eastAsia="en-IN"/>
              </w:rPr>
            </w:pPr>
            <w:r>
              <w:rPr>
                <w:rFonts w:ascii="Times New Roman" w:hAnsi="Times New Roman" w:eastAsia="Times New Roman"/>
                <w:b/>
                <w:bCs/>
                <w:sz w:val="24"/>
                <w:szCs w:val="24"/>
                <w:lang w:eastAsia="en-IN"/>
              </w:rPr>
              <w:t>OPL 05</w:t>
            </w:r>
          </w:p>
        </w:tc>
        <w:tc>
          <w:tcPr>
            <w:tcW w:w="678" w:type="pct"/>
          </w:tcPr>
          <w:p w14:paraId="5EA29425">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6</w:t>
            </w:r>
          </w:p>
        </w:tc>
        <w:tc>
          <w:tcPr>
            <w:tcW w:w="604" w:type="pct"/>
          </w:tcPr>
          <w:p w14:paraId="1E1A3160">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2</w:t>
            </w:r>
          </w:p>
        </w:tc>
        <w:tc>
          <w:tcPr>
            <w:tcW w:w="678" w:type="pct"/>
          </w:tcPr>
          <w:p w14:paraId="6DE4F2DC">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4</w:t>
            </w:r>
          </w:p>
        </w:tc>
        <w:tc>
          <w:tcPr>
            <w:tcW w:w="830" w:type="pct"/>
          </w:tcPr>
          <w:p w14:paraId="0345CA9A">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66.67</w:t>
            </w:r>
          </w:p>
        </w:tc>
        <w:tc>
          <w:tcPr>
            <w:tcW w:w="778" w:type="pct"/>
          </w:tcPr>
          <w:p w14:paraId="277A1FFB">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0.23</w:t>
            </w:r>
          </w:p>
        </w:tc>
        <w:tc>
          <w:tcPr>
            <w:tcW w:w="777" w:type="pct"/>
          </w:tcPr>
          <w:p w14:paraId="4F9FDCD5">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300-1750</w:t>
            </w:r>
          </w:p>
        </w:tc>
      </w:tr>
      <w:tr w14:paraId="57F3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54" w:type="pct"/>
            <w:noWrap/>
          </w:tcPr>
          <w:p w14:paraId="423FC773">
            <w:pPr>
              <w:spacing w:after="0" w:line="240" w:lineRule="auto"/>
              <w:jc w:val="center"/>
              <w:rPr>
                <w:rFonts w:ascii="Times New Roman" w:hAnsi="Times New Roman" w:eastAsia="Times New Roman"/>
                <w:b/>
                <w:bCs/>
                <w:sz w:val="24"/>
                <w:szCs w:val="24"/>
                <w:lang w:eastAsia="en-IN"/>
              </w:rPr>
            </w:pPr>
            <w:r>
              <w:rPr>
                <w:rFonts w:ascii="Times New Roman" w:hAnsi="Times New Roman" w:eastAsia="Times New Roman"/>
                <w:b/>
                <w:bCs/>
                <w:sz w:val="24"/>
                <w:szCs w:val="24"/>
                <w:lang w:eastAsia="en-IN"/>
              </w:rPr>
              <w:t>OPL 11</w:t>
            </w:r>
          </w:p>
        </w:tc>
        <w:tc>
          <w:tcPr>
            <w:tcW w:w="678" w:type="pct"/>
          </w:tcPr>
          <w:p w14:paraId="00818FD0">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5</w:t>
            </w:r>
          </w:p>
        </w:tc>
        <w:tc>
          <w:tcPr>
            <w:tcW w:w="604" w:type="pct"/>
          </w:tcPr>
          <w:p w14:paraId="0576DE08">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1</w:t>
            </w:r>
          </w:p>
        </w:tc>
        <w:tc>
          <w:tcPr>
            <w:tcW w:w="678" w:type="pct"/>
          </w:tcPr>
          <w:p w14:paraId="3C30869D">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4</w:t>
            </w:r>
          </w:p>
        </w:tc>
        <w:tc>
          <w:tcPr>
            <w:tcW w:w="830" w:type="pct"/>
          </w:tcPr>
          <w:p w14:paraId="2CA912BB">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80.00</w:t>
            </w:r>
          </w:p>
        </w:tc>
        <w:tc>
          <w:tcPr>
            <w:tcW w:w="778" w:type="pct"/>
          </w:tcPr>
          <w:p w14:paraId="6D40546A">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0.38</w:t>
            </w:r>
          </w:p>
        </w:tc>
        <w:tc>
          <w:tcPr>
            <w:tcW w:w="777" w:type="pct"/>
          </w:tcPr>
          <w:p w14:paraId="4F696D4A">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250-1850</w:t>
            </w:r>
          </w:p>
        </w:tc>
      </w:tr>
      <w:tr w14:paraId="2157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54" w:type="pct"/>
            <w:noWrap/>
          </w:tcPr>
          <w:p w14:paraId="2FD4E492">
            <w:pPr>
              <w:spacing w:after="0" w:line="240" w:lineRule="auto"/>
              <w:jc w:val="center"/>
              <w:rPr>
                <w:rFonts w:ascii="Times New Roman" w:hAnsi="Times New Roman" w:eastAsia="Times New Roman"/>
                <w:b/>
                <w:bCs/>
                <w:sz w:val="24"/>
                <w:szCs w:val="24"/>
                <w:lang w:eastAsia="en-IN"/>
              </w:rPr>
            </w:pPr>
            <w:r>
              <w:rPr>
                <w:rFonts w:ascii="Times New Roman" w:hAnsi="Times New Roman" w:eastAsia="Times New Roman"/>
                <w:b/>
                <w:bCs/>
                <w:sz w:val="24"/>
                <w:szCs w:val="24"/>
                <w:lang w:eastAsia="en-IN"/>
              </w:rPr>
              <w:t>OPL 12</w:t>
            </w:r>
          </w:p>
        </w:tc>
        <w:tc>
          <w:tcPr>
            <w:tcW w:w="678" w:type="pct"/>
          </w:tcPr>
          <w:p w14:paraId="756FF912">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4</w:t>
            </w:r>
          </w:p>
        </w:tc>
        <w:tc>
          <w:tcPr>
            <w:tcW w:w="604" w:type="pct"/>
          </w:tcPr>
          <w:p w14:paraId="63B31D2D">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1</w:t>
            </w:r>
          </w:p>
        </w:tc>
        <w:tc>
          <w:tcPr>
            <w:tcW w:w="678" w:type="pct"/>
          </w:tcPr>
          <w:p w14:paraId="69732814">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3</w:t>
            </w:r>
          </w:p>
        </w:tc>
        <w:tc>
          <w:tcPr>
            <w:tcW w:w="830" w:type="pct"/>
          </w:tcPr>
          <w:p w14:paraId="01D57437">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75.00</w:t>
            </w:r>
          </w:p>
        </w:tc>
        <w:tc>
          <w:tcPr>
            <w:tcW w:w="778" w:type="pct"/>
          </w:tcPr>
          <w:p w14:paraId="74D81980">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0.39</w:t>
            </w:r>
          </w:p>
        </w:tc>
        <w:tc>
          <w:tcPr>
            <w:tcW w:w="777" w:type="pct"/>
          </w:tcPr>
          <w:p w14:paraId="026413C3">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300-2250</w:t>
            </w:r>
          </w:p>
        </w:tc>
      </w:tr>
      <w:tr w14:paraId="78643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54" w:type="pct"/>
            <w:noWrap/>
          </w:tcPr>
          <w:p w14:paraId="297A33EA">
            <w:pPr>
              <w:spacing w:after="0" w:line="240" w:lineRule="auto"/>
              <w:jc w:val="center"/>
              <w:rPr>
                <w:rFonts w:ascii="Times New Roman" w:hAnsi="Times New Roman" w:eastAsia="Times New Roman"/>
                <w:b/>
                <w:bCs/>
                <w:sz w:val="24"/>
                <w:szCs w:val="24"/>
                <w:lang w:eastAsia="en-IN"/>
              </w:rPr>
            </w:pPr>
            <w:r>
              <w:rPr>
                <w:rFonts w:ascii="Times New Roman" w:hAnsi="Times New Roman" w:eastAsia="Times New Roman"/>
                <w:b/>
                <w:bCs/>
                <w:sz w:val="24"/>
                <w:szCs w:val="24"/>
                <w:lang w:eastAsia="en-IN"/>
              </w:rPr>
              <w:t>OPL 13</w:t>
            </w:r>
          </w:p>
        </w:tc>
        <w:tc>
          <w:tcPr>
            <w:tcW w:w="678" w:type="pct"/>
          </w:tcPr>
          <w:p w14:paraId="6924BA77">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6</w:t>
            </w:r>
          </w:p>
        </w:tc>
        <w:tc>
          <w:tcPr>
            <w:tcW w:w="604" w:type="pct"/>
          </w:tcPr>
          <w:p w14:paraId="411259B9">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1</w:t>
            </w:r>
          </w:p>
        </w:tc>
        <w:tc>
          <w:tcPr>
            <w:tcW w:w="678" w:type="pct"/>
          </w:tcPr>
          <w:p w14:paraId="7808D6A9">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5</w:t>
            </w:r>
          </w:p>
        </w:tc>
        <w:tc>
          <w:tcPr>
            <w:tcW w:w="830" w:type="pct"/>
          </w:tcPr>
          <w:p w14:paraId="0620040A">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83.33</w:t>
            </w:r>
          </w:p>
        </w:tc>
        <w:tc>
          <w:tcPr>
            <w:tcW w:w="778" w:type="pct"/>
          </w:tcPr>
          <w:p w14:paraId="1547A3D1">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0.16</w:t>
            </w:r>
          </w:p>
        </w:tc>
        <w:tc>
          <w:tcPr>
            <w:tcW w:w="777" w:type="pct"/>
          </w:tcPr>
          <w:p w14:paraId="232C0E23">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300-2175</w:t>
            </w:r>
          </w:p>
        </w:tc>
      </w:tr>
      <w:tr w14:paraId="2DD8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54" w:type="pct"/>
            <w:noWrap/>
          </w:tcPr>
          <w:p w14:paraId="37403AAB">
            <w:pPr>
              <w:spacing w:after="0" w:line="240" w:lineRule="auto"/>
              <w:jc w:val="center"/>
              <w:rPr>
                <w:rFonts w:ascii="Times New Roman" w:hAnsi="Times New Roman" w:eastAsia="Times New Roman"/>
                <w:b/>
                <w:bCs/>
                <w:sz w:val="24"/>
                <w:szCs w:val="24"/>
                <w:lang w:eastAsia="en-IN"/>
              </w:rPr>
            </w:pPr>
            <w:r>
              <w:rPr>
                <w:rFonts w:ascii="Times New Roman" w:hAnsi="Times New Roman" w:eastAsia="Times New Roman"/>
                <w:b/>
                <w:bCs/>
                <w:sz w:val="24"/>
                <w:szCs w:val="24"/>
                <w:lang w:eastAsia="en-IN"/>
              </w:rPr>
              <w:t>OPL 14</w:t>
            </w:r>
          </w:p>
        </w:tc>
        <w:tc>
          <w:tcPr>
            <w:tcW w:w="678" w:type="pct"/>
          </w:tcPr>
          <w:p w14:paraId="41EDDC31">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6</w:t>
            </w:r>
          </w:p>
        </w:tc>
        <w:tc>
          <w:tcPr>
            <w:tcW w:w="604" w:type="pct"/>
          </w:tcPr>
          <w:p w14:paraId="5D2523EF">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1</w:t>
            </w:r>
          </w:p>
        </w:tc>
        <w:tc>
          <w:tcPr>
            <w:tcW w:w="678" w:type="pct"/>
          </w:tcPr>
          <w:p w14:paraId="74E06362">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5</w:t>
            </w:r>
          </w:p>
        </w:tc>
        <w:tc>
          <w:tcPr>
            <w:tcW w:w="830" w:type="pct"/>
          </w:tcPr>
          <w:p w14:paraId="5F51A574">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83.33</w:t>
            </w:r>
          </w:p>
        </w:tc>
        <w:tc>
          <w:tcPr>
            <w:tcW w:w="778" w:type="pct"/>
          </w:tcPr>
          <w:p w14:paraId="5A4540E9">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0.32</w:t>
            </w:r>
          </w:p>
        </w:tc>
        <w:tc>
          <w:tcPr>
            <w:tcW w:w="777" w:type="pct"/>
          </w:tcPr>
          <w:p w14:paraId="305DF261">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275-1650</w:t>
            </w:r>
          </w:p>
        </w:tc>
      </w:tr>
      <w:tr w14:paraId="250B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54" w:type="pct"/>
            <w:noWrap/>
          </w:tcPr>
          <w:p w14:paraId="53C933DD">
            <w:pPr>
              <w:spacing w:after="0" w:line="240" w:lineRule="auto"/>
              <w:jc w:val="center"/>
              <w:rPr>
                <w:rFonts w:ascii="Times New Roman" w:hAnsi="Times New Roman" w:eastAsia="Times New Roman"/>
                <w:b/>
                <w:bCs/>
                <w:sz w:val="24"/>
                <w:szCs w:val="24"/>
                <w:lang w:eastAsia="en-IN"/>
              </w:rPr>
            </w:pPr>
            <w:r>
              <w:rPr>
                <w:rFonts w:ascii="Times New Roman" w:hAnsi="Times New Roman" w:eastAsia="Times New Roman"/>
                <w:b/>
                <w:bCs/>
                <w:sz w:val="24"/>
                <w:szCs w:val="24"/>
                <w:lang w:eastAsia="en-IN"/>
              </w:rPr>
              <w:t>OPL 15</w:t>
            </w:r>
          </w:p>
        </w:tc>
        <w:tc>
          <w:tcPr>
            <w:tcW w:w="678" w:type="pct"/>
          </w:tcPr>
          <w:p w14:paraId="2FE6CCC5">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6</w:t>
            </w:r>
          </w:p>
        </w:tc>
        <w:tc>
          <w:tcPr>
            <w:tcW w:w="604" w:type="pct"/>
          </w:tcPr>
          <w:p w14:paraId="444A727D">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2</w:t>
            </w:r>
          </w:p>
        </w:tc>
        <w:tc>
          <w:tcPr>
            <w:tcW w:w="678" w:type="pct"/>
          </w:tcPr>
          <w:p w14:paraId="771705D7">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4</w:t>
            </w:r>
          </w:p>
        </w:tc>
        <w:tc>
          <w:tcPr>
            <w:tcW w:w="830" w:type="pct"/>
          </w:tcPr>
          <w:p w14:paraId="4948008A">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66.67</w:t>
            </w:r>
          </w:p>
        </w:tc>
        <w:tc>
          <w:tcPr>
            <w:tcW w:w="778" w:type="pct"/>
          </w:tcPr>
          <w:p w14:paraId="6A499CA6">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0.22</w:t>
            </w:r>
          </w:p>
        </w:tc>
        <w:tc>
          <w:tcPr>
            <w:tcW w:w="777" w:type="pct"/>
          </w:tcPr>
          <w:p w14:paraId="66A65B02">
            <w:pPr>
              <w:spacing w:after="0" w:line="240" w:lineRule="auto"/>
              <w:jc w:val="center"/>
              <w:rPr>
                <w:rFonts w:ascii="Times New Roman" w:hAnsi="Times New Roman" w:eastAsia="Times New Roman"/>
                <w:sz w:val="24"/>
                <w:szCs w:val="24"/>
                <w:lang w:eastAsia="en-IN"/>
              </w:rPr>
            </w:pPr>
            <w:r>
              <w:rPr>
                <w:rFonts w:ascii="Times New Roman" w:hAnsi="Times New Roman" w:eastAsia="Times New Roman"/>
                <w:sz w:val="24"/>
                <w:szCs w:val="24"/>
                <w:lang w:eastAsia="en-IN"/>
              </w:rPr>
              <w:t>250-2275</w:t>
            </w:r>
          </w:p>
        </w:tc>
      </w:tr>
      <w:tr w14:paraId="1E0C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54" w:type="pct"/>
            <w:noWrap/>
          </w:tcPr>
          <w:p w14:paraId="46A44E33">
            <w:pPr>
              <w:spacing w:after="0" w:line="240" w:lineRule="auto"/>
              <w:jc w:val="center"/>
              <w:rPr>
                <w:rFonts w:ascii="Times New Roman" w:hAnsi="Times New Roman" w:eastAsia="Times New Roman"/>
                <w:b/>
                <w:bCs/>
                <w:sz w:val="24"/>
                <w:szCs w:val="24"/>
                <w:lang w:eastAsia="en-IN"/>
              </w:rPr>
            </w:pPr>
            <w:r>
              <w:rPr>
                <w:rFonts w:ascii="Times New Roman" w:hAnsi="Times New Roman" w:eastAsia="Times New Roman"/>
                <w:b/>
                <w:bCs/>
                <w:sz w:val="24"/>
                <w:szCs w:val="24"/>
                <w:lang w:eastAsia="en-IN"/>
              </w:rPr>
              <w:t>Overall</w:t>
            </w:r>
          </w:p>
        </w:tc>
        <w:tc>
          <w:tcPr>
            <w:tcW w:w="678" w:type="pct"/>
          </w:tcPr>
          <w:p w14:paraId="7519B1D3">
            <w:pPr>
              <w:spacing w:after="0" w:line="240" w:lineRule="auto"/>
              <w:jc w:val="center"/>
              <w:rPr>
                <w:rFonts w:ascii="Times New Roman" w:hAnsi="Times New Roman" w:eastAsia="Times New Roman"/>
                <w:b/>
                <w:bCs/>
                <w:sz w:val="24"/>
                <w:szCs w:val="24"/>
                <w:lang w:eastAsia="en-IN"/>
              </w:rPr>
            </w:pPr>
            <w:r>
              <w:rPr>
                <w:rFonts w:ascii="Times New Roman" w:hAnsi="Times New Roman" w:eastAsia="Times New Roman"/>
                <w:b/>
                <w:bCs/>
                <w:sz w:val="24"/>
                <w:szCs w:val="24"/>
                <w:lang w:eastAsia="en-IN"/>
              </w:rPr>
              <w:t>59</w:t>
            </w:r>
          </w:p>
        </w:tc>
        <w:tc>
          <w:tcPr>
            <w:tcW w:w="604" w:type="pct"/>
          </w:tcPr>
          <w:p w14:paraId="75C7D4B3">
            <w:pPr>
              <w:spacing w:after="0" w:line="240" w:lineRule="auto"/>
              <w:jc w:val="center"/>
              <w:rPr>
                <w:rFonts w:ascii="Times New Roman" w:hAnsi="Times New Roman" w:eastAsia="Times New Roman"/>
                <w:b/>
                <w:bCs/>
                <w:sz w:val="24"/>
                <w:szCs w:val="24"/>
                <w:lang w:eastAsia="en-IN"/>
              </w:rPr>
            </w:pPr>
            <w:r>
              <w:rPr>
                <w:rFonts w:ascii="Times New Roman" w:hAnsi="Times New Roman" w:eastAsia="Times New Roman"/>
                <w:b/>
                <w:bCs/>
                <w:sz w:val="24"/>
                <w:szCs w:val="24"/>
                <w:lang w:eastAsia="en-IN"/>
              </w:rPr>
              <w:t>15</w:t>
            </w:r>
          </w:p>
        </w:tc>
        <w:tc>
          <w:tcPr>
            <w:tcW w:w="678" w:type="pct"/>
          </w:tcPr>
          <w:p w14:paraId="0E37CA58">
            <w:pPr>
              <w:spacing w:after="0" w:line="240" w:lineRule="auto"/>
              <w:jc w:val="center"/>
              <w:rPr>
                <w:rFonts w:ascii="Times New Roman" w:hAnsi="Times New Roman" w:eastAsia="Times New Roman"/>
                <w:b/>
                <w:bCs/>
                <w:sz w:val="24"/>
                <w:szCs w:val="24"/>
                <w:lang w:eastAsia="en-IN"/>
              </w:rPr>
            </w:pPr>
            <w:r>
              <w:rPr>
                <w:rFonts w:ascii="Times New Roman" w:hAnsi="Times New Roman" w:eastAsia="Times New Roman"/>
                <w:b/>
                <w:bCs/>
                <w:sz w:val="24"/>
                <w:szCs w:val="24"/>
                <w:lang w:eastAsia="en-IN"/>
              </w:rPr>
              <w:t>44</w:t>
            </w:r>
          </w:p>
        </w:tc>
        <w:tc>
          <w:tcPr>
            <w:tcW w:w="830" w:type="pct"/>
          </w:tcPr>
          <w:p w14:paraId="0D5A5A6E">
            <w:pPr>
              <w:spacing w:after="0" w:line="240" w:lineRule="auto"/>
              <w:jc w:val="center"/>
              <w:rPr>
                <w:rFonts w:ascii="Times New Roman" w:hAnsi="Times New Roman" w:eastAsia="Times New Roman"/>
                <w:b/>
                <w:bCs/>
                <w:sz w:val="24"/>
                <w:szCs w:val="24"/>
                <w:lang w:eastAsia="en-IN"/>
              </w:rPr>
            </w:pPr>
            <w:r>
              <w:rPr>
                <w:rFonts w:ascii="Times New Roman" w:hAnsi="Times New Roman" w:eastAsia="Times New Roman"/>
                <w:b/>
                <w:bCs/>
                <w:sz w:val="24"/>
                <w:szCs w:val="24"/>
                <w:lang w:eastAsia="en-IN"/>
              </w:rPr>
              <w:t>74.58</w:t>
            </w:r>
          </w:p>
        </w:tc>
        <w:tc>
          <w:tcPr>
            <w:tcW w:w="778" w:type="pct"/>
          </w:tcPr>
          <w:p w14:paraId="5E4BD3E0">
            <w:pPr>
              <w:spacing w:after="0" w:line="240" w:lineRule="auto"/>
              <w:jc w:val="center"/>
              <w:rPr>
                <w:rFonts w:ascii="Times New Roman" w:hAnsi="Times New Roman" w:eastAsia="Times New Roman"/>
                <w:b/>
                <w:bCs/>
                <w:sz w:val="24"/>
                <w:szCs w:val="24"/>
                <w:lang w:eastAsia="en-IN"/>
              </w:rPr>
            </w:pPr>
            <w:r>
              <w:rPr>
                <w:rFonts w:ascii="Times New Roman" w:hAnsi="Times New Roman" w:eastAsia="Times New Roman"/>
                <w:b/>
                <w:bCs/>
                <w:sz w:val="24"/>
                <w:szCs w:val="24"/>
                <w:lang w:eastAsia="en-IN"/>
              </w:rPr>
              <w:t>0.32</w:t>
            </w:r>
          </w:p>
        </w:tc>
        <w:tc>
          <w:tcPr>
            <w:tcW w:w="777" w:type="pct"/>
          </w:tcPr>
          <w:p w14:paraId="3251023A">
            <w:pPr>
              <w:spacing w:after="0" w:line="240" w:lineRule="auto"/>
              <w:jc w:val="center"/>
              <w:rPr>
                <w:rFonts w:ascii="Times New Roman" w:hAnsi="Times New Roman" w:eastAsia="Times New Roman"/>
                <w:b/>
                <w:bCs/>
                <w:sz w:val="24"/>
                <w:szCs w:val="24"/>
                <w:lang w:eastAsia="en-IN"/>
              </w:rPr>
            </w:pPr>
            <w:r>
              <w:rPr>
                <w:rFonts w:ascii="Times New Roman" w:hAnsi="Times New Roman" w:eastAsia="Times New Roman"/>
                <w:b/>
                <w:bCs/>
                <w:sz w:val="24"/>
                <w:szCs w:val="24"/>
                <w:lang w:eastAsia="en-IN"/>
              </w:rPr>
              <w:t>100-3000</w:t>
            </w:r>
          </w:p>
        </w:tc>
      </w:tr>
    </w:tbl>
    <w:p w14:paraId="21DEEC22">
      <w:pPr>
        <w:spacing w:line="360" w:lineRule="auto"/>
        <w:ind w:left="709" w:hanging="709"/>
        <w:jc w:val="both"/>
        <w:rPr>
          <w:rFonts w:ascii="Times New Roman" w:hAnsi="Times New Roman"/>
          <w:sz w:val="24"/>
          <w:szCs w:val="24"/>
        </w:rPr>
      </w:pPr>
      <w:r>
        <w:rPr>
          <w:rFonts w:ascii="Times New Roman" w:hAnsi="Times New Roman"/>
          <w:b/>
          <w:bCs/>
          <w:sz w:val="24"/>
          <w:szCs w:val="24"/>
        </w:rPr>
        <w:t xml:space="preserve">Note: </w:t>
      </w:r>
      <w:r>
        <w:rPr>
          <w:rFonts w:ascii="Times New Roman" w:hAnsi="Times New Roman"/>
          <w:sz w:val="24"/>
          <w:szCs w:val="24"/>
        </w:rPr>
        <w:t>TL- Total loci; NML- Number of monomorphic loci; NPL- Number of polymorphic loci; PP- Percentage polymorphism (%); PIC- Polymorphism Information Content; BP- base pair</w:t>
      </w:r>
    </w:p>
    <w:p w14:paraId="61FB8F7E">
      <w:pPr>
        <w:autoSpaceDE w:val="0"/>
        <w:autoSpaceDN w:val="0"/>
        <w:adjustRightInd w:val="0"/>
        <w:spacing w:after="0" w:line="360" w:lineRule="auto"/>
        <w:jc w:val="center"/>
        <w:rPr>
          <w:rFonts w:ascii="Times New Roman" w:hAnsi="Times New Roman"/>
          <w:b/>
          <w:bCs/>
          <w:sz w:val="24"/>
          <w:szCs w:val="24"/>
        </w:rPr>
      </w:pPr>
      <w:r>
        <w:drawing>
          <wp:inline distT="0" distB="0" distL="0" distR="0">
            <wp:extent cx="5074920" cy="3224530"/>
            <wp:effectExtent l="0" t="0" r="0" b="0"/>
            <wp:docPr id="468324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324169" name="Picture 1"/>
                    <pic:cNvPicPr>
                      <a:picLocks noChangeAspect="1" noChangeArrowheads="1"/>
                    </pic:cNvPicPr>
                  </pic:nvPicPr>
                  <pic:blipFill>
                    <a:blip r:embed="rId15">
                      <a:extLst>
                        <a:ext uri="{28A0092B-C50C-407E-A947-70E740481C1C}">
                          <a14:useLocalDpi xmlns:a14="http://schemas.microsoft.com/office/drawing/2010/main" val="0"/>
                        </a:ext>
                      </a:extLst>
                    </a:blip>
                    <a:srcRect r="13194"/>
                    <a:stretch>
                      <a:fillRect/>
                    </a:stretch>
                  </pic:blipFill>
                  <pic:spPr>
                    <a:xfrm>
                      <a:off x="0" y="0"/>
                      <a:ext cx="5074920" cy="3224530"/>
                    </a:xfrm>
                    <a:prstGeom prst="rect">
                      <a:avLst/>
                    </a:prstGeom>
                    <a:noFill/>
                    <a:ln>
                      <a:noFill/>
                    </a:ln>
                  </pic:spPr>
                </pic:pic>
              </a:graphicData>
            </a:graphic>
          </wp:inline>
        </w:drawing>
      </w:r>
    </w:p>
    <w:p w14:paraId="5689361B">
      <w:pPr>
        <w:autoSpaceDE w:val="0"/>
        <w:autoSpaceDN w:val="0"/>
        <w:adjustRightInd w:val="0"/>
        <w:spacing w:after="0" w:line="360" w:lineRule="auto"/>
        <w:jc w:val="center"/>
        <w:rPr>
          <w:rFonts w:ascii="Times New Roman" w:hAnsi="Times New Roman"/>
          <w:b/>
          <w:bCs/>
          <w:sz w:val="24"/>
          <w:szCs w:val="24"/>
        </w:rPr>
      </w:pPr>
      <w:r>
        <w:rPr>
          <w:rFonts w:ascii="Times New Roman" w:hAnsi="Times New Roman"/>
          <w:b/>
          <w:bCs/>
          <w:sz w:val="24"/>
          <w:szCs w:val="24"/>
        </w:rPr>
        <w:t xml:space="preserve">Fig. 2. RAPD fingerprints (a-d) of natural populations of </w:t>
      </w:r>
      <w:r>
        <w:rPr>
          <w:rFonts w:ascii="Times New Roman" w:hAnsi="Times New Roman"/>
          <w:b/>
          <w:bCs/>
          <w:i/>
          <w:iCs/>
          <w:sz w:val="24"/>
          <w:szCs w:val="24"/>
        </w:rPr>
        <w:t>M. dubia</w:t>
      </w:r>
    </w:p>
    <w:p w14:paraId="587E2B98">
      <w:pPr>
        <w:autoSpaceDE w:val="0"/>
        <w:autoSpaceDN w:val="0"/>
        <w:adjustRightInd w:val="0"/>
        <w:spacing w:after="0" w:line="360" w:lineRule="auto"/>
        <w:jc w:val="center"/>
        <w:rPr>
          <w:rFonts w:ascii="Times New Roman" w:hAnsi="Times New Roman"/>
          <w:b/>
          <w:bCs/>
          <w:sz w:val="24"/>
          <w:szCs w:val="24"/>
        </w:rPr>
      </w:pPr>
    </w:p>
    <w:p w14:paraId="5AC30A77">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 xml:space="preserve">3.2 Genetic diversity analysis in natural populations of </w:t>
      </w:r>
      <w:r>
        <w:rPr>
          <w:rFonts w:ascii="Times New Roman" w:hAnsi="Times New Roman"/>
          <w:b/>
          <w:bCs/>
          <w:i/>
          <w:iCs/>
          <w:sz w:val="24"/>
          <w:szCs w:val="24"/>
        </w:rPr>
        <w:t xml:space="preserve">M. dubia </w:t>
      </w:r>
      <w:r>
        <w:rPr>
          <w:rFonts w:ascii="Times New Roman" w:hAnsi="Times New Roman"/>
          <w:b/>
          <w:bCs/>
          <w:sz w:val="24"/>
          <w:szCs w:val="24"/>
        </w:rPr>
        <w:t>based on RAPD markers</w:t>
      </w:r>
    </w:p>
    <w:p w14:paraId="6FE5A5F4">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 xml:space="preserve">3.2.1 Genetic diversity parameters and molecular variance </w:t>
      </w:r>
    </w:p>
    <w:p w14:paraId="7BEB9CF2">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The genetic diversity values for polymorphism, Nei’s diversity index (H), and Shannon’s information index (I) are given for each population in Table 2. For the </w:t>
      </w:r>
      <w:r>
        <w:rPr>
          <w:rFonts w:ascii="Times New Roman" w:hAnsi="Times New Roman"/>
          <w:i/>
          <w:iCs/>
          <w:sz w:val="24"/>
          <w:szCs w:val="24"/>
        </w:rPr>
        <w:t xml:space="preserve">M. dubia </w:t>
      </w:r>
      <w:r>
        <w:rPr>
          <w:rFonts w:ascii="Times New Roman" w:hAnsi="Times New Roman"/>
          <w:sz w:val="24"/>
          <w:szCs w:val="24"/>
        </w:rPr>
        <w:t>populations, RAPD analysis revealed a polymorphism range of 52.54–59.32 %, with a mean of 56.36 % at the level of populations and 74.58 % at the level of region. Highest numbers (35) and percentage (59.32) of polymorphic loci were recorded in Nanapondha and Waghai population and lowest in Sagai population (31 and 52.54 %). Similarly, highest numbers of allele (Na=1.59) observed in Nanapondha and Waghai population, and lowest (1.53) in Sagai population however, effective allele frequency (Ne) was highest (1.36) in Nanapondha followed by Waghai 1.35) and lowest in Kaprada population (1.26). Nei’s index (H) and Shannon’s information index (I) ranged from 0.16 to 0.21 and 0.25 to 0.3, respectively among populations. Highest H values were detected in Nanapondha and Waghai populations and lowest in Kaprada. Similarly, highest I index was attribute of Waghai population and lowest of Kaprada. The values for genetic structure of populations [Total gene variability (Ht), Gene variability within population (Hs), Inter-population differentiation (Gst) and Gene flow (Nm)] are presented in Table 3. The values of total gene variability and gene variability within population was obtained 0.21 and 0.19 respectively whereas, the coefficient of genetic differentiation (Gst) and gene flow among populations (Nm) were 0.11 and 0.42 respectively.</w:t>
      </w:r>
    </w:p>
    <w:p w14:paraId="593B65FD">
      <w:pPr>
        <w:pStyle w:val="40"/>
        <w:spacing w:line="360" w:lineRule="auto"/>
        <w:jc w:val="both"/>
        <w:rPr>
          <w:rFonts w:ascii="Times New Roman" w:hAnsi="Times New Roman"/>
          <w:b/>
          <w:bCs/>
          <w:sz w:val="24"/>
          <w:szCs w:val="24"/>
        </w:rPr>
      </w:pPr>
      <w:r>
        <w:rPr>
          <w:rFonts w:ascii="Times New Roman" w:hAnsi="Times New Roman"/>
          <w:b/>
          <w:bCs/>
          <w:sz w:val="24"/>
          <w:szCs w:val="24"/>
        </w:rPr>
        <w:t xml:space="preserve">Table 2. Genetic variability within populations of </w:t>
      </w:r>
      <w:r>
        <w:rPr>
          <w:rFonts w:ascii="Times New Roman" w:hAnsi="Times New Roman"/>
          <w:b/>
          <w:bCs/>
          <w:i/>
          <w:iCs/>
          <w:sz w:val="24"/>
          <w:szCs w:val="24"/>
        </w:rPr>
        <w:t xml:space="preserve">M. dubia </w:t>
      </w:r>
      <w:r>
        <w:rPr>
          <w:rFonts w:ascii="Times New Roman" w:hAnsi="Times New Roman"/>
          <w:b/>
          <w:bCs/>
          <w:sz w:val="24"/>
          <w:szCs w:val="24"/>
        </w:rPr>
        <w:t>as detected through RAPD markers</w:t>
      </w:r>
    </w:p>
    <w:tbl>
      <w:tblPr>
        <w:tblStyle w:val="12"/>
        <w:tblW w:w="50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601"/>
        <w:gridCol w:w="854"/>
        <w:gridCol w:w="994"/>
        <w:gridCol w:w="1136"/>
        <w:gridCol w:w="850"/>
        <w:gridCol w:w="850"/>
        <w:gridCol w:w="1136"/>
        <w:gridCol w:w="1086"/>
      </w:tblGrid>
      <w:tr w14:paraId="22BF1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74" w:type="pct"/>
            <w:noWrap/>
            <w:vAlign w:val="center"/>
          </w:tcPr>
          <w:p w14:paraId="56C482FC">
            <w:pPr>
              <w:pStyle w:val="40"/>
              <w:jc w:val="center"/>
              <w:rPr>
                <w:rFonts w:ascii="Times New Roman" w:hAnsi="Times New Roman"/>
                <w:b/>
                <w:bCs/>
                <w:sz w:val="24"/>
                <w:szCs w:val="24"/>
              </w:rPr>
            </w:pPr>
            <w:r>
              <w:rPr>
                <w:rFonts w:ascii="Times New Roman" w:hAnsi="Times New Roman"/>
                <w:b/>
                <w:bCs/>
                <w:sz w:val="24"/>
                <w:szCs w:val="24"/>
              </w:rPr>
              <w:t>Populations</w:t>
            </w:r>
          </w:p>
        </w:tc>
        <w:tc>
          <w:tcPr>
            <w:tcW w:w="322" w:type="pct"/>
            <w:vAlign w:val="center"/>
          </w:tcPr>
          <w:p w14:paraId="4BE1E2D9">
            <w:pPr>
              <w:pStyle w:val="40"/>
              <w:jc w:val="center"/>
              <w:rPr>
                <w:rFonts w:ascii="Times New Roman" w:hAnsi="Times New Roman"/>
                <w:b/>
                <w:bCs/>
                <w:sz w:val="24"/>
                <w:szCs w:val="24"/>
              </w:rPr>
            </w:pPr>
            <w:r>
              <w:rPr>
                <w:rFonts w:ascii="Times New Roman" w:hAnsi="Times New Roman"/>
                <w:b/>
                <w:bCs/>
                <w:sz w:val="24"/>
                <w:szCs w:val="24"/>
              </w:rPr>
              <w:t>PL</w:t>
            </w:r>
          </w:p>
        </w:tc>
        <w:tc>
          <w:tcPr>
            <w:tcW w:w="458" w:type="pct"/>
            <w:vAlign w:val="center"/>
          </w:tcPr>
          <w:p w14:paraId="33C88EDA">
            <w:pPr>
              <w:pStyle w:val="40"/>
              <w:jc w:val="center"/>
              <w:rPr>
                <w:rFonts w:ascii="Times New Roman" w:hAnsi="Times New Roman"/>
                <w:b/>
                <w:bCs/>
                <w:sz w:val="24"/>
                <w:szCs w:val="24"/>
              </w:rPr>
            </w:pPr>
            <w:r>
              <w:rPr>
                <w:rFonts w:ascii="Times New Roman" w:hAnsi="Times New Roman"/>
                <w:b/>
                <w:bCs/>
                <w:sz w:val="24"/>
                <w:szCs w:val="24"/>
              </w:rPr>
              <w:t>PPL</w:t>
            </w:r>
          </w:p>
        </w:tc>
        <w:tc>
          <w:tcPr>
            <w:tcW w:w="533" w:type="pct"/>
            <w:noWrap/>
            <w:vAlign w:val="center"/>
          </w:tcPr>
          <w:p w14:paraId="301D09E1">
            <w:pPr>
              <w:pStyle w:val="40"/>
              <w:jc w:val="center"/>
              <w:rPr>
                <w:rFonts w:ascii="Times New Roman" w:hAnsi="Times New Roman"/>
                <w:b/>
                <w:bCs/>
                <w:sz w:val="24"/>
                <w:szCs w:val="24"/>
              </w:rPr>
            </w:pPr>
            <w:r>
              <w:rPr>
                <w:rFonts w:ascii="Times New Roman" w:hAnsi="Times New Roman"/>
                <w:b/>
                <w:bCs/>
                <w:sz w:val="24"/>
                <w:szCs w:val="24"/>
              </w:rPr>
              <w:t>Na</w:t>
            </w:r>
          </w:p>
        </w:tc>
        <w:tc>
          <w:tcPr>
            <w:tcW w:w="609" w:type="pct"/>
            <w:noWrap/>
            <w:vAlign w:val="center"/>
          </w:tcPr>
          <w:p w14:paraId="6510B78E">
            <w:pPr>
              <w:pStyle w:val="40"/>
              <w:jc w:val="center"/>
              <w:rPr>
                <w:rFonts w:ascii="Times New Roman" w:hAnsi="Times New Roman"/>
                <w:b/>
                <w:bCs/>
                <w:sz w:val="24"/>
                <w:szCs w:val="24"/>
              </w:rPr>
            </w:pPr>
            <w:r>
              <w:rPr>
                <w:rFonts w:ascii="Times New Roman" w:hAnsi="Times New Roman"/>
                <w:b/>
                <w:bCs/>
                <w:sz w:val="24"/>
                <w:szCs w:val="24"/>
              </w:rPr>
              <w:t>Ne</w:t>
            </w:r>
          </w:p>
        </w:tc>
        <w:tc>
          <w:tcPr>
            <w:tcW w:w="456" w:type="pct"/>
            <w:vAlign w:val="center"/>
          </w:tcPr>
          <w:p w14:paraId="4D5EB2FA">
            <w:pPr>
              <w:pStyle w:val="40"/>
              <w:jc w:val="center"/>
              <w:rPr>
                <w:rFonts w:ascii="Times New Roman" w:hAnsi="Times New Roman"/>
                <w:b/>
                <w:bCs/>
                <w:sz w:val="24"/>
                <w:szCs w:val="24"/>
              </w:rPr>
            </w:pPr>
            <w:r>
              <w:rPr>
                <w:rFonts w:ascii="Times New Roman" w:hAnsi="Times New Roman"/>
                <w:b/>
                <w:bCs/>
                <w:sz w:val="24"/>
                <w:szCs w:val="24"/>
              </w:rPr>
              <w:t>Ho</w:t>
            </w:r>
          </w:p>
        </w:tc>
        <w:tc>
          <w:tcPr>
            <w:tcW w:w="456" w:type="pct"/>
            <w:vAlign w:val="center"/>
          </w:tcPr>
          <w:p w14:paraId="45050C58">
            <w:pPr>
              <w:pStyle w:val="40"/>
              <w:jc w:val="center"/>
              <w:rPr>
                <w:rFonts w:ascii="Times New Roman" w:hAnsi="Times New Roman"/>
                <w:b/>
                <w:bCs/>
                <w:sz w:val="24"/>
                <w:szCs w:val="24"/>
              </w:rPr>
            </w:pPr>
            <w:r>
              <w:rPr>
                <w:rFonts w:ascii="Times New Roman" w:hAnsi="Times New Roman"/>
                <w:b/>
                <w:bCs/>
                <w:sz w:val="24"/>
                <w:szCs w:val="24"/>
              </w:rPr>
              <w:t>He</w:t>
            </w:r>
          </w:p>
        </w:tc>
        <w:tc>
          <w:tcPr>
            <w:tcW w:w="609" w:type="pct"/>
            <w:noWrap/>
            <w:vAlign w:val="center"/>
          </w:tcPr>
          <w:p w14:paraId="6DB7588B">
            <w:pPr>
              <w:pStyle w:val="40"/>
              <w:jc w:val="center"/>
              <w:rPr>
                <w:rFonts w:ascii="Times New Roman" w:hAnsi="Times New Roman"/>
                <w:b/>
                <w:bCs/>
                <w:sz w:val="24"/>
                <w:szCs w:val="24"/>
              </w:rPr>
            </w:pPr>
            <w:r>
              <w:rPr>
                <w:rFonts w:ascii="Times New Roman" w:hAnsi="Times New Roman"/>
                <w:b/>
                <w:bCs/>
                <w:sz w:val="24"/>
                <w:szCs w:val="24"/>
              </w:rPr>
              <w:t>H</w:t>
            </w:r>
          </w:p>
        </w:tc>
        <w:tc>
          <w:tcPr>
            <w:tcW w:w="583" w:type="pct"/>
            <w:noWrap/>
            <w:vAlign w:val="center"/>
          </w:tcPr>
          <w:p w14:paraId="2DCCBEC3">
            <w:pPr>
              <w:pStyle w:val="40"/>
              <w:jc w:val="center"/>
              <w:rPr>
                <w:rFonts w:ascii="Times New Roman" w:hAnsi="Times New Roman"/>
                <w:b/>
                <w:bCs/>
                <w:sz w:val="24"/>
                <w:szCs w:val="24"/>
              </w:rPr>
            </w:pPr>
            <w:r>
              <w:rPr>
                <w:rFonts w:ascii="Times New Roman" w:hAnsi="Times New Roman"/>
                <w:b/>
                <w:bCs/>
                <w:sz w:val="24"/>
                <w:szCs w:val="24"/>
              </w:rPr>
              <w:t>I</w:t>
            </w:r>
          </w:p>
        </w:tc>
      </w:tr>
      <w:tr w14:paraId="6760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74" w:type="pct"/>
            <w:noWrap/>
            <w:vAlign w:val="center"/>
          </w:tcPr>
          <w:p w14:paraId="5F763745">
            <w:pPr>
              <w:pStyle w:val="40"/>
              <w:jc w:val="center"/>
              <w:rPr>
                <w:rFonts w:ascii="Times New Roman" w:hAnsi="Times New Roman"/>
                <w:b/>
                <w:bCs/>
                <w:sz w:val="24"/>
                <w:szCs w:val="24"/>
              </w:rPr>
            </w:pPr>
            <w:r>
              <w:rPr>
                <w:rFonts w:ascii="Times New Roman" w:hAnsi="Times New Roman"/>
                <w:b/>
                <w:bCs/>
                <w:sz w:val="24"/>
                <w:szCs w:val="24"/>
              </w:rPr>
              <w:t>Nanapondha</w:t>
            </w:r>
          </w:p>
        </w:tc>
        <w:tc>
          <w:tcPr>
            <w:tcW w:w="322" w:type="pct"/>
            <w:vAlign w:val="center"/>
          </w:tcPr>
          <w:p w14:paraId="55334767">
            <w:pPr>
              <w:pStyle w:val="40"/>
              <w:jc w:val="center"/>
              <w:rPr>
                <w:rFonts w:ascii="Times New Roman" w:hAnsi="Times New Roman"/>
                <w:sz w:val="24"/>
                <w:szCs w:val="24"/>
              </w:rPr>
            </w:pPr>
            <w:r>
              <w:rPr>
                <w:rFonts w:ascii="Times New Roman" w:hAnsi="Times New Roman"/>
                <w:sz w:val="24"/>
                <w:szCs w:val="24"/>
              </w:rPr>
              <w:t>35</w:t>
            </w:r>
          </w:p>
        </w:tc>
        <w:tc>
          <w:tcPr>
            <w:tcW w:w="458" w:type="pct"/>
            <w:vAlign w:val="center"/>
          </w:tcPr>
          <w:p w14:paraId="2B47257E">
            <w:pPr>
              <w:pStyle w:val="40"/>
              <w:jc w:val="center"/>
              <w:rPr>
                <w:rFonts w:ascii="Times New Roman" w:hAnsi="Times New Roman"/>
                <w:sz w:val="24"/>
                <w:szCs w:val="24"/>
              </w:rPr>
            </w:pPr>
            <w:r>
              <w:rPr>
                <w:rFonts w:ascii="Times New Roman" w:hAnsi="Times New Roman"/>
                <w:sz w:val="24"/>
                <w:szCs w:val="24"/>
              </w:rPr>
              <w:t>59.32</w:t>
            </w:r>
          </w:p>
        </w:tc>
        <w:tc>
          <w:tcPr>
            <w:tcW w:w="533" w:type="pct"/>
            <w:noWrap/>
            <w:vAlign w:val="center"/>
          </w:tcPr>
          <w:p w14:paraId="63761BE7">
            <w:pPr>
              <w:pStyle w:val="40"/>
              <w:jc w:val="center"/>
              <w:rPr>
                <w:rFonts w:ascii="Times New Roman" w:hAnsi="Times New Roman"/>
                <w:sz w:val="24"/>
                <w:szCs w:val="24"/>
              </w:rPr>
            </w:pPr>
            <w:r>
              <w:rPr>
                <w:rFonts w:ascii="Times New Roman" w:hAnsi="Times New Roman"/>
                <w:sz w:val="24"/>
                <w:szCs w:val="24"/>
              </w:rPr>
              <w:t>1.59 (0.50)</w:t>
            </w:r>
          </w:p>
        </w:tc>
        <w:tc>
          <w:tcPr>
            <w:tcW w:w="609" w:type="pct"/>
            <w:noWrap/>
            <w:vAlign w:val="center"/>
          </w:tcPr>
          <w:p w14:paraId="4519518C">
            <w:pPr>
              <w:pStyle w:val="40"/>
              <w:jc w:val="center"/>
              <w:rPr>
                <w:rFonts w:ascii="Times New Roman" w:hAnsi="Times New Roman"/>
                <w:sz w:val="24"/>
                <w:szCs w:val="24"/>
              </w:rPr>
            </w:pPr>
            <w:r>
              <w:rPr>
                <w:rFonts w:ascii="Times New Roman" w:hAnsi="Times New Roman"/>
                <w:sz w:val="24"/>
                <w:szCs w:val="24"/>
              </w:rPr>
              <w:t>1.36 (0.39)</w:t>
            </w:r>
          </w:p>
        </w:tc>
        <w:tc>
          <w:tcPr>
            <w:tcW w:w="456" w:type="pct"/>
            <w:vAlign w:val="center"/>
          </w:tcPr>
          <w:p w14:paraId="775A3F86">
            <w:pPr>
              <w:pStyle w:val="40"/>
              <w:jc w:val="center"/>
              <w:rPr>
                <w:rFonts w:ascii="Times New Roman" w:hAnsi="Times New Roman"/>
                <w:sz w:val="24"/>
                <w:szCs w:val="24"/>
              </w:rPr>
            </w:pPr>
            <w:r>
              <w:rPr>
                <w:rFonts w:ascii="Times New Roman" w:hAnsi="Times New Roman"/>
                <w:sz w:val="24"/>
                <w:szCs w:val="24"/>
              </w:rPr>
              <w:t>0.37</w:t>
            </w:r>
          </w:p>
        </w:tc>
        <w:tc>
          <w:tcPr>
            <w:tcW w:w="456" w:type="pct"/>
            <w:vAlign w:val="center"/>
          </w:tcPr>
          <w:p w14:paraId="5C43E573">
            <w:pPr>
              <w:pStyle w:val="40"/>
              <w:jc w:val="center"/>
              <w:rPr>
                <w:rFonts w:ascii="Times New Roman" w:hAnsi="Times New Roman"/>
                <w:sz w:val="24"/>
                <w:szCs w:val="24"/>
              </w:rPr>
            </w:pPr>
            <w:r>
              <w:rPr>
                <w:rFonts w:ascii="Times New Roman" w:hAnsi="Times New Roman"/>
                <w:sz w:val="24"/>
                <w:szCs w:val="24"/>
              </w:rPr>
              <w:t>0.26</w:t>
            </w:r>
          </w:p>
        </w:tc>
        <w:tc>
          <w:tcPr>
            <w:tcW w:w="609" w:type="pct"/>
            <w:noWrap/>
            <w:vAlign w:val="center"/>
          </w:tcPr>
          <w:p w14:paraId="33C64AAA">
            <w:pPr>
              <w:pStyle w:val="40"/>
              <w:jc w:val="center"/>
              <w:rPr>
                <w:rFonts w:ascii="Times New Roman" w:hAnsi="Times New Roman"/>
                <w:sz w:val="24"/>
                <w:szCs w:val="24"/>
              </w:rPr>
            </w:pPr>
            <w:r>
              <w:rPr>
                <w:rFonts w:ascii="Times New Roman" w:hAnsi="Times New Roman"/>
                <w:sz w:val="24"/>
                <w:szCs w:val="24"/>
              </w:rPr>
              <w:t>0.21 (0.20)</w:t>
            </w:r>
          </w:p>
        </w:tc>
        <w:tc>
          <w:tcPr>
            <w:tcW w:w="583" w:type="pct"/>
            <w:noWrap/>
            <w:vAlign w:val="center"/>
          </w:tcPr>
          <w:p w14:paraId="592B2616">
            <w:pPr>
              <w:pStyle w:val="40"/>
              <w:jc w:val="center"/>
              <w:rPr>
                <w:rFonts w:ascii="Times New Roman" w:hAnsi="Times New Roman"/>
                <w:sz w:val="24"/>
                <w:szCs w:val="24"/>
              </w:rPr>
            </w:pPr>
            <w:r>
              <w:rPr>
                <w:rFonts w:ascii="Times New Roman" w:hAnsi="Times New Roman"/>
                <w:sz w:val="24"/>
                <w:szCs w:val="24"/>
              </w:rPr>
              <w:t>0.31 (0.29)</w:t>
            </w:r>
          </w:p>
        </w:tc>
      </w:tr>
      <w:tr w14:paraId="3CD3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74" w:type="pct"/>
            <w:noWrap/>
            <w:vAlign w:val="center"/>
          </w:tcPr>
          <w:p w14:paraId="044AF59F">
            <w:pPr>
              <w:pStyle w:val="40"/>
              <w:jc w:val="center"/>
              <w:rPr>
                <w:rFonts w:ascii="Times New Roman" w:hAnsi="Times New Roman"/>
                <w:b/>
                <w:bCs/>
                <w:sz w:val="24"/>
                <w:szCs w:val="24"/>
              </w:rPr>
            </w:pPr>
            <w:r>
              <w:rPr>
                <w:rFonts w:ascii="Times New Roman" w:hAnsi="Times New Roman"/>
                <w:b/>
                <w:bCs/>
                <w:sz w:val="24"/>
                <w:szCs w:val="24"/>
              </w:rPr>
              <w:t>Kaprada</w:t>
            </w:r>
          </w:p>
        </w:tc>
        <w:tc>
          <w:tcPr>
            <w:tcW w:w="322" w:type="pct"/>
            <w:vAlign w:val="center"/>
          </w:tcPr>
          <w:p w14:paraId="4ABD7A3A">
            <w:pPr>
              <w:pStyle w:val="40"/>
              <w:jc w:val="center"/>
              <w:rPr>
                <w:rFonts w:ascii="Times New Roman" w:hAnsi="Times New Roman"/>
                <w:sz w:val="24"/>
                <w:szCs w:val="24"/>
              </w:rPr>
            </w:pPr>
            <w:r>
              <w:rPr>
                <w:rFonts w:ascii="Times New Roman" w:hAnsi="Times New Roman"/>
                <w:sz w:val="24"/>
                <w:szCs w:val="24"/>
              </w:rPr>
              <w:t>32</w:t>
            </w:r>
          </w:p>
        </w:tc>
        <w:tc>
          <w:tcPr>
            <w:tcW w:w="458" w:type="pct"/>
            <w:vAlign w:val="center"/>
          </w:tcPr>
          <w:p w14:paraId="6206D604">
            <w:pPr>
              <w:pStyle w:val="40"/>
              <w:jc w:val="center"/>
              <w:rPr>
                <w:rFonts w:ascii="Times New Roman" w:hAnsi="Times New Roman"/>
                <w:sz w:val="24"/>
                <w:szCs w:val="24"/>
              </w:rPr>
            </w:pPr>
            <w:r>
              <w:rPr>
                <w:rFonts w:ascii="Times New Roman" w:hAnsi="Times New Roman"/>
                <w:sz w:val="24"/>
                <w:szCs w:val="24"/>
              </w:rPr>
              <w:t>54.24</w:t>
            </w:r>
          </w:p>
        </w:tc>
        <w:tc>
          <w:tcPr>
            <w:tcW w:w="533" w:type="pct"/>
            <w:noWrap/>
            <w:vAlign w:val="center"/>
          </w:tcPr>
          <w:p w14:paraId="3B4D3437">
            <w:pPr>
              <w:pStyle w:val="40"/>
              <w:jc w:val="center"/>
              <w:rPr>
                <w:rFonts w:ascii="Times New Roman" w:hAnsi="Times New Roman"/>
                <w:sz w:val="24"/>
                <w:szCs w:val="24"/>
              </w:rPr>
            </w:pPr>
            <w:r>
              <w:rPr>
                <w:rFonts w:ascii="Times New Roman" w:hAnsi="Times New Roman"/>
                <w:sz w:val="24"/>
                <w:szCs w:val="24"/>
              </w:rPr>
              <w:t>1.54 (0.50)</w:t>
            </w:r>
          </w:p>
        </w:tc>
        <w:tc>
          <w:tcPr>
            <w:tcW w:w="609" w:type="pct"/>
            <w:noWrap/>
            <w:vAlign w:val="center"/>
          </w:tcPr>
          <w:p w14:paraId="1BD8F6E0">
            <w:pPr>
              <w:pStyle w:val="40"/>
              <w:jc w:val="center"/>
              <w:rPr>
                <w:rFonts w:ascii="Times New Roman" w:hAnsi="Times New Roman"/>
                <w:sz w:val="24"/>
                <w:szCs w:val="24"/>
              </w:rPr>
            </w:pPr>
            <w:r>
              <w:rPr>
                <w:rFonts w:ascii="Times New Roman" w:hAnsi="Times New Roman"/>
                <w:sz w:val="24"/>
                <w:szCs w:val="24"/>
              </w:rPr>
              <w:t>1.26 (0.32)</w:t>
            </w:r>
          </w:p>
        </w:tc>
        <w:tc>
          <w:tcPr>
            <w:tcW w:w="456" w:type="pct"/>
            <w:vAlign w:val="center"/>
          </w:tcPr>
          <w:p w14:paraId="6D83C17E">
            <w:pPr>
              <w:pStyle w:val="40"/>
              <w:jc w:val="center"/>
              <w:rPr>
                <w:rFonts w:ascii="Times New Roman" w:hAnsi="Times New Roman"/>
                <w:sz w:val="24"/>
                <w:szCs w:val="24"/>
              </w:rPr>
            </w:pPr>
            <w:r>
              <w:rPr>
                <w:rFonts w:ascii="Times New Roman" w:hAnsi="Times New Roman"/>
                <w:sz w:val="24"/>
                <w:szCs w:val="24"/>
              </w:rPr>
              <w:t>0.35</w:t>
            </w:r>
          </w:p>
        </w:tc>
        <w:tc>
          <w:tcPr>
            <w:tcW w:w="456" w:type="pct"/>
            <w:vAlign w:val="center"/>
          </w:tcPr>
          <w:p w14:paraId="72A301F8">
            <w:pPr>
              <w:pStyle w:val="40"/>
              <w:jc w:val="center"/>
              <w:rPr>
                <w:rFonts w:ascii="Times New Roman" w:hAnsi="Times New Roman"/>
                <w:sz w:val="24"/>
                <w:szCs w:val="24"/>
              </w:rPr>
            </w:pPr>
            <w:r>
              <w:rPr>
                <w:rFonts w:ascii="Times New Roman" w:hAnsi="Times New Roman"/>
                <w:sz w:val="24"/>
                <w:szCs w:val="24"/>
              </w:rPr>
              <w:t>0.21</w:t>
            </w:r>
          </w:p>
        </w:tc>
        <w:tc>
          <w:tcPr>
            <w:tcW w:w="609" w:type="pct"/>
            <w:noWrap/>
            <w:vAlign w:val="center"/>
          </w:tcPr>
          <w:p w14:paraId="728F8964">
            <w:pPr>
              <w:pStyle w:val="40"/>
              <w:jc w:val="center"/>
              <w:rPr>
                <w:rFonts w:ascii="Times New Roman" w:hAnsi="Times New Roman"/>
                <w:sz w:val="24"/>
                <w:szCs w:val="24"/>
              </w:rPr>
            </w:pPr>
            <w:r>
              <w:rPr>
                <w:rFonts w:ascii="Times New Roman" w:hAnsi="Times New Roman"/>
                <w:sz w:val="24"/>
                <w:szCs w:val="24"/>
              </w:rPr>
              <w:t>0.16 (0.18)</w:t>
            </w:r>
          </w:p>
        </w:tc>
        <w:tc>
          <w:tcPr>
            <w:tcW w:w="583" w:type="pct"/>
            <w:noWrap/>
            <w:vAlign w:val="center"/>
          </w:tcPr>
          <w:p w14:paraId="0796BCBD">
            <w:pPr>
              <w:pStyle w:val="40"/>
              <w:jc w:val="center"/>
              <w:rPr>
                <w:rFonts w:ascii="Times New Roman" w:hAnsi="Times New Roman"/>
                <w:sz w:val="24"/>
                <w:szCs w:val="24"/>
              </w:rPr>
            </w:pPr>
            <w:r>
              <w:rPr>
                <w:rFonts w:ascii="Times New Roman" w:hAnsi="Times New Roman"/>
                <w:sz w:val="24"/>
                <w:szCs w:val="24"/>
              </w:rPr>
              <w:t>0.25 (0.26)</w:t>
            </w:r>
          </w:p>
        </w:tc>
      </w:tr>
      <w:tr w14:paraId="4B05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74" w:type="pct"/>
            <w:noWrap/>
            <w:vAlign w:val="center"/>
          </w:tcPr>
          <w:p w14:paraId="419BA02C">
            <w:pPr>
              <w:pStyle w:val="40"/>
              <w:jc w:val="center"/>
              <w:rPr>
                <w:rFonts w:ascii="Times New Roman" w:hAnsi="Times New Roman"/>
                <w:b/>
                <w:bCs/>
                <w:sz w:val="24"/>
                <w:szCs w:val="24"/>
              </w:rPr>
            </w:pPr>
            <w:r>
              <w:rPr>
                <w:rFonts w:ascii="Times New Roman" w:hAnsi="Times New Roman"/>
                <w:b/>
                <w:bCs/>
                <w:sz w:val="24"/>
                <w:szCs w:val="24"/>
              </w:rPr>
              <w:t>Sagai</w:t>
            </w:r>
          </w:p>
        </w:tc>
        <w:tc>
          <w:tcPr>
            <w:tcW w:w="322" w:type="pct"/>
            <w:vAlign w:val="center"/>
          </w:tcPr>
          <w:p w14:paraId="0A5C7F52">
            <w:pPr>
              <w:pStyle w:val="40"/>
              <w:jc w:val="center"/>
              <w:rPr>
                <w:rFonts w:ascii="Times New Roman" w:hAnsi="Times New Roman"/>
                <w:sz w:val="24"/>
                <w:szCs w:val="24"/>
              </w:rPr>
            </w:pPr>
            <w:r>
              <w:rPr>
                <w:rFonts w:ascii="Times New Roman" w:hAnsi="Times New Roman"/>
                <w:sz w:val="24"/>
                <w:szCs w:val="24"/>
              </w:rPr>
              <w:t>31</w:t>
            </w:r>
          </w:p>
        </w:tc>
        <w:tc>
          <w:tcPr>
            <w:tcW w:w="458" w:type="pct"/>
            <w:vAlign w:val="center"/>
          </w:tcPr>
          <w:p w14:paraId="198D1D45">
            <w:pPr>
              <w:pStyle w:val="40"/>
              <w:jc w:val="center"/>
              <w:rPr>
                <w:rFonts w:ascii="Times New Roman" w:hAnsi="Times New Roman"/>
                <w:sz w:val="24"/>
                <w:szCs w:val="24"/>
              </w:rPr>
            </w:pPr>
            <w:r>
              <w:rPr>
                <w:rFonts w:ascii="Times New Roman" w:hAnsi="Times New Roman"/>
                <w:sz w:val="24"/>
                <w:szCs w:val="24"/>
              </w:rPr>
              <w:t>52.54</w:t>
            </w:r>
          </w:p>
        </w:tc>
        <w:tc>
          <w:tcPr>
            <w:tcW w:w="533" w:type="pct"/>
            <w:noWrap/>
            <w:vAlign w:val="center"/>
          </w:tcPr>
          <w:p w14:paraId="55A8A78C">
            <w:pPr>
              <w:pStyle w:val="40"/>
              <w:jc w:val="center"/>
              <w:rPr>
                <w:rFonts w:ascii="Times New Roman" w:hAnsi="Times New Roman"/>
                <w:sz w:val="24"/>
                <w:szCs w:val="24"/>
              </w:rPr>
            </w:pPr>
            <w:r>
              <w:rPr>
                <w:rFonts w:ascii="Times New Roman" w:hAnsi="Times New Roman"/>
                <w:sz w:val="24"/>
                <w:szCs w:val="24"/>
              </w:rPr>
              <w:t>1.53 (0.50)</w:t>
            </w:r>
          </w:p>
        </w:tc>
        <w:tc>
          <w:tcPr>
            <w:tcW w:w="609" w:type="pct"/>
            <w:noWrap/>
            <w:vAlign w:val="center"/>
          </w:tcPr>
          <w:p w14:paraId="42308AA3">
            <w:pPr>
              <w:pStyle w:val="40"/>
              <w:jc w:val="center"/>
              <w:rPr>
                <w:rFonts w:ascii="Times New Roman" w:hAnsi="Times New Roman"/>
                <w:sz w:val="24"/>
                <w:szCs w:val="24"/>
              </w:rPr>
            </w:pPr>
            <w:r>
              <w:rPr>
                <w:rFonts w:ascii="Times New Roman" w:hAnsi="Times New Roman"/>
                <w:sz w:val="24"/>
                <w:szCs w:val="24"/>
              </w:rPr>
              <w:t>1.31 (0.37)</w:t>
            </w:r>
          </w:p>
        </w:tc>
        <w:tc>
          <w:tcPr>
            <w:tcW w:w="456" w:type="pct"/>
            <w:vAlign w:val="center"/>
          </w:tcPr>
          <w:p w14:paraId="5B4374D1">
            <w:pPr>
              <w:pStyle w:val="40"/>
              <w:jc w:val="center"/>
              <w:rPr>
                <w:rFonts w:ascii="Times New Roman" w:hAnsi="Times New Roman"/>
                <w:sz w:val="24"/>
                <w:szCs w:val="24"/>
              </w:rPr>
            </w:pPr>
            <w:r>
              <w:rPr>
                <w:rFonts w:ascii="Times New Roman" w:hAnsi="Times New Roman"/>
                <w:sz w:val="24"/>
                <w:szCs w:val="24"/>
              </w:rPr>
              <w:t>0.35</w:t>
            </w:r>
          </w:p>
        </w:tc>
        <w:tc>
          <w:tcPr>
            <w:tcW w:w="456" w:type="pct"/>
            <w:vAlign w:val="center"/>
          </w:tcPr>
          <w:p w14:paraId="45E55B74">
            <w:pPr>
              <w:pStyle w:val="40"/>
              <w:jc w:val="center"/>
              <w:rPr>
                <w:rFonts w:ascii="Times New Roman" w:hAnsi="Times New Roman"/>
                <w:sz w:val="24"/>
                <w:szCs w:val="24"/>
              </w:rPr>
            </w:pPr>
            <w:r>
              <w:rPr>
                <w:rFonts w:ascii="Times New Roman" w:hAnsi="Times New Roman"/>
                <w:sz w:val="24"/>
                <w:szCs w:val="24"/>
              </w:rPr>
              <w:t>0.24</w:t>
            </w:r>
          </w:p>
        </w:tc>
        <w:tc>
          <w:tcPr>
            <w:tcW w:w="609" w:type="pct"/>
            <w:noWrap/>
            <w:vAlign w:val="center"/>
          </w:tcPr>
          <w:p w14:paraId="0AF24FB4">
            <w:pPr>
              <w:pStyle w:val="40"/>
              <w:jc w:val="center"/>
              <w:rPr>
                <w:rFonts w:ascii="Times New Roman" w:hAnsi="Times New Roman"/>
                <w:sz w:val="24"/>
                <w:szCs w:val="24"/>
              </w:rPr>
            </w:pPr>
            <w:r>
              <w:rPr>
                <w:rFonts w:ascii="Times New Roman" w:hAnsi="Times New Roman"/>
                <w:sz w:val="24"/>
                <w:szCs w:val="24"/>
              </w:rPr>
              <w:t>0.18 (0.20)</w:t>
            </w:r>
          </w:p>
        </w:tc>
        <w:tc>
          <w:tcPr>
            <w:tcW w:w="583" w:type="pct"/>
            <w:noWrap/>
            <w:vAlign w:val="center"/>
          </w:tcPr>
          <w:p w14:paraId="0CE868B6">
            <w:pPr>
              <w:pStyle w:val="40"/>
              <w:jc w:val="center"/>
              <w:rPr>
                <w:rFonts w:ascii="Times New Roman" w:hAnsi="Times New Roman"/>
                <w:sz w:val="24"/>
                <w:szCs w:val="24"/>
              </w:rPr>
            </w:pPr>
            <w:r>
              <w:rPr>
                <w:rFonts w:ascii="Times New Roman" w:hAnsi="Times New Roman"/>
                <w:sz w:val="24"/>
                <w:szCs w:val="24"/>
              </w:rPr>
              <w:t>0.27 (0.28)</w:t>
            </w:r>
          </w:p>
        </w:tc>
      </w:tr>
      <w:tr w14:paraId="1214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74" w:type="pct"/>
            <w:noWrap/>
            <w:vAlign w:val="center"/>
          </w:tcPr>
          <w:p w14:paraId="12C382DE">
            <w:pPr>
              <w:pStyle w:val="40"/>
              <w:jc w:val="center"/>
              <w:rPr>
                <w:rFonts w:ascii="Times New Roman" w:hAnsi="Times New Roman"/>
                <w:b/>
                <w:bCs/>
                <w:sz w:val="24"/>
                <w:szCs w:val="24"/>
              </w:rPr>
            </w:pPr>
            <w:r>
              <w:rPr>
                <w:rFonts w:ascii="Times New Roman" w:hAnsi="Times New Roman"/>
                <w:b/>
                <w:bCs/>
                <w:sz w:val="24"/>
                <w:szCs w:val="24"/>
              </w:rPr>
              <w:t>Waghai</w:t>
            </w:r>
          </w:p>
        </w:tc>
        <w:tc>
          <w:tcPr>
            <w:tcW w:w="322" w:type="pct"/>
            <w:vAlign w:val="center"/>
          </w:tcPr>
          <w:p w14:paraId="71802A7B">
            <w:pPr>
              <w:pStyle w:val="40"/>
              <w:jc w:val="center"/>
              <w:rPr>
                <w:rFonts w:ascii="Times New Roman" w:hAnsi="Times New Roman"/>
                <w:sz w:val="24"/>
                <w:szCs w:val="24"/>
              </w:rPr>
            </w:pPr>
            <w:r>
              <w:rPr>
                <w:rFonts w:ascii="Times New Roman" w:hAnsi="Times New Roman"/>
                <w:sz w:val="24"/>
                <w:szCs w:val="24"/>
              </w:rPr>
              <w:t>35</w:t>
            </w:r>
          </w:p>
        </w:tc>
        <w:tc>
          <w:tcPr>
            <w:tcW w:w="458" w:type="pct"/>
            <w:vAlign w:val="center"/>
          </w:tcPr>
          <w:p w14:paraId="5CEA947D">
            <w:pPr>
              <w:pStyle w:val="40"/>
              <w:jc w:val="center"/>
              <w:rPr>
                <w:rFonts w:ascii="Times New Roman" w:hAnsi="Times New Roman"/>
                <w:sz w:val="24"/>
                <w:szCs w:val="24"/>
              </w:rPr>
            </w:pPr>
            <w:r>
              <w:rPr>
                <w:rFonts w:ascii="Times New Roman" w:hAnsi="Times New Roman"/>
                <w:sz w:val="24"/>
                <w:szCs w:val="24"/>
              </w:rPr>
              <w:t>59.32</w:t>
            </w:r>
          </w:p>
        </w:tc>
        <w:tc>
          <w:tcPr>
            <w:tcW w:w="533" w:type="pct"/>
            <w:noWrap/>
            <w:vAlign w:val="center"/>
          </w:tcPr>
          <w:p w14:paraId="2E4F5727">
            <w:pPr>
              <w:pStyle w:val="40"/>
              <w:jc w:val="center"/>
              <w:rPr>
                <w:rFonts w:ascii="Times New Roman" w:hAnsi="Times New Roman"/>
                <w:sz w:val="24"/>
                <w:szCs w:val="24"/>
              </w:rPr>
            </w:pPr>
            <w:r>
              <w:rPr>
                <w:rFonts w:ascii="Times New Roman" w:hAnsi="Times New Roman"/>
                <w:sz w:val="24"/>
                <w:szCs w:val="24"/>
              </w:rPr>
              <w:t>1.59 (0.50)</w:t>
            </w:r>
          </w:p>
        </w:tc>
        <w:tc>
          <w:tcPr>
            <w:tcW w:w="609" w:type="pct"/>
            <w:noWrap/>
            <w:vAlign w:val="center"/>
          </w:tcPr>
          <w:p w14:paraId="34CF418B">
            <w:pPr>
              <w:pStyle w:val="40"/>
              <w:jc w:val="center"/>
              <w:rPr>
                <w:rFonts w:ascii="Times New Roman" w:hAnsi="Times New Roman"/>
                <w:sz w:val="24"/>
                <w:szCs w:val="24"/>
              </w:rPr>
            </w:pPr>
            <w:r>
              <w:rPr>
                <w:rFonts w:ascii="Times New Roman" w:hAnsi="Times New Roman"/>
                <w:sz w:val="24"/>
                <w:szCs w:val="24"/>
              </w:rPr>
              <w:t>1.35 (0.34)</w:t>
            </w:r>
          </w:p>
        </w:tc>
        <w:tc>
          <w:tcPr>
            <w:tcW w:w="456" w:type="pct"/>
            <w:vAlign w:val="center"/>
          </w:tcPr>
          <w:p w14:paraId="0E124B30">
            <w:pPr>
              <w:pStyle w:val="40"/>
              <w:jc w:val="center"/>
              <w:rPr>
                <w:rFonts w:ascii="Times New Roman" w:hAnsi="Times New Roman"/>
                <w:sz w:val="24"/>
                <w:szCs w:val="24"/>
              </w:rPr>
            </w:pPr>
            <w:r>
              <w:rPr>
                <w:rFonts w:ascii="Times New Roman" w:hAnsi="Times New Roman"/>
                <w:sz w:val="24"/>
                <w:szCs w:val="24"/>
              </w:rPr>
              <w:t>0.37</w:t>
            </w:r>
          </w:p>
        </w:tc>
        <w:tc>
          <w:tcPr>
            <w:tcW w:w="456" w:type="pct"/>
            <w:vAlign w:val="center"/>
          </w:tcPr>
          <w:p w14:paraId="6EDB342C">
            <w:pPr>
              <w:pStyle w:val="40"/>
              <w:jc w:val="center"/>
              <w:rPr>
                <w:rFonts w:ascii="Times New Roman" w:hAnsi="Times New Roman"/>
                <w:sz w:val="24"/>
                <w:szCs w:val="24"/>
              </w:rPr>
            </w:pPr>
            <w:r>
              <w:rPr>
                <w:rFonts w:ascii="Times New Roman" w:hAnsi="Times New Roman"/>
                <w:sz w:val="24"/>
                <w:szCs w:val="24"/>
              </w:rPr>
              <w:t>0.26</w:t>
            </w:r>
          </w:p>
        </w:tc>
        <w:tc>
          <w:tcPr>
            <w:tcW w:w="609" w:type="pct"/>
            <w:noWrap/>
            <w:vAlign w:val="center"/>
          </w:tcPr>
          <w:p w14:paraId="6A6D5D9D">
            <w:pPr>
              <w:pStyle w:val="40"/>
              <w:jc w:val="center"/>
              <w:rPr>
                <w:rFonts w:ascii="Times New Roman" w:hAnsi="Times New Roman"/>
                <w:sz w:val="24"/>
                <w:szCs w:val="24"/>
              </w:rPr>
            </w:pPr>
            <w:r>
              <w:rPr>
                <w:rFonts w:ascii="Times New Roman" w:hAnsi="Times New Roman"/>
                <w:sz w:val="24"/>
                <w:szCs w:val="24"/>
              </w:rPr>
              <w:t>0.21 (0.19)</w:t>
            </w:r>
          </w:p>
        </w:tc>
        <w:tc>
          <w:tcPr>
            <w:tcW w:w="583" w:type="pct"/>
            <w:noWrap/>
            <w:vAlign w:val="center"/>
          </w:tcPr>
          <w:p w14:paraId="00AD43F4">
            <w:pPr>
              <w:pStyle w:val="40"/>
              <w:jc w:val="center"/>
              <w:rPr>
                <w:rFonts w:ascii="Times New Roman" w:hAnsi="Times New Roman"/>
                <w:sz w:val="24"/>
                <w:szCs w:val="24"/>
              </w:rPr>
            </w:pPr>
            <w:r>
              <w:rPr>
                <w:rFonts w:ascii="Times New Roman" w:hAnsi="Times New Roman"/>
                <w:sz w:val="24"/>
                <w:szCs w:val="24"/>
              </w:rPr>
              <w:t>0.32 (0.28)</w:t>
            </w:r>
          </w:p>
        </w:tc>
      </w:tr>
      <w:tr w14:paraId="0061A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74" w:type="pct"/>
            <w:noWrap/>
            <w:vAlign w:val="center"/>
          </w:tcPr>
          <w:p w14:paraId="21A31F0B">
            <w:pPr>
              <w:pStyle w:val="40"/>
              <w:jc w:val="center"/>
              <w:rPr>
                <w:rFonts w:ascii="Times New Roman" w:hAnsi="Times New Roman"/>
                <w:b/>
                <w:bCs/>
                <w:sz w:val="24"/>
                <w:szCs w:val="24"/>
              </w:rPr>
            </w:pPr>
            <w:r>
              <w:rPr>
                <w:rFonts w:ascii="Times New Roman" w:hAnsi="Times New Roman"/>
                <w:b/>
                <w:bCs/>
                <w:sz w:val="24"/>
                <w:szCs w:val="24"/>
              </w:rPr>
              <w:t>Overall</w:t>
            </w:r>
          </w:p>
        </w:tc>
        <w:tc>
          <w:tcPr>
            <w:tcW w:w="322" w:type="pct"/>
            <w:vAlign w:val="center"/>
          </w:tcPr>
          <w:p w14:paraId="09EA9F19">
            <w:pPr>
              <w:pStyle w:val="40"/>
              <w:jc w:val="center"/>
              <w:rPr>
                <w:rFonts w:ascii="Times New Roman" w:hAnsi="Times New Roman"/>
                <w:sz w:val="24"/>
                <w:szCs w:val="24"/>
              </w:rPr>
            </w:pPr>
            <w:r>
              <w:rPr>
                <w:rFonts w:ascii="Times New Roman" w:hAnsi="Times New Roman"/>
                <w:sz w:val="24"/>
                <w:szCs w:val="24"/>
              </w:rPr>
              <w:t>59</w:t>
            </w:r>
          </w:p>
        </w:tc>
        <w:tc>
          <w:tcPr>
            <w:tcW w:w="458" w:type="pct"/>
            <w:vAlign w:val="center"/>
          </w:tcPr>
          <w:p w14:paraId="08E63B1B">
            <w:pPr>
              <w:pStyle w:val="40"/>
              <w:jc w:val="center"/>
              <w:rPr>
                <w:rFonts w:ascii="Times New Roman" w:hAnsi="Times New Roman"/>
                <w:sz w:val="24"/>
                <w:szCs w:val="24"/>
              </w:rPr>
            </w:pPr>
            <w:r>
              <w:rPr>
                <w:rFonts w:ascii="Times New Roman" w:hAnsi="Times New Roman"/>
                <w:sz w:val="24"/>
                <w:szCs w:val="24"/>
              </w:rPr>
              <w:t>74.58</w:t>
            </w:r>
          </w:p>
        </w:tc>
        <w:tc>
          <w:tcPr>
            <w:tcW w:w="533" w:type="pct"/>
            <w:noWrap/>
            <w:vAlign w:val="center"/>
          </w:tcPr>
          <w:p w14:paraId="0376370E">
            <w:pPr>
              <w:pStyle w:val="40"/>
              <w:jc w:val="center"/>
              <w:rPr>
                <w:rFonts w:ascii="Times New Roman" w:hAnsi="Times New Roman"/>
                <w:sz w:val="24"/>
                <w:szCs w:val="24"/>
              </w:rPr>
            </w:pPr>
            <w:r>
              <w:rPr>
                <w:rFonts w:ascii="Times New Roman" w:hAnsi="Times New Roman"/>
                <w:sz w:val="24"/>
                <w:szCs w:val="24"/>
              </w:rPr>
              <w:t>1.75 (0.44)</w:t>
            </w:r>
          </w:p>
        </w:tc>
        <w:tc>
          <w:tcPr>
            <w:tcW w:w="609" w:type="pct"/>
            <w:noWrap/>
            <w:vAlign w:val="center"/>
          </w:tcPr>
          <w:p w14:paraId="692AC90F">
            <w:pPr>
              <w:pStyle w:val="40"/>
              <w:jc w:val="center"/>
              <w:rPr>
                <w:rFonts w:ascii="Times New Roman" w:hAnsi="Times New Roman"/>
                <w:sz w:val="24"/>
                <w:szCs w:val="24"/>
              </w:rPr>
            </w:pPr>
            <w:r>
              <w:rPr>
                <w:rFonts w:ascii="Times New Roman" w:hAnsi="Times New Roman"/>
                <w:sz w:val="24"/>
                <w:szCs w:val="24"/>
              </w:rPr>
              <w:t>1.35 (0.36)</w:t>
            </w:r>
          </w:p>
        </w:tc>
        <w:tc>
          <w:tcPr>
            <w:tcW w:w="456" w:type="pct"/>
            <w:vAlign w:val="center"/>
          </w:tcPr>
          <w:p w14:paraId="29702E66">
            <w:pPr>
              <w:pStyle w:val="40"/>
              <w:jc w:val="center"/>
              <w:rPr>
                <w:rFonts w:ascii="Times New Roman" w:hAnsi="Times New Roman"/>
                <w:sz w:val="24"/>
                <w:szCs w:val="24"/>
              </w:rPr>
            </w:pPr>
            <w:r>
              <w:rPr>
                <w:rFonts w:ascii="Times New Roman" w:hAnsi="Times New Roman"/>
                <w:sz w:val="24"/>
                <w:szCs w:val="24"/>
              </w:rPr>
              <w:t>0.43</w:t>
            </w:r>
          </w:p>
        </w:tc>
        <w:tc>
          <w:tcPr>
            <w:tcW w:w="456" w:type="pct"/>
            <w:vAlign w:val="center"/>
          </w:tcPr>
          <w:p w14:paraId="4FB0D2C0">
            <w:pPr>
              <w:pStyle w:val="40"/>
              <w:jc w:val="center"/>
              <w:rPr>
                <w:rFonts w:ascii="Times New Roman" w:hAnsi="Times New Roman"/>
                <w:sz w:val="24"/>
                <w:szCs w:val="24"/>
              </w:rPr>
            </w:pPr>
            <w:r>
              <w:rPr>
                <w:rFonts w:ascii="Times New Roman" w:hAnsi="Times New Roman"/>
                <w:sz w:val="24"/>
                <w:szCs w:val="24"/>
              </w:rPr>
              <w:t>0.26</w:t>
            </w:r>
          </w:p>
        </w:tc>
        <w:tc>
          <w:tcPr>
            <w:tcW w:w="609" w:type="pct"/>
            <w:noWrap/>
            <w:vAlign w:val="center"/>
          </w:tcPr>
          <w:p w14:paraId="4D91E578">
            <w:pPr>
              <w:pStyle w:val="40"/>
              <w:jc w:val="center"/>
              <w:rPr>
                <w:rFonts w:ascii="Times New Roman" w:hAnsi="Times New Roman"/>
                <w:sz w:val="24"/>
                <w:szCs w:val="24"/>
              </w:rPr>
            </w:pPr>
            <w:r>
              <w:rPr>
                <w:rFonts w:ascii="Times New Roman" w:hAnsi="Times New Roman"/>
                <w:sz w:val="24"/>
                <w:szCs w:val="24"/>
              </w:rPr>
              <w:t>0.21 (0.19)</w:t>
            </w:r>
          </w:p>
        </w:tc>
        <w:tc>
          <w:tcPr>
            <w:tcW w:w="583" w:type="pct"/>
            <w:noWrap/>
            <w:vAlign w:val="center"/>
          </w:tcPr>
          <w:p w14:paraId="711CFEA3">
            <w:pPr>
              <w:pStyle w:val="40"/>
              <w:jc w:val="center"/>
              <w:rPr>
                <w:rFonts w:ascii="Times New Roman" w:hAnsi="Times New Roman"/>
                <w:sz w:val="24"/>
                <w:szCs w:val="24"/>
              </w:rPr>
            </w:pPr>
            <w:r>
              <w:rPr>
                <w:rFonts w:ascii="Times New Roman" w:hAnsi="Times New Roman"/>
                <w:sz w:val="24"/>
                <w:szCs w:val="24"/>
              </w:rPr>
              <w:t>0.33 (0.29)</w:t>
            </w:r>
          </w:p>
        </w:tc>
      </w:tr>
    </w:tbl>
    <w:p w14:paraId="3E94888C">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*Standard deviations are given in brackets. </w:t>
      </w:r>
    </w:p>
    <w:p w14:paraId="01D7288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**PL- polymorphic loci; PPL- Percentage of polymorphic loci; Na- observed number of allele frequency; Ne- effective number of allele frequency; Ho- observed heterozygosity; He- expected heterozygosity</w:t>
      </w:r>
      <w:r>
        <w:rPr>
          <w:rFonts w:ascii="Times New Roman" w:hAnsi="Times New Roman"/>
          <w:b/>
          <w:bCs/>
          <w:sz w:val="24"/>
          <w:szCs w:val="24"/>
        </w:rPr>
        <w:t xml:space="preserve">; </w:t>
      </w:r>
      <w:r>
        <w:rPr>
          <w:rFonts w:ascii="Times New Roman" w:hAnsi="Times New Roman"/>
          <w:sz w:val="24"/>
          <w:szCs w:val="24"/>
        </w:rPr>
        <w:t xml:space="preserve">H- Nei’s diversity index; I- Shannon’s information index </w:t>
      </w:r>
    </w:p>
    <w:p w14:paraId="2D441475">
      <w:pPr>
        <w:pStyle w:val="40"/>
        <w:spacing w:line="360" w:lineRule="auto"/>
        <w:jc w:val="both"/>
        <w:rPr>
          <w:rFonts w:ascii="Times New Roman" w:hAnsi="Times New Roman"/>
          <w:b/>
          <w:bCs/>
          <w:sz w:val="24"/>
          <w:szCs w:val="24"/>
        </w:rPr>
      </w:pPr>
    </w:p>
    <w:p w14:paraId="139BC713">
      <w:pPr>
        <w:pStyle w:val="40"/>
        <w:spacing w:line="360" w:lineRule="auto"/>
        <w:jc w:val="both"/>
        <w:rPr>
          <w:rFonts w:ascii="Times New Roman" w:hAnsi="Times New Roman"/>
          <w:b/>
          <w:bCs/>
          <w:sz w:val="24"/>
          <w:szCs w:val="24"/>
        </w:rPr>
      </w:pPr>
      <w:r>
        <w:rPr>
          <w:rFonts w:ascii="Times New Roman" w:hAnsi="Times New Roman"/>
          <w:b/>
          <w:bCs/>
          <w:sz w:val="24"/>
          <w:szCs w:val="24"/>
        </w:rPr>
        <w:t xml:space="preserve">Table 3. Population genetics parameters and estimate of gene ﬂow in populations of </w:t>
      </w:r>
      <w:r>
        <w:rPr>
          <w:rFonts w:ascii="Times New Roman" w:hAnsi="Times New Roman"/>
          <w:b/>
          <w:bCs/>
          <w:i/>
          <w:iCs/>
          <w:sz w:val="24"/>
          <w:szCs w:val="24"/>
        </w:rPr>
        <w:t>M. dubia</w:t>
      </w:r>
    </w:p>
    <w:tbl>
      <w:tblPr>
        <w:tblStyle w:val="20"/>
        <w:tblW w:w="4528" w:type="pct"/>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8"/>
        <w:gridCol w:w="2042"/>
      </w:tblGrid>
      <w:tr w14:paraId="455E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pct"/>
          </w:tcPr>
          <w:p w14:paraId="5A30E2C4">
            <w:pPr>
              <w:spacing w:after="0" w:line="360" w:lineRule="auto"/>
              <w:rPr>
                <w:rFonts w:ascii="Times New Roman" w:hAnsi="Times New Roman" w:eastAsiaTheme="minorEastAsia"/>
                <w:b/>
                <w:bCs/>
                <w:sz w:val="24"/>
                <w:szCs w:val="24"/>
              </w:rPr>
            </w:pPr>
            <w:r>
              <w:rPr>
                <w:rFonts w:ascii="Times New Roman" w:hAnsi="Times New Roman" w:eastAsiaTheme="minorEastAsia"/>
                <w:b/>
                <w:bCs/>
                <w:sz w:val="24"/>
                <w:szCs w:val="24"/>
              </w:rPr>
              <w:t>Population genetics parameter</w:t>
            </w:r>
          </w:p>
        </w:tc>
        <w:tc>
          <w:tcPr>
            <w:tcW w:w="1220" w:type="pct"/>
          </w:tcPr>
          <w:p w14:paraId="20786241">
            <w:pPr>
              <w:spacing w:after="0" w:line="360" w:lineRule="auto"/>
              <w:jc w:val="center"/>
              <w:rPr>
                <w:rFonts w:ascii="Times New Roman" w:hAnsi="Times New Roman" w:eastAsiaTheme="minorEastAsia"/>
                <w:b/>
                <w:bCs/>
                <w:sz w:val="24"/>
                <w:szCs w:val="24"/>
              </w:rPr>
            </w:pPr>
            <w:r>
              <w:rPr>
                <w:rFonts w:ascii="Times New Roman" w:hAnsi="Times New Roman" w:eastAsiaTheme="minorEastAsia"/>
                <w:b/>
                <w:bCs/>
                <w:sz w:val="24"/>
                <w:szCs w:val="24"/>
              </w:rPr>
              <w:t>Values</w:t>
            </w:r>
          </w:p>
        </w:tc>
      </w:tr>
      <w:tr w14:paraId="3C64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pct"/>
          </w:tcPr>
          <w:p w14:paraId="47A7D751">
            <w:pPr>
              <w:spacing w:after="0" w:line="360" w:lineRule="auto"/>
              <w:rPr>
                <w:rFonts w:ascii="Times New Roman" w:hAnsi="Times New Roman" w:eastAsiaTheme="minorEastAsia"/>
                <w:sz w:val="24"/>
                <w:szCs w:val="24"/>
              </w:rPr>
            </w:pPr>
            <w:r>
              <w:rPr>
                <w:rFonts w:ascii="Times New Roman" w:hAnsi="Times New Roman" w:eastAsiaTheme="minorEastAsia"/>
                <w:sz w:val="24"/>
                <w:szCs w:val="24"/>
              </w:rPr>
              <w:t>Total gene variability (Ht)</w:t>
            </w:r>
          </w:p>
        </w:tc>
        <w:tc>
          <w:tcPr>
            <w:tcW w:w="1220" w:type="pct"/>
          </w:tcPr>
          <w:p w14:paraId="0CFC0BFB">
            <w:pPr>
              <w:spacing w:after="0" w:line="360" w:lineRule="auto"/>
              <w:jc w:val="center"/>
              <w:rPr>
                <w:rFonts w:ascii="Times New Roman" w:hAnsi="Times New Roman" w:eastAsiaTheme="minorEastAsia"/>
                <w:sz w:val="24"/>
                <w:szCs w:val="24"/>
              </w:rPr>
            </w:pPr>
            <w:r>
              <w:rPr>
                <w:rFonts w:ascii="Times New Roman" w:hAnsi="Times New Roman" w:eastAsiaTheme="minorEastAsia"/>
                <w:sz w:val="24"/>
                <w:szCs w:val="24"/>
              </w:rPr>
              <w:t>0.21</w:t>
            </w:r>
          </w:p>
        </w:tc>
      </w:tr>
      <w:tr w14:paraId="735D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pct"/>
          </w:tcPr>
          <w:p w14:paraId="6F4DF831">
            <w:pPr>
              <w:spacing w:after="0" w:line="360" w:lineRule="auto"/>
              <w:rPr>
                <w:rFonts w:ascii="Times New Roman" w:hAnsi="Times New Roman" w:eastAsiaTheme="minorEastAsia"/>
                <w:sz w:val="24"/>
                <w:szCs w:val="24"/>
              </w:rPr>
            </w:pPr>
            <w:r>
              <w:rPr>
                <w:rFonts w:ascii="Times New Roman" w:hAnsi="Times New Roman" w:eastAsiaTheme="minorEastAsia"/>
                <w:sz w:val="24"/>
                <w:szCs w:val="24"/>
              </w:rPr>
              <w:t>Gene variability within population (Hs)</w:t>
            </w:r>
          </w:p>
        </w:tc>
        <w:tc>
          <w:tcPr>
            <w:tcW w:w="1220" w:type="pct"/>
          </w:tcPr>
          <w:p w14:paraId="1D3773AD">
            <w:pPr>
              <w:spacing w:after="0" w:line="360" w:lineRule="auto"/>
              <w:jc w:val="center"/>
              <w:rPr>
                <w:rFonts w:ascii="Times New Roman" w:hAnsi="Times New Roman" w:eastAsiaTheme="minorEastAsia"/>
                <w:sz w:val="24"/>
                <w:szCs w:val="24"/>
              </w:rPr>
            </w:pPr>
            <w:r>
              <w:rPr>
                <w:rFonts w:ascii="Times New Roman" w:hAnsi="Times New Roman" w:eastAsiaTheme="minorEastAsia"/>
                <w:sz w:val="24"/>
                <w:szCs w:val="24"/>
              </w:rPr>
              <w:t>0.19</w:t>
            </w:r>
          </w:p>
        </w:tc>
      </w:tr>
      <w:tr w14:paraId="2616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pct"/>
          </w:tcPr>
          <w:p w14:paraId="65457F4D">
            <w:pPr>
              <w:spacing w:after="0" w:line="360" w:lineRule="auto"/>
              <w:rPr>
                <w:rFonts w:ascii="Times New Roman" w:hAnsi="Times New Roman" w:eastAsiaTheme="minorEastAsia"/>
                <w:sz w:val="24"/>
                <w:szCs w:val="24"/>
              </w:rPr>
            </w:pPr>
            <w:r>
              <w:rPr>
                <w:rFonts w:ascii="Times New Roman" w:hAnsi="Times New Roman" w:eastAsiaTheme="minorEastAsia"/>
                <w:sz w:val="24"/>
                <w:szCs w:val="24"/>
              </w:rPr>
              <w:t>Inter-population differentiation (Gst)</w:t>
            </w:r>
          </w:p>
        </w:tc>
        <w:tc>
          <w:tcPr>
            <w:tcW w:w="1220" w:type="pct"/>
          </w:tcPr>
          <w:p w14:paraId="36318DB5">
            <w:pPr>
              <w:spacing w:after="0" w:line="360" w:lineRule="auto"/>
              <w:jc w:val="center"/>
              <w:rPr>
                <w:rFonts w:ascii="Times New Roman" w:hAnsi="Times New Roman" w:eastAsiaTheme="minorEastAsia"/>
                <w:sz w:val="24"/>
                <w:szCs w:val="24"/>
              </w:rPr>
            </w:pPr>
            <w:r>
              <w:rPr>
                <w:rFonts w:ascii="Times New Roman" w:hAnsi="Times New Roman" w:eastAsiaTheme="minorEastAsia"/>
                <w:sz w:val="24"/>
                <w:szCs w:val="24"/>
              </w:rPr>
              <w:t>0.11</w:t>
            </w:r>
          </w:p>
        </w:tc>
      </w:tr>
      <w:tr w14:paraId="6FCE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pct"/>
          </w:tcPr>
          <w:p w14:paraId="39BD0421">
            <w:pPr>
              <w:spacing w:after="0" w:line="360" w:lineRule="auto"/>
              <w:rPr>
                <w:rFonts w:ascii="Times New Roman" w:hAnsi="Times New Roman" w:eastAsiaTheme="minorEastAsia"/>
                <w:sz w:val="24"/>
                <w:szCs w:val="24"/>
              </w:rPr>
            </w:pPr>
            <w:r>
              <w:rPr>
                <w:rFonts w:ascii="Times New Roman" w:hAnsi="Times New Roman" w:eastAsiaTheme="minorEastAsia"/>
                <w:sz w:val="24"/>
                <w:szCs w:val="24"/>
              </w:rPr>
              <w:t>Gene flow (Nm)</w:t>
            </w:r>
          </w:p>
        </w:tc>
        <w:tc>
          <w:tcPr>
            <w:tcW w:w="1220" w:type="pct"/>
          </w:tcPr>
          <w:p w14:paraId="23543052">
            <w:pPr>
              <w:spacing w:after="0" w:line="360" w:lineRule="auto"/>
              <w:jc w:val="center"/>
              <w:rPr>
                <w:rFonts w:ascii="Times New Roman" w:hAnsi="Times New Roman" w:eastAsiaTheme="minorEastAsia"/>
                <w:sz w:val="24"/>
                <w:szCs w:val="24"/>
              </w:rPr>
            </w:pPr>
            <w:r>
              <w:rPr>
                <w:rFonts w:ascii="Times New Roman" w:hAnsi="Times New Roman" w:eastAsiaTheme="minorEastAsia"/>
                <w:sz w:val="24"/>
                <w:szCs w:val="24"/>
              </w:rPr>
              <w:t>4.22</w:t>
            </w:r>
          </w:p>
        </w:tc>
      </w:tr>
    </w:tbl>
    <w:p w14:paraId="362A5FBB">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Further, Analysis of Molecular Variance (AMOVA) for four populations of </w:t>
      </w:r>
      <w:r>
        <w:rPr>
          <w:rFonts w:ascii="Times New Roman" w:hAnsi="Times New Roman"/>
          <w:i/>
          <w:iCs/>
          <w:sz w:val="24"/>
          <w:szCs w:val="24"/>
        </w:rPr>
        <w:t>M. dubia</w:t>
      </w:r>
      <w:r>
        <w:rPr>
          <w:rFonts w:ascii="Times New Roman" w:hAnsi="Times New Roman"/>
          <w:sz w:val="24"/>
          <w:szCs w:val="24"/>
        </w:rPr>
        <w:t xml:space="preserve"> was carried out in the present study (p&gt;0.001). Results indicated that out of total genetic variability, 4 % resides among populations and 96 % within populations (Fig. 3).</w:t>
      </w:r>
    </w:p>
    <w:p w14:paraId="7920B173">
      <w:pPr>
        <w:autoSpaceDE w:val="0"/>
        <w:autoSpaceDN w:val="0"/>
        <w:adjustRightInd w:val="0"/>
        <w:spacing w:after="0" w:line="360" w:lineRule="auto"/>
        <w:jc w:val="center"/>
        <w:rPr>
          <w:rFonts w:ascii="Times New Roman" w:hAnsi="Times New Roman"/>
          <w:b/>
          <w:bCs/>
          <w:sz w:val="24"/>
          <w:szCs w:val="24"/>
        </w:rPr>
      </w:pPr>
      <w:r>
        <w:rPr>
          <w:rFonts w:ascii="Times New Roman" w:hAnsi="Times New Roman"/>
          <w:b/>
          <w:bCs/>
          <w:sz w:val="24"/>
          <w:szCs w:val="24"/>
          <w:lang w:bidi="gu-IN"/>
        </w:rPr>
        <w:drawing>
          <wp:inline distT="0" distB="0" distL="0" distR="0">
            <wp:extent cx="3817620" cy="2042160"/>
            <wp:effectExtent l="0" t="0" r="0" b="0"/>
            <wp:docPr id="3" name="Picture 1" descr="G:\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G:\Untitled.png"/>
                    <pic:cNvPicPr>
                      <a:picLocks noChangeAspect="1" noChangeArrowheads="1"/>
                    </pic:cNvPicPr>
                  </pic:nvPicPr>
                  <pic:blipFill>
                    <a:blip r:embed="rId16" cstate="print"/>
                    <a:srcRect/>
                    <a:stretch>
                      <a:fillRect/>
                    </a:stretch>
                  </pic:blipFill>
                  <pic:spPr>
                    <a:xfrm>
                      <a:off x="0" y="0"/>
                      <a:ext cx="3849817" cy="2059383"/>
                    </a:xfrm>
                    <a:prstGeom prst="rect">
                      <a:avLst/>
                    </a:prstGeom>
                    <a:noFill/>
                    <a:ln w="9525">
                      <a:noFill/>
                      <a:miter lim="800000"/>
                      <a:headEnd/>
                      <a:tailEnd/>
                    </a:ln>
                  </pic:spPr>
                </pic:pic>
              </a:graphicData>
            </a:graphic>
          </wp:inline>
        </w:drawing>
      </w:r>
    </w:p>
    <w:p w14:paraId="5CA17CAE">
      <w:pPr>
        <w:autoSpaceDE w:val="0"/>
        <w:autoSpaceDN w:val="0"/>
        <w:adjustRightInd w:val="0"/>
        <w:spacing w:after="0" w:line="360" w:lineRule="auto"/>
        <w:jc w:val="center"/>
        <w:rPr>
          <w:rFonts w:ascii="Times New Roman" w:hAnsi="Times New Roman"/>
          <w:b/>
          <w:bCs/>
          <w:sz w:val="24"/>
          <w:szCs w:val="24"/>
        </w:rPr>
      </w:pPr>
      <w:r>
        <w:rPr>
          <w:rFonts w:ascii="Times New Roman" w:hAnsi="Times New Roman"/>
          <w:b/>
          <w:bCs/>
          <w:sz w:val="24"/>
          <w:szCs w:val="24"/>
        </w:rPr>
        <w:t xml:space="preserve">Fig. 3. Percentage of Molecular Variance in natural populations of </w:t>
      </w:r>
      <w:r>
        <w:rPr>
          <w:rFonts w:ascii="Times New Roman" w:hAnsi="Times New Roman"/>
          <w:b/>
          <w:bCs/>
          <w:i/>
          <w:iCs/>
          <w:sz w:val="24"/>
          <w:szCs w:val="24"/>
        </w:rPr>
        <w:t>M. dubia</w:t>
      </w:r>
    </w:p>
    <w:p w14:paraId="748AA0A1">
      <w:pPr>
        <w:autoSpaceDE w:val="0"/>
        <w:autoSpaceDN w:val="0"/>
        <w:adjustRightInd w:val="0"/>
        <w:spacing w:after="0" w:line="360" w:lineRule="auto"/>
        <w:jc w:val="both"/>
        <w:rPr>
          <w:rFonts w:ascii="Times New Roman" w:hAnsi="Times New Roman"/>
          <w:sz w:val="24"/>
          <w:szCs w:val="24"/>
        </w:rPr>
      </w:pPr>
      <w:r>
        <w:rPr>
          <w:rFonts w:ascii="Times New Roman" w:hAnsi="Times New Roman"/>
          <w:b/>
          <w:bCs/>
          <w:sz w:val="24"/>
          <w:szCs w:val="24"/>
        </w:rPr>
        <w:t xml:space="preserve">3.2.2 Cluster and Principal co-ordinate analysis </w:t>
      </w:r>
    </w:p>
    <w:p w14:paraId="0541421E">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t xml:space="preserve">Nei’s measures of genetic similarity (above diagonal) and genetic distance (below diagonal) between four populations of </w:t>
      </w:r>
      <w:r>
        <w:rPr>
          <w:rFonts w:ascii="Times New Roman" w:hAnsi="Times New Roman"/>
          <w:i/>
          <w:iCs/>
          <w:sz w:val="24"/>
          <w:szCs w:val="24"/>
        </w:rPr>
        <w:t xml:space="preserve">M. dubia </w:t>
      </w:r>
      <w:r>
        <w:rPr>
          <w:rFonts w:ascii="Times New Roman" w:hAnsi="Times New Roman"/>
          <w:sz w:val="24"/>
          <w:szCs w:val="24"/>
        </w:rPr>
        <w:t xml:space="preserve">are presented in Table 4. The range of Nei’s genetic similarity coefficient and genetic distance ranged from 0.955 to 0.971 and 0.027 to 0.045 among the populations of </w:t>
      </w:r>
      <w:r>
        <w:rPr>
          <w:rFonts w:ascii="Times New Roman" w:hAnsi="Times New Roman"/>
          <w:i/>
          <w:iCs/>
          <w:sz w:val="24"/>
          <w:szCs w:val="24"/>
        </w:rPr>
        <w:t>M. dubia</w:t>
      </w:r>
      <w:r>
        <w:rPr>
          <w:rFonts w:ascii="Times New Roman" w:hAnsi="Times New Roman"/>
          <w:sz w:val="24"/>
          <w:szCs w:val="24"/>
        </w:rPr>
        <w:t xml:space="preserve"> under this molecular investigation. Highest similarity coefficient (0.973) and shortest genetic distance (0.27) was detected between Sagai and Waghai population, conversely, lowest similarity coefficient (0.955) and longest genetic distance (0.045) obtained between Waghai and Nanapondha populations. </w:t>
      </w:r>
    </w:p>
    <w:p w14:paraId="0B21A084">
      <w:pPr>
        <w:pStyle w:val="40"/>
        <w:spacing w:after="200" w:line="360" w:lineRule="auto"/>
        <w:rPr>
          <w:rFonts w:ascii="Times New Roman" w:hAnsi="Times New Roman"/>
          <w:b/>
          <w:bCs/>
          <w:sz w:val="24"/>
          <w:szCs w:val="24"/>
        </w:rPr>
      </w:pPr>
      <w:r>
        <w:rPr>
          <w:rFonts w:ascii="Times New Roman" w:hAnsi="Times New Roman"/>
          <w:b/>
          <w:bCs/>
          <w:sz w:val="24"/>
          <w:szCs w:val="24"/>
        </w:rPr>
        <w:t xml:space="preserve">Table 4. Nei’s measures of genetic similarity (above diagonal) and genetic distance (below diagonal) between natural populations of </w:t>
      </w:r>
      <w:r>
        <w:rPr>
          <w:rFonts w:ascii="Times New Roman" w:hAnsi="Times New Roman"/>
          <w:b/>
          <w:bCs/>
          <w:i/>
          <w:iCs/>
          <w:sz w:val="24"/>
          <w:szCs w:val="24"/>
        </w:rPr>
        <w:t>M. dubia</w:t>
      </w:r>
    </w:p>
    <w:tbl>
      <w:tblPr>
        <w:tblStyle w:val="12"/>
        <w:tblW w:w="4901"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812"/>
        <w:gridCol w:w="1812"/>
        <w:gridCol w:w="1812"/>
        <w:gridCol w:w="1812"/>
      </w:tblGrid>
      <w:tr w14:paraId="1C3C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00" w:type="pct"/>
            <w:noWrap/>
            <w:vAlign w:val="center"/>
          </w:tcPr>
          <w:p w14:paraId="24178EB1">
            <w:pPr>
              <w:spacing w:after="0" w:line="360" w:lineRule="auto"/>
              <w:jc w:val="center"/>
              <w:rPr>
                <w:rFonts w:ascii="Times New Roman" w:hAnsi="Times New Roman" w:eastAsia="Times New Roman"/>
                <w:sz w:val="24"/>
                <w:szCs w:val="24"/>
                <w:lang w:bidi="gu-IN"/>
              </w:rPr>
            </w:pPr>
            <w:r>
              <w:rPr>
                <w:rFonts w:ascii="Times New Roman" w:hAnsi="Times New Roman" w:eastAsia="Times New Roman"/>
                <w:b/>
                <w:sz w:val="24"/>
                <w:szCs w:val="24"/>
              </w:rPr>
              <w:t>Populations</w:t>
            </w:r>
          </w:p>
        </w:tc>
        <w:tc>
          <w:tcPr>
            <w:tcW w:w="1000" w:type="pct"/>
            <w:noWrap/>
            <w:vAlign w:val="center"/>
          </w:tcPr>
          <w:p w14:paraId="36C9F29E">
            <w:pPr>
              <w:spacing w:after="0" w:line="360" w:lineRule="auto"/>
              <w:jc w:val="center"/>
              <w:rPr>
                <w:rFonts w:ascii="Times New Roman" w:hAnsi="Times New Roman" w:eastAsia="Times New Roman"/>
                <w:sz w:val="24"/>
                <w:szCs w:val="24"/>
                <w:lang w:bidi="gu-IN"/>
              </w:rPr>
            </w:pPr>
            <w:r>
              <w:rPr>
                <w:rFonts w:ascii="Times New Roman" w:hAnsi="Times New Roman" w:eastAsia="Times New Roman"/>
                <w:b/>
                <w:bCs/>
                <w:sz w:val="24"/>
                <w:szCs w:val="24"/>
              </w:rPr>
              <w:t>Nanapondha</w:t>
            </w:r>
          </w:p>
        </w:tc>
        <w:tc>
          <w:tcPr>
            <w:tcW w:w="1000" w:type="pct"/>
            <w:noWrap/>
            <w:vAlign w:val="center"/>
          </w:tcPr>
          <w:p w14:paraId="7C6D7AD3">
            <w:pPr>
              <w:spacing w:after="0" w:line="360" w:lineRule="auto"/>
              <w:jc w:val="center"/>
              <w:rPr>
                <w:rFonts w:ascii="Times New Roman" w:hAnsi="Times New Roman" w:eastAsia="Times New Roman"/>
                <w:sz w:val="24"/>
                <w:szCs w:val="24"/>
                <w:lang w:bidi="gu-IN"/>
              </w:rPr>
            </w:pPr>
            <w:r>
              <w:rPr>
                <w:rFonts w:ascii="Times New Roman" w:hAnsi="Times New Roman" w:eastAsia="Times New Roman"/>
                <w:b/>
                <w:bCs/>
                <w:sz w:val="24"/>
                <w:szCs w:val="24"/>
              </w:rPr>
              <w:t>Kaprada</w:t>
            </w:r>
          </w:p>
        </w:tc>
        <w:tc>
          <w:tcPr>
            <w:tcW w:w="1000" w:type="pct"/>
            <w:noWrap/>
            <w:vAlign w:val="center"/>
          </w:tcPr>
          <w:p w14:paraId="0F0DF248">
            <w:pPr>
              <w:spacing w:after="0" w:line="360" w:lineRule="auto"/>
              <w:jc w:val="center"/>
              <w:rPr>
                <w:rFonts w:ascii="Times New Roman" w:hAnsi="Times New Roman" w:eastAsia="Times New Roman"/>
                <w:sz w:val="24"/>
                <w:szCs w:val="24"/>
                <w:lang w:bidi="gu-IN"/>
              </w:rPr>
            </w:pPr>
            <w:r>
              <w:rPr>
                <w:rFonts w:ascii="Times New Roman" w:hAnsi="Times New Roman" w:eastAsia="Times New Roman"/>
                <w:b/>
                <w:bCs/>
                <w:sz w:val="24"/>
                <w:szCs w:val="24"/>
              </w:rPr>
              <w:t>Sagai</w:t>
            </w:r>
          </w:p>
        </w:tc>
        <w:tc>
          <w:tcPr>
            <w:tcW w:w="1000" w:type="pct"/>
            <w:noWrap/>
            <w:vAlign w:val="center"/>
          </w:tcPr>
          <w:p w14:paraId="251470ED">
            <w:pPr>
              <w:spacing w:after="0" w:line="360" w:lineRule="auto"/>
              <w:jc w:val="center"/>
              <w:rPr>
                <w:rFonts w:ascii="Times New Roman" w:hAnsi="Times New Roman" w:eastAsia="Times New Roman"/>
                <w:sz w:val="24"/>
                <w:szCs w:val="24"/>
                <w:lang w:bidi="gu-IN"/>
              </w:rPr>
            </w:pPr>
            <w:r>
              <w:rPr>
                <w:rFonts w:ascii="Times New Roman" w:hAnsi="Times New Roman" w:eastAsia="Times New Roman"/>
                <w:b/>
                <w:bCs/>
                <w:sz w:val="24"/>
                <w:szCs w:val="24"/>
              </w:rPr>
              <w:t>Waghai</w:t>
            </w:r>
          </w:p>
        </w:tc>
      </w:tr>
      <w:tr w14:paraId="4F2F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00" w:type="pct"/>
            <w:noWrap/>
            <w:vAlign w:val="center"/>
          </w:tcPr>
          <w:p w14:paraId="6955CF82">
            <w:pPr>
              <w:spacing w:after="0" w:line="360" w:lineRule="auto"/>
              <w:jc w:val="center"/>
              <w:rPr>
                <w:rFonts w:ascii="Times New Roman" w:hAnsi="Times New Roman" w:eastAsia="Times New Roman"/>
                <w:sz w:val="24"/>
                <w:szCs w:val="24"/>
                <w:lang w:bidi="gu-IN"/>
              </w:rPr>
            </w:pPr>
            <w:r>
              <w:rPr>
                <w:rFonts w:ascii="Times New Roman" w:hAnsi="Times New Roman" w:eastAsia="Times New Roman"/>
                <w:b/>
                <w:bCs/>
                <w:sz w:val="24"/>
                <w:szCs w:val="24"/>
              </w:rPr>
              <w:t>Nanapondha</w:t>
            </w:r>
          </w:p>
        </w:tc>
        <w:tc>
          <w:tcPr>
            <w:tcW w:w="1000" w:type="pct"/>
            <w:noWrap/>
            <w:vAlign w:val="center"/>
          </w:tcPr>
          <w:p w14:paraId="1C06AAE9">
            <w:pPr>
              <w:spacing w:after="0" w:line="360" w:lineRule="auto"/>
              <w:jc w:val="center"/>
              <w:rPr>
                <w:rFonts w:ascii="Times New Roman" w:hAnsi="Times New Roman" w:eastAsia="Times New Roman"/>
                <w:sz w:val="24"/>
                <w:szCs w:val="24"/>
                <w:lang w:bidi="gu-IN"/>
              </w:rPr>
            </w:pPr>
            <w:r>
              <w:rPr>
                <w:rFonts w:ascii="Times New Roman" w:hAnsi="Times New Roman" w:eastAsia="Times New Roman"/>
                <w:sz w:val="24"/>
                <w:szCs w:val="24"/>
                <w:lang w:bidi="gu-IN"/>
              </w:rPr>
              <w:t>****</w:t>
            </w:r>
          </w:p>
        </w:tc>
        <w:tc>
          <w:tcPr>
            <w:tcW w:w="1000" w:type="pct"/>
            <w:noWrap/>
            <w:vAlign w:val="center"/>
          </w:tcPr>
          <w:p w14:paraId="46D769B6">
            <w:pPr>
              <w:spacing w:after="0" w:line="360" w:lineRule="auto"/>
              <w:jc w:val="center"/>
              <w:rPr>
                <w:rFonts w:ascii="Times New Roman" w:hAnsi="Times New Roman" w:eastAsia="Times New Roman"/>
                <w:sz w:val="24"/>
                <w:szCs w:val="24"/>
                <w:lang w:bidi="gu-IN"/>
              </w:rPr>
            </w:pPr>
            <w:r>
              <w:rPr>
                <w:rFonts w:ascii="Times New Roman" w:hAnsi="Times New Roman" w:eastAsia="Times New Roman"/>
                <w:sz w:val="24"/>
                <w:szCs w:val="24"/>
                <w:lang w:bidi="gu-IN"/>
              </w:rPr>
              <w:t>0.971</w:t>
            </w:r>
          </w:p>
        </w:tc>
        <w:tc>
          <w:tcPr>
            <w:tcW w:w="1000" w:type="pct"/>
            <w:noWrap/>
            <w:vAlign w:val="center"/>
          </w:tcPr>
          <w:p w14:paraId="50FF4661">
            <w:pPr>
              <w:spacing w:after="0" w:line="360" w:lineRule="auto"/>
              <w:jc w:val="center"/>
              <w:rPr>
                <w:rFonts w:ascii="Times New Roman" w:hAnsi="Times New Roman" w:eastAsia="Times New Roman"/>
                <w:sz w:val="24"/>
                <w:szCs w:val="24"/>
                <w:lang w:bidi="gu-IN"/>
              </w:rPr>
            </w:pPr>
            <w:r>
              <w:rPr>
                <w:rFonts w:ascii="Times New Roman" w:hAnsi="Times New Roman" w:eastAsia="Times New Roman"/>
                <w:sz w:val="24"/>
                <w:szCs w:val="24"/>
                <w:lang w:bidi="gu-IN"/>
              </w:rPr>
              <w:t>0.958</w:t>
            </w:r>
          </w:p>
        </w:tc>
        <w:tc>
          <w:tcPr>
            <w:tcW w:w="1000" w:type="pct"/>
            <w:noWrap/>
            <w:vAlign w:val="center"/>
          </w:tcPr>
          <w:p w14:paraId="6C3BDA37">
            <w:pPr>
              <w:spacing w:after="0" w:line="360" w:lineRule="auto"/>
              <w:jc w:val="center"/>
              <w:rPr>
                <w:rFonts w:ascii="Times New Roman" w:hAnsi="Times New Roman" w:eastAsia="Times New Roman"/>
                <w:sz w:val="24"/>
                <w:szCs w:val="24"/>
                <w:lang w:bidi="gu-IN"/>
              </w:rPr>
            </w:pPr>
            <w:r>
              <w:rPr>
                <w:rFonts w:ascii="Times New Roman" w:hAnsi="Times New Roman" w:eastAsia="Times New Roman"/>
                <w:sz w:val="24"/>
                <w:szCs w:val="24"/>
                <w:lang w:bidi="gu-IN"/>
              </w:rPr>
              <w:t>0.955</w:t>
            </w:r>
          </w:p>
        </w:tc>
      </w:tr>
      <w:tr w14:paraId="33D5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00" w:type="pct"/>
            <w:noWrap/>
            <w:vAlign w:val="center"/>
          </w:tcPr>
          <w:p w14:paraId="69A1F03C">
            <w:pPr>
              <w:spacing w:after="0" w:line="360" w:lineRule="auto"/>
              <w:jc w:val="center"/>
              <w:rPr>
                <w:rFonts w:ascii="Times New Roman" w:hAnsi="Times New Roman" w:eastAsia="Times New Roman"/>
                <w:sz w:val="24"/>
                <w:szCs w:val="24"/>
                <w:lang w:bidi="gu-IN"/>
              </w:rPr>
            </w:pPr>
            <w:r>
              <w:rPr>
                <w:rFonts w:ascii="Times New Roman" w:hAnsi="Times New Roman" w:eastAsia="Times New Roman"/>
                <w:b/>
                <w:bCs/>
                <w:sz w:val="24"/>
                <w:szCs w:val="24"/>
              </w:rPr>
              <w:t>Kaprada</w:t>
            </w:r>
          </w:p>
        </w:tc>
        <w:tc>
          <w:tcPr>
            <w:tcW w:w="1000" w:type="pct"/>
            <w:noWrap/>
            <w:vAlign w:val="center"/>
          </w:tcPr>
          <w:p w14:paraId="048A29BB">
            <w:pPr>
              <w:spacing w:after="0" w:line="360" w:lineRule="auto"/>
              <w:jc w:val="center"/>
              <w:rPr>
                <w:rFonts w:ascii="Times New Roman" w:hAnsi="Times New Roman" w:eastAsia="Times New Roman"/>
                <w:sz w:val="24"/>
                <w:szCs w:val="24"/>
                <w:lang w:bidi="gu-IN"/>
              </w:rPr>
            </w:pPr>
            <w:r>
              <w:rPr>
                <w:rFonts w:ascii="Times New Roman" w:hAnsi="Times New Roman" w:eastAsia="Times New Roman"/>
                <w:sz w:val="24"/>
                <w:szCs w:val="24"/>
                <w:lang w:bidi="gu-IN"/>
              </w:rPr>
              <w:t>0.029</w:t>
            </w:r>
          </w:p>
        </w:tc>
        <w:tc>
          <w:tcPr>
            <w:tcW w:w="1000" w:type="pct"/>
            <w:noWrap/>
            <w:vAlign w:val="center"/>
          </w:tcPr>
          <w:p w14:paraId="436FAF0B">
            <w:pPr>
              <w:spacing w:after="0" w:line="360" w:lineRule="auto"/>
              <w:jc w:val="center"/>
              <w:rPr>
                <w:rFonts w:ascii="Times New Roman" w:hAnsi="Times New Roman" w:eastAsia="Times New Roman"/>
                <w:sz w:val="24"/>
                <w:szCs w:val="24"/>
                <w:lang w:bidi="gu-IN"/>
              </w:rPr>
            </w:pPr>
            <w:r>
              <w:rPr>
                <w:rFonts w:ascii="Times New Roman" w:hAnsi="Times New Roman" w:eastAsia="Times New Roman"/>
                <w:sz w:val="24"/>
                <w:szCs w:val="24"/>
                <w:lang w:bidi="gu-IN"/>
              </w:rPr>
              <w:t>****</w:t>
            </w:r>
          </w:p>
        </w:tc>
        <w:tc>
          <w:tcPr>
            <w:tcW w:w="1000" w:type="pct"/>
            <w:noWrap/>
            <w:vAlign w:val="center"/>
          </w:tcPr>
          <w:p w14:paraId="2E9B171B">
            <w:pPr>
              <w:spacing w:after="0" w:line="360" w:lineRule="auto"/>
              <w:jc w:val="center"/>
              <w:rPr>
                <w:rFonts w:ascii="Times New Roman" w:hAnsi="Times New Roman" w:eastAsia="Times New Roman"/>
                <w:sz w:val="24"/>
                <w:szCs w:val="24"/>
                <w:lang w:bidi="gu-IN"/>
              </w:rPr>
            </w:pPr>
            <w:r>
              <w:rPr>
                <w:rFonts w:ascii="Times New Roman" w:hAnsi="Times New Roman" w:eastAsia="Times New Roman"/>
                <w:sz w:val="24"/>
                <w:szCs w:val="24"/>
                <w:lang w:bidi="gu-IN"/>
              </w:rPr>
              <w:t>0.965</w:t>
            </w:r>
          </w:p>
        </w:tc>
        <w:tc>
          <w:tcPr>
            <w:tcW w:w="1000" w:type="pct"/>
            <w:noWrap/>
            <w:vAlign w:val="center"/>
          </w:tcPr>
          <w:p w14:paraId="0ED2460C">
            <w:pPr>
              <w:spacing w:after="0" w:line="360" w:lineRule="auto"/>
              <w:jc w:val="center"/>
              <w:rPr>
                <w:rFonts w:ascii="Times New Roman" w:hAnsi="Times New Roman" w:eastAsia="Times New Roman"/>
                <w:sz w:val="24"/>
                <w:szCs w:val="24"/>
                <w:lang w:bidi="gu-IN"/>
              </w:rPr>
            </w:pPr>
            <w:r>
              <w:rPr>
                <w:rFonts w:ascii="Times New Roman" w:hAnsi="Times New Roman" w:eastAsia="Times New Roman"/>
                <w:sz w:val="24"/>
                <w:szCs w:val="24"/>
                <w:lang w:bidi="gu-IN"/>
              </w:rPr>
              <w:t>0.956</w:t>
            </w:r>
          </w:p>
        </w:tc>
      </w:tr>
      <w:tr w14:paraId="788B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00" w:type="pct"/>
            <w:noWrap/>
            <w:vAlign w:val="center"/>
          </w:tcPr>
          <w:p w14:paraId="304BA557">
            <w:pPr>
              <w:spacing w:after="0" w:line="360" w:lineRule="auto"/>
              <w:jc w:val="center"/>
              <w:rPr>
                <w:rFonts w:ascii="Times New Roman" w:hAnsi="Times New Roman" w:eastAsia="Times New Roman"/>
                <w:sz w:val="24"/>
                <w:szCs w:val="24"/>
                <w:lang w:bidi="gu-IN"/>
              </w:rPr>
            </w:pPr>
            <w:r>
              <w:rPr>
                <w:rFonts w:ascii="Times New Roman" w:hAnsi="Times New Roman" w:eastAsia="Times New Roman"/>
                <w:b/>
                <w:bCs/>
                <w:sz w:val="24"/>
                <w:szCs w:val="24"/>
              </w:rPr>
              <w:t>Sagai</w:t>
            </w:r>
          </w:p>
        </w:tc>
        <w:tc>
          <w:tcPr>
            <w:tcW w:w="1000" w:type="pct"/>
            <w:noWrap/>
            <w:vAlign w:val="center"/>
          </w:tcPr>
          <w:p w14:paraId="6112BD71">
            <w:pPr>
              <w:spacing w:after="0" w:line="360" w:lineRule="auto"/>
              <w:jc w:val="center"/>
              <w:rPr>
                <w:rFonts w:ascii="Times New Roman" w:hAnsi="Times New Roman" w:eastAsia="Times New Roman"/>
                <w:sz w:val="24"/>
                <w:szCs w:val="24"/>
                <w:lang w:bidi="gu-IN"/>
              </w:rPr>
            </w:pPr>
            <w:r>
              <w:rPr>
                <w:rFonts w:ascii="Times New Roman" w:hAnsi="Times New Roman" w:eastAsia="Times New Roman"/>
                <w:sz w:val="24"/>
                <w:szCs w:val="24"/>
                <w:lang w:bidi="gu-IN"/>
              </w:rPr>
              <w:t>0.042</w:t>
            </w:r>
          </w:p>
        </w:tc>
        <w:tc>
          <w:tcPr>
            <w:tcW w:w="1000" w:type="pct"/>
            <w:noWrap/>
            <w:vAlign w:val="center"/>
          </w:tcPr>
          <w:p w14:paraId="26FA72CA">
            <w:pPr>
              <w:spacing w:after="0" w:line="360" w:lineRule="auto"/>
              <w:jc w:val="center"/>
              <w:rPr>
                <w:rFonts w:ascii="Times New Roman" w:hAnsi="Times New Roman" w:eastAsia="Times New Roman"/>
                <w:sz w:val="24"/>
                <w:szCs w:val="24"/>
                <w:lang w:bidi="gu-IN"/>
              </w:rPr>
            </w:pPr>
            <w:r>
              <w:rPr>
                <w:rFonts w:ascii="Times New Roman" w:hAnsi="Times New Roman" w:eastAsia="Times New Roman"/>
                <w:sz w:val="24"/>
                <w:szCs w:val="24"/>
                <w:lang w:bidi="gu-IN"/>
              </w:rPr>
              <w:t>0.035</w:t>
            </w:r>
          </w:p>
        </w:tc>
        <w:tc>
          <w:tcPr>
            <w:tcW w:w="1000" w:type="pct"/>
            <w:noWrap/>
            <w:vAlign w:val="center"/>
          </w:tcPr>
          <w:p w14:paraId="711287F2">
            <w:pPr>
              <w:spacing w:after="0" w:line="360" w:lineRule="auto"/>
              <w:jc w:val="center"/>
              <w:rPr>
                <w:rFonts w:ascii="Times New Roman" w:hAnsi="Times New Roman" w:eastAsia="Times New Roman"/>
                <w:sz w:val="24"/>
                <w:szCs w:val="24"/>
                <w:lang w:bidi="gu-IN"/>
              </w:rPr>
            </w:pPr>
            <w:r>
              <w:rPr>
                <w:rFonts w:ascii="Times New Roman" w:hAnsi="Times New Roman" w:eastAsia="Times New Roman"/>
                <w:sz w:val="24"/>
                <w:szCs w:val="24"/>
                <w:lang w:bidi="gu-IN"/>
              </w:rPr>
              <w:t>****</w:t>
            </w:r>
          </w:p>
        </w:tc>
        <w:tc>
          <w:tcPr>
            <w:tcW w:w="1000" w:type="pct"/>
            <w:noWrap/>
            <w:vAlign w:val="center"/>
          </w:tcPr>
          <w:p w14:paraId="6EF64393">
            <w:pPr>
              <w:spacing w:after="0" w:line="360" w:lineRule="auto"/>
              <w:jc w:val="center"/>
              <w:rPr>
                <w:rFonts w:ascii="Times New Roman" w:hAnsi="Times New Roman" w:eastAsia="Times New Roman"/>
                <w:sz w:val="24"/>
                <w:szCs w:val="24"/>
                <w:lang w:bidi="gu-IN"/>
              </w:rPr>
            </w:pPr>
            <w:r>
              <w:rPr>
                <w:rFonts w:ascii="Times New Roman" w:hAnsi="Times New Roman" w:eastAsia="Times New Roman"/>
                <w:sz w:val="24"/>
                <w:szCs w:val="24"/>
                <w:lang w:bidi="gu-IN"/>
              </w:rPr>
              <w:t>0.973</w:t>
            </w:r>
          </w:p>
        </w:tc>
      </w:tr>
      <w:tr w14:paraId="763C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00" w:type="pct"/>
            <w:noWrap/>
            <w:vAlign w:val="center"/>
          </w:tcPr>
          <w:p w14:paraId="14AAFE37">
            <w:pPr>
              <w:spacing w:after="0" w:line="360" w:lineRule="auto"/>
              <w:jc w:val="center"/>
              <w:rPr>
                <w:rFonts w:ascii="Times New Roman" w:hAnsi="Times New Roman" w:eastAsia="Times New Roman"/>
                <w:sz w:val="24"/>
                <w:szCs w:val="24"/>
                <w:lang w:bidi="gu-IN"/>
              </w:rPr>
            </w:pPr>
            <w:r>
              <w:rPr>
                <w:rFonts w:ascii="Times New Roman" w:hAnsi="Times New Roman" w:eastAsia="Times New Roman"/>
                <w:b/>
                <w:bCs/>
                <w:sz w:val="24"/>
                <w:szCs w:val="24"/>
              </w:rPr>
              <w:t>Waghai</w:t>
            </w:r>
          </w:p>
        </w:tc>
        <w:tc>
          <w:tcPr>
            <w:tcW w:w="1000" w:type="pct"/>
            <w:noWrap/>
            <w:vAlign w:val="center"/>
          </w:tcPr>
          <w:p w14:paraId="7EE741CB">
            <w:pPr>
              <w:spacing w:after="0" w:line="360" w:lineRule="auto"/>
              <w:jc w:val="center"/>
              <w:rPr>
                <w:rFonts w:ascii="Times New Roman" w:hAnsi="Times New Roman" w:eastAsia="Times New Roman"/>
                <w:sz w:val="24"/>
                <w:szCs w:val="24"/>
                <w:lang w:bidi="gu-IN"/>
              </w:rPr>
            </w:pPr>
            <w:r>
              <w:rPr>
                <w:rFonts w:ascii="Times New Roman" w:hAnsi="Times New Roman" w:eastAsia="Times New Roman"/>
                <w:sz w:val="24"/>
                <w:szCs w:val="24"/>
                <w:lang w:bidi="gu-IN"/>
              </w:rPr>
              <w:t>0.045</w:t>
            </w:r>
          </w:p>
        </w:tc>
        <w:tc>
          <w:tcPr>
            <w:tcW w:w="1000" w:type="pct"/>
            <w:noWrap/>
            <w:vAlign w:val="center"/>
          </w:tcPr>
          <w:p w14:paraId="08D40355">
            <w:pPr>
              <w:spacing w:after="0" w:line="360" w:lineRule="auto"/>
              <w:jc w:val="center"/>
              <w:rPr>
                <w:rFonts w:ascii="Times New Roman" w:hAnsi="Times New Roman" w:eastAsia="Times New Roman"/>
                <w:sz w:val="24"/>
                <w:szCs w:val="24"/>
                <w:lang w:bidi="gu-IN"/>
              </w:rPr>
            </w:pPr>
            <w:r>
              <w:rPr>
                <w:rFonts w:ascii="Times New Roman" w:hAnsi="Times New Roman" w:eastAsia="Times New Roman"/>
                <w:sz w:val="24"/>
                <w:szCs w:val="24"/>
                <w:lang w:bidi="gu-IN"/>
              </w:rPr>
              <w:t>0.044</w:t>
            </w:r>
          </w:p>
        </w:tc>
        <w:tc>
          <w:tcPr>
            <w:tcW w:w="1000" w:type="pct"/>
            <w:noWrap/>
            <w:vAlign w:val="center"/>
          </w:tcPr>
          <w:p w14:paraId="48908DA6">
            <w:pPr>
              <w:spacing w:after="0" w:line="360" w:lineRule="auto"/>
              <w:jc w:val="center"/>
              <w:rPr>
                <w:rFonts w:ascii="Times New Roman" w:hAnsi="Times New Roman" w:eastAsia="Times New Roman"/>
                <w:sz w:val="24"/>
                <w:szCs w:val="24"/>
                <w:lang w:bidi="gu-IN"/>
              </w:rPr>
            </w:pPr>
            <w:r>
              <w:rPr>
                <w:rFonts w:ascii="Times New Roman" w:hAnsi="Times New Roman" w:eastAsia="Times New Roman"/>
                <w:sz w:val="24"/>
                <w:szCs w:val="24"/>
                <w:lang w:bidi="gu-IN"/>
              </w:rPr>
              <w:t>0.027</w:t>
            </w:r>
          </w:p>
        </w:tc>
        <w:tc>
          <w:tcPr>
            <w:tcW w:w="1000" w:type="pct"/>
            <w:noWrap/>
            <w:vAlign w:val="center"/>
          </w:tcPr>
          <w:p w14:paraId="6C96F4DD">
            <w:pPr>
              <w:spacing w:after="0" w:line="360" w:lineRule="auto"/>
              <w:jc w:val="center"/>
              <w:rPr>
                <w:rFonts w:ascii="Times New Roman" w:hAnsi="Times New Roman" w:eastAsia="Times New Roman"/>
                <w:sz w:val="24"/>
                <w:szCs w:val="24"/>
                <w:lang w:bidi="gu-IN"/>
              </w:rPr>
            </w:pPr>
            <w:r>
              <w:rPr>
                <w:rFonts w:ascii="Times New Roman" w:hAnsi="Times New Roman" w:eastAsia="Times New Roman"/>
                <w:sz w:val="24"/>
                <w:szCs w:val="24"/>
                <w:lang w:bidi="gu-IN"/>
              </w:rPr>
              <w:t>****</w:t>
            </w:r>
          </w:p>
        </w:tc>
      </w:tr>
    </w:tbl>
    <w:p w14:paraId="514B1CDF">
      <w:pPr>
        <w:autoSpaceDE w:val="0"/>
        <w:autoSpaceDN w:val="0"/>
        <w:adjustRightInd w:val="0"/>
        <w:spacing w:after="0" w:line="360" w:lineRule="auto"/>
        <w:jc w:val="both"/>
        <w:rPr>
          <w:rFonts w:ascii="Times New Roman" w:hAnsi="Times New Roman"/>
          <w:sz w:val="24"/>
          <w:szCs w:val="24"/>
        </w:rPr>
      </w:pPr>
    </w:p>
    <w:p w14:paraId="5A3C98C7">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Clustering pattern, based on Nei’s measures of genetic similarity, as evident from UPGMA Dendrogram resolved in two main clusters. Cluster I consisted of Nanapondha and Kaprada population whereas, cluster II possessed Sagai and Waghai populations. The results of PCoA corresponded well with the cluster analysis obtained through UPGMA (Fig. 4). The two coordinates accounted for 50.47 and 28.03 per cent of the total variance, respectively. Thus, the total cumulative variance accounted by these two coordinates was 78.50 percent.</w:t>
      </w:r>
    </w:p>
    <w:p w14:paraId="2108A6DB">
      <w:pPr>
        <w:autoSpaceDE w:val="0"/>
        <w:autoSpaceDN w:val="0"/>
        <w:adjustRightInd w:val="0"/>
        <w:spacing w:after="0" w:line="360" w:lineRule="auto"/>
        <w:ind w:firstLine="720"/>
        <w:jc w:val="both"/>
        <w:rPr>
          <w:rFonts w:ascii="Times New Roman" w:hAnsi="Times New Roman"/>
          <w:sz w:val="24"/>
          <w:szCs w:val="24"/>
        </w:rPr>
      </w:pPr>
      <w:r>
        <w:drawing>
          <wp:inline distT="0" distB="0" distL="0" distR="0">
            <wp:extent cx="5158740" cy="2125980"/>
            <wp:effectExtent l="0" t="0" r="3810" b="7620"/>
            <wp:docPr id="16727344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734482" name="Picture 2"/>
                    <pic:cNvPicPr>
                      <a:picLocks noChangeAspect="1" noChangeArrowheads="1"/>
                    </pic:cNvPicPr>
                  </pic:nvPicPr>
                  <pic:blipFill>
                    <a:blip r:embed="rId17">
                      <a:extLst>
                        <a:ext uri="{28A0092B-C50C-407E-A947-70E740481C1C}">
                          <a14:useLocalDpi xmlns:a14="http://schemas.microsoft.com/office/drawing/2010/main" val="0"/>
                        </a:ext>
                      </a:extLst>
                    </a:blip>
                    <a:srcRect l="4652" t="12524" r="5351" b="22253"/>
                    <a:stretch>
                      <a:fillRect/>
                    </a:stretch>
                  </pic:blipFill>
                  <pic:spPr>
                    <a:xfrm>
                      <a:off x="0" y="0"/>
                      <a:ext cx="5158740" cy="2125980"/>
                    </a:xfrm>
                    <a:prstGeom prst="rect">
                      <a:avLst/>
                    </a:prstGeom>
                    <a:noFill/>
                    <a:ln>
                      <a:noFill/>
                    </a:ln>
                  </pic:spPr>
                </pic:pic>
              </a:graphicData>
            </a:graphic>
          </wp:inline>
        </w:drawing>
      </w:r>
    </w:p>
    <w:p w14:paraId="2198A0A8">
      <w:pPr>
        <w:spacing w:line="360" w:lineRule="auto"/>
        <w:jc w:val="center"/>
        <w:rPr>
          <w:rFonts w:ascii="Times New Roman" w:hAnsi="Times New Roman"/>
          <w:b/>
          <w:bCs/>
          <w:i/>
          <w:iCs/>
          <w:sz w:val="24"/>
          <w:szCs w:val="24"/>
        </w:rPr>
      </w:pPr>
      <w:r>
        <w:rPr>
          <w:rFonts w:ascii="Times New Roman" w:hAnsi="Times New Roman"/>
          <w:b/>
          <w:bCs/>
          <w:sz w:val="24"/>
          <w:szCs w:val="24"/>
        </w:rPr>
        <w:t xml:space="preserve">Fig. 4. (a) UPGMA dendrogram and (b) Principal Coordinates (PCoA) plot for the natural populations of </w:t>
      </w:r>
      <w:r>
        <w:rPr>
          <w:rFonts w:ascii="Times New Roman" w:hAnsi="Times New Roman"/>
          <w:b/>
          <w:bCs/>
          <w:i/>
          <w:iCs/>
          <w:sz w:val="24"/>
          <w:szCs w:val="24"/>
        </w:rPr>
        <w:t>M. dubia</w:t>
      </w:r>
      <w:r>
        <w:rPr>
          <w:rFonts w:ascii="Times New Roman" w:hAnsi="Times New Roman"/>
          <w:b/>
          <w:bCs/>
          <w:sz w:val="24"/>
          <w:szCs w:val="24"/>
        </w:rPr>
        <w:t xml:space="preserve"> generated from molecular data</w:t>
      </w:r>
    </w:p>
    <w:p w14:paraId="0479EFB7">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Molecular markers have proven to be valuable tools for determining genetic diversity within and among population, characterization of genotypes and studying population dynamics and gene flow (Porth and El-kasaby, 2014). Molecular profiling through RAPD technique is relatively quick and cheap method as compared to other marker techniques. Although, lower reproducibility is known but ease of working even with small DNA sample size make them suitable for population studies (Sasikala and Kamakshamma, 2015).</w:t>
      </w:r>
    </w:p>
    <w:p w14:paraId="54EE0071">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Incurrent genetic diversity analysis based on molecular data, within population range of genetic diversity parameters (PPL, Na, Ne, H and I) did not vary largely, showing similarity of individuals within population. although, higher gene diversity was recorded in Waghai and Nanapondha populations and lower in Kaprada and Sagai populations. In population genetics, gene differentiation based on Gst values is classified as low (&lt; 0.05), medium (0.05–0.15), or high (&gt;0.15) (Li </w:t>
      </w:r>
      <w:r>
        <w:rPr>
          <w:rFonts w:ascii="Times New Roman" w:hAnsi="Times New Roman"/>
          <w:i/>
          <w:iCs/>
          <w:sz w:val="24"/>
          <w:szCs w:val="24"/>
        </w:rPr>
        <w:t xml:space="preserve">et al, </w:t>
      </w:r>
      <w:r>
        <w:rPr>
          <w:rFonts w:ascii="Times New Roman" w:hAnsi="Times New Roman"/>
          <w:sz w:val="24"/>
          <w:szCs w:val="24"/>
        </w:rPr>
        <w:t xml:space="preserve">2018). In present study, the Gst (0.11) and Nm of 0.422 indicated a moderate level of genetic differentiation between populations and a low level of gene flow. Further, out of the total gene variability (Ht), greater portion were attributed within population. Partitioning of genetic diversity (AMOVA) confirmed that maximum diversity was within population rather among population. molecular studies elsewhere on other tree species enforced present findings as in </w:t>
      </w:r>
      <w:r>
        <w:rPr>
          <w:rFonts w:ascii="Times New Roman" w:hAnsi="Times New Roman"/>
          <w:i/>
          <w:iCs/>
          <w:sz w:val="24"/>
          <w:szCs w:val="24"/>
        </w:rPr>
        <w:t>A. indica</w:t>
      </w:r>
      <w:r>
        <w:rPr>
          <w:rFonts w:ascii="Times New Roman" w:hAnsi="Times New Roman"/>
          <w:sz w:val="24"/>
          <w:szCs w:val="24"/>
        </w:rPr>
        <w:t xml:space="preserve"> (Cruz da Silva </w:t>
      </w:r>
      <w:r>
        <w:rPr>
          <w:rFonts w:ascii="Times New Roman" w:hAnsi="Times New Roman"/>
          <w:i/>
          <w:iCs/>
          <w:sz w:val="24"/>
          <w:szCs w:val="24"/>
        </w:rPr>
        <w:t>et al.,</w:t>
      </w:r>
      <w:r>
        <w:rPr>
          <w:rFonts w:ascii="Times New Roman" w:hAnsi="Times New Roman"/>
          <w:sz w:val="24"/>
          <w:szCs w:val="24"/>
        </w:rPr>
        <w:t xml:space="preserve"> 2013), Baobab tree (Assobadjo </w:t>
      </w:r>
      <w:r>
        <w:rPr>
          <w:rFonts w:ascii="Times New Roman" w:hAnsi="Times New Roman"/>
          <w:i/>
          <w:iCs/>
          <w:sz w:val="24"/>
          <w:szCs w:val="24"/>
        </w:rPr>
        <w:t>et al.,</w:t>
      </w:r>
      <w:r>
        <w:rPr>
          <w:rFonts w:ascii="Times New Roman" w:hAnsi="Times New Roman"/>
          <w:sz w:val="24"/>
          <w:szCs w:val="24"/>
        </w:rPr>
        <w:t xml:space="preserve"> 2006) and in Teak (Chaudhari </w:t>
      </w:r>
      <w:r>
        <w:rPr>
          <w:rFonts w:ascii="Times New Roman" w:hAnsi="Times New Roman"/>
          <w:i/>
          <w:iCs/>
          <w:sz w:val="24"/>
          <w:szCs w:val="24"/>
        </w:rPr>
        <w:t>et al.,</w:t>
      </w:r>
      <w:r>
        <w:rPr>
          <w:rFonts w:ascii="Times New Roman" w:hAnsi="Times New Roman"/>
          <w:sz w:val="24"/>
          <w:szCs w:val="24"/>
        </w:rPr>
        <w:t xml:space="preserve"> 2018) wherein, within population variability was noted higher than among population. </w:t>
      </w:r>
    </w:p>
    <w:p w14:paraId="4993DB66">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Further, survey of scientific literature revealed the relationship of genetic differentiation and population structure depends on several factors like geographic isolation, ecological habitat destruction, breeding system, seed dispersal mechanism, gene flow and human intervenes Ikbal </w:t>
      </w:r>
      <w:r>
        <w:rPr>
          <w:rFonts w:ascii="Times New Roman" w:hAnsi="Times New Roman"/>
          <w:i/>
          <w:iCs/>
          <w:sz w:val="24"/>
          <w:szCs w:val="24"/>
        </w:rPr>
        <w:t>et al.,</w:t>
      </w:r>
      <w:r>
        <w:rPr>
          <w:rFonts w:ascii="Times New Roman" w:hAnsi="Times New Roman"/>
          <w:sz w:val="24"/>
          <w:szCs w:val="24"/>
        </w:rPr>
        <w:t xml:space="preserve"> (2010); Senapati </w:t>
      </w:r>
      <w:r>
        <w:rPr>
          <w:rFonts w:ascii="Times New Roman" w:hAnsi="Times New Roman"/>
          <w:i/>
          <w:iCs/>
          <w:sz w:val="24"/>
          <w:szCs w:val="24"/>
        </w:rPr>
        <w:t xml:space="preserve">et al., </w:t>
      </w:r>
      <w:r>
        <w:rPr>
          <w:rFonts w:ascii="Times New Roman" w:hAnsi="Times New Roman"/>
          <w:sz w:val="24"/>
          <w:szCs w:val="24"/>
        </w:rPr>
        <w:t xml:space="preserve">(2012) and (Salem and Sallam, 2015). In present study, a mixed mode of pollination mechanism due to scattered population structure of </w:t>
      </w:r>
      <w:r>
        <w:rPr>
          <w:rFonts w:ascii="Times New Roman" w:hAnsi="Times New Roman"/>
          <w:i/>
          <w:iCs/>
          <w:sz w:val="24"/>
          <w:szCs w:val="24"/>
        </w:rPr>
        <w:t>M. dubia</w:t>
      </w:r>
      <w:r>
        <w:rPr>
          <w:rFonts w:ascii="Times New Roman" w:hAnsi="Times New Roman"/>
          <w:sz w:val="24"/>
          <w:szCs w:val="24"/>
        </w:rPr>
        <w:t xml:space="preserve">, and shorter seed dispersal by herbivores might have restricted gene flow among populations which finally led to low genetic diversity among individuals and consequently increased divergence among populations. This finding is in agreement of other findings in </w:t>
      </w:r>
      <w:r>
        <w:rPr>
          <w:rFonts w:ascii="Times New Roman" w:hAnsi="Times New Roman"/>
          <w:i/>
          <w:iCs/>
          <w:sz w:val="24"/>
          <w:szCs w:val="24"/>
        </w:rPr>
        <w:t xml:space="preserve">M. dubia </w:t>
      </w:r>
      <w:r>
        <w:rPr>
          <w:rFonts w:ascii="Times New Roman" w:hAnsi="Times New Roman"/>
          <w:sz w:val="24"/>
          <w:szCs w:val="24"/>
        </w:rPr>
        <w:t xml:space="preserve">by Rawat </w:t>
      </w:r>
      <w:r>
        <w:rPr>
          <w:rFonts w:ascii="Times New Roman" w:hAnsi="Times New Roman"/>
          <w:i/>
          <w:iCs/>
          <w:sz w:val="24"/>
          <w:szCs w:val="24"/>
        </w:rPr>
        <w:t xml:space="preserve">et al. </w:t>
      </w:r>
      <w:r>
        <w:rPr>
          <w:rFonts w:ascii="Times New Roman" w:hAnsi="Times New Roman"/>
          <w:sz w:val="24"/>
          <w:szCs w:val="24"/>
        </w:rPr>
        <w:t xml:space="preserve">(2018) and in Neem by Dhillon </w:t>
      </w:r>
      <w:r>
        <w:rPr>
          <w:rFonts w:ascii="Times New Roman" w:hAnsi="Times New Roman"/>
          <w:i/>
          <w:iCs/>
          <w:sz w:val="24"/>
          <w:szCs w:val="24"/>
        </w:rPr>
        <w:t xml:space="preserve">et al. </w:t>
      </w:r>
      <w:r>
        <w:rPr>
          <w:rFonts w:ascii="Times New Roman" w:hAnsi="Times New Roman"/>
          <w:sz w:val="24"/>
          <w:szCs w:val="24"/>
        </w:rPr>
        <w:t xml:space="preserve">(2007) populations. The close range of genetic similarity coefficient (0.955 to 0.971) and genetic distance (0.027 to 0.045), as revealed by Nei’s genetic similarity and distance matrix, also confirmed less degree of genetic differentiation among populations suggesting narrow genetic base of </w:t>
      </w:r>
      <w:r>
        <w:rPr>
          <w:rFonts w:ascii="Times New Roman" w:hAnsi="Times New Roman"/>
          <w:i/>
          <w:iCs/>
          <w:sz w:val="24"/>
          <w:szCs w:val="24"/>
        </w:rPr>
        <w:t>M. dubia</w:t>
      </w:r>
      <w:r>
        <w:rPr>
          <w:rFonts w:ascii="Times New Roman" w:hAnsi="Times New Roman"/>
          <w:sz w:val="24"/>
          <w:szCs w:val="24"/>
        </w:rPr>
        <w:t xml:space="preserve"> in studied population. Similar conclusions were drawn by Johar </w:t>
      </w:r>
      <w:r>
        <w:rPr>
          <w:rFonts w:ascii="Times New Roman" w:hAnsi="Times New Roman"/>
          <w:i/>
          <w:iCs/>
          <w:sz w:val="24"/>
          <w:szCs w:val="24"/>
        </w:rPr>
        <w:t>et al.</w:t>
      </w:r>
      <w:r>
        <w:rPr>
          <w:rFonts w:ascii="Times New Roman" w:hAnsi="Times New Roman"/>
          <w:sz w:val="24"/>
          <w:szCs w:val="24"/>
        </w:rPr>
        <w:t xml:space="preserve"> (2017) while analyzing </w:t>
      </w:r>
      <w:r>
        <w:rPr>
          <w:rFonts w:ascii="Times New Roman" w:hAnsi="Times New Roman"/>
          <w:i/>
          <w:iCs/>
          <w:sz w:val="24"/>
          <w:szCs w:val="24"/>
        </w:rPr>
        <w:t>M. dubia</w:t>
      </w:r>
      <w:r>
        <w:rPr>
          <w:rFonts w:ascii="Times New Roman" w:hAnsi="Times New Roman"/>
          <w:sz w:val="24"/>
          <w:szCs w:val="24"/>
        </w:rPr>
        <w:t xml:space="preserve"> germplasm in Haryana, in </w:t>
      </w:r>
      <w:r>
        <w:rPr>
          <w:rFonts w:ascii="Times New Roman" w:hAnsi="Times New Roman"/>
          <w:i/>
          <w:iCs/>
          <w:sz w:val="24"/>
          <w:szCs w:val="24"/>
        </w:rPr>
        <w:t xml:space="preserve">A. indica </w:t>
      </w:r>
      <w:r>
        <w:rPr>
          <w:rFonts w:ascii="Times New Roman" w:hAnsi="Times New Roman"/>
          <w:sz w:val="24"/>
          <w:szCs w:val="24"/>
        </w:rPr>
        <w:t xml:space="preserve">(Farooqui </w:t>
      </w:r>
      <w:r>
        <w:rPr>
          <w:rFonts w:ascii="Times New Roman" w:hAnsi="Times New Roman"/>
          <w:i/>
          <w:iCs/>
          <w:sz w:val="24"/>
          <w:szCs w:val="24"/>
        </w:rPr>
        <w:t>et al.,</w:t>
      </w:r>
      <w:r>
        <w:rPr>
          <w:rFonts w:ascii="Times New Roman" w:hAnsi="Times New Roman"/>
          <w:sz w:val="24"/>
          <w:szCs w:val="24"/>
        </w:rPr>
        <w:t xml:space="preserve"> 1998; Deshwal </w:t>
      </w:r>
      <w:r>
        <w:rPr>
          <w:rFonts w:ascii="Times New Roman" w:hAnsi="Times New Roman"/>
          <w:i/>
          <w:iCs/>
          <w:sz w:val="24"/>
          <w:szCs w:val="24"/>
        </w:rPr>
        <w:t>et al.,</w:t>
      </w:r>
      <w:r>
        <w:rPr>
          <w:rFonts w:ascii="Times New Roman" w:hAnsi="Times New Roman"/>
          <w:sz w:val="24"/>
          <w:szCs w:val="24"/>
        </w:rPr>
        <w:t xml:space="preserve"> 2005) in </w:t>
      </w:r>
      <w:r>
        <w:rPr>
          <w:rFonts w:ascii="Times New Roman" w:hAnsi="Times New Roman"/>
          <w:i/>
          <w:iCs/>
          <w:sz w:val="24"/>
          <w:szCs w:val="24"/>
        </w:rPr>
        <w:t xml:space="preserve">Jatropha curcas </w:t>
      </w:r>
      <w:r>
        <w:rPr>
          <w:rFonts w:ascii="Times New Roman" w:hAnsi="Times New Roman"/>
          <w:sz w:val="24"/>
          <w:szCs w:val="24"/>
        </w:rPr>
        <w:t xml:space="preserve">by Singh </w:t>
      </w:r>
      <w:r>
        <w:rPr>
          <w:rFonts w:ascii="Times New Roman" w:hAnsi="Times New Roman"/>
          <w:i/>
          <w:iCs/>
          <w:sz w:val="24"/>
          <w:szCs w:val="24"/>
        </w:rPr>
        <w:t xml:space="preserve">et al. </w:t>
      </w:r>
      <w:r>
        <w:rPr>
          <w:rFonts w:ascii="Times New Roman" w:hAnsi="Times New Roman"/>
          <w:sz w:val="24"/>
          <w:szCs w:val="24"/>
        </w:rPr>
        <w:t>(2010).</w:t>
      </w:r>
    </w:p>
    <w:p w14:paraId="718B6020">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t>Close similarities between Kaprada and Nanapondha populations might be a result of geo-climatic similarities in habitat and shorter geographic distance whereas, resemblance of Sagai and Waghai population, although geographic distant apart could have aroused as a consequence of human intervention like transportation of germplasm from one place to another. Visualization of genetic relationship among four populations by UPGMA dendrogram and PCoA (Fig. 4) were also shown enforcement of the conclusion.  Use of diverse germplasm from most distant population like Waghai and Nanapondha is recommended in future tree breeding programmes.</w:t>
      </w:r>
    </w:p>
    <w:p w14:paraId="106DE1F9">
      <w:pPr>
        <w:autoSpaceDE w:val="0"/>
        <w:autoSpaceDN w:val="0"/>
        <w:adjustRightInd w:val="0"/>
        <w:spacing w:after="0" w:line="480" w:lineRule="auto"/>
        <w:jc w:val="both"/>
        <w:rPr>
          <w:rFonts w:ascii="Times New Roman" w:hAnsi="Times New Roman"/>
          <w:b/>
          <w:bCs/>
          <w:sz w:val="24"/>
          <w:szCs w:val="24"/>
        </w:rPr>
      </w:pPr>
      <w:r>
        <w:rPr>
          <w:rFonts w:ascii="Times New Roman" w:hAnsi="Times New Roman"/>
          <w:b/>
          <w:bCs/>
          <w:sz w:val="24"/>
          <w:szCs w:val="24"/>
        </w:rPr>
        <w:t>4. CONCLUSIONS</w:t>
      </w:r>
    </w:p>
    <w:p w14:paraId="41197581">
      <w:pPr>
        <w:spacing w:line="360" w:lineRule="auto"/>
        <w:ind w:firstLine="720"/>
        <w:contextualSpacing/>
        <w:jc w:val="both"/>
        <w:rPr>
          <w:rFonts w:ascii="Times New Roman" w:hAnsi="Times New Roman"/>
          <w:sz w:val="28"/>
          <w:szCs w:val="28"/>
        </w:rPr>
      </w:pPr>
      <w:r>
        <w:rPr>
          <w:rFonts w:ascii="Times New Roman" w:hAnsi="Times New Roman" w:eastAsiaTheme="minorEastAsia" w:cstheme="minorBidi"/>
          <w:sz w:val="24"/>
          <w:szCs w:val="24"/>
          <w:lang w:val="en-IN" w:eastAsia="en-IN" w:bidi="lo-LA"/>
        </w:rPr>
        <w:t xml:space="preserve">Molecular analysis of variability through RAPD markers indicated within and among population genetic variations in a close range. It means there is limited gene flow within and among populations, showing narrower genetic base of </w:t>
      </w:r>
      <w:r>
        <w:rPr>
          <w:rFonts w:ascii="Times New Roman" w:hAnsi="Times New Roman" w:eastAsiaTheme="minorEastAsia" w:cstheme="minorBidi"/>
          <w:i/>
          <w:iCs/>
          <w:sz w:val="24"/>
          <w:szCs w:val="24"/>
          <w:lang w:val="en-IN" w:eastAsia="en-IN" w:bidi="lo-LA"/>
        </w:rPr>
        <w:t>M. dubia</w:t>
      </w:r>
      <w:r>
        <w:rPr>
          <w:rFonts w:ascii="Times New Roman" w:hAnsi="Times New Roman" w:eastAsiaTheme="minorEastAsia" w:cstheme="minorBidi"/>
          <w:sz w:val="24"/>
          <w:szCs w:val="24"/>
          <w:lang w:val="en-IN" w:eastAsia="en-IN" w:bidi="lo-LA"/>
        </w:rPr>
        <w:t xml:space="preserve"> populations in South Gujarat. </w:t>
      </w:r>
      <w:r>
        <w:commentReference w:id="7"/>
      </w:r>
      <w:r>
        <w:rPr>
          <w:rFonts w:ascii="Times New Roman" w:hAnsi="Times New Roman" w:eastAsiaTheme="minorEastAsia" w:cstheme="minorBidi"/>
          <w:sz w:val="24"/>
          <w:szCs w:val="24"/>
          <w:lang w:val="en-IN" w:eastAsia="en-IN" w:bidi="lo-LA"/>
        </w:rPr>
        <w:t>However, there were indications of higher within population (96%) variability as compared to among populations (4%). Genetic relations between Kaprada and Nanapondha populations and between Sagai and Waghai populations were similar, as revealed by molecular data. Genetic similarity between Sagai and Waghai populations, although geographically distant apart directing towards the role of human intervention in transportation of germplasm. Therefore, hybridization of genotypes either between Kaprada and Waghai or between Sagai and Nanapondha populations are promising to deliver good results.</w:t>
      </w:r>
    </w:p>
    <w:p w14:paraId="146CAA02">
      <w:pPr>
        <w:pStyle w:val="40"/>
        <w:spacing w:line="360" w:lineRule="auto"/>
        <w:jc w:val="both"/>
        <w:rPr>
          <w:rFonts w:ascii="Times New Roman" w:hAnsi="Times New Roman"/>
          <w:b/>
          <w:bCs/>
          <w:sz w:val="24"/>
          <w:szCs w:val="24"/>
          <w:lang w:val="en-IN"/>
        </w:rPr>
      </w:pPr>
      <w:r>
        <w:rPr>
          <w:rFonts w:ascii="Times New Roman" w:hAnsi="Times New Roman"/>
          <w:b/>
          <w:bCs/>
          <w:sz w:val="24"/>
          <w:szCs w:val="24"/>
          <w:lang w:val="en-IN"/>
        </w:rPr>
        <w:t>DISCLAIMER (ARTIFICIAL INTELLIGENCE)</w:t>
      </w:r>
    </w:p>
    <w:p w14:paraId="4AA822E4">
      <w:pPr>
        <w:pStyle w:val="40"/>
        <w:spacing w:after="240" w:line="360" w:lineRule="auto"/>
        <w:jc w:val="both"/>
        <w:rPr>
          <w:rFonts w:ascii="Times New Roman" w:hAnsi="Times New Roman"/>
          <w:sz w:val="24"/>
          <w:szCs w:val="24"/>
          <w:lang w:val="en-IN"/>
        </w:rPr>
      </w:pPr>
      <w:r>
        <w:rPr>
          <w:rFonts w:ascii="Times New Roman" w:hAnsi="Times New Roman"/>
          <w:sz w:val="24"/>
          <w:szCs w:val="24"/>
          <w:lang w:val="en-IN"/>
        </w:rPr>
        <w:t>Authors hereby declare that NO generative AI technologies such as Large Language Models (ChatGPT, COPILOT, etc) and text-to-image generators have been used during writing or editing of this manuscript.</w:t>
      </w:r>
    </w:p>
    <w:p w14:paraId="1C12686F">
      <w:pPr>
        <w:autoSpaceDE w:val="0"/>
        <w:autoSpaceDN w:val="0"/>
        <w:adjustRightInd w:val="0"/>
        <w:spacing w:after="0" w:line="480" w:lineRule="auto"/>
        <w:jc w:val="both"/>
        <w:rPr>
          <w:rFonts w:ascii="Times New Roman" w:hAnsi="Times New Roman"/>
          <w:b/>
          <w:bCs/>
          <w:sz w:val="24"/>
          <w:szCs w:val="24"/>
        </w:rPr>
      </w:pPr>
      <w:r>
        <w:rPr>
          <w:rFonts w:ascii="Times New Roman" w:hAnsi="Times New Roman"/>
          <w:b/>
          <w:bCs/>
          <w:sz w:val="24"/>
          <w:szCs w:val="24"/>
        </w:rPr>
        <w:t>REFERENCES</w:t>
      </w:r>
    </w:p>
    <w:p w14:paraId="227D39AA">
      <w:pPr>
        <w:pStyle w:val="41"/>
        <w:spacing w:before="12" w:after="12" w:line="360" w:lineRule="auto"/>
        <w:ind w:left="1080" w:hanging="1080"/>
        <w:jc w:val="both"/>
        <w:rPr>
          <w:rFonts w:eastAsia="Calibri"/>
          <w:color w:val="auto"/>
          <w:lang w:val="en-US"/>
        </w:rPr>
      </w:pPr>
      <w:r>
        <w:rPr>
          <w:rFonts w:eastAsia="Calibri"/>
          <w:color w:val="auto"/>
          <w:lang w:val="en-US"/>
        </w:rPr>
        <w:t>Assogbadjo, A. E., Kyndt, T., Sinsin, B., Gheysen, G., &amp; Van Damme, P. (2006). Patterns of genetic and morphometric diversity in baobab (</w:t>
      </w:r>
      <w:r>
        <w:rPr>
          <w:rFonts w:eastAsia="Calibri"/>
          <w:i/>
          <w:iCs/>
          <w:color w:val="auto"/>
          <w:lang w:val="en-US"/>
        </w:rPr>
        <w:t>Adansonia digitata</w:t>
      </w:r>
      <w:r>
        <w:rPr>
          <w:rFonts w:eastAsia="Calibri"/>
          <w:color w:val="auto"/>
          <w:lang w:val="en-US"/>
        </w:rPr>
        <w:t>) populations across different climatic zones of Benin (West Africa). </w:t>
      </w:r>
      <w:r>
        <w:rPr>
          <w:rFonts w:eastAsia="Calibri"/>
          <w:i/>
          <w:iCs/>
          <w:color w:val="auto"/>
          <w:lang w:val="en-US"/>
        </w:rPr>
        <w:t>Annals of botany</w:t>
      </w:r>
      <w:r>
        <w:rPr>
          <w:rFonts w:eastAsia="Calibri"/>
          <w:color w:val="auto"/>
          <w:lang w:val="en-US"/>
        </w:rPr>
        <w:t>, </w:t>
      </w:r>
      <w:r>
        <w:rPr>
          <w:rFonts w:eastAsia="Calibri"/>
          <w:i/>
          <w:iCs/>
          <w:color w:val="auto"/>
          <w:lang w:val="en-US"/>
        </w:rPr>
        <w:t>97</w:t>
      </w:r>
      <w:r>
        <w:rPr>
          <w:rFonts w:eastAsia="Calibri"/>
          <w:color w:val="auto"/>
          <w:lang w:val="en-US"/>
        </w:rPr>
        <w:t>(5), 819-830.</w:t>
      </w:r>
    </w:p>
    <w:p w14:paraId="6F4C4E5D">
      <w:pPr>
        <w:pStyle w:val="41"/>
        <w:spacing w:before="12" w:after="12" w:line="360" w:lineRule="auto"/>
        <w:ind w:left="1080" w:hanging="1080"/>
        <w:jc w:val="both"/>
        <w:rPr>
          <w:color w:val="auto"/>
          <w:lang w:val="en-US"/>
        </w:rPr>
      </w:pPr>
      <w:r>
        <w:rPr>
          <w:color w:val="auto"/>
          <w:lang w:val="en-US"/>
        </w:rPr>
        <w:t>Chaudhari, C., Kumar, R., Dhaka, R. K., Parekh, V., Sankanur, M. S., Prajapat, P., &amp; Thakur, S. (2018). Genetic diversity analysis of teak in South Gujarat by RAPD marker. </w:t>
      </w:r>
      <w:r>
        <w:rPr>
          <w:i/>
          <w:iCs/>
          <w:color w:val="auto"/>
          <w:lang w:val="en-US"/>
        </w:rPr>
        <w:t>International Journal of Chemical Studies</w:t>
      </w:r>
      <w:r>
        <w:rPr>
          <w:color w:val="auto"/>
          <w:lang w:val="en-US"/>
        </w:rPr>
        <w:t>, </w:t>
      </w:r>
      <w:r>
        <w:rPr>
          <w:i/>
          <w:iCs/>
          <w:color w:val="auto"/>
          <w:lang w:val="en-US"/>
        </w:rPr>
        <w:t>6</w:t>
      </w:r>
      <w:r>
        <w:rPr>
          <w:color w:val="auto"/>
          <w:lang w:val="en-US"/>
        </w:rPr>
        <w:t>(6), 260-267.</w:t>
      </w:r>
    </w:p>
    <w:p w14:paraId="6A8051D4">
      <w:pPr>
        <w:pStyle w:val="41"/>
        <w:spacing w:before="12" w:after="12" w:line="360" w:lineRule="auto"/>
        <w:ind w:left="1080" w:hanging="1080"/>
        <w:jc w:val="both"/>
        <w:rPr>
          <w:rFonts w:eastAsia="Calibri"/>
          <w:color w:val="auto"/>
          <w:lang w:val="en-US"/>
        </w:rPr>
      </w:pPr>
      <w:r>
        <w:rPr>
          <w:rFonts w:eastAsia="Calibri"/>
          <w:color w:val="auto"/>
        </w:rPr>
        <w:t xml:space="preserve">Chesnokov, Y. V., &amp; Artemyeva, A. M. (2015). </w:t>
      </w:r>
      <w:r>
        <w:rPr>
          <w:rFonts w:eastAsia="Calibri"/>
          <w:color w:val="auto"/>
          <w:lang w:val="en-US"/>
        </w:rPr>
        <w:t>Evaluation of the measure of polymorphism information of genetic diversity. </w:t>
      </w:r>
      <w:r>
        <w:rPr>
          <w:rStyle w:val="14"/>
          <w:color w:val="auto"/>
        </w:rPr>
        <w:t>Sel’skokhozyaistvennaya Biologiya (</w:t>
      </w:r>
      <w:r>
        <w:rPr>
          <w:i/>
          <w:iCs/>
          <w:color w:val="auto"/>
        </w:rPr>
        <w:t>Agricultural Biology)</w:t>
      </w:r>
      <w:r>
        <w:rPr>
          <w:rFonts w:eastAsia="Calibri"/>
          <w:color w:val="auto"/>
          <w:lang w:val="en-US"/>
        </w:rPr>
        <w:t>, (5 (eng)), 571-578.</w:t>
      </w:r>
    </w:p>
    <w:p w14:paraId="0604D8D0">
      <w:pPr>
        <w:pStyle w:val="41"/>
        <w:spacing w:before="12" w:after="12" w:line="360" w:lineRule="auto"/>
        <w:ind w:left="1080" w:hanging="1080"/>
        <w:jc w:val="both"/>
        <w:rPr>
          <w:rFonts w:eastAsia="Calibri"/>
          <w:color w:val="auto"/>
          <w:lang w:val="en-US" w:eastAsia="en-US" w:bidi="ar-SA"/>
        </w:rPr>
      </w:pPr>
      <w:r>
        <w:rPr>
          <w:rFonts w:eastAsia="Calibri"/>
          <w:color w:val="auto"/>
          <w:lang w:val="en-US" w:eastAsia="en-US" w:bidi="ar-SA"/>
        </w:rPr>
        <w:t>Cruz da Silva, A. V. C., Rabbani, A. R. C., Almeida, C. S., &amp; Clivati, D. (2013). Genetic structure and diversity of the neem germplasm bank from Brazil Northeast. </w:t>
      </w:r>
      <w:r>
        <w:rPr>
          <w:rFonts w:eastAsia="Calibri"/>
          <w:i/>
          <w:iCs/>
          <w:color w:val="auto"/>
          <w:lang w:val="en-US" w:eastAsia="en-US" w:bidi="ar-SA"/>
        </w:rPr>
        <w:t>African Journal of Biotechnology</w:t>
      </w:r>
      <w:r>
        <w:rPr>
          <w:rFonts w:eastAsia="Calibri"/>
          <w:color w:val="auto"/>
          <w:lang w:val="en-US" w:eastAsia="en-US" w:bidi="ar-SA"/>
        </w:rPr>
        <w:t>, </w:t>
      </w:r>
      <w:r>
        <w:rPr>
          <w:rFonts w:eastAsia="Calibri"/>
          <w:i/>
          <w:iCs/>
          <w:color w:val="auto"/>
          <w:lang w:val="en-US" w:eastAsia="en-US" w:bidi="ar-SA"/>
        </w:rPr>
        <w:t>12</w:t>
      </w:r>
      <w:r>
        <w:rPr>
          <w:rFonts w:eastAsia="Calibri"/>
          <w:color w:val="auto"/>
          <w:lang w:val="en-US" w:eastAsia="en-US" w:bidi="ar-SA"/>
        </w:rPr>
        <w:t>(20).</w:t>
      </w:r>
    </w:p>
    <w:p w14:paraId="35A95B4B">
      <w:pPr>
        <w:pStyle w:val="41"/>
        <w:spacing w:before="12" w:after="12" w:line="360" w:lineRule="auto"/>
        <w:ind w:left="1080" w:hanging="1080"/>
        <w:jc w:val="both"/>
        <w:rPr>
          <w:color w:val="auto"/>
          <w:lang w:val="en-US"/>
        </w:rPr>
      </w:pPr>
      <w:r>
        <w:rPr>
          <w:color w:val="auto"/>
          <w:lang w:val="en-US"/>
        </w:rPr>
        <w:t xml:space="preserve">Deshwal, R. S., Singh, R., Malik, K., &amp; Randhawa, G. J. (2005). Assessment of genetic diversity and genetic relationships among 29 populations of </w:t>
      </w:r>
      <w:r>
        <w:rPr>
          <w:i/>
          <w:iCs/>
          <w:color w:val="auto"/>
          <w:lang w:val="en-US"/>
        </w:rPr>
        <w:t>Azadirachta indica</w:t>
      </w:r>
      <w:r>
        <w:rPr>
          <w:color w:val="auto"/>
          <w:lang w:val="en-US"/>
        </w:rPr>
        <w:t xml:space="preserve"> A. Juss. using RAPD markers. </w:t>
      </w:r>
      <w:r>
        <w:rPr>
          <w:i/>
          <w:iCs/>
          <w:color w:val="auto"/>
          <w:lang w:val="en-US"/>
        </w:rPr>
        <w:t>Genetic Resources and Crop Evolution</w:t>
      </w:r>
      <w:r>
        <w:rPr>
          <w:color w:val="auto"/>
          <w:lang w:val="en-US"/>
        </w:rPr>
        <w:t>, </w:t>
      </w:r>
      <w:r>
        <w:rPr>
          <w:i/>
          <w:iCs/>
          <w:color w:val="auto"/>
          <w:lang w:val="en-US"/>
        </w:rPr>
        <w:t>52</w:t>
      </w:r>
      <w:r>
        <w:rPr>
          <w:color w:val="auto"/>
          <w:lang w:val="en-US"/>
        </w:rPr>
        <w:t>(3), 285-292.</w:t>
      </w:r>
    </w:p>
    <w:p w14:paraId="7F27B8A0">
      <w:pPr>
        <w:pStyle w:val="41"/>
        <w:spacing w:before="12" w:after="12" w:line="360" w:lineRule="auto"/>
        <w:ind w:left="1080" w:hanging="1080"/>
        <w:jc w:val="both"/>
        <w:rPr>
          <w:rFonts w:eastAsia="Calibri"/>
          <w:color w:val="auto"/>
          <w:lang w:val="en-US" w:eastAsia="en-US" w:bidi="ar-SA"/>
        </w:rPr>
      </w:pPr>
      <w:r>
        <w:rPr>
          <w:rFonts w:eastAsia="Calibri"/>
          <w:color w:val="auto"/>
          <w:lang w:eastAsia="en-US" w:bidi="ar-SA"/>
        </w:rPr>
        <w:t xml:space="preserve">Dhillon, R. S., Mohapatra, T., Singh, S., Boora, K. S., &amp; Singh, K. (2007). </w:t>
      </w:r>
      <w:r>
        <w:rPr>
          <w:rFonts w:eastAsia="Calibri"/>
          <w:color w:val="auto"/>
          <w:lang w:val="en-US" w:eastAsia="en-US" w:bidi="ar-SA"/>
        </w:rPr>
        <w:t xml:space="preserve">Assessment of genetic diversity in </w:t>
      </w:r>
      <w:r>
        <w:rPr>
          <w:rFonts w:eastAsia="Calibri"/>
          <w:i/>
          <w:iCs/>
          <w:color w:val="auto"/>
          <w:lang w:val="en-US" w:eastAsia="en-US" w:bidi="ar-SA"/>
        </w:rPr>
        <w:t>Azadirachta indica</w:t>
      </w:r>
      <w:r>
        <w:rPr>
          <w:rFonts w:eastAsia="Calibri"/>
          <w:color w:val="auto"/>
          <w:lang w:val="en-US" w:eastAsia="en-US" w:bidi="ar-SA"/>
        </w:rPr>
        <w:t xml:space="preserve"> based on DNA fingerprinting.</w:t>
      </w:r>
      <w:r>
        <w:rPr>
          <w:color w:val="auto"/>
        </w:rPr>
        <w:t xml:space="preserve"> </w:t>
      </w:r>
      <w:r>
        <w:rPr>
          <w:rFonts w:eastAsia="Calibri"/>
          <w:i/>
          <w:iCs/>
          <w:color w:val="auto"/>
          <w:lang w:val="en-US" w:eastAsia="en-US" w:bidi="ar-SA"/>
        </w:rPr>
        <w:t>International Journal of Biotechnology,</w:t>
      </w:r>
      <w:r>
        <w:rPr>
          <w:rFonts w:eastAsia="Calibri"/>
          <w:color w:val="auto"/>
          <w:lang w:val="en-US" w:eastAsia="en-US" w:bidi="ar-SA"/>
        </w:rPr>
        <w:t xml:space="preserve"> </w:t>
      </w:r>
      <w:r>
        <w:rPr>
          <w:rFonts w:eastAsia="Calibri"/>
          <w:i/>
          <w:iCs/>
          <w:color w:val="auto"/>
          <w:lang w:val="en-US" w:eastAsia="en-US" w:bidi="ar-SA"/>
        </w:rPr>
        <w:t>6</w:t>
      </w:r>
      <w:r>
        <w:rPr>
          <w:rFonts w:eastAsia="Calibri"/>
          <w:color w:val="auto"/>
          <w:lang w:val="en-US" w:eastAsia="en-US" w:bidi="ar-SA"/>
        </w:rPr>
        <w:t>(1): 519-524.</w:t>
      </w:r>
    </w:p>
    <w:p w14:paraId="1AB80DA5">
      <w:pPr>
        <w:pStyle w:val="41"/>
        <w:spacing w:before="12" w:after="12" w:line="360" w:lineRule="auto"/>
        <w:ind w:left="1080" w:hanging="1080"/>
        <w:jc w:val="both"/>
        <w:rPr>
          <w:rFonts w:eastAsia="Calibri"/>
          <w:i/>
          <w:iCs/>
          <w:color w:val="auto"/>
          <w:lang w:val="en-US" w:eastAsia="en-US" w:bidi="ar-SA"/>
        </w:rPr>
      </w:pPr>
      <w:r>
        <w:rPr>
          <w:color w:val="auto"/>
        </w:rPr>
        <w:t>FAO. (2016). Innovations for raising Malabar neem (</w:t>
      </w:r>
      <w:r>
        <w:rPr>
          <w:i/>
          <w:iCs/>
          <w:color w:val="auto"/>
        </w:rPr>
        <w:t>Melia dubia</w:t>
      </w:r>
      <w:r>
        <w:rPr>
          <w:color w:val="auto"/>
        </w:rPr>
        <w:t xml:space="preserve">) in Tamil Nadu, India, </w:t>
      </w:r>
      <w:r>
        <w:fldChar w:fldCharType="begin"/>
      </w:r>
      <w:r>
        <w:instrText xml:space="preserve"> HYPERLINK "http://www.fao.org/3/ca3719en/ca3719en.pdf" </w:instrText>
      </w:r>
      <w:r>
        <w:fldChar w:fldCharType="separate"/>
      </w:r>
      <w:r>
        <w:rPr>
          <w:rStyle w:val="17"/>
          <w:color w:val="auto"/>
        </w:rPr>
        <w:t>http://www.fao.org/3/ca3719en/ca3719en.pdf</w:t>
      </w:r>
      <w:r>
        <w:rPr>
          <w:rStyle w:val="17"/>
          <w:color w:val="auto"/>
        </w:rPr>
        <w:fldChar w:fldCharType="end"/>
      </w:r>
      <w:r>
        <w:rPr>
          <w:color w:val="auto"/>
        </w:rPr>
        <w:t xml:space="preserve"> </w:t>
      </w:r>
    </w:p>
    <w:p w14:paraId="21F033E8">
      <w:pPr>
        <w:pStyle w:val="41"/>
        <w:spacing w:before="12" w:after="12" w:line="360" w:lineRule="auto"/>
        <w:ind w:left="1080" w:hanging="1080"/>
        <w:jc w:val="both"/>
        <w:rPr>
          <w:rFonts w:eastAsia="Calibri"/>
          <w:color w:val="auto"/>
          <w:lang w:val="en-US" w:eastAsia="en-US" w:bidi="ar-SA"/>
        </w:rPr>
      </w:pPr>
      <w:r>
        <w:rPr>
          <w:rFonts w:eastAsia="Calibri"/>
          <w:color w:val="auto"/>
          <w:lang w:val="en-US" w:eastAsia="en-US" w:bidi="ar-SA"/>
        </w:rPr>
        <w:t xml:space="preserve">Farooqui, N.; Ranade, S.A. &amp; Sane, P.V. (1998). RAPD profile variation amongst provenances of neem. </w:t>
      </w:r>
      <w:r>
        <w:rPr>
          <w:rFonts w:eastAsia="Calibri"/>
          <w:i/>
          <w:iCs/>
          <w:color w:val="auto"/>
          <w:lang w:val="en-US" w:eastAsia="en-US" w:bidi="ar-SA"/>
        </w:rPr>
        <w:t>IUBMB Life</w:t>
      </w:r>
      <w:r>
        <w:rPr>
          <w:rFonts w:eastAsia="Calibri"/>
          <w:color w:val="auto"/>
          <w:lang w:val="en-US" w:eastAsia="en-US" w:bidi="ar-SA"/>
        </w:rPr>
        <w:t xml:space="preserve">., </w:t>
      </w:r>
      <w:r>
        <w:rPr>
          <w:rFonts w:eastAsia="Calibri"/>
          <w:i/>
          <w:iCs/>
          <w:color w:val="auto"/>
          <w:lang w:val="en-US" w:eastAsia="en-US" w:bidi="ar-SA"/>
        </w:rPr>
        <w:t>45</w:t>
      </w:r>
      <w:r>
        <w:rPr>
          <w:rFonts w:eastAsia="Calibri"/>
          <w:color w:val="auto"/>
          <w:lang w:val="en-US" w:eastAsia="en-US" w:bidi="ar-SA"/>
        </w:rPr>
        <w:t>(5): 931-939.</w:t>
      </w:r>
    </w:p>
    <w:p w14:paraId="17041144">
      <w:pPr>
        <w:pStyle w:val="41"/>
        <w:spacing w:before="12" w:after="12" w:line="360" w:lineRule="auto"/>
        <w:ind w:left="1080" w:hanging="1080"/>
        <w:jc w:val="both"/>
        <w:rPr>
          <w:rFonts w:eastAsia="Calibri"/>
          <w:color w:val="auto"/>
          <w:lang w:val="en-US" w:eastAsia="en-US" w:bidi="ar-SA"/>
        </w:rPr>
      </w:pPr>
      <w:r>
        <w:rPr>
          <w:color w:val="auto"/>
        </w:rPr>
        <w:t>Govindaraj, M., Vetriventhan, M. &amp; Srinivasan, M. (2015). Importance of genetic diversity assessment in crop plants and its recent advances: an overview of its analytical perspectives. </w:t>
      </w:r>
      <w:r>
        <w:rPr>
          <w:i/>
          <w:iCs/>
          <w:color w:val="auto"/>
        </w:rPr>
        <w:t>Genetics research international</w:t>
      </w:r>
      <w:r>
        <w:rPr>
          <w:color w:val="auto"/>
        </w:rPr>
        <w:t>, </w:t>
      </w:r>
      <w:r>
        <w:rPr>
          <w:i/>
          <w:iCs/>
          <w:color w:val="auto"/>
        </w:rPr>
        <w:t>2015</w:t>
      </w:r>
      <w:r>
        <w:rPr>
          <w:color w:val="auto"/>
        </w:rPr>
        <w:t>(1): 431487.</w:t>
      </w:r>
    </w:p>
    <w:p w14:paraId="12172A35">
      <w:pPr>
        <w:pStyle w:val="41"/>
        <w:spacing w:before="12" w:after="12" w:line="360" w:lineRule="auto"/>
        <w:ind w:left="1080" w:hanging="1080"/>
        <w:jc w:val="both"/>
        <w:rPr>
          <w:rFonts w:eastAsia="Calibri"/>
          <w:color w:val="auto"/>
          <w:lang w:val="en-US" w:eastAsia="en-US" w:bidi="ar-SA"/>
        </w:rPr>
      </w:pPr>
      <w:r>
        <w:rPr>
          <w:rFonts w:eastAsia="Calibri"/>
          <w:color w:val="auto"/>
          <w:lang w:val="en-US" w:eastAsia="en-US" w:bidi="ar-SA"/>
        </w:rPr>
        <w:t xml:space="preserve">Ikbal, A.; Boora, K. S., &amp; Dhillon, R. S. (2010). Evaluation of genetic diversity in </w:t>
      </w:r>
      <w:r>
        <w:rPr>
          <w:rFonts w:eastAsia="Calibri"/>
          <w:i/>
          <w:iCs/>
          <w:color w:val="auto"/>
          <w:lang w:val="en-US" w:eastAsia="en-US" w:bidi="ar-SA"/>
        </w:rPr>
        <w:t>Jatropha curcas</w:t>
      </w:r>
      <w:r>
        <w:rPr>
          <w:rFonts w:eastAsia="Calibri"/>
          <w:color w:val="auto"/>
          <w:lang w:val="en-US" w:eastAsia="en-US" w:bidi="ar-SA"/>
        </w:rPr>
        <w:t xml:space="preserve"> L. using RAPD markers. </w:t>
      </w:r>
      <w:r>
        <w:rPr>
          <w:rFonts w:eastAsia="Calibri"/>
          <w:i/>
          <w:iCs/>
          <w:color w:val="auto"/>
          <w:lang w:val="en-US" w:eastAsia="en-US" w:bidi="ar-SA"/>
        </w:rPr>
        <w:t>International Journal of Biotechnology,</w:t>
      </w:r>
      <w:r>
        <w:rPr>
          <w:rFonts w:eastAsia="Calibri"/>
          <w:color w:val="auto"/>
          <w:lang w:val="en-US" w:eastAsia="en-US" w:bidi="ar-SA"/>
        </w:rPr>
        <w:t xml:space="preserve"> </w:t>
      </w:r>
      <w:r>
        <w:rPr>
          <w:rFonts w:eastAsia="Calibri"/>
          <w:i/>
          <w:iCs/>
          <w:color w:val="auto"/>
          <w:lang w:val="en-US" w:eastAsia="en-US" w:bidi="ar-SA"/>
        </w:rPr>
        <w:t>9</w:t>
      </w:r>
      <w:r>
        <w:rPr>
          <w:rFonts w:eastAsia="Calibri"/>
          <w:color w:val="auto"/>
          <w:lang w:val="en-US" w:eastAsia="en-US" w:bidi="ar-SA"/>
        </w:rPr>
        <w:t>(1): 50-57.</w:t>
      </w:r>
    </w:p>
    <w:p w14:paraId="1DBAF831">
      <w:pPr>
        <w:pStyle w:val="41"/>
        <w:spacing w:before="12" w:after="12" w:line="360" w:lineRule="auto"/>
        <w:ind w:left="1080" w:hanging="1080"/>
        <w:jc w:val="both"/>
        <w:rPr>
          <w:rFonts w:eastAsia="Calibri"/>
          <w:color w:val="auto"/>
          <w:lang w:val="en-US" w:eastAsia="en-US" w:bidi="ar-SA"/>
        </w:rPr>
      </w:pPr>
      <w:r>
        <w:rPr>
          <w:color w:val="auto"/>
        </w:rPr>
        <w:t>Jiang, G. L. (2013). Molecular markers and marker-assisted breeding. </w:t>
      </w:r>
      <w:r>
        <w:rPr>
          <w:i/>
          <w:iCs/>
          <w:color w:val="auto"/>
        </w:rPr>
        <w:t>Jiang, G.-L. Plant Breeding from Laboratories to Fields</w:t>
      </w:r>
      <w:r>
        <w:rPr>
          <w:color w:val="auto"/>
        </w:rPr>
        <w:t>, 45-85.</w:t>
      </w:r>
    </w:p>
    <w:p w14:paraId="28D02779">
      <w:pPr>
        <w:pStyle w:val="41"/>
        <w:spacing w:before="12" w:after="12" w:line="360" w:lineRule="auto"/>
        <w:ind w:left="1080" w:hanging="1080"/>
        <w:jc w:val="both"/>
        <w:rPr>
          <w:rFonts w:eastAsia="Calibri"/>
          <w:color w:val="auto"/>
          <w:lang w:val="en-US" w:eastAsia="en-US" w:bidi="ar-SA"/>
        </w:rPr>
      </w:pPr>
      <w:r>
        <w:rPr>
          <w:rFonts w:eastAsia="Calibri"/>
          <w:color w:val="auto"/>
          <w:lang w:eastAsia="en-US" w:bidi="ar-SA"/>
        </w:rPr>
        <w:t xml:space="preserve">Johar, V., Kajla, S., Dhillon, R. S. &amp; Bhatia, P. (2017). </w:t>
      </w:r>
      <w:r>
        <w:rPr>
          <w:rFonts w:eastAsia="Calibri"/>
          <w:color w:val="auto"/>
          <w:lang w:val="en-US" w:eastAsia="en-US" w:bidi="ar-SA"/>
        </w:rPr>
        <w:t xml:space="preserve">Evaluation of genetic diversity using random amplified polymorphic DNA (RAPD) markers in </w:t>
      </w:r>
      <w:r>
        <w:rPr>
          <w:rFonts w:eastAsia="Calibri"/>
          <w:i/>
          <w:iCs/>
          <w:color w:val="auto"/>
          <w:lang w:val="en-US" w:eastAsia="en-US" w:bidi="ar-SA"/>
        </w:rPr>
        <w:t>Melia dubia</w:t>
      </w:r>
      <w:r>
        <w:rPr>
          <w:rFonts w:eastAsia="Calibri"/>
          <w:color w:val="auto"/>
          <w:lang w:val="en-US" w:eastAsia="en-US" w:bidi="ar-SA"/>
        </w:rPr>
        <w:t xml:space="preserve"> Cav.</w:t>
      </w:r>
      <w:r>
        <w:rPr>
          <w:rFonts w:eastAsia="Calibri"/>
          <w:i/>
          <w:iCs/>
          <w:color w:val="auto"/>
          <w:lang w:val="en-US" w:eastAsia="en-US" w:bidi="ar-SA"/>
        </w:rPr>
        <w:t xml:space="preserve"> Indian Journal of Biotechnology,</w:t>
      </w:r>
      <w:r>
        <w:rPr>
          <w:rFonts w:eastAsia="Calibri"/>
          <w:color w:val="auto"/>
          <w:lang w:val="en-US" w:eastAsia="en-US" w:bidi="ar-SA"/>
        </w:rPr>
        <w:t xml:space="preserve"> </w:t>
      </w:r>
      <w:r>
        <w:rPr>
          <w:rFonts w:eastAsia="Calibri"/>
          <w:i/>
          <w:iCs/>
          <w:color w:val="auto"/>
          <w:lang w:val="en-US" w:eastAsia="en-US" w:bidi="ar-SA"/>
        </w:rPr>
        <w:t>16</w:t>
      </w:r>
      <w:r>
        <w:rPr>
          <w:rFonts w:eastAsia="Calibri"/>
          <w:color w:val="auto"/>
          <w:lang w:val="en-US" w:eastAsia="en-US" w:bidi="ar-SA"/>
        </w:rPr>
        <w:t>(1): 76-83.</w:t>
      </w:r>
    </w:p>
    <w:p w14:paraId="54872539">
      <w:pPr>
        <w:pStyle w:val="41"/>
        <w:spacing w:before="12" w:after="12" w:line="360" w:lineRule="auto"/>
        <w:ind w:left="1080" w:hanging="1080"/>
        <w:jc w:val="both"/>
        <w:rPr>
          <w:color w:val="auto"/>
        </w:rPr>
      </w:pPr>
      <w:r>
        <w:rPr>
          <w:color w:val="auto"/>
        </w:rPr>
        <w:t xml:space="preserve">Khakhariya, M. (2018). </w:t>
      </w:r>
      <w:r>
        <w:rPr>
          <w:color w:val="auto"/>
          <w:shd w:val="clear" w:color="auto" w:fill="FFFFFF"/>
        </w:rPr>
        <w:t>This tree could bring down ‘Made in Gujarat’ home furniture cost by 30%. Times of India</w:t>
      </w:r>
      <w:r>
        <w:rPr>
          <w:color w:val="auto"/>
        </w:rPr>
        <w:t xml:space="preserve"> May 16. https://timesofindia.indiatimes.com /city/rajkot/this-tree-could-bring-down-furniture-cost-by-30/articleshow/64181741.cms. (Accessed on 14.09.2024)</w:t>
      </w:r>
    </w:p>
    <w:p w14:paraId="5FABD47F">
      <w:pPr>
        <w:pStyle w:val="41"/>
        <w:spacing w:before="12" w:after="12" w:line="360" w:lineRule="auto"/>
        <w:ind w:left="1080" w:hanging="1080"/>
        <w:jc w:val="both"/>
        <w:rPr>
          <w:color w:val="auto"/>
        </w:rPr>
      </w:pPr>
      <w:r>
        <w:rPr>
          <w:color w:val="auto"/>
          <w:lang w:val="sv-SE"/>
        </w:rPr>
        <w:t xml:space="preserve">Khanna, P. &amp; Singh, H. S. (2010). </w:t>
      </w:r>
      <w:r>
        <w:rPr>
          <w:color w:val="auto"/>
        </w:rPr>
        <w:t xml:space="preserve">Tree wealth of non-forest areas of Gujarat. Gujarat Forest </w:t>
      </w:r>
      <w:r>
        <w:rPr>
          <w:color w:val="auto"/>
        </w:rPr>
        <w:tab/>
      </w:r>
      <w:r>
        <w:rPr>
          <w:color w:val="auto"/>
        </w:rPr>
        <w:t xml:space="preserve">Department </w:t>
      </w:r>
      <w:r>
        <w:fldChar w:fldCharType="begin"/>
      </w:r>
      <w:r>
        <w:instrText xml:space="preserve"> HYPERLINK "https://forests.gujarat.gov.in/writereaddata/images/pdf/14_Books-%09Final-%09Tree-Wealth-in-Gujarat-ENGLISH.pdf" </w:instrText>
      </w:r>
      <w:r>
        <w:fldChar w:fldCharType="separate"/>
      </w:r>
      <w:r>
        <w:rPr>
          <w:rStyle w:val="17"/>
          <w:color w:val="auto"/>
        </w:rPr>
        <w:t>https://forests.gujarat.gov.in/writereaddata/images/pdf/14_Books-</w:t>
      </w:r>
      <w:r>
        <w:rPr>
          <w:rStyle w:val="17"/>
          <w:color w:val="auto"/>
        </w:rPr>
        <w:tab/>
      </w:r>
      <w:r>
        <w:rPr>
          <w:rStyle w:val="17"/>
          <w:color w:val="auto"/>
        </w:rPr>
        <w:t>Final-</w:t>
      </w:r>
      <w:r>
        <w:rPr>
          <w:rStyle w:val="17"/>
          <w:color w:val="auto"/>
        </w:rPr>
        <w:tab/>
      </w:r>
      <w:r>
        <w:rPr>
          <w:rStyle w:val="17"/>
          <w:color w:val="auto"/>
        </w:rPr>
        <w:t>Tree-Wealth-in-Gujarat-ENGLISH.pdf</w:t>
      </w:r>
      <w:r>
        <w:rPr>
          <w:rStyle w:val="17"/>
          <w:color w:val="auto"/>
        </w:rPr>
        <w:fldChar w:fldCharType="end"/>
      </w:r>
    </w:p>
    <w:p w14:paraId="5E03EF57">
      <w:pPr>
        <w:pStyle w:val="41"/>
        <w:spacing w:before="12" w:after="12" w:line="360" w:lineRule="auto"/>
        <w:ind w:left="1080" w:hanging="1080"/>
        <w:jc w:val="both"/>
        <w:rPr>
          <w:rFonts w:eastAsia="Calibri"/>
          <w:color w:val="auto"/>
          <w:lang w:val="sv-SE" w:eastAsia="en-US" w:bidi="ar-SA"/>
        </w:rPr>
      </w:pPr>
      <w:r>
        <w:rPr>
          <w:rFonts w:eastAsia="CIDFont+F3"/>
          <w:color w:val="auto"/>
          <w:lang w:val="sv-SE"/>
        </w:rPr>
        <w:t xml:space="preserve">Kumar, A., Kumar, A., Joshi, G. &amp; Warrier, R. R. (2021). </w:t>
      </w:r>
      <w:r>
        <w:rPr>
          <w:rFonts w:eastAsia="CIDFont+F3"/>
          <w:color w:val="auto"/>
        </w:rPr>
        <w:t xml:space="preserve">Molecular techniques to analyse genetic diversity in </w:t>
      </w:r>
      <w:r>
        <w:rPr>
          <w:rFonts w:eastAsia="CIDFont+F3"/>
          <w:i/>
          <w:iCs/>
          <w:color w:val="auto"/>
        </w:rPr>
        <w:t xml:space="preserve">Melia dubia. </w:t>
      </w:r>
      <w:r>
        <w:rPr>
          <w:rFonts w:eastAsia="CIDFont+F3"/>
          <w:color w:val="auto"/>
        </w:rPr>
        <w:t xml:space="preserve">In: </w:t>
      </w:r>
      <w:r>
        <w:rPr>
          <w:rFonts w:eastAsia="CIDFont+F3"/>
          <w:i/>
          <w:iCs/>
          <w:color w:val="auto"/>
        </w:rPr>
        <w:t>Kumar A, Joshi G (eds) Recent advances in Melia dubia Cav.</w:t>
      </w:r>
      <w:r>
        <w:rPr>
          <w:color w:val="auto"/>
        </w:rPr>
        <w:t xml:space="preserve"> </w:t>
      </w:r>
      <w:r>
        <w:rPr>
          <w:color w:val="auto"/>
          <w:lang w:val="sv-SE"/>
        </w:rPr>
        <w:t xml:space="preserve">ISBN 978-81-943323-50, ICFRE, Dehradun, </w:t>
      </w:r>
      <w:r>
        <w:rPr>
          <w:rFonts w:eastAsia="CIDFont+F3"/>
          <w:color w:val="auto"/>
          <w:lang w:val="sv-SE"/>
        </w:rPr>
        <w:t>pp. 75-86.</w:t>
      </w:r>
    </w:p>
    <w:p w14:paraId="6A5B51BA">
      <w:pPr>
        <w:pStyle w:val="41"/>
        <w:spacing w:before="12" w:after="12" w:line="360" w:lineRule="auto"/>
        <w:ind w:left="1080" w:hanging="1080"/>
        <w:jc w:val="both"/>
        <w:rPr>
          <w:rFonts w:eastAsia="Calibri"/>
          <w:color w:val="auto"/>
          <w:lang w:val="en-US" w:eastAsia="en-US" w:bidi="ar-SA"/>
        </w:rPr>
      </w:pPr>
      <w:r>
        <w:rPr>
          <w:rFonts w:eastAsia="Calibri"/>
          <w:color w:val="auto"/>
          <w:lang w:val="sv-SE" w:eastAsia="en-US" w:bidi="ar-SA"/>
        </w:rPr>
        <w:t xml:space="preserve">Li, S., Gan, X., Han, H., Zhang, X., &amp; Tian, Z. (2018). </w:t>
      </w:r>
      <w:r>
        <w:rPr>
          <w:rFonts w:eastAsia="Calibri"/>
          <w:color w:val="auto"/>
          <w:lang w:val="en-US" w:eastAsia="en-US" w:bidi="ar-SA"/>
        </w:rPr>
        <w:t>Low within-population genetic diversity and high genetic differentiation among populations of the endangered plant Tetracentron sinense Oliver revealed by inter-simple sequence repeat analysis. </w:t>
      </w:r>
      <w:r>
        <w:rPr>
          <w:rFonts w:eastAsia="Calibri"/>
          <w:i/>
          <w:iCs/>
          <w:color w:val="auto"/>
          <w:lang w:val="en-US" w:eastAsia="en-US" w:bidi="ar-SA"/>
        </w:rPr>
        <w:t>Annals of Forest Science</w:t>
      </w:r>
      <w:r>
        <w:rPr>
          <w:rFonts w:eastAsia="Calibri"/>
          <w:color w:val="auto"/>
          <w:lang w:val="en-US" w:eastAsia="en-US" w:bidi="ar-SA"/>
        </w:rPr>
        <w:t>, </w:t>
      </w:r>
      <w:r>
        <w:rPr>
          <w:rFonts w:eastAsia="Calibri"/>
          <w:i/>
          <w:iCs/>
          <w:color w:val="auto"/>
          <w:lang w:val="en-US" w:eastAsia="en-US" w:bidi="ar-SA"/>
        </w:rPr>
        <w:t>75</w:t>
      </w:r>
      <w:r>
        <w:rPr>
          <w:rFonts w:eastAsia="Calibri"/>
          <w:color w:val="auto"/>
          <w:lang w:val="en-US" w:eastAsia="en-US" w:bidi="ar-SA"/>
        </w:rPr>
        <w:t>(3), 74.</w:t>
      </w:r>
    </w:p>
    <w:p w14:paraId="02D8E3EF">
      <w:pPr>
        <w:pStyle w:val="41"/>
        <w:spacing w:before="12" w:after="12" w:line="360" w:lineRule="auto"/>
        <w:ind w:left="1080" w:hanging="1080"/>
        <w:jc w:val="both"/>
        <w:rPr>
          <w:color w:val="auto"/>
          <w:lang w:val="en-US"/>
        </w:rPr>
      </w:pPr>
      <w:r>
        <w:rPr>
          <w:color w:val="auto"/>
          <w:lang w:val="en-US"/>
        </w:rPr>
        <w:t xml:space="preserve">Jayusman, J., Na’iem, M., Indrioko, S., Hardiyanto, E. B., &amp; Nurcahyaningsih, I. L. G. (2017). Assessment of genetic diversity among surian </w:t>
      </w:r>
      <w:r>
        <w:rPr>
          <w:i/>
          <w:iCs/>
          <w:color w:val="auto"/>
          <w:lang w:val="en-US"/>
        </w:rPr>
        <w:t>Toona sinensis</w:t>
      </w:r>
      <w:r>
        <w:rPr>
          <w:color w:val="auto"/>
          <w:lang w:val="en-US"/>
        </w:rPr>
        <w:t xml:space="preserve"> Roem in progenies test using random amplified polymorphic DNA markers. </w:t>
      </w:r>
      <w:r>
        <w:rPr>
          <w:i/>
          <w:iCs/>
          <w:color w:val="auto"/>
          <w:lang w:val="en-US"/>
        </w:rPr>
        <w:t>Indonesian Journal of Biotechnology</w:t>
      </w:r>
      <w:r>
        <w:rPr>
          <w:color w:val="auto"/>
          <w:lang w:val="en-US"/>
        </w:rPr>
        <w:t>, </w:t>
      </w:r>
      <w:r>
        <w:rPr>
          <w:i/>
          <w:iCs/>
          <w:color w:val="auto"/>
          <w:lang w:val="en-US"/>
        </w:rPr>
        <w:t>22</w:t>
      </w:r>
      <w:r>
        <w:rPr>
          <w:color w:val="auto"/>
          <w:lang w:val="en-US"/>
        </w:rPr>
        <w:t>(1), 22-30.</w:t>
      </w:r>
    </w:p>
    <w:p w14:paraId="193D32D5">
      <w:pPr>
        <w:pStyle w:val="41"/>
        <w:spacing w:before="12" w:after="12" w:line="360" w:lineRule="auto"/>
        <w:ind w:left="1080" w:hanging="1080"/>
        <w:jc w:val="both"/>
        <w:rPr>
          <w:rFonts w:eastAsia="Calibri"/>
          <w:color w:val="auto"/>
          <w:lang w:val="en-US" w:eastAsia="en-US" w:bidi="ar-SA"/>
        </w:rPr>
      </w:pPr>
      <w:r>
        <w:rPr>
          <w:rFonts w:eastAsia="Times New Roman"/>
          <w:color w:val="auto"/>
        </w:rPr>
        <w:t>Nei, M. (1972). Genetic distance between populations. </w:t>
      </w:r>
      <w:r>
        <w:rPr>
          <w:rFonts w:eastAsia="Times New Roman"/>
          <w:i/>
          <w:iCs/>
          <w:color w:val="auto"/>
        </w:rPr>
        <w:t>The American Naturalist</w:t>
      </w:r>
      <w:r>
        <w:rPr>
          <w:rFonts w:eastAsia="Times New Roman"/>
          <w:color w:val="auto"/>
        </w:rPr>
        <w:t>, </w:t>
      </w:r>
      <w:r>
        <w:rPr>
          <w:rFonts w:eastAsia="Times New Roman"/>
          <w:i/>
          <w:iCs/>
          <w:color w:val="auto"/>
        </w:rPr>
        <w:t>106</w:t>
      </w:r>
      <w:r>
        <w:rPr>
          <w:rFonts w:eastAsia="Times New Roman"/>
          <w:color w:val="auto"/>
        </w:rPr>
        <w:t>(949), 283-292.</w:t>
      </w:r>
    </w:p>
    <w:p w14:paraId="5BD3CEEC">
      <w:pPr>
        <w:pStyle w:val="41"/>
        <w:spacing w:before="12" w:after="12" w:line="360" w:lineRule="auto"/>
        <w:ind w:left="1080" w:hanging="1080"/>
        <w:jc w:val="both"/>
        <w:rPr>
          <w:rFonts w:eastAsia="Calibri"/>
          <w:color w:val="auto"/>
          <w:lang w:val="en-US" w:eastAsia="en-US" w:bidi="ar-SA"/>
        </w:rPr>
      </w:pPr>
      <w:r>
        <w:rPr>
          <w:color w:val="auto"/>
        </w:rPr>
        <w:t xml:space="preserve">Nei, M. (1987). Molecular evolutionary genetics. </w:t>
      </w:r>
      <w:r>
        <w:rPr>
          <w:i/>
          <w:iCs/>
          <w:color w:val="auto"/>
        </w:rPr>
        <w:t>Columbia university press</w:t>
      </w:r>
      <w:r>
        <w:rPr>
          <w:color w:val="auto"/>
        </w:rPr>
        <w:t>, pp.176-187.</w:t>
      </w:r>
    </w:p>
    <w:p w14:paraId="67B620C1">
      <w:pPr>
        <w:pStyle w:val="41"/>
        <w:spacing w:before="12" w:after="12" w:line="360" w:lineRule="auto"/>
        <w:ind w:left="1080" w:hanging="1080"/>
        <w:jc w:val="both"/>
        <w:rPr>
          <w:rFonts w:eastAsia="Calibri"/>
          <w:color w:val="auto"/>
          <w:lang w:val="en-US" w:eastAsia="en-US" w:bidi="ar-SA"/>
        </w:rPr>
      </w:pPr>
      <w:r>
        <w:rPr>
          <w:rFonts w:eastAsia="ArialMT"/>
          <w:color w:val="auto"/>
        </w:rPr>
        <w:t>Parthiban, K. T., Chauhan, S. K. and Sudhagar, R. J. (2019). </w:t>
      </w:r>
      <w:r>
        <w:rPr>
          <w:rFonts w:eastAsia="ArialMT"/>
          <w:i/>
          <w:iCs/>
          <w:color w:val="auto"/>
        </w:rPr>
        <w:t>Malabar Neem-Melia Dubia: Genetic Resources, Silviculture and Economics</w:t>
      </w:r>
      <w:r>
        <w:rPr>
          <w:rFonts w:eastAsia="ArialMT"/>
          <w:color w:val="auto"/>
        </w:rPr>
        <w:t>. Agrobios (India).</w:t>
      </w:r>
    </w:p>
    <w:p w14:paraId="511370F7">
      <w:pPr>
        <w:pStyle w:val="41"/>
        <w:spacing w:before="12" w:after="12" w:line="360" w:lineRule="auto"/>
        <w:ind w:left="1080" w:hanging="1080"/>
        <w:jc w:val="both"/>
        <w:rPr>
          <w:rFonts w:eastAsia="Calibri"/>
          <w:color w:val="auto"/>
        </w:rPr>
      </w:pPr>
      <w:r>
        <w:rPr>
          <w:rFonts w:eastAsia="Calibri"/>
          <w:color w:val="auto"/>
        </w:rPr>
        <w:t>Peakall, R. O. D. and Smouse, P. E. (2006). GENALEX 6: genetic analysis in Excel. Population genetic software for teaching and research. </w:t>
      </w:r>
      <w:r>
        <w:rPr>
          <w:rFonts w:eastAsia="Calibri"/>
          <w:i/>
          <w:iCs/>
          <w:color w:val="auto"/>
        </w:rPr>
        <w:t>Molecular ecology notes</w:t>
      </w:r>
      <w:r>
        <w:rPr>
          <w:rFonts w:eastAsia="Calibri"/>
          <w:color w:val="auto"/>
        </w:rPr>
        <w:t>, </w:t>
      </w:r>
      <w:r>
        <w:rPr>
          <w:rFonts w:eastAsia="Calibri"/>
          <w:i/>
          <w:iCs/>
          <w:color w:val="auto"/>
        </w:rPr>
        <w:t>6</w:t>
      </w:r>
      <w:r>
        <w:rPr>
          <w:rFonts w:eastAsia="Calibri"/>
          <w:color w:val="auto"/>
        </w:rPr>
        <w:t>(1): 288-295.</w:t>
      </w:r>
    </w:p>
    <w:p w14:paraId="71E1A04D">
      <w:pPr>
        <w:pStyle w:val="41"/>
        <w:spacing w:before="12" w:after="12" w:line="360" w:lineRule="auto"/>
        <w:ind w:left="1080" w:hanging="1080"/>
        <w:jc w:val="both"/>
        <w:rPr>
          <w:rFonts w:eastAsia="Calibri"/>
          <w:color w:val="auto"/>
          <w:lang w:val="en-US" w:eastAsia="en-US" w:bidi="ar-SA"/>
        </w:rPr>
      </w:pPr>
      <w:r>
        <w:rPr>
          <w:rFonts w:eastAsia="Calibri"/>
          <w:color w:val="auto"/>
        </w:rPr>
        <w:t>Porth, I. and El-Kassaby, Y. A. (2014). Assessment of the genetic diversity in forest tree populations using molecular markers. </w:t>
      </w:r>
      <w:r>
        <w:rPr>
          <w:rFonts w:eastAsia="Calibri"/>
          <w:i/>
          <w:iCs/>
          <w:color w:val="auto"/>
        </w:rPr>
        <w:t>Diversity</w:t>
      </w:r>
      <w:r>
        <w:rPr>
          <w:rFonts w:eastAsia="Calibri"/>
          <w:color w:val="auto"/>
        </w:rPr>
        <w:t>, </w:t>
      </w:r>
      <w:r>
        <w:rPr>
          <w:rFonts w:eastAsia="Calibri"/>
          <w:i/>
          <w:iCs/>
          <w:color w:val="auto"/>
        </w:rPr>
        <w:t>6</w:t>
      </w:r>
      <w:r>
        <w:rPr>
          <w:rFonts w:eastAsia="Calibri"/>
          <w:color w:val="auto"/>
        </w:rPr>
        <w:t>(2): 283-295.</w:t>
      </w:r>
    </w:p>
    <w:p w14:paraId="77CF8B60">
      <w:pPr>
        <w:pStyle w:val="41"/>
        <w:spacing w:before="12" w:after="12" w:line="360" w:lineRule="auto"/>
        <w:ind w:left="1080" w:hanging="1080"/>
        <w:jc w:val="both"/>
        <w:rPr>
          <w:rFonts w:eastAsia="Calibri"/>
          <w:color w:val="auto"/>
          <w:lang w:val="en-US" w:eastAsia="en-US" w:bidi="ar-SA"/>
        </w:rPr>
      </w:pPr>
      <w:r>
        <w:rPr>
          <w:color w:val="auto"/>
        </w:rPr>
        <w:t xml:space="preserve">Prajapati, D. R., Thakur, N. S., Singh, N., Gunaga, R. P. and Patel, V. R. (2020). Economic feasibility of </w:t>
      </w:r>
      <w:r>
        <w:rPr>
          <w:i/>
          <w:iCs/>
          <w:color w:val="auto"/>
        </w:rPr>
        <w:t>Melia dubia</w:t>
      </w:r>
      <w:r>
        <w:rPr>
          <w:color w:val="auto"/>
        </w:rPr>
        <w:t>-Sorgham Sudan grass based silvi-pasture systems. </w:t>
      </w:r>
      <w:r>
        <w:rPr>
          <w:i/>
          <w:iCs/>
          <w:color w:val="auto"/>
        </w:rPr>
        <w:t>Indian Journal of Ecology</w:t>
      </w:r>
      <w:r>
        <w:rPr>
          <w:color w:val="auto"/>
        </w:rPr>
        <w:t>, </w:t>
      </w:r>
      <w:r>
        <w:rPr>
          <w:i/>
          <w:iCs/>
          <w:color w:val="auto"/>
        </w:rPr>
        <w:t>47</w:t>
      </w:r>
      <w:r>
        <w:rPr>
          <w:color w:val="auto"/>
        </w:rPr>
        <w:t>(2): 502-506.</w:t>
      </w:r>
    </w:p>
    <w:p w14:paraId="7022E72B">
      <w:pPr>
        <w:pStyle w:val="41"/>
        <w:spacing w:before="12" w:after="12" w:line="360" w:lineRule="auto"/>
        <w:ind w:left="1080" w:hanging="1080"/>
        <w:jc w:val="both"/>
        <w:rPr>
          <w:rFonts w:eastAsia="Calibri"/>
          <w:color w:val="auto"/>
          <w:lang w:val="en-US" w:eastAsia="en-US" w:bidi="ar-SA"/>
        </w:rPr>
      </w:pPr>
      <w:r>
        <w:rPr>
          <w:rFonts w:eastAsia="Calibri"/>
          <w:color w:val="auto"/>
          <w:lang w:eastAsia="en-US" w:bidi="ar-SA"/>
        </w:rPr>
        <w:t xml:space="preserve">Rawat, S., Arunkumar, A. N., Annapurna, D., Karaba, N. N. and Joshi, G. (2018). </w:t>
      </w:r>
      <w:r>
        <w:rPr>
          <w:rFonts w:eastAsia="Calibri"/>
          <w:color w:val="auto"/>
          <w:lang w:val="en-US" w:eastAsia="en-US" w:bidi="ar-SA"/>
        </w:rPr>
        <w:t xml:space="preserve">Genetic diversity of </w:t>
      </w:r>
      <w:r>
        <w:rPr>
          <w:rFonts w:eastAsia="Calibri"/>
          <w:i/>
          <w:iCs/>
          <w:color w:val="auto"/>
          <w:lang w:val="en-US" w:eastAsia="en-US" w:bidi="ar-SA"/>
        </w:rPr>
        <w:t>Melia dubia</w:t>
      </w:r>
      <w:r>
        <w:rPr>
          <w:rFonts w:eastAsia="Calibri"/>
          <w:color w:val="auto"/>
          <w:lang w:val="en-US" w:eastAsia="en-US" w:bidi="ar-SA"/>
        </w:rPr>
        <w:t xml:space="preserve"> using ISSR markers for natural populations and plantations. </w:t>
      </w:r>
      <w:r>
        <w:rPr>
          <w:rFonts w:eastAsia="Calibri"/>
          <w:i/>
          <w:iCs/>
          <w:color w:val="auto"/>
          <w:lang w:val="en-US" w:eastAsia="en-US" w:bidi="ar-SA"/>
        </w:rPr>
        <w:t>International Journal of Genetics,</w:t>
      </w:r>
      <w:r>
        <w:rPr>
          <w:rFonts w:eastAsia="Calibri"/>
          <w:color w:val="auto"/>
          <w:lang w:val="en-US" w:eastAsia="en-US" w:bidi="ar-SA"/>
        </w:rPr>
        <w:t xml:space="preserve"> </w:t>
      </w:r>
      <w:r>
        <w:rPr>
          <w:rFonts w:eastAsia="Calibri"/>
          <w:i/>
          <w:iCs/>
          <w:color w:val="auto"/>
          <w:lang w:val="en-US" w:eastAsia="en-US" w:bidi="ar-SA"/>
        </w:rPr>
        <w:t>10</w:t>
      </w:r>
      <w:r>
        <w:rPr>
          <w:rFonts w:eastAsia="Calibri"/>
          <w:color w:val="auto"/>
          <w:lang w:val="en-US" w:eastAsia="en-US" w:bidi="ar-SA"/>
        </w:rPr>
        <w:t>(9): 490-494</w:t>
      </w:r>
    </w:p>
    <w:p w14:paraId="0E763955">
      <w:pPr>
        <w:pStyle w:val="41"/>
        <w:spacing w:before="12" w:after="12" w:line="360" w:lineRule="auto"/>
        <w:ind w:left="1080" w:hanging="1080"/>
        <w:jc w:val="both"/>
        <w:rPr>
          <w:rFonts w:eastAsia="Calibri"/>
          <w:color w:val="auto"/>
          <w:lang w:val="en-US" w:eastAsia="en-US" w:bidi="ar-SA"/>
        </w:rPr>
      </w:pPr>
      <w:r>
        <w:rPr>
          <w:rFonts w:eastAsia="Calibri"/>
          <w:color w:val="auto"/>
          <w:lang w:eastAsia="en-US" w:bidi="ar-SA"/>
        </w:rPr>
        <w:t xml:space="preserve">Runo, M. S., Muluvi, G. M., &amp; Odee, D. W. (2004). </w:t>
      </w:r>
      <w:r>
        <w:rPr>
          <w:rFonts w:eastAsia="Calibri"/>
          <w:color w:val="auto"/>
          <w:lang w:val="en-US" w:eastAsia="en-US" w:bidi="ar-SA"/>
        </w:rPr>
        <w:t xml:space="preserve">Analysis of genetic structure in </w:t>
      </w:r>
      <w:r>
        <w:rPr>
          <w:rFonts w:eastAsia="Calibri"/>
          <w:i/>
          <w:iCs/>
          <w:color w:val="auto"/>
          <w:lang w:val="en-US" w:eastAsia="en-US" w:bidi="ar-SA"/>
        </w:rPr>
        <w:t>Melia volkensii</w:t>
      </w:r>
      <w:r>
        <w:rPr>
          <w:rFonts w:eastAsia="Calibri"/>
          <w:color w:val="auto"/>
          <w:lang w:val="en-US" w:eastAsia="en-US" w:bidi="ar-SA"/>
        </w:rPr>
        <w:t xml:space="preserve"> (Gurke.) populations using random amplified polymorphic DNA. </w:t>
      </w:r>
      <w:r>
        <w:rPr>
          <w:rFonts w:eastAsia="Calibri"/>
          <w:i/>
          <w:iCs/>
          <w:color w:val="auto"/>
          <w:lang w:val="en-US" w:eastAsia="en-US" w:bidi="ar-SA"/>
        </w:rPr>
        <w:t>African Journal of Biotechnology</w:t>
      </w:r>
      <w:r>
        <w:rPr>
          <w:rFonts w:eastAsia="Calibri"/>
          <w:color w:val="auto"/>
          <w:lang w:val="en-US" w:eastAsia="en-US" w:bidi="ar-SA"/>
        </w:rPr>
        <w:t>, </w:t>
      </w:r>
      <w:r>
        <w:rPr>
          <w:rFonts w:eastAsia="Calibri"/>
          <w:i/>
          <w:iCs/>
          <w:color w:val="auto"/>
          <w:lang w:val="en-US" w:eastAsia="en-US" w:bidi="ar-SA"/>
        </w:rPr>
        <w:t>3</w:t>
      </w:r>
      <w:r>
        <w:rPr>
          <w:rFonts w:eastAsia="Calibri"/>
          <w:color w:val="auto"/>
          <w:lang w:val="en-US" w:eastAsia="en-US" w:bidi="ar-SA"/>
        </w:rPr>
        <w:t>(8), 421-425.</w:t>
      </w:r>
    </w:p>
    <w:p w14:paraId="7DC3D316">
      <w:pPr>
        <w:pStyle w:val="41"/>
        <w:spacing w:before="12" w:after="12" w:line="360" w:lineRule="auto"/>
        <w:ind w:left="1080" w:hanging="1080"/>
        <w:jc w:val="both"/>
        <w:rPr>
          <w:rFonts w:eastAsia="Calibri"/>
          <w:color w:val="auto"/>
          <w:lang w:val="en-US" w:eastAsia="en-US" w:bidi="ar-SA"/>
        </w:rPr>
      </w:pPr>
      <w:r>
        <w:rPr>
          <w:rFonts w:eastAsia="Calibri"/>
          <w:color w:val="auto"/>
          <w:lang w:val="en-US" w:eastAsia="en-US" w:bidi="ar-SA"/>
        </w:rPr>
        <w:t>Salem, K. F. &amp; Sallam, A. (2015). Analysis of population structure and genetic diversity of Egyptian and exotic rice (</w:t>
      </w:r>
      <w:r>
        <w:rPr>
          <w:rFonts w:eastAsia="Calibri"/>
          <w:i/>
          <w:iCs/>
          <w:color w:val="auto"/>
          <w:lang w:val="en-US" w:eastAsia="en-US" w:bidi="ar-SA"/>
        </w:rPr>
        <w:t>Oryza sativa</w:t>
      </w:r>
      <w:r>
        <w:rPr>
          <w:rFonts w:eastAsia="Calibri"/>
          <w:color w:val="auto"/>
          <w:lang w:val="en-US" w:eastAsia="en-US" w:bidi="ar-SA"/>
        </w:rPr>
        <w:t xml:space="preserve"> L.) genotypes. </w:t>
      </w:r>
      <w:r>
        <w:rPr>
          <w:rFonts w:eastAsia="Calibri"/>
          <w:i/>
          <w:iCs/>
          <w:color w:val="auto"/>
          <w:lang w:val="en-US" w:eastAsia="en-US" w:bidi="ar-SA"/>
        </w:rPr>
        <w:t>C. R. Bio.,</w:t>
      </w:r>
      <w:r>
        <w:rPr>
          <w:rFonts w:eastAsia="Calibri"/>
          <w:color w:val="auto"/>
          <w:lang w:val="en-US" w:eastAsia="en-US" w:bidi="ar-SA"/>
        </w:rPr>
        <w:t xml:space="preserve"> </w:t>
      </w:r>
      <w:r>
        <w:rPr>
          <w:rFonts w:eastAsia="Calibri"/>
          <w:i/>
          <w:iCs/>
          <w:color w:val="auto"/>
          <w:lang w:val="en-US" w:eastAsia="en-US" w:bidi="ar-SA"/>
        </w:rPr>
        <w:t>339</w:t>
      </w:r>
      <w:r>
        <w:rPr>
          <w:rFonts w:eastAsia="Calibri"/>
          <w:color w:val="auto"/>
          <w:lang w:val="en-US" w:eastAsia="en-US" w:bidi="ar-SA"/>
        </w:rPr>
        <w:t>(1), 1-9.</w:t>
      </w:r>
    </w:p>
    <w:p w14:paraId="40A2AC9C">
      <w:pPr>
        <w:pStyle w:val="41"/>
        <w:spacing w:before="12" w:after="12" w:line="360" w:lineRule="auto"/>
        <w:ind w:left="1080" w:hanging="1080"/>
        <w:jc w:val="both"/>
        <w:rPr>
          <w:rFonts w:eastAsia="Calibri"/>
          <w:color w:val="auto"/>
          <w:lang w:val="en-US" w:eastAsia="en-US" w:bidi="ar-SA"/>
        </w:rPr>
      </w:pPr>
      <w:r>
        <w:rPr>
          <w:rFonts w:eastAsia="Calibri"/>
          <w:color w:val="auto"/>
          <w:lang w:val="en-US" w:eastAsia="en-US" w:bidi="ar-SA"/>
        </w:rPr>
        <w:t xml:space="preserve">Sasikala, T. P., &amp; Kamakshamma, J. (2015). Genetic Diversity Assessed yhrough RAPD Markers in </w:t>
      </w:r>
      <w:r>
        <w:rPr>
          <w:rFonts w:eastAsia="Calibri"/>
          <w:i/>
          <w:iCs/>
          <w:color w:val="auto"/>
          <w:lang w:val="en-US" w:eastAsia="en-US" w:bidi="ar-SA"/>
        </w:rPr>
        <w:t>Terminalia Pallida</w:t>
      </w:r>
      <w:r>
        <w:rPr>
          <w:rFonts w:eastAsia="Calibri"/>
          <w:color w:val="auto"/>
          <w:lang w:val="en-US" w:eastAsia="en-US" w:bidi="ar-SA"/>
        </w:rPr>
        <w:t xml:space="preserve"> Brandis. </w:t>
      </w:r>
      <w:r>
        <w:rPr>
          <w:rFonts w:eastAsia="Calibri"/>
          <w:i/>
          <w:iCs/>
          <w:color w:val="auto"/>
          <w:lang w:val="en-US" w:eastAsia="en-US" w:bidi="ar-SA"/>
        </w:rPr>
        <w:t>Journal of Pharmaceutical Sciences and Research</w:t>
      </w:r>
      <w:r>
        <w:rPr>
          <w:rFonts w:eastAsia="Calibri"/>
          <w:color w:val="auto"/>
          <w:lang w:val="en-US" w:eastAsia="en-US" w:bidi="ar-SA"/>
        </w:rPr>
        <w:t>, </w:t>
      </w:r>
      <w:r>
        <w:rPr>
          <w:rFonts w:eastAsia="Calibri"/>
          <w:i/>
          <w:iCs/>
          <w:color w:val="auto"/>
          <w:lang w:val="en-US" w:eastAsia="en-US" w:bidi="ar-SA"/>
        </w:rPr>
        <w:t>7</w:t>
      </w:r>
      <w:r>
        <w:rPr>
          <w:rFonts w:eastAsia="Calibri"/>
          <w:color w:val="auto"/>
          <w:lang w:val="en-US" w:eastAsia="en-US" w:bidi="ar-SA"/>
        </w:rPr>
        <w:t>(2), 58.</w:t>
      </w:r>
    </w:p>
    <w:p w14:paraId="2BC2C663">
      <w:pPr>
        <w:pStyle w:val="41"/>
        <w:spacing w:before="12" w:after="12" w:line="360" w:lineRule="auto"/>
        <w:ind w:left="1080" w:hanging="1080"/>
        <w:jc w:val="both"/>
        <w:rPr>
          <w:rFonts w:eastAsia="Calibri"/>
          <w:color w:val="auto"/>
          <w:lang w:val="en-US" w:eastAsia="en-US" w:bidi="ar-SA"/>
        </w:rPr>
      </w:pPr>
      <w:r>
        <w:rPr>
          <w:rFonts w:eastAsia="Calibri"/>
          <w:color w:val="auto"/>
          <w:lang w:eastAsia="en-US" w:bidi="ar-SA"/>
        </w:rPr>
        <w:t xml:space="preserve">Senapati, S. K., Das, G. K., Aparajita, S., &amp; Rout, G. R. (2012). </w:t>
      </w:r>
      <w:r>
        <w:rPr>
          <w:rFonts w:eastAsia="Calibri"/>
          <w:color w:val="auto"/>
          <w:lang w:val="en-US" w:eastAsia="en-US" w:bidi="ar-SA"/>
        </w:rPr>
        <w:t>Assessment of genetic variability in the Asoka tree of India. </w:t>
      </w:r>
      <w:r>
        <w:rPr>
          <w:rFonts w:eastAsia="Calibri"/>
          <w:i/>
          <w:iCs/>
          <w:color w:val="auto"/>
          <w:lang w:val="en-US" w:eastAsia="en-US" w:bidi="ar-SA"/>
        </w:rPr>
        <w:t>Biodiversity</w:t>
      </w:r>
      <w:r>
        <w:rPr>
          <w:rFonts w:eastAsia="Calibri"/>
          <w:color w:val="auto"/>
          <w:lang w:val="en-US" w:eastAsia="en-US" w:bidi="ar-SA"/>
        </w:rPr>
        <w:t>, </w:t>
      </w:r>
      <w:r>
        <w:rPr>
          <w:rFonts w:eastAsia="Calibri"/>
          <w:i/>
          <w:iCs/>
          <w:color w:val="auto"/>
          <w:lang w:val="en-US" w:eastAsia="en-US" w:bidi="ar-SA"/>
        </w:rPr>
        <w:t>13</w:t>
      </w:r>
      <w:r>
        <w:rPr>
          <w:rFonts w:eastAsia="Calibri"/>
          <w:color w:val="auto"/>
          <w:lang w:val="en-US" w:eastAsia="en-US" w:bidi="ar-SA"/>
        </w:rPr>
        <w:t>(1), 16-23.</w:t>
      </w:r>
    </w:p>
    <w:p w14:paraId="2CFB0873">
      <w:pPr>
        <w:pStyle w:val="41"/>
        <w:spacing w:before="12" w:after="12" w:line="360" w:lineRule="auto"/>
        <w:ind w:left="1080" w:hanging="1080"/>
        <w:jc w:val="both"/>
        <w:rPr>
          <w:rFonts w:eastAsia="Calibri"/>
          <w:color w:val="auto"/>
          <w:lang w:val="en-US" w:eastAsia="en-US" w:bidi="ar-SA"/>
        </w:rPr>
      </w:pPr>
      <w:r>
        <w:rPr>
          <w:rFonts w:eastAsia="Calibri"/>
          <w:color w:val="auto"/>
          <w:lang w:val="en-US" w:eastAsia="en-US" w:bidi="ar-SA"/>
        </w:rPr>
        <w:t xml:space="preserve">Singh, P., Singh, S., Mishra, S. P., &amp; Bhatia, S. K. (2010). Molecular characterization of genetic diversity in </w:t>
      </w:r>
      <w:r>
        <w:rPr>
          <w:rFonts w:eastAsia="Calibri"/>
          <w:i/>
          <w:iCs/>
          <w:color w:val="auto"/>
          <w:lang w:val="en-US" w:eastAsia="en-US" w:bidi="ar-SA"/>
        </w:rPr>
        <w:t>Jatropha curcas</w:t>
      </w:r>
      <w:r>
        <w:rPr>
          <w:rFonts w:eastAsia="Calibri"/>
          <w:color w:val="auto"/>
          <w:lang w:val="en-US" w:eastAsia="en-US" w:bidi="ar-SA"/>
        </w:rPr>
        <w:t xml:space="preserve"> L. </w:t>
      </w:r>
      <w:r>
        <w:rPr>
          <w:rFonts w:eastAsia="Calibri"/>
          <w:i/>
          <w:iCs/>
          <w:color w:val="auto"/>
          <w:lang w:val="en-US" w:eastAsia="en-US" w:bidi="ar-SA"/>
        </w:rPr>
        <w:t>Genes Genomes Genomics</w:t>
      </w:r>
      <w:r>
        <w:rPr>
          <w:rFonts w:eastAsia="Calibri"/>
          <w:color w:val="auto"/>
          <w:lang w:val="en-US" w:eastAsia="en-US" w:bidi="ar-SA"/>
        </w:rPr>
        <w:t>, </w:t>
      </w:r>
      <w:r>
        <w:rPr>
          <w:rFonts w:eastAsia="Calibri"/>
          <w:i/>
          <w:iCs/>
          <w:color w:val="auto"/>
          <w:lang w:val="en-US" w:eastAsia="en-US" w:bidi="ar-SA"/>
        </w:rPr>
        <w:t>4</w:t>
      </w:r>
      <w:r>
        <w:rPr>
          <w:rFonts w:eastAsia="Calibri"/>
          <w:color w:val="auto"/>
          <w:lang w:val="en-US" w:eastAsia="en-US" w:bidi="ar-SA"/>
        </w:rPr>
        <w:t>, 1-8.</w:t>
      </w:r>
    </w:p>
    <w:p w14:paraId="386654C2">
      <w:pPr>
        <w:pStyle w:val="41"/>
        <w:spacing w:before="12" w:after="12" w:line="360" w:lineRule="auto"/>
        <w:ind w:left="1080" w:hanging="1080"/>
        <w:jc w:val="both"/>
        <w:rPr>
          <w:rFonts w:eastAsia="Calibri"/>
          <w:color w:val="auto"/>
          <w:lang w:val="en-US" w:eastAsia="en-US" w:bidi="ar-SA"/>
        </w:rPr>
      </w:pPr>
      <w:r>
        <w:rPr>
          <w:color w:val="auto"/>
        </w:rPr>
        <w:t xml:space="preserve">Sinha, S. K., Chaudhari, P. A., Thakur, N. S., Jha, S. K., Patel, D. P. and Dhaka, R. K. (2019). </w:t>
      </w:r>
      <w:r>
        <w:rPr>
          <w:i/>
          <w:iCs/>
          <w:color w:val="auto"/>
        </w:rPr>
        <w:t>Melia dubia</w:t>
      </w:r>
      <w:r>
        <w:rPr>
          <w:color w:val="auto"/>
        </w:rPr>
        <w:t xml:space="preserve"> Cav. wood properties vary with age and influence the pulp and paper quality. </w:t>
      </w:r>
      <w:r>
        <w:rPr>
          <w:i/>
          <w:iCs/>
          <w:color w:val="auto"/>
        </w:rPr>
        <w:t>International Wood Products Journal</w:t>
      </w:r>
      <w:r>
        <w:rPr>
          <w:color w:val="auto"/>
        </w:rPr>
        <w:t>, </w:t>
      </w:r>
      <w:r>
        <w:rPr>
          <w:i/>
          <w:iCs/>
          <w:color w:val="auto"/>
        </w:rPr>
        <w:t>10</w:t>
      </w:r>
      <w:r>
        <w:rPr>
          <w:color w:val="auto"/>
        </w:rPr>
        <w:t>(4), 139-148.</w:t>
      </w:r>
    </w:p>
    <w:p w14:paraId="48CE7749">
      <w:pPr>
        <w:pStyle w:val="41"/>
        <w:spacing w:before="12" w:after="12" w:line="360" w:lineRule="auto"/>
        <w:ind w:left="1080" w:hanging="1080"/>
        <w:jc w:val="both"/>
        <w:rPr>
          <w:rFonts w:eastAsia="Calibri"/>
          <w:color w:val="auto"/>
        </w:rPr>
      </w:pPr>
      <w:r>
        <w:rPr>
          <w:rFonts w:eastAsia="Calibri"/>
          <w:color w:val="auto"/>
        </w:rPr>
        <w:t xml:space="preserve">Sukhadiya, M. L., Thakur, N. S., Patel, V. R., Gunaga, R. P., Kharadi, V. B., Tyagi, K. K., &amp; Singh, S. (2021). Provenance variations in proximate principles, mineral matter, total phenols and phytochemicals of </w:t>
      </w:r>
      <w:r>
        <w:rPr>
          <w:rFonts w:eastAsia="Calibri"/>
          <w:i/>
          <w:iCs/>
          <w:color w:val="auto"/>
        </w:rPr>
        <w:t>Melia dubia</w:t>
      </w:r>
      <w:r>
        <w:rPr>
          <w:rFonts w:eastAsia="Calibri"/>
          <w:color w:val="auto"/>
        </w:rPr>
        <w:t xml:space="preserve"> drupes: an unexplored alternate livestock feed stock. </w:t>
      </w:r>
      <w:r>
        <w:rPr>
          <w:rFonts w:eastAsia="Calibri"/>
          <w:i/>
          <w:iCs/>
          <w:color w:val="auto"/>
        </w:rPr>
        <w:t>Journal of Forestry Research</w:t>
      </w:r>
      <w:r>
        <w:rPr>
          <w:rFonts w:eastAsia="Calibri"/>
          <w:color w:val="auto"/>
        </w:rPr>
        <w:t>, </w:t>
      </w:r>
      <w:r>
        <w:rPr>
          <w:rFonts w:eastAsia="Calibri"/>
          <w:i/>
          <w:iCs/>
          <w:color w:val="auto"/>
        </w:rPr>
        <w:t>32</w:t>
      </w:r>
      <w:r>
        <w:rPr>
          <w:rFonts w:eastAsia="Calibri"/>
          <w:color w:val="auto"/>
        </w:rPr>
        <w:t>, 119-131.</w:t>
      </w:r>
    </w:p>
    <w:p w14:paraId="33C2F912">
      <w:pPr>
        <w:pStyle w:val="41"/>
        <w:spacing w:before="12" w:after="12" w:line="360" w:lineRule="auto"/>
        <w:ind w:left="1080" w:hanging="1080"/>
        <w:jc w:val="both"/>
        <w:rPr>
          <w:rFonts w:eastAsia="Calibri"/>
          <w:color w:val="auto"/>
          <w:lang w:val="en-US" w:eastAsia="en-US" w:bidi="ar-SA"/>
        </w:rPr>
      </w:pPr>
      <w:r>
        <w:rPr>
          <w:rFonts w:eastAsia="ArialMT"/>
          <w:color w:val="auto"/>
        </w:rPr>
        <w:t xml:space="preserve">Thakur, N. S., Jilariya, D. J., Gunaga, R. P. &amp; Singh, S. (2018). Positive allelospoly of </w:t>
      </w:r>
      <w:r>
        <w:rPr>
          <w:rFonts w:eastAsia="ArialMT"/>
          <w:i/>
          <w:iCs/>
          <w:color w:val="auto"/>
        </w:rPr>
        <w:t>Melia dubia</w:t>
      </w:r>
      <w:r>
        <w:rPr>
          <w:rFonts w:eastAsia="ArialMT"/>
          <w:color w:val="auto"/>
        </w:rPr>
        <w:t xml:space="preserve"> Cav. spatial geometry improve quantitative and qualitative attributes of Aloe vera L. </w:t>
      </w:r>
      <w:r>
        <w:rPr>
          <w:rFonts w:eastAsia="ArialMT"/>
          <w:i/>
          <w:iCs/>
          <w:color w:val="auto"/>
        </w:rPr>
        <w:t>Industrial Crops and Products</w:t>
      </w:r>
      <w:r>
        <w:rPr>
          <w:rFonts w:eastAsia="ArialMT"/>
          <w:color w:val="auto"/>
        </w:rPr>
        <w:t>, </w:t>
      </w:r>
      <w:r>
        <w:rPr>
          <w:rFonts w:eastAsia="ArialMT"/>
          <w:i/>
          <w:iCs/>
          <w:color w:val="auto"/>
        </w:rPr>
        <w:t>119</w:t>
      </w:r>
      <w:r>
        <w:rPr>
          <w:rFonts w:eastAsia="ArialMT"/>
          <w:color w:val="auto"/>
        </w:rPr>
        <w:t>, 162-171.</w:t>
      </w:r>
    </w:p>
    <w:p w14:paraId="59DA014D">
      <w:pPr>
        <w:pStyle w:val="41"/>
        <w:spacing w:before="12" w:after="12" w:line="360" w:lineRule="auto"/>
        <w:ind w:left="1080" w:hanging="1080"/>
        <w:jc w:val="both"/>
        <w:rPr>
          <w:rFonts w:eastAsia="Calibri"/>
          <w:color w:val="auto"/>
          <w:lang w:val="en-US" w:eastAsia="en-US" w:bidi="ar-SA"/>
        </w:rPr>
      </w:pPr>
      <w:r>
        <w:rPr>
          <w:color w:val="auto"/>
        </w:rPr>
        <w:t xml:space="preserve">Thangavel, P., Pathak, P., Kuttalam, I. &amp; Lonchin, S. (2019). Effect of ethanolic extract of </w:t>
      </w:r>
      <w:r>
        <w:rPr>
          <w:i/>
          <w:iCs/>
          <w:color w:val="auto"/>
        </w:rPr>
        <w:t>Melia dubia</w:t>
      </w:r>
      <w:r>
        <w:rPr>
          <w:color w:val="auto"/>
        </w:rPr>
        <w:t xml:space="preserve"> leaves on full‐thickness cutaneous wounds in Wistar rats. </w:t>
      </w:r>
      <w:r>
        <w:rPr>
          <w:i/>
          <w:iCs/>
          <w:color w:val="auto"/>
        </w:rPr>
        <w:t>Dermatologic Therapy</w:t>
      </w:r>
      <w:r>
        <w:rPr>
          <w:color w:val="auto"/>
        </w:rPr>
        <w:t>, </w:t>
      </w:r>
      <w:r>
        <w:rPr>
          <w:i/>
          <w:iCs/>
          <w:color w:val="auto"/>
        </w:rPr>
        <w:t>32</w:t>
      </w:r>
      <w:r>
        <w:rPr>
          <w:color w:val="auto"/>
        </w:rPr>
        <w:t>(6), e13077.</w:t>
      </w:r>
    </w:p>
    <w:p w14:paraId="1B70D80B">
      <w:pPr>
        <w:pStyle w:val="41"/>
        <w:spacing w:before="12" w:after="12" w:line="360" w:lineRule="auto"/>
        <w:ind w:left="1080" w:hanging="1080"/>
        <w:jc w:val="both"/>
        <w:rPr>
          <w:rFonts w:eastAsia="Calibri"/>
          <w:color w:val="auto"/>
          <w:lang w:val="en-US" w:eastAsia="en-US" w:bidi="ar-SA"/>
        </w:rPr>
      </w:pPr>
      <w:r>
        <w:rPr>
          <w:rFonts w:eastAsia="Calibri"/>
          <w:color w:val="auto"/>
        </w:rPr>
        <w:t>Williams, J. G., Kubelik, A. R., Livak, K. J., Rafalski, J. A. &amp; Tingey, S. V. (1990). DNA polymorphisms amplified by arbitrary primers are useful as genetic markers. </w:t>
      </w:r>
      <w:r>
        <w:rPr>
          <w:rFonts w:eastAsia="Calibri"/>
          <w:i/>
          <w:iCs/>
          <w:color w:val="auto"/>
        </w:rPr>
        <w:t>Nucleic acids research</w:t>
      </w:r>
      <w:r>
        <w:rPr>
          <w:rFonts w:eastAsia="Calibri"/>
          <w:color w:val="auto"/>
        </w:rPr>
        <w:t>, </w:t>
      </w:r>
      <w:r>
        <w:rPr>
          <w:rFonts w:eastAsia="Calibri"/>
          <w:i/>
          <w:iCs/>
          <w:color w:val="auto"/>
        </w:rPr>
        <w:t>18</w:t>
      </w:r>
      <w:r>
        <w:rPr>
          <w:rFonts w:eastAsia="Calibri"/>
          <w:color w:val="auto"/>
        </w:rPr>
        <w:t>(22): 6531-6535.</w:t>
      </w:r>
    </w:p>
    <w:p w14:paraId="531CD524">
      <w:pPr>
        <w:pStyle w:val="41"/>
        <w:spacing w:before="12" w:after="12" w:line="360" w:lineRule="auto"/>
        <w:ind w:left="1080" w:hanging="1080"/>
        <w:jc w:val="both"/>
        <w:rPr>
          <w:rFonts w:eastAsia="Calibri"/>
          <w:color w:val="auto"/>
          <w:lang w:val="en-US" w:eastAsia="en-US" w:bidi="ar-SA"/>
        </w:rPr>
      </w:pPr>
      <w:r>
        <w:rPr>
          <w:rFonts w:eastAsia="Calibri"/>
          <w:color w:val="auto"/>
          <w:lang w:val="en-US"/>
        </w:rPr>
        <w:t>Yeh, F. C., Yang, R. C., Boyle, T. B., Ye, Z. &amp; Mao, J. X. (1997). POPGENE, the user-friendly shareware for population genetic analysis. Molecular biology and biotechnology centre, University of Alberta, Canada.</w:t>
      </w:r>
    </w:p>
    <w:p w14:paraId="7E1D1743">
      <w:pPr>
        <w:pStyle w:val="41"/>
        <w:spacing w:before="12" w:after="12" w:line="360" w:lineRule="auto"/>
        <w:ind w:left="1080" w:hanging="1080"/>
        <w:jc w:val="both"/>
        <w:rPr>
          <w:color w:val="auto"/>
        </w:rPr>
      </w:pPr>
      <w:r>
        <w:rPr>
          <w:color w:val="auto"/>
        </w:rPr>
        <w:t xml:space="preserve">Yulianti. Y.; Siregar I.Z.; Wijayanto. </w:t>
      </w:r>
      <w:r>
        <w:rPr>
          <w:color w:val="auto"/>
          <w:lang w:val="en-US"/>
        </w:rPr>
        <w:t xml:space="preserve">N.; Tapa Darma I.G.K. &amp; Syamsuwida D. (2011). </w:t>
      </w:r>
      <w:r>
        <w:rPr>
          <w:color w:val="auto"/>
        </w:rPr>
        <w:t xml:space="preserve">Genetic variation of </w:t>
      </w:r>
      <w:r>
        <w:rPr>
          <w:i/>
          <w:iCs/>
          <w:color w:val="auto"/>
        </w:rPr>
        <w:t>Melia azedarach</w:t>
      </w:r>
      <w:r>
        <w:rPr>
          <w:color w:val="auto"/>
        </w:rPr>
        <w:t xml:space="preserve"> in community forests of West Java assessed by RAPD. </w:t>
      </w:r>
      <w:r>
        <w:rPr>
          <w:i/>
          <w:iCs/>
          <w:color w:val="auto"/>
          <w:lang w:val="en-US"/>
        </w:rPr>
        <w:t>Biodiversitas Journal of Biological Diversity</w:t>
      </w:r>
      <w:r>
        <w:rPr>
          <w:color w:val="auto"/>
          <w:lang w:val="en-US"/>
        </w:rPr>
        <w:t>, </w:t>
      </w:r>
      <w:r>
        <w:rPr>
          <w:i/>
          <w:iCs/>
          <w:color w:val="auto"/>
          <w:lang w:val="en-US"/>
        </w:rPr>
        <w:t>12</w:t>
      </w:r>
      <w:r>
        <w:rPr>
          <w:color w:val="auto"/>
          <w:lang w:val="en-US"/>
        </w:rPr>
        <w:t>(2).</w:t>
      </w:r>
      <w:r>
        <w:rPr>
          <w:color w:val="auto"/>
        </w:rPr>
        <w:t>, 64-69.</w:t>
      </w:r>
    </w:p>
    <w:sectPr>
      <w:headerReference r:id="rId9" w:type="first"/>
      <w:footerReference r:id="rId12" w:type="first"/>
      <w:headerReference r:id="rId7" w:type="default"/>
      <w:footerReference r:id="rId10" w:type="default"/>
      <w:headerReference r:id="rId8" w:type="even"/>
      <w:footerReference r:id="rId11" w:type="even"/>
      <w:pgSz w:w="11907" w:h="16839"/>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man Tutlani" w:date="2025-08-06T06:20:23Z" w:initials="">
    <w:p w14:paraId="76462CB9">
      <w:pPr>
        <w:pStyle w:val="13"/>
        <w:rPr>
          <w:rFonts w:hint="default"/>
          <w:lang w:val="en-US"/>
        </w:rPr>
      </w:pPr>
      <w:r>
        <w:rPr>
          <w:rFonts w:hint="default"/>
          <w:lang w:val="en-US"/>
        </w:rPr>
        <w:t>Mention year of research and mention proper place where this research was conducted</w:t>
      </w:r>
    </w:p>
  </w:comment>
  <w:comment w:id="1" w:author="Aman Tutlani" w:date="2025-08-06T06:21:19Z" w:initials="">
    <w:p w14:paraId="758FAD64">
      <w:pPr>
        <w:pStyle w:val="13"/>
        <w:rPr>
          <w:rFonts w:hint="default"/>
          <w:lang w:val="en-US"/>
        </w:rPr>
      </w:pPr>
      <w:r>
        <w:rPr>
          <w:rFonts w:hint="default"/>
          <w:lang w:val="en-US"/>
        </w:rPr>
        <w:t xml:space="preserve">Please some latest reference from 2022-2025 </w:t>
      </w:r>
    </w:p>
  </w:comment>
  <w:comment w:id="2" w:author="Aman Tutlani" w:date="2025-08-06T06:24:26Z" w:initials="">
    <w:p w14:paraId="6F91C1B4">
      <w:pPr>
        <w:pStyle w:val="13"/>
        <w:rPr>
          <w:rFonts w:hint="default" w:ascii="Times New Roman" w:hAnsi="Times New Roman" w:cs="Times New Roman"/>
          <w:sz w:val="22"/>
          <w:szCs w:val="22"/>
        </w:rPr>
      </w:pPr>
      <w:r>
        <w:rPr>
          <w:rFonts w:hint="default" w:ascii="Times New Roman" w:hAnsi="Times New Roman" w:eastAsia="SimSun" w:cs="Times New Roman"/>
          <w:sz w:val="22"/>
          <w:szCs w:val="22"/>
        </w:rPr>
        <w:t>Use shorter, more concise sentences for better readability in a research manuscript</w:t>
      </w:r>
    </w:p>
  </w:comment>
  <w:comment w:id="3" w:author="Aman Tutlani" w:date="2025-08-06T06:25:00Z" w:initials="">
    <w:p w14:paraId="05E82E8E">
      <w:pPr>
        <w:pStyle w:val="13"/>
        <w:rPr>
          <w:rFonts w:hint="default" w:ascii="Times New Roman" w:hAnsi="Times New Roman" w:cs="Times New Roman"/>
          <w:sz w:val="22"/>
          <w:szCs w:val="22"/>
        </w:rPr>
      </w:pPr>
      <w:r>
        <w:rPr>
          <w:rFonts w:hint="default" w:ascii="Times New Roman" w:hAnsi="Times New Roman" w:eastAsia="SimSun" w:cs="Times New Roman"/>
          <w:sz w:val="22"/>
          <w:szCs w:val="22"/>
        </w:rPr>
        <w:t xml:space="preserve">Add a brief context on why </w:t>
      </w:r>
      <w:r>
        <w:rPr>
          <w:rStyle w:val="14"/>
          <w:rFonts w:hint="default" w:ascii="Times New Roman" w:hAnsi="Times New Roman" w:eastAsia="SimSun" w:cs="Times New Roman"/>
          <w:sz w:val="22"/>
          <w:szCs w:val="22"/>
        </w:rPr>
        <w:t>M. dubia</w:t>
      </w:r>
      <w:r>
        <w:rPr>
          <w:rFonts w:hint="default" w:ascii="Times New Roman" w:hAnsi="Times New Roman" w:eastAsia="SimSun" w:cs="Times New Roman"/>
          <w:sz w:val="22"/>
          <w:szCs w:val="22"/>
        </w:rPr>
        <w:t xml:space="preserve"> is commercially important to strengthen the justification for the study.</w:t>
      </w:r>
    </w:p>
  </w:comment>
  <w:comment w:id="4" w:author="Aman Tutlani" w:date="2025-08-06T06:27:54Z" w:initials="">
    <w:p w14:paraId="2AF34A07">
      <w:pPr>
        <w:pStyle w:val="18"/>
        <w:keepNext w:val="0"/>
        <w:keepLines w:val="0"/>
        <w:widowControl/>
        <w:suppressLineNumbers w:val="0"/>
        <w:rPr>
          <w:rFonts w:hint="default" w:ascii="Times New Roman" w:hAnsi="Times New Roman" w:cs="Times New Roman"/>
          <w:sz w:val="22"/>
          <w:szCs w:val="22"/>
        </w:rPr>
      </w:pPr>
      <w:r>
        <w:rPr>
          <w:rStyle w:val="14"/>
          <w:rFonts w:hint="default" w:ascii="Times New Roman" w:hAnsi="Times New Roman" w:cs="Times New Roman"/>
          <w:sz w:val="22"/>
          <w:szCs w:val="22"/>
          <w:lang w:val="en-US"/>
        </w:rPr>
        <w:t xml:space="preserve">You are writing western indian state of gujarat </w:t>
      </w:r>
      <w:r>
        <w:rPr>
          <w:rStyle w:val="14"/>
          <w:rFonts w:hint="default" w:ascii="Times New Roman" w:hAnsi="Times New Roman" w:cs="Times New Roman"/>
          <w:sz w:val="22"/>
          <w:szCs w:val="22"/>
          <w:lang w:val="en-US"/>
        </w:rPr>
        <w:br w:type="textWrapping"/>
      </w:r>
      <w:r>
        <w:rPr>
          <w:rStyle w:val="14"/>
          <w:rFonts w:hint="default" w:ascii="Times New Roman" w:hAnsi="Times New Roman" w:cs="Times New Roman"/>
          <w:sz w:val="22"/>
          <w:szCs w:val="22"/>
          <w:lang w:val="en-US"/>
        </w:rPr>
        <w:br w:type="textWrapping"/>
      </w:r>
      <w:r>
        <w:rPr>
          <w:rStyle w:val="14"/>
          <w:rFonts w:hint="default" w:ascii="Times New Roman" w:hAnsi="Times New Roman" w:cs="Times New Roman"/>
          <w:sz w:val="22"/>
          <w:szCs w:val="22"/>
          <w:lang w:val="en-US"/>
        </w:rPr>
        <w:t>which are the states of gujarat</w:t>
      </w:r>
      <w:r>
        <w:rPr>
          <w:rStyle w:val="14"/>
          <w:rFonts w:hint="default" w:ascii="Times New Roman" w:hAnsi="Times New Roman" w:cs="Times New Roman"/>
          <w:sz w:val="22"/>
          <w:szCs w:val="22"/>
        </w:rPr>
        <w:br w:type="textWrapping"/>
      </w:r>
      <w:r>
        <w:rPr>
          <w:rStyle w:val="14"/>
          <w:rFonts w:hint="default" w:ascii="Times New Roman" w:hAnsi="Times New Roman" w:cs="Times New Roman"/>
          <w:sz w:val="22"/>
          <w:szCs w:val="22"/>
        </w:rPr>
        <w:br w:type="textWrapping"/>
      </w:r>
      <w:r>
        <w:rPr>
          <w:rStyle w:val="14"/>
          <w:rFonts w:hint="default" w:ascii="Times New Roman" w:hAnsi="Times New Roman" w:cs="Times New Roman"/>
          <w:sz w:val="22"/>
          <w:szCs w:val="22"/>
        </w:rPr>
        <w:t>The demand for quality planting material is increasing in the western Indian state of Gujarat (Khakhariya, 2018).</w:t>
      </w:r>
    </w:p>
    <w:p w14:paraId="52A5DB6E">
      <w:pPr>
        <w:pStyle w:val="18"/>
        <w:keepNext w:val="0"/>
        <w:keepLines w:val="0"/>
        <w:widowControl/>
        <w:suppressLineNumbers w:val="0"/>
        <w:ind w:left="1440"/>
        <w:rPr>
          <w:rFonts w:hint="default" w:ascii="Times New Roman" w:hAnsi="Times New Roman" w:cs="Times New Roman"/>
          <w:sz w:val="22"/>
          <w:szCs w:val="22"/>
        </w:rPr>
      </w:pPr>
      <w:r>
        <w:rPr>
          <w:rStyle w:val="14"/>
          <w:rFonts w:hint="default" w:ascii="Times New Roman" w:hAnsi="Times New Roman" w:cs="Times New Roman"/>
          <w:sz w:val="22"/>
          <w:szCs w:val="22"/>
        </w:rPr>
        <w:t>The demand for high-quality planting material has been rising in Gujarat, a western state of India (Khakhariya, 2018).</w:t>
      </w:r>
    </w:p>
  </w:comment>
  <w:comment w:id="5" w:author="Aman Tutlani" w:date="2025-08-06T06:26:03Z" w:initials="">
    <w:p w14:paraId="59B437EA">
      <w:pPr>
        <w:pStyle w:val="13"/>
        <w:rPr>
          <w:rFonts w:hint="default" w:ascii="Times New Roman" w:hAnsi="Times New Roman" w:cs="Times New Roman"/>
          <w:sz w:val="22"/>
          <w:szCs w:val="22"/>
        </w:rPr>
      </w:pPr>
      <w:r>
        <w:rPr>
          <w:rFonts w:hint="default" w:ascii="Times New Roman" w:hAnsi="Times New Roman" w:eastAsia="SimSun" w:cs="Times New Roman"/>
          <w:sz w:val="22"/>
          <w:szCs w:val="22"/>
        </w:rPr>
        <w:t>Consider rephrasing “We are unique in exercising molecular approaches” to a more formal academic tone</w:t>
      </w:r>
      <w:r>
        <w:rPr>
          <w:rFonts w:hint="default" w:ascii="Times New Roman" w:hAnsi="Times New Roman" w:eastAsia="SimSun" w:cs="Times New Roman"/>
          <w:sz w:val="22"/>
          <w:szCs w:val="22"/>
          <w:lang w:val="en-US"/>
        </w:rPr>
        <w:t xml:space="preserve"> like</w:t>
      </w:r>
      <w:r>
        <w:rPr>
          <w:rFonts w:hint="default" w:ascii="Times New Roman" w:hAnsi="Times New Roman" w:eastAsia="SimSun" w:cs="Times New Roman"/>
          <w:sz w:val="22"/>
          <w:szCs w:val="22"/>
        </w:rPr>
        <w:t xml:space="preserve"> “This study uniquely applies molecular approaches</w:t>
      </w:r>
    </w:p>
  </w:comment>
  <w:comment w:id="6" w:author="Aman Tutlani" w:date="2025-08-06T06:29:54Z" w:initials="">
    <w:p w14:paraId="7431BB57">
      <w:pPr>
        <w:pStyle w:val="13"/>
        <w:rPr>
          <w:rFonts w:hint="default"/>
          <w:lang w:val="en-US"/>
        </w:rPr>
      </w:pPr>
      <w:r>
        <w:rPr>
          <w:rFonts w:hint="default"/>
          <w:lang w:val="en-US"/>
        </w:rPr>
        <w:t xml:space="preserve">Reduce the size of material and method </w:t>
      </w:r>
    </w:p>
  </w:comment>
  <w:comment w:id="7" w:author="Aman Tutlani" w:date="2025-08-06T06:31:45Z" w:initials="">
    <w:p w14:paraId="3498C611">
      <w:pPr>
        <w:pStyle w:val="13"/>
        <w:rPr>
          <w:rFonts w:hint="default"/>
          <w:lang w:val="en-US"/>
        </w:rPr>
      </w:pPr>
      <w:r>
        <w:rPr>
          <w:rFonts w:hint="default"/>
          <w:lang w:val="en-US"/>
        </w:rPr>
        <w:t xml:space="preserve">Present key finding first and than interpret them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6462CB9" w15:done="0"/>
  <w15:commentEx w15:paraId="758FAD64" w15:done="0"/>
  <w15:commentEx w15:paraId="6F91C1B4" w15:done="0"/>
  <w15:commentEx w15:paraId="05E82E8E" w15:done="0"/>
  <w15:commentEx w15:paraId="52A5DB6E" w15:done="0"/>
  <w15:commentEx w15:paraId="59B437EA" w15:done="0"/>
  <w15:commentEx w15:paraId="7431BB57" w15:done="0"/>
  <w15:commentEx w15:paraId="3498C61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Mangal">
    <w:panose1 w:val="02040503050203030202"/>
    <w:charset w:val="00"/>
    <w:family w:val="roman"/>
    <w:pitch w:val="default"/>
    <w:sig w:usb0="00008003"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Bookman Old Style">
    <w:panose1 w:val="02050604050505020204"/>
    <w:charset w:val="00"/>
    <w:family w:val="roman"/>
    <w:pitch w:val="default"/>
    <w:sig w:usb0="00000287"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CIDFont+F3">
    <w:altName w:val="MS Mincho"/>
    <w:panose1 w:val="00000000000000000000"/>
    <w:charset w:val="80"/>
    <w:family w:val="auto"/>
    <w:pitch w:val="default"/>
    <w:sig w:usb0="00000000" w:usb1="00000000" w:usb2="00000010" w:usb3="00000000" w:csb0="00020000" w:csb1="00000000"/>
  </w:font>
  <w:font w:name="ArialMT">
    <w:altName w:val="MS Mincho"/>
    <w:panose1 w:val="00000000000000000000"/>
    <w:charset w:val="80"/>
    <w:family w:val="auto"/>
    <w:pitch w:val="default"/>
    <w:sig w:usb0="00000000" w:usb1="00000000" w:usb2="00000010" w:usb3="00000000" w:csb0="0002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auto"/>
    <w:pitch w:val="default"/>
    <w:sig w:usb0="A00002BF" w:usb1="68C7FCFB" w:usb2="00000010" w:usb3="00000000" w:csb0="4002009F" w:csb1="DFD70000"/>
  </w:font>
  <w:font w:name="Segoe UI Variable Small Semibold">
    <w:panose1 w:val="00000000000000000000"/>
    <w:charset w:val="00"/>
    <w:family w:val="auto"/>
    <w:pitch w:val="default"/>
    <w:sig w:usb0="A00002FF" w:usb1="0000000B" w:usb2="00000000" w:usb3="00000000" w:csb0="2000019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72962">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49CF1">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02475">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DA88A">
    <w:pPr>
      <w:pStyle w:val="16"/>
    </w:pPr>
    <w:r>
      <w:pict>
        <v:shape id="PowerPlusWaterMarkObject633774767" o:spid="_x0000_s2051" o:spt="136" type="#_x0000_t136" style="position:absolute;left:0pt;height:100.45pt;width:535.8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1C750">
    <w:pPr>
      <w:pStyle w:val="16"/>
    </w:pPr>
    <w:r>
      <w:pict>
        <v:shape id="PowerPlusWaterMarkObject633774766" o:spid="_x0000_s2050" o:spt="136" type="#_x0000_t136" style="position:absolute;left:0pt;height:100.45pt;width:535.8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7FA07">
    <w:pPr>
      <w:pStyle w:val="16"/>
    </w:pPr>
    <w:r>
      <w:pict>
        <v:shape id="PowerPlusWaterMarkObject633774765" o:spid="_x0000_s2049" o:spt="136" type="#_x0000_t136" style="position:absolute;left:0pt;height:100.45pt;width:535.8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man Tutlani">
    <w15:presenceInfo w15:providerId="WPS Office" w15:userId="24192377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A53"/>
    <w:rsid w:val="0001398E"/>
    <w:rsid w:val="000412CD"/>
    <w:rsid w:val="000D1561"/>
    <w:rsid w:val="000E24C4"/>
    <w:rsid w:val="00106D00"/>
    <w:rsid w:val="00145C6F"/>
    <w:rsid w:val="00150BBC"/>
    <w:rsid w:val="00154675"/>
    <w:rsid w:val="00192358"/>
    <w:rsid w:val="00196A61"/>
    <w:rsid w:val="0021354D"/>
    <w:rsid w:val="00246583"/>
    <w:rsid w:val="002759E7"/>
    <w:rsid w:val="00282F55"/>
    <w:rsid w:val="00331FEE"/>
    <w:rsid w:val="0035644F"/>
    <w:rsid w:val="003C79BE"/>
    <w:rsid w:val="003E148B"/>
    <w:rsid w:val="0048387D"/>
    <w:rsid w:val="00540C03"/>
    <w:rsid w:val="0059799F"/>
    <w:rsid w:val="005B1C19"/>
    <w:rsid w:val="006235EC"/>
    <w:rsid w:val="00812B16"/>
    <w:rsid w:val="008607CD"/>
    <w:rsid w:val="00A77B58"/>
    <w:rsid w:val="00AB01FA"/>
    <w:rsid w:val="00B1441D"/>
    <w:rsid w:val="00B266CA"/>
    <w:rsid w:val="00B5034F"/>
    <w:rsid w:val="00B60630"/>
    <w:rsid w:val="00B82A51"/>
    <w:rsid w:val="00BC187C"/>
    <w:rsid w:val="00BE7FC2"/>
    <w:rsid w:val="00BF1A4D"/>
    <w:rsid w:val="00BF750B"/>
    <w:rsid w:val="00C546AE"/>
    <w:rsid w:val="00C72522"/>
    <w:rsid w:val="00C94EB7"/>
    <w:rsid w:val="00D11DE3"/>
    <w:rsid w:val="00D70838"/>
    <w:rsid w:val="00DC01DA"/>
    <w:rsid w:val="00DE31B7"/>
    <w:rsid w:val="00E10A88"/>
    <w:rsid w:val="00EA2ED9"/>
    <w:rsid w:val="00EB1FF4"/>
    <w:rsid w:val="00ED6DF4"/>
    <w:rsid w:val="00EE5A53"/>
    <w:rsid w:val="00F01A11"/>
    <w:rsid w:val="00F716B0"/>
    <w:rsid w:val="00F765B1"/>
    <w:rsid w:val="00FC3B55"/>
    <w:rsid w:val="63852795"/>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kern w:val="0"/>
      <w:sz w:val="22"/>
      <w:szCs w:val="22"/>
      <w:lang w:val="en-US" w:eastAsia="en-US" w:bidi="ar-SA"/>
      <w14:ligatures w14:val="none"/>
    </w:rPr>
  </w:style>
  <w:style w:type="paragraph" w:styleId="2">
    <w:name w:val="heading 1"/>
    <w:basedOn w:val="1"/>
    <w:next w:val="1"/>
    <w:link w:val="22"/>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36"/>
    </w:rPr>
  </w:style>
  <w:style w:type="paragraph" w:styleId="3">
    <w:name w:val="heading 2"/>
    <w:basedOn w:val="1"/>
    <w:next w:val="1"/>
    <w:link w:val="23"/>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29"/>
    </w:rPr>
  </w:style>
  <w:style w:type="paragraph" w:styleId="4">
    <w:name w:val="heading 3"/>
    <w:basedOn w:val="1"/>
    <w:next w:val="1"/>
    <w:link w:val="24"/>
    <w:semiHidden/>
    <w:unhideWhenUsed/>
    <w:qFormat/>
    <w:uiPriority w:val="9"/>
    <w:pPr>
      <w:keepNext/>
      <w:keepLines/>
      <w:spacing w:before="160" w:after="80"/>
      <w:outlineLvl w:val="2"/>
    </w:pPr>
    <w:rPr>
      <w:rFonts w:eastAsiaTheme="majorEastAsia" w:cstheme="majorBidi"/>
      <w:color w:val="2F5597" w:themeColor="accent1" w:themeShade="BF"/>
      <w:sz w:val="28"/>
      <w:szCs w:val="25"/>
    </w:rPr>
  </w:style>
  <w:style w:type="paragraph" w:styleId="5">
    <w:name w:val="heading 4"/>
    <w:basedOn w:val="1"/>
    <w:next w:val="1"/>
    <w:link w:val="25"/>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6"/>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7"/>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8"/>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30"/>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annotation text"/>
    <w:basedOn w:val="1"/>
    <w:semiHidden/>
    <w:unhideWhenUsed/>
    <w:uiPriority w:val="99"/>
    <w:pPr>
      <w:jc w:val="left"/>
    </w:pPr>
  </w:style>
  <w:style w:type="character" w:styleId="14">
    <w:name w:val="Emphasis"/>
    <w:basedOn w:val="11"/>
    <w:qFormat/>
    <w:uiPriority w:val="20"/>
    <w:rPr>
      <w:i/>
      <w:iCs/>
    </w:rPr>
  </w:style>
  <w:style w:type="paragraph" w:styleId="15">
    <w:name w:val="footer"/>
    <w:basedOn w:val="1"/>
    <w:link w:val="42"/>
    <w:unhideWhenUsed/>
    <w:uiPriority w:val="99"/>
    <w:pPr>
      <w:tabs>
        <w:tab w:val="center" w:pos="4513"/>
        <w:tab w:val="right" w:pos="9026"/>
      </w:tabs>
      <w:spacing w:after="0" w:line="240" w:lineRule="auto"/>
    </w:pPr>
    <w:rPr>
      <w:rFonts w:asciiTheme="minorHAnsi" w:hAnsiTheme="minorHAnsi" w:eastAsiaTheme="minorEastAsia" w:cstheme="minorBidi"/>
      <w:lang w:val="en-IN" w:eastAsia="en-IN" w:bidi="lo-LA"/>
    </w:rPr>
  </w:style>
  <w:style w:type="paragraph" w:styleId="16">
    <w:name w:val="header"/>
    <w:basedOn w:val="1"/>
    <w:link w:val="46"/>
    <w:unhideWhenUsed/>
    <w:uiPriority w:val="99"/>
    <w:pPr>
      <w:tabs>
        <w:tab w:val="center" w:pos="4680"/>
        <w:tab w:val="right" w:pos="9360"/>
      </w:tabs>
      <w:spacing w:after="0" w:line="240" w:lineRule="auto"/>
    </w:pPr>
  </w:style>
  <w:style w:type="character" w:styleId="17">
    <w:name w:val="Hyperlink"/>
    <w:basedOn w:val="11"/>
    <w:unhideWhenUsed/>
    <w:uiPriority w:val="99"/>
    <w:rPr>
      <w:color w:val="0563C1" w:themeColor="hyperlink"/>
      <w:u w:val="single"/>
      <w14:textFill>
        <w14:solidFill>
          <w14:schemeClr w14:val="hlink"/>
        </w14:solidFill>
      </w14:textFill>
    </w:rPr>
  </w:style>
  <w:style w:type="paragraph" w:styleId="18">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19">
    <w:name w:val="Subtitle"/>
    <w:basedOn w:val="1"/>
    <w:next w:val="1"/>
    <w:link w:val="32"/>
    <w:qFormat/>
    <w:uiPriority w:val="11"/>
    <w:rPr>
      <w:rFonts w:eastAsiaTheme="majorEastAsia" w:cstheme="majorBidi"/>
      <w:color w:val="595959" w:themeColor="text1" w:themeTint="A6"/>
      <w:spacing w:val="15"/>
      <w:sz w:val="28"/>
      <w:szCs w:val="25"/>
      <w14:textFill>
        <w14:solidFill>
          <w14:schemeClr w14:val="tx1">
            <w14:lumMod w14:val="65000"/>
            <w14:lumOff w14:val="35000"/>
          </w14:schemeClr>
        </w14:solidFill>
      </w14:textFill>
    </w:rPr>
  </w:style>
  <w:style w:type="table" w:styleId="20">
    <w:name w:val="Table Grid"/>
    <w:basedOn w:val="12"/>
    <w:uiPriority w:val="59"/>
    <w:pPr>
      <w:spacing w:after="0" w:line="240" w:lineRule="auto"/>
    </w:pPr>
    <w:rPr>
      <w:kern w:val="0"/>
      <w:sz w:val="22"/>
      <w:szCs w:val="22"/>
      <w:lang w:val="en-US" w:bidi="ar-SA"/>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Title"/>
    <w:basedOn w:val="1"/>
    <w:next w:val="1"/>
    <w:link w:val="31"/>
    <w:qFormat/>
    <w:uiPriority w:val="10"/>
    <w:pPr>
      <w:spacing w:after="80" w:line="240" w:lineRule="auto"/>
      <w:contextualSpacing/>
    </w:pPr>
    <w:rPr>
      <w:rFonts w:asciiTheme="majorHAnsi" w:hAnsiTheme="majorHAnsi" w:eastAsiaTheme="majorEastAsia" w:cstheme="majorBidi"/>
      <w:spacing w:val="-10"/>
      <w:kern w:val="28"/>
      <w:sz w:val="56"/>
      <w:szCs w:val="50"/>
    </w:rPr>
  </w:style>
  <w:style w:type="character" w:customStyle="1" w:styleId="22">
    <w:name w:val="Heading 1 Char"/>
    <w:basedOn w:val="11"/>
    <w:link w:val="2"/>
    <w:uiPriority w:val="9"/>
    <w:rPr>
      <w:rFonts w:asciiTheme="majorHAnsi" w:hAnsiTheme="majorHAnsi" w:eastAsiaTheme="majorEastAsia" w:cstheme="majorBidi"/>
      <w:color w:val="2F5597" w:themeColor="accent1" w:themeShade="BF"/>
      <w:sz w:val="40"/>
      <w:szCs w:val="36"/>
    </w:rPr>
  </w:style>
  <w:style w:type="character" w:customStyle="1" w:styleId="23">
    <w:name w:val="Heading 2 Char"/>
    <w:basedOn w:val="11"/>
    <w:link w:val="3"/>
    <w:semiHidden/>
    <w:uiPriority w:val="9"/>
    <w:rPr>
      <w:rFonts w:asciiTheme="majorHAnsi" w:hAnsiTheme="majorHAnsi" w:eastAsiaTheme="majorEastAsia" w:cstheme="majorBidi"/>
      <w:color w:val="2F5597" w:themeColor="accent1" w:themeShade="BF"/>
      <w:sz w:val="32"/>
      <w:szCs w:val="29"/>
    </w:rPr>
  </w:style>
  <w:style w:type="character" w:customStyle="1" w:styleId="24">
    <w:name w:val="Heading 3 Char"/>
    <w:basedOn w:val="11"/>
    <w:link w:val="4"/>
    <w:semiHidden/>
    <w:uiPriority w:val="9"/>
    <w:rPr>
      <w:rFonts w:eastAsiaTheme="majorEastAsia" w:cstheme="majorBidi"/>
      <w:color w:val="2F5597" w:themeColor="accent1" w:themeShade="BF"/>
      <w:sz w:val="28"/>
      <w:szCs w:val="25"/>
    </w:rPr>
  </w:style>
  <w:style w:type="character" w:customStyle="1" w:styleId="25">
    <w:name w:val="Heading 4 Char"/>
    <w:basedOn w:val="11"/>
    <w:link w:val="5"/>
    <w:semiHidden/>
    <w:uiPriority w:val="9"/>
    <w:rPr>
      <w:rFonts w:eastAsiaTheme="majorEastAsia" w:cstheme="majorBidi"/>
      <w:i/>
      <w:iCs/>
      <w:color w:val="2F5597" w:themeColor="accent1" w:themeShade="BF"/>
    </w:rPr>
  </w:style>
  <w:style w:type="character" w:customStyle="1" w:styleId="26">
    <w:name w:val="Heading 5 Char"/>
    <w:basedOn w:val="11"/>
    <w:link w:val="6"/>
    <w:semiHidden/>
    <w:uiPriority w:val="9"/>
    <w:rPr>
      <w:rFonts w:eastAsiaTheme="majorEastAsia" w:cstheme="majorBidi"/>
      <w:color w:val="2F5597" w:themeColor="accent1" w:themeShade="BF"/>
    </w:rPr>
  </w:style>
  <w:style w:type="character" w:customStyle="1" w:styleId="27">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8">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30">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1">
    <w:name w:val="Title Char"/>
    <w:basedOn w:val="11"/>
    <w:link w:val="21"/>
    <w:uiPriority w:val="10"/>
    <w:rPr>
      <w:rFonts w:asciiTheme="majorHAnsi" w:hAnsiTheme="majorHAnsi" w:eastAsiaTheme="majorEastAsia" w:cstheme="majorBidi"/>
      <w:spacing w:val="-10"/>
      <w:kern w:val="28"/>
      <w:sz w:val="56"/>
      <w:szCs w:val="50"/>
    </w:rPr>
  </w:style>
  <w:style w:type="character" w:customStyle="1" w:styleId="32">
    <w:name w:val="Subtitle Char"/>
    <w:basedOn w:val="11"/>
    <w:link w:val="19"/>
    <w:uiPriority w:val="11"/>
    <w:rPr>
      <w:rFonts w:eastAsiaTheme="majorEastAsia" w:cstheme="majorBidi"/>
      <w:color w:val="595959" w:themeColor="text1" w:themeTint="A6"/>
      <w:spacing w:val="15"/>
      <w:sz w:val="28"/>
      <w:szCs w:val="25"/>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Quote Char"/>
    <w:basedOn w:val="11"/>
    <w:link w:val="33"/>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ind w:left="720"/>
      <w:contextualSpacing/>
    </w:pPr>
  </w:style>
  <w:style w:type="character" w:customStyle="1" w:styleId="36">
    <w:name w:val="Intense Emphasis"/>
    <w:basedOn w:val="11"/>
    <w:qFormat/>
    <w:uiPriority w:val="21"/>
    <w:rPr>
      <w:i/>
      <w:iCs/>
      <w:color w:val="2F5597" w:themeColor="accent1" w:themeShade="BF"/>
    </w:rPr>
  </w:style>
  <w:style w:type="paragraph" w:styleId="37">
    <w:name w:val="Intense Quote"/>
    <w:basedOn w:val="1"/>
    <w:next w:val="1"/>
    <w:link w:val="38"/>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8">
    <w:name w:val="Intense Quote Char"/>
    <w:basedOn w:val="11"/>
    <w:link w:val="37"/>
    <w:uiPriority w:val="30"/>
    <w:rPr>
      <w:i/>
      <w:iCs/>
      <w:color w:val="2F5597" w:themeColor="accent1" w:themeShade="BF"/>
    </w:rPr>
  </w:style>
  <w:style w:type="character" w:customStyle="1" w:styleId="39">
    <w:name w:val="Intense Reference"/>
    <w:basedOn w:val="11"/>
    <w:qFormat/>
    <w:uiPriority w:val="32"/>
    <w:rPr>
      <w:b/>
      <w:bCs/>
      <w:smallCaps/>
      <w:color w:val="2F5597" w:themeColor="accent1" w:themeShade="BF"/>
      <w:spacing w:val="5"/>
    </w:rPr>
  </w:style>
  <w:style w:type="paragraph" w:styleId="40">
    <w:name w:val="No Spacing"/>
    <w:qFormat/>
    <w:uiPriority w:val="1"/>
    <w:pPr>
      <w:spacing w:after="0" w:line="240" w:lineRule="auto"/>
    </w:pPr>
    <w:rPr>
      <w:rFonts w:ascii="Calibri" w:hAnsi="Calibri" w:eastAsia="Calibri" w:cs="Times New Roman"/>
      <w:kern w:val="0"/>
      <w:sz w:val="22"/>
      <w:szCs w:val="22"/>
      <w:lang w:val="en-US" w:eastAsia="en-US" w:bidi="ar-SA"/>
      <w14:ligatures w14:val="none"/>
    </w:rPr>
  </w:style>
  <w:style w:type="paragraph" w:customStyle="1" w:styleId="41">
    <w:name w:val="Default"/>
    <w:uiPriority w:val="0"/>
    <w:pPr>
      <w:autoSpaceDE w:val="0"/>
      <w:autoSpaceDN w:val="0"/>
      <w:adjustRightInd w:val="0"/>
      <w:spacing w:after="0" w:line="240" w:lineRule="auto"/>
    </w:pPr>
    <w:rPr>
      <w:rFonts w:ascii="Times New Roman" w:hAnsi="Times New Roman" w:cs="Times New Roman" w:eastAsiaTheme="minorEastAsia"/>
      <w:color w:val="000000"/>
      <w:kern w:val="0"/>
      <w:sz w:val="24"/>
      <w:szCs w:val="24"/>
      <w:lang w:val="en-IN" w:eastAsia="en-IN" w:bidi="lo-LA"/>
      <w14:ligatures w14:val="none"/>
    </w:rPr>
  </w:style>
  <w:style w:type="character" w:customStyle="1" w:styleId="42">
    <w:name w:val="Footer Char"/>
    <w:basedOn w:val="11"/>
    <w:link w:val="15"/>
    <w:uiPriority w:val="99"/>
    <w:rPr>
      <w:rFonts w:eastAsiaTheme="minorEastAsia"/>
      <w:kern w:val="0"/>
      <w:sz w:val="22"/>
      <w:szCs w:val="22"/>
      <w:lang w:eastAsia="en-IN" w:bidi="lo-LA"/>
      <w14:ligatures w14:val="none"/>
    </w:rPr>
  </w:style>
  <w:style w:type="character" w:customStyle="1" w:styleId="43">
    <w:name w:val="landing-page-changedtext-0-2-17"/>
    <w:basedOn w:val="11"/>
    <w:uiPriority w:val="0"/>
  </w:style>
  <w:style w:type="character" w:customStyle="1" w:styleId="44">
    <w:name w:val="Unresolved Mention"/>
    <w:basedOn w:val="11"/>
    <w:semiHidden/>
    <w:unhideWhenUsed/>
    <w:uiPriority w:val="99"/>
    <w:rPr>
      <w:color w:val="605E5C"/>
      <w:shd w:val="clear" w:color="auto" w:fill="E1DFDD"/>
    </w:rPr>
  </w:style>
  <w:style w:type="paragraph" w:customStyle="1" w:styleId="45">
    <w:name w:val="Style5"/>
    <w:basedOn w:val="1"/>
    <w:uiPriority w:val="0"/>
    <w:pPr>
      <w:widowControl w:val="0"/>
      <w:autoSpaceDE w:val="0"/>
      <w:autoSpaceDN w:val="0"/>
      <w:adjustRightInd w:val="0"/>
      <w:spacing w:after="0" w:line="403" w:lineRule="exact"/>
      <w:jc w:val="both"/>
    </w:pPr>
    <w:rPr>
      <w:rFonts w:ascii="Bookman Old Style" w:hAnsi="Bookman Old Style" w:eastAsia="Times New Roman"/>
      <w:sz w:val="24"/>
      <w:szCs w:val="24"/>
    </w:rPr>
  </w:style>
  <w:style w:type="character" w:customStyle="1" w:styleId="46">
    <w:name w:val="Header Char"/>
    <w:basedOn w:val="11"/>
    <w:link w:val="16"/>
    <w:uiPriority w:val="99"/>
    <w:rPr>
      <w:rFonts w:ascii="Calibri" w:hAnsi="Calibri" w:eastAsia="Calibri" w:cs="Times New Roman"/>
      <w:kern w:val="0"/>
      <w:sz w:val="22"/>
      <w:szCs w:val="22"/>
      <w:lang w:val="en-US"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4.jpeg"/><Relationship Id="rId16" Type="http://schemas.openxmlformats.org/officeDocument/2006/relationships/image" Target="media/image3.png"/><Relationship Id="rId15" Type="http://schemas.openxmlformats.org/officeDocument/2006/relationships/image" Target="media/image2.jpe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4233</Words>
  <Characters>24132</Characters>
  <Lines>201</Lines>
  <Paragraphs>56</Paragraphs>
  <TotalTime>188</TotalTime>
  <ScaleCrop>false</ScaleCrop>
  <LinksUpToDate>false</LinksUpToDate>
  <CharactersWithSpaces>28309</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2025-07-13T06:44:00Z</dcterms:created>
  <dc:creator>RAKESHKUMAR JALIYA</dc:creator>
  <cp:lastModifiedBy>Aman Tutlani</cp:lastModifiedBy>
  <dcterms:modified xsi:type="dcterms:W3CDTF">2025-08-06T01:08:10Z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D79EAB735A6343438B4F4249F503B815_12</vt:lpwstr>
  </property>
</Properties>
</file>