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A1C7" w14:textId="4799DF21" w:rsidR="0093250E" w:rsidRPr="00E06694" w:rsidRDefault="000770F1" w:rsidP="000770F1">
      <w:pPr>
        <w:spacing w:after="0" w:line="240" w:lineRule="auto"/>
        <w:ind w:left="0"/>
        <w:jc w:val="center"/>
        <w:rPr>
          <w:rFonts w:ascii="Times New Roman" w:eastAsia="Times New Roman" w:hAnsi="Times New Roman" w:cs="Times New Roman"/>
          <w:b/>
          <w:color w:val="000000"/>
          <w:sz w:val="24"/>
          <w:szCs w:val="24"/>
        </w:rPr>
      </w:pPr>
      <w:r w:rsidRPr="00E06694">
        <w:rPr>
          <w:rFonts w:ascii="Times New Roman" w:eastAsia="Times New Roman" w:hAnsi="Times New Roman" w:cs="Times New Roman"/>
          <w:b/>
          <w:color w:val="000000"/>
          <w:sz w:val="24"/>
          <w:szCs w:val="24"/>
        </w:rPr>
        <w:t>Agrono</w:t>
      </w:r>
      <w:r w:rsidR="006A16BE" w:rsidRPr="00E06694">
        <w:rPr>
          <w:rFonts w:ascii="Times New Roman" w:eastAsia="Times New Roman" w:hAnsi="Times New Roman" w:cs="Times New Roman"/>
          <w:b/>
          <w:color w:val="000000"/>
          <w:sz w:val="24"/>
          <w:szCs w:val="24"/>
        </w:rPr>
        <w:t xml:space="preserve">mic Evaluation of Three Carrot </w:t>
      </w:r>
      <w:r w:rsidRPr="00E06694">
        <w:rPr>
          <w:rFonts w:ascii="Times New Roman" w:eastAsia="Times New Roman" w:hAnsi="Times New Roman" w:cs="Times New Roman"/>
          <w:b/>
          <w:color w:val="000000"/>
          <w:sz w:val="24"/>
          <w:szCs w:val="24"/>
        </w:rPr>
        <w:t xml:space="preserve">Cultivars in Raised Beds in </w:t>
      </w:r>
      <w:proofErr w:type="spellStart"/>
      <w:r w:rsidRPr="00E06694">
        <w:rPr>
          <w:rFonts w:ascii="Times New Roman" w:eastAsia="Times New Roman" w:hAnsi="Times New Roman" w:cs="Times New Roman"/>
          <w:b/>
          <w:color w:val="000000"/>
          <w:sz w:val="24"/>
          <w:szCs w:val="24"/>
        </w:rPr>
        <w:t>Tiraque</w:t>
      </w:r>
      <w:proofErr w:type="spellEnd"/>
      <w:r w:rsidRPr="00E06694">
        <w:rPr>
          <w:rFonts w:ascii="Times New Roman" w:eastAsia="Times New Roman" w:hAnsi="Times New Roman" w:cs="Times New Roman"/>
          <w:b/>
          <w:color w:val="000000"/>
          <w:sz w:val="24"/>
          <w:szCs w:val="24"/>
        </w:rPr>
        <w:t>, Cochabamba</w:t>
      </w:r>
    </w:p>
    <w:p w14:paraId="4C0756F3" w14:textId="77777777" w:rsidR="000770F1" w:rsidRPr="00E06694" w:rsidRDefault="000770F1" w:rsidP="0093250E">
      <w:pPr>
        <w:spacing w:after="0" w:line="240" w:lineRule="auto"/>
        <w:ind w:left="0"/>
        <w:rPr>
          <w:rFonts w:ascii="Times New Roman" w:eastAsia="Times New Roman" w:hAnsi="Times New Roman" w:cs="Times New Roman"/>
          <w:color w:val="000000"/>
          <w:sz w:val="24"/>
          <w:szCs w:val="24"/>
        </w:rPr>
      </w:pPr>
    </w:p>
    <w:p w14:paraId="65120077" w14:textId="7B3F1A0C" w:rsidR="00746E88" w:rsidRPr="00E06694" w:rsidRDefault="00746E88" w:rsidP="0093250E">
      <w:pPr>
        <w:spacing w:after="0" w:line="240" w:lineRule="auto"/>
        <w:ind w:left="0"/>
        <w:rPr>
          <w:rFonts w:ascii="Times New Roman" w:eastAsia="Times New Roman" w:hAnsi="Times New Roman" w:cs="Times New Roman"/>
          <w:color w:val="000000"/>
          <w:sz w:val="24"/>
          <w:szCs w:val="24"/>
        </w:rPr>
      </w:pPr>
    </w:p>
    <w:p w14:paraId="3ED7442F" w14:textId="2E39D00B" w:rsidR="00852920" w:rsidRPr="00E06694" w:rsidRDefault="00852920" w:rsidP="0093250E">
      <w:pPr>
        <w:spacing w:after="0" w:line="240" w:lineRule="auto"/>
        <w:ind w:left="0"/>
        <w:rPr>
          <w:rFonts w:ascii="Times New Roman" w:eastAsia="Times New Roman" w:hAnsi="Times New Roman" w:cs="Times New Roman"/>
          <w:color w:val="000000"/>
          <w:sz w:val="24"/>
          <w:szCs w:val="24"/>
        </w:rPr>
      </w:pPr>
      <w:r w:rsidRPr="00E06694">
        <w:rPr>
          <w:rFonts w:ascii="Times New Roman" w:eastAsia="Times New Roman" w:hAnsi="Times New Roman" w:cs="Times New Roman"/>
          <w:b/>
          <w:color w:val="000000"/>
          <w:sz w:val="24"/>
          <w:szCs w:val="24"/>
        </w:rPr>
        <w:t>Abstract:</w:t>
      </w:r>
      <w:r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Growing carrots (</w:t>
      </w:r>
      <w:r w:rsidR="008538FC" w:rsidRPr="00E06694">
        <w:rPr>
          <w:rFonts w:ascii="Times New Roman" w:eastAsia="Times New Roman" w:hAnsi="Times New Roman" w:cs="Times New Roman"/>
          <w:i/>
          <w:color w:val="000000"/>
          <w:sz w:val="24"/>
          <w:szCs w:val="24"/>
        </w:rPr>
        <w:t>Daucus carota</w:t>
      </w:r>
      <w:r w:rsidR="008538FC" w:rsidRPr="00E06694">
        <w:rPr>
          <w:rFonts w:ascii="Times New Roman" w:eastAsia="Times New Roman" w:hAnsi="Times New Roman" w:cs="Times New Roman"/>
          <w:color w:val="000000"/>
          <w:sz w:val="24"/>
          <w:szCs w:val="24"/>
        </w:rPr>
        <w:t xml:space="preserve"> L.) in raised beds can increase root yield, quality, and uniformity. This study evaluated the agronomic performance of three INIAF‑developed varieties - Altiplano, INIAF Larga Vida, and Montenegro</w:t>
      </w:r>
      <w:r w:rsidR="00D90B52"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 xml:space="preserve">1 - at the Koari Alto and Koari </w:t>
      </w:r>
      <w:proofErr w:type="spellStart"/>
      <w:r w:rsidR="008538FC" w:rsidRPr="00E06694">
        <w:rPr>
          <w:rFonts w:ascii="Times New Roman" w:eastAsia="Times New Roman" w:hAnsi="Times New Roman" w:cs="Times New Roman"/>
          <w:color w:val="000000"/>
          <w:sz w:val="24"/>
          <w:szCs w:val="24"/>
        </w:rPr>
        <w:t>Lagunillas</w:t>
      </w:r>
      <w:proofErr w:type="spellEnd"/>
      <w:r w:rsidR="008538FC" w:rsidRPr="00E06694">
        <w:rPr>
          <w:rFonts w:ascii="Times New Roman" w:eastAsia="Times New Roman" w:hAnsi="Times New Roman" w:cs="Times New Roman"/>
          <w:color w:val="000000"/>
          <w:sz w:val="24"/>
          <w:szCs w:val="24"/>
        </w:rPr>
        <w:t xml:space="preserve"> sites in </w:t>
      </w:r>
      <w:proofErr w:type="spellStart"/>
      <w:r w:rsidR="008538FC" w:rsidRPr="00E06694">
        <w:rPr>
          <w:rFonts w:ascii="Times New Roman" w:eastAsia="Times New Roman" w:hAnsi="Times New Roman" w:cs="Times New Roman"/>
          <w:color w:val="000000"/>
          <w:sz w:val="24"/>
          <w:szCs w:val="24"/>
        </w:rPr>
        <w:t>Tiraque</w:t>
      </w:r>
      <w:proofErr w:type="spellEnd"/>
      <w:r w:rsidR="008538FC" w:rsidRPr="00E06694">
        <w:rPr>
          <w:rFonts w:ascii="Times New Roman" w:eastAsia="Times New Roman" w:hAnsi="Times New Roman" w:cs="Times New Roman"/>
          <w:color w:val="000000"/>
          <w:sz w:val="24"/>
          <w:szCs w:val="24"/>
        </w:rPr>
        <w:t>, Cochabamba, Bolivia, during the 2022-23 growing season. A row‑and‑column experimental design with four replications was employed. Principal component analysis identified commercial yield, first‑grade roots, second‑grade roots, and discarded roots as the key variables differentiating variety performance. Under the study conditions, Altiplano exhibited delayed development (emergence and harvest) compared to the earlier‑maturing INIAF Larga Vida, which nonetheless showed a tendency to bolt. The raised‑bed system enhanced commercial yield and improved root quality across all varieties. Altiplano stood out with the highest commercial root yields (Koari Alto: 29.57</w:t>
      </w:r>
      <w:r w:rsidR="003F3048"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t</w:t>
      </w:r>
      <w:r w:rsidR="003F3048" w:rsidRPr="00E06694">
        <w:rPr>
          <w:rFonts w:ascii="Times New Roman" w:eastAsia="Times New Roman" w:hAnsi="Times New Roman" w:cs="Times New Roman"/>
          <w:color w:val="000000"/>
          <w:sz w:val="24"/>
          <w:szCs w:val="24"/>
        </w:rPr>
        <w:t xml:space="preserve"> h</w:t>
      </w:r>
      <w:r w:rsidR="008538FC" w:rsidRPr="00E06694">
        <w:rPr>
          <w:rFonts w:ascii="Times New Roman" w:eastAsia="Times New Roman" w:hAnsi="Times New Roman" w:cs="Times New Roman"/>
          <w:color w:val="000000"/>
          <w:sz w:val="24"/>
          <w:szCs w:val="24"/>
        </w:rPr>
        <w:t>a</w:t>
      </w:r>
      <w:r w:rsidR="003F3048" w:rsidRPr="00E06694">
        <w:rPr>
          <w:rFonts w:ascii="Times New Roman" w:eastAsia="Times New Roman" w:hAnsi="Times New Roman" w:cs="Times New Roman"/>
          <w:color w:val="000000"/>
          <w:sz w:val="24"/>
          <w:szCs w:val="24"/>
          <w:vertAlign w:val="superscript"/>
        </w:rPr>
        <w:t>-1</w:t>
      </w:r>
      <w:r w:rsidR="008538FC" w:rsidRPr="00E06694">
        <w:rPr>
          <w:rFonts w:ascii="Times New Roman" w:eastAsia="Times New Roman" w:hAnsi="Times New Roman" w:cs="Times New Roman"/>
          <w:color w:val="000000"/>
          <w:sz w:val="24"/>
          <w:szCs w:val="24"/>
        </w:rPr>
        <w:t xml:space="preserve">; Koari </w:t>
      </w:r>
      <w:proofErr w:type="spellStart"/>
      <w:r w:rsidR="008538FC" w:rsidRPr="00E06694">
        <w:rPr>
          <w:rFonts w:ascii="Times New Roman" w:eastAsia="Times New Roman" w:hAnsi="Times New Roman" w:cs="Times New Roman"/>
          <w:color w:val="000000"/>
          <w:sz w:val="24"/>
          <w:szCs w:val="24"/>
        </w:rPr>
        <w:t>Lagunillas</w:t>
      </w:r>
      <w:proofErr w:type="spellEnd"/>
      <w:r w:rsidR="008538FC" w:rsidRPr="00E06694">
        <w:rPr>
          <w:rFonts w:ascii="Times New Roman" w:eastAsia="Times New Roman" w:hAnsi="Times New Roman" w:cs="Times New Roman"/>
          <w:color w:val="000000"/>
          <w:sz w:val="24"/>
          <w:szCs w:val="24"/>
        </w:rPr>
        <w:t>: 39.66</w:t>
      </w:r>
      <w:r w:rsidR="003F3048"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t</w:t>
      </w:r>
      <w:r w:rsidR="003F3048"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ha</w:t>
      </w:r>
      <w:r w:rsidR="003F3048" w:rsidRPr="00E06694">
        <w:rPr>
          <w:rFonts w:ascii="Times New Roman" w:eastAsia="Times New Roman" w:hAnsi="Times New Roman" w:cs="Times New Roman"/>
          <w:color w:val="000000"/>
          <w:sz w:val="24"/>
          <w:szCs w:val="24"/>
          <w:vertAlign w:val="superscript"/>
        </w:rPr>
        <w:t>-1</w:t>
      </w:r>
      <w:r w:rsidR="008538FC" w:rsidRPr="00E06694">
        <w:rPr>
          <w:rFonts w:ascii="Times New Roman" w:eastAsia="Times New Roman" w:hAnsi="Times New Roman" w:cs="Times New Roman"/>
          <w:color w:val="000000"/>
          <w:sz w:val="24"/>
          <w:szCs w:val="24"/>
        </w:rPr>
        <w:t>) and greater uniformity in first‑ and second‑grade classifications, outperforming Montenegro</w:t>
      </w:r>
      <w:r w:rsidR="00D90B52" w:rsidRPr="00E06694">
        <w:rPr>
          <w:rFonts w:ascii="Times New Roman" w:eastAsia="Times New Roman" w:hAnsi="Times New Roman" w:cs="Times New Roman"/>
          <w:color w:val="000000"/>
          <w:sz w:val="24"/>
          <w:szCs w:val="24"/>
        </w:rPr>
        <w:t xml:space="preserve"> </w:t>
      </w:r>
      <w:r w:rsidR="008538FC" w:rsidRPr="00E06694">
        <w:rPr>
          <w:rFonts w:ascii="Times New Roman" w:eastAsia="Times New Roman" w:hAnsi="Times New Roman" w:cs="Times New Roman"/>
          <w:color w:val="000000"/>
          <w:sz w:val="24"/>
          <w:szCs w:val="24"/>
        </w:rPr>
        <w:t>1, INIAF Larga Vida, and the control. Although producers valued INIAF Larga Vida for its favorable morphological traits, its bolting tendency indicates a need for genetic improvement to optimize adaptation to conditions like those studied.</w:t>
      </w:r>
    </w:p>
    <w:p w14:paraId="343612F2" w14:textId="7F42F813" w:rsidR="00443F1F" w:rsidRPr="00E06694" w:rsidRDefault="00443F1F" w:rsidP="0093250E">
      <w:pPr>
        <w:spacing w:after="0" w:line="240" w:lineRule="auto"/>
        <w:ind w:left="0"/>
        <w:rPr>
          <w:rFonts w:ascii="Times New Roman" w:eastAsia="Times New Roman" w:hAnsi="Times New Roman" w:cs="Times New Roman"/>
          <w:color w:val="000000"/>
          <w:sz w:val="24"/>
          <w:szCs w:val="24"/>
          <w:lang w:val="pt-BR"/>
        </w:rPr>
      </w:pPr>
      <w:r w:rsidRPr="00E06694">
        <w:rPr>
          <w:rFonts w:ascii="Times New Roman" w:eastAsia="Times New Roman" w:hAnsi="Times New Roman" w:cs="Times New Roman"/>
          <w:b/>
          <w:color w:val="000000"/>
          <w:sz w:val="24"/>
          <w:szCs w:val="24"/>
          <w:lang w:val="pt-BR"/>
        </w:rPr>
        <w:t>Keywords:</w:t>
      </w:r>
      <w:r w:rsidRPr="00E06694">
        <w:rPr>
          <w:rFonts w:ascii="Times New Roman" w:eastAsia="Times New Roman" w:hAnsi="Times New Roman" w:cs="Times New Roman"/>
          <w:color w:val="000000"/>
          <w:sz w:val="24"/>
          <w:szCs w:val="24"/>
          <w:lang w:val="pt-BR"/>
        </w:rPr>
        <w:t xml:space="preserve"> Altiplano, agronomic behavior, </w:t>
      </w:r>
      <w:r w:rsidR="006A16BE" w:rsidRPr="00E06694">
        <w:rPr>
          <w:rFonts w:ascii="Times New Roman" w:eastAsia="Times New Roman" w:hAnsi="Times New Roman" w:cs="Times New Roman"/>
          <w:i/>
          <w:color w:val="000000"/>
          <w:sz w:val="24"/>
          <w:szCs w:val="24"/>
          <w:lang w:val="pt-BR"/>
        </w:rPr>
        <w:t>Daucus carota</w:t>
      </w:r>
      <w:r w:rsidRPr="00E06694">
        <w:rPr>
          <w:rFonts w:ascii="Times New Roman" w:eastAsia="Times New Roman" w:hAnsi="Times New Roman" w:cs="Times New Roman"/>
          <w:color w:val="000000"/>
          <w:sz w:val="24"/>
          <w:szCs w:val="24"/>
          <w:lang w:val="pt-BR"/>
        </w:rPr>
        <w:t>, INIAF Larga Vida, Montenegro 1.</w:t>
      </w:r>
    </w:p>
    <w:p w14:paraId="621BC17A" w14:textId="0DB564EE" w:rsidR="00852920" w:rsidRPr="00E06694" w:rsidRDefault="00852920" w:rsidP="00EF3729">
      <w:pPr>
        <w:spacing w:after="0" w:line="240" w:lineRule="auto"/>
        <w:ind w:left="0" w:firstLine="567"/>
        <w:rPr>
          <w:rFonts w:ascii="Times New Roman" w:eastAsia="Times New Roman" w:hAnsi="Times New Roman" w:cs="Times New Roman"/>
          <w:color w:val="000000"/>
          <w:sz w:val="24"/>
          <w:szCs w:val="24"/>
          <w:lang w:val="pt-BR"/>
        </w:rPr>
      </w:pPr>
    </w:p>
    <w:p w14:paraId="02EDB157" w14:textId="2081D5F6" w:rsidR="00B17B1A" w:rsidRPr="00E06694" w:rsidRDefault="00B17B1A" w:rsidP="0093250E">
      <w:pPr>
        <w:spacing w:after="0" w:line="240" w:lineRule="auto"/>
        <w:ind w:left="0"/>
        <w:rPr>
          <w:rFonts w:ascii="Times New Roman" w:eastAsia="Times New Roman" w:hAnsi="Times New Roman" w:cs="Times New Roman"/>
          <w:b/>
          <w:color w:val="000000"/>
          <w:sz w:val="24"/>
          <w:szCs w:val="24"/>
        </w:rPr>
      </w:pPr>
      <w:r w:rsidRPr="00E06694">
        <w:rPr>
          <w:rFonts w:ascii="Times New Roman" w:eastAsia="Times New Roman" w:hAnsi="Times New Roman" w:cs="Times New Roman"/>
          <w:b/>
          <w:color w:val="000000"/>
          <w:sz w:val="24"/>
          <w:szCs w:val="24"/>
        </w:rPr>
        <w:t>Introduction</w:t>
      </w:r>
    </w:p>
    <w:p w14:paraId="1EB02331" w14:textId="77777777" w:rsidR="00B17B1A" w:rsidRPr="00E06694" w:rsidRDefault="00B17B1A" w:rsidP="00EF3729">
      <w:pPr>
        <w:spacing w:after="0" w:line="240" w:lineRule="auto"/>
        <w:ind w:left="0" w:firstLine="567"/>
        <w:rPr>
          <w:rFonts w:ascii="Times New Roman" w:eastAsia="Times New Roman" w:hAnsi="Times New Roman" w:cs="Times New Roman"/>
          <w:color w:val="000000"/>
          <w:sz w:val="24"/>
          <w:szCs w:val="24"/>
        </w:rPr>
      </w:pPr>
    </w:p>
    <w:p w14:paraId="2DD02870" w14:textId="365A00DA" w:rsidR="00443F1F" w:rsidRPr="00E06694" w:rsidRDefault="004D332A" w:rsidP="00B17B1A">
      <w:pPr>
        <w:spacing w:after="0" w:line="240" w:lineRule="auto"/>
        <w:ind w:left="0" w:firstLine="567"/>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Bolivia produced a total of 82,786</w:t>
      </w:r>
      <w:r w:rsidR="002412EC"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t</w:t>
      </w:r>
      <w:r w:rsidR="002412EC" w:rsidRPr="00E06694">
        <w:rPr>
          <w:rFonts w:ascii="Times New Roman" w:eastAsia="Times New Roman" w:hAnsi="Times New Roman" w:cs="Times New Roman"/>
          <w:color w:val="000000"/>
          <w:sz w:val="24"/>
          <w:szCs w:val="24"/>
        </w:rPr>
        <w:t>ons</w:t>
      </w:r>
      <w:r w:rsidRPr="00E06694">
        <w:rPr>
          <w:rFonts w:ascii="Times New Roman" w:eastAsia="Times New Roman" w:hAnsi="Times New Roman" w:cs="Times New Roman"/>
          <w:color w:val="000000"/>
          <w:sz w:val="24"/>
          <w:szCs w:val="24"/>
        </w:rPr>
        <w:t xml:space="preserve"> of carrots on 6,153</w:t>
      </w:r>
      <w:r w:rsidR="002412EC"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ha, achieving an average yield of 13.45</w:t>
      </w:r>
      <w:r w:rsidR="002412EC"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t</w:t>
      </w:r>
      <w:r w:rsidR="002412EC"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ha</w:t>
      </w:r>
      <w:r w:rsidR="002412EC" w:rsidRPr="00E06694">
        <w:rPr>
          <w:rFonts w:ascii="Times New Roman" w:eastAsia="Times New Roman" w:hAnsi="Times New Roman" w:cs="Times New Roman"/>
          <w:color w:val="000000"/>
          <w:sz w:val="24"/>
          <w:szCs w:val="24"/>
          <w:vertAlign w:val="superscript"/>
        </w:rPr>
        <w:t>-1</w:t>
      </w:r>
      <w:r w:rsidRPr="00E06694">
        <w:rPr>
          <w:rFonts w:ascii="Times New Roman" w:eastAsia="Times New Roman" w:hAnsi="Times New Roman" w:cs="Times New Roman"/>
          <w:color w:val="000000"/>
          <w:sz w:val="24"/>
          <w:szCs w:val="24"/>
        </w:rPr>
        <w:t>. Cochabamba led national production, accounting for 56.75% (46,985</w:t>
      </w:r>
      <w:r w:rsidR="002412EC"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t) on 3,059</w:t>
      </w:r>
      <w:r w:rsidR="00443F1F"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ha and attaining an average yield of 15.35</w:t>
      </w:r>
      <w:r w:rsidR="00443F1F" w:rsidRPr="00E06694">
        <w:rPr>
          <w:rFonts w:ascii="Times New Roman" w:eastAsia="Times New Roman" w:hAnsi="Times New Roman" w:cs="Times New Roman"/>
          <w:color w:val="000000"/>
          <w:sz w:val="24"/>
          <w:szCs w:val="24"/>
        </w:rPr>
        <w:t xml:space="preserve"> t ha</w:t>
      </w:r>
      <w:r w:rsidR="00443F1F" w:rsidRPr="00E06694">
        <w:rPr>
          <w:rFonts w:ascii="Times New Roman" w:eastAsia="Times New Roman" w:hAnsi="Times New Roman" w:cs="Times New Roman"/>
          <w:color w:val="000000"/>
          <w:sz w:val="24"/>
          <w:szCs w:val="24"/>
          <w:vertAlign w:val="superscript"/>
        </w:rPr>
        <w:t>-1</w:t>
      </w:r>
      <w:r w:rsidRPr="00E06694">
        <w:rPr>
          <w:rFonts w:ascii="Times New Roman" w:eastAsia="Times New Roman" w:hAnsi="Times New Roman" w:cs="Times New Roman"/>
          <w:color w:val="000000"/>
          <w:sz w:val="24"/>
          <w:szCs w:val="24"/>
        </w:rPr>
        <w:t xml:space="preserve"> </w:t>
      </w:r>
      <w:r w:rsidR="002B3C38">
        <w:rPr>
          <w:rFonts w:ascii="Times New Roman" w:eastAsia="Times New Roman" w:hAnsi="Times New Roman" w:cs="Times New Roman"/>
          <w:color w:val="000000"/>
          <w:sz w:val="24"/>
          <w:szCs w:val="24"/>
        </w:rPr>
        <w:t>d</w:t>
      </w:r>
      <w:r w:rsidR="002B3C38" w:rsidRPr="00E06694">
        <w:rPr>
          <w:rFonts w:ascii="Times New Roman" w:eastAsia="Times New Roman" w:hAnsi="Times New Roman" w:cs="Times New Roman"/>
          <w:color w:val="000000"/>
          <w:sz w:val="24"/>
          <w:szCs w:val="24"/>
        </w:rPr>
        <w:t xml:space="preserve">uring </w:t>
      </w:r>
      <w:r w:rsidR="002B3C38" w:rsidRPr="00CC5753">
        <w:rPr>
          <w:rFonts w:ascii="Times New Roman" w:eastAsia="Times New Roman" w:hAnsi="Times New Roman" w:cs="Times New Roman"/>
          <w:strike/>
          <w:color w:val="000000"/>
          <w:sz w:val="24"/>
          <w:szCs w:val="24"/>
        </w:rPr>
        <w:t>the</w:t>
      </w:r>
      <w:r w:rsidR="002B3C38" w:rsidRPr="00E06694">
        <w:rPr>
          <w:rFonts w:ascii="Times New Roman" w:eastAsia="Times New Roman" w:hAnsi="Times New Roman" w:cs="Times New Roman"/>
          <w:color w:val="000000"/>
          <w:sz w:val="24"/>
          <w:szCs w:val="24"/>
        </w:rPr>
        <w:t xml:space="preserve"> 2023-24 growing season</w:t>
      </w:r>
      <w:r w:rsidR="002B3C38"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(N</w:t>
      </w:r>
      <w:r w:rsidR="00064BCC" w:rsidRPr="00E06694">
        <w:rPr>
          <w:rFonts w:ascii="Times New Roman" w:eastAsia="Times New Roman" w:hAnsi="Times New Roman" w:cs="Times New Roman"/>
          <w:color w:val="000000"/>
          <w:sz w:val="24"/>
          <w:szCs w:val="24"/>
        </w:rPr>
        <w:t>IS</w:t>
      </w:r>
      <w:r w:rsidRPr="00E06694">
        <w:rPr>
          <w:rFonts w:ascii="Times New Roman" w:eastAsia="Times New Roman" w:hAnsi="Times New Roman" w:cs="Times New Roman"/>
          <w:color w:val="000000"/>
          <w:sz w:val="24"/>
          <w:szCs w:val="24"/>
        </w:rPr>
        <w:t>, 2025). To support this industry, the National Institute for Agricultural and Forestry Innovation (INIAF) has registered high</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yield, high</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quality carrot cultivars</w:t>
      </w:r>
      <w:r w:rsidR="006A16BE" w:rsidRPr="00E06694">
        <w:rPr>
          <w:rFonts w:ascii="Times New Roman" w:eastAsia="Times New Roman" w:hAnsi="Times New Roman" w:cs="Times New Roman"/>
          <w:color w:val="000000"/>
          <w:sz w:val="24"/>
          <w:szCs w:val="24"/>
        </w:rPr>
        <w:t xml:space="preserve"> - </w:t>
      </w:r>
      <w:r w:rsidRPr="00E06694">
        <w:rPr>
          <w:rFonts w:ascii="Times New Roman" w:eastAsia="Times New Roman" w:hAnsi="Times New Roman" w:cs="Times New Roman"/>
          <w:color w:val="000000"/>
          <w:sz w:val="24"/>
          <w:szCs w:val="24"/>
        </w:rPr>
        <w:t>such as Montenegro</w:t>
      </w:r>
      <w:r w:rsidR="00D90B52"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1 and INIAF Larga Vida</w:t>
      </w:r>
      <w:r w:rsidR="006A16BE" w:rsidRPr="00E06694">
        <w:rPr>
          <w:rFonts w:ascii="Times New Roman" w:eastAsia="Times New Roman" w:hAnsi="Times New Roman" w:cs="Times New Roman"/>
          <w:color w:val="000000"/>
          <w:sz w:val="24"/>
          <w:szCs w:val="24"/>
        </w:rPr>
        <w:t xml:space="preserve"> </w:t>
      </w:r>
      <w:commentRangeStart w:id="0"/>
      <w:r w:rsidR="006A16BE" w:rsidRPr="00E06694">
        <w:rPr>
          <w:rFonts w:ascii="Times New Roman" w:eastAsia="Times New Roman" w:hAnsi="Times New Roman" w:cs="Times New Roman"/>
          <w:color w:val="000000"/>
          <w:sz w:val="24"/>
          <w:szCs w:val="24"/>
        </w:rPr>
        <w:t>-</w:t>
      </w:r>
      <w:commentRangeEnd w:id="0"/>
      <w:r w:rsidR="002B3C38">
        <w:rPr>
          <w:rStyle w:val="CommentReference"/>
        </w:rPr>
        <w:commentReference w:id="0"/>
      </w:r>
      <w:r w:rsidR="006A16BE"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 xml:space="preserve">adapted to Bolivia’s varied agroecological zones, including </w:t>
      </w:r>
      <w:r w:rsidRPr="00CC5753">
        <w:rPr>
          <w:rFonts w:ascii="Times New Roman" w:eastAsia="Times New Roman" w:hAnsi="Times New Roman" w:cs="Times New Roman"/>
          <w:strike/>
          <w:color w:val="000000"/>
          <w:sz w:val="24"/>
          <w:szCs w:val="24"/>
        </w:rPr>
        <w:t xml:space="preserve">the </w:t>
      </w:r>
      <w:r w:rsidRPr="00E06694">
        <w:rPr>
          <w:rFonts w:ascii="Times New Roman" w:eastAsia="Times New Roman" w:hAnsi="Times New Roman" w:cs="Times New Roman"/>
          <w:color w:val="000000"/>
          <w:sz w:val="24"/>
          <w:szCs w:val="24"/>
        </w:rPr>
        <w:t>valleys, mesothermal valleys, and Altiplano (INIAF, 2024).</w:t>
      </w:r>
    </w:p>
    <w:p w14:paraId="7B6A6BDA" w14:textId="4E76D055" w:rsidR="00617C11" w:rsidRPr="00E06694" w:rsidRDefault="004D332A" w:rsidP="00B17B1A">
      <w:pPr>
        <w:spacing w:after="0" w:line="240" w:lineRule="auto"/>
        <w:ind w:left="0" w:firstLine="567"/>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Numerous studies have demonstrated that raised</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bed cultivation enhances soil drainage (Sayre &amp; Moreno, 1997</w:t>
      </w:r>
      <w:r w:rsidR="004C6329" w:rsidRPr="00E06694">
        <w:rPr>
          <w:rFonts w:ascii="Times New Roman" w:eastAsia="Times New Roman" w:hAnsi="Times New Roman" w:cs="Times New Roman"/>
          <w:color w:val="000000"/>
          <w:sz w:val="24"/>
          <w:szCs w:val="24"/>
        </w:rPr>
        <w:t>; Takeshima et al., 2023</w:t>
      </w:r>
      <w:r w:rsidRPr="00E06694">
        <w:rPr>
          <w:rFonts w:ascii="Times New Roman" w:eastAsia="Times New Roman" w:hAnsi="Times New Roman" w:cs="Times New Roman"/>
          <w:color w:val="000000"/>
          <w:sz w:val="24"/>
          <w:szCs w:val="24"/>
        </w:rPr>
        <w:t>), lo</w:t>
      </w:r>
      <w:r w:rsidR="006A2639" w:rsidRPr="00E06694">
        <w:rPr>
          <w:rFonts w:ascii="Times New Roman" w:eastAsia="Times New Roman" w:hAnsi="Times New Roman" w:cs="Times New Roman"/>
          <w:color w:val="000000"/>
          <w:sz w:val="24"/>
          <w:szCs w:val="24"/>
        </w:rPr>
        <w:t>wers soil moisture content (Jat</w:t>
      </w:r>
      <w:r w:rsidRPr="00E06694">
        <w:rPr>
          <w:rFonts w:ascii="Times New Roman" w:eastAsia="Times New Roman" w:hAnsi="Times New Roman" w:cs="Times New Roman"/>
          <w:color w:val="000000"/>
          <w:sz w:val="24"/>
          <w:szCs w:val="24"/>
        </w:rPr>
        <w:t xml:space="preserve"> et al., 2011), and promotes robust root establishment and development (Zhang et al., 2012</w:t>
      </w:r>
      <w:r w:rsidR="002A22A7" w:rsidRPr="00E06694">
        <w:rPr>
          <w:rFonts w:ascii="Times New Roman" w:eastAsia="Times New Roman" w:hAnsi="Times New Roman" w:cs="Times New Roman"/>
          <w:color w:val="000000"/>
          <w:sz w:val="24"/>
          <w:szCs w:val="24"/>
        </w:rPr>
        <w:t>; Blake &amp; Dunn, 2021</w:t>
      </w:r>
      <w:r w:rsidRPr="00E06694">
        <w:rPr>
          <w:rFonts w:ascii="Times New Roman" w:eastAsia="Times New Roman" w:hAnsi="Times New Roman" w:cs="Times New Roman"/>
          <w:color w:val="000000"/>
          <w:sz w:val="24"/>
          <w:szCs w:val="24"/>
        </w:rPr>
        <w:t>). By facilitating runoff and preventing waterlogging (Du et al., 2021), raised beds create favorable conditions for plant growth. Nonetheless, the specific effects of raised</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bed systems on carrot performance in Cochabamba have not been evaluated to date.</w:t>
      </w:r>
    </w:p>
    <w:p w14:paraId="4B0E5922" w14:textId="004AAE71" w:rsidR="00C3210A" w:rsidRPr="00E06694" w:rsidRDefault="004D332A" w:rsidP="00B17B1A">
      <w:pPr>
        <w:spacing w:after="0" w:line="240" w:lineRule="auto"/>
        <w:ind w:left="0" w:firstLine="567"/>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Environmental factors and seasonal climate patterns critically influence crop performance</w:t>
      </w:r>
      <w:r w:rsidR="00426326" w:rsidRPr="00E06694">
        <w:rPr>
          <w:rFonts w:ascii="Times New Roman" w:eastAsia="Times New Roman" w:hAnsi="Times New Roman" w:cs="Times New Roman"/>
          <w:color w:val="000000"/>
          <w:sz w:val="24"/>
          <w:szCs w:val="24"/>
        </w:rPr>
        <w:t xml:space="preserve"> (</w:t>
      </w:r>
      <w:r w:rsidR="00426326" w:rsidRPr="00E06694">
        <w:rPr>
          <w:rFonts w:ascii="Times New Roman" w:hAnsi="Times New Roman" w:cs="Times New Roman"/>
          <w:sz w:val="24"/>
          <w:szCs w:val="24"/>
          <w:lang w:val="en-US"/>
        </w:rPr>
        <w:t>Canedo‑Rosso et al., 2021)</w:t>
      </w:r>
      <w:r w:rsidRPr="00E06694">
        <w:rPr>
          <w:rFonts w:ascii="Times New Roman" w:eastAsia="Times New Roman" w:hAnsi="Times New Roman" w:cs="Times New Roman"/>
          <w:color w:val="000000"/>
          <w:sz w:val="24"/>
          <w:szCs w:val="24"/>
        </w:rPr>
        <w:t>, dictating optimal sowing dates (García de Souza et al., 2012), the duration of developmental phases</w:t>
      </w:r>
      <w:r w:rsidR="00982811" w:rsidRPr="00E06694">
        <w:rPr>
          <w:rFonts w:ascii="Times New Roman" w:eastAsia="Times New Roman" w:hAnsi="Times New Roman" w:cs="Times New Roman"/>
          <w:color w:val="000000"/>
          <w:sz w:val="24"/>
          <w:szCs w:val="24"/>
        </w:rPr>
        <w:t xml:space="preserve"> (Godwin et al., 2023)</w:t>
      </w:r>
      <w:r w:rsidRPr="00E06694">
        <w:rPr>
          <w:rFonts w:ascii="Times New Roman" w:eastAsia="Times New Roman" w:hAnsi="Times New Roman" w:cs="Times New Roman"/>
          <w:color w:val="000000"/>
          <w:sz w:val="24"/>
          <w:szCs w:val="24"/>
        </w:rPr>
        <w:t>, and market</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 xml:space="preserve">supply windows (Abbott &amp; </w:t>
      </w:r>
      <w:proofErr w:type="spellStart"/>
      <w:r w:rsidRPr="00E06694">
        <w:rPr>
          <w:rFonts w:ascii="Times New Roman" w:eastAsia="Times New Roman" w:hAnsi="Times New Roman" w:cs="Times New Roman"/>
          <w:color w:val="000000"/>
          <w:sz w:val="24"/>
          <w:szCs w:val="24"/>
        </w:rPr>
        <w:t>Pistorale</w:t>
      </w:r>
      <w:proofErr w:type="spellEnd"/>
      <w:r w:rsidRPr="00E06694">
        <w:rPr>
          <w:rFonts w:ascii="Times New Roman" w:eastAsia="Times New Roman" w:hAnsi="Times New Roman" w:cs="Times New Roman"/>
          <w:color w:val="000000"/>
          <w:sz w:val="24"/>
          <w:szCs w:val="24"/>
        </w:rPr>
        <w:t>, 2011). Because genotype responses vary across environments (Alejos et al., 2006), annual evaluation under diverse conditions is necessary to capture this variability (Camargo et al., 2011). In the context of global climate change</w:t>
      </w:r>
      <w:r w:rsidR="009D787F" w:rsidRPr="00E06694">
        <w:rPr>
          <w:rFonts w:ascii="Times New Roman" w:eastAsia="Times New Roman" w:hAnsi="Times New Roman" w:cs="Times New Roman"/>
          <w:color w:val="000000"/>
          <w:sz w:val="24"/>
          <w:szCs w:val="24"/>
        </w:rPr>
        <w:t xml:space="preserve"> - </w:t>
      </w:r>
      <w:r w:rsidRPr="00E06694">
        <w:rPr>
          <w:rFonts w:ascii="Times New Roman" w:eastAsia="Times New Roman" w:hAnsi="Times New Roman" w:cs="Times New Roman"/>
          <w:color w:val="000000"/>
          <w:sz w:val="24"/>
          <w:szCs w:val="24"/>
        </w:rPr>
        <w:t>which has increasingly impacted Bolivian agriculture over the past two decades</w:t>
      </w:r>
      <w:r w:rsidR="009D787F" w:rsidRPr="00E06694">
        <w:rPr>
          <w:rFonts w:ascii="Times New Roman" w:eastAsia="Times New Roman" w:hAnsi="Times New Roman" w:cs="Times New Roman"/>
          <w:color w:val="000000"/>
          <w:sz w:val="24"/>
          <w:szCs w:val="24"/>
        </w:rPr>
        <w:t xml:space="preserve"> - </w:t>
      </w:r>
      <w:r w:rsidRPr="00E06694">
        <w:rPr>
          <w:rFonts w:ascii="Times New Roman" w:eastAsia="Times New Roman" w:hAnsi="Times New Roman" w:cs="Times New Roman"/>
          <w:color w:val="000000"/>
          <w:sz w:val="24"/>
          <w:szCs w:val="24"/>
        </w:rPr>
        <w:t>it is imperative to assess existing carrot varieties under innovative management practices.</w:t>
      </w:r>
    </w:p>
    <w:p w14:paraId="13BA4BEA" w14:textId="3DFD9069" w:rsidR="004D332A" w:rsidRPr="00E06694" w:rsidRDefault="004D332A" w:rsidP="00B17B1A">
      <w:pPr>
        <w:spacing w:after="0" w:line="240" w:lineRule="auto"/>
        <w:ind w:left="0" w:firstLine="567"/>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The objective of this study was to evaluate the agronomic performance of the Altiplano, Montenegro</w:t>
      </w:r>
      <w:r w:rsidR="00D90B52" w:rsidRPr="00E06694">
        <w:rPr>
          <w:rFonts w:ascii="Times New Roman" w:eastAsia="Times New Roman" w:hAnsi="Times New Roman" w:cs="Times New Roman"/>
          <w:color w:val="000000"/>
          <w:sz w:val="24"/>
          <w:szCs w:val="24"/>
        </w:rPr>
        <w:t xml:space="preserve"> </w:t>
      </w:r>
      <w:r w:rsidRPr="00E06694">
        <w:rPr>
          <w:rFonts w:ascii="Times New Roman" w:eastAsia="Times New Roman" w:hAnsi="Times New Roman" w:cs="Times New Roman"/>
          <w:color w:val="000000"/>
          <w:sz w:val="24"/>
          <w:szCs w:val="24"/>
        </w:rPr>
        <w:t>1, and INIAF Larga Vida carrot cultivars under a raised</w:t>
      </w:r>
      <w:r w:rsidR="003B37C2"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 w:val="24"/>
          <w:szCs w:val="24"/>
        </w:rPr>
        <w:t xml:space="preserve">bed planting system at two Cochabamba locations. By integrating raised beds with these genotypes, we aim to identify </w:t>
      </w:r>
      <w:r w:rsidRPr="00E06694">
        <w:rPr>
          <w:rFonts w:ascii="Times New Roman" w:eastAsia="Times New Roman" w:hAnsi="Times New Roman" w:cs="Times New Roman"/>
          <w:color w:val="000000"/>
          <w:sz w:val="24"/>
          <w:szCs w:val="24"/>
        </w:rPr>
        <w:lastRenderedPageBreak/>
        <w:t>management strategies that optimize carrot productivity, promote sustainable agricultural practices, and mitigate the challenges posed by climate change and traditional cultivation methods.</w:t>
      </w:r>
    </w:p>
    <w:p w14:paraId="1BAA3FF9" w14:textId="77777777" w:rsidR="004D332A" w:rsidRPr="00E06694" w:rsidRDefault="004D332A" w:rsidP="00B17B1A">
      <w:pPr>
        <w:spacing w:after="0" w:line="240" w:lineRule="auto"/>
        <w:ind w:left="0" w:firstLine="567"/>
        <w:rPr>
          <w:rFonts w:ascii="Times New Roman" w:eastAsia="Times New Roman" w:hAnsi="Times New Roman" w:cs="Times New Roman"/>
          <w:color w:val="000000"/>
          <w:sz w:val="24"/>
          <w:szCs w:val="24"/>
        </w:rPr>
      </w:pPr>
    </w:p>
    <w:p w14:paraId="00F163EF" w14:textId="58030EB3" w:rsidR="00DB6809" w:rsidRPr="00E06694" w:rsidRDefault="00DB6809" w:rsidP="00DB6809">
      <w:pPr>
        <w:spacing w:after="0" w:line="240" w:lineRule="auto"/>
        <w:ind w:left="0"/>
        <w:rPr>
          <w:rFonts w:ascii="Times New Roman" w:eastAsia="Times New Roman" w:hAnsi="Times New Roman" w:cs="Times New Roman"/>
          <w:b/>
          <w:color w:val="000000"/>
          <w:sz w:val="24"/>
          <w:szCs w:val="24"/>
        </w:rPr>
      </w:pPr>
      <w:r w:rsidRPr="00E06694">
        <w:rPr>
          <w:rFonts w:ascii="Times New Roman" w:eastAsia="Times New Roman" w:hAnsi="Times New Roman" w:cs="Times New Roman"/>
          <w:b/>
          <w:color w:val="000000"/>
          <w:sz w:val="24"/>
          <w:szCs w:val="24"/>
        </w:rPr>
        <w:t>Material and Methods</w:t>
      </w:r>
    </w:p>
    <w:p w14:paraId="7EAC1920" w14:textId="2B4CED0B" w:rsidR="00DB6809" w:rsidRPr="00E06694" w:rsidRDefault="00DB6809" w:rsidP="00D159E3">
      <w:pPr>
        <w:spacing w:after="0" w:line="240" w:lineRule="auto"/>
        <w:ind w:left="0" w:firstLine="567"/>
        <w:rPr>
          <w:rFonts w:ascii="Times New Roman" w:eastAsia="Times New Roman" w:hAnsi="Times New Roman" w:cs="Times New Roman"/>
          <w:color w:val="000000"/>
          <w:sz w:val="24"/>
          <w:szCs w:val="24"/>
        </w:rPr>
      </w:pPr>
    </w:p>
    <w:p w14:paraId="4032D64D"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Description of the study areas</w:t>
      </w:r>
    </w:p>
    <w:p w14:paraId="7954306B" w14:textId="16FABD30" w:rsidR="00F90484" w:rsidRPr="00E06694" w:rsidRDefault="003D3841" w:rsidP="000E792C">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The study was conducted during the </w:t>
      </w:r>
      <w:commentRangeStart w:id="1"/>
      <w:r w:rsidRPr="00E06694">
        <w:rPr>
          <w:rFonts w:ascii="Times New Roman" w:eastAsia="Times New Roman" w:hAnsi="Times New Roman" w:cs="Times New Roman"/>
          <w:sz w:val="24"/>
          <w:szCs w:val="24"/>
        </w:rPr>
        <w:t>2022</w:t>
      </w:r>
      <w:commentRangeEnd w:id="1"/>
      <w:r w:rsidR="00CC5753">
        <w:rPr>
          <w:rStyle w:val="CommentReference"/>
        </w:rPr>
        <w:commentReference w:id="1"/>
      </w:r>
      <w:r w:rsidRPr="00E06694">
        <w:rPr>
          <w:rFonts w:ascii="Times New Roman" w:eastAsia="Times New Roman" w:hAnsi="Times New Roman" w:cs="Times New Roman"/>
          <w:sz w:val="24"/>
          <w:szCs w:val="24"/>
        </w:rPr>
        <w:t>-23 growing season in the agricultu</w:t>
      </w:r>
      <w:r w:rsidR="00F04CA0" w:rsidRPr="00E06694">
        <w:rPr>
          <w:rFonts w:ascii="Times New Roman" w:eastAsia="Times New Roman" w:hAnsi="Times New Roman" w:cs="Times New Roman"/>
          <w:sz w:val="24"/>
          <w:szCs w:val="24"/>
        </w:rPr>
        <w:t>ral unions of Koari Alto (17°28’</w:t>
      </w:r>
      <w:r w:rsidRPr="00E06694">
        <w:rPr>
          <w:rFonts w:ascii="Times New Roman" w:eastAsia="Times New Roman" w:hAnsi="Times New Roman" w:cs="Times New Roman"/>
          <w:sz w:val="24"/>
          <w:szCs w:val="24"/>
        </w:rPr>
        <w:t>18.07</w:t>
      </w:r>
      <w:r w:rsidR="00F04CA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S, 65°34</w:t>
      </w:r>
      <w:r w:rsidR="00F04CA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46.76</w:t>
      </w:r>
      <w:r w:rsidR="00F04CA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W), located at 3,659</w:t>
      </w:r>
      <w:r w:rsidR="00F04CA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w:t>
      </w:r>
      <w:r w:rsidR="00F04CA0"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a.s.l</w:t>
      </w:r>
      <w:proofErr w:type="spellEnd"/>
      <w:r w:rsidRPr="00E06694">
        <w:rPr>
          <w:rFonts w:ascii="Times New Roman" w:eastAsia="Times New Roman" w:hAnsi="Times New Roman" w:cs="Times New Roman"/>
          <w:sz w:val="24"/>
          <w:szCs w:val="24"/>
        </w:rPr>
        <w:t>., with an annual temperature range of 4</w:t>
      </w:r>
      <w:r w:rsidR="00F04CA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17</w:t>
      </w:r>
      <w:r w:rsidR="00F04CA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°C and mean annual rainfall of 900</w:t>
      </w:r>
      <w:r w:rsidR="00F04CA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mm, and Koari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xml:space="preserve"> (17°27</w:t>
      </w:r>
      <w:r w:rsidR="00D11EBA"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28.38</w:t>
      </w:r>
      <w:r w:rsidR="00D11EBA"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S, 65°35</w:t>
      </w:r>
      <w:r w:rsidR="00D11EBA"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51.98</w:t>
      </w:r>
      <w:r w:rsidR="00D11EBA"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W), located at 3,862</w:t>
      </w:r>
      <w:r w:rsidR="00F04CA0"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ma.s.l</w:t>
      </w:r>
      <w:proofErr w:type="spellEnd"/>
      <w:r w:rsidRPr="00E06694">
        <w:rPr>
          <w:rFonts w:ascii="Times New Roman" w:eastAsia="Times New Roman" w:hAnsi="Times New Roman" w:cs="Times New Roman"/>
          <w:sz w:val="24"/>
          <w:szCs w:val="24"/>
        </w:rPr>
        <w:t>., with an annual temperature range of 2</w:t>
      </w:r>
      <w:r w:rsidR="00F04CA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15</w:t>
      </w:r>
      <w:r w:rsidR="00F04CA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°C and mean annual rainfall of 1,000</w:t>
      </w:r>
      <w:r w:rsidR="00F04CA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mm, in the municipality of </w:t>
      </w:r>
      <w:proofErr w:type="spellStart"/>
      <w:r w:rsidRPr="00E06694">
        <w:rPr>
          <w:rFonts w:ascii="Times New Roman" w:eastAsia="Times New Roman" w:hAnsi="Times New Roman" w:cs="Times New Roman"/>
          <w:sz w:val="24"/>
          <w:szCs w:val="24"/>
        </w:rPr>
        <w:t>Tiraque</w:t>
      </w:r>
      <w:proofErr w:type="spellEnd"/>
      <w:r w:rsidRPr="00E06694">
        <w:rPr>
          <w:rFonts w:ascii="Times New Roman" w:eastAsia="Times New Roman" w:hAnsi="Times New Roman" w:cs="Times New Roman"/>
          <w:sz w:val="24"/>
          <w:szCs w:val="24"/>
        </w:rPr>
        <w:t>, Cochabamba, Bolivia.</w:t>
      </w:r>
    </w:p>
    <w:p w14:paraId="2E8043F1" w14:textId="77777777" w:rsidR="003D3841" w:rsidRPr="00E06694" w:rsidRDefault="003D3841" w:rsidP="000E792C">
      <w:pPr>
        <w:spacing w:after="0" w:line="240" w:lineRule="auto"/>
        <w:ind w:left="0" w:firstLine="567"/>
        <w:rPr>
          <w:rFonts w:ascii="Times New Roman" w:eastAsia="Times New Roman" w:hAnsi="Times New Roman" w:cs="Times New Roman"/>
          <w:sz w:val="24"/>
          <w:szCs w:val="24"/>
        </w:rPr>
      </w:pPr>
    </w:p>
    <w:p w14:paraId="2DD28104"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Experimental materials, treatments and experimental design</w:t>
      </w:r>
    </w:p>
    <w:p w14:paraId="5AA20D1D" w14:textId="4399D5F3" w:rsidR="00CC62B4" w:rsidRPr="00E06694" w:rsidRDefault="00CC62B4" w:rsidP="000E792C">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In both locations</w:t>
      </w:r>
      <w:r w:rsidR="00E72020"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each represented by an agricultural union</w:t>
      </w:r>
      <w:r w:rsidR="00E72020"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three carrot varieties (Altiplano, INIAF Larga Vida, and Montenegro</w:t>
      </w:r>
      <w:r w:rsidR="00D90B52"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1) were evaluated under two cultivation systems: raised beds and the traditional local system, yielding six experimental treatments. The local variety grown under traditional practices served as the control.</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At both sites, a four‑replicate generalized row</w:t>
      </w:r>
      <w:r w:rsidR="00E72020"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 xml:space="preserve">column design was used. For the traditional system, each experimental unit was </w:t>
      </w:r>
      <w:r w:rsidRPr="00CC5753">
        <w:rPr>
          <w:rFonts w:ascii="Times New Roman" w:eastAsia="Times New Roman" w:hAnsi="Times New Roman" w:cs="Times New Roman"/>
          <w:strike/>
          <w:sz w:val="24"/>
          <w:szCs w:val="24"/>
        </w:rPr>
        <w:t>a</w:t>
      </w:r>
      <w:r w:rsidRPr="00E06694">
        <w:rPr>
          <w:rFonts w:ascii="Times New Roman" w:eastAsia="Times New Roman" w:hAnsi="Times New Roman" w:cs="Times New Roman"/>
          <w:sz w:val="24"/>
          <w:szCs w:val="24"/>
        </w:rPr>
        <w:t xml:space="preserve"> 15</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w:t>
      </w:r>
      <w:r w:rsidR="009D3297" w:rsidRPr="00E06694">
        <w:rPr>
          <w:rFonts w:ascii="Times New Roman" w:eastAsia="Times New Roman" w:hAnsi="Times New Roman" w:cs="Times New Roman"/>
          <w:sz w:val="24"/>
          <w:szCs w:val="24"/>
          <w:vertAlign w:val="superscript"/>
        </w:rPr>
        <w:t>2</w:t>
      </w:r>
      <w:r w:rsidRPr="00E06694">
        <w:rPr>
          <w:rFonts w:ascii="Times New Roman" w:eastAsia="Times New Roman" w:hAnsi="Times New Roman" w:cs="Times New Roman"/>
          <w:sz w:val="24"/>
          <w:szCs w:val="24"/>
        </w:rPr>
        <w:t xml:space="preserve"> plot (3</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5</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 For the raised‑bed system, each experimental unit comprised three beds, each 5m long. Raised beds were manually shaped with a trapezoidal cross‑section, measuring 0.40m at the crown, 0.75</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 at the base, and 0.3</w:t>
      </w:r>
      <w:r w:rsidR="00E72020"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 in height.</w:t>
      </w:r>
    </w:p>
    <w:p w14:paraId="008CB1AB" w14:textId="70FBF597" w:rsidR="00CC62B4" w:rsidRPr="00E06694" w:rsidRDefault="00CC62B4" w:rsidP="000E792C">
      <w:pPr>
        <w:spacing w:after="0" w:line="240" w:lineRule="auto"/>
        <w:ind w:left="0" w:firstLine="567"/>
        <w:rPr>
          <w:rFonts w:ascii="Times New Roman" w:eastAsia="Times New Roman" w:hAnsi="Times New Roman" w:cs="Times New Roman"/>
          <w:sz w:val="24"/>
          <w:szCs w:val="24"/>
        </w:rPr>
      </w:pPr>
    </w:p>
    <w:p w14:paraId="10D05C13"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Experimental procedure</w:t>
      </w:r>
    </w:p>
    <w:p w14:paraId="1F5F3E56" w14:textId="2BD1594A" w:rsidR="00C11344" w:rsidRPr="00E06694" w:rsidRDefault="00B32A2F" w:rsidP="000E792C">
      <w:pPr>
        <w:spacing w:after="0" w:line="240" w:lineRule="auto"/>
        <w:ind w:left="0" w:firstLine="567"/>
        <w:rPr>
          <w:rFonts w:ascii="Times New Roman" w:eastAsia="Times New Roman" w:hAnsi="Times New Roman" w:cs="Times New Roman"/>
          <w:sz w:val="24"/>
          <w:szCs w:val="20"/>
        </w:rPr>
      </w:pPr>
      <w:r w:rsidRPr="00E06694">
        <w:rPr>
          <w:rFonts w:ascii="Times New Roman" w:eastAsia="Times New Roman" w:hAnsi="Times New Roman" w:cs="Times New Roman"/>
          <w:sz w:val="24"/>
          <w:szCs w:val="24"/>
        </w:rPr>
        <w:t>The experimental plots were prepared following local farmer practice: soil was turned with a disc plow mounted on a 70‑hp Massey</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Ferguson tractor to a depth of </w:t>
      </w:r>
      <w:r w:rsidR="009F1DF4" w:rsidRPr="00E06694">
        <w:rPr>
          <w:rFonts w:ascii="Times New Roman" w:eastAsia="Times New Roman" w:hAnsi="Times New Roman" w:cs="Times New Roman"/>
          <w:sz w:val="24"/>
          <w:szCs w:val="24"/>
        </w:rPr>
        <w:t>0,</w:t>
      </w:r>
      <w:r w:rsidRPr="00E06694">
        <w:rPr>
          <w:rFonts w:ascii="Times New Roman" w:eastAsia="Times New Roman" w:hAnsi="Times New Roman" w:cs="Times New Roman"/>
          <w:sz w:val="24"/>
          <w:szCs w:val="24"/>
        </w:rPr>
        <w:t>3</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 one month before sowing (July</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1,</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2022 in Koari</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Alto; August</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3,</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2022 in Koari</w:t>
      </w:r>
      <w:r w:rsidR="009F1DF4"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Two days before sowing, each plot was harrowed, and raised beds were manually shaped in the designated units.</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Sowing occurred on August</w:t>
      </w:r>
      <w:r w:rsidR="00227DEA"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1,</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2022 in Koari</w:t>
      </w:r>
      <w:r w:rsidR="009F1DF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Alto and September</w:t>
      </w:r>
      <w:r w:rsidR="00CC5753">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1,</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2022 in Koari</w:t>
      </w:r>
      <w:r w:rsidR="009F1DF4"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In the traditional system, seed was broadcast at 6</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g per experimental unit and lightly raked into the soil. In the raised‑bed system, three furrows were opened per bed (0.</w:t>
      </w:r>
      <w:r w:rsidR="00C11344" w:rsidRPr="00E06694">
        <w:rPr>
          <w:rFonts w:ascii="Times New Roman" w:eastAsia="Times New Roman" w:hAnsi="Times New Roman" w:cs="Times New Roman"/>
          <w:sz w:val="24"/>
          <w:szCs w:val="24"/>
        </w:rPr>
        <w:t>0</w:t>
      </w:r>
      <w:r w:rsidRPr="00E06694">
        <w:rPr>
          <w:rFonts w:ascii="Times New Roman" w:eastAsia="Times New Roman" w:hAnsi="Times New Roman" w:cs="Times New Roman"/>
          <w:sz w:val="24"/>
          <w:szCs w:val="24"/>
        </w:rPr>
        <w:t>5</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 deep) with a sharp stake; 3.75</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g of seed were placed per unit and the furrows manually closed. The first irrigation followed immediately after sowing.</w:t>
      </w:r>
      <w:r w:rsidR="00626D8A" w:rsidRPr="00E06694">
        <w:rPr>
          <w:rFonts w:ascii="Times New Roman" w:eastAsia="Times New Roman" w:hAnsi="Times New Roman" w:cs="Times New Roman"/>
          <w:sz w:val="24"/>
          <w:szCs w:val="24"/>
        </w:rPr>
        <w:t xml:space="preserve"> The </w:t>
      </w:r>
      <w:r w:rsidR="00626D8A" w:rsidRPr="00E06694">
        <w:rPr>
          <w:rFonts w:ascii="Times New Roman" w:eastAsia="Times New Roman" w:hAnsi="Times New Roman" w:cs="Times New Roman"/>
          <w:sz w:val="24"/>
          <w:szCs w:val="20"/>
        </w:rPr>
        <w:t xml:space="preserve">agronomic characterization of the treatments </w:t>
      </w:r>
      <w:commentRangeStart w:id="2"/>
      <w:proofErr w:type="gramStart"/>
      <w:r w:rsidR="00626D8A" w:rsidRPr="00E06694">
        <w:rPr>
          <w:rFonts w:ascii="Times New Roman" w:eastAsia="Times New Roman" w:hAnsi="Times New Roman" w:cs="Times New Roman"/>
          <w:sz w:val="24"/>
          <w:szCs w:val="20"/>
        </w:rPr>
        <w:t>are</w:t>
      </w:r>
      <w:commentRangeEnd w:id="2"/>
      <w:proofErr w:type="gramEnd"/>
      <w:r w:rsidR="00CC5753">
        <w:rPr>
          <w:rStyle w:val="CommentReference"/>
        </w:rPr>
        <w:commentReference w:id="2"/>
      </w:r>
      <w:r w:rsidR="00626D8A" w:rsidRPr="00E06694">
        <w:rPr>
          <w:rFonts w:ascii="Times New Roman" w:eastAsia="Times New Roman" w:hAnsi="Times New Roman" w:cs="Times New Roman"/>
          <w:sz w:val="24"/>
          <w:szCs w:val="20"/>
        </w:rPr>
        <w:t xml:space="preserve"> presented in Table 1.</w:t>
      </w:r>
    </w:p>
    <w:p w14:paraId="42F04613" w14:textId="16BD0CE3" w:rsidR="00626D8A" w:rsidRPr="00E06694" w:rsidRDefault="00626D8A" w:rsidP="000E792C">
      <w:pPr>
        <w:spacing w:after="0" w:line="240" w:lineRule="auto"/>
        <w:ind w:left="0" w:firstLine="567"/>
        <w:rPr>
          <w:rFonts w:ascii="Times New Roman" w:eastAsia="Times New Roman" w:hAnsi="Times New Roman" w:cs="Times New Roman"/>
          <w:sz w:val="24"/>
          <w:szCs w:val="20"/>
        </w:rPr>
      </w:pPr>
    </w:p>
    <w:p w14:paraId="0D0B5922" w14:textId="77777777" w:rsidR="009B35A2" w:rsidRPr="00E06694" w:rsidRDefault="009B35A2" w:rsidP="009B35A2">
      <w:pPr>
        <w:spacing w:after="0" w:line="240" w:lineRule="auto"/>
        <w:ind w:left="0"/>
        <w:rPr>
          <w:rFonts w:ascii="Times New Roman" w:eastAsia="Times New Roman" w:hAnsi="Times New Roman" w:cs="Times New Roman"/>
          <w:sz w:val="24"/>
          <w:szCs w:val="20"/>
        </w:rPr>
      </w:pPr>
      <w:r w:rsidRPr="00E06694">
        <w:rPr>
          <w:rFonts w:ascii="Times New Roman" w:eastAsia="Times New Roman" w:hAnsi="Times New Roman" w:cs="Times New Roman"/>
          <w:b/>
          <w:sz w:val="24"/>
          <w:szCs w:val="20"/>
        </w:rPr>
        <w:t>Table 1.</w:t>
      </w:r>
      <w:r w:rsidRPr="00E06694">
        <w:rPr>
          <w:rFonts w:ascii="Times New Roman" w:eastAsia="Times New Roman" w:hAnsi="Times New Roman" w:cs="Times New Roman"/>
          <w:sz w:val="24"/>
          <w:szCs w:val="20"/>
        </w:rPr>
        <w:t xml:space="preserve"> Agronomic characterization of the treatments: planting dates, location, varieties, planting systems, planting density, and variety cycle.</w:t>
      </w:r>
    </w:p>
    <w:tbl>
      <w:tblPr>
        <w:tblStyle w:val="Style10"/>
        <w:tblW w:w="9450" w:type="dxa"/>
        <w:jc w:val="center"/>
        <w:tblInd w:w="0" w:type="dxa"/>
        <w:tblLayout w:type="fixed"/>
        <w:tblLook w:val="04A0" w:firstRow="1" w:lastRow="0" w:firstColumn="1" w:lastColumn="0" w:noHBand="0" w:noVBand="1"/>
      </w:tblPr>
      <w:tblGrid>
        <w:gridCol w:w="1488"/>
        <w:gridCol w:w="1489"/>
        <w:gridCol w:w="2126"/>
        <w:gridCol w:w="1560"/>
        <w:gridCol w:w="1617"/>
        <w:gridCol w:w="1170"/>
      </w:tblGrid>
      <w:tr w:rsidR="009B35A2" w:rsidRPr="00E06694" w14:paraId="0FB5ECA5" w14:textId="77777777" w:rsidTr="00DC79FF">
        <w:trPr>
          <w:trHeight w:val="300"/>
          <w:jc w:val="center"/>
        </w:trPr>
        <w:tc>
          <w:tcPr>
            <w:tcW w:w="1488" w:type="dxa"/>
            <w:tcBorders>
              <w:top w:val="single" w:sz="4" w:space="0" w:color="000000"/>
              <w:left w:val="nil"/>
              <w:bottom w:val="single" w:sz="4" w:space="0" w:color="000000"/>
              <w:right w:val="nil"/>
            </w:tcBorders>
            <w:vAlign w:val="center"/>
          </w:tcPr>
          <w:p w14:paraId="0767125F"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Sown date</w:t>
            </w:r>
          </w:p>
        </w:tc>
        <w:tc>
          <w:tcPr>
            <w:tcW w:w="1489" w:type="dxa"/>
            <w:tcBorders>
              <w:top w:val="single" w:sz="4" w:space="0" w:color="000000"/>
              <w:left w:val="nil"/>
              <w:bottom w:val="single" w:sz="4" w:space="0" w:color="000000"/>
              <w:right w:val="nil"/>
            </w:tcBorders>
            <w:vAlign w:val="center"/>
          </w:tcPr>
          <w:p w14:paraId="18386FA6"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Locality</w:t>
            </w:r>
          </w:p>
        </w:tc>
        <w:tc>
          <w:tcPr>
            <w:tcW w:w="2126" w:type="dxa"/>
            <w:tcBorders>
              <w:top w:val="single" w:sz="4" w:space="0" w:color="000000"/>
              <w:left w:val="nil"/>
              <w:bottom w:val="single" w:sz="4" w:space="0" w:color="000000"/>
              <w:right w:val="nil"/>
            </w:tcBorders>
            <w:vAlign w:val="center"/>
          </w:tcPr>
          <w:p w14:paraId="4820026E"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Variety</w:t>
            </w:r>
          </w:p>
        </w:tc>
        <w:tc>
          <w:tcPr>
            <w:tcW w:w="1560" w:type="dxa"/>
            <w:tcBorders>
              <w:top w:val="single" w:sz="4" w:space="0" w:color="000000"/>
              <w:left w:val="nil"/>
              <w:bottom w:val="single" w:sz="4" w:space="0" w:color="000000"/>
              <w:right w:val="nil"/>
            </w:tcBorders>
            <w:vAlign w:val="center"/>
          </w:tcPr>
          <w:p w14:paraId="0F0A089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Planting system</w:t>
            </w:r>
          </w:p>
        </w:tc>
        <w:tc>
          <w:tcPr>
            <w:tcW w:w="1617" w:type="dxa"/>
            <w:tcBorders>
              <w:top w:val="single" w:sz="4" w:space="0" w:color="000000"/>
              <w:left w:val="nil"/>
              <w:bottom w:val="single" w:sz="4" w:space="0" w:color="000000"/>
              <w:right w:val="nil"/>
            </w:tcBorders>
            <w:tcMar>
              <w:left w:w="0" w:type="dxa"/>
              <w:right w:w="0" w:type="dxa"/>
            </w:tcMar>
            <w:vAlign w:val="center"/>
          </w:tcPr>
          <w:p w14:paraId="0EF90990"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Cs w:val="24"/>
              </w:rPr>
            </w:pPr>
            <w:r w:rsidRPr="00E06694">
              <w:rPr>
                <w:rFonts w:ascii="Times New Roman" w:eastAsia="Times New Roman" w:hAnsi="Times New Roman" w:cs="Times New Roman"/>
                <w:color w:val="000000"/>
                <w:szCs w:val="24"/>
              </w:rPr>
              <w:t>Planting density</w:t>
            </w:r>
          </w:p>
          <w:p w14:paraId="02F09855"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w:t>
            </w:r>
            <w:r w:rsidRPr="00E06694">
              <w:rPr>
                <w:rFonts w:ascii="Times New Roman" w:eastAsia="Times New Roman" w:hAnsi="Times New Roman" w:cs="Times New Roman"/>
                <w:color w:val="000000"/>
                <w:szCs w:val="24"/>
              </w:rPr>
              <w:t>kg ha</w:t>
            </w:r>
            <w:r w:rsidRPr="00E06694">
              <w:rPr>
                <w:rFonts w:ascii="Times New Roman" w:eastAsia="Times New Roman" w:hAnsi="Times New Roman" w:cs="Times New Roman"/>
                <w:color w:val="000000"/>
                <w:szCs w:val="24"/>
                <w:vertAlign w:val="superscript"/>
              </w:rPr>
              <w:t>-1</w:t>
            </w:r>
            <w:r w:rsidRPr="00E06694">
              <w:rPr>
                <w:rFonts w:ascii="Times New Roman" w:eastAsia="Times New Roman" w:hAnsi="Times New Roman" w:cs="Times New Roman"/>
                <w:color w:val="000000"/>
                <w:sz w:val="24"/>
                <w:szCs w:val="24"/>
              </w:rPr>
              <w:t>)</w:t>
            </w:r>
          </w:p>
        </w:tc>
        <w:tc>
          <w:tcPr>
            <w:tcW w:w="1170" w:type="dxa"/>
            <w:tcBorders>
              <w:top w:val="single" w:sz="4" w:space="0" w:color="000000"/>
              <w:left w:val="nil"/>
              <w:bottom w:val="single" w:sz="4" w:space="0" w:color="000000"/>
              <w:right w:val="nil"/>
            </w:tcBorders>
            <w:vAlign w:val="center"/>
          </w:tcPr>
          <w:p w14:paraId="63109F23"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Cycle (days)</w:t>
            </w:r>
          </w:p>
        </w:tc>
      </w:tr>
      <w:tr w:rsidR="009B35A2" w:rsidRPr="00E06694" w14:paraId="3B7473F1" w14:textId="77777777" w:rsidTr="00DC79FF">
        <w:trPr>
          <w:trHeight w:val="300"/>
          <w:jc w:val="center"/>
        </w:trPr>
        <w:tc>
          <w:tcPr>
            <w:tcW w:w="1488" w:type="dxa"/>
            <w:vMerge w:val="restart"/>
            <w:tcBorders>
              <w:top w:val="single" w:sz="4" w:space="0" w:color="000000"/>
              <w:left w:val="nil"/>
              <w:bottom w:val="nil"/>
              <w:right w:val="nil"/>
            </w:tcBorders>
            <w:vAlign w:val="center"/>
          </w:tcPr>
          <w:p w14:paraId="514421C6" w14:textId="77777777" w:rsidR="009B35A2" w:rsidRPr="00E06694" w:rsidRDefault="009B35A2" w:rsidP="00DC79FF">
            <w:pPr>
              <w:spacing w:after="0" w:line="240" w:lineRule="auto"/>
              <w:ind w:left="0"/>
              <w:jc w:val="left"/>
              <w:rPr>
                <w:rFonts w:ascii="Times New Roman" w:eastAsia="Times New Roman" w:hAnsi="Times New Roman" w:cs="Times New Roman"/>
                <w:color w:val="000000"/>
                <w:sz w:val="24"/>
                <w:szCs w:val="24"/>
              </w:rPr>
            </w:pPr>
            <w:r w:rsidRPr="00E06694">
              <w:rPr>
                <w:rFonts w:ascii="Times New Roman" w:eastAsia="Times New Roman" w:hAnsi="Times New Roman" w:cs="Times New Roman"/>
                <w:sz w:val="24"/>
                <w:szCs w:val="24"/>
              </w:rPr>
              <w:t>0</w:t>
            </w:r>
            <w:r w:rsidRPr="00E06694">
              <w:rPr>
                <w:rFonts w:ascii="Times New Roman" w:eastAsia="Times New Roman" w:hAnsi="Times New Roman" w:cs="Times New Roman"/>
                <w:color w:val="000000"/>
                <w:sz w:val="24"/>
                <w:szCs w:val="24"/>
              </w:rPr>
              <w:t>8/08/2022</w:t>
            </w:r>
          </w:p>
        </w:tc>
        <w:tc>
          <w:tcPr>
            <w:tcW w:w="1489" w:type="dxa"/>
            <w:vMerge w:val="restart"/>
            <w:tcBorders>
              <w:top w:val="single" w:sz="4" w:space="0" w:color="000000"/>
              <w:left w:val="nil"/>
              <w:bottom w:val="nil"/>
              <w:right w:val="nil"/>
            </w:tcBorders>
            <w:vAlign w:val="center"/>
          </w:tcPr>
          <w:p w14:paraId="3DD08CB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Koari Alto</w:t>
            </w:r>
          </w:p>
        </w:tc>
        <w:tc>
          <w:tcPr>
            <w:tcW w:w="2126" w:type="dxa"/>
            <w:vMerge w:val="restart"/>
            <w:tcBorders>
              <w:top w:val="single" w:sz="4" w:space="0" w:color="000000"/>
              <w:left w:val="nil"/>
              <w:bottom w:val="nil"/>
              <w:right w:val="nil"/>
            </w:tcBorders>
            <w:vAlign w:val="center"/>
          </w:tcPr>
          <w:p w14:paraId="04B3E00B"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Altiplano</w:t>
            </w:r>
          </w:p>
        </w:tc>
        <w:tc>
          <w:tcPr>
            <w:tcW w:w="1560" w:type="dxa"/>
            <w:tcBorders>
              <w:top w:val="single" w:sz="4" w:space="0" w:color="000000"/>
              <w:left w:val="nil"/>
              <w:bottom w:val="nil"/>
              <w:right w:val="nil"/>
            </w:tcBorders>
            <w:vAlign w:val="center"/>
          </w:tcPr>
          <w:p w14:paraId="03A6AE03"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single" w:sz="4" w:space="0" w:color="000000"/>
              <w:left w:val="nil"/>
              <w:bottom w:val="nil"/>
              <w:right w:val="nil"/>
            </w:tcBorders>
            <w:vAlign w:val="center"/>
          </w:tcPr>
          <w:p w14:paraId="2C6E5C6B"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single" w:sz="4" w:space="0" w:color="000000"/>
              <w:left w:val="nil"/>
              <w:bottom w:val="nil"/>
              <w:right w:val="nil"/>
            </w:tcBorders>
            <w:vAlign w:val="center"/>
          </w:tcPr>
          <w:p w14:paraId="20DC389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180</w:t>
            </w:r>
          </w:p>
        </w:tc>
      </w:tr>
      <w:tr w:rsidR="009B35A2" w:rsidRPr="00E06694" w14:paraId="55DBDDE5" w14:textId="77777777" w:rsidTr="00DC79FF">
        <w:trPr>
          <w:trHeight w:val="300"/>
          <w:jc w:val="center"/>
        </w:trPr>
        <w:tc>
          <w:tcPr>
            <w:tcW w:w="1488" w:type="dxa"/>
            <w:vMerge/>
            <w:tcBorders>
              <w:top w:val="single" w:sz="4" w:space="0" w:color="000000"/>
              <w:left w:val="nil"/>
              <w:bottom w:val="nil"/>
              <w:right w:val="nil"/>
            </w:tcBorders>
            <w:vAlign w:val="center"/>
          </w:tcPr>
          <w:p w14:paraId="7D90B206"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vAlign w:val="center"/>
          </w:tcPr>
          <w:p w14:paraId="330A8957"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vMerge/>
            <w:tcBorders>
              <w:top w:val="single" w:sz="4" w:space="0" w:color="000000"/>
              <w:left w:val="nil"/>
              <w:bottom w:val="nil"/>
              <w:right w:val="nil"/>
            </w:tcBorders>
            <w:vAlign w:val="center"/>
          </w:tcPr>
          <w:p w14:paraId="36439D82"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vAlign w:val="center"/>
          </w:tcPr>
          <w:p w14:paraId="5AFE41F7"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vAlign w:val="center"/>
          </w:tcPr>
          <w:p w14:paraId="6735945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single" w:sz="4" w:space="0" w:color="000000"/>
              <w:left w:val="nil"/>
              <w:bottom w:val="nil"/>
              <w:right w:val="nil"/>
            </w:tcBorders>
            <w:vAlign w:val="center"/>
          </w:tcPr>
          <w:p w14:paraId="0D88D83A"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3DC378E0" w14:textId="77777777" w:rsidTr="00DC79FF">
        <w:trPr>
          <w:trHeight w:val="300"/>
          <w:jc w:val="center"/>
        </w:trPr>
        <w:tc>
          <w:tcPr>
            <w:tcW w:w="1488" w:type="dxa"/>
            <w:vMerge/>
            <w:tcBorders>
              <w:top w:val="single" w:sz="4" w:space="0" w:color="000000"/>
              <w:left w:val="nil"/>
              <w:bottom w:val="nil"/>
              <w:right w:val="nil"/>
            </w:tcBorders>
            <w:vAlign w:val="center"/>
          </w:tcPr>
          <w:p w14:paraId="6EDC7633"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vAlign w:val="center"/>
          </w:tcPr>
          <w:p w14:paraId="1AAF84D5"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vMerge w:val="restart"/>
            <w:tcBorders>
              <w:top w:val="nil"/>
              <w:left w:val="nil"/>
              <w:bottom w:val="nil"/>
              <w:right w:val="nil"/>
            </w:tcBorders>
            <w:vAlign w:val="center"/>
          </w:tcPr>
          <w:p w14:paraId="5A878E0F"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Montenegro 1</w:t>
            </w:r>
          </w:p>
        </w:tc>
        <w:tc>
          <w:tcPr>
            <w:tcW w:w="1560" w:type="dxa"/>
            <w:tcBorders>
              <w:top w:val="nil"/>
              <w:left w:val="nil"/>
              <w:bottom w:val="nil"/>
              <w:right w:val="nil"/>
            </w:tcBorders>
            <w:vAlign w:val="center"/>
          </w:tcPr>
          <w:p w14:paraId="1D61B582"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nil"/>
              <w:left w:val="nil"/>
              <w:bottom w:val="nil"/>
              <w:right w:val="nil"/>
            </w:tcBorders>
            <w:vAlign w:val="center"/>
          </w:tcPr>
          <w:p w14:paraId="487D10D2"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nil"/>
              <w:left w:val="nil"/>
              <w:bottom w:val="nil"/>
              <w:right w:val="nil"/>
            </w:tcBorders>
            <w:vAlign w:val="center"/>
          </w:tcPr>
          <w:p w14:paraId="00FB24E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150</w:t>
            </w:r>
          </w:p>
        </w:tc>
      </w:tr>
      <w:tr w:rsidR="009B35A2" w:rsidRPr="00E06694" w14:paraId="17CB4663" w14:textId="77777777" w:rsidTr="00DC79FF">
        <w:trPr>
          <w:trHeight w:val="300"/>
          <w:jc w:val="center"/>
        </w:trPr>
        <w:tc>
          <w:tcPr>
            <w:tcW w:w="1488" w:type="dxa"/>
            <w:vMerge/>
            <w:tcBorders>
              <w:top w:val="single" w:sz="4" w:space="0" w:color="000000"/>
              <w:left w:val="nil"/>
              <w:bottom w:val="nil"/>
              <w:right w:val="nil"/>
            </w:tcBorders>
            <w:vAlign w:val="center"/>
          </w:tcPr>
          <w:p w14:paraId="0F0103BE"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vAlign w:val="center"/>
          </w:tcPr>
          <w:p w14:paraId="34F95136"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vMerge/>
            <w:tcBorders>
              <w:top w:val="nil"/>
              <w:left w:val="nil"/>
              <w:bottom w:val="nil"/>
              <w:right w:val="nil"/>
            </w:tcBorders>
            <w:vAlign w:val="center"/>
          </w:tcPr>
          <w:p w14:paraId="5BAD5F81"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vAlign w:val="center"/>
          </w:tcPr>
          <w:p w14:paraId="2535BE5E"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vAlign w:val="center"/>
          </w:tcPr>
          <w:p w14:paraId="19D4E236"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nil"/>
              <w:left w:val="nil"/>
              <w:bottom w:val="nil"/>
              <w:right w:val="nil"/>
            </w:tcBorders>
            <w:vAlign w:val="center"/>
          </w:tcPr>
          <w:p w14:paraId="16F6DEBA"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0A4A76DB" w14:textId="77777777" w:rsidTr="00DC79FF">
        <w:trPr>
          <w:trHeight w:val="300"/>
          <w:jc w:val="center"/>
        </w:trPr>
        <w:tc>
          <w:tcPr>
            <w:tcW w:w="1488" w:type="dxa"/>
            <w:vMerge/>
            <w:tcBorders>
              <w:top w:val="single" w:sz="4" w:space="0" w:color="000000"/>
              <w:left w:val="nil"/>
              <w:bottom w:val="nil"/>
              <w:right w:val="nil"/>
            </w:tcBorders>
            <w:vAlign w:val="center"/>
          </w:tcPr>
          <w:p w14:paraId="6C57FC02"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vAlign w:val="center"/>
          </w:tcPr>
          <w:p w14:paraId="066BD3D6"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vMerge w:val="restart"/>
            <w:tcBorders>
              <w:top w:val="nil"/>
              <w:left w:val="nil"/>
              <w:bottom w:val="nil"/>
              <w:right w:val="nil"/>
            </w:tcBorders>
            <w:vAlign w:val="center"/>
          </w:tcPr>
          <w:p w14:paraId="71AA7D00"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INIAF L</w:t>
            </w:r>
            <w:r w:rsidRPr="00E06694">
              <w:rPr>
                <w:rFonts w:ascii="Times New Roman" w:eastAsia="Times New Roman" w:hAnsi="Times New Roman" w:cs="Times New Roman"/>
                <w:sz w:val="24"/>
                <w:szCs w:val="24"/>
              </w:rPr>
              <w:t>arga Vida</w:t>
            </w:r>
          </w:p>
        </w:tc>
        <w:tc>
          <w:tcPr>
            <w:tcW w:w="1560" w:type="dxa"/>
            <w:tcBorders>
              <w:top w:val="nil"/>
              <w:left w:val="nil"/>
              <w:bottom w:val="nil"/>
              <w:right w:val="nil"/>
            </w:tcBorders>
            <w:vAlign w:val="center"/>
          </w:tcPr>
          <w:p w14:paraId="348A550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nil"/>
              <w:left w:val="nil"/>
              <w:bottom w:val="nil"/>
              <w:right w:val="nil"/>
            </w:tcBorders>
            <w:vAlign w:val="center"/>
          </w:tcPr>
          <w:p w14:paraId="39ED8480"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nil"/>
              <w:left w:val="nil"/>
              <w:bottom w:val="nil"/>
              <w:right w:val="nil"/>
            </w:tcBorders>
            <w:vAlign w:val="center"/>
          </w:tcPr>
          <w:p w14:paraId="680105DA"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120</w:t>
            </w:r>
          </w:p>
        </w:tc>
      </w:tr>
      <w:tr w:rsidR="009B35A2" w:rsidRPr="00E06694" w14:paraId="04E7DF78" w14:textId="77777777" w:rsidTr="00DC79FF">
        <w:trPr>
          <w:trHeight w:val="300"/>
          <w:jc w:val="center"/>
        </w:trPr>
        <w:tc>
          <w:tcPr>
            <w:tcW w:w="1488" w:type="dxa"/>
            <w:vMerge/>
            <w:tcBorders>
              <w:top w:val="single" w:sz="4" w:space="0" w:color="000000"/>
              <w:left w:val="nil"/>
              <w:bottom w:val="nil"/>
              <w:right w:val="nil"/>
            </w:tcBorders>
            <w:vAlign w:val="center"/>
          </w:tcPr>
          <w:p w14:paraId="65BE704B"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vAlign w:val="center"/>
          </w:tcPr>
          <w:p w14:paraId="55E6EB0D"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vMerge/>
            <w:tcBorders>
              <w:top w:val="nil"/>
              <w:left w:val="nil"/>
              <w:bottom w:val="nil"/>
              <w:right w:val="nil"/>
            </w:tcBorders>
            <w:vAlign w:val="center"/>
          </w:tcPr>
          <w:p w14:paraId="16D42A97"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vAlign w:val="center"/>
          </w:tcPr>
          <w:p w14:paraId="6472A6AA"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vAlign w:val="center"/>
          </w:tcPr>
          <w:p w14:paraId="1D70B05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nil"/>
              <w:left w:val="nil"/>
              <w:bottom w:val="nil"/>
              <w:right w:val="nil"/>
            </w:tcBorders>
            <w:vAlign w:val="center"/>
          </w:tcPr>
          <w:p w14:paraId="072A82C8"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3ED3BE3E" w14:textId="77777777" w:rsidTr="00DC79FF">
        <w:trPr>
          <w:trHeight w:val="75"/>
          <w:jc w:val="center"/>
        </w:trPr>
        <w:tc>
          <w:tcPr>
            <w:tcW w:w="1488" w:type="dxa"/>
            <w:vMerge/>
            <w:tcBorders>
              <w:top w:val="single" w:sz="4" w:space="0" w:color="000000"/>
              <w:left w:val="nil"/>
              <w:bottom w:val="single" w:sz="4" w:space="0" w:color="000000"/>
              <w:right w:val="nil"/>
            </w:tcBorders>
            <w:vAlign w:val="center"/>
          </w:tcPr>
          <w:p w14:paraId="4E74A388"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single" w:sz="4" w:space="0" w:color="000000"/>
              <w:right w:val="nil"/>
            </w:tcBorders>
            <w:vAlign w:val="center"/>
          </w:tcPr>
          <w:p w14:paraId="6BB2874C"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2126" w:type="dxa"/>
            <w:tcBorders>
              <w:top w:val="nil"/>
              <w:left w:val="nil"/>
              <w:bottom w:val="single" w:sz="4" w:space="0" w:color="000000"/>
              <w:right w:val="nil"/>
            </w:tcBorders>
            <w:vAlign w:val="center"/>
          </w:tcPr>
          <w:p w14:paraId="3AFD683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Local</w:t>
            </w:r>
          </w:p>
        </w:tc>
        <w:tc>
          <w:tcPr>
            <w:tcW w:w="1560" w:type="dxa"/>
            <w:tcBorders>
              <w:top w:val="nil"/>
              <w:left w:val="nil"/>
              <w:bottom w:val="single" w:sz="4" w:space="0" w:color="000000"/>
              <w:right w:val="nil"/>
            </w:tcBorders>
            <w:vAlign w:val="center"/>
          </w:tcPr>
          <w:p w14:paraId="2693FEB1"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single" w:sz="4" w:space="0" w:color="000000"/>
              <w:right w:val="nil"/>
            </w:tcBorders>
            <w:vAlign w:val="center"/>
          </w:tcPr>
          <w:p w14:paraId="169E97AE"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tcBorders>
              <w:top w:val="nil"/>
              <w:left w:val="nil"/>
              <w:bottom w:val="single" w:sz="4" w:space="0" w:color="000000"/>
              <w:right w:val="nil"/>
            </w:tcBorders>
            <w:vAlign w:val="center"/>
          </w:tcPr>
          <w:p w14:paraId="5D2DBDB5"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180</w:t>
            </w:r>
          </w:p>
        </w:tc>
      </w:tr>
      <w:tr w:rsidR="009B35A2" w:rsidRPr="00E06694" w14:paraId="26148C5F" w14:textId="77777777" w:rsidTr="00DC79FF">
        <w:trPr>
          <w:trHeight w:val="300"/>
          <w:jc w:val="center"/>
        </w:trPr>
        <w:tc>
          <w:tcPr>
            <w:tcW w:w="1488" w:type="dxa"/>
            <w:vMerge w:val="restart"/>
            <w:tcBorders>
              <w:top w:val="single" w:sz="4" w:space="0" w:color="000000"/>
              <w:left w:val="nil"/>
              <w:bottom w:val="nil"/>
              <w:right w:val="nil"/>
            </w:tcBorders>
            <w:vAlign w:val="center"/>
          </w:tcPr>
          <w:p w14:paraId="5C36232B" w14:textId="77777777" w:rsidR="009B35A2" w:rsidRPr="00E06694" w:rsidRDefault="009B35A2" w:rsidP="00DC79FF">
            <w:pPr>
              <w:spacing w:after="0" w:line="240" w:lineRule="auto"/>
              <w:ind w:left="0"/>
              <w:jc w:val="left"/>
              <w:rPr>
                <w:rFonts w:ascii="Times New Roman" w:eastAsia="Times New Roman" w:hAnsi="Times New Roman" w:cs="Times New Roman"/>
                <w:color w:val="000000"/>
                <w:sz w:val="24"/>
                <w:szCs w:val="24"/>
              </w:rPr>
            </w:pPr>
            <w:r w:rsidRPr="00E06694">
              <w:rPr>
                <w:rFonts w:ascii="Times New Roman" w:eastAsia="Times New Roman" w:hAnsi="Times New Roman" w:cs="Times New Roman"/>
                <w:sz w:val="24"/>
                <w:szCs w:val="24"/>
              </w:rPr>
              <w:t>0</w:t>
            </w:r>
            <w:r w:rsidRPr="00E06694">
              <w:rPr>
                <w:rFonts w:ascii="Times New Roman" w:eastAsia="Times New Roman" w:hAnsi="Times New Roman" w:cs="Times New Roman"/>
                <w:color w:val="000000"/>
                <w:sz w:val="24"/>
                <w:szCs w:val="24"/>
              </w:rPr>
              <w:t>1/09/2022</w:t>
            </w:r>
          </w:p>
        </w:tc>
        <w:tc>
          <w:tcPr>
            <w:tcW w:w="1489" w:type="dxa"/>
            <w:vMerge w:val="restart"/>
            <w:tcBorders>
              <w:top w:val="single" w:sz="4" w:space="0" w:color="000000"/>
              <w:left w:val="nil"/>
              <w:bottom w:val="nil"/>
              <w:right w:val="nil"/>
            </w:tcBorders>
            <w:vAlign w:val="center"/>
          </w:tcPr>
          <w:p w14:paraId="23F00FE0"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Koari Lagunillas</w:t>
            </w:r>
          </w:p>
        </w:tc>
        <w:tc>
          <w:tcPr>
            <w:tcW w:w="2126" w:type="dxa"/>
            <w:vMerge w:val="restart"/>
            <w:tcBorders>
              <w:top w:val="single" w:sz="4" w:space="0" w:color="000000"/>
              <w:left w:val="nil"/>
              <w:bottom w:val="nil"/>
              <w:right w:val="nil"/>
            </w:tcBorders>
            <w:vAlign w:val="center"/>
          </w:tcPr>
          <w:p w14:paraId="4B9DC364"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Altiplano</w:t>
            </w:r>
          </w:p>
        </w:tc>
        <w:tc>
          <w:tcPr>
            <w:tcW w:w="1560" w:type="dxa"/>
            <w:tcBorders>
              <w:top w:val="single" w:sz="4" w:space="0" w:color="000000"/>
              <w:left w:val="nil"/>
              <w:bottom w:val="nil"/>
              <w:right w:val="nil"/>
            </w:tcBorders>
            <w:vAlign w:val="center"/>
          </w:tcPr>
          <w:p w14:paraId="7E5DA3F3"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single" w:sz="4" w:space="0" w:color="000000"/>
              <w:left w:val="nil"/>
              <w:bottom w:val="nil"/>
              <w:right w:val="nil"/>
            </w:tcBorders>
            <w:vAlign w:val="center"/>
          </w:tcPr>
          <w:p w14:paraId="69678C33"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single" w:sz="4" w:space="0" w:color="000000"/>
              <w:left w:val="nil"/>
              <w:bottom w:val="nil"/>
              <w:right w:val="nil"/>
            </w:tcBorders>
            <w:vAlign w:val="center"/>
          </w:tcPr>
          <w:p w14:paraId="447A6229"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180</w:t>
            </w:r>
          </w:p>
        </w:tc>
      </w:tr>
      <w:tr w:rsidR="009B35A2" w:rsidRPr="00E06694" w14:paraId="70F494B7" w14:textId="77777777" w:rsidTr="00DC79FF">
        <w:trPr>
          <w:trHeight w:val="300"/>
          <w:jc w:val="center"/>
        </w:trPr>
        <w:tc>
          <w:tcPr>
            <w:tcW w:w="1488" w:type="dxa"/>
            <w:vMerge/>
            <w:tcBorders>
              <w:top w:val="single" w:sz="4" w:space="0" w:color="000000"/>
              <w:left w:val="nil"/>
              <w:bottom w:val="nil"/>
              <w:right w:val="nil"/>
            </w:tcBorders>
            <w:vAlign w:val="center"/>
          </w:tcPr>
          <w:p w14:paraId="7D59EB4E"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vAlign w:val="center"/>
          </w:tcPr>
          <w:p w14:paraId="7DA50485"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vMerge/>
            <w:tcBorders>
              <w:top w:val="single" w:sz="4" w:space="0" w:color="000000"/>
              <w:left w:val="nil"/>
              <w:bottom w:val="nil"/>
              <w:right w:val="nil"/>
            </w:tcBorders>
            <w:vAlign w:val="center"/>
          </w:tcPr>
          <w:p w14:paraId="3EAB65D1"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vAlign w:val="center"/>
          </w:tcPr>
          <w:p w14:paraId="506DD45F"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vAlign w:val="center"/>
          </w:tcPr>
          <w:p w14:paraId="20792B5D"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single" w:sz="4" w:space="0" w:color="000000"/>
              <w:left w:val="nil"/>
              <w:bottom w:val="nil"/>
              <w:right w:val="nil"/>
            </w:tcBorders>
            <w:vAlign w:val="center"/>
          </w:tcPr>
          <w:p w14:paraId="63814302"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7B310CD0" w14:textId="77777777" w:rsidTr="00DC79FF">
        <w:trPr>
          <w:trHeight w:val="300"/>
          <w:jc w:val="center"/>
        </w:trPr>
        <w:tc>
          <w:tcPr>
            <w:tcW w:w="1488" w:type="dxa"/>
            <w:vMerge/>
            <w:tcBorders>
              <w:top w:val="single" w:sz="4" w:space="0" w:color="000000"/>
              <w:left w:val="nil"/>
              <w:bottom w:val="nil"/>
              <w:right w:val="nil"/>
            </w:tcBorders>
            <w:vAlign w:val="center"/>
          </w:tcPr>
          <w:p w14:paraId="71FA2D62"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vAlign w:val="center"/>
          </w:tcPr>
          <w:p w14:paraId="25AC0103"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vMerge w:val="restart"/>
            <w:tcBorders>
              <w:top w:val="nil"/>
              <w:left w:val="nil"/>
              <w:bottom w:val="nil"/>
              <w:right w:val="nil"/>
            </w:tcBorders>
            <w:vAlign w:val="center"/>
          </w:tcPr>
          <w:p w14:paraId="52AFA60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Montenegro 1</w:t>
            </w:r>
          </w:p>
        </w:tc>
        <w:tc>
          <w:tcPr>
            <w:tcW w:w="1560" w:type="dxa"/>
            <w:tcBorders>
              <w:top w:val="nil"/>
              <w:left w:val="nil"/>
              <w:bottom w:val="nil"/>
              <w:right w:val="nil"/>
            </w:tcBorders>
            <w:vAlign w:val="center"/>
          </w:tcPr>
          <w:p w14:paraId="378167D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nil"/>
              <w:left w:val="nil"/>
              <w:bottom w:val="nil"/>
              <w:right w:val="nil"/>
            </w:tcBorders>
            <w:vAlign w:val="center"/>
          </w:tcPr>
          <w:p w14:paraId="7A7A2C6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nil"/>
              <w:left w:val="nil"/>
              <w:bottom w:val="nil"/>
              <w:right w:val="nil"/>
            </w:tcBorders>
            <w:vAlign w:val="center"/>
          </w:tcPr>
          <w:p w14:paraId="3C0732B5"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150</w:t>
            </w:r>
          </w:p>
        </w:tc>
      </w:tr>
      <w:tr w:rsidR="009B35A2" w:rsidRPr="00E06694" w14:paraId="31232E11" w14:textId="77777777" w:rsidTr="00DC79FF">
        <w:trPr>
          <w:trHeight w:val="300"/>
          <w:jc w:val="center"/>
        </w:trPr>
        <w:tc>
          <w:tcPr>
            <w:tcW w:w="1488" w:type="dxa"/>
            <w:vMerge/>
            <w:tcBorders>
              <w:top w:val="single" w:sz="4" w:space="0" w:color="000000"/>
              <w:left w:val="nil"/>
              <w:bottom w:val="nil"/>
              <w:right w:val="nil"/>
            </w:tcBorders>
            <w:vAlign w:val="center"/>
          </w:tcPr>
          <w:p w14:paraId="23C57735"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vAlign w:val="center"/>
          </w:tcPr>
          <w:p w14:paraId="697AF89B"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vMerge/>
            <w:tcBorders>
              <w:top w:val="nil"/>
              <w:left w:val="nil"/>
              <w:bottom w:val="nil"/>
              <w:right w:val="nil"/>
            </w:tcBorders>
            <w:vAlign w:val="center"/>
          </w:tcPr>
          <w:p w14:paraId="2DA02FAC"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vAlign w:val="center"/>
          </w:tcPr>
          <w:p w14:paraId="75519965"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vAlign w:val="center"/>
          </w:tcPr>
          <w:p w14:paraId="5676B592"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nil"/>
              <w:left w:val="nil"/>
              <w:bottom w:val="nil"/>
              <w:right w:val="nil"/>
            </w:tcBorders>
            <w:vAlign w:val="center"/>
          </w:tcPr>
          <w:p w14:paraId="232081E0"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37CC2889" w14:textId="77777777" w:rsidTr="00DC79FF">
        <w:trPr>
          <w:trHeight w:val="300"/>
          <w:jc w:val="center"/>
        </w:trPr>
        <w:tc>
          <w:tcPr>
            <w:tcW w:w="1488" w:type="dxa"/>
            <w:vMerge/>
            <w:tcBorders>
              <w:top w:val="single" w:sz="4" w:space="0" w:color="000000"/>
              <w:left w:val="nil"/>
              <w:bottom w:val="nil"/>
              <w:right w:val="nil"/>
            </w:tcBorders>
            <w:vAlign w:val="center"/>
          </w:tcPr>
          <w:p w14:paraId="2DAB04CA"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vAlign w:val="center"/>
          </w:tcPr>
          <w:p w14:paraId="14E37F38"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vMerge w:val="restart"/>
            <w:tcBorders>
              <w:top w:val="nil"/>
              <w:left w:val="nil"/>
              <w:bottom w:val="nil"/>
              <w:right w:val="nil"/>
            </w:tcBorders>
            <w:vAlign w:val="center"/>
          </w:tcPr>
          <w:p w14:paraId="769445E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 xml:space="preserve">INIAF </w:t>
            </w:r>
            <w:r w:rsidRPr="00E06694">
              <w:rPr>
                <w:rFonts w:ascii="Times New Roman" w:eastAsia="Times New Roman" w:hAnsi="Times New Roman" w:cs="Times New Roman"/>
                <w:sz w:val="24"/>
                <w:szCs w:val="24"/>
              </w:rPr>
              <w:t>Larga Vida</w:t>
            </w:r>
          </w:p>
        </w:tc>
        <w:tc>
          <w:tcPr>
            <w:tcW w:w="1560" w:type="dxa"/>
            <w:tcBorders>
              <w:top w:val="nil"/>
              <w:left w:val="nil"/>
              <w:bottom w:val="nil"/>
              <w:right w:val="nil"/>
            </w:tcBorders>
            <w:vAlign w:val="center"/>
          </w:tcPr>
          <w:p w14:paraId="314AC8D2"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Raised bed</w:t>
            </w:r>
          </w:p>
        </w:tc>
        <w:tc>
          <w:tcPr>
            <w:tcW w:w="1617" w:type="dxa"/>
            <w:tcBorders>
              <w:top w:val="nil"/>
              <w:left w:val="nil"/>
              <w:bottom w:val="nil"/>
              <w:right w:val="nil"/>
            </w:tcBorders>
            <w:vAlign w:val="center"/>
          </w:tcPr>
          <w:p w14:paraId="1D06FDBA"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4.00</w:t>
            </w:r>
          </w:p>
        </w:tc>
        <w:tc>
          <w:tcPr>
            <w:tcW w:w="1170" w:type="dxa"/>
            <w:vMerge w:val="restart"/>
            <w:tcBorders>
              <w:top w:val="nil"/>
              <w:left w:val="nil"/>
              <w:bottom w:val="nil"/>
              <w:right w:val="nil"/>
            </w:tcBorders>
            <w:vAlign w:val="center"/>
          </w:tcPr>
          <w:p w14:paraId="30408F74"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120</w:t>
            </w:r>
          </w:p>
        </w:tc>
      </w:tr>
      <w:tr w:rsidR="009B35A2" w:rsidRPr="00E06694" w14:paraId="696B659B" w14:textId="77777777" w:rsidTr="00DC79FF">
        <w:trPr>
          <w:trHeight w:val="300"/>
          <w:jc w:val="center"/>
        </w:trPr>
        <w:tc>
          <w:tcPr>
            <w:tcW w:w="1488" w:type="dxa"/>
            <w:vMerge/>
            <w:tcBorders>
              <w:top w:val="single" w:sz="4" w:space="0" w:color="000000"/>
              <w:left w:val="nil"/>
              <w:bottom w:val="nil"/>
              <w:right w:val="nil"/>
            </w:tcBorders>
            <w:vAlign w:val="center"/>
          </w:tcPr>
          <w:p w14:paraId="2E3BEFFB"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nil"/>
              <w:right w:val="nil"/>
            </w:tcBorders>
            <w:vAlign w:val="center"/>
          </w:tcPr>
          <w:p w14:paraId="4C722C5A"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vMerge/>
            <w:tcBorders>
              <w:top w:val="nil"/>
              <w:left w:val="nil"/>
              <w:bottom w:val="nil"/>
              <w:right w:val="nil"/>
            </w:tcBorders>
            <w:vAlign w:val="center"/>
          </w:tcPr>
          <w:p w14:paraId="531C4D10"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c>
          <w:tcPr>
            <w:tcW w:w="1560" w:type="dxa"/>
            <w:tcBorders>
              <w:top w:val="nil"/>
              <w:left w:val="nil"/>
              <w:bottom w:val="nil"/>
              <w:right w:val="nil"/>
            </w:tcBorders>
            <w:vAlign w:val="center"/>
          </w:tcPr>
          <w:p w14:paraId="7FC54CE1"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nil"/>
              <w:right w:val="nil"/>
            </w:tcBorders>
            <w:vAlign w:val="center"/>
          </w:tcPr>
          <w:p w14:paraId="4F234D6C"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vMerge/>
            <w:tcBorders>
              <w:top w:val="nil"/>
              <w:left w:val="nil"/>
              <w:bottom w:val="nil"/>
              <w:right w:val="nil"/>
            </w:tcBorders>
            <w:vAlign w:val="center"/>
          </w:tcPr>
          <w:p w14:paraId="185E017A" w14:textId="77777777" w:rsidR="009B35A2" w:rsidRPr="00E06694" w:rsidRDefault="009B35A2" w:rsidP="00DC79FF">
            <w:pPr>
              <w:widowControl w:val="0"/>
              <w:spacing w:after="0" w:line="240" w:lineRule="auto"/>
              <w:ind w:left="0"/>
              <w:jc w:val="center"/>
              <w:rPr>
                <w:rFonts w:ascii="Times New Roman" w:eastAsia="Times New Roman" w:hAnsi="Times New Roman" w:cs="Times New Roman"/>
                <w:color w:val="000000"/>
                <w:sz w:val="24"/>
                <w:szCs w:val="24"/>
              </w:rPr>
            </w:pPr>
          </w:p>
        </w:tc>
      </w:tr>
      <w:tr w:rsidR="009B35A2" w:rsidRPr="00E06694" w14:paraId="55A0CBDC" w14:textId="77777777" w:rsidTr="00DC79FF">
        <w:trPr>
          <w:trHeight w:val="105"/>
          <w:jc w:val="center"/>
        </w:trPr>
        <w:tc>
          <w:tcPr>
            <w:tcW w:w="1488" w:type="dxa"/>
            <w:vMerge/>
            <w:tcBorders>
              <w:top w:val="single" w:sz="4" w:space="0" w:color="000000"/>
              <w:left w:val="nil"/>
              <w:bottom w:val="single" w:sz="4" w:space="0" w:color="000000"/>
              <w:right w:val="nil"/>
            </w:tcBorders>
            <w:vAlign w:val="center"/>
          </w:tcPr>
          <w:p w14:paraId="5825E5AA"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1489" w:type="dxa"/>
            <w:vMerge/>
            <w:tcBorders>
              <w:top w:val="single" w:sz="4" w:space="0" w:color="000000"/>
              <w:left w:val="nil"/>
              <w:bottom w:val="single" w:sz="4" w:space="0" w:color="000000"/>
              <w:right w:val="nil"/>
            </w:tcBorders>
            <w:vAlign w:val="center"/>
          </w:tcPr>
          <w:p w14:paraId="40E89C59" w14:textId="77777777" w:rsidR="009B35A2" w:rsidRPr="00E06694" w:rsidRDefault="009B35A2" w:rsidP="00DC79FF">
            <w:pPr>
              <w:widowControl w:val="0"/>
              <w:spacing w:after="0" w:line="240" w:lineRule="auto"/>
              <w:ind w:left="0"/>
              <w:jc w:val="left"/>
              <w:rPr>
                <w:rFonts w:ascii="Times New Roman" w:eastAsia="Times New Roman" w:hAnsi="Times New Roman" w:cs="Times New Roman"/>
                <w:color w:val="000000"/>
                <w:sz w:val="24"/>
                <w:szCs w:val="24"/>
              </w:rPr>
            </w:pPr>
          </w:p>
        </w:tc>
        <w:tc>
          <w:tcPr>
            <w:tcW w:w="2126" w:type="dxa"/>
            <w:tcBorders>
              <w:top w:val="nil"/>
              <w:left w:val="nil"/>
              <w:bottom w:val="single" w:sz="4" w:space="0" w:color="000000"/>
              <w:right w:val="nil"/>
            </w:tcBorders>
            <w:vAlign w:val="center"/>
          </w:tcPr>
          <w:p w14:paraId="36C2EA42"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Local</w:t>
            </w:r>
          </w:p>
        </w:tc>
        <w:tc>
          <w:tcPr>
            <w:tcW w:w="1560" w:type="dxa"/>
            <w:tcBorders>
              <w:top w:val="nil"/>
              <w:left w:val="nil"/>
              <w:bottom w:val="single" w:sz="4" w:space="0" w:color="000000"/>
              <w:right w:val="nil"/>
            </w:tcBorders>
            <w:vAlign w:val="center"/>
          </w:tcPr>
          <w:p w14:paraId="6EA1BD57"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Traditional</w:t>
            </w:r>
          </w:p>
        </w:tc>
        <w:tc>
          <w:tcPr>
            <w:tcW w:w="1617" w:type="dxa"/>
            <w:tcBorders>
              <w:top w:val="nil"/>
              <w:left w:val="nil"/>
              <w:bottom w:val="single" w:sz="4" w:space="0" w:color="000000"/>
              <w:right w:val="nil"/>
            </w:tcBorders>
            <w:vAlign w:val="center"/>
          </w:tcPr>
          <w:p w14:paraId="4DE9AADD"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8</w:t>
            </w:r>
            <w:r w:rsidRPr="00E06694">
              <w:rPr>
                <w:rFonts w:ascii="Times New Roman" w:eastAsia="Times New Roman" w:hAnsi="Times New Roman" w:cs="Times New Roman"/>
                <w:sz w:val="24"/>
                <w:szCs w:val="24"/>
              </w:rPr>
              <w:t>.</w:t>
            </w:r>
            <w:r w:rsidRPr="00E06694">
              <w:rPr>
                <w:rFonts w:ascii="Times New Roman" w:eastAsia="Times New Roman" w:hAnsi="Times New Roman" w:cs="Times New Roman"/>
                <w:color w:val="000000"/>
                <w:sz w:val="24"/>
                <w:szCs w:val="24"/>
              </w:rPr>
              <w:t>00</w:t>
            </w:r>
          </w:p>
        </w:tc>
        <w:tc>
          <w:tcPr>
            <w:tcW w:w="1170" w:type="dxa"/>
            <w:tcBorders>
              <w:top w:val="nil"/>
              <w:left w:val="nil"/>
              <w:bottom w:val="single" w:sz="4" w:space="0" w:color="000000"/>
              <w:right w:val="nil"/>
            </w:tcBorders>
            <w:vAlign w:val="center"/>
          </w:tcPr>
          <w:p w14:paraId="184CCEA8" w14:textId="77777777" w:rsidR="009B35A2" w:rsidRPr="00E06694" w:rsidRDefault="009B35A2" w:rsidP="00DC79FF">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4"/>
                <w:szCs w:val="24"/>
              </w:rPr>
              <w:t>180</w:t>
            </w:r>
          </w:p>
        </w:tc>
      </w:tr>
    </w:tbl>
    <w:p w14:paraId="040E4995" w14:textId="77777777" w:rsidR="00626D8A" w:rsidRPr="00E06694" w:rsidRDefault="00626D8A" w:rsidP="000E792C">
      <w:pPr>
        <w:spacing w:after="0" w:line="240" w:lineRule="auto"/>
        <w:ind w:left="0" w:firstLine="567"/>
        <w:rPr>
          <w:rFonts w:ascii="Times New Roman" w:eastAsia="Times New Roman" w:hAnsi="Times New Roman" w:cs="Times New Roman"/>
          <w:sz w:val="24"/>
          <w:szCs w:val="24"/>
        </w:rPr>
      </w:pPr>
    </w:p>
    <w:p w14:paraId="46A7EF10" w14:textId="3A828947" w:rsidR="00B32A2F" w:rsidRPr="00E06694" w:rsidRDefault="00B32A2F" w:rsidP="000E792C">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Routine agronomic operations</w:t>
      </w:r>
      <w:r w:rsidR="009F1DF4"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including sprinkler irrigation</w:t>
      </w:r>
      <w:r w:rsidR="00CF1CBB"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followed customary local practice. In Koari</w:t>
      </w:r>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Alto, two applications of linuron (2.50</w:t>
      </w:r>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L</w:t>
      </w:r>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ha</w:t>
      </w:r>
      <w:r w:rsidR="00CF1CBB"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were made for weed control: the first when 80% of seedlings had two true leaves (September</w:t>
      </w:r>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29,</w:t>
      </w:r>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2022) and the second on October</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29,</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2022. In Koari</w:t>
      </w:r>
      <w:r w:rsidR="00CF1CBB"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a single linuron application (2.50Lha⁻¹) was applied when 80% of seedlings had two true leaves (October</w:t>
      </w:r>
      <w:r w:rsidR="008C102D"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27,</w:t>
      </w:r>
      <w:r w:rsidR="008C102D"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2022).</w:t>
      </w:r>
      <w:r w:rsidR="00C1134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Manual harvest was timed according to traditional maturity criteria (</w:t>
      </w:r>
      <w:r w:rsidR="00266C39" w:rsidRPr="00E06694">
        <w:rPr>
          <w:rFonts w:ascii="Times New Roman" w:eastAsia="Times New Roman" w:hAnsi="Times New Roman" w:cs="Times New Roman"/>
          <w:sz w:val="24"/>
          <w:szCs w:val="24"/>
        </w:rPr>
        <w:t xml:space="preserve">about </w:t>
      </w:r>
      <w:r w:rsidRPr="00E06694">
        <w:rPr>
          <w:rFonts w:ascii="Times New Roman" w:eastAsia="Times New Roman" w:hAnsi="Times New Roman" w:cs="Times New Roman"/>
          <w:sz w:val="24"/>
          <w:szCs w:val="24"/>
        </w:rPr>
        <w:t xml:space="preserve">2% of plants with floral </w:t>
      </w:r>
      <w:proofErr w:type="spellStart"/>
      <w:r w:rsidRPr="00E06694">
        <w:rPr>
          <w:rFonts w:ascii="Times New Roman" w:eastAsia="Times New Roman" w:hAnsi="Times New Roman" w:cs="Times New Roman"/>
          <w:sz w:val="24"/>
          <w:szCs w:val="24"/>
        </w:rPr>
        <w:t>scapes</w:t>
      </w:r>
      <w:proofErr w:type="spellEnd"/>
      <w:r w:rsidRPr="00E06694">
        <w:rPr>
          <w:rFonts w:ascii="Times New Roman" w:eastAsia="Times New Roman" w:hAnsi="Times New Roman" w:cs="Times New Roman"/>
          <w:sz w:val="24"/>
          <w:szCs w:val="24"/>
        </w:rPr>
        <w:t>): February15</w:t>
      </w:r>
      <w:r w:rsidR="00266C39"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16,</w:t>
      </w:r>
      <w:r w:rsidR="00266C39"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2023 in Koari</w:t>
      </w:r>
      <w:r w:rsidR="00CF1CB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Alto and March</w:t>
      </w:r>
      <w:r w:rsidR="00266C39"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29</w:t>
      </w:r>
      <w:r w:rsidR="00266C39" w:rsidRPr="00E06694">
        <w:rPr>
          <w:rFonts w:ascii="Times New Roman" w:eastAsia="Times New Roman" w:hAnsi="Times New Roman" w:cs="Times New Roman"/>
          <w:sz w:val="24"/>
          <w:szCs w:val="24"/>
        </w:rPr>
        <w:t>-</w:t>
      </w:r>
      <w:r w:rsidRPr="00E06694">
        <w:rPr>
          <w:rFonts w:ascii="Times New Roman" w:eastAsia="Times New Roman" w:hAnsi="Times New Roman" w:cs="Times New Roman"/>
          <w:sz w:val="24"/>
          <w:szCs w:val="24"/>
        </w:rPr>
        <w:t>30,</w:t>
      </w:r>
      <w:r w:rsidR="00266C39"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2023 in Koari</w:t>
      </w:r>
      <w:r w:rsidR="00CF1CBB" w:rsidRPr="00E06694">
        <w:rPr>
          <w:rFonts w:ascii="Times New Roman" w:eastAsia="Times New Roman" w:hAnsi="Times New Roman" w:cs="Times New Roman"/>
          <w:sz w:val="24"/>
          <w:szCs w:val="24"/>
        </w:rPr>
        <w:t xml:space="preserve">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w:t>
      </w:r>
    </w:p>
    <w:p w14:paraId="7AD2D144" w14:textId="77777777" w:rsidR="00B32A2F" w:rsidRPr="00E06694" w:rsidRDefault="00B32A2F" w:rsidP="000E792C">
      <w:pPr>
        <w:spacing w:after="0" w:line="240" w:lineRule="auto"/>
        <w:ind w:left="0" w:firstLine="567"/>
        <w:rPr>
          <w:rFonts w:ascii="Times New Roman" w:eastAsia="Times New Roman" w:hAnsi="Times New Roman" w:cs="Times New Roman"/>
          <w:sz w:val="24"/>
          <w:szCs w:val="24"/>
        </w:rPr>
      </w:pPr>
    </w:p>
    <w:p w14:paraId="719D1E74"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Response variables</w:t>
      </w:r>
    </w:p>
    <w:p w14:paraId="33A632EA" w14:textId="055883CE" w:rsidR="00F90484" w:rsidRPr="00E06694" w:rsidRDefault="0093250E" w:rsidP="000E792C">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response variables were evaluated randomly according to the methodology described for each one (Table 2).</w:t>
      </w:r>
    </w:p>
    <w:p w14:paraId="2FC52917" w14:textId="77777777" w:rsidR="005F77A8" w:rsidRPr="00E06694" w:rsidRDefault="005F77A8" w:rsidP="000E792C">
      <w:pPr>
        <w:spacing w:after="0" w:line="240" w:lineRule="auto"/>
        <w:ind w:left="0" w:firstLine="567"/>
        <w:rPr>
          <w:rFonts w:ascii="Times New Roman" w:eastAsia="Times New Roman" w:hAnsi="Times New Roman" w:cs="Times New Roman"/>
          <w:sz w:val="24"/>
          <w:szCs w:val="24"/>
        </w:rPr>
      </w:pPr>
    </w:p>
    <w:p w14:paraId="5BFE638D" w14:textId="77777777" w:rsidR="005F77A8" w:rsidRPr="00E06694" w:rsidRDefault="005F77A8" w:rsidP="005F77A8">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b/>
          <w:sz w:val="24"/>
          <w:szCs w:val="24"/>
        </w:rPr>
        <w:t>Table 2.</w:t>
      </w:r>
      <w:r w:rsidRPr="00E06694">
        <w:rPr>
          <w:rFonts w:ascii="Times New Roman" w:eastAsia="Times New Roman" w:hAnsi="Times New Roman" w:cs="Times New Roman"/>
          <w:sz w:val="24"/>
          <w:szCs w:val="24"/>
        </w:rPr>
        <w:t xml:space="preserve"> Response variables analyzed and description of evaluation methods.</w:t>
      </w:r>
    </w:p>
    <w:tbl>
      <w:tblPr>
        <w:tblStyle w:val="Style11"/>
        <w:tblW w:w="9072"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firstRow="1" w:lastRow="0" w:firstColumn="1" w:lastColumn="0" w:noHBand="0" w:noVBand="1"/>
      </w:tblPr>
      <w:tblGrid>
        <w:gridCol w:w="2835"/>
        <w:gridCol w:w="6237"/>
      </w:tblGrid>
      <w:tr w:rsidR="005F77A8" w:rsidRPr="00E06694" w14:paraId="493BFBA3" w14:textId="77777777" w:rsidTr="00562B5B">
        <w:trPr>
          <w:trHeight w:val="301"/>
        </w:trPr>
        <w:tc>
          <w:tcPr>
            <w:tcW w:w="2835" w:type="dxa"/>
            <w:tcBorders>
              <w:top w:val="single" w:sz="4" w:space="0" w:color="000000"/>
              <w:left w:val="nil"/>
              <w:bottom w:val="single" w:sz="4" w:space="0" w:color="000000"/>
              <w:right w:val="nil"/>
            </w:tcBorders>
            <w:tcMar>
              <w:top w:w="0" w:type="dxa"/>
              <w:left w:w="0" w:type="dxa"/>
              <w:bottom w:w="0" w:type="dxa"/>
              <w:right w:w="0" w:type="dxa"/>
            </w:tcMar>
            <w:vAlign w:val="center"/>
          </w:tcPr>
          <w:p w14:paraId="493E0D56" w14:textId="77777777" w:rsidR="005F77A8" w:rsidRPr="00E06694" w:rsidRDefault="005F77A8" w:rsidP="00DC79FF">
            <w:pPr>
              <w:spacing w:after="0" w:line="240" w:lineRule="auto"/>
              <w:ind w:left="0"/>
              <w:jc w:val="center"/>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Response variables</w:t>
            </w:r>
          </w:p>
        </w:tc>
        <w:tc>
          <w:tcPr>
            <w:tcW w:w="6237" w:type="dxa"/>
            <w:tcBorders>
              <w:top w:val="single" w:sz="4" w:space="0" w:color="000000"/>
              <w:left w:val="nil"/>
              <w:bottom w:val="single" w:sz="4" w:space="0" w:color="000000"/>
              <w:right w:val="nil"/>
            </w:tcBorders>
            <w:tcMar>
              <w:top w:w="0" w:type="dxa"/>
              <w:left w:w="0" w:type="dxa"/>
              <w:bottom w:w="0" w:type="dxa"/>
              <w:right w:w="0" w:type="dxa"/>
            </w:tcMar>
            <w:vAlign w:val="center"/>
          </w:tcPr>
          <w:p w14:paraId="6C927268" w14:textId="77777777" w:rsidR="005F77A8" w:rsidRPr="00E06694" w:rsidRDefault="005F77A8" w:rsidP="00DC79FF">
            <w:pPr>
              <w:spacing w:after="0" w:line="240" w:lineRule="auto"/>
              <w:ind w:left="0"/>
              <w:jc w:val="center"/>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Process description</w:t>
            </w:r>
          </w:p>
        </w:tc>
      </w:tr>
      <w:tr w:rsidR="005F77A8" w:rsidRPr="00E06694" w14:paraId="2EAA343C" w14:textId="77777777" w:rsidTr="00562B5B">
        <w:trPr>
          <w:trHeight w:val="585"/>
        </w:trPr>
        <w:tc>
          <w:tcPr>
            <w:tcW w:w="2835" w:type="dxa"/>
            <w:tcBorders>
              <w:top w:val="nil"/>
              <w:left w:val="nil"/>
              <w:bottom w:val="nil"/>
              <w:right w:val="nil"/>
            </w:tcBorders>
            <w:tcMar>
              <w:top w:w="0" w:type="dxa"/>
              <w:left w:w="0" w:type="dxa"/>
              <w:bottom w:w="0" w:type="dxa"/>
              <w:right w:w="0" w:type="dxa"/>
            </w:tcMar>
            <w:vAlign w:val="center"/>
          </w:tcPr>
          <w:p w14:paraId="1D317FCC"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Days to emergency</w:t>
            </w:r>
          </w:p>
        </w:tc>
        <w:tc>
          <w:tcPr>
            <w:tcW w:w="6237" w:type="dxa"/>
            <w:tcBorders>
              <w:top w:val="nil"/>
              <w:left w:val="nil"/>
              <w:bottom w:val="nil"/>
              <w:right w:val="nil"/>
            </w:tcBorders>
            <w:tcMar>
              <w:top w:w="0" w:type="dxa"/>
              <w:left w:w="0" w:type="dxa"/>
              <w:bottom w:w="0" w:type="dxa"/>
              <w:right w:w="0" w:type="dxa"/>
            </w:tcMar>
            <w:vAlign w:val="center"/>
          </w:tcPr>
          <w:p w14:paraId="200659A8" w14:textId="59B832C7" w:rsidR="005F77A8" w:rsidRPr="00E06694" w:rsidRDefault="00CF0A2F" w:rsidP="0041578C">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In each experimental unit, the number of days from sowing until 80% of the seedlings had emerged, with fully expanded cotyledons, was recorded.</w:t>
            </w:r>
          </w:p>
        </w:tc>
      </w:tr>
      <w:tr w:rsidR="005F77A8" w:rsidRPr="00E06694" w14:paraId="6562FE8E" w14:textId="77777777" w:rsidTr="00562B5B">
        <w:trPr>
          <w:trHeight w:val="1095"/>
        </w:trPr>
        <w:tc>
          <w:tcPr>
            <w:tcW w:w="2835" w:type="dxa"/>
            <w:tcBorders>
              <w:top w:val="nil"/>
              <w:left w:val="nil"/>
              <w:bottom w:val="nil"/>
              <w:right w:val="nil"/>
            </w:tcBorders>
            <w:tcMar>
              <w:top w:w="0" w:type="dxa"/>
              <w:left w:w="0" w:type="dxa"/>
              <w:bottom w:w="0" w:type="dxa"/>
              <w:right w:w="0" w:type="dxa"/>
            </w:tcMar>
            <w:vAlign w:val="center"/>
          </w:tcPr>
          <w:p w14:paraId="52A2B019"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Incidence of pests and diseases</w:t>
            </w:r>
          </w:p>
        </w:tc>
        <w:tc>
          <w:tcPr>
            <w:tcW w:w="6237" w:type="dxa"/>
            <w:tcBorders>
              <w:top w:val="nil"/>
              <w:left w:val="nil"/>
              <w:bottom w:val="nil"/>
              <w:right w:val="nil"/>
            </w:tcBorders>
            <w:tcMar>
              <w:top w:w="0" w:type="dxa"/>
              <w:left w:w="0" w:type="dxa"/>
              <w:bottom w:w="0" w:type="dxa"/>
              <w:right w:w="0" w:type="dxa"/>
            </w:tcMar>
            <w:vAlign w:val="center"/>
          </w:tcPr>
          <w:p w14:paraId="336283B1" w14:textId="2D7473D7" w:rsidR="005F77A8" w:rsidRPr="00E06694" w:rsidRDefault="00CF0A2F" w:rsidP="00CF0A2F">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incidence of diseases and insect pests was evaluated at 30, 60, and 90 days after transplanting. Weed incidence was assessed by counting weeds within a 0.5 m</w:t>
            </w:r>
            <w:r w:rsidRPr="00E06694">
              <w:rPr>
                <w:rFonts w:ascii="Times New Roman" w:eastAsia="Times New Roman" w:hAnsi="Times New Roman" w:cs="Times New Roman"/>
                <w:sz w:val="24"/>
                <w:szCs w:val="24"/>
                <w:vertAlign w:val="superscript"/>
              </w:rPr>
              <w:t>2</w:t>
            </w:r>
            <w:r w:rsidRPr="00E06694">
              <w:rPr>
                <w:rFonts w:ascii="Times New Roman" w:eastAsia="Times New Roman" w:hAnsi="Times New Roman" w:cs="Times New Roman"/>
                <w:sz w:val="24"/>
                <w:szCs w:val="24"/>
              </w:rPr>
              <w:t xml:space="preserve"> area randomly selected from each experimental unit, both before the first herbicide application and again 30 days afterward. Weed pressure was then classified as low (0-5%), medium (5-10%), or high (&gt; 10%).</w:t>
            </w:r>
          </w:p>
        </w:tc>
      </w:tr>
      <w:tr w:rsidR="005F77A8" w:rsidRPr="00E06694" w14:paraId="1E42D89F" w14:textId="77777777" w:rsidTr="00562B5B">
        <w:trPr>
          <w:trHeight w:val="638"/>
        </w:trPr>
        <w:tc>
          <w:tcPr>
            <w:tcW w:w="2835" w:type="dxa"/>
            <w:tcBorders>
              <w:top w:val="nil"/>
              <w:left w:val="nil"/>
              <w:bottom w:val="nil"/>
              <w:right w:val="nil"/>
            </w:tcBorders>
            <w:tcMar>
              <w:top w:w="0" w:type="dxa"/>
              <w:left w:w="0" w:type="dxa"/>
              <w:bottom w:w="0" w:type="dxa"/>
              <w:right w:w="0" w:type="dxa"/>
            </w:tcMar>
            <w:vAlign w:val="center"/>
          </w:tcPr>
          <w:p w14:paraId="21CC84F3"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Days to harvest</w:t>
            </w:r>
          </w:p>
        </w:tc>
        <w:tc>
          <w:tcPr>
            <w:tcW w:w="6237" w:type="dxa"/>
            <w:tcBorders>
              <w:top w:val="nil"/>
              <w:left w:val="nil"/>
              <w:bottom w:val="nil"/>
              <w:right w:val="nil"/>
            </w:tcBorders>
            <w:tcMar>
              <w:top w:w="0" w:type="dxa"/>
              <w:left w:w="0" w:type="dxa"/>
              <w:bottom w:w="0" w:type="dxa"/>
              <w:right w:w="0" w:type="dxa"/>
            </w:tcMar>
            <w:vAlign w:val="center"/>
          </w:tcPr>
          <w:p w14:paraId="4B5F3360" w14:textId="3D4A2E74" w:rsidR="005F77A8" w:rsidRPr="00E06694" w:rsidRDefault="00873ED9"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For each experimental unit, we recorded the number of days from planting until 80% of the roots reached commercial maturity. Harvest was initiated when 2% of the plants had produced flower </w:t>
            </w:r>
            <w:proofErr w:type="spellStart"/>
            <w:r w:rsidRPr="00E06694">
              <w:rPr>
                <w:rFonts w:ascii="Times New Roman" w:eastAsia="Times New Roman" w:hAnsi="Times New Roman" w:cs="Times New Roman"/>
                <w:sz w:val="24"/>
                <w:szCs w:val="24"/>
              </w:rPr>
              <w:t>scapes</w:t>
            </w:r>
            <w:proofErr w:type="spellEnd"/>
            <w:r w:rsidRPr="00E06694">
              <w:rPr>
                <w:rFonts w:ascii="Times New Roman" w:eastAsia="Times New Roman" w:hAnsi="Times New Roman" w:cs="Times New Roman"/>
                <w:sz w:val="24"/>
                <w:szCs w:val="24"/>
              </w:rPr>
              <w:t>.</w:t>
            </w:r>
          </w:p>
        </w:tc>
      </w:tr>
      <w:tr w:rsidR="005F77A8" w:rsidRPr="00E06694" w14:paraId="653F700C" w14:textId="77777777" w:rsidTr="00562B5B">
        <w:trPr>
          <w:trHeight w:val="885"/>
        </w:trPr>
        <w:tc>
          <w:tcPr>
            <w:tcW w:w="2835" w:type="dxa"/>
            <w:tcBorders>
              <w:top w:val="nil"/>
              <w:left w:val="nil"/>
              <w:bottom w:val="nil"/>
              <w:right w:val="nil"/>
            </w:tcBorders>
            <w:tcMar>
              <w:top w:w="0" w:type="dxa"/>
              <w:left w:w="0" w:type="dxa"/>
              <w:bottom w:w="0" w:type="dxa"/>
              <w:right w:w="0" w:type="dxa"/>
            </w:tcMar>
            <w:vAlign w:val="center"/>
          </w:tcPr>
          <w:p w14:paraId="057D1113"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Gross yield</w:t>
            </w:r>
          </w:p>
        </w:tc>
        <w:tc>
          <w:tcPr>
            <w:tcW w:w="6237" w:type="dxa"/>
            <w:tcBorders>
              <w:top w:val="nil"/>
              <w:left w:val="nil"/>
              <w:bottom w:val="nil"/>
              <w:right w:val="nil"/>
            </w:tcBorders>
            <w:tcMar>
              <w:top w:w="0" w:type="dxa"/>
              <w:left w:w="0" w:type="dxa"/>
              <w:bottom w:w="0" w:type="dxa"/>
              <w:right w:w="0" w:type="dxa"/>
            </w:tcMar>
            <w:vAlign w:val="center"/>
          </w:tcPr>
          <w:p w14:paraId="12626EC0" w14:textId="62C87564" w:rsidR="005F77A8" w:rsidRPr="00E06694" w:rsidRDefault="00873ED9" w:rsidP="005A0C8B">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entire experimental unit was harvested, and all roots were weighed to determine the gross yield (kg ha</w:t>
            </w:r>
            <w:r w:rsidR="005A0C8B"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The roots were then sorted into four categories</w:t>
            </w:r>
            <w:r w:rsidR="005A0C8B"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first grade, second grade, third grade, and discarded</w:t>
            </w:r>
            <w:r w:rsidR="005A0C8B"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and the yield for each category was calculated.</w:t>
            </w:r>
          </w:p>
        </w:tc>
      </w:tr>
      <w:tr w:rsidR="005F77A8" w:rsidRPr="00E06694" w14:paraId="0C07B41D" w14:textId="77777777" w:rsidTr="00562B5B">
        <w:trPr>
          <w:trHeight w:val="480"/>
        </w:trPr>
        <w:tc>
          <w:tcPr>
            <w:tcW w:w="2835" w:type="dxa"/>
            <w:tcBorders>
              <w:top w:val="nil"/>
              <w:left w:val="nil"/>
              <w:bottom w:val="nil"/>
              <w:right w:val="nil"/>
            </w:tcBorders>
            <w:tcMar>
              <w:top w:w="0" w:type="dxa"/>
              <w:left w:w="0" w:type="dxa"/>
              <w:bottom w:w="0" w:type="dxa"/>
              <w:right w:w="0" w:type="dxa"/>
            </w:tcMar>
            <w:vAlign w:val="center"/>
          </w:tcPr>
          <w:p w14:paraId="4DBA7452"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Number of lenticels</w:t>
            </w:r>
          </w:p>
        </w:tc>
        <w:tc>
          <w:tcPr>
            <w:tcW w:w="6237" w:type="dxa"/>
            <w:tcBorders>
              <w:top w:val="nil"/>
              <w:left w:val="nil"/>
              <w:bottom w:val="nil"/>
              <w:right w:val="nil"/>
            </w:tcBorders>
            <w:tcMar>
              <w:top w:w="0" w:type="dxa"/>
              <w:left w:w="0" w:type="dxa"/>
              <w:bottom w:w="0" w:type="dxa"/>
              <w:right w:w="0" w:type="dxa"/>
            </w:tcMar>
            <w:vAlign w:val="center"/>
          </w:tcPr>
          <w:p w14:paraId="686529F6" w14:textId="10FD5BF5" w:rsidR="005F77A8" w:rsidRPr="00E06694" w:rsidRDefault="006D300B"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For each experimental unit, five roots were randomly selected; the lenticels on each root were counted, and the average number of lenticels per root was determined.</w:t>
            </w:r>
          </w:p>
        </w:tc>
      </w:tr>
      <w:tr w:rsidR="005F77A8" w:rsidRPr="00E06694" w14:paraId="5DF087AD" w14:textId="77777777" w:rsidTr="00562B5B">
        <w:trPr>
          <w:trHeight w:val="420"/>
        </w:trPr>
        <w:tc>
          <w:tcPr>
            <w:tcW w:w="2835" w:type="dxa"/>
            <w:tcBorders>
              <w:top w:val="nil"/>
              <w:left w:val="nil"/>
              <w:bottom w:val="nil"/>
              <w:right w:val="nil"/>
            </w:tcBorders>
            <w:tcMar>
              <w:top w:w="0" w:type="dxa"/>
              <w:left w:w="0" w:type="dxa"/>
              <w:bottom w:w="0" w:type="dxa"/>
              <w:right w:w="0" w:type="dxa"/>
            </w:tcMar>
            <w:vAlign w:val="center"/>
          </w:tcPr>
          <w:p w14:paraId="1E9565AC"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lastRenderedPageBreak/>
              <w:t>Number of leaves per plant</w:t>
            </w:r>
          </w:p>
        </w:tc>
        <w:tc>
          <w:tcPr>
            <w:tcW w:w="6237" w:type="dxa"/>
            <w:tcBorders>
              <w:top w:val="nil"/>
              <w:left w:val="nil"/>
              <w:bottom w:val="nil"/>
              <w:right w:val="nil"/>
            </w:tcBorders>
            <w:tcMar>
              <w:top w:w="0" w:type="dxa"/>
              <w:left w:w="0" w:type="dxa"/>
              <w:bottom w:w="0" w:type="dxa"/>
              <w:right w:w="0" w:type="dxa"/>
            </w:tcMar>
            <w:vAlign w:val="center"/>
          </w:tcPr>
          <w:p w14:paraId="5C23A151" w14:textId="445B67D5" w:rsidR="005F77A8" w:rsidRPr="00E06694" w:rsidRDefault="00015A4D"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For the same five roots in each experimental unit, the number of leaves per root was counted, and the average was recorded.</w:t>
            </w:r>
          </w:p>
        </w:tc>
      </w:tr>
      <w:tr w:rsidR="005F77A8" w:rsidRPr="00E06694" w14:paraId="7FD01343" w14:textId="77777777" w:rsidTr="00562B5B">
        <w:trPr>
          <w:trHeight w:val="480"/>
        </w:trPr>
        <w:tc>
          <w:tcPr>
            <w:tcW w:w="2835" w:type="dxa"/>
            <w:tcBorders>
              <w:top w:val="nil"/>
              <w:left w:val="nil"/>
              <w:bottom w:val="nil"/>
              <w:right w:val="nil"/>
            </w:tcBorders>
            <w:tcMar>
              <w:top w:w="0" w:type="dxa"/>
              <w:left w:w="0" w:type="dxa"/>
              <w:bottom w:w="0" w:type="dxa"/>
              <w:right w:w="0" w:type="dxa"/>
            </w:tcMar>
            <w:vAlign w:val="center"/>
          </w:tcPr>
          <w:p w14:paraId="6F91DD39"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Root length</w:t>
            </w:r>
          </w:p>
        </w:tc>
        <w:tc>
          <w:tcPr>
            <w:tcW w:w="6237" w:type="dxa"/>
            <w:tcBorders>
              <w:top w:val="nil"/>
              <w:left w:val="nil"/>
              <w:bottom w:val="nil"/>
              <w:right w:val="nil"/>
            </w:tcBorders>
            <w:tcMar>
              <w:top w:w="0" w:type="dxa"/>
              <w:left w:w="0" w:type="dxa"/>
              <w:bottom w:w="0" w:type="dxa"/>
              <w:right w:w="0" w:type="dxa"/>
            </w:tcMar>
            <w:vAlign w:val="center"/>
          </w:tcPr>
          <w:p w14:paraId="4FCCD339" w14:textId="5879AB31" w:rsidR="005F77A8" w:rsidRPr="00E06694" w:rsidRDefault="00015A4D"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length of the same five roots from each experimental unit was measured from the crown (neck) to the distal tip using a Vernier caliper, and the average length was recorded in centimeters.</w:t>
            </w:r>
          </w:p>
        </w:tc>
      </w:tr>
      <w:tr w:rsidR="005F77A8" w:rsidRPr="00E06694" w14:paraId="1E5300C4" w14:textId="77777777" w:rsidTr="00562B5B">
        <w:trPr>
          <w:trHeight w:val="495"/>
        </w:trPr>
        <w:tc>
          <w:tcPr>
            <w:tcW w:w="2835" w:type="dxa"/>
            <w:tcBorders>
              <w:top w:val="nil"/>
              <w:left w:val="nil"/>
              <w:bottom w:val="nil"/>
              <w:right w:val="nil"/>
            </w:tcBorders>
            <w:tcMar>
              <w:top w:w="0" w:type="dxa"/>
              <w:left w:w="0" w:type="dxa"/>
              <w:bottom w:w="0" w:type="dxa"/>
              <w:right w:w="0" w:type="dxa"/>
            </w:tcMar>
            <w:vAlign w:val="center"/>
          </w:tcPr>
          <w:p w14:paraId="6C7FDE35"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Root weight</w:t>
            </w:r>
          </w:p>
        </w:tc>
        <w:tc>
          <w:tcPr>
            <w:tcW w:w="6237" w:type="dxa"/>
            <w:tcBorders>
              <w:top w:val="nil"/>
              <w:left w:val="nil"/>
              <w:bottom w:val="nil"/>
              <w:right w:val="nil"/>
            </w:tcBorders>
            <w:tcMar>
              <w:top w:w="0" w:type="dxa"/>
              <w:left w:w="0" w:type="dxa"/>
              <w:bottom w:w="0" w:type="dxa"/>
              <w:right w:w="0" w:type="dxa"/>
            </w:tcMar>
            <w:vAlign w:val="center"/>
          </w:tcPr>
          <w:p w14:paraId="465DFA2A" w14:textId="5A4ADFA0" w:rsidR="005F77A8" w:rsidRPr="00E06694" w:rsidRDefault="00D162DA"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same five plants were defoliated, and their roots were individually weighed using a previously calibrated digital scale. The average root weight per experimental unit was then recorded in grams.</w:t>
            </w:r>
          </w:p>
        </w:tc>
      </w:tr>
      <w:tr w:rsidR="005F77A8" w:rsidRPr="00E06694" w14:paraId="5AC66E9A" w14:textId="77777777" w:rsidTr="00562B5B">
        <w:trPr>
          <w:trHeight w:val="480"/>
        </w:trPr>
        <w:tc>
          <w:tcPr>
            <w:tcW w:w="2835" w:type="dxa"/>
            <w:tcBorders>
              <w:top w:val="nil"/>
              <w:left w:val="nil"/>
              <w:bottom w:val="nil"/>
              <w:right w:val="nil"/>
            </w:tcBorders>
            <w:tcMar>
              <w:top w:w="0" w:type="dxa"/>
              <w:left w:w="0" w:type="dxa"/>
              <w:bottom w:w="0" w:type="dxa"/>
              <w:right w:w="0" w:type="dxa"/>
            </w:tcMar>
            <w:vAlign w:val="center"/>
          </w:tcPr>
          <w:p w14:paraId="71512688"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Root shoulder diameter</w:t>
            </w:r>
          </w:p>
        </w:tc>
        <w:tc>
          <w:tcPr>
            <w:tcW w:w="6237" w:type="dxa"/>
            <w:tcBorders>
              <w:top w:val="nil"/>
              <w:left w:val="nil"/>
              <w:bottom w:val="nil"/>
              <w:right w:val="nil"/>
            </w:tcBorders>
            <w:tcMar>
              <w:top w:w="0" w:type="dxa"/>
              <w:left w:w="0" w:type="dxa"/>
              <w:bottom w:w="0" w:type="dxa"/>
              <w:right w:w="0" w:type="dxa"/>
            </w:tcMar>
            <w:vAlign w:val="center"/>
          </w:tcPr>
          <w:p w14:paraId="25FC4A98" w14:textId="192CEE1B" w:rsidR="005F77A8" w:rsidRPr="00E06694" w:rsidRDefault="00D162DA"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shoulder diameter of the same five roots was measured using a Vernier caliper, and the average diameter per experimental unit was recorded in centimeters.</w:t>
            </w:r>
          </w:p>
        </w:tc>
      </w:tr>
      <w:tr w:rsidR="005F77A8" w:rsidRPr="00E06694" w14:paraId="5AFAAB35" w14:textId="77777777" w:rsidTr="00562B5B">
        <w:trPr>
          <w:trHeight w:val="660"/>
        </w:trPr>
        <w:tc>
          <w:tcPr>
            <w:tcW w:w="2835" w:type="dxa"/>
            <w:tcBorders>
              <w:top w:val="nil"/>
              <w:left w:val="nil"/>
              <w:bottom w:val="nil"/>
              <w:right w:val="nil"/>
            </w:tcBorders>
            <w:tcMar>
              <w:top w:w="0" w:type="dxa"/>
              <w:left w:w="0" w:type="dxa"/>
              <w:bottom w:w="0" w:type="dxa"/>
              <w:right w:w="0" w:type="dxa"/>
            </w:tcMar>
            <w:vAlign w:val="center"/>
          </w:tcPr>
          <w:p w14:paraId="098DEB6E"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Diameter of the cortex</w:t>
            </w:r>
          </w:p>
        </w:tc>
        <w:tc>
          <w:tcPr>
            <w:tcW w:w="6237" w:type="dxa"/>
            <w:tcBorders>
              <w:top w:val="nil"/>
              <w:left w:val="nil"/>
              <w:bottom w:val="nil"/>
              <w:right w:val="nil"/>
            </w:tcBorders>
            <w:tcMar>
              <w:top w:w="0" w:type="dxa"/>
              <w:left w:w="0" w:type="dxa"/>
              <w:bottom w:w="0" w:type="dxa"/>
              <w:right w:w="0" w:type="dxa"/>
            </w:tcMar>
            <w:vAlign w:val="center"/>
          </w:tcPr>
          <w:p w14:paraId="676CFB89" w14:textId="070236FA" w:rsidR="005F77A8" w:rsidRPr="00E06694" w:rsidRDefault="00D162DA" w:rsidP="0041578C">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A cross-section was made at the midpoint of each of the same five roots to expose the cortex. The cortex diameter was measured using a Vernier caliper, and the average value was recorded in millimeters.</w:t>
            </w:r>
          </w:p>
        </w:tc>
      </w:tr>
      <w:tr w:rsidR="005F77A8" w:rsidRPr="00E06694" w14:paraId="717326A0" w14:textId="77777777" w:rsidTr="00562B5B">
        <w:trPr>
          <w:trHeight w:val="501"/>
        </w:trPr>
        <w:tc>
          <w:tcPr>
            <w:tcW w:w="2835" w:type="dxa"/>
            <w:tcBorders>
              <w:top w:val="nil"/>
              <w:left w:val="nil"/>
              <w:bottom w:val="single" w:sz="4" w:space="0" w:color="000000"/>
              <w:right w:val="nil"/>
            </w:tcBorders>
            <w:tcMar>
              <w:top w:w="0" w:type="dxa"/>
              <w:left w:w="0" w:type="dxa"/>
              <w:bottom w:w="0" w:type="dxa"/>
              <w:right w:w="0" w:type="dxa"/>
            </w:tcMar>
            <w:vAlign w:val="center"/>
          </w:tcPr>
          <w:p w14:paraId="5D86F46E" w14:textId="77777777" w:rsidR="005F77A8" w:rsidRPr="00E06694" w:rsidRDefault="005F77A8" w:rsidP="00DC79FF">
            <w:pPr>
              <w:spacing w:after="0" w:line="240" w:lineRule="auto"/>
              <w:ind w:left="0"/>
              <w:jc w:val="left"/>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Commercial performance</w:t>
            </w:r>
          </w:p>
        </w:tc>
        <w:tc>
          <w:tcPr>
            <w:tcW w:w="6237" w:type="dxa"/>
            <w:tcBorders>
              <w:top w:val="nil"/>
              <w:left w:val="nil"/>
              <w:bottom w:val="single" w:sz="4" w:space="0" w:color="000000"/>
              <w:right w:val="nil"/>
            </w:tcBorders>
            <w:tcMar>
              <w:top w:w="0" w:type="dxa"/>
              <w:left w:w="0" w:type="dxa"/>
              <w:bottom w:w="0" w:type="dxa"/>
              <w:right w:w="0" w:type="dxa"/>
            </w:tcMar>
            <w:vAlign w:val="center"/>
          </w:tcPr>
          <w:p w14:paraId="1D5C1A8C" w14:textId="1D8E5E73" w:rsidR="005F77A8" w:rsidRPr="00E06694" w:rsidRDefault="009F36F3" w:rsidP="00D13AB7">
            <w:pPr>
              <w:spacing w:before="120"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Carrot</w:t>
            </w:r>
            <w:r w:rsidR="00E37491" w:rsidRPr="00E06694">
              <w:rPr>
                <w:rFonts w:ascii="Times New Roman" w:eastAsia="Times New Roman" w:hAnsi="Times New Roman" w:cs="Times New Roman"/>
                <w:sz w:val="24"/>
                <w:szCs w:val="24"/>
              </w:rPr>
              <w:t xml:space="preserve"> yield was calculated as the sum of the first-, second-, and third-grade root yields</w:t>
            </w:r>
            <w:r w:rsidR="00D13AB7" w:rsidRPr="00E06694">
              <w:rPr>
                <w:rFonts w:ascii="Times New Roman" w:eastAsia="Times New Roman" w:hAnsi="Times New Roman" w:cs="Times New Roman"/>
                <w:sz w:val="24"/>
                <w:szCs w:val="24"/>
              </w:rPr>
              <w:t>,</w:t>
            </w:r>
            <w:r w:rsidR="00E37491" w:rsidRPr="00E06694">
              <w:rPr>
                <w:rFonts w:ascii="Times New Roman" w:eastAsia="Times New Roman" w:hAnsi="Times New Roman" w:cs="Times New Roman"/>
                <w:sz w:val="24"/>
                <w:szCs w:val="24"/>
              </w:rPr>
              <w:t xml:space="preserve"> and </w:t>
            </w:r>
            <w:r w:rsidR="00FC2566" w:rsidRPr="00E06694">
              <w:rPr>
                <w:rFonts w:ascii="Times New Roman" w:eastAsia="Times New Roman" w:hAnsi="Times New Roman" w:cs="Times New Roman"/>
                <w:sz w:val="24"/>
                <w:szCs w:val="24"/>
              </w:rPr>
              <w:t xml:space="preserve">was </w:t>
            </w:r>
            <w:r w:rsidR="00E37491" w:rsidRPr="00E06694">
              <w:rPr>
                <w:rFonts w:ascii="Times New Roman" w:eastAsia="Times New Roman" w:hAnsi="Times New Roman" w:cs="Times New Roman"/>
                <w:sz w:val="24"/>
                <w:szCs w:val="24"/>
              </w:rPr>
              <w:t>expressed in kg ha</w:t>
            </w:r>
            <w:r w:rsidR="00E37491" w:rsidRPr="00E06694">
              <w:rPr>
                <w:rFonts w:ascii="Times New Roman" w:eastAsia="Times New Roman" w:hAnsi="Times New Roman" w:cs="Times New Roman"/>
                <w:sz w:val="24"/>
                <w:szCs w:val="24"/>
                <w:vertAlign w:val="superscript"/>
              </w:rPr>
              <w:t>-1</w:t>
            </w:r>
            <w:r w:rsidR="005F77A8" w:rsidRPr="00E06694">
              <w:rPr>
                <w:rFonts w:ascii="Times New Roman" w:eastAsia="Times New Roman" w:hAnsi="Times New Roman" w:cs="Times New Roman"/>
                <w:sz w:val="24"/>
                <w:szCs w:val="24"/>
              </w:rPr>
              <w:t>.</w:t>
            </w:r>
          </w:p>
        </w:tc>
      </w:tr>
    </w:tbl>
    <w:p w14:paraId="37D352BC" w14:textId="77777777" w:rsidR="000E792C" w:rsidRPr="00E06694" w:rsidRDefault="000E792C" w:rsidP="000E792C">
      <w:pPr>
        <w:spacing w:after="0" w:line="240" w:lineRule="auto"/>
        <w:ind w:left="0" w:firstLine="567"/>
        <w:rPr>
          <w:rFonts w:ascii="Times New Roman" w:eastAsia="Times New Roman" w:hAnsi="Times New Roman" w:cs="Times New Roman"/>
          <w:sz w:val="24"/>
          <w:szCs w:val="24"/>
        </w:rPr>
      </w:pPr>
    </w:p>
    <w:p w14:paraId="37B48AA5"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Statistical analysis</w:t>
      </w:r>
    </w:p>
    <w:p w14:paraId="43EB4612" w14:textId="09E4C786" w:rsidR="000E792C" w:rsidRPr="00E06694" w:rsidRDefault="008B60EE" w:rsidP="00227DEA">
      <w:pPr>
        <w:spacing w:after="0" w:line="240" w:lineRule="auto"/>
        <w:ind w:left="0" w:firstLine="567"/>
        <w:rPr>
          <w:rFonts w:ascii="Times New Roman" w:eastAsia="Times New Roman" w:hAnsi="Times New Roman" w:cs="Times New Roman"/>
          <w:sz w:val="24"/>
          <w:szCs w:val="24"/>
        </w:rPr>
      </w:pPr>
      <w:r w:rsidRPr="00E06694">
        <w:rPr>
          <w:rFonts w:ascii="Times New Roman" w:eastAsia="Gungsuh" w:hAnsi="Times New Roman" w:cs="Times New Roman"/>
          <w:sz w:val="24"/>
          <w:szCs w:val="24"/>
        </w:rPr>
        <w:t xml:space="preserve">The study was conducted using a randomized complete block design in a </w:t>
      </w:r>
      <w:r w:rsidR="00435418" w:rsidRPr="00E06694">
        <w:rPr>
          <w:rFonts w:ascii="Times New Roman" w:eastAsia="Gungsuh" w:hAnsi="Times New Roman" w:cs="Times New Roman"/>
          <w:sz w:val="24"/>
          <w:szCs w:val="24"/>
        </w:rPr>
        <w:t>r</w:t>
      </w:r>
      <w:r w:rsidRPr="00E06694">
        <w:rPr>
          <w:rFonts w:ascii="Times New Roman" w:eastAsia="Gungsuh" w:hAnsi="Times New Roman" w:cs="Times New Roman"/>
          <w:sz w:val="24"/>
          <w:szCs w:val="24"/>
        </w:rPr>
        <w:t xml:space="preserve">ows and </w:t>
      </w:r>
      <w:r w:rsidR="00435418" w:rsidRPr="00E06694">
        <w:rPr>
          <w:rFonts w:ascii="Times New Roman" w:eastAsia="Gungsuh" w:hAnsi="Times New Roman" w:cs="Times New Roman"/>
          <w:sz w:val="24"/>
          <w:szCs w:val="24"/>
        </w:rPr>
        <w:t>c</w:t>
      </w:r>
      <w:r w:rsidRPr="00E06694">
        <w:rPr>
          <w:rFonts w:ascii="Times New Roman" w:eastAsia="Gungsuh" w:hAnsi="Times New Roman" w:cs="Times New Roman"/>
          <w:sz w:val="24"/>
          <w:szCs w:val="24"/>
        </w:rPr>
        <w:t>olumns layout across two locations with four replications. Statistical analyses were carried out using R software (version 4.4.3), incorporating: (1) principal component analysis (PCA) to assess multivariate patterns related to yield, losses, vegetative growth, and root quality; and (2) univariate mixed-effects models for each response variable to estimate variance components and interaction effects. Mean comparisons were performed using Tukey’s test (p ≤ 0.05), complemented by the calculation of the coefficient of variation (CV) and the coefficient of determination (R²) to evaluate experimental precision and model goodness of fit.</w:t>
      </w:r>
    </w:p>
    <w:p w14:paraId="342D7977" w14:textId="4F999E86" w:rsidR="005F77A8" w:rsidRPr="00E06694" w:rsidRDefault="005F77A8" w:rsidP="00227DEA">
      <w:pPr>
        <w:spacing w:after="0" w:line="240" w:lineRule="auto"/>
        <w:ind w:left="0" w:firstLine="567"/>
        <w:rPr>
          <w:rFonts w:ascii="Times New Roman" w:eastAsia="Times New Roman" w:hAnsi="Times New Roman" w:cs="Times New Roman"/>
          <w:sz w:val="24"/>
          <w:szCs w:val="24"/>
        </w:rPr>
      </w:pPr>
    </w:p>
    <w:p w14:paraId="52F0B1A8" w14:textId="51460D09" w:rsidR="00F90484" w:rsidRPr="00E06694" w:rsidRDefault="00435418" w:rsidP="000E792C">
      <w:pPr>
        <w:spacing w:after="0" w:line="240" w:lineRule="auto"/>
        <w:ind w:left="0"/>
        <w:rPr>
          <w:rFonts w:ascii="Times New Roman" w:eastAsia="Times New Roman" w:hAnsi="Times New Roman" w:cs="Times New Roman"/>
          <w:b/>
          <w:sz w:val="24"/>
          <w:szCs w:val="24"/>
        </w:rPr>
      </w:pPr>
      <w:r w:rsidRPr="00E06694">
        <w:rPr>
          <w:rFonts w:ascii="Times New Roman" w:eastAsia="Times New Roman" w:hAnsi="Times New Roman" w:cs="Times New Roman"/>
          <w:b/>
          <w:sz w:val="24"/>
          <w:szCs w:val="24"/>
        </w:rPr>
        <w:t>Results and Discussion</w:t>
      </w:r>
    </w:p>
    <w:p w14:paraId="7795BE71" w14:textId="77777777" w:rsidR="00435418" w:rsidRPr="00E06694" w:rsidRDefault="00435418" w:rsidP="00435418">
      <w:pPr>
        <w:spacing w:after="0" w:line="240" w:lineRule="auto"/>
        <w:ind w:left="0" w:firstLine="567"/>
        <w:jc w:val="left"/>
        <w:rPr>
          <w:rFonts w:ascii="Times New Roman" w:eastAsia="Times New Roman" w:hAnsi="Times New Roman" w:cs="Times New Roman"/>
          <w:sz w:val="24"/>
          <w:szCs w:val="24"/>
        </w:rPr>
      </w:pPr>
    </w:p>
    <w:p w14:paraId="76DC6986" w14:textId="46B7F567" w:rsidR="00F90484" w:rsidRPr="00E06694" w:rsidRDefault="0093250E" w:rsidP="00D159E3">
      <w:pPr>
        <w:spacing w:after="0" w:line="240" w:lineRule="auto"/>
        <w:ind w:left="0"/>
        <w:jc w:val="left"/>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Principal component analysis: performance and losses</w:t>
      </w:r>
    </w:p>
    <w:p w14:paraId="6D5CDAFE" w14:textId="57B8DB45" w:rsidR="00EF3729" w:rsidRPr="00E06694" w:rsidRDefault="009F36F3" w:rsidP="00435418">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Figure 1 presents the principal component analysis (PCA) biplot based on PC1 and PC2, which together explain 80% of the total variance among treatments for yield-related variables. The variables contributing most to PC1 (interpreted as productive efficiency) were root weight (8.93%), gross yield (17.31%), first harvest yield (18.63%), second harvest yield (17.67%), and commercial yield (18.56%). In contrast, variables contributing most to PC2 (associated with losses) were root length (16.01%), third harvest yield (25.21%), and discard rate (24.00%). The PCA revealed that varieties cultivated in raised beds clustered along the vectors associated with productive efficiency (PC1), whereas those grown under the traditional system clustered along the loss-related vectors (PC2). The Altiplano variety grown in raised beds exhibited the highest yields and the lowest losses in both environments. </w:t>
      </w:r>
      <w:r w:rsidR="004E1689" w:rsidRPr="00E06694">
        <w:rPr>
          <w:rFonts w:ascii="Times New Roman" w:eastAsia="Times New Roman" w:hAnsi="Times New Roman" w:cs="Times New Roman"/>
          <w:sz w:val="24"/>
          <w:szCs w:val="24"/>
        </w:rPr>
        <w:t>The high proportion of variance explained by the two principal components supports this distinction</w:t>
      </w:r>
      <w:r w:rsidRPr="00E06694">
        <w:rPr>
          <w:rFonts w:ascii="Times New Roman" w:eastAsia="Times New Roman" w:hAnsi="Times New Roman" w:cs="Times New Roman"/>
          <w:sz w:val="24"/>
          <w:szCs w:val="24"/>
        </w:rPr>
        <w:t xml:space="preserve"> (PC1: 59.20%; PC2: 20.80%) (Bussi &amp; </w:t>
      </w:r>
      <w:proofErr w:type="spellStart"/>
      <w:r w:rsidRPr="00E06694">
        <w:rPr>
          <w:rFonts w:ascii="Times New Roman" w:eastAsia="Times New Roman" w:hAnsi="Times New Roman" w:cs="Times New Roman"/>
          <w:sz w:val="24"/>
          <w:szCs w:val="24"/>
        </w:rPr>
        <w:t>Ciccioli</w:t>
      </w:r>
      <w:proofErr w:type="spellEnd"/>
      <w:r w:rsidRPr="00E06694">
        <w:rPr>
          <w:rFonts w:ascii="Times New Roman" w:eastAsia="Times New Roman" w:hAnsi="Times New Roman" w:cs="Times New Roman"/>
          <w:sz w:val="24"/>
          <w:szCs w:val="24"/>
        </w:rPr>
        <w:t>, 2015).</w:t>
      </w:r>
    </w:p>
    <w:p w14:paraId="1E5E7CAE" w14:textId="1770B42F" w:rsidR="00EF3729" w:rsidRPr="00E06694" w:rsidRDefault="00EF3729" w:rsidP="00435418">
      <w:pPr>
        <w:spacing w:after="0" w:line="240" w:lineRule="auto"/>
        <w:ind w:left="0" w:firstLine="567"/>
        <w:rPr>
          <w:rFonts w:ascii="Times New Roman" w:eastAsia="Times New Roman" w:hAnsi="Times New Roman" w:cs="Times New Roman"/>
          <w:sz w:val="24"/>
          <w:szCs w:val="24"/>
        </w:rPr>
      </w:pPr>
    </w:p>
    <w:p w14:paraId="49A97876" w14:textId="77777777" w:rsidR="0062467A" w:rsidRPr="00E06694" w:rsidRDefault="0062467A" w:rsidP="0062467A">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b/>
          <w:sz w:val="24"/>
          <w:szCs w:val="24"/>
        </w:rPr>
        <w:t>Figure 1.</w:t>
      </w:r>
      <w:r w:rsidRPr="00E06694">
        <w:rPr>
          <w:rFonts w:ascii="Times New Roman" w:eastAsia="Times New Roman" w:hAnsi="Times New Roman" w:cs="Times New Roman"/>
          <w:sz w:val="24"/>
          <w:szCs w:val="24"/>
        </w:rPr>
        <w:t xml:space="preserve"> Principal component analysis (PCA) using biplot: interaction between treatments and yield and loss variables.</w:t>
      </w:r>
    </w:p>
    <w:p w14:paraId="057F214F" w14:textId="77777777" w:rsidR="0062467A" w:rsidRPr="00E06694" w:rsidRDefault="0062467A" w:rsidP="0062467A">
      <w:pPr>
        <w:spacing w:after="0" w:line="240" w:lineRule="auto"/>
        <w:ind w:left="0"/>
        <w:jc w:val="center"/>
        <w:rPr>
          <w:rFonts w:ascii="Times New Roman" w:eastAsia="Times New Roman" w:hAnsi="Times New Roman" w:cs="Times New Roman"/>
          <w:i/>
          <w:sz w:val="24"/>
          <w:szCs w:val="24"/>
        </w:rPr>
      </w:pPr>
      <w:r w:rsidRPr="00E06694">
        <w:rPr>
          <w:rFonts w:ascii="Times New Roman" w:eastAsia="Times New Roman" w:hAnsi="Times New Roman" w:cs="Times New Roman"/>
          <w:i/>
          <w:noProof/>
          <w:sz w:val="24"/>
          <w:szCs w:val="24"/>
          <w:lang w:val="pt-BR" w:eastAsia="pt-BR"/>
        </w:rPr>
        <w:drawing>
          <wp:inline distT="0" distB="0" distL="0" distR="0" wp14:anchorId="64092B1C" wp14:editId="4EC7C8D5">
            <wp:extent cx="5944235" cy="29749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944235" cy="2974975"/>
                    </a:xfrm>
                    <a:prstGeom prst="rect">
                      <a:avLst/>
                    </a:prstGeom>
                    <a:noFill/>
                  </pic:spPr>
                </pic:pic>
              </a:graphicData>
            </a:graphic>
          </wp:inline>
        </w:drawing>
      </w:r>
    </w:p>
    <w:p w14:paraId="59BD2E63" w14:textId="47E42CEC" w:rsidR="0062467A" w:rsidRPr="00E06694" w:rsidRDefault="0062467A" w:rsidP="0062467A">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CC = raised bed planting system; SC = traditional planting system; RPRI = first-grade yield; RCOM = commercial yield; RSEG = second-grade root yield; RBRU = gross root yield; RTER = third-grade root yield; DESCARTE = discarded roots; LR = root length; PR = root weight.</w:t>
      </w:r>
    </w:p>
    <w:p w14:paraId="15CB9B5D" w14:textId="77777777" w:rsidR="0062467A" w:rsidRPr="00E06694" w:rsidRDefault="0062467A" w:rsidP="0062467A">
      <w:pPr>
        <w:spacing w:after="0" w:line="240" w:lineRule="auto"/>
        <w:ind w:left="0" w:firstLine="567"/>
        <w:rPr>
          <w:rFonts w:ascii="Times New Roman" w:eastAsia="Times New Roman" w:hAnsi="Times New Roman" w:cs="Times New Roman"/>
          <w:sz w:val="24"/>
          <w:szCs w:val="24"/>
        </w:rPr>
      </w:pPr>
    </w:p>
    <w:p w14:paraId="3E9C9471" w14:textId="77777777" w:rsidR="00F90484" w:rsidRPr="00E06694" w:rsidRDefault="0093250E" w:rsidP="00D159E3">
      <w:pPr>
        <w:spacing w:after="0" w:line="240" w:lineRule="auto"/>
        <w:ind w:left="0"/>
        <w:jc w:val="left"/>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Principal component analysis: vegetative development and root quality</w:t>
      </w:r>
    </w:p>
    <w:p w14:paraId="577B4814" w14:textId="40CEF48C" w:rsidR="001F6944" w:rsidRPr="00E06694" w:rsidRDefault="00122066" w:rsidP="002E1193">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Figure 2 displays the principal component analysis (PCA) biplot based on PC1 and PC2, which together account for 73.10% of the total variance among treatments for vegetative development and root quality variables. Days to emergence (30.03%) and days to harvest (27.45%) were the primary contributors to PC1, representing vegetative development. In contrast, number of lenticels (35.80%) and shoulder diameter (31.06%) contributed most to PC2, representing root quality. The PCA revealed that varieties grown in raised beds clustered near the vectors associated with root quality (PC2), while the INIAF Larga Vida and Montenegro 1 varieties</w:t>
      </w:r>
      <w:r w:rsidR="00745168"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regardless of cultivation system</w:t>
      </w:r>
      <w:r w:rsidR="00745168"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 xml:space="preserve">were more strongly associated with the vegetative development vectors (PC1), indicating a consistent pattern of early development across environments. </w:t>
      </w:r>
      <w:r w:rsidR="00745168" w:rsidRPr="00E06694">
        <w:rPr>
          <w:rFonts w:ascii="Times New Roman" w:eastAsia="Times New Roman" w:hAnsi="Times New Roman" w:cs="Times New Roman"/>
          <w:sz w:val="24"/>
          <w:szCs w:val="24"/>
        </w:rPr>
        <w:t>The high proportion of variance explained by the principal components supports this differentiation</w:t>
      </w:r>
      <w:r w:rsidRPr="00E06694">
        <w:rPr>
          <w:rFonts w:ascii="Times New Roman" w:eastAsia="Times New Roman" w:hAnsi="Times New Roman" w:cs="Times New Roman"/>
          <w:sz w:val="24"/>
          <w:szCs w:val="24"/>
        </w:rPr>
        <w:t xml:space="preserve"> (PC1: 45.20%; PC2: 27.90%) (Bussi &amp; </w:t>
      </w:r>
      <w:proofErr w:type="spellStart"/>
      <w:r w:rsidRPr="00E06694">
        <w:rPr>
          <w:rFonts w:ascii="Times New Roman" w:eastAsia="Times New Roman" w:hAnsi="Times New Roman" w:cs="Times New Roman"/>
          <w:sz w:val="24"/>
          <w:szCs w:val="24"/>
        </w:rPr>
        <w:t>Ciccioli</w:t>
      </w:r>
      <w:proofErr w:type="spellEnd"/>
      <w:r w:rsidRPr="00E06694">
        <w:rPr>
          <w:rFonts w:ascii="Times New Roman" w:eastAsia="Times New Roman" w:hAnsi="Times New Roman" w:cs="Times New Roman"/>
          <w:sz w:val="24"/>
          <w:szCs w:val="24"/>
        </w:rPr>
        <w:t>, 2015).</w:t>
      </w:r>
    </w:p>
    <w:p w14:paraId="434664B2" w14:textId="77777777" w:rsidR="003E1013" w:rsidRPr="00E06694" w:rsidRDefault="003E1013" w:rsidP="002E1193">
      <w:pPr>
        <w:spacing w:after="0" w:line="240" w:lineRule="auto"/>
        <w:ind w:left="0" w:firstLine="567"/>
        <w:rPr>
          <w:rFonts w:ascii="Times New Roman" w:eastAsia="Times New Roman" w:hAnsi="Times New Roman" w:cs="Times New Roman"/>
          <w:sz w:val="24"/>
          <w:szCs w:val="24"/>
        </w:rPr>
      </w:pPr>
    </w:p>
    <w:p w14:paraId="74D49F2B" w14:textId="156BA759" w:rsidR="00F90484" w:rsidRPr="00E06694" w:rsidRDefault="0093250E" w:rsidP="003E1013">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b/>
          <w:sz w:val="24"/>
          <w:szCs w:val="24"/>
        </w:rPr>
        <w:t>Figure 2.</w:t>
      </w:r>
      <w:r w:rsidR="002F5D9B"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Principal component analysis (PCA) using biplot: interaction between treatments and variables of vegetative development and root quality.</w:t>
      </w:r>
    </w:p>
    <w:p w14:paraId="1BEB1A9A" w14:textId="3908BFF3" w:rsidR="00F90484" w:rsidRPr="00E06694" w:rsidRDefault="001F6944" w:rsidP="003E1013">
      <w:pPr>
        <w:spacing w:after="0" w:line="240" w:lineRule="auto"/>
        <w:ind w:left="0"/>
        <w:jc w:val="center"/>
        <w:rPr>
          <w:rFonts w:ascii="Times New Roman" w:eastAsia="Times New Roman" w:hAnsi="Times New Roman" w:cs="Times New Roman"/>
          <w:sz w:val="24"/>
          <w:szCs w:val="24"/>
        </w:rPr>
      </w:pPr>
      <w:r w:rsidRPr="00E06694">
        <w:rPr>
          <w:rFonts w:ascii="Times New Roman" w:eastAsia="Times New Roman" w:hAnsi="Times New Roman" w:cs="Times New Roman"/>
          <w:noProof/>
          <w:sz w:val="24"/>
          <w:szCs w:val="24"/>
          <w:lang w:val="pt-BR" w:eastAsia="pt-BR"/>
        </w:rPr>
        <w:lastRenderedPageBreak/>
        <w:drawing>
          <wp:inline distT="0" distB="0" distL="0" distR="0" wp14:anchorId="265964DE" wp14:editId="5AA6508C">
            <wp:extent cx="5944235" cy="297497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944235" cy="2974975"/>
                    </a:xfrm>
                    <a:prstGeom prst="rect">
                      <a:avLst/>
                    </a:prstGeom>
                    <a:noFill/>
                  </pic:spPr>
                </pic:pic>
              </a:graphicData>
            </a:graphic>
          </wp:inline>
        </w:drawing>
      </w:r>
    </w:p>
    <w:p w14:paraId="177EF4A2" w14:textId="0A30DE98" w:rsidR="00F90484" w:rsidRPr="00E06694" w:rsidRDefault="0093250E" w:rsidP="003E1013">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CC= </w:t>
      </w:r>
      <w:r w:rsidR="003E1013" w:rsidRPr="00E06694">
        <w:rPr>
          <w:rFonts w:ascii="Times New Roman" w:eastAsia="Times New Roman" w:hAnsi="Times New Roman" w:cs="Times New Roman"/>
          <w:sz w:val="24"/>
          <w:szCs w:val="24"/>
        </w:rPr>
        <w:t>r</w:t>
      </w:r>
      <w:r w:rsidRPr="00E06694">
        <w:rPr>
          <w:rFonts w:ascii="Times New Roman" w:eastAsia="Times New Roman" w:hAnsi="Times New Roman" w:cs="Times New Roman"/>
          <w:sz w:val="24"/>
          <w:szCs w:val="24"/>
        </w:rPr>
        <w:t xml:space="preserve">aised bed planting system; SC= </w:t>
      </w:r>
      <w:r w:rsidR="003E1013" w:rsidRPr="00E06694">
        <w:rPr>
          <w:rFonts w:ascii="Times New Roman" w:eastAsia="Times New Roman" w:hAnsi="Times New Roman" w:cs="Times New Roman"/>
          <w:sz w:val="24"/>
          <w:szCs w:val="24"/>
        </w:rPr>
        <w:t>t</w:t>
      </w:r>
      <w:r w:rsidRPr="00E06694">
        <w:rPr>
          <w:rFonts w:ascii="Times New Roman" w:eastAsia="Times New Roman" w:hAnsi="Times New Roman" w:cs="Times New Roman"/>
          <w:sz w:val="24"/>
          <w:szCs w:val="24"/>
        </w:rPr>
        <w:t xml:space="preserve">raditional planting system; DCX= </w:t>
      </w:r>
      <w:r w:rsidR="003E1013" w:rsidRPr="00E06694">
        <w:rPr>
          <w:rFonts w:ascii="Times New Roman" w:eastAsia="Times New Roman" w:hAnsi="Times New Roman" w:cs="Times New Roman"/>
          <w:sz w:val="24"/>
          <w:szCs w:val="24"/>
        </w:rPr>
        <w:t>c</w:t>
      </w:r>
      <w:r w:rsidRPr="00E06694">
        <w:rPr>
          <w:rFonts w:ascii="Times New Roman" w:eastAsia="Times New Roman" w:hAnsi="Times New Roman" w:cs="Times New Roman"/>
          <w:sz w:val="24"/>
          <w:szCs w:val="24"/>
        </w:rPr>
        <w:t xml:space="preserve">ortex diameter; NLEN= </w:t>
      </w:r>
      <w:r w:rsidR="003E1013" w:rsidRPr="00E06694">
        <w:rPr>
          <w:rFonts w:ascii="Times New Roman" w:eastAsia="Times New Roman" w:hAnsi="Times New Roman" w:cs="Times New Roman"/>
          <w:sz w:val="24"/>
          <w:szCs w:val="24"/>
        </w:rPr>
        <w:t>nu</w:t>
      </w:r>
      <w:r w:rsidRPr="00E06694">
        <w:rPr>
          <w:rFonts w:ascii="Times New Roman" w:eastAsia="Times New Roman" w:hAnsi="Times New Roman" w:cs="Times New Roman"/>
          <w:sz w:val="24"/>
          <w:szCs w:val="24"/>
        </w:rPr>
        <w:t xml:space="preserve">mber of lenticels; DEM= </w:t>
      </w:r>
      <w:r w:rsidR="003E1013" w:rsidRPr="00E06694">
        <w:rPr>
          <w:rFonts w:ascii="Times New Roman" w:eastAsia="Times New Roman" w:hAnsi="Times New Roman" w:cs="Times New Roman"/>
          <w:sz w:val="24"/>
          <w:szCs w:val="24"/>
        </w:rPr>
        <w:t>d</w:t>
      </w:r>
      <w:r w:rsidRPr="00E06694">
        <w:rPr>
          <w:rFonts w:ascii="Times New Roman" w:eastAsia="Times New Roman" w:hAnsi="Times New Roman" w:cs="Times New Roman"/>
          <w:sz w:val="24"/>
          <w:szCs w:val="24"/>
        </w:rPr>
        <w:t xml:space="preserve">ays to emergence; DCO= </w:t>
      </w:r>
      <w:r w:rsidR="003E1013" w:rsidRPr="00E06694">
        <w:rPr>
          <w:rFonts w:ascii="Times New Roman" w:eastAsia="Times New Roman" w:hAnsi="Times New Roman" w:cs="Times New Roman"/>
          <w:sz w:val="24"/>
          <w:szCs w:val="24"/>
        </w:rPr>
        <w:t>da</w:t>
      </w:r>
      <w:r w:rsidRPr="00E06694">
        <w:rPr>
          <w:rFonts w:ascii="Times New Roman" w:eastAsia="Times New Roman" w:hAnsi="Times New Roman" w:cs="Times New Roman"/>
          <w:sz w:val="24"/>
          <w:szCs w:val="24"/>
        </w:rPr>
        <w:t xml:space="preserve">ys to harvest; NH= </w:t>
      </w:r>
      <w:r w:rsidR="003E1013" w:rsidRPr="00E06694">
        <w:rPr>
          <w:rFonts w:ascii="Times New Roman" w:eastAsia="Times New Roman" w:hAnsi="Times New Roman" w:cs="Times New Roman"/>
          <w:sz w:val="24"/>
          <w:szCs w:val="24"/>
        </w:rPr>
        <w:t>nu</w:t>
      </w:r>
      <w:r w:rsidRPr="00E06694">
        <w:rPr>
          <w:rFonts w:ascii="Times New Roman" w:eastAsia="Times New Roman" w:hAnsi="Times New Roman" w:cs="Times New Roman"/>
          <w:sz w:val="24"/>
          <w:szCs w:val="24"/>
        </w:rPr>
        <w:t>mber of leaves; DH=</w:t>
      </w:r>
      <w:r w:rsidR="003E1013" w:rsidRPr="00E06694">
        <w:rPr>
          <w:rFonts w:ascii="Times New Roman" w:eastAsia="Times New Roman" w:hAnsi="Times New Roman" w:cs="Times New Roman"/>
          <w:sz w:val="24"/>
          <w:szCs w:val="24"/>
        </w:rPr>
        <w:t xml:space="preserve"> s</w:t>
      </w:r>
      <w:r w:rsidRPr="00E06694">
        <w:rPr>
          <w:rFonts w:ascii="Times New Roman" w:eastAsia="Times New Roman" w:hAnsi="Times New Roman" w:cs="Times New Roman"/>
          <w:sz w:val="24"/>
          <w:szCs w:val="24"/>
        </w:rPr>
        <w:t>houlder diameter.</w:t>
      </w:r>
    </w:p>
    <w:p w14:paraId="4927D6F6" w14:textId="77777777" w:rsidR="003E1013" w:rsidRPr="00E06694" w:rsidRDefault="003E1013" w:rsidP="003E1013">
      <w:pPr>
        <w:spacing w:after="0" w:line="240" w:lineRule="auto"/>
        <w:ind w:left="0" w:firstLine="567"/>
        <w:rPr>
          <w:rFonts w:ascii="Times New Roman" w:eastAsia="Times New Roman" w:hAnsi="Times New Roman" w:cs="Times New Roman"/>
          <w:sz w:val="24"/>
          <w:szCs w:val="24"/>
        </w:rPr>
      </w:pPr>
    </w:p>
    <w:p w14:paraId="2C36BC8B"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Incidence of pests and diseases</w:t>
      </w:r>
    </w:p>
    <w:p w14:paraId="3CA35C80" w14:textId="2A337FD4" w:rsidR="007D12E6" w:rsidRPr="00E06694" w:rsidRDefault="007D12E6" w:rsidP="000B0B0F">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The primary disease affecting carrot crops in the study region is root rot caused by </w:t>
      </w:r>
      <w:r w:rsidRPr="00E06694">
        <w:rPr>
          <w:rFonts w:ascii="Times New Roman" w:eastAsia="Times New Roman" w:hAnsi="Times New Roman" w:cs="Times New Roman"/>
          <w:i/>
          <w:sz w:val="24"/>
          <w:szCs w:val="24"/>
        </w:rPr>
        <w:t>Sclerotinia</w:t>
      </w:r>
      <w:r w:rsidRPr="00E06694">
        <w:rPr>
          <w:rFonts w:ascii="Times New Roman" w:eastAsia="Times New Roman" w:hAnsi="Times New Roman" w:cs="Times New Roman"/>
          <w:sz w:val="24"/>
          <w:szCs w:val="24"/>
        </w:rPr>
        <w:t xml:space="preserve"> spp. However, this pathogen was not detected at the evaluated sites. Its absence may be attributed to environmental conditions unfavorable for fungal development (Alessandro et al., 2014), and more notably, to the high phytosanitary quality of the seeds used in this study, specifically the Valle de Oro - INIAF brand. In this context, Rodríguez et al. (2019) emphasize that the use of seeds with optimal phytosanitary status is essential, as seeds can serve as vectors for various pathogens and act as primary sources of infection in crops. Additionally, treatments established in raised beds provided more favorable conditions for plant health by improving drainage (Ali et al., 2016) and soil aeration, which likely contributed to reducing the risk of diseases associated with excessive soil moisture.</w:t>
      </w:r>
    </w:p>
    <w:p w14:paraId="20310D14" w14:textId="6D997B3C" w:rsidR="000F0EA9" w:rsidRPr="00E06694" w:rsidRDefault="000F0EA9" w:rsidP="000B0B0F">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In Koari Alto, an average weed incidence of 8% was recorded, primarily consisting of </w:t>
      </w:r>
      <w:r w:rsidRPr="00E06694">
        <w:rPr>
          <w:rFonts w:ascii="Times New Roman" w:eastAsia="Times New Roman" w:hAnsi="Times New Roman" w:cs="Times New Roman"/>
          <w:i/>
          <w:sz w:val="24"/>
          <w:szCs w:val="24"/>
        </w:rPr>
        <w:t>Brassica campestris</w:t>
      </w:r>
      <w:r w:rsidRPr="00E06694">
        <w:rPr>
          <w:rFonts w:ascii="Times New Roman" w:eastAsia="Times New Roman" w:hAnsi="Times New Roman" w:cs="Times New Roman"/>
          <w:sz w:val="24"/>
          <w:szCs w:val="24"/>
        </w:rPr>
        <w:t xml:space="preserve"> (wild turnip) and an unidentified </w:t>
      </w:r>
      <w:r w:rsidRPr="00E06694">
        <w:rPr>
          <w:rFonts w:ascii="Times New Roman" w:eastAsia="Times New Roman" w:hAnsi="Times New Roman" w:cs="Times New Roman"/>
          <w:i/>
          <w:sz w:val="24"/>
          <w:szCs w:val="24"/>
        </w:rPr>
        <w:t>Pennisetum</w:t>
      </w:r>
      <w:r w:rsidRPr="00E06694">
        <w:rPr>
          <w:rFonts w:ascii="Times New Roman" w:eastAsia="Times New Roman" w:hAnsi="Times New Roman" w:cs="Times New Roman"/>
          <w:sz w:val="24"/>
          <w:szCs w:val="24"/>
        </w:rPr>
        <w:t xml:space="preserve"> species (grass), both of which were effectively controlled with two applications of Linuron at a rate of 2.5 L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In Koari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a lower weed incidence of 4% was observed, and effective control was achieved with a single application of the same herbicide (2.5 L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Notably, weed control was more effective in the raised bed treatments compared to the traditional cultivation system, indicating enhanced weed management efficiency under raised bed conditions.</w:t>
      </w:r>
      <w:r w:rsidR="003524BF"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According to </w:t>
      </w:r>
      <w:proofErr w:type="spellStart"/>
      <w:r w:rsidRPr="00E06694">
        <w:rPr>
          <w:rFonts w:ascii="Times New Roman" w:eastAsia="Times New Roman" w:hAnsi="Times New Roman" w:cs="Times New Roman"/>
          <w:sz w:val="24"/>
          <w:szCs w:val="24"/>
        </w:rPr>
        <w:t>Dotor</w:t>
      </w:r>
      <w:proofErr w:type="spellEnd"/>
      <w:r w:rsidRPr="00E06694">
        <w:rPr>
          <w:rFonts w:ascii="Times New Roman" w:eastAsia="Times New Roman" w:hAnsi="Times New Roman" w:cs="Times New Roman"/>
          <w:sz w:val="24"/>
          <w:szCs w:val="24"/>
        </w:rPr>
        <w:t xml:space="preserve"> et al. (2018), carrot crops are highly sensitive to weed competition during the first 32 days after emergence, and maximum yields are achieved when the crop is kept weed-free throughout its phenological cycle. This finding is consistent with Reginaldo et al. (2021), who report that weed interference is one of the major factors significantly reducing carrot yields.</w:t>
      </w:r>
    </w:p>
    <w:p w14:paraId="7844DD13" w14:textId="04E21F56" w:rsidR="000F0EA9" w:rsidRPr="00E06694" w:rsidRDefault="000F0EA9" w:rsidP="000B0B0F">
      <w:pPr>
        <w:spacing w:after="0" w:line="240" w:lineRule="auto"/>
        <w:ind w:left="0" w:firstLine="567"/>
        <w:rPr>
          <w:rFonts w:ascii="Times New Roman" w:eastAsia="Times New Roman" w:hAnsi="Times New Roman" w:cs="Times New Roman"/>
          <w:sz w:val="24"/>
          <w:szCs w:val="24"/>
        </w:rPr>
      </w:pPr>
    </w:p>
    <w:p w14:paraId="7420865B" w14:textId="77777777" w:rsidR="00F90484" w:rsidRPr="00E06694" w:rsidRDefault="0093250E" w:rsidP="000B0B0F">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Days to emergency and days to harvest</w:t>
      </w:r>
    </w:p>
    <w:p w14:paraId="0D19A51F" w14:textId="77777777" w:rsidR="00DC79FF" w:rsidRPr="00E06694" w:rsidRDefault="00DC79FF" w:rsidP="000B0B0F">
      <w:pPr>
        <w:spacing w:after="0" w:line="240" w:lineRule="auto"/>
        <w:ind w:left="0" w:firstLine="567"/>
        <w:rPr>
          <w:rFonts w:ascii="Times New Roman" w:eastAsia="Times New Roman" w:hAnsi="Times New Roman" w:cs="Times New Roman"/>
          <w:sz w:val="24"/>
          <w:szCs w:val="24"/>
        </w:rPr>
      </w:pPr>
    </w:p>
    <w:p w14:paraId="55B6491E" w14:textId="3F813D42" w:rsidR="00DC79FF" w:rsidRPr="00E06694" w:rsidRDefault="004418CA" w:rsidP="00DC79FF">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lastRenderedPageBreak/>
        <w:t xml:space="preserve">The analysis of variance (ANOVA) revealed significant differences (p ≤ 0.05) in the interaction between location, variety, and cropping system for both days to emergence and days to harvest. Overall, the evaluated varieties exhibited shorter times to emergence and harvest in Koari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xml:space="preserve"> compared to Koari Alto (Table 3). The INIAF Larga Vida variety grown in raised beds recorded the shortest time to emergence (Koari Alto: 48.00 ± 4.69 days; Koari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xml:space="preserve">: 35.33 ± 2.58 days) and to harvest (Koari Alto: 148.20 ± 1.15 days; Koari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135.30 ± 1.56 days), indicating the earliest phenological development among all treatments. However, this variety also showed a tendency toward premature bolting. In contrast, the control treatment exhibited the latest emergence and harvest times at both locations.</w:t>
      </w:r>
    </w:p>
    <w:p w14:paraId="5E5491B8" w14:textId="77777777" w:rsidR="00DC79FF" w:rsidRPr="00E06694" w:rsidRDefault="00DC79FF" w:rsidP="000B0B0F">
      <w:pPr>
        <w:spacing w:after="0" w:line="240" w:lineRule="auto"/>
        <w:ind w:left="0" w:firstLine="567"/>
        <w:rPr>
          <w:rFonts w:ascii="Times New Roman" w:eastAsia="Times New Roman" w:hAnsi="Times New Roman" w:cs="Times New Roman"/>
          <w:sz w:val="24"/>
          <w:szCs w:val="24"/>
        </w:rPr>
      </w:pPr>
    </w:p>
    <w:p w14:paraId="6CE6959B" w14:textId="250D58BE" w:rsidR="00F90484" w:rsidRPr="00E06694" w:rsidRDefault="000B0B0F" w:rsidP="000B0B0F">
      <w:pPr>
        <w:spacing w:after="0" w:line="240" w:lineRule="auto"/>
        <w:ind w:left="0"/>
        <w:rPr>
          <w:rFonts w:ascii="Times New Roman" w:eastAsia="Times New Roman" w:hAnsi="Times New Roman" w:cs="Times New Roman"/>
          <w:color w:val="000000"/>
          <w:sz w:val="24"/>
          <w:szCs w:val="20"/>
        </w:rPr>
      </w:pPr>
      <w:r w:rsidRPr="00E06694">
        <w:rPr>
          <w:rFonts w:ascii="Times New Roman" w:eastAsia="Times New Roman" w:hAnsi="Times New Roman" w:cs="Times New Roman"/>
          <w:b/>
          <w:color w:val="000000"/>
          <w:sz w:val="24"/>
          <w:szCs w:val="20"/>
        </w:rPr>
        <w:t>Table</w:t>
      </w:r>
      <w:r w:rsidR="0093250E" w:rsidRPr="00E06694">
        <w:rPr>
          <w:rFonts w:ascii="Times New Roman" w:eastAsia="Times New Roman" w:hAnsi="Times New Roman" w:cs="Times New Roman"/>
          <w:b/>
          <w:color w:val="000000"/>
          <w:sz w:val="24"/>
          <w:szCs w:val="20"/>
        </w:rPr>
        <w:t xml:space="preserve"> </w:t>
      </w:r>
      <w:r w:rsidR="0093250E" w:rsidRPr="00E06694">
        <w:rPr>
          <w:rFonts w:ascii="Times New Roman" w:eastAsia="Times New Roman" w:hAnsi="Times New Roman" w:cs="Times New Roman"/>
          <w:b/>
          <w:sz w:val="24"/>
          <w:szCs w:val="20"/>
        </w:rPr>
        <w:t>3</w:t>
      </w:r>
      <w:r w:rsidR="0093250E" w:rsidRPr="00E06694">
        <w:rPr>
          <w:rFonts w:ascii="Times New Roman" w:eastAsia="Times New Roman" w:hAnsi="Times New Roman" w:cs="Times New Roman"/>
          <w:b/>
          <w:color w:val="000000"/>
          <w:sz w:val="24"/>
          <w:szCs w:val="20"/>
        </w:rPr>
        <w:t xml:space="preserve">. </w:t>
      </w:r>
      <w:r w:rsidR="002F5D9B" w:rsidRPr="00E06694">
        <w:rPr>
          <w:rFonts w:ascii="Times New Roman" w:eastAsia="Times New Roman" w:hAnsi="Times New Roman" w:cs="Times New Roman"/>
          <w:sz w:val="24"/>
          <w:szCs w:val="20"/>
        </w:rPr>
        <w:t>Average</w:t>
      </w:r>
      <w:r w:rsidR="0093250E" w:rsidRPr="00E06694">
        <w:rPr>
          <w:rFonts w:ascii="Times New Roman" w:eastAsia="Times New Roman" w:hAnsi="Times New Roman" w:cs="Times New Roman"/>
          <w:sz w:val="24"/>
          <w:szCs w:val="20"/>
        </w:rPr>
        <w:t xml:space="preserve"> </w:t>
      </w:r>
      <w:r w:rsidR="0093250E" w:rsidRPr="00E06694">
        <w:rPr>
          <w:rFonts w:ascii="Times New Roman" w:eastAsia="Times New Roman" w:hAnsi="Times New Roman" w:cs="Times New Roman"/>
          <w:color w:val="000000"/>
          <w:sz w:val="24"/>
          <w:szCs w:val="20"/>
        </w:rPr>
        <w:t>days to emergence and days to harvest by location for the treatments evaluated.</w:t>
      </w:r>
    </w:p>
    <w:tbl>
      <w:tblPr>
        <w:tblStyle w:val="Style12"/>
        <w:tblW w:w="9300" w:type="dxa"/>
        <w:jc w:val="center"/>
        <w:tblInd w:w="0" w:type="dxa"/>
        <w:tblLayout w:type="fixed"/>
        <w:tblLook w:val="04A0" w:firstRow="1" w:lastRow="0" w:firstColumn="1" w:lastColumn="0" w:noHBand="0" w:noVBand="1"/>
      </w:tblPr>
      <w:tblGrid>
        <w:gridCol w:w="3465"/>
        <w:gridCol w:w="1458"/>
        <w:gridCol w:w="1459"/>
        <w:gridCol w:w="1459"/>
        <w:gridCol w:w="1459"/>
      </w:tblGrid>
      <w:tr w:rsidR="00F90484" w:rsidRPr="00E06694" w14:paraId="54A7B057" w14:textId="77777777" w:rsidTr="00B215F5">
        <w:trPr>
          <w:trHeight w:val="300"/>
          <w:jc w:val="center"/>
        </w:trPr>
        <w:tc>
          <w:tcPr>
            <w:tcW w:w="3465" w:type="dxa"/>
            <w:vMerge w:val="restart"/>
            <w:tcBorders>
              <w:top w:val="single" w:sz="4" w:space="0" w:color="000000"/>
            </w:tcBorders>
            <w:vAlign w:val="center"/>
          </w:tcPr>
          <w:p w14:paraId="6506531E"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Treatments</w:t>
            </w:r>
          </w:p>
        </w:tc>
        <w:tc>
          <w:tcPr>
            <w:tcW w:w="2917" w:type="dxa"/>
            <w:gridSpan w:val="2"/>
            <w:tcBorders>
              <w:top w:val="single" w:sz="4" w:space="0" w:color="000000"/>
              <w:bottom w:val="single" w:sz="4" w:space="0" w:color="000000"/>
            </w:tcBorders>
            <w:vAlign w:val="center"/>
          </w:tcPr>
          <w:p w14:paraId="3EAF90D2" w14:textId="18676411"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Koari Alto</w:t>
            </w:r>
          </w:p>
        </w:tc>
        <w:tc>
          <w:tcPr>
            <w:tcW w:w="2918" w:type="dxa"/>
            <w:gridSpan w:val="2"/>
            <w:tcBorders>
              <w:top w:val="single" w:sz="4" w:space="0" w:color="000000"/>
              <w:bottom w:val="single" w:sz="4" w:space="0" w:color="000000"/>
            </w:tcBorders>
            <w:vAlign w:val="center"/>
          </w:tcPr>
          <w:p w14:paraId="7053A9D8" w14:textId="51769214"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Koari Lagunillas</w:t>
            </w:r>
          </w:p>
        </w:tc>
      </w:tr>
      <w:tr w:rsidR="00F90484" w:rsidRPr="00E06694" w14:paraId="09A8623C" w14:textId="77777777" w:rsidTr="00B215F5">
        <w:trPr>
          <w:trHeight w:val="570"/>
          <w:jc w:val="center"/>
        </w:trPr>
        <w:tc>
          <w:tcPr>
            <w:tcW w:w="3465" w:type="dxa"/>
            <w:vMerge/>
            <w:tcBorders>
              <w:top w:val="single" w:sz="4" w:space="0" w:color="000000"/>
            </w:tcBorders>
            <w:vAlign w:val="center"/>
          </w:tcPr>
          <w:p w14:paraId="7DB8851E" w14:textId="77777777" w:rsidR="00F90484" w:rsidRPr="00E06694" w:rsidRDefault="00F90484" w:rsidP="00D159E3">
            <w:pPr>
              <w:widowControl w:val="0"/>
              <w:spacing w:after="0" w:line="240" w:lineRule="auto"/>
              <w:ind w:left="0"/>
              <w:jc w:val="left"/>
              <w:rPr>
                <w:rFonts w:ascii="Times New Roman" w:eastAsia="Times New Roman" w:hAnsi="Times New Roman" w:cs="Times New Roman"/>
                <w:b/>
                <w:color w:val="000000"/>
                <w:sz w:val="20"/>
                <w:szCs w:val="20"/>
              </w:rPr>
            </w:pPr>
          </w:p>
        </w:tc>
        <w:tc>
          <w:tcPr>
            <w:tcW w:w="1458" w:type="dxa"/>
            <w:tcBorders>
              <w:top w:val="single" w:sz="4" w:space="0" w:color="000000"/>
              <w:bottom w:val="single" w:sz="4" w:space="0" w:color="000000"/>
            </w:tcBorders>
            <w:vAlign w:val="center"/>
          </w:tcPr>
          <w:p w14:paraId="2AD7D4C0"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Days to emergency</w:t>
            </w:r>
          </w:p>
        </w:tc>
        <w:tc>
          <w:tcPr>
            <w:tcW w:w="1459" w:type="dxa"/>
            <w:tcBorders>
              <w:top w:val="single" w:sz="4" w:space="0" w:color="000000"/>
              <w:bottom w:val="single" w:sz="4" w:space="0" w:color="000000"/>
            </w:tcBorders>
            <w:vAlign w:val="center"/>
          </w:tcPr>
          <w:p w14:paraId="35098AB7"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Days to harvest</w:t>
            </w:r>
          </w:p>
        </w:tc>
        <w:tc>
          <w:tcPr>
            <w:tcW w:w="1459" w:type="dxa"/>
            <w:tcBorders>
              <w:top w:val="single" w:sz="4" w:space="0" w:color="000000"/>
              <w:bottom w:val="single" w:sz="4" w:space="0" w:color="000000"/>
            </w:tcBorders>
            <w:vAlign w:val="center"/>
          </w:tcPr>
          <w:p w14:paraId="4A1B5477"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Days to emergency</w:t>
            </w:r>
          </w:p>
        </w:tc>
        <w:tc>
          <w:tcPr>
            <w:tcW w:w="1459" w:type="dxa"/>
            <w:tcBorders>
              <w:top w:val="single" w:sz="4" w:space="0" w:color="000000"/>
              <w:bottom w:val="single" w:sz="4" w:space="0" w:color="000000"/>
            </w:tcBorders>
            <w:vAlign w:val="center"/>
          </w:tcPr>
          <w:p w14:paraId="158425BC"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Days to harvest</w:t>
            </w:r>
          </w:p>
        </w:tc>
      </w:tr>
      <w:tr w:rsidR="00F90484" w:rsidRPr="00E06694" w14:paraId="23A4AF92" w14:textId="77777777" w:rsidTr="00B215F5">
        <w:trPr>
          <w:trHeight w:val="300"/>
          <w:jc w:val="center"/>
        </w:trPr>
        <w:tc>
          <w:tcPr>
            <w:tcW w:w="3465" w:type="dxa"/>
            <w:tcBorders>
              <w:top w:val="single" w:sz="4" w:space="0" w:color="000000"/>
            </w:tcBorders>
            <w:vAlign w:val="bottom"/>
          </w:tcPr>
          <w:p w14:paraId="1BCD4F79"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Plateau with raised bed</w:t>
            </w:r>
          </w:p>
        </w:tc>
        <w:tc>
          <w:tcPr>
            <w:tcW w:w="1458" w:type="dxa"/>
            <w:tcBorders>
              <w:top w:val="single" w:sz="4" w:space="0" w:color="000000"/>
            </w:tcBorders>
            <w:vAlign w:val="center"/>
          </w:tcPr>
          <w:p w14:paraId="2E6E86DC"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5</w:t>
            </w:r>
            <w:r w:rsidRPr="00E06694">
              <w:rPr>
                <w:rFonts w:ascii="Times New Roman" w:eastAsia="Times New Roman" w:hAnsi="Times New Roman" w:cs="Times New Roman"/>
                <w:sz w:val="20"/>
                <w:szCs w:val="20"/>
              </w:rPr>
              <w:t>1.25 ± 1.83</w:t>
            </w:r>
            <w:r w:rsidRPr="00E06694">
              <w:rPr>
                <w:rFonts w:ascii="Times New Roman" w:eastAsia="Calibri" w:hAnsi="Times New Roman" w:cs="Times New Roman"/>
                <w:sz w:val="24"/>
                <w:szCs w:val="24"/>
                <w:vertAlign w:val="superscript"/>
              </w:rPr>
              <w:t>c</w:t>
            </w:r>
          </w:p>
        </w:tc>
        <w:tc>
          <w:tcPr>
            <w:tcW w:w="1459" w:type="dxa"/>
            <w:tcBorders>
              <w:top w:val="single" w:sz="4" w:space="0" w:color="000000"/>
            </w:tcBorders>
            <w:vAlign w:val="center"/>
          </w:tcPr>
          <w:p w14:paraId="61387EB6"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16</w:t>
            </w:r>
            <w:r w:rsidRPr="00E06694">
              <w:rPr>
                <w:rFonts w:ascii="Times New Roman" w:eastAsia="Times New Roman" w:hAnsi="Times New Roman" w:cs="Times New Roman"/>
                <w:sz w:val="20"/>
                <w:szCs w:val="20"/>
              </w:rPr>
              <w:t>7.25 ± 1.82</w:t>
            </w:r>
            <w:r w:rsidRPr="00E06694">
              <w:rPr>
                <w:rFonts w:ascii="Times New Roman" w:eastAsia="Calibri" w:hAnsi="Times New Roman" w:cs="Times New Roman"/>
                <w:sz w:val="24"/>
                <w:szCs w:val="24"/>
                <w:vertAlign w:val="superscript"/>
              </w:rPr>
              <w:t>b</w:t>
            </w:r>
          </w:p>
        </w:tc>
        <w:tc>
          <w:tcPr>
            <w:tcW w:w="1459" w:type="dxa"/>
            <w:tcBorders>
              <w:top w:val="single" w:sz="4" w:space="0" w:color="000000"/>
            </w:tcBorders>
            <w:vAlign w:val="center"/>
          </w:tcPr>
          <w:p w14:paraId="4F61EF52"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45</w:t>
            </w:r>
            <w:r w:rsidRPr="00E06694">
              <w:rPr>
                <w:rFonts w:ascii="Times New Roman" w:eastAsia="Times New Roman" w:hAnsi="Times New Roman" w:cs="Times New Roman"/>
                <w:sz w:val="20"/>
                <w:szCs w:val="20"/>
              </w:rPr>
              <w:t>.25± 1.41</w:t>
            </w:r>
            <w:r w:rsidRPr="00E06694">
              <w:rPr>
                <w:rFonts w:ascii="Times New Roman" w:eastAsia="Calibri" w:hAnsi="Times New Roman" w:cs="Times New Roman"/>
                <w:sz w:val="24"/>
                <w:szCs w:val="24"/>
                <w:vertAlign w:val="superscript"/>
              </w:rPr>
              <w:t>b</w:t>
            </w:r>
          </w:p>
        </w:tc>
        <w:tc>
          <w:tcPr>
            <w:tcW w:w="1459" w:type="dxa"/>
            <w:tcBorders>
              <w:top w:val="single" w:sz="4" w:space="0" w:color="000000"/>
            </w:tcBorders>
            <w:vAlign w:val="center"/>
          </w:tcPr>
          <w:p w14:paraId="7B270982"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16</w:t>
            </w:r>
            <w:r w:rsidRPr="00E06694">
              <w:rPr>
                <w:rFonts w:ascii="Times New Roman" w:eastAsia="Times New Roman" w:hAnsi="Times New Roman" w:cs="Times New Roman"/>
                <w:sz w:val="20"/>
                <w:szCs w:val="20"/>
              </w:rPr>
              <w:t>0.25 ± 0.82</w:t>
            </w:r>
            <w:r w:rsidRPr="00E06694">
              <w:rPr>
                <w:rFonts w:ascii="Times New Roman" w:eastAsia="Calibri" w:hAnsi="Times New Roman" w:cs="Times New Roman"/>
                <w:sz w:val="24"/>
                <w:szCs w:val="24"/>
                <w:vertAlign w:val="superscript"/>
              </w:rPr>
              <w:t>b</w:t>
            </w:r>
          </w:p>
        </w:tc>
      </w:tr>
      <w:tr w:rsidR="00F90484" w:rsidRPr="00E06694" w14:paraId="0E973633" w14:textId="77777777" w:rsidTr="00B215F5">
        <w:trPr>
          <w:trHeight w:val="300"/>
          <w:jc w:val="center"/>
        </w:trPr>
        <w:tc>
          <w:tcPr>
            <w:tcW w:w="3465" w:type="dxa"/>
            <w:vAlign w:val="bottom"/>
          </w:tcPr>
          <w:p w14:paraId="7FF04AE1"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High plateau without raised bed</w:t>
            </w:r>
          </w:p>
        </w:tc>
        <w:tc>
          <w:tcPr>
            <w:tcW w:w="1458" w:type="dxa"/>
            <w:vAlign w:val="center"/>
          </w:tcPr>
          <w:p w14:paraId="40758795"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56.00 </w:t>
            </w:r>
            <w:r w:rsidRPr="00E06694">
              <w:rPr>
                <w:rFonts w:ascii="Times New Roman" w:eastAsia="Times New Roman" w:hAnsi="Times New Roman" w:cs="Times New Roman"/>
                <w:sz w:val="20"/>
                <w:szCs w:val="20"/>
              </w:rPr>
              <w:t>± 1.41</w:t>
            </w:r>
            <w:r w:rsidRPr="00E06694">
              <w:rPr>
                <w:rFonts w:ascii="Times New Roman" w:eastAsia="Calibri" w:hAnsi="Times New Roman" w:cs="Times New Roman"/>
                <w:sz w:val="24"/>
                <w:szCs w:val="24"/>
                <w:vertAlign w:val="superscript"/>
              </w:rPr>
              <w:t>b</w:t>
            </w:r>
          </w:p>
        </w:tc>
        <w:tc>
          <w:tcPr>
            <w:tcW w:w="1459" w:type="dxa"/>
            <w:vAlign w:val="center"/>
          </w:tcPr>
          <w:p w14:paraId="77DF440E"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169.25  </w:t>
            </w:r>
            <w:r w:rsidRPr="00E06694">
              <w:rPr>
                <w:rFonts w:ascii="Times New Roman" w:eastAsia="Times New Roman" w:hAnsi="Times New Roman" w:cs="Times New Roman"/>
                <w:sz w:val="20"/>
                <w:szCs w:val="20"/>
              </w:rPr>
              <w:t>± 1.23</w:t>
            </w:r>
            <w:r w:rsidRPr="00E06694">
              <w:rPr>
                <w:rFonts w:ascii="Times New Roman" w:eastAsia="Calibri" w:hAnsi="Times New Roman" w:cs="Times New Roman"/>
                <w:sz w:val="24"/>
                <w:szCs w:val="24"/>
                <w:vertAlign w:val="superscript"/>
              </w:rPr>
              <w:t>a</w:t>
            </w:r>
          </w:p>
        </w:tc>
        <w:tc>
          <w:tcPr>
            <w:tcW w:w="1459" w:type="dxa"/>
            <w:vAlign w:val="center"/>
          </w:tcPr>
          <w:p w14:paraId="4B42C0A0" w14:textId="77777777" w:rsidR="00F90484" w:rsidRPr="00E06694" w:rsidRDefault="0093250E" w:rsidP="00D159E3">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50.33 </w:t>
            </w:r>
            <w:r w:rsidRPr="00E06694">
              <w:rPr>
                <w:rFonts w:ascii="Times New Roman" w:eastAsia="Times New Roman" w:hAnsi="Times New Roman" w:cs="Times New Roman"/>
                <w:sz w:val="20"/>
                <w:szCs w:val="20"/>
              </w:rPr>
              <w:t>± 2.16</w:t>
            </w:r>
            <w:r w:rsidRPr="00E06694">
              <w:rPr>
                <w:rFonts w:ascii="Times New Roman" w:eastAsia="Calibri" w:hAnsi="Times New Roman" w:cs="Times New Roman"/>
                <w:sz w:val="24"/>
                <w:szCs w:val="24"/>
                <w:vertAlign w:val="superscript"/>
              </w:rPr>
              <w:t>a</w:t>
            </w:r>
          </w:p>
        </w:tc>
        <w:tc>
          <w:tcPr>
            <w:tcW w:w="1459" w:type="dxa"/>
            <w:vAlign w:val="center"/>
          </w:tcPr>
          <w:p w14:paraId="5AE4978F"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162.25 </w:t>
            </w:r>
            <w:r w:rsidRPr="00E06694">
              <w:rPr>
                <w:rFonts w:ascii="Times New Roman" w:eastAsia="Times New Roman" w:hAnsi="Times New Roman" w:cs="Times New Roman"/>
                <w:sz w:val="20"/>
                <w:szCs w:val="20"/>
              </w:rPr>
              <w:t>± 0.84</w:t>
            </w:r>
            <w:r w:rsidRPr="00E06694">
              <w:rPr>
                <w:rFonts w:ascii="Times New Roman" w:eastAsia="Calibri" w:hAnsi="Times New Roman" w:cs="Times New Roman"/>
                <w:sz w:val="24"/>
                <w:szCs w:val="24"/>
                <w:vertAlign w:val="superscript"/>
              </w:rPr>
              <w:t>b</w:t>
            </w:r>
          </w:p>
        </w:tc>
      </w:tr>
      <w:tr w:rsidR="00F90484" w:rsidRPr="00E06694" w14:paraId="75C9F5F9" w14:textId="77777777" w:rsidTr="00B215F5">
        <w:trPr>
          <w:trHeight w:val="300"/>
          <w:jc w:val="center"/>
        </w:trPr>
        <w:tc>
          <w:tcPr>
            <w:tcW w:w="3465" w:type="dxa"/>
            <w:vAlign w:val="bottom"/>
          </w:tcPr>
          <w:p w14:paraId="5A06EF8F"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Montenegro 1 with raised bed</w:t>
            </w:r>
          </w:p>
        </w:tc>
        <w:tc>
          <w:tcPr>
            <w:tcW w:w="1458" w:type="dxa"/>
            <w:vAlign w:val="center"/>
          </w:tcPr>
          <w:p w14:paraId="57212128"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50.25  </w:t>
            </w:r>
            <w:r w:rsidRPr="00E06694">
              <w:rPr>
                <w:rFonts w:ascii="Times New Roman" w:eastAsia="Times New Roman" w:hAnsi="Times New Roman" w:cs="Times New Roman"/>
                <w:sz w:val="20"/>
                <w:szCs w:val="20"/>
              </w:rPr>
              <w:t>± 2.16</w:t>
            </w:r>
            <w:r w:rsidRPr="00E06694">
              <w:rPr>
                <w:rFonts w:ascii="Times New Roman" w:eastAsia="Calibri" w:hAnsi="Times New Roman" w:cs="Times New Roman"/>
                <w:sz w:val="24"/>
                <w:szCs w:val="24"/>
                <w:vertAlign w:val="superscript"/>
              </w:rPr>
              <w:t>d</w:t>
            </w:r>
          </w:p>
        </w:tc>
        <w:tc>
          <w:tcPr>
            <w:tcW w:w="1459" w:type="dxa"/>
            <w:vAlign w:val="center"/>
          </w:tcPr>
          <w:p w14:paraId="2D01DE10"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w:t>
            </w:r>
            <w:r w:rsidRPr="00E06694">
              <w:rPr>
                <w:rFonts w:ascii="Times New Roman" w:eastAsia="Times New Roman" w:hAnsi="Times New Roman" w:cs="Times New Roman"/>
                <w:sz w:val="20"/>
                <w:szCs w:val="20"/>
              </w:rPr>
              <w:t xml:space="preserve">50.00 </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1.42</w:t>
            </w:r>
            <w:r w:rsidRPr="00E06694">
              <w:rPr>
                <w:rFonts w:ascii="Times New Roman" w:eastAsia="Calibri" w:hAnsi="Times New Roman" w:cs="Times New Roman"/>
                <w:sz w:val="24"/>
                <w:szCs w:val="24"/>
                <w:vertAlign w:val="superscript"/>
              </w:rPr>
              <w:t>c</w:t>
            </w:r>
          </w:p>
        </w:tc>
        <w:tc>
          <w:tcPr>
            <w:tcW w:w="1459" w:type="dxa"/>
            <w:vAlign w:val="center"/>
          </w:tcPr>
          <w:p w14:paraId="3BB0E02F"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39.00 </w:t>
            </w:r>
            <w:r w:rsidRPr="00E06694">
              <w:rPr>
                <w:rFonts w:ascii="Times New Roman" w:eastAsia="Times New Roman" w:hAnsi="Times New Roman" w:cs="Times New Roman"/>
                <w:sz w:val="20"/>
                <w:szCs w:val="20"/>
              </w:rPr>
              <w:t>± 1.15</w:t>
            </w:r>
            <w:r w:rsidRPr="00E06694">
              <w:rPr>
                <w:rFonts w:ascii="Times New Roman" w:eastAsia="Calibri" w:hAnsi="Times New Roman" w:cs="Times New Roman"/>
                <w:sz w:val="24"/>
                <w:szCs w:val="24"/>
                <w:vertAlign w:val="superscript"/>
              </w:rPr>
              <w:t>d</w:t>
            </w:r>
          </w:p>
        </w:tc>
        <w:tc>
          <w:tcPr>
            <w:tcW w:w="1459" w:type="dxa"/>
            <w:vAlign w:val="center"/>
          </w:tcPr>
          <w:p w14:paraId="0B9532C9"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14</w:t>
            </w:r>
            <w:r w:rsidRPr="00E06694">
              <w:rPr>
                <w:rFonts w:ascii="Times New Roman" w:eastAsia="Times New Roman" w:hAnsi="Times New Roman" w:cs="Times New Roman"/>
                <w:sz w:val="20"/>
                <w:szCs w:val="20"/>
              </w:rPr>
              <w:t>5.20 ± 1.63</w:t>
            </w:r>
            <w:r w:rsidRPr="00E06694">
              <w:rPr>
                <w:rFonts w:ascii="Times New Roman" w:eastAsia="Calibri" w:hAnsi="Times New Roman" w:cs="Times New Roman"/>
                <w:sz w:val="24"/>
                <w:szCs w:val="24"/>
                <w:vertAlign w:val="superscript"/>
              </w:rPr>
              <w:t>d</w:t>
            </w:r>
          </w:p>
        </w:tc>
      </w:tr>
      <w:tr w:rsidR="00F90484" w:rsidRPr="00E06694" w14:paraId="5E426A94" w14:textId="77777777" w:rsidTr="00B215F5">
        <w:trPr>
          <w:trHeight w:val="300"/>
          <w:jc w:val="center"/>
        </w:trPr>
        <w:tc>
          <w:tcPr>
            <w:tcW w:w="3465" w:type="dxa"/>
            <w:vAlign w:val="bottom"/>
          </w:tcPr>
          <w:p w14:paraId="5FEE510F"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Montenegro 1 without raised bed</w:t>
            </w:r>
          </w:p>
        </w:tc>
        <w:tc>
          <w:tcPr>
            <w:tcW w:w="1458" w:type="dxa"/>
            <w:vAlign w:val="center"/>
          </w:tcPr>
          <w:p w14:paraId="54A8932D"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51.30 </w:t>
            </w:r>
            <w:r w:rsidRPr="00E06694">
              <w:rPr>
                <w:rFonts w:ascii="Times New Roman" w:eastAsia="Times New Roman" w:hAnsi="Times New Roman" w:cs="Times New Roman"/>
                <w:sz w:val="20"/>
                <w:szCs w:val="20"/>
              </w:rPr>
              <w:t>± 2.06</w:t>
            </w:r>
            <w:r w:rsidRPr="00E06694">
              <w:rPr>
                <w:rFonts w:ascii="Times New Roman" w:eastAsia="Calibri" w:hAnsi="Times New Roman" w:cs="Times New Roman"/>
                <w:sz w:val="24"/>
                <w:szCs w:val="24"/>
                <w:vertAlign w:val="superscript"/>
              </w:rPr>
              <w:t>c</w:t>
            </w:r>
          </w:p>
        </w:tc>
        <w:tc>
          <w:tcPr>
            <w:tcW w:w="1459" w:type="dxa"/>
            <w:vAlign w:val="center"/>
          </w:tcPr>
          <w:p w14:paraId="6223004F"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15</w:t>
            </w:r>
            <w:r w:rsidRPr="00E06694">
              <w:rPr>
                <w:rFonts w:ascii="Times New Roman" w:eastAsia="Times New Roman" w:hAnsi="Times New Roman" w:cs="Times New Roman"/>
                <w:sz w:val="20"/>
                <w:szCs w:val="20"/>
              </w:rPr>
              <w:t xml:space="preserve">2.40 </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2.01</w:t>
            </w:r>
            <w:r w:rsidRPr="00E06694">
              <w:rPr>
                <w:rFonts w:ascii="Times New Roman" w:eastAsia="Calibri" w:hAnsi="Times New Roman" w:cs="Times New Roman"/>
                <w:sz w:val="24"/>
                <w:szCs w:val="24"/>
                <w:vertAlign w:val="superscript"/>
              </w:rPr>
              <w:t>c</w:t>
            </w:r>
          </w:p>
        </w:tc>
        <w:tc>
          <w:tcPr>
            <w:tcW w:w="1459" w:type="dxa"/>
            <w:vAlign w:val="center"/>
          </w:tcPr>
          <w:p w14:paraId="73CFC42B"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40.25 </w:t>
            </w:r>
            <w:r w:rsidRPr="00E06694">
              <w:rPr>
                <w:rFonts w:ascii="Times New Roman" w:eastAsia="Times New Roman" w:hAnsi="Times New Roman" w:cs="Times New Roman"/>
                <w:sz w:val="20"/>
                <w:szCs w:val="20"/>
              </w:rPr>
              <w:t>± 1.41</w:t>
            </w:r>
            <w:r w:rsidRPr="00E06694">
              <w:rPr>
                <w:rFonts w:ascii="Times New Roman" w:eastAsia="Calibri" w:hAnsi="Times New Roman" w:cs="Times New Roman"/>
                <w:sz w:val="24"/>
                <w:szCs w:val="24"/>
                <w:vertAlign w:val="superscript"/>
              </w:rPr>
              <w:t>c</w:t>
            </w:r>
          </w:p>
        </w:tc>
        <w:tc>
          <w:tcPr>
            <w:tcW w:w="1459" w:type="dxa"/>
            <w:vAlign w:val="center"/>
          </w:tcPr>
          <w:p w14:paraId="04A58DED"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14</w:t>
            </w:r>
            <w:r w:rsidRPr="00E06694">
              <w:rPr>
                <w:rFonts w:ascii="Times New Roman" w:eastAsia="Times New Roman" w:hAnsi="Times New Roman" w:cs="Times New Roman"/>
                <w:sz w:val="20"/>
                <w:szCs w:val="20"/>
              </w:rPr>
              <w:t>8.33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0.85</w:t>
            </w:r>
            <w:r w:rsidRPr="00E06694">
              <w:rPr>
                <w:rFonts w:ascii="Times New Roman" w:eastAsia="Calibri" w:hAnsi="Times New Roman" w:cs="Times New Roman"/>
                <w:sz w:val="24"/>
                <w:szCs w:val="24"/>
                <w:vertAlign w:val="superscript"/>
              </w:rPr>
              <w:t>c</w:t>
            </w:r>
          </w:p>
        </w:tc>
      </w:tr>
      <w:tr w:rsidR="00F90484" w:rsidRPr="00E06694" w14:paraId="05AA6A40" w14:textId="77777777" w:rsidTr="00B215F5">
        <w:trPr>
          <w:trHeight w:val="300"/>
          <w:jc w:val="center"/>
        </w:trPr>
        <w:tc>
          <w:tcPr>
            <w:tcW w:w="3465" w:type="dxa"/>
            <w:vAlign w:val="bottom"/>
          </w:tcPr>
          <w:p w14:paraId="34FF936C"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INIAF </w:t>
            </w:r>
            <w:r w:rsidRPr="00E06694">
              <w:rPr>
                <w:rFonts w:ascii="Times New Roman" w:eastAsia="Times New Roman" w:hAnsi="Times New Roman" w:cs="Times New Roman"/>
                <w:sz w:val="20"/>
                <w:szCs w:val="20"/>
              </w:rPr>
              <w:t>Laraga Vida</w:t>
            </w:r>
            <w:r w:rsidRPr="00E06694">
              <w:rPr>
                <w:rFonts w:ascii="Times New Roman" w:eastAsia="Times New Roman" w:hAnsi="Times New Roman" w:cs="Times New Roman"/>
                <w:color w:val="000000"/>
                <w:sz w:val="20"/>
                <w:szCs w:val="20"/>
              </w:rPr>
              <w:t xml:space="preserve"> with raised bed</w:t>
            </w:r>
          </w:p>
        </w:tc>
        <w:tc>
          <w:tcPr>
            <w:tcW w:w="1458" w:type="dxa"/>
            <w:vAlign w:val="center"/>
          </w:tcPr>
          <w:p w14:paraId="4BC7600A" w14:textId="56F61C07" w:rsidR="00F90484" w:rsidRPr="00E06694" w:rsidRDefault="0093250E" w:rsidP="00EC3881">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48.00 </w:t>
            </w:r>
            <w:r w:rsidRPr="00E06694">
              <w:rPr>
                <w:rFonts w:ascii="Times New Roman" w:eastAsia="Times New Roman" w:hAnsi="Times New Roman" w:cs="Times New Roman"/>
                <w:sz w:val="20"/>
                <w:szCs w:val="20"/>
              </w:rPr>
              <w:t>± 4.69</w:t>
            </w:r>
            <w:r w:rsidR="00EC3881" w:rsidRPr="00E06694">
              <w:rPr>
                <w:rFonts w:ascii="Times New Roman" w:eastAsia="Calibri" w:hAnsi="Times New Roman" w:cs="Times New Roman"/>
                <w:sz w:val="24"/>
                <w:szCs w:val="24"/>
                <w:vertAlign w:val="superscript"/>
              </w:rPr>
              <w:t>e</w:t>
            </w:r>
          </w:p>
        </w:tc>
        <w:tc>
          <w:tcPr>
            <w:tcW w:w="1459" w:type="dxa"/>
            <w:vAlign w:val="center"/>
          </w:tcPr>
          <w:p w14:paraId="3ABC3640"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14</w:t>
            </w:r>
            <w:r w:rsidRPr="00E06694">
              <w:rPr>
                <w:rFonts w:ascii="Times New Roman" w:eastAsia="Times New Roman" w:hAnsi="Times New Roman" w:cs="Times New Roman"/>
                <w:sz w:val="20"/>
                <w:szCs w:val="20"/>
              </w:rPr>
              <w:t xml:space="preserve">8.20 </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1.15</w:t>
            </w:r>
            <w:r w:rsidRPr="00E06694">
              <w:rPr>
                <w:rFonts w:ascii="Times New Roman" w:eastAsia="Calibri" w:hAnsi="Times New Roman" w:cs="Times New Roman"/>
                <w:sz w:val="24"/>
                <w:szCs w:val="24"/>
                <w:vertAlign w:val="superscript"/>
              </w:rPr>
              <w:t>d</w:t>
            </w:r>
          </w:p>
        </w:tc>
        <w:tc>
          <w:tcPr>
            <w:tcW w:w="1459" w:type="dxa"/>
            <w:vAlign w:val="center"/>
          </w:tcPr>
          <w:p w14:paraId="617A0E30" w14:textId="5FFCEB33" w:rsidR="00F90484" w:rsidRPr="00E06694" w:rsidRDefault="0093250E" w:rsidP="00EC3881">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35.33 </w:t>
            </w:r>
            <w:r w:rsidRPr="00E06694">
              <w:rPr>
                <w:rFonts w:ascii="Times New Roman" w:eastAsia="Times New Roman" w:hAnsi="Times New Roman" w:cs="Times New Roman"/>
                <w:sz w:val="20"/>
                <w:szCs w:val="20"/>
              </w:rPr>
              <w:t>± 2.58</w:t>
            </w:r>
            <w:r w:rsidR="00EC3881" w:rsidRPr="00E06694">
              <w:rPr>
                <w:rFonts w:ascii="Times New Roman" w:eastAsia="Calibri" w:hAnsi="Times New Roman" w:cs="Times New Roman"/>
                <w:sz w:val="24"/>
                <w:szCs w:val="24"/>
                <w:vertAlign w:val="superscript"/>
              </w:rPr>
              <w:t>e</w:t>
            </w:r>
          </w:p>
        </w:tc>
        <w:tc>
          <w:tcPr>
            <w:tcW w:w="1459" w:type="dxa"/>
            <w:vAlign w:val="center"/>
          </w:tcPr>
          <w:p w14:paraId="227F3895"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135.30 </w:t>
            </w:r>
            <w:r w:rsidRPr="00E06694">
              <w:rPr>
                <w:rFonts w:ascii="Times New Roman" w:eastAsia="Times New Roman" w:hAnsi="Times New Roman" w:cs="Times New Roman"/>
                <w:sz w:val="20"/>
                <w:szCs w:val="20"/>
              </w:rPr>
              <w:t>± 1.56</w:t>
            </w:r>
            <w:r w:rsidRPr="00E06694">
              <w:rPr>
                <w:rFonts w:ascii="Times New Roman" w:eastAsia="Calibri" w:hAnsi="Times New Roman" w:cs="Times New Roman"/>
                <w:sz w:val="24"/>
                <w:szCs w:val="24"/>
                <w:vertAlign w:val="superscript"/>
              </w:rPr>
              <w:t>f</w:t>
            </w:r>
          </w:p>
        </w:tc>
      </w:tr>
      <w:tr w:rsidR="00F90484" w:rsidRPr="00E06694" w14:paraId="1F7FF443" w14:textId="77777777" w:rsidTr="00B215F5">
        <w:trPr>
          <w:trHeight w:val="300"/>
          <w:jc w:val="center"/>
        </w:trPr>
        <w:tc>
          <w:tcPr>
            <w:tcW w:w="3465" w:type="dxa"/>
            <w:vAlign w:val="bottom"/>
          </w:tcPr>
          <w:p w14:paraId="75BABC9D"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INIAF </w:t>
            </w:r>
            <w:r w:rsidRPr="00E06694">
              <w:rPr>
                <w:rFonts w:ascii="Times New Roman" w:eastAsia="Times New Roman" w:hAnsi="Times New Roman" w:cs="Times New Roman"/>
                <w:sz w:val="20"/>
                <w:szCs w:val="20"/>
              </w:rPr>
              <w:t>Laraga Vida</w:t>
            </w:r>
            <w:r w:rsidRPr="00E06694">
              <w:rPr>
                <w:rFonts w:ascii="Times New Roman" w:eastAsia="Times New Roman" w:hAnsi="Times New Roman" w:cs="Times New Roman"/>
                <w:color w:val="000000"/>
                <w:sz w:val="20"/>
                <w:szCs w:val="20"/>
              </w:rPr>
              <w:t xml:space="preserve"> without raised bed</w:t>
            </w:r>
          </w:p>
        </w:tc>
        <w:tc>
          <w:tcPr>
            <w:tcW w:w="1458" w:type="dxa"/>
            <w:vAlign w:val="center"/>
          </w:tcPr>
          <w:p w14:paraId="17E2C90D"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51.</w:t>
            </w:r>
            <w:r w:rsidRPr="00E06694">
              <w:rPr>
                <w:rFonts w:ascii="Times New Roman" w:eastAsia="Times New Roman" w:hAnsi="Times New Roman" w:cs="Times New Roman"/>
                <w:sz w:val="20"/>
                <w:szCs w:val="20"/>
              </w:rPr>
              <w:t>25 ± 3.54</w:t>
            </w:r>
            <w:r w:rsidRPr="00E06694">
              <w:rPr>
                <w:rFonts w:ascii="Times New Roman" w:eastAsia="Calibri" w:hAnsi="Times New Roman" w:cs="Times New Roman"/>
                <w:sz w:val="24"/>
                <w:szCs w:val="24"/>
                <w:vertAlign w:val="superscript"/>
              </w:rPr>
              <w:t>c</w:t>
            </w:r>
          </w:p>
        </w:tc>
        <w:tc>
          <w:tcPr>
            <w:tcW w:w="1459" w:type="dxa"/>
            <w:vAlign w:val="center"/>
          </w:tcPr>
          <w:p w14:paraId="7247AE7E"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w:t>
            </w:r>
            <w:r w:rsidRPr="00E06694">
              <w:rPr>
                <w:rFonts w:ascii="Times New Roman" w:eastAsia="Times New Roman" w:hAnsi="Times New Roman" w:cs="Times New Roman"/>
                <w:sz w:val="20"/>
                <w:szCs w:val="20"/>
              </w:rPr>
              <w:t>50.25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2.63</w:t>
            </w:r>
            <w:r w:rsidRPr="00E06694">
              <w:rPr>
                <w:rFonts w:ascii="Times New Roman" w:eastAsia="Calibri" w:hAnsi="Times New Roman" w:cs="Times New Roman"/>
                <w:sz w:val="24"/>
                <w:szCs w:val="24"/>
                <w:vertAlign w:val="superscript"/>
              </w:rPr>
              <w:t>b</w:t>
            </w:r>
          </w:p>
        </w:tc>
        <w:tc>
          <w:tcPr>
            <w:tcW w:w="1459" w:type="dxa"/>
            <w:vAlign w:val="center"/>
          </w:tcPr>
          <w:p w14:paraId="42FE0F82"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3</w:t>
            </w:r>
            <w:r w:rsidRPr="00E06694">
              <w:rPr>
                <w:rFonts w:ascii="Times New Roman" w:eastAsia="Times New Roman" w:hAnsi="Times New Roman" w:cs="Times New Roman"/>
                <w:sz w:val="20"/>
                <w:szCs w:val="20"/>
              </w:rPr>
              <w:t>5.25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1.83</w:t>
            </w:r>
            <w:r w:rsidRPr="00E06694">
              <w:rPr>
                <w:rFonts w:ascii="Times New Roman" w:eastAsia="Calibri" w:hAnsi="Times New Roman" w:cs="Times New Roman"/>
                <w:sz w:val="24"/>
                <w:szCs w:val="24"/>
                <w:vertAlign w:val="superscript"/>
              </w:rPr>
              <w:t>c</w:t>
            </w:r>
          </w:p>
        </w:tc>
        <w:tc>
          <w:tcPr>
            <w:tcW w:w="1459" w:type="dxa"/>
            <w:tcMar>
              <w:left w:w="0" w:type="dxa"/>
              <w:right w:w="0" w:type="dxa"/>
            </w:tcMar>
            <w:vAlign w:val="center"/>
          </w:tcPr>
          <w:p w14:paraId="27A5D242" w14:textId="6A53D9CC" w:rsidR="00F90484" w:rsidRPr="00E06694" w:rsidRDefault="0093250E" w:rsidP="00EC3881">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138.25 </w:t>
            </w:r>
            <w:r w:rsidRPr="00E06694">
              <w:rPr>
                <w:rFonts w:ascii="Times New Roman" w:eastAsia="Times New Roman" w:hAnsi="Times New Roman" w:cs="Times New Roman"/>
                <w:sz w:val="20"/>
                <w:szCs w:val="20"/>
              </w:rPr>
              <w:t>± 1.32</w:t>
            </w:r>
            <w:r w:rsidR="00EC3881" w:rsidRPr="00E06694">
              <w:rPr>
                <w:rFonts w:ascii="Times New Roman" w:eastAsia="Calibri" w:hAnsi="Times New Roman" w:cs="Times New Roman"/>
                <w:sz w:val="24"/>
                <w:szCs w:val="24"/>
                <w:vertAlign w:val="superscript"/>
              </w:rPr>
              <w:t>e</w:t>
            </w:r>
          </w:p>
        </w:tc>
      </w:tr>
      <w:tr w:rsidR="00F90484" w:rsidRPr="00E06694" w14:paraId="651AB357" w14:textId="77777777" w:rsidTr="00B215F5">
        <w:trPr>
          <w:trHeight w:val="300"/>
          <w:jc w:val="center"/>
        </w:trPr>
        <w:tc>
          <w:tcPr>
            <w:tcW w:w="3465" w:type="dxa"/>
            <w:vAlign w:val="bottom"/>
          </w:tcPr>
          <w:p w14:paraId="0ACA705B" w14:textId="00CE5ED5" w:rsidR="00F90484" w:rsidRPr="00E06694" w:rsidRDefault="00090460"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Control (</w:t>
            </w:r>
            <w:proofErr w:type="spellStart"/>
            <w:r w:rsidRPr="00E06694">
              <w:rPr>
                <w:rFonts w:ascii="Times New Roman" w:eastAsia="Times New Roman" w:hAnsi="Times New Roman" w:cs="Times New Roman"/>
                <w:sz w:val="20"/>
                <w:szCs w:val="20"/>
              </w:rPr>
              <w:t>t</w:t>
            </w:r>
            <w:r w:rsidRPr="00E06694">
              <w:rPr>
                <w:rFonts w:ascii="Times New Roman" w:eastAsia="Times New Roman" w:hAnsi="Times New Roman" w:cs="Times New Roman"/>
                <w:color w:val="000000"/>
                <w:sz w:val="20"/>
                <w:szCs w:val="20"/>
              </w:rPr>
              <w:t>origin</w:t>
            </w:r>
            <w:proofErr w:type="spellEnd"/>
            <w:r w:rsidRPr="00E06694">
              <w:rPr>
                <w:rFonts w:ascii="Times New Roman" w:eastAsia="Times New Roman" w:hAnsi="Times New Roman" w:cs="Times New Roman"/>
                <w:color w:val="000000"/>
                <w:sz w:val="20"/>
                <w:szCs w:val="20"/>
              </w:rPr>
              <w:t>)</w:t>
            </w:r>
          </w:p>
        </w:tc>
        <w:tc>
          <w:tcPr>
            <w:tcW w:w="1458" w:type="dxa"/>
            <w:vAlign w:val="center"/>
          </w:tcPr>
          <w:p w14:paraId="13450783"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5</w:t>
            </w:r>
            <w:r w:rsidRPr="00E06694">
              <w:rPr>
                <w:rFonts w:ascii="Times New Roman" w:eastAsia="Times New Roman" w:hAnsi="Times New Roman" w:cs="Times New Roman"/>
                <w:sz w:val="20"/>
                <w:szCs w:val="20"/>
              </w:rPr>
              <w:t>8.25 ± 1.10</w:t>
            </w:r>
            <w:r w:rsidRPr="00E06694">
              <w:rPr>
                <w:rFonts w:ascii="Times New Roman" w:eastAsia="Calibri" w:hAnsi="Times New Roman" w:cs="Times New Roman"/>
                <w:sz w:val="24"/>
                <w:szCs w:val="24"/>
                <w:vertAlign w:val="superscript"/>
              </w:rPr>
              <w:t>a</w:t>
            </w:r>
          </w:p>
        </w:tc>
        <w:tc>
          <w:tcPr>
            <w:tcW w:w="1459" w:type="dxa"/>
            <w:vAlign w:val="center"/>
          </w:tcPr>
          <w:p w14:paraId="5A3DE5C2"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16</w:t>
            </w:r>
            <w:r w:rsidRPr="00E06694">
              <w:rPr>
                <w:rFonts w:ascii="Times New Roman" w:eastAsia="Times New Roman" w:hAnsi="Times New Roman" w:cs="Times New Roman"/>
                <w:sz w:val="20"/>
                <w:szCs w:val="20"/>
              </w:rPr>
              <w:t>8.33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0.96</w:t>
            </w:r>
            <w:r w:rsidRPr="00E06694">
              <w:rPr>
                <w:rFonts w:ascii="Times New Roman" w:eastAsia="Calibri" w:hAnsi="Times New Roman" w:cs="Times New Roman"/>
                <w:sz w:val="24"/>
                <w:szCs w:val="24"/>
                <w:vertAlign w:val="superscript"/>
              </w:rPr>
              <w:t>a</w:t>
            </w:r>
          </w:p>
        </w:tc>
        <w:tc>
          <w:tcPr>
            <w:tcW w:w="1459" w:type="dxa"/>
            <w:vAlign w:val="center"/>
          </w:tcPr>
          <w:p w14:paraId="13A43406" w14:textId="77777777" w:rsidR="00F90484" w:rsidRPr="00E06694" w:rsidRDefault="0093250E" w:rsidP="00D159E3">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50.33 </w:t>
            </w:r>
            <w:r w:rsidRPr="00E06694">
              <w:rPr>
                <w:rFonts w:ascii="Times New Roman" w:eastAsia="Times New Roman" w:hAnsi="Times New Roman" w:cs="Times New Roman"/>
                <w:sz w:val="20"/>
                <w:szCs w:val="20"/>
              </w:rPr>
              <w:t>± 0.82</w:t>
            </w:r>
            <w:r w:rsidRPr="00E06694">
              <w:rPr>
                <w:rFonts w:ascii="Times New Roman" w:eastAsia="Calibri" w:hAnsi="Times New Roman" w:cs="Times New Roman"/>
                <w:sz w:val="24"/>
                <w:szCs w:val="24"/>
                <w:vertAlign w:val="superscript"/>
              </w:rPr>
              <w:t>a</w:t>
            </w:r>
          </w:p>
        </w:tc>
        <w:tc>
          <w:tcPr>
            <w:tcW w:w="1459" w:type="dxa"/>
            <w:vAlign w:val="center"/>
          </w:tcPr>
          <w:p w14:paraId="1D6C76EA"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164.33 </w:t>
            </w:r>
            <w:r w:rsidRPr="00E06694">
              <w:rPr>
                <w:rFonts w:ascii="Times New Roman" w:eastAsia="Times New Roman" w:hAnsi="Times New Roman" w:cs="Times New Roman"/>
                <w:sz w:val="20"/>
                <w:szCs w:val="20"/>
              </w:rPr>
              <w:t>± 1.61</w:t>
            </w:r>
            <w:r w:rsidRPr="00E06694">
              <w:rPr>
                <w:rFonts w:ascii="Times New Roman" w:eastAsia="Calibri" w:hAnsi="Times New Roman" w:cs="Times New Roman"/>
                <w:sz w:val="24"/>
                <w:szCs w:val="24"/>
                <w:vertAlign w:val="superscript"/>
              </w:rPr>
              <w:t>a</w:t>
            </w:r>
          </w:p>
        </w:tc>
      </w:tr>
      <w:tr w:rsidR="00F90484" w:rsidRPr="00E06694" w14:paraId="0560F301" w14:textId="77777777" w:rsidTr="00B215F5">
        <w:trPr>
          <w:trHeight w:val="300"/>
          <w:jc w:val="center"/>
        </w:trPr>
        <w:tc>
          <w:tcPr>
            <w:tcW w:w="3465" w:type="dxa"/>
            <w:vAlign w:val="bottom"/>
          </w:tcPr>
          <w:p w14:paraId="4C5F039F" w14:textId="2E7D4FB3"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R</w:t>
            </w:r>
            <w:r w:rsidRPr="00E06694">
              <w:rPr>
                <w:rFonts w:ascii="Times New Roman" w:eastAsia="Calibri" w:hAnsi="Times New Roman" w:cs="Times New Roman"/>
                <w:sz w:val="24"/>
                <w:szCs w:val="24"/>
                <w:vertAlign w:val="superscript"/>
              </w:rPr>
              <w:t>2</w:t>
            </w:r>
          </w:p>
        </w:tc>
        <w:tc>
          <w:tcPr>
            <w:tcW w:w="1458" w:type="dxa"/>
            <w:vAlign w:val="center"/>
          </w:tcPr>
          <w:p w14:paraId="741ABDA1"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0.70</w:t>
            </w:r>
          </w:p>
        </w:tc>
        <w:tc>
          <w:tcPr>
            <w:tcW w:w="1459" w:type="dxa"/>
            <w:vAlign w:val="center"/>
          </w:tcPr>
          <w:p w14:paraId="40E9C5A5"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0.80</w:t>
            </w:r>
          </w:p>
        </w:tc>
        <w:tc>
          <w:tcPr>
            <w:tcW w:w="1459" w:type="dxa"/>
            <w:vAlign w:val="center"/>
          </w:tcPr>
          <w:p w14:paraId="63502408"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0.79</w:t>
            </w:r>
          </w:p>
        </w:tc>
        <w:tc>
          <w:tcPr>
            <w:tcW w:w="1459" w:type="dxa"/>
            <w:vAlign w:val="center"/>
          </w:tcPr>
          <w:p w14:paraId="14831FA0"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0.92</w:t>
            </w:r>
          </w:p>
        </w:tc>
      </w:tr>
      <w:tr w:rsidR="00F90484" w:rsidRPr="00E06694" w14:paraId="01F46653" w14:textId="77777777" w:rsidTr="00B215F5">
        <w:trPr>
          <w:trHeight w:val="300"/>
          <w:jc w:val="center"/>
        </w:trPr>
        <w:tc>
          <w:tcPr>
            <w:tcW w:w="3465" w:type="dxa"/>
            <w:tcBorders>
              <w:bottom w:val="single" w:sz="4" w:space="0" w:color="000000"/>
            </w:tcBorders>
            <w:vAlign w:val="bottom"/>
          </w:tcPr>
          <w:p w14:paraId="7357117A"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CV (%)</w:t>
            </w:r>
          </w:p>
        </w:tc>
        <w:tc>
          <w:tcPr>
            <w:tcW w:w="1458" w:type="dxa"/>
            <w:tcBorders>
              <w:bottom w:val="single" w:sz="4" w:space="0" w:color="000000"/>
            </w:tcBorders>
            <w:vAlign w:val="center"/>
          </w:tcPr>
          <w:p w14:paraId="6E466449"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6.38</w:t>
            </w:r>
          </w:p>
        </w:tc>
        <w:tc>
          <w:tcPr>
            <w:tcW w:w="1459" w:type="dxa"/>
            <w:tcBorders>
              <w:bottom w:val="single" w:sz="4" w:space="0" w:color="000000"/>
            </w:tcBorders>
            <w:vAlign w:val="center"/>
          </w:tcPr>
          <w:p w14:paraId="1D82452D"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5.80</w:t>
            </w:r>
          </w:p>
        </w:tc>
        <w:tc>
          <w:tcPr>
            <w:tcW w:w="1459" w:type="dxa"/>
            <w:tcBorders>
              <w:bottom w:val="single" w:sz="4" w:space="0" w:color="000000"/>
            </w:tcBorders>
            <w:vAlign w:val="center"/>
          </w:tcPr>
          <w:p w14:paraId="29A47E2E"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14.43</w:t>
            </w:r>
          </w:p>
        </w:tc>
        <w:tc>
          <w:tcPr>
            <w:tcW w:w="1459" w:type="dxa"/>
            <w:tcBorders>
              <w:bottom w:val="single" w:sz="4" w:space="0" w:color="000000"/>
            </w:tcBorders>
            <w:vAlign w:val="center"/>
          </w:tcPr>
          <w:p w14:paraId="26897258" w14:textId="77777777" w:rsidR="00F90484" w:rsidRPr="00E06694" w:rsidRDefault="0093250E" w:rsidP="00D159E3">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7.41</w:t>
            </w:r>
          </w:p>
        </w:tc>
      </w:tr>
    </w:tbl>
    <w:p w14:paraId="4131D916" w14:textId="4EFB6F28" w:rsidR="00F90484" w:rsidRPr="00E06694" w:rsidRDefault="0093250E" w:rsidP="00E23EA5">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w:t>
      </w:r>
      <w:r w:rsidRPr="00E06694">
        <w:rPr>
          <w:rFonts w:ascii="Times New Roman" w:eastAsia="Calibri" w:hAnsi="Times New Roman" w:cs="Times New Roman"/>
          <w:sz w:val="24"/>
          <w:szCs w:val="24"/>
          <w:vertAlign w:val="superscript"/>
        </w:rPr>
        <w:t xml:space="preserve">2 </w:t>
      </w:r>
      <w:r w:rsidRPr="00E06694">
        <w:rPr>
          <w:rFonts w:ascii="Times New Roman" w:eastAsia="Gungsuh" w:hAnsi="Times New Roman" w:cs="Times New Roman"/>
          <w:sz w:val="24"/>
          <w:szCs w:val="24"/>
        </w:rPr>
        <w:t>= coefficient of determination; CV: coefficient of variation. Means in the same column followed by the same letters do not show significant differences according to Tukey's test (p ≤ 0.05).</w:t>
      </w:r>
    </w:p>
    <w:p w14:paraId="5039E72A" w14:textId="267D9D88" w:rsidR="00E23EA5" w:rsidRPr="00E06694" w:rsidRDefault="00E23EA5" w:rsidP="00E23EA5">
      <w:pPr>
        <w:spacing w:after="0" w:line="240" w:lineRule="auto"/>
        <w:ind w:left="0" w:firstLine="567"/>
        <w:rPr>
          <w:rFonts w:ascii="Times New Roman" w:eastAsia="Times New Roman" w:hAnsi="Times New Roman" w:cs="Times New Roman"/>
          <w:sz w:val="24"/>
          <w:szCs w:val="24"/>
        </w:rPr>
      </w:pPr>
    </w:p>
    <w:p w14:paraId="3C113303" w14:textId="144D625A" w:rsidR="0022565D" w:rsidRPr="00E06694" w:rsidRDefault="0022565D" w:rsidP="0022565D">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These results can be attributed to the raised bed cultivation system, which promoted earlier crop maturation by improving drainage, enhancing soil aeration, and increasing soil temperature retention (Ahmad &amp; Mahmood, 2005; Robert et al., 2023). The differences observed in the phenological cycle between locations suggest a differential genotype response to specific environmental conditions (Cabrera, 2016). These findings underscore the importance of evaluating agronomic performance across multiple environments to identify genetic materials with greater adaptability and phenotypic stability (García de Souza et al., 2012; Carvalho et al., 2019).</w:t>
      </w:r>
    </w:p>
    <w:p w14:paraId="77C2DE53" w14:textId="77777777" w:rsidR="002050CD" w:rsidRPr="00E06694" w:rsidRDefault="002050CD" w:rsidP="0022565D">
      <w:pPr>
        <w:spacing w:after="0" w:line="240" w:lineRule="auto"/>
        <w:ind w:left="0" w:firstLine="567"/>
        <w:rPr>
          <w:rFonts w:ascii="Times New Roman" w:eastAsia="Times New Roman" w:hAnsi="Times New Roman" w:cs="Times New Roman"/>
          <w:sz w:val="24"/>
          <w:szCs w:val="24"/>
        </w:rPr>
      </w:pPr>
    </w:p>
    <w:p w14:paraId="373A2D93"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Number of lenticels and root weight</w:t>
      </w:r>
    </w:p>
    <w:p w14:paraId="79AA415B" w14:textId="7F8E6C88" w:rsidR="00473A84" w:rsidRPr="00E06694" w:rsidRDefault="00473A84" w:rsidP="00473A84">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ANOVA results revealed significant differences (p ≤ 0.05) in the interaction between location, variety, and cropping system for both the number of lenticels and root weight. These findings indicate that the combined effects of these three factors had a substantial influence on these traits.</w:t>
      </w:r>
      <w:r w:rsidR="0094040A"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According to local producers, roots with fewer lenticels tend to develop fewer secondary roots, making them easier to wash. Additionally, such roots are highly valued in consumer markets due to their superior appearance and quality.</w:t>
      </w:r>
    </w:p>
    <w:p w14:paraId="5B129A00" w14:textId="1CA97BD7" w:rsidR="00473A84" w:rsidRPr="00E06694" w:rsidRDefault="00473A84" w:rsidP="00473A84">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Altiplano variety grown in raised beds exhibited the lowest number of lenticels per root at both sites</w:t>
      </w:r>
      <w:r w:rsidR="0094040A"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 xml:space="preserve">Koari Alto (45.00 ± 3.56 lenticels) and Koari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xml:space="preserve"> (41.75 ± 4.86 lenticels)</w:t>
      </w:r>
      <w:r w:rsidR="0094040A"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 xml:space="preserve">and </w:t>
      </w:r>
      <w:r w:rsidRPr="002B3C38">
        <w:rPr>
          <w:rFonts w:ascii="Times New Roman" w:eastAsia="Times New Roman" w:hAnsi="Times New Roman" w:cs="Times New Roman"/>
          <w:strike/>
          <w:sz w:val="24"/>
          <w:szCs w:val="24"/>
        </w:rPr>
        <w:t xml:space="preserve">was </w:t>
      </w:r>
      <w:r w:rsidRPr="00E06694">
        <w:rPr>
          <w:rFonts w:ascii="Times New Roman" w:eastAsia="Times New Roman" w:hAnsi="Times New Roman" w:cs="Times New Roman"/>
          <w:sz w:val="24"/>
          <w:szCs w:val="24"/>
        </w:rPr>
        <w:t xml:space="preserve">regarded as higher quality and easier to clean compared to the other treatments. In contrast, </w:t>
      </w:r>
      <w:r w:rsidRPr="00E06694">
        <w:rPr>
          <w:rFonts w:ascii="Times New Roman" w:eastAsia="Times New Roman" w:hAnsi="Times New Roman" w:cs="Times New Roman"/>
          <w:sz w:val="24"/>
          <w:szCs w:val="24"/>
        </w:rPr>
        <w:lastRenderedPageBreak/>
        <w:t>the control treatment recorded the highest number of lenticels per root at both locations</w:t>
      </w:r>
      <w:r w:rsidR="0094040A"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 xml:space="preserve">Koari Alto (78.00 ± 4.24) and Koari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xml:space="preserve"> (83.53 ± 3.70) (Table 4).</w:t>
      </w:r>
    </w:p>
    <w:p w14:paraId="7D3AA7AB" w14:textId="77777777" w:rsidR="00473A84" w:rsidRPr="00E06694" w:rsidRDefault="00473A84" w:rsidP="00E23EA5">
      <w:pPr>
        <w:spacing w:after="0" w:line="240" w:lineRule="auto"/>
        <w:ind w:left="0" w:firstLine="567"/>
        <w:rPr>
          <w:rFonts w:ascii="Times New Roman" w:eastAsia="Times New Roman" w:hAnsi="Times New Roman" w:cs="Times New Roman"/>
          <w:sz w:val="24"/>
          <w:szCs w:val="24"/>
        </w:rPr>
      </w:pPr>
    </w:p>
    <w:p w14:paraId="16B9899A" w14:textId="24D393CF" w:rsidR="00F90484" w:rsidRPr="00E06694" w:rsidRDefault="00582104" w:rsidP="00D159E3">
      <w:pPr>
        <w:spacing w:after="0" w:line="240" w:lineRule="auto"/>
        <w:ind w:left="0"/>
        <w:jc w:val="left"/>
        <w:rPr>
          <w:rFonts w:ascii="Times New Roman" w:eastAsia="Times New Roman" w:hAnsi="Times New Roman" w:cs="Times New Roman"/>
          <w:color w:val="000000"/>
          <w:sz w:val="24"/>
          <w:szCs w:val="20"/>
        </w:rPr>
      </w:pPr>
      <w:r w:rsidRPr="00E06694">
        <w:rPr>
          <w:rFonts w:ascii="Times New Roman" w:eastAsia="Times New Roman" w:hAnsi="Times New Roman" w:cs="Times New Roman"/>
          <w:b/>
          <w:color w:val="000000"/>
          <w:sz w:val="24"/>
          <w:szCs w:val="20"/>
        </w:rPr>
        <w:t>Table</w:t>
      </w:r>
      <w:r w:rsidR="0093250E" w:rsidRPr="00E06694">
        <w:rPr>
          <w:rFonts w:ascii="Times New Roman" w:eastAsia="Times New Roman" w:hAnsi="Times New Roman" w:cs="Times New Roman"/>
          <w:b/>
          <w:color w:val="000000"/>
          <w:sz w:val="24"/>
          <w:szCs w:val="20"/>
        </w:rPr>
        <w:t xml:space="preserve"> </w:t>
      </w:r>
      <w:r w:rsidR="0093250E" w:rsidRPr="00E06694">
        <w:rPr>
          <w:rFonts w:ascii="Times New Roman" w:eastAsia="Times New Roman" w:hAnsi="Times New Roman" w:cs="Times New Roman"/>
          <w:b/>
          <w:sz w:val="24"/>
          <w:szCs w:val="20"/>
        </w:rPr>
        <w:t>4</w:t>
      </w:r>
      <w:r w:rsidR="0093250E" w:rsidRPr="00E06694">
        <w:rPr>
          <w:rFonts w:ascii="Times New Roman" w:eastAsia="Times New Roman" w:hAnsi="Times New Roman" w:cs="Times New Roman"/>
          <w:b/>
          <w:color w:val="000000"/>
          <w:sz w:val="24"/>
          <w:szCs w:val="20"/>
        </w:rPr>
        <w:t xml:space="preserve">. </w:t>
      </w:r>
      <w:r w:rsidR="0093250E" w:rsidRPr="00E06694">
        <w:rPr>
          <w:rFonts w:ascii="Times New Roman" w:eastAsia="Times New Roman" w:hAnsi="Times New Roman" w:cs="Times New Roman"/>
          <w:sz w:val="24"/>
          <w:szCs w:val="20"/>
        </w:rPr>
        <w:t xml:space="preserve">Averages for </w:t>
      </w:r>
      <w:r w:rsidR="0093250E" w:rsidRPr="00E06694">
        <w:rPr>
          <w:rFonts w:ascii="Times New Roman" w:eastAsia="Times New Roman" w:hAnsi="Times New Roman" w:cs="Times New Roman"/>
          <w:color w:val="000000"/>
          <w:sz w:val="24"/>
          <w:szCs w:val="20"/>
        </w:rPr>
        <w:t xml:space="preserve">number of lenticels per root and root weight </w:t>
      </w:r>
      <w:r w:rsidR="00C0547A" w:rsidRPr="00E06694">
        <w:rPr>
          <w:rFonts w:ascii="Times New Roman" w:eastAsia="Times New Roman" w:hAnsi="Times New Roman" w:cs="Times New Roman"/>
          <w:color w:val="000000"/>
          <w:sz w:val="24"/>
          <w:szCs w:val="20"/>
        </w:rPr>
        <w:t xml:space="preserve">(g) </w:t>
      </w:r>
      <w:r w:rsidR="0093250E" w:rsidRPr="00E06694">
        <w:rPr>
          <w:rFonts w:ascii="Times New Roman" w:eastAsia="Times New Roman" w:hAnsi="Times New Roman" w:cs="Times New Roman"/>
          <w:color w:val="000000"/>
          <w:sz w:val="24"/>
          <w:szCs w:val="20"/>
        </w:rPr>
        <w:t>per location.</w:t>
      </w:r>
    </w:p>
    <w:tbl>
      <w:tblPr>
        <w:tblStyle w:val="Style13"/>
        <w:tblW w:w="9525" w:type="dxa"/>
        <w:jc w:val="center"/>
        <w:tblInd w:w="0" w:type="dxa"/>
        <w:tblLayout w:type="fixed"/>
        <w:tblLook w:val="04A0" w:firstRow="1" w:lastRow="0" w:firstColumn="1" w:lastColumn="0" w:noHBand="0" w:noVBand="1"/>
      </w:tblPr>
      <w:tblGrid>
        <w:gridCol w:w="3686"/>
        <w:gridCol w:w="1459"/>
        <w:gridCol w:w="1460"/>
        <w:gridCol w:w="1460"/>
        <w:gridCol w:w="1460"/>
      </w:tblGrid>
      <w:tr w:rsidR="00F90484" w:rsidRPr="00E06694" w14:paraId="36EF9408" w14:textId="77777777" w:rsidTr="00C0547A">
        <w:trPr>
          <w:trHeight w:val="300"/>
          <w:jc w:val="center"/>
        </w:trPr>
        <w:tc>
          <w:tcPr>
            <w:tcW w:w="3686" w:type="dxa"/>
            <w:vMerge w:val="restart"/>
            <w:tcBorders>
              <w:top w:val="single" w:sz="4" w:space="0" w:color="000000"/>
            </w:tcBorders>
            <w:vAlign w:val="center"/>
          </w:tcPr>
          <w:p w14:paraId="66E08A52"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Treatments</w:t>
            </w:r>
          </w:p>
        </w:tc>
        <w:tc>
          <w:tcPr>
            <w:tcW w:w="2919" w:type="dxa"/>
            <w:gridSpan w:val="2"/>
            <w:tcBorders>
              <w:top w:val="single" w:sz="4" w:space="0" w:color="000000"/>
              <w:bottom w:val="single" w:sz="4" w:space="0" w:color="000000"/>
            </w:tcBorders>
            <w:vAlign w:val="center"/>
          </w:tcPr>
          <w:p w14:paraId="4F276087" w14:textId="097FDC6C"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Koari Alto</w:t>
            </w:r>
          </w:p>
        </w:tc>
        <w:tc>
          <w:tcPr>
            <w:tcW w:w="2920" w:type="dxa"/>
            <w:gridSpan w:val="2"/>
            <w:tcBorders>
              <w:top w:val="single" w:sz="4" w:space="0" w:color="000000"/>
              <w:bottom w:val="single" w:sz="4" w:space="0" w:color="000000"/>
            </w:tcBorders>
            <w:vAlign w:val="center"/>
          </w:tcPr>
          <w:p w14:paraId="34AEF4BC" w14:textId="0937E066"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Koari Lagunillas</w:t>
            </w:r>
          </w:p>
        </w:tc>
      </w:tr>
      <w:tr w:rsidR="00F90484" w:rsidRPr="00E06694" w14:paraId="7907D26D" w14:textId="77777777" w:rsidTr="00C0547A">
        <w:trPr>
          <w:trHeight w:val="900"/>
          <w:jc w:val="center"/>
        </w:trPr>
        <w:tc>
          <w:tcPr>
            <w:tcW w:w="3686" w:type="dxa"/>
            <w:vMerge/>
            <w:tcBorders>
              <w:top w:val="single" w:sz="4" w:space="0" w:color="000000"/>
            </w:tcBorders>
            <w:vAlign w:val="center"/>
          </w:tcPr>
          <w:p w14:paraId="61FA1C7E" w14:textId="77777777" w:rsidR="00F90484" w:rsidRPr="00E06694" w:rsidRDefault="00F90484" w:rsidP="00D159E3">
            <w:pPr>
              <w:widowControl w:val="0"/>
              <w:spacing w:after="0" w:line="240" w:lineRule="auto"/>
              <w:ind w:left="0"/>
              <w:jc w:val="left"/>
              <w:rPr>
                <w:rFonts w:ascii="Times New Roman" w:eastAsia="Times New Roman" w:hAnsi="Times New Roman" w:cs="Times New Roman"/>
                <w:b/>
                <w:color w:val="000000"/>
                <w:sz w:val="20"/>
                <w:szCs w:val="20"/>
              </w:rPr>
            </w:pPr>
          </w:p>
        </w:tc>
        <w:tc>
          <w:tcPr>
            <w:tcW w:w="1459" w:type="dxa"/>
            <w:tcBorders>
              <w:top w:val="single" w:sz="4" w:space="0" w:color="000000"/>
              <w:bottom w:val="single" w:sz="4" w:space="0" w:color="000000"/>
            </w:tcBorders>
            <w:vAlign w:val="center"/>
          </w:tcPr>
          <w:p w14:paraId="5323F1E0"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sz w:val="20"/>
                <w:szCs w:val="20"/>
              </w:rPr>
              <w:t xml:space="preserve">Number </w:t>
            </w:r>
            <w:r w:rsidRPr="00E06694">
              <w:rPr>
                <w:rFonts w:ascii="Times New Roman" w:eastAsia="Times New Roman" w:hAnsi="Times New Roman" w:cs="Times New Roman"/>
                <w:b/>
                <w:color w:val="000000"/>
                <w:sz w:val="20"/>
                <w:szCs w:val="20"/>
              </w:rPr>
              <w:t>of lenticels per root</w:t>
            </w:r>
          </w:p>
        </w:tc>
        <w:tc>
          <w:tcPr>
            <w:tcW w:w="1460" w:type="dxa"/>
            <w:tcBorders>
              <w:top w:val="single" w:sz="4" w:space="0" w:color="000000"/>
              <w:bottom w:val="single" w:sz="4" w:space="0" w:color="000000"/>
            </w:tcBorders>
            <w:vAlign w:val="center"/>
          </w:tcPr>
          <w:p w14:paraId="250311FE" w14:textId="55CDA96A" w:rsidR="00F90484" w:rsidRPr="00E06694" w:rsidRDefault="00C0547A"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Root weight</w:t>
            </w:r>
          </w:p>
        </w:tc>
        <w:tc>
          <w:tcPr>
            <w:tcW w:w="1460" w:type="dxa"/>
            <w:tcBorders>
              <w:top w:val="single" w:sz="4" w:space="0" w:color="000000"/>
              <w:bottom w:val="single" w:sz="4" w:space="0" w:color="000000"/>
            </w:tcBorders>
            <w:vAlign w:val="center"/>
          </w:tcPr>
          <w:p w14:paraId="01D5FB2B" w14:textId="77777777" w:rsidR="00F90484" w:rsidRPr="00E06694" w:rsidRDefault="0093250E"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sz w:val="20"/>
                <w:szCs w:val="20"/>
              </w:rPr>
              <w:t xml:space="preserve">Number </w:t>
            </w:r>
            <w:r w:rsidRPr="00E06694">
              <w:rPr>
                <w:rFonts w:ascii="Times New Roman" w:eastAsia="Times New Roman" w:hAnsi="Times New Roman" w:cs="Times New Roman"/>
                <w:b/>
                <w:color w:val="000000"/>
                <w:sz w:val="20"/>
                <w:szCs w:val="20"/>
              </w:rPr>
              <w:t>of lenticels per root</w:t>
            </w:r>
          </w:p>
        </w:tc>
        <w:tc>
          <w:tcPr>
            <w:tcW w:w="1460" w:type="dxa"/>
            <w:tcBorders>
              <w:top w:val="single" w:sz="4" w:space="0" w:color="000000"/>
              <w:bottom w:val="single" w:sz="4" w:space="0" w:color="000000"/>
            </w:tcBorders>
            <w:vAlign w:val="center"/>
          </w:tcPr>
          <w:p w14:paraId="09115573" w14:textId="246591AD" w:rsidR="00F90484" w:rsidRPr="00E06694" w:rsidRDefault="00C0547A" w:rsidP="00D159E3">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Root weight</w:t>
            </w:r>
          </w:p>
        </w:tc>
      </w:tr>
      <w:tr w:rsidR="00F90484" w:rsidRPr="00E06694" w14:paraId="5A44C4F6" w14:textId="77777777" w:rsidTr="00C0547A">
        <w:trPr>
          <w:trHeight w:val="300"/>
          <w:jc w:val="center"/>
        </w:trPr>
        <w:tc>
          <w:tcPr>
            <w:tcW w:w="3686" w:type="dxa"/>
            <w:tcBorders>
              <w:top w:val="single" w:sz="4" w:space="0" w:color="000000"/>
            </w:tcBorders>
            <w:vAlign w:val="bottom"/>
          </w:tcPr>
          <w:p w14:paraId="3C209287"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High plateau with raised bed</w:t>
            </w:r>
          </w:p>
        </w:tc>
        <w:tc>
          <w:tcPr>
            <w:tcW w:w="1459" w:type="dxa"/>
            <w:tcBorders>
              <w:top w:val="single" w:sz="4" w:space="0" w:color="000000"/>
            </w:tcBorders>
            <w:vAlign w:val="center"/>
          </w:tcPr>
          <w:p w14:paraId="48A2282C"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45.</w:t>
            </w:r>
            <w:r w:rsidRPr="00E06694">
              <w:rPr>
                <w:rFonts w:ascii="Times New Roman" w:eastAsia="Times New Roman" w:hAnsi="Times New Roman" w:cs="Times New Roman"/>
                <w:sz w:val="20"/>
                <w:szCs w:val="20"/>
              </w:rPr>
              <w:t>00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3.56</w:t>
            </w:r>
            <w:r w:rsidRPr="00E06694">
              <w:rPr>
                <w:rFonts w:ascii="Times New Roman" w:eastAsia="Calibri" w:hAnsi="Times New Roman" w:cs="Times New Roman"/>
                <w:sz w:val="24"/>
                <w:szCs w:val="24"/>
                <w:vertAlign w:val="superscript"/>
              </w:rPr>
              <w:t>c</w:t>
            </w:r>
          </w:p>
        </w:tc>
        <w:tc>
          <w:tcPr>
            <w:tcW w:w="1460" w:type="dxa"/>
            <w:tcBorders>
              <w:top w:val="single" w:sz="4" w:space="0" w:color="000000"/>
            </w:tcBorders>
            <w:vAlign w:val="center"/>
          </w:tcPr>
          <w:p w14:paraId="0FEC05BE"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96.38 </w:t>
            </w:r>
            <w:r w:rsidRPr="00E06694">
              <w:rPr>
                <w:rFonts w:ascii="Times New Roman" w:eastAsia="Times New Roman" w:hAnsi="Times New Roman" w:cs="Times New Roman"/>
                <w:sz w:val="20"/>
                <w:szCs w:val="20"/>
              </w:rPr>
              <w:t>± 17.27</w:t>
            </w:r>
            <w:r w:rsidRPr="00E06694">
              <w:rPr>
                <w:rFonts w:ascii="Times New Roman" w:eastAsia="Calibri" w:hAnsi="Times New Roman" w:cs="Times New Roman"/>
                <w:sz w:val="24"/>
                <w:szCs w:val="24"/>
                <w:vertAlign w:val="superscript"/>
              </w:rPr>
              <w:t>a</w:t>
            </w:r>
          </w:p>
        </w:tc>
        <w:tc>
          <w:tcPr>
            <w:tcW w:w="1460" w:type="dxa"/>
            <w:tcBorders>
              <w:top w:val="single" w:sz="4" w:space="0" w:color="000000"/>
            </w:tcBorders>
            <w:vAlign w:val="center"/>
          </w:tcPr>
          <w:p w14:paraId="6CA4F0C2"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4</w:t>
            </w:r>
            <w:r w:rsidRPr="00E06694">
              <w:rPr>
                <w:rFonts w:ascii="Times New Roman" w:eastAsia="Times New Roman" w:hAnsi="Times New Roman" w:cs="Times New Roman"/>
                <w:sz w:val="20"/>
                <w:szCs w:val="20"/>
              </w:rPr>
              <w:t>1.75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4.86</w:t>
            </w:r>
            <w:r w:rsidRPr="00E06694">
              <w:rPr>
                <w:rFonts w:ascii="Times New Roman" w:eastAsia="Calibri" w:hAnsi="Times New Roman" w:cs="Times New Roman"/>
                <w:sz w:val="24"/>
                <w:szCs w:val="24"/>
                <w:vertAlign w:val="superscript"/>
              </w:rPr>
              <w:t>c</w:t>
            </w:r>
          </w:p>
        </w:tc>
        <w:tc>
          <w:tcPr>
            <w:tcW w:w="1460" w:type="dxa"/>
            <w:tcBorders>
              <w:top w:val="single" w:sz="4" w:space="0" w:color="000000"/>
            </w:tcBorders>
            <w:vAlign w:val="center"/>
          </w:tcPr>
          <w:p w14:paraId="0EB53F29"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91.3</w:t>
            </w:r>
            <w:r w:rsidRPr="00E06694">
              <w:rPr>
                <w:rFonts w:ascii="Times New Roman" w:eastAsia="Times New Roman" w:hAnsi="Times New Roman" w:cs="Times New Roman"/>
                <w:sz w:val="20"/>
                <w:szCs w:val="20"/>
              </w:rPr>
              <w:t>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11.95</w:t>
            </w:r>
            <w:r w:rsidRPr="00E06694">
              <w:rPr>
                <w:rFonts w:ascii="Times New Roman" w:eastAsia="Calibri" w:hAnsi="Times New Roman" w:cs="Times New Roman"/>
                <w:sz w:val="24"/>
                <w:szCs w:val="24"/>
                <w:vertAlign w:val="superscript"/>
              </w:rPr>
              <w:t>a</w:t>
            </w:r>
          </w:p>
        </w:tc>
      </w:tr>
      <w:tr w:rsidR="00F90484" w:rsidRPr="00E06694" w14:paraId="6B81984B" w14:textId="77777777" w:rsidTr="00C0547A">
        <w:trPr>
          <w:trHeight w:val="300"/>
          <w:jc w:val="center"/>
        </w:trPr>
        <w:tc>
          <w:tcPr>
            <w:tcW w:w="3686" w:type="dxa"/>
            <w:vAlign w:val="bottom"/>
          </w:tcPr>
          <w:p w14:paraId="1B44ECA2"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Altiplano without raised bed</w:t>
            </w:r>
          </w:p>
        </w:tc>
        <w:tc>
          <w:tcPr>
            <w:tcW w:w="1459" w:type="dxa"/>
            <w:vAlign w:val="center"/>
          </w:tcPr>
          <w:p w14:paraId="3E36BF78"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66.</w:t>
            </w:r>
            <w:r w:rsidRPr="00E06694">
              <w:rPr>
                <w:rFonts w:ascii="Times New Roman" w:eastAsia="Times New Roman" w:hAnsi="Times New Roman" w:cs="Times New Roman"/>
                <w:sz w:val="20"/>
                <w:szCs w:val="20"/>
              </w:rPr>
              <w:t>00 ± 5.35</w:t>
            </w:r>
            <w:r w:rsidRPr="00E06694">
              <w:rPr>
                <w:rFonts w:ascii="Times New Roman" w:eastAsia="Calibri" w:hAnsi="Times New Roman" w:cs="Times New Roman"/>
                <w:sz w:val="24"/>
                <w:szCs w:val="24"/>
                <w:vertAlign w:val="superscript"/>
              </w:rPr>
              <w:t>c</w:t>
            </w:r>
          </w:p>
        </w:tc>
        <w:tc>
          <w:tcPr>
            <w:tcW w:w="1460" w:type="dxa"/>
            <w:vAlign w:val="center"/>
          </w:tcPr>
          <w:p w14:paraId="555C3669"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62.35 </w:t>
            </w:r>
            <w:r w:rsidRPr="00E06694">
              <w:rPr>
                <w:rFonts w:ascii="Times New Roman" w:eastAsia="Times New Roman" w:hAnsi="Times New Roman" w:cs="Times New Roman"/>
                <w:sz w:val="20"/>
                <w:szCs w:val="20"/>
              </w:rPr>
              <w:t>± 10.05</w:t>
            </w:r>
            <w:r w:rsidRPr="00E06694">
              <w:rPr>
                <w:rFonts w:ascii="Times New Roman" w:eastAsia="Calibri" w:hAnsi="Times New Roman" w:cs="Times New Roman"/>
                <w:sz w:val="24"/>
                <w:szCs w:val="24"/>
                <w:vertAlign w:val="superscript"/>
              </w:rPr>
              <w:t>c</w:t>
            </w:r>
          </w:p>
        </w:tc>
        <w:tc>
          <w:tcPr>
            <w:tcW w:w="1460" w:type="dxa"/>
            <w:vAlign w:val="center"/>
          </w:tcPr>
          <w:p w14:paraId="4DA02F7D"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49.50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4.43</w:t>
            </w:r>
            <w:r w:rsidRPr="00E06694">
              <w:rPr>
                <w:rFonts w:ascii="Times New Roman" w:eastAsia="Calibri" w:hAnsi="Times New Roman" w:cs="Times New Roman"/>
                <w:sz w:val="24"/>
                <w:szCs w:val="24"/>
                <w:vertAlign w:val="superscript"/>
              </w:rPr>
              <w:t>bc</w:t>
            </w:r>
          </w:p>
        </w:tc>
        <w:tc>
          <w:tcPr>
            <w:tcW w:w="1460" w:type="dxa"/>
            <w:vAlign w:val="center"/>
          </w:tcPr>
          <w:p w14:paraId="154AA3FB"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45.9</w:t>
            </w:r>
            <w:r w:rsidRPr="00E06694">
              <w:rPr>
                <w:rFonts w:ascii="Times New Roman" w:eastAsia="Times New Roman" w:hAnsi="Times New Roman" w:cs="Times New Roman"/>
                <w:sz w:val="20"/>
                <w:szCs w:val="20"/>
              </w:rPr>
              <w:t>8</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5.98</w:t>
            </w:r>
            <w:r w:rsidRPr="00E06694">
              <w:rPr>
                <w:rFonts w:ascii="Times New Roman" w:eastAsia="Calibri" w:hAnsi="Times New Roman" w:cs="Times New Roman"/>
                <w:sz w:val="24"/>
                <w:szCs w:val="24"/>
                <w:vertAlign w:val="superscript"/>
              </w:rPr>
              <w:t>d</w:t>
            </w:r>
          </w:p>
        </w:tc>
      </w:tr>
      <w:tr w:rsidR="00F90484" w:rsidRPr="00E06694" w14:paraId="4C7E3A0A" w14:textId="77777777" w:rsidTr="00C0547A">
        <w:trPr>
          <w:trHeight w:val="300"/>
          <w:jc w:val="center"/>
        </w:trPr>
        <w:tc>
          <w:tcPr>
            <w:tcW w:w="3686" w:type="dxa"/>
            <w:vAlign w:val="bottom"/>
          </w:tcPr>
          <w:p w14:paraId="65BC535B"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 raised bed</w:t>
            </w:r>
          </w:p>
        </w:tc>
        <w:tc>
          <w:tcPr>
            <w:tcW w:w="1459" w:type="dxa"/>
            <w:vAlign w:val="center"/>
          </w:tcPr>
          <w:p w14:paraId="04D6A94C"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sz w:val="20"/>
                <w:szCs w:val="20"/>
              </w:rPr>
              <w:t>59.75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2.16</w:t>
            </w:r>
            <w:r w:rsidRPr="00E06694">
              <w:rPr>
                <w:rFonts w:ascii="Times New Roman" w:eastAsia="Calibri" w:hAnsi="Times New Roman" w:cs="Times New Roman"/>
                <w:sz w:val="24"/>
                <w:szCs w:val="24"/>
                <w:vertAlign w:val="superscript"/>
              </w:rPr>
              <w:t>bc</w:t>
            </w:r>
          </w:p>
        </w:tc>
        <w:tc>
          <w:tcPr>
            <w:tcW w:w="1460" w:type="dxa"/>
            <w:vAlign w:val="center"/>
          </w:tcPr>
          <w:p w14:paraId="3A2976EA"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70.</w:t>
            </w:r>
            <w:r w:rsidRPr="00E06694">
              <w:rPr>
                <w:rFonts w:ascii="Times New Roman" w:eastAsia="Times New Roman" w:hAnsi="Times New Roman" w:cs="Times New Roman"/>
                <w:sz w:val="20"/>
                <w:szCs w:val="20"/>
              </w:rPr>
              <w:t>97</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17.59</w:t>
            </w:r>
            <w:r w:rsidRPr="00E06694">
              <w:rPr>
                <w:rFonts w:ascii="Times New Roman" w:eastAsia="Calibri" w:hAnsi="Times New Roman" w:cs="Times New Roman"/>
                <w:sz w:val="24"/>
                <w:szCs w:val="24"/>
                <w:vertAlign w:val="superscript"/>
              </w:rPr>
              <w:t>bc</w:t>
            </w:r>
          </w:p>
        </w:tc>
        <w:tc>
          <w:tcPr>
            <w:tcW w:w="1460" w:type="dxa"/>
            <w:vAlign w:val="center"/>
          </w:tcPr>
          <w:p w14:paraId="63C3D296"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w:t>
            </w:r>
            <w:r w:rsidRPr="00E06694">
              <w:rPr>
                <w:rFonts w:ascii="Times New Roman" w:eastAsia="Times New Roman" w:hAnsi="Times New Roman" w:cs="Times New Roman"/>
                <w:sz w:val="20"/>
                <w:szCs w:val="20"/>
              </w:rPr>
              <w:t>7.75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8.66</w:t>
            </w:r>
            <w:r w:rsidRPr="00E06694">
              <w:rPr>
                <w:rFonts w:ascii="Times New Roman" w:eastAsia="Calibri" w:hAnsi="Times New Roman" w:cs="Times New Roman"/>
                <w:sz w:val="24"/>
                <w:szCs w:val="24"/>
                <w:vertAlign w:val="superscript"/>
              </w:rPr>
              <w:t>bc</w:t>
            </w:r>
          </w:p>
        </w:tc>
        <w:tc>
          <w:tcPr>
            <w:tcW w:w="1460" w:type="dxa"/>
            <w:vAlign w:val="center"/>
          </w:tcPr>
          <w:p w14:paraId="6A72ADB0"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73.2</w:t>
            </w:r>
            <w:r w:rsidRPr="00E06694">
              <w:rPr>
                <w:rFonts w:ascii="Times New Roman" w:eastAsia="Times New Roman" w:hAnsi="Times New Roman" w:cs="Times New Roman"/>
                <w:sz w:val="20"/>
                <w:szCs w:val="20"/>
              </w:rPr>
              <w:t>8</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9.18</w:t>
            </w:r>
            <w:r w:rsidRPr="00E06694">
              <w:rPr>
                <w:rFonts w:ascii="Times New Roman" w:eastAsia="Calibri" w:hAnsi="Times New Roman" w:cs="Times New Roman"/>
                <w:sz w:val="24"/>
                <w:szCs w:val="24"/>
                <w:vertAlign w:val="superscript"/>
              </w:rPr>
              <w:t>bc</w:t>
            </w:r>
          </w:p>
        </w:tc>
      </w:tr>
      <w:tr w:rsidR="00F90484" w:rsidRPr="00E06694" w14:paraId="5740DE9D" w14:textId="77777777" w:rsidTr="00C0547A">
        <w:trPr>
          <w:trHeight w:val="300"/>
          <w:jc w:val="center"/>
        </w:trPr>
        <w:tc>
          <w:tcPr>
            <w:tcW w:w="3686" w:type="dxa"/>
            <w:vAlign w:val="bottom"/>
          </w:tcPr>
          <w:p w14:paraId="21856A33"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without raised bed</w:t>
            </w:r>
          </w:p>
        </w:tc>
        <w:tc>
          <w:tcPr>
            <w:tcW w:w="1459" w:type="dxa"/>
            <w:vAlign w:val="center"/>
          </w:tcPr>
          <w:p w14:paraId="1647F4D5"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6</w:t>
            </w:r>
            <w:r w:rsidRPr="00E06694">
              <w:rPr>
                <w:rFonts w:ascii="Times New Roman" w:eastAsia="Times New Roman" w:hAnsi="Times New Roman" w:cs="Times New Roman"/>
                <w:sz w:val="20"/>
                <w:szCs w:val="20"/>
              </w:rPr>
              <w:t>4.50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10.79</w:t>
            </w:r>
            <w:r w:rsidRPr="00E06694">
              <w:rPr>
                <w:rFonts w:ascii="Times New Roman" w:eastAsia="Calibri" w:hAnsi="Times New Roman" w:cs="Times New Roman"/>
                <w:sz w:val="24"/>
                <w:szCs w:val="24"/>
                <w:vertAlign w:val="superscript"/>
              </w:rPr>
              <w:t>ab</w:t>
            </w:r>
          </w:p>
        </w:tc>
        <w:tc>
          <w:tcPr>
            <w:tcW w:w="1460" w:type="dxa"/>
            <w:vAlign w:val="center"/>
          </w:tcPr>
          <w:p w14:paraId="61883BBC"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47.12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5.11</w:t>
            </w:r>
            <w:r w:rsidRPr="00E06694">
              <w:rPr>
                <w:rFonts w:ascii="Times New Roman" w:eastAsia="Calibri" w:hAnsi="Times New Roman" w:cs="Times New Roman"/>
                <w:sz w:val="24"/>
                <w:szCs w:val="24"/>
                <w:vertAlign w:val="superscript"/>
              </w:rPr>
              <w:t>c</w:t>
            </w:r>
          </w:p>
        </w:tc>
        <w:tc>
          <w:tcPr>
            <w:tcW w:w="1460" w:type="dxa"/>
            <w:vAlign w:val="center"/>
          </w:tcPr>
          <w:p w14:paraId="42688984"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w:t>
            </w:r>
            <w:r w:rsidRPr="00E06694">
              <w:rPr>
                <w:rFonts w:ascii="Times New Roman" w:eastAsia="Times New Roman" w:hAnsi="Times New Roman" w:cs="Times New Roman"/>
                <w:sz w:val="20"/>
                <w:szCs w:val="20"/>
              </w:rPr>
              <w:t>7.50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6.45</w:t>
            </w:r>
            <w:r w:rsidRPr="00E06694">
              <w:rPr>
                <w:rFonts w:ascii="Times New Roman" w:eastAsia="Calibri" w:hAnsi="Times New Roman" w:cs="Times New Roman"/>
                <w:sz w:val="24"/>
                <w:szCs w:val="24"/>
                <w:vertAlign w:val="superscript"/>
              </w:rPr>
              <w:t>bc</w:t>
            </w:r>
            <w:r w:rsidRPr="00E06694">
              <w:rPr>
                <w:rFonts w:ascii="Times New Roman" w:eastAsia="Times New Roman" w:hAnsi="Times New Roman" w:cs="Times New Roman"/>
                <w:color w:val="000000"/>
                <w:sz w:val="20"/>
                <w:szCs w:val="20"/>
              </w:rPr>
              <w:t xml:space="preserve"> </w:t>
            </w:r>
          </w:p>
        </w:tc>
        <w:tc>
          <w:tcPr>
            <w:tcW w:w="1460" w:type="dxa"/>
            <w:vAlign w:val="center"/>
          </w:tcPr>
          <w:p w14:paraId="3F706E36"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5</w:t>
            </w:r>
            <w:r w:rsidRPr="00E06694">
              <w:rPr>
                <w:rFonts w:ascii="Times New Roman" w:eastAsia="Times New Roman" w:hAnsi="Times New Roman" w:cs="Times New Roman"/>
                <w:sz w:val="20"/>
                <w:szCs w:val="20"/>
              </w:rPr>
              <w:t>3</w:t>
            </w:r>
            <w:r w:rsidRPr="00E06694">
              <w:rPr>
                <w:rFonts w:ascii="Times New Roman" w:eastAsia="Times New Roman" w:hAnsi="Times New Roman" w:cs="Times New Roman"/>
                <w:color w:val="000000"/>
                <w:sz w:val="20"/>
                <w:szCs w:val="20"/>
              </w:rPr>
              <w:t xml:space="preserve">.70 </w:t>
            </w:r>
            <w:r w:rsidRPr="00E06694">
              <w:rPr>
                <w:rFonts w:ascii="Times New Roman" w:eastAsia="Times New Roman" w:hAnsi="Times New Roman" w:cs="Times New Roman"/>
                <w:sz w:val="20"/>
                <w:szCs w:val="20"/>
              </w:rPr>
              <w:t>± 6.26</w:t>
            </w:r>
            <w:r w:rsidRPr="00E06694">
              <w:rPr>
                <w:rFonts w:ascii="Times New Roman" w:eastAsia="Calibri" w:hAnsi="Times New Roman" w:cs="Times New Roman"/>
                <w:sz w:val="24"/>
                <w:szCs w:val="24"/>
                <w:vertAlign w:val="superscript"/>
              </w:rPr>
              <w:t>d</w:t>
            </w:r>
          </w:p>
        </w:tc>
      </w:tr>
      <w:tr w:rsidR="00F90484" w:rsidRPr="00E06694" w14:paraId="30C33064" w14:textId="77777777" w:rsidTr="00C0547A">
        <w:trPr>
          <w:trHeight w:val="300"/>
          <w:jc w:val="center"/>
        </w:trPr>
        <w:tc>
          <w:tcPr>
            <w:tcW w:w="3686" w:type="dxa"/>
            <w:vAlign w:val="bottom"/>
          </w:tcPr>
          <w:p w14:paraId="6EA9146F"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r w:rsidRPr="00E06694">
              <w:rPr>
                <w:rFonts w:ascii="Times New Roman" w:eastAsia="Times New Roman" w:hAnsi="Times New Roman" w:cs="Times New Roman"/>
                <w:sz w:val="20"/>
                <w:szCs w:val="20"/>
              </w:rPr>
              <w:t>Laraga Vida</w:t>
            </w:r>
            <w:r w:rsidRPr="00E06694">
              <w:rPr>
                <w:rFonts w:ascii="Times New Roman" w:eastAsia="Times New Roman" w:hAnsi="Times New Roman" w:cs="Times New Roman"/>
                <w:color w:val="000000"/>
                <w:sz w:val="20"/>
                <w:szCs w:val="20"/>
              </w:rPr>
              <w:t xml:space="preserve"> with raised bed</w:t>
            </w:r>
          </w:p>
        </w:tc>
        <w:tc>
          <w:tcPr>
            <w:tcW w:w="1459" w:type="dxa"/>
            <w:vAlign w:val="center"/>
          </w:tcPr>
          <w:p w14:paraId="6781D9A3"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5</w:t>
            </w:r>
            <w:r w:rsidRPr="00E06694">
              <w:rPr>
                <w:rFonts w:ascii="Times New Roman" w:eastAsia="Times New Roman" w:hAnsi="Times New Roman" w:cs="Times New Roman"/>
                <w:sz w:val="20"/>
                <w:szCs w:val="20"/>
              </w:rPr>
              <w:t>9.00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11.34</w:t>
            </w:r>
            <w:r w:rsidRPr="00E06694">
              <w:rPr>
                <w:rFonts w:ascii="Times New Roman" w:eastAsia="Calibri" w:hAnsi="Times New Roman" w:cs="Times New Roman"/>
                <w:sz w:val="24"/>
                <w:szCs w:val="24"/>
                <w:vertAlign w:val="superscript"/>
              </w:rPr>
              <w:t>bc</w:t>
            </w:r>
          </w:p>
        </w:tc>
        <w:tc>
          <w:tcPr>
            <w:tcW w:w="1460" w:type="dxa"/>
            <w:vAlign w:val="center"/>
          </w:tcPr>
          <w:p w14:paraId="7B873108"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89.5</w:t>
            </w:r>
            <w:r w:rsidRPr="00E06694">
              <w:rPr>
                <w:rFonts w:ascii="Times New Roman" w:eastAsia="Times New Roman" w:hAnsi="Times New Roman" w:cs="Times New Roman"/>
                <w:sz w:val="20"/>
                <w:szCs w:val="20"/>
              </w:rPr>
              <w:t>8</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2.77</w:t>
            </w:r>
            <w:r w:rsidRPr="00E06694">
              <w:rPr>
                <w:rFonts w:ascii="Times New Roman" w:eastAsia="Calibri" w:hAnsi="Times New Roman" w:cs="Times New Roman"/>
                <w:sz w:val="24"/>
                <w:szCs w:val="24"/>
                <w:vertAlign w:val="superscript"/>
              </w:rPr>
              <w:t>ab</w:t>
            </w:r>
          </w:p>
        </w:tc>
        <w:tc>
          <w:tcPr>
            <w:tcW w:w="1460" w:type="dxa"/>
            <w:vAlign w:val="center"/>
          </w:tcPr>
          <w:p w14:paraId="0C70F28D"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43.00 </w:t>
            </w:r>
            <w:r w:rsidRPr="00E06694">
              <w:rPr>
                <w:rFonts w:ascii="Times New Roman" w:eastAsia="Times New Roman" w:hAnsi="Times New Roman" w:cs="Times New Roman"/>
                <w:sz w:val="20"/>
                <w:szCs w:val="20"/>
              </w:rPr>
              <w:t>± 1.41</w:t>
            </w:r>
            <w:r w:rsidRPr="00E06694">
              <w:rPr>
                <w:rFonts w:ascii="Times New Roman" w:eastAsia="Calibri" w:hAnsi="Times New Roman" w:cs="Times New Roman"/>
                <w:sz w:val="24"/>
                <w:szCs w:val="24"/>
                <w:vertAlign w:val="superscript"/>
              </w:rPr>
              <w:t>c</w:t>
            </w:r>
          </w:p>
        </w:tc>
        <w:tc>
          <w:tcPr>
            <w:tcW w:w="1460" w:type="dxa"/>
            <w:vAlign w:val="center"/>
          </w:tcPr>
          <w:p w14:paraId="6415BB66"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80.67 </w:t>
            </w:r>
            <w:r w:rsidRPr="00E06694">
              <w:rPr>
                <w:rFonts w:ascii="Times New Roman" w:eastAsia="Times New Roman" w:hAnsi="Times New Roman" w:cs="Times New Roman"/>
                <w:sz w:val="20"/>
                <w:szCs w:val="20"/>
              </w:rPr>
              <w:t>± 4.52</w:t>
            </w:r>
            <w:r w:rsidRPr="00E06694">
              <w:rPr>
                <w:rFonts w:ascii="Times New Roman" w:eastAsia="Calibri" w:hAnsi="Times New Roman" w:cs="Times New Roman"/>
                <w:sz w:val="24"/>
                <w:szCs w:val="24"/>
                <w:vertAlign w:val="superscript"/>
              </w:rPr>
              <w:t>ab</w:t>
            </w:r>
          </w:p>
        </w:tc>
      </w:tr>
      <w:tr w:rsidR="00F90484" w:rsidRPr="00E06694" w14:paraId="01E23BE6" w14:textId="77777777" w:rsidTr="00C0547A">
        <w:trPr>
          <w:trHeight w:val="300"/>
          <w:jc w:val="center"/>
        </w:trPr>
        <w:tc>
          <w:tcPr>
            <w:tcW w:w="3686" w:type="dxa"/>
            <w:vAlign w:val="bottom"/>
          </w:tcPr>
          <w:p w14:paraId="4B243B3A"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r w:rsidRPr="00E06694">
              <w:rPr>
                <w:rFonts w:ascii="Times New Roman" w:eastAsia="Times New Roman" w:hAnsi="Times New Roman" w:cs="Times New Roman"/>
                <w:sz w:val="20"/>
                <w:szCs w:val="20"/>
              </w:rPr>
              <w:t>Laraga Vida</w:t>
            </w:r>
            <w:r w:rsidRPr="00E06694">
              <w:rPr>
                <w:rFonts w:ascii="Times New Roman" w:eastAsia="Times New Roman" w:hAnsi="Times New Roman" w:cs="Times New Roman"/>
                <w:color w:val="000000"/>
                <w:sz w:val="20"/>
                <w:szCs w:val="20"/>
              </w:rPr>
              <w:t xml:space="preserve"> without raised bed</w:t>
            </w:r>
          </w:p>
        </w:tc>
        <w:tc>
          <w:tcPr>
            <w:tcW w:w="1459" w:type="dxa"/>
            <w:vAlign w:val="center"/>
          </w:tcPr>
          <w:p w14:paraId="4801042D"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73.</w:t>
            </w:r>
            <w:r w:rsidRPr="00E06694">
              <w:rPr>
                <w:rFonts w:ascii="Times New Roman" w:eastAsia="Times New Roman" w:hAnsi="Times New Roman" w:cs="Times New Roman"/>
                <w:sz w:val="20"/>
                <w:szCs w:val="20"/>
              </w:rPr>
              <w:t>00</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2.95</w:t>
            </w:r>
            <w:r w:rsidRPr="00E06694">
              <w:rPr>
                <w:rFonts w:ascii="Times New Roman" w:eastAsia="Calibri" w:hAnsi="Times New Roman" w:cs="Times New Roman"/>
                <w:sz w:val="24"/>
                <w:szCs w:val="24"/>
                <w:vertAlign w:val="superscript"/>
              </w:rPr>
              <w:t>ab</w:t>
            </w:r>
          </w:p>
        </w:tc>
        <w:tc>
          <w:tcPr>
            <w:tcW w:w="1460" w:type="dxa"/>
            <w:vAlign w:val="center"/>
          </w:tcPr>
          <w:p w14:paraId="1C9F74D7" w14:textId="63DA322E" w:rsidR="00F90484" w:rsidRPr="00E06694" w:rsidRDefault="0093250E" w:rsidP="00C0547A">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57.92 </w:t>
            </w:r>
            <w:r w:rsidRPr="00E06694">
              <w:rPr>
                <w:rFonts w:ascii="Times New Roman" w:eastAsia="Times New Roman" w:hAnsi="Times New Roman" w:cs="Times New Roman"/>
                <w:sz w:val="20"/>
                <w:szCs w:val="20"/>
              </w:rPr>
              <w:t>± 7.98</w:t>
            </w:r>
            <w:r w:rsidRPr="00E06694">
              <w:rPr>
                <w:rFonts w:ascii="Times New Roman" w:eastAsia="Calibri" w:hAnsi="Times New Roman" w:cs="Times New Roman"/>
                <w:sz w:val="24"/>
                <w:szCs w:val="24"/>
                <w:vertAlign w:val="superscript"/>
              </w:rPr>
              <w:t>c</w:t>
            </w:r>
          </w:p>
        </w:tc>
        <w:tc>
          <w:tcPr>
            <w:tcW w:w="1460" w:type="dxa"/>
            <w:vAlign w:val="center"/>
          </w:tcPr>
          <w:p w14:paraId="2C5210EE"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5</w:t>
            </w:r>
            <w:r w:rsidRPr="00E06694">
              <w:rPr>
                <w:rFonts w:ascii="Times New Roman" w:eastAsia="Times New Roman" w:hAnsi="Times New Roman" w:cs="Times New Roman"/>
                <w:sz w:val="20"/>
                <w:szCs w:val="20"/>
              </w:rPr>
              <w:t>5.75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5.56</w:t>
            </w:r>
            <w:r w:rsidRPr="00E06694">
              <w:rPr>
                <w:rFonts w:ascii="Times New Roman" w:eastAsia="Calibri" w:hAnsi="Times New Roman" w:cs="Times New Roman"/>
                <w:sz w:val="24"/>
                <w:szCs w:val="24"/>
                <w:vertAlign w:val="superscript"/>
              </w:rPr>
              <w:t>ab</w:t>
            </w:r>
          </w:p>
        </w:tc>
        <w:tc>
          <w:tcPr>
            <w:tcW w:w="1460" w:type="dxa"/>
            <w:vAlign w:val="center"/>
          </w:tcPr>
          <w:p w14:paraId="63605679"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60.30 </w:t>
            </w:r>
            <w:r w:rsidRPr="00E06694">
              <w:rPr>
                <w:rFonts w:ascii="Times New Roman" w:eastAsia="Times New Roman" w:hAnsi="Times New Roman" w:cs="Times New Roman"/>
                <w:sz w:val="20"/>
                <w:szCs w:val="20"/>
              </w:rPr>
              <w:t>± 4.98</w:t>
            </w:r>
            <w:r w:rsidRPr="00E06694">
              <w:rPr>
                <w:rFonts w:ascii="Times New Roman" w:eastAsia="Calibri" w:hAnsi="Times New Roman" w:cs="Times New Roman"/>
                <w:sz w:val="24"/>
                <w:szCs w:val="24"/>
                <w:vertAlign w:val="superscript"/>
              </w:rPr>
              <w:t>cd</w:t>
            </w:r>
          </w:p>
        </w:tc>
      </w:tr>
      <w:tr w:rsidR="00F90484" w:rsidRPr="00E06694" w14:paraId="2DB0C835" w14:textId="77777777" w:rsidTr="00C0547A">
        <w:trPr>
          <w:trHeight w:val="300"/>
          <w:jc w:val="center"/>
        </w:trPr>
        <w:tc>
          <w:tcPr>
            <w:tcW w:w="3686" w:type="dxa"/>
            <w:vAlign w:val="bottom"/>
          </w:tcPr>
          <w:p w14:paraId="5F209529" w14:textId="19FB3C25"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Control (</w:t>
            </w:r>
            <w:proofErr w:type="spellStart"/>
            <w:r w:rsidRPr="00E06694">
              <w:rPr>
                <w:rFonts w:ascii="Times New Roman" w:eastAsia="Times New Roman" w:hAnsi="Times New Roman" w:cs="Times New Roman"/>
                <w:sz w:val="20"/>
                <w:szCs w:val="20"/>
              </w:rPr>
              <w:t>t</w:t>
            </w:r>
            <w:r w:rsidR="000002D8" w:rsidRPr="00E06694">
              <w:rPr>
                <w:rFonts w:ascii="Times New Roman" w:eastAsia="Times New Roman" w:hAnsi="Times New Roman" w:cs="Times New Roman"/>
                <w:color w:val="000000"/>
                <w:sz w:val="20"/>
                <w:szCs w:val="20"/>
              </w:rPr>
              <w:t>origin</w:t>
            </w:r>
            <w:proofErr w:type="spellEnd"/>
            <w:r w:rsidR="000002D8" w:rsidRPr="00E06694">
              <w:rPr>
                <w:rFonts w:ascii="Times New Roman" w:eastAsia="Times New Roman" w:hAnsi="Times New Roman" w:cs="Times New Roman"/>
                <w:color w:val="000000"/>
                <w:sz w:val="20"/>
                <w:szCs w:val="20"/>
              </w:rPr>
              <w:t>)</w:t>
            </w:r>
          </w:p>
        </w:tc>
        <w:tc>
          <w:tcPr>
            <w:tcW w:w="1459" w:type="dxa"/>
            <w:vAlign w:val="center"/>
          </w:tcPr>
          <w:p w14:paraId="00071EFE"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78.00 </w:t>
            </w:r>
            <w:r w:rsidRPr="00E06694">
              <w:rPr>
                <w:rFonts w:ascii="Times New Roman" w:eastAsia="Times New Roman" w:hAnsi="Times New Roman" w:cs="Times New Roman"/>
                <w:sz w:val="20"/>
                <w:szCs w:val="20"/>
              </w:rPr>
              <w:t>± 4.24</w:t>
            </w:r>
            <w:r w:rsidRPr="00E06694">
              <w:rPr>
                <w:rFonts w:ascii="Times New Roman" w:eastAsia="Calibri" w:hAnsi="Times New Roman" w:cs="Times New Roman"/>
                <w:sz w:val="24"/>
                <w:szCs w:val="24"/>
                <w:vertAlign w:val="superscript"/>
              </w:rPr>
              <w:t>a</w:t>
            </w:r>
          </w:p>
        </w:tc>
        <w:tc>
          <w:tcPr>
            <w:tcW w:w="1460" w:type="dxa"/>
            <w:vAlign w:val="center"/>
          </w:tcPr>
          <w:p w14:paraId="2C3C9944"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53.75 </w:t>
            </w:r>
            <w:r w:rsidRPr="00E06694">
              <w:rPr>
                <w:rFonts w:ascii="Times New Roman" w:eastAsia="Times New Roman" w:hAnsi="Times New Roman" w:cs="Times New Roman"/>
                <w:sz w:val="20"/>
                <w:szCs w:val="20"/>
              </w:rPr>
              <w:t>± 5.73</w:t>
            </w:r>
            <w:r w:rsidRPr="00E06694">
              <w:rPr>
                <w:rFonts w:ascii="Times New Roman" w:eastAsia="Calibri" w:hAnsi="Times New Roman" w:cs="Times New Roman"/>
                <w:sz w:val="24"/>
                <w:szCs w:val="24"/>
                <w:vertAlign w:val="superscript"/>
              </w:rPr>
              <w:t>d</w:t>
            </w:r>
          </w:p>
        </w:tc>
        <w:tc>
          <w:tcPr>
            <w:tcW w:w="1460" w:type="dxa"/>
            <w:vAlign w:val="center"/>
          </w:tcPr>
          <w:p w14:paraId="2BD098E0"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66.50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3.11</w:t>
            </w:r>
            <w:r w:rsidRPr="00E06694">
              <w:rPr>
                <w:rFonts w:ascii="Times New Roman" w:eastAsia="Calibri" w:hAnsi="Times New Roman" w:cs="Times New Roman"/>
                <w:sz w:val="24"/>
                <w:szCs w:val="24"/>
                <w:vertAlign w:val="superscript"/>
              </w:rPr>
              <w:t>a</w:t>
            </w:r>
          </w:p>
        </w:tc>
        <w:tc>
          <w:tcPr>
            <w:tcW w:w="1460" w:type="dxa"/>
            <w:vAlign w:val="center"/>
          </w:tcPr>
          <w:p w14:paraId="7C85A250"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83</w:t>
            </w:r>
            <w:r w:rsidRPr="00E06694">
              <w:rPr>
                <w:rFonts w:ascii="Times New Roman" w:eastAsia="Times New Roman" w:hAnsi="Times New Roman" w:cs="Times New Roman"/>
                <w:color w:val="000000"/>
                <w:sz w:val="20"/>
                <w:szCs w:val="20"/>
              </w:rPr>
              <w:t>.</w:t>
            </w:r>
            <w:r w:rsidRPr="00E06694">
              <w:rPr>
                <w:rFonts w:ascii="Times New Roman" w:eastAsia="Times New Roman" w:hAnsi="Times New Roman" w:cs="Times New Roman"/>
                <w:sz w:val="20"/>
                <w:szCs w:val="20"/>
              </w:rPr>
              <w:t>53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3.70</w:t>
            </w:r>
            <w:r w:rsidRPr="00E06694">
              <w:rPr>
                <w:rFonts w:ascii="Times New Roman" w:eastAsia="Calibri" w:hAnsi="Times New Roman" w:cs="Times New Roman"/>
                <w:sz w:val="24"/>
                <w:szCs w:val="24"/>
                <w:vertAlign w:val="superscript"/>
              </w:rPr>
              <w:t>ab</w:t>
            </w:r>
          </w:p>
        </w:tc>
      </w:tr>
      <w:tr w:rsidR="00F90484" w:rsidRPr="00E06694" w14:paraId="4B6D950F" w14:textId="77777777" w:rsidTr="00C0547A">
        <w:trPr>
          <w:trHeight w:val="300"/>
          <w:jc w:val="center"/>
        </w:trPr>
        <w:tc>
          <w:tcPr>
            <w:tcW w:w="3686" w:type="dxa"/>
            <w:vAlign w:val="bottom"/>
          </w:tcPr>
          <w:p w14:paraId="71FD5784" w14:textId="3090016A" w:rsidR="00F90484" w:rsidRPr="00E06694" w:rsidRDefault="0027138B"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R</w:t>
            </w:r>
            <w:r w:rsidRPr="00E06694">
              <w:rPr>
                <w:rFonts w:ascii="Times New Roman" w:eastAsia="Times New Roman" w:hAnsi="Times New Roman" w:cs="Times New Roman"/>
                <w:color w:val="000000"/>
                <w:sz w:val="20"/>
                <w:szCs w:val="20"/>
                <w:vertAlign w:val="superscript"/>
              </w:rPr>
              <w:t>2</w:t>
            </w:r>
          </w:p>
        </w:tc>
        <w:tc>
          <w:tcPr>
            <w:tcW w:w="1459" w:type="dxa"/>
            <w:vAlign w:val="center"/>
          </w:tcPr>
          <w:p w14:paraId="1F1360FC"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0.74</w:t>
            </w:r>
          </w:p>
        </w:tc>
        <w:tc>
          <w:tcPr>
            <w:tcW w:w="1460" w:type="dxa"/>
            <w:vAlign w:val="center"/>
          </w:tcPr>
          <w:p w14:paraId="457C6B1A"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0.76</w:t>
            </w:r>
          </w:p>
        </w:tc>
        <w:tc>
          <w:tcPr>
            <w:tcW w:w="1460" w:type="dxa"/>
            <w:vAlign w:val="center"/>
          </w:tcPr>
          <w:p w14:paraId="5125B031"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0.74</w:t>
            </w:r>
          </w:p>
        </w:tc>
        <w:tc>
          <w:tcPr>
            <w:tcW w:w="1460" w:type="dxa"/>
            <w:vAlign w:val="center"/>
          </w:tcPr>
          <w:p w14:paraId="2DE52949"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0.86</w:t>
            </w:r>
          </w:p>
        </w:tc>
      </w:tr>
      <w:tr w:rsidR="00F90484" w:rsidRPr="00E06694" w14:paraId="3FA2DBE8" w14:textId="77777777" w:rsidTr="00C0547A">
        <w:trPr>
          <w:trHeight w:val="300"/>
          <w:jc w:val="center"/>
        </w:trPr>
        <w:tc>
          <w:tcPr>
            <w:tcW w:w="3686" w:type="dxa"/>
            <w:tcBorders>
              <w:bottom w:val="single" w:sz="4" w:space="0" w:color="000000"/>
            </w:tcBorders>
            <w:vAlign w:val="bottom"/>
          </w:tcPr>
          <w:p w14:paraId="45FC3B7D" w14:textId="77777777" w:rsidR="00F90484" w:rsidRPr="00E06694" w:rsidRDefault="0093250E" w:rsidP="00D159E3">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CV (%)</w:t>
            </w:r>
          </w:p>
        </w:tc>
        <w:tc>
          <w:tcPr>
            <w:tcW w:w="1459" w:type="dxa"/>
            <w:tcBorders>
              <w:bottom w:val="single" w:sz="4" w:space="0" w:color="000000"/>
            </w:tcBorders>
            <w:vAlign w:val="center"/>
          </w:tcPr>
          <w:p w14:paraId="7882F87B"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18.28</w:t>
            </w:r>
          </w:p>
        </w:tc>
        <w:tc>
          <w:tcPr>
            <w:tcW w:w="1460" w:type="dxa"/>
            <w:tcBorders>
              <w:bottom w:val="single" w:sz="4" w:space="0" w:color="000000"/>
            </w:tcBorders>
            <w:vAlign w:val="center"/>
          </w:tcPr>
          <w:p w14:paraId="5383913A"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29.13</w:t>
            </w:r>
          </w:p>
        </w:tc>
        <w:tc>
          <w:tcPr>
            <w:tcW w:w="1460" w:type="dxa"/>
            <w:tcBorders>
              <w:bottom w:val="single" w:sz="4" w:space="0" w:color="000000"/>
            </w:tcBorders>
            <w:vAlign w:val="center"/>
          </w:tcPr>
          <w:p w14:paraId="7967325D"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18.49</w:t>
            </w:r>
          </w:p>
        </w:tc>
        <w:tc>
          <w:tcPr>
            <w:tcW w:w="1460" w:type="dxa"/>
            <w:tcBorders>
              <w:bottom w:val="single" w:sz="4" w:space="0" w:color="000000"/>
            </w:tcBorders>
            <w:vAlign w:val="center"/>
          </w:tcPr>
          <w:p w14:paraId="070400E4" w14:textId="77777777" w:rsidR="00F90484" w:rsidRPr="00E06694" w:rsidRDefault="0093250E" w:rsidP="00D159E3">
            <w:pPr>
              <w:widowControl w:val="0"/>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24.46</w:t>
            </w:r>
          </w:p>
        </w:tc>
      </w:tr>
    </w:tbl>
    <w:p w14:paraId="395F2290" w14:textId="77777777" w:rsidR="00741359" w:rsidRPr="00E06694" w:rsidRDefault="0093250E" w:rsidP="00741359">
      <w:pPr>
        <w:spacing w:after="0" w:line="240" w:lineRule="auto"/>
        <w:ind w:left="0"/>
        <w:rPr>
          <w:rFonts w:ascii="Times New Roman" w:eastAsia="Gungsuh" w:hAnsi="Times New Roman" w:cs="Times New Roman"/>
          <w:sz w:val="24"/>
          <w:szCs w:val="24"/>
        </w:rPr>
      </w:pPr>
      <w:r w:rsidRPr="00E06694">
        <w:rPr>
          <w:rFonts w:ascii="Times New Roman" w:eastAsia="Times New Roman" w:hAnsi="Times New Roman" w:cs="Times New Roman"/>
          <w:sz w:val="24"/>
          <w:szCs w:val="24"/>
        </w:rPr>
        <w:t>R</w:t>
      </w:r>
      <w:r w:rsidRPr="00E06694">
        <w:rPr>
          <w:rFonts w:ascii="Times New Roman" w:eastAsia="Calibri" w:hAnsi="Times New Roman" w:cs="Times New Roman"/>
          <w:sz w:val="24"/>
          <w:szCs w:val="24"/>
          <w:vertAlign w:val="superscript"/>
        </w:rPr>
        <w:t xml:space="preserve">2 </w:t>
      </w:r>
      <w:r w:rsidRPr="00E06694">
        <w:rPr>
          <w:rFonts w:ascii="Times New Roman" w:eastAsia="Gungsuh" w:hAnsi="Times New Roman" w:cs="Times New Roman"/>
          <w:sz w:val="24"/>
          <w:szCs w:val="24"/>
        </w:rPr>
        <w:t>= coefficient of determination; CV: coefficient of variation. Means in the same column followed by the same letters do not show significant differences according to Tukey's test (p ≤ 0.05).</w:t>
      </w:r>
    </w:p>
    <w:p w14:paraId="3730434D" w14:textId="64A01FED" w:rsidR="00741359" w:rsidRPr="00E06694" w:rsidRDefault="00741359" w:rsidP="00741359">
      <w:pPr>
        <w:spacing w:after="0" w:line="240" w:lineRule="auto"/>
        <w:ind w:left="0" w:firstLine="567"/>
        <w:rPr>
          <w:rFonts w:ascii="Times New Roman" w:eastAsia="Gungsuh" w:hAnsi="Times New Roman" w:cs="Times New Roman"/>
          <w:sz w:val="24"/>
          <w:szCs w:val="24"/>
        </w:rPr>
      </w:pPr>
    </w:p>
    <w:p w14:paraId="4DA1EA2B" w14:textId="77777777" w:rsidR="00802C74" w:rsidRPr="00E06694" w:rsidRDefault="00A92290" w:rsidP="00741359">
      <w:pPr>
        <w:spacing w:after="0" w:line="240" w:lineRule="auto"/>
        <w:ind w:left="0" w:firstLine="567"/>
        <w:rPr>
          <w:rFonts w:ascii="Times New Roman" w:eastAsia="Gungsuh" w:hAnsi="Times New Roman" w:cs="Times New Roman"/>
          <w:sz w:val="24"/>
          <w:szCs w:val="24"/>
        </w:rPr>
      </w:pPr>
      <w:r w:rsidRPr="00E06694">
        <w:rPr>
          <w:rFonts w:ascii="Times New Roman" w:eastAsia="Gungsuh" w:hAnsi="Times New Roman" w:cs="Times New Roman"/>
          <w:sz w:val="24"/>
          <w:szCs w:val="24"/>
        </w:rPr>
        <w:t>The lower number of lenticels observed may be attributed to the use of raised beds, which enhance soil drainage and aeration while maintaining optimal soil temperature (Robert et al., 2023; Nones, 2013). These conditions reduce the physiological need for roots to develop a higher number of lenticels.</w:t>
      </w:r>
    </w:p>
    <w:p w14:paraId="6DF5B59D" w14:textId="1932D1A8" w:rsidR="00A92290" w:rsidRPr="00E06694" w:rsidRDefault="00A92290" w:rsidP="00741359">
      <w:pPr>
        <w:spacing w:after="0" w:line="240" w:lineRule="auto"/>
        <w:ind w:left="0" w:firstLine="567"/>
        <w:rPr>
          <w:rFonts w:ascii="Times New Roman" w:eastAsia="Gungsuh" w:hAnsi="Times New Roman" w:cs="Times New Roman"/>
          <w:sz w:val="24"/>
          <w:szCs w:val="24"/>
        </w:rPr>
      </w:pPr>
      <w:r w:rsidRPr="00E06694">
        <w:rPr>
          <w:rFonts w:ascii="Times New Roman" w:eastAsia="Gungsuh" w:hAnsi="Times New Roman" w:cs="Times New Roman"/>
          <w:sz w:val="24"/>
          <w:szCs w:val="24"/>
        </w:rPr>
        <w:t xml:space="preserve">The Altiplano (Koari Alto: 86.38 ± 17.27 g; Koari </w:t>
      </w:r>
      <w:proofErr w:type="spellStart"/>
      <w:r w:rsidRPr="00E06694">
        <w:rPr>
          <w:rFonts w:ascii="Times New Roman" w:eastAsia="Gungsuh" w:hAnsi="Times New Roman" w:cs="Times New Roman"/>
          <w:sz w:val="24"/>
          <w:szCs w:val="24"/>
        </w:rPr>
        <w:t>Lagunillas</w:t>
      </w:r>
      <w:proofErr w:type="spellEnd"/>
      <w:r w:rsidRPr="00E06694">
        <w:rPr>
          <w:rFonts w:ascii="Times New Roman" w:eastAsia="Gungsuh" w:hAnsi="Times New Roman" w:cs="Times New Roman"/>
          <w:sz w:val="24"/>
          <w:szCs w:val="24"/>
        </w:rPr>
        <w:t xml:space="preserve">: 91.33 ± 11.95 g) and INIAF Larga Vida (Koari Alto: 89.58 ± 2.77 g; Koari </w:t>
      </w:r>
      <w:proofErr w:type="spellStart"/>
      <w:r w:rsidRPr="00E06694">
        <w:rPr>
          <w:rFonts w:ascii="Times New Roman" w:eastAsia="Gungsuh" w:hAnsi="Times New Roman" w:cs="Times New Roman"/>
          <w:sz w:val="24"/>
          <w:szCs w:val="24"/>
        </w:rPr>
        <w:t>Lagunillas</w:t>
      </w:r>
      <w:proofErr w:type="spellEnd"/>
      <w:r w:rsidRPr="00E06694">
        <w:rPr>
          <w:rFonts w:ascii="Times New Roman" w:eastAsia="Gungsuh" w:hAnsi="Times New Roman" w:cs="Times New Roman"/>
          <w:sz w:val="24"/>
          <w:szCs w:val="24"/>
        </w:rPr>
        <w:t>: 80.67 ± 4.52 g) varieties grown in raised beds recorded the highest root weights at both locations compared to the other treatments (Table 4). These results can be attributed to the benefits of raised bed cultivation, which promotes more efficient irrigation water drainage, improved soil aeration, and greater thermal stability (</w:t>
      </w:r>
      <w:proofErr w:type="spellStart"/>
      <w:r w:rsidRPr="00E06694">
        <w:rPr>
          <w:rFonts w:ascii="Times New Roman" w:eastAsia="Gungsuh" w:hAnsi="Times New Roman" w:cs="Times New Roman"/>
          <w:sz w:val="24"/>
          <w:szCs w:val="24"/>
        </w:rPr>
        <w:t>Pooniya</w:t>
      </w:r>
      <w:proofErr w:type="spellEnd"/>
      <w:r w:rsidRPr="00E06694">
        <w:rPr>
          <w:rFonts w:ascii="Times New Roman" w:eastAsia="Gungsuh" w:hAnsi="Times New Roman" w:cs="Times New Roman"/>
          <w:sz w:val="24"/>
          <w:szCs w:val="24"/>
        </w:rPr>
        <w:t xml:space="preserve"> et al., 2015). Together, these conditions foster optimal root development, significantly enhancing both longitudinal root growth and total root biomass (</w:t>
      </w:r>
      <w:proofErr w:type="spellStart"/>
      <w:r w:rsidRPr="00E06694">
        <w:rPr>
          <w:rFonts w:ascii="Times New Roman" w:eastAsia="Gungsuh" w:hAnsi="Times New Roman" w:cs="Times New Roman"/>
          <w:sz w:val="24"/>
          <w:szCs w:val="24"/>
        </w:rPr>
        <w:t>Rowher</w:t>
      </w:r>
      <w:proofErr w:type="spellEnd"/>
      <w:r w:rsidRPr="00E06694">
        <w:rPr>
          <w:rFonts w:ascii="Times New Roman" w:eastAsia="Gungsuh" w:hAnsi="Times New Roman" w:cs="Times New Roman"/>
          <w:sz w:val="24"/>
          <w:szCs w:val="24"/>
        </w:rPr>
        <w:t>, 2021; Naresh et al., 2012).</w:t>
      </w:r>
    </w:p>
    <w:p w14:paraId="2A7B4349" w14:textId="77777777" w:rsidR="00A92290" w:rsidRPr="00E06694" w:rsidRDefault="00A92290" w:rsidP="00741359">
      <w:pPr>
        <w:spacing w:after="0" w:line="240" w:lineRule="auto"/>
        <w:ind w:left="0" w:firstLine="567"/>
        <w:rPr>
          <w:rFonts w:ascii="Times New Roman" w:eastAsia="Gungsuh" w:hAnsi="Times New Roman" w:cs="Times New Roman"/>
          <w:sz w:val="24"/>
          <w:szCs w:val="24"/>
        </w:rPr>
      </w:pPr>
    </w:p>
    <w:p w14:paraId="08624293"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Number of leaves per plant, root length, shoulder diameter and cortex diameter</w:t>
      </w:r>
    </w:p>
    <w:p w14:paraId="00DA2072" w14:textId="77777777" w:rsidR="000C50E9" w:rsidRPr="00E06694" w:rsidRDefault="000C50E9" w:rsidP="000C50E9">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ANOVA results showed no significant differences (p &gt; 0.05) in the interaction between location, variety, and cultivation system for the number of leaves per plant, root length, shoulder diameter, and cortex diameter. These findings indicate that the interaction among these factors did not have a significant effect on the evaluated morphological traits.</w:t>
      </w:r>
    </w:p>
    <w:p w14:paraId="762F1483" w14:textId="77777777" w:rsidR="000C50E9" w:rsidRPr="00E06694" w:rsidRDefault="000C50E9" w:rsidP="000C50E9">
      <w:pPr>
        <w:spacing w:after="0" w:line="240" w:lineRule="auto"/>
        <w:ind w:left="0" w:firstLine="567"/>
        <w:rPr>
          <w:rFonts w:ascii="Times New Roman" w:eastAsia="Times New Roman" w:hAnsi="Times New Roman" w:cs="Times New Roman"/>
          <w:sz w:val="24"/>
          <w:szCs w:val="24"/>
        </w:rPr>
      </w:pPr>
    </w:p>
    <w:p w14:paraId="7B4818EB" w14:textId="4B1B6CF0" w:rsidR="00F90484" w:rsidRPr="00E06694" w:rsidRDefault="0093250E" w:rsidP="000C50E9">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Gross yield, top-quality root yield</w:t>
      </w:r>
    </w:p>
    <w:p w14:paraId="463F599A" w14:textId="5DE6058E" w:rsidR="001859D2" w:rsidRPr="00E06694" w:rsidRDefault="001859D2" w:rsidP="00741359">
      <w:pPr>
        <w:spacing w:after="0" w:line="240" w:lineRule="auto"/>
        <w:ind w:left="0" w:firstLine="567"/>
        <w:rPr>
          <w:rFonts w:ascii="Times New Roman" w:eastAsia="Gungsuh" w:hAnsi="Times New Roman" w:cs="Times New Roman"/>
          <w:sz w:val="24"/>
          <w:szCs w:val="24"/>
        </w:rPr>
      </w:pPr>
      <w:r w:rsidRPr="00E06694">
        <w:rPr>
          <w:rFonts w:ascii="Times New Roman" w:eastAsia="Gungsuh" w:hAnsi="Times New Roman" w:cs="Times New Roman"/>
          <w:sz w:val="24"/>
          <w:szCs w:val="24"/>
        </w:rPr>
        <w:t>The ANOVA results revealed significant differences (p ≤ 0.05) in the interaction between location, variety, and cultivation system for both gross yield and top-quality (first-growth) root yield. This indicates that the combined effect of these three factors significantly influenced these yield components.</w:t>
      </w:r>
      <w:r w:rsidR="00681E64" w:rsidRPr="00E06694">
        <w:rPr>
          <w:rFonts w:ascii="Times New Roman" w:eastAsia="Gungsuh" w:hAnsi="Times New Roman" w:cs="Times New Roman"/>
          <w:sz w:val="24"/>
          <w:szCs w:val="24"/>
        </w:rPr>
        <w:t xml:space="preserve"> </w:t>
      </w:r>
      <w:r w:rsidRPr="00E06694">
        <w:rPr>
          <w:rFonts w:ascii="Times New Roman" w:eastAsia="Gungsuh" w:hAnsi="Times New Roman" w:cs="Times New Roman"/>
          <w:sz w:val="24"/>
          <w:szCs w:val="24"/>
        </w:rPr>
        <w:t>The control treatment recorded the highest gross root yields in both locations (Koari Alto: 43.83 ± 0.21 t ha</w:t>
      </w:r>
      <w:r w:rsidR="00465EF1" w:rsidRPr="00E06694">
        <w:rPr>
          <w:rFonts w:ascii="Times New Roman" w:eastAsia="Gungsuh" w:hAnsi="Times New Roman" w:cs="Times New Roman"/>
          <w:sz w:val="24"/>
          <w:szCs w:val="24"/>
          <w:vertAlign w:val="superscript"/>
        </w:rPr>
        <w:t>-1</w:t>
      </w:r>
      <w:r w:rsidRPr="00E06694">
        <w:rPr>
          <w:rFonts w:ascii="Times New Roman" w:eastAsia="Gungsuh" w:hAnsi="Times New Roman" w:cs="Times New Roman"/>
          <w:sz w:val="24"/>
          <w:szCs w:val="24"/>
        </w:rPr>
        <w:t xml:space="preserve">; Koari </w:t>
      </w:r>
      <w:proofErr w:type="spellStart"/>
      <w:r w:rsidRPr="00E06694">
        <w:rPr>
          <w:rFonts w:ascii="Times New Roman" w:eastAsia="Gungsuh" w:hAnsi="Times New Roman" w:cs="Times New Roman"/>
          <w:sz w:val="24"/>
          <w:szCs w:val="24"/>
        </w:rPr>
        <w:t>Lagunillas</w:t>
      </w:r>
      <w:proofErr w:type="spellEnd"/>
      <w:r w:rsidRPr="00E06694">
        <w:rPr>
          <w:rFonts w:ascii="Times New Roman" w:eastAsia="Gungsuh" w:hAnsi="Times New Roman" w:cs="Times New Roman"/>
          <w:sz w:val="24"/>
          <w:szCs w:val="24"/>
        </w:rPr>
        <w:t>: 48.09 ± 2.42 t ha</w:t>
      </w:r>
      <w:r w:rsidR="00465EF1" w:rsidRPr="00E06694">
        <w:rPr>
          <w:rFonts w:ascii="Times New Roman" w:eastAsia="Gungsuh" w:hAnsi="Times New Roman" w:cs="Times New Roman"/>
          <w:sz w:val="24"/>
          <w:szCs w:val="24"/>
          <w:vertAlign w:val="superscript"/>
        </w:rPr>
        <w:t>-1</w:t>
      </w:r>
      <w:r w:rsidRPr="00E06694">
        <w:rPr>
          <w:rFonts w:ascii="Times New Roman" w:eastAsia="Gungsuh" w:hAnsi="Times New Roman" w:cs="Times New Roman"/>
          <w:sz w:val="24"/>
          <w:szCs w:val="24"/>
        </w:rPr>
        <w:t xml:space="preserve">). It was followed by the Altiplano variety cultivated without raised beds, which also performed well in both environments </w:t>
      </w:r>
      <w:r w:rsidRPr="00E06694">
        <w:rPr>
          <w:rFonts w:ascii="Times New Roman" w:eastAsia="Gungsuh" w:hAnsi="Times New Roman" w:cs="Times New Roman"/>
          <w:sz w:val="24"/>
          <w:szCs w:val="24"/>
        </w:rPr>
        <w:lastRenderedPageBreak/>
        <w:t>(Koari Alto: 32.09 ± 0.89 t ha</w:t>
      </w:r>
      <w:r w:rsidR="00465EF1" w:rsidRPr="00E06694">
        <w:rPr>
          <w:rFonts w:ascii="Times New Roman" w:eastAsia="Gungsuh" w:hAnsi="Times New Roman" w:cs="Times New Roman"/>
          <w:sz w:val="24"/>
          <w:szCs w:val="24"/>
          <w:vertAlign w:val="superscript"/>
        </w:rPr>
        <w:t>-1</w:t>
      </w:r>
      <w:r w:rsidRPr="00E06694">
        <w:rPr>
          <w:rFonts w:ascii="Times New Roman" w:eastAsia="Gungsuh" w:hAnsi="Times New Roman" w:cs="Times New Roman"/>
          <w:sz w:val="24"/>
          <w:szCs w:val="24"/>
        </w:rPr>
        <w:t xml:space="preserve">; Koari </w:t>
      </w:r>
      <w:proofErr w:type="spellStart"/>
      <w:r w:rsidRPr="00E06694">
        <w:rPr>
          <w:rFonts w:ascii="Times New Roman" w:eastAsia="Gungsuh" w:hAnsi="Times New Roman" w:cs="Times New Roman"/>
          <w:sz w:val="24"/>
          <w:szCs w:val="24"/>
        </w:rPr>
        <w:t>Lagunillas</w:t>
      </w:r>
      <w:proofErr w:type="spellEnd"/>
      <w:r w:rsidRPr="00E06694">
        <w:rPr>
          <w:rFonts w:ascii="Times New Roman" w:eastAsia="Gungsuh" w:hAnsi="Times New Roman" w:cs="Times New Roman"/>
          <w:sz w:val="24"/>
          <w:szCs w:val="24"/>
        </w:rPr>
        <w:t>: 41.04 ± 1.35 t ha</w:t>
      </w:r>
      <w:r w:rsidR="00465EF1" w:rsidRPr="00E06694">
        <w:rPr>
          <w:rFonts w:ascii="Times New Roman" w:eastAsia="Gungsuh" w:hAnsi="Times New Roman" w:cs="Times New Roman"/>
          <w:sz w:val="24"/>
          <w:szCs w:val="24"/>
          <w:vertAlign w:val="superscript"/>
        </w:rPr>
        <w:t>-1</w:t>
      </w:r>
      <w:r w:rsidRPr="00E06694">
        <w:rPr>
          <w:rFonts w:ascii="Times New Roman" w:eastAsia="Gungsuh" w:hAnsi="Times New Roman" w:cs="Times New Roman"/>
          <w:sz w:val="24"/>
          <w:szCs w:val="24"/>
        </w:rPr>
        <w:t>), outperforming the other treatments (Table 5).</w:t>
      </w:r>
    </w:p>
    <w:p w14:paraId="1A38DCB2" w14:textId="23636524" w:rsidR="00741359" w:rsidRPr="00E06694" w:rsidRDefault="00741359" w:rsidP="00741359">
      <w:pPr>
        <w:spacing w:after="0" w:line="240" w:lineRule="auto"/>
        <w:ind w:left="0" w:firstLine="567"/>
        <w:rPr>
          <w:rFonts w:ascii="Times New Roman" w:eastAsia="Times New Roman" w:hAnsi="Times New Roman" w:cs="Times New Roman"/>
          <w:sz w:val="24"/>
          <w:szCs w:val="24"/>
        </w:rPr>
      </w:pPr>
    </w:p>
    <w:p w14:paraId="30771ED1" w14:textId="77777777" w:rsidR="00025508" w:rsidRPr="00E06694" w:rsidRDefault="00025508" w:rsidP="00025508">
      <w:pPr>
        <w:spacing w:after="0" w:line="240" w:lineRule="auto"/>
        <w:ind w:left="0"/>
        <w:jc w:val="left"/>
        <w:rPr>
          <w:rFonts w:ascii="Times New Roman" w:eastAsia="Times New Roman" w:hAnsi="Times New Roman" w:cs="Times New Roman"/>
          <w:color w:val="000000"/>
          <w:sz w:val="24"/>
          <w:szCs w:val="20"/>
        </w:rPr>
      </w:pPr>
      <w:r w:rsidRPr="00E06694">
        <w:rPr>
          <w:rFonts w:ascii="Times New Roman" w:eastAsia="Times New Roman" w:hAnsi="Times New Roman" w:cs="Times New Roman"/>
          <w:b/>
          <w:color w:val="000000"/>
          <w:sz w:val="24"/>
          <w:szCs w:val="20"/>
        </w:rPr>
        <w:t xml:space="preserve">Table </w:t>
      </w:r>
      <w:r w:rsidRPr="00E06694">
        <w:rPr>
          <w:rFonts w:ascii="Times New Roman" w:eastAsia="Times New Roman" w:hAnsi="Times New Roman" w:cs="Times New Roman"/>
          <w:b/>
          <w:sz w:val="24"/>
          <w:szCs w:val="20"/>
        </w:rPr>
        <w:t>5</w:t>
      </w:r>
      <w:r w:rsidRPr="00E06694">
        <w:rPr>
          <w:rFonts w:ascii="Times New Roman" w:eastAsia="Times New Roman" w:hAnsi="Times New Roman" w:cs="Times New Roman"/>
          <w:b/>
          <w:color w:val="000000"/>
          <w:sz w:val="24"/>
          <w:szCs w:val="20"/>
        </w:rPr>
        <w:t xml:space="preserve">. </w:t>
      </w:r>
      <w:r w:rsidRPr="00E06694">
        <w:rPr>
          <w:rFonts w:ascii="Times New Roman" w:eastAsia="Times New Roman" w:hAnsi="Times New Roman" w:cs="Times New Roman"/>
          <w:sz w:val="24"/>
          <w:szCs w:val="20"/>
        </w:rPr>
        <w:t xml:space="preserve">Averages for </w:t>
      </w:r>
      <w:r w:rsidRPr="00E06694">
        <w:rPr>
          <w:rFonts w:ascii="Times New Roman" w:eastAsia="Times New Roman" w:hAnsi="Times New Roman" w:cs="Times New Roman"/>
          <w:color w:val="000000"/>
          <w:sz w:val="24"/>
          <w:szCs w:val="20"/>
        </w:rPr>
        <w:t>gross yield (t ha</w:t>
      </w:r>
      <w:r w:rsidRPr="00E06694">
        <w:rPr>
          <w:rFonts w:ascii="Times New Roman" w:eastAsia="Times New Roman" w:hAnsi="Times New Roman" w:cs="Times New Roman"/>
          <w:color w:val="000000"/>
          <w:sz w:val="24"/>
          <w:szCs w:val="20"/>
          <w:vertAlign w:val="superscript"/>
        </w:rPr>
        <w:t>-1</w:t>
      </w:r>
      <w:r w:rsidRPr="00E06694">
        <w:rPr>
          <w:rFonts w:ascii="Times New Roman" w:eastAsia="Times New Roman" w:hAnsi="Times New Roman" w:cs="Times New Roman"/>
          <w:color w:val="000000"/>
          <w:sz w:val="24"/>
          <w:szCs w:val="20"/>
        </w:rPr>
        <w:t>) and yield of first-class roots (t ha</w:t>
      </w:r>
      <w:r w:rsidRPr="00E06694">
        <w:rPr>
          <w:rFonts w:ascii="Times New Roman" w:eastAsia="Times New Roman" w:hAnsi="Times New Roman" w:cs="Times New Roman"/>
          <w:color w:val="000000"/>
          <w:sz w:val="24"/>
          <w:szCs w:val="20"/>
          <w:vertAlign w:val="superscript"/>
        </w:rPr>
        <w:t>-1</w:t>
      </w:r>
      <w:r w:rsidRPr="00E06694">
        <w:rPr>
          <w:rFonts w:ascii="Times New Roman" w:eastAsia="Times New Roman" w:hAnsi="Times New Roman" w:cs="Times New Roman"/>
          <w:color w:val="000000"/>
          <w:sz w:val="24"/>
          <w:szCs w:val="20"/>
        </w:rPr>
        <w:t>) by location.</w:t>
      </w:r>
    </w:p>
    <w:tbl>
      <w:tblPr>
        <w:tblStyle w:val="Style14"/>
        <w:tblW w:w="9330" w:type="dxa"/>
        <w:tblInd w:w="0" w:type="dxa"/>
        <w:tblLayout w:type="fixed"/>
        <w:tblLook w:val="04A0" w:firstRow="1" w:lastRow="0" w:firstColumn="1" w:lastColumn="0" w:noHBand="0" w:noVBand="1"/>
      </w:tblPr>
      <w:tblGrid>
        <w:gridCol w:w="3686"/>
        <w:gridCol w:w="1411"/>
        <w:gridCol w:w="1411"/>
        <w:gridCol w:w="1411"/>
        <w:gridCol w:w="1411"/>
      </w:tblGrid>
      <w:tr w:rsidR="00025508" w:rsidRPr="00E06694" w14:paraId="7D87166F" w14:textId="77777777" w:rsidTr="00E0690C">
        <w:trPr>
          <w:trHeight w:val="300"/>
        </w:trPr>
        <w:tc>
          <w:tcPr>
            <w:tcW w:w="3686" w:type="dxa"/>
            <w:vMerge w:val="restart"/>
            <w:tcBorders>
              <w:top w:val="single" w:sz="4" w:space="0" w:color="000000"/>
            </w:tcBorders>
            <w:vAlign w:val="center"/>
          </w:tcPr>
          <w:p w14:paraId="64E60C98" w14:textId="77777777" w:rsidR="00025508" w:rsidRPr="00E06694" w:rsidRDefault="00025508"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Treatments</w:t>
            </w:r>
          </w:p>
        </w:tc>
        <w:tc>
          <w:tcPr>
            <w:tcW w:w="2822" w:type="dxa"/>
            <w:gridSpan w:val="2"/>
            <w:tcBorders>
              <w:top w:val="single" w:sz="4" w:space="0" w:color="000000"/>
              <w:bottom w:val="single" w:sz="4" w:space="0" w:color="000000"/>
            </w:tcBorders>
            <w:vAlign w:val="center"/>
          </w:tcPr>
          <w:p w14:paraId="687E06CC" w14:textId="77777777" w:rsidR="00025508" w:rsidRPr="00E06694" w:rsidRDefault="00025508"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Koari Alto</w:t>
            </w:r>
          </w:p>
        </w:tc>
        <w:tc>
          <w:tcPr>
            <w:tcW w:w="2822" w:type="dxa"/>
            <w:gridSpan w:val="2"/>
            <w:tcBorders>
              <w:top w:val="single" w:sz="4" w:space="0" w:color="000000"/>
              <w:bottom w:val="single" w:sz="4" w:space="0" w:color="000000"/>
            </w:tcBorders>
            <w:vAlign w:val="center"/>
          </w:tcPr>
          <w:p w14:paraId="45D7A94F" w14:textId="77777777" w:rsidR="00025508" w:rsidRPr="00E06694" w:rsidRDefault="00025508"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Koari Lagunillas</w:t>
            </w:r>
          </w:p>
        </w:tc>
      </w:tr>
      <w:tr w:rsidR="00025508" w:rsidRPr="00E06694" w14:paraId="2A70F351" w14:textId="77777777" w:rsidTr="00E0690C">
        <w:trPr>
          <w:trHeight w:val="552"/>
        </w:trPr>
        <w:tc>
          <w:tcPr>
            <w:tcW w:w="3686" w:type="dxa"/>
            <w:vMerge/>
            <w:tcBorders>
              <w:top w:val="single" w:sz="4" w:space="0" w:color="000000"/>
            </w:tcBorders>
            <w:vAlign w:val="center"/>
          </w:tcPr>
          <w:p w14:paraId="42749F41" w14:textId="77777777" w:rsidR="00025508" w:rsidRPr="00E06694" w:rsidRDefault="00025508" w:rsidP="00E0690C">
            <w:pPr>
              <w:widowControl w:val="0"/>
              <w:spacing w:after="0" w:line="240" w:lineRule="auto"/>
              <w:ind w:left="0"/>
              <w:jc w:val="left"/>
              <w:rPr>
                <w:rFonts w:ascii="Times New Roman" w:eastAsia="Times New Roman" w:hAnsi="Times New Roman" w:cs="Times New Roman"/>
                <w:b/>
                <w:color w:val="000000"/>
                <w:sz w:val="20"/>
                <w:szCs w:val="20"/>
              </w:rPr>
            </w:pPr>
          </w:p>
        </w:tc>
        <w:tc>
          <w:tcPr>
            <w:tcW w:w="1411" w:type="dxa"/>
            <w:tcBorders>
              <w:top w:val="single" w:sz="4" w:space="0" w:color="000000"/>
              <w:bottom w:val="single" w:sz="4" w:space="0" w:color="000000"/>
            </w:tcBorders>
            <w:vAlign w:val="center"/>
          </w:tcPr>
          <w:p w14:paraId="0F0E4F11" w14:textId="77777777" w:rsidR="00025508" w:rsidRPr="00E06694" w:rsidRDefault="00025508"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Gross yield</w:t>
            </w:r>
          </w:p>
        </w:tc>
        <w:tc>
          <w:tcPr>
            <w:tcW w:w="1411" w:type="dxa"/>
            <w:tcBorders>
              <w:top w:val="single" w:sz="4" w:space="0" w:color="000000"/>
              <w:bottom w:val="single" w:sz="4" w:space="0" w:color="000000"/>
            </w:tcBorders>
            <w:vAlign w:val="center"/>
          </w:tcPr>
          <w:p w14:paraId="32FBF979" w14:textId="77777777" w:rsidR="00025508" w:rsidRPr="00E06694" w:rsidRDefault="00025508"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Yield of first-class roots</w:t>
            </w:r>
          </w:p>
        </w:tc>
        <w:tc>
          <w:tcPr>
            <w:tcW w:w="1411" w:type="dxa"/>
            <w:tcBorders>
              <w:top w:val="single" w:sz="4" w:space="0" w:color="000000"/>
              <w:bottom w:val="single" w:sz="4" w:space="0" w:color="000000"/>
            </w:tcBorders>
            <w:vAlign w:val="center"/>
          </w:tcPr>
          <w:p w14:paraId="079E5693" w14:textId="77777777" w:rsidR="00025508" w:rsidRPr="00E06694" w:rsidRDefault="00025508"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Gross yield</w:t>
            </w:r>
          </w:p>
        </w:tc>
        <w:tc>
          <w:tcPr>
            <w:tcW w:w="1411" w:type="dxa"/>
            <w:tcBorders>
              <w:top w:val="single" w:sz="4" w:space="0" w:color="000000"/>
              <w:bottom w:val="single" w:sz="4" w:space="0" w:color="000000"/>
            </w:tcBorders>
            <w:vAlign w:val="center"/>
          </w:tcPr>
          <w:p w14:paraId="606C010B" w14:textId="77777777" w:rsidR="00025508" w:rsidRPr="00E06694" w:rsidRDefault="00025508"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Yield of first-class roots</w:t>
            </w:r>
          </w:p>
        </w:tc>
      </w:tr>
      <w:tr w:rsidR="00025508" w:rsidRPr="00E06694" w14:paraId="03C5A77C" w14:textId="77777777" w:rsidTr="00E0690C">
        <w:trPr>
          <w:trHeight w:val="300"/>
        </w:trPr>
        <w:tc>
          <w:tcPr>
            <w:tcW w:w="3686" w:type="dxa"/>
            <w:tcBorders>
              <w:top w:val="single" w:sz="4" w:space="0" w:color="000000"/>
            </w:tcBorders>
            <w:vAlign w:val="bottom"/>
          </w:tcPr>
          <w:p w14:paraId="4A33289E"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High plateau with raised bed</w:t>
            </w:r>
          </w:p>
        </w:tc>
        <w:tc>
          <w:tcPr>
            <w:tcW w:w="1411" w:type="dxa"/>
            <w:tcBorders>
              <w:top w:val="single" w:sz="4" w:space="0" w:color="000000"/>
            </w:tcBorders>
            <w:vAlign w:val="center"/>
          </w:tcPr>
          <w:p w14:paraId="27AA0619"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30.01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4.9</w:t>
            </w:r>
            <w:r w:rsidRPr="00E06694">
              <w:rPr>
                <w:rFonts w:ascii="Times New Roman" w:eastAsia="Times New Roman" w:hAnsi="Times New Roman" w:cs="Times New Roman"/>
                <w:sz w:val="20"/>
                <w:szCs w:val="20"/>
              </w:rPr>
              <w:t>3</w:t>
            </w:r>
            <w:r w:rsidRPr="00E06694">
              <w:rPr>
                <w:rFonts w:ascii="Times New Roman" w:eastAsia="Calibri" w:hAnsi="Times New Roman" w:cs="Times New Roman"/>
                <w:sz w:val="24"/>
                <w:szCs w:val="24"/>
                <w:vertAlign w:val="superscript"/>
              </w:rPr>
              <w:t>b</w:t>
            </w:r>
          </w:p>
        </w:tc>
        <w:tc>
          <w:tcPr>
            <w:tcW w:w="1411" w:type="dxa"/>
            <w:tcBorders>
              <w:top w:val="single" w:sz="4" w:space="0" w:color="000000"/>
            </w:tcBorders>
            <w:vAlign w:val="center"/>
          </w:tcPr>
          <w:p w14:paraId="40B8B89C"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17.28 </w:t>
            </w:r>
            <w:r w:rsidRPr="00E06694">
              <w:rPr>
                <w:rFonts w:ascii="Times New Roman" w:eastAsia="Times New Roman" w:hAnsi="Times New Roman" w:cs="Times New Roman"/>
                <w:sz w:val="20"/>
                <w:szCs w:val="20"/>
              </w:rPr>
              <w:t>± 2.94</w:t>
            </w:r>
            <w:r w:rsidRPr="00E06694">
              <w:rPr>
                <w:rFonts w:ascii="Times New Roman" w:eastAsia="Calibri" w:hAnsi="Times New Roman" w:cs="Times New Roman"/>
                <w:sz w:val="24"/>
                <w:szCs w:val="24"/>
                <w:vertAlign w:val="superscript"/>
              </w:rPr>
              <w:t>a</w:t>
            </w:r>
          </w:p>
        </w:tc>
        <w:tc>
          <w:tcPr>
            <w:tcW w:w="1411" w:type="dxa"/>
            <w:tcBorders>
              <w:top w:val="single" w:sz="4" w:space="0" w:color="000000"/>
            </w:tcBorders>
            <w:vAlign w:val="center"/>
          </w:tcPr>
          <w:p w14:paraId="098F161C"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3</w:t>
            </w:r>
            <w:r w:rsidRPr="00E06694">
              <w:rPr>
                <w:rFonts w:ascii="Times New Roman" w:eastAsia="Times New Roman" w:hAnsi="Times New Roman" w:cs="Times New Roman"/>
                <w:sz w:val="20"/>
                <w:szCs w:val="20"/>
              </w:rPr>
              <w:t>9</w:t>
            </w:r>
            <w:r w:rsidRPr="00E06694">
              <w:rPr>
                <w:rFonts w:ascii="Times New Roman" w:eastAsia="Times New Roman" w:hAnsi="Times New Roman" w:cs="Times New Roman"/>
                <w:color w:val="000000"/>
                <w:sz w:val="20"/>
                <w:szCs w:val="20"/>
              </w:rPr>
              <w:t>.</w:t>
            </w:r>
            <w:r w:rsidRPr="00E06694">
              <w:rPr>
                <w:rFonts w:ascii="Times New Roman" w:eastAsia="Times New Roman" w:hAnsi="Times New Roman" w:cs="Times New Roman"/>
                <w:sz w:val="20"/>
                <w:szCs w:val="20"/>
              </w:rPr>
              <w:t>97</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2.27</w:t>
            </w:r>
            <w:r w:rsidRPr="00E06694">
              <w:rPr>
                <w:rFonts w:ascii="Times New Roman" w:eastAsia="Calibri" w:hAnsi="Times New Roman" w:cs="Times New Roman"/>
                <w:sz w:val="24"/>
                <w:szCs w:val="24"/>
                <w:vertAlign w:val="superscript"/>
              </w:rPr>
              <w:t>b</w:t>
            </w:r>
          </w:p>
        </w:tc>
        <w:tc>
          <w:tcPr>
            <w:tcW w:w="1411" w:type="dxa"/>
            <w:tcBorders>
              <w:top w:val="single" w:sz="4" w:space="0" w:color="000000"/>
            </w:tcBorders>
            <w:vAlign w:val="center"/>
          </w:tcPr>
          <w:p w14:paraId="514FF70E"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25.47 </w:t>
            </w:r>
            <w:r w:rsidRPr="00E06694">
              <w:rPr>
                <w:rFonts w:ascii="Times New Roman" w:eastAsia="Times New Roman" w:hAnsi="Times New Roman" w:cs="Times New Roman"/>
                <w:sz w:val="20"/>
                <w:szCs w:val="20"/>
              </w:rPr>
              <w:t>± 2.04</w:t>
            </w:r>
            <w:r w:rsidRPr="00E06694">
              <w:rPr>
                <w:rFonts w:ascii="Times New Roman" w:eastAsia="Calibri" w:hAnsi="Times New Roman" w:cs="Times New Roman"/>
                <w:sz w:val="24"/>
                <w:szCs w:val="24"/>
                <w:vertAlign w:val="superscript"/>
              </w:rPr>
              <w:t>a</w:t>
            </w:r>
          </w:p>
        </w:tc>
      </w:tr>
      <w:tr w:rsidR="00025508" w:rsidRPr="00E06694" w14:paraId="069A071C" w14:textId="77777777" w:rsidTr="00E0690C">
        <w:trPr>
          <w:trHeight w:val="300"/>
        </w:trPr>
        <w:tc>
          <w:tcPr>
            <w:tcW w:w="3686" w:type="dxa"/>
            <w:vAlign w:val="bottom"/>
          </w:tcPr>
          <w:p w14:paraId="50B6F9E4"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Altiplano without raised bed</w:t>
            </w:r>
          </w:p>
        </w:tc>
        <w:tc>
          <w:tcPr>
            <w:tcW w:w="1411" w:type="dxa"/>
            <w:vAlign w:val="center"/>
          </w:tcPr>
          <w:p w14:paraId="169D825D"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32.0</w:t>
            </w:r>
            <w:r w:rsidRPr="00E06694">
              <w:rPr>
                <w:rFonts w:ascii="Times New Roman" w:eastAsia="Times New Roman" w:hAnsi="Times New Roman" w:cs="Times New Roman"/>
                <w:sz w:val="20"/>
                <w:szCs w:val="20"/>
              </w:rPr>
              <w:t>9</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0.89</w:t>
            </w:r>
            <w:r w:rsidRPr="00E06694">
              <w:rPr>
                <w:rFonts w:ascii="Times New Roman" w:eastAsia="Calibri" w:hAnsi="Times New Roman" w:cs="Times New Roman"/>
                <w:sz w:val="24"/>
                <w:szCs w:val="24"/>
                <w:vertAlign w:val="superscript"/>
              </w:rPr>
              <w:t>b</w:t>
            </w:r>
          </w:p>
        </w:tc>
        <w:tc>
          <w:tcPr>
            <w:tcW w:w="1411" w:type="dxa"/>
            <w:vAlign w:val="center"/>
          </w:tcPr>
          <w:p w14:paraId="339ED7CB"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6.58 </w:t>
            </w:r>
            <w:r w:rsidRPr="00E06694">
              <w:rPr>
                <w:rFonts w:ascii="Times New Roman" w:eastAsia="Times New Roman" w:hAnsi="Times New Roman" w:cs="Times New Roman"/>
                <w:sz w:val="20"/>
                <w:szCs w:val="20"/>
              </w:rPr>
              <w:t>± 0.81</w:t>
            </w:r>
            <w:r w:rsidRPr="00E06694">
              <w:rPr>
                <w:rFonts w:ascii="Times New Roman" w:eastAsia="Calibri" w:hAnsi="Times New Roman" w:cs="Times New Roman"/>
                <w:sz w:val="24"/>
                <w:szCs w:val="24"/>
                <w:vertAlign w:val="superscript"/>
              </w:rPr>
              <w:t>cd</w:t>
            </w:r>
          </w:p>
        </w:tc>
        <w:tc>
          <w:tcPr>
            <w:tcW w:w="1411" w:type="dxa"/>
            <w:vAlign w:val="center"/>
          </w:tcPr>
          <w:p w14:paraId="6FC94E73"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41.04 </w:t>
            </w:r>
            <w:r w:rsidRPr="00E06694">
              <w:rPr>
                <w:rFonts w:ascii="Times New Roman" w:eastAsia="Times New Roman" w:hAnsi="Times New Roman" w:cs="Times New Roman"/>
                <w:sz w:val="20"/>
                <w:szCs w:val="20"/>
              </w:rPr>
              <w:t>± 1.35</w:t>
            </w:r>
            <w:r w:rsidRPr="00E06694">
              <w:rPr>
                <w:rFonts w:ascii="Times New Roman" w:eastAsia="Calibri" w:hAnsi="Times New Roman" w:cs="Times New Roman"/>
                <w:sz w:val="24"/>
                <w:szCs w:val="24"/>
                <w:vertAlign w:val="superscript"/>
              </w:rPr>
              <w:t>b</w:t>
            </w:r>
          </w:p>
        </w:tc>
        <w:tc>
          <w:tcPr>
            <w:tcW w:w="1411" w:type="dxa"/>
            <w:vAlign w:val="center"/>
          </w:tcPr>
          <w:p w14:paraId="18D38B77"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6.50 </w:t>
            </w:r>
            <w:r w:rsidRPr="00E06694">
              <w:rPr>
                <w:rFonts w:ascii="Times New Roman" w:eastAsia="Times New Roman" w:hAnsi="Times New Roman" w:cs="Times New Roman"/>
                <w:sz w:val="20"/>
                <w:szCs w:val="20"/>
              </w:rPr>
              <w:t>± 1.11</w:t>
            </w:r>
            <w:r w:rsidRPr="00E06694">
              <w:rPr>
                <w:rFonts w:ascii="Times New Roman" w:eastAsia="Calibri" w:hAnsi="Times New Roman" w:cs="Times New Roman"/>
                <w:sz w:val="24"/>
                <w:szCs w:val="24"/>
                <w:vertAlign w:val="superscript"/>
              </w:rPr>
              <w:t>c</w:t>
            </w:r>
          </w:p>
        </w:tc>
      </w:tr>
      <w:tr w:rsidR="00025508" w:rsidRPr="00E06694" w14:paraId="5B83D7AF" w14:textId="77777777" w:rsidTr="00E0690C">
        <w:trPr>
          <w:trHeight w:val="365"/>
        </w:trPr>
        <w:tc>
          <w:tcPr>
            <w:tcW w:w="3686" w:type="dxa"/>
            <w:vAlign w:val="bottom"/>
          </w:tcPr>
          <w:p w14:paraId="5E0F7D75"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 raised bed</w:t>
            </w:r>
          </w:p>
        </w:tc>
        <w:tc>
          <w:tcPr>
            <w:tcW w:w="1411" w:type="dxa"/>
            <w:vAlign w:val="center"/>
          </w:tcPr>
          <w:p w14:paraId="134CEBDD"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20.21 </w:t>
            </w:r>
            <w:r w:rsidRPr="00E06694">
              <w:rPr>
                <w:rFonts w:ascii="Times New Roman" w:eastAsia="Times New Roman" w:hAnsi="Times New Roman" w:cs="Times New Roman"/>
                <w:sz w:val="20"/>
                <w:szCs w:val="20"/>
              </w:rPr>
              <w:t>± 1.29</w:t>
            </w:r>
            <w:r w:rsidRPr="00E06694">
              <w:rPr>
                <w:rFonts w:ascii="Times New Roman" w:eastAsia="Calibri" w:hAnsi="Times New Roman" w:cs="Times New Roman"/>
                <w:sz w:val="24"/>
                <w:szCs w:val="24"/>
                <w:vertAlign w:val="superscript"/>
              </w:rPr>
              <w:t>cd</w:t>
            </w:r>
          </w:p>
        </w:tc>
        <w:tc>
          <w:tcPr>
            <w:tcW w:w="1411" w:type="dxa"/>
            <w:vAlign w:val="center"/>
          </w:tcPr>
          <w:p w14:paraId="09014884"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11.05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0.98</w:t>
            </w:r>
            <w:r w:rsidRPr="00E06694">
              <w:rPr>
                <w:rFonts w:ascii="Times New Roman" w:eastAsia="Calibri" w:hAnsi="Times New Roman" w:cs="Times New Roman"/>
                <w:sz w:val="24"/>
                <w:szCs w:val="24"/>
                <w:vertAlign w:val="superscript"/>
              </w:rPr>
              <w:t>b</w:t>
            </w:r>
          </w:p>
        </w:tc>
        <w:tc>
          <w:tcPr>
            <w:tcW w:w="1411" w:type="dxa"/>
            <w:vAlign w:val="center"/>
          </w:tcPr>
          <w:p w14:paraId="1147B185"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20.05 </w:t>
            </w:r>
            <w:r w:rsidRPr="00E06694">
              <w:rPr>
                <w:rFonts w:ascii="Times New Roman" w:eastAsia="Times New Roman" w:hAnsi="Times New Roman" w:cs="Times New Roman"/>
                <w:sz w:val="20"/>
                <w:szCs w:val="20"/>
              </w:rPr>
              <w:t>± 0.62</w:t>
            </w:r>
            <w:r w:rsidRPr="00E06694">
              <w:rPr>
                <w:rFonts w:ascii="Times New Roman" w:eastAsia="Calibri" w:hAnsi="Times New Roman" w:cs="Times New Roman"/>
                <w:sz w:val="24"/>
                <w:szCs w:val="24"/>
                <w:vertAlign w:val="superscript"/>
              </w:rPr>
              <w:t>d</w:t>
            </w:r>
          </w:p>
        </w:tc>
        <w:tc>
          <w:tcPr>
            <w:tcW w:w="1411" w:type="dxa"/>
            <w:vAlign w:val="center"/>
          </w:tcPr>
          <w:p w14:paraId="0671EC53"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11.14 </w:t>
            </w:r>
            <w:r w:rsidRPr="00E06694">
              <w:rPr>
                <w:rFonts w:ascii="Times New Roman" w:eastAsia="Times New Roman" w:hAnsi="Times New Roman" w:cs="Times New Roman"/>
                <w:sz w:val="20"/>
                <w:szCs w:val="20"/>
              </w:rPr>
              <w:t>± 0.90</w:t>
            </w:r>
            <w:r w:rsidRPr="00E06694">
              <w:rPr>
                <w:rFonts w:ascii="Times New Roman" w:eastAsia="Calibri" w:hAnsi="Times New Roman" w:cs="Times New Roman"/>
                <w:sz w:val="24"/>
                <w:szCs w:val="24"/>
                <w:vertAlign w:val="superscript"/>
              </w:rPr>
              <w:t>b</w:t>
            </w:r>
          </w:p>
        </w:tc>
      </w:tr>
      <w:tr w:rsidR="00025508" w:rsidRPr="00E06694" w14:paraId="48C06ECC" w14:textId="77777777" w:rsidTr="00E0690C">
        <w:tc>
          <w:tcPr>
            <w:tcW w:w="3686" w:type="dxa"/>
            <w:vAlign w:val="bottom"/>
          </w:tcPr>
          <w:p w14:paraId="6BF642DE"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without raised bed</w:t>
            </w:r>
          </w:p>
        </w:tc>
        <w:tc>
          <w:tcPr>
            <w:tcW w:w="1411" w:type="dxa"/>
            <w:vAlign w:val="center"/>
          </w:tcPr>
          <w:p w14:paraId="617026DF"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23.37 </w:t>
            </w:r>
            <w:r w:rsidRPr="00E06694">
              <w:rPr>
                <w:rFonts w:ascii="Times New Roman" w:eastAsia="Times New Roman" w:hAnsi="Times New Roman" w:cs="Times New Roman"/>
                <w:sz w:val="20"/>
                <w:szCs w:val="20"/>
              </w:rPr>
              <w:t>± 1.25</w:t>
            </w:r>
            <w:r w:rsidRPr="00E06694">
              <w:rPr>
                <w:rFonts w:ascii="Times New Roman" w:eastAsia="Calibri" w:hAnsi="Times New Roman" w:cs="Times New Roman"/>
                <w:sz w:val="24"/>
                <w:szCs w:val="24"/>
                <w:vertAlign w:val="superscript"/>
              </w:rPr>
              <w:t>c</w:t>
            </w:r>
          </w:p>
        </w:tc>
        <w:tc>
          <w:tcPr>
            <w:tcW w:w="1411" w:type="dxa"/>
            <w:vAlign w:val="center"/>
          </w:tcPr>
          <w:p w14:paraId="26902C54"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5.62 </w:t>
            </w:r>
            <w:r w:rsidRPr="00E06694">
              <w:rPr>
                <w:rFonts w:ascii="Times New Roman" w:eastAsia="Times New Roman" w:hAnsi="Times New Roman" w:cs="Times New Roman"/>
                <w:sz w:val="20"/>
                <w:szCs w:val="20"/>
              </w:rPr>
              <w:t>± 1.11</w:t>
            </w:r>
            <w:r w:rsidRPr="00E06694">
              <w:rPr>
                <w:rFonts w:ascii="Times New Roman" w:eastAsia="Calibri" w:hAnsi="Times New Roman" w:cs="Times New Roman"/>
                <w:sz w:val="24"/>
                <w:szCs w:val="24"/>
                <w:vertAlign w:val="superscript"/>
              </w:rPr>
              <w:t>cd</w:t>
            </w:r>
          </w:p>
        </w:tc>
        <w:tc>
          <w:tcPr>
            <w:tcW w:w="1411" w:type="dxa"/>
            <w:vAlign w:val="center"/>
          </w:tcPr>
          <w:p w14:paraId="04015AE6"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2</w:t>
            </w:r>
            <w:r w:rsidRPr="00E06694">
              <w:rPr>
                <w:rFonts w:ascii="Times New Roman" w:eastAsia="Times New Roman" w:hAnsi="Times New Roman" w:cs="Times New Roman"/>
                <w:sz w:val="20"/>
                <w:szCs w:val="20"/>
              </w:rPr>
              <w:t>4</w:t>
            </w:r>
            <w:r w:rsidRPr="00E06694">
              <w:rPr>
                <w:rFonts w:ascii="Times New Roman" w:eastAsia="Times New Roman" w:hAnsi="Times New Roman" w:cs="Times New Roman"/>
                <w:color w:val="000000"/>
                <w:sz w:val="20"/>
                <w:szCs w:val="20"/>
              </w:rPr>
              <w:t xml:space="preserve">.75 </w:t>
            </w:r>
            <w:r w:rsidRPr="00E06694">
              <w:rPr>
                <w:rFonts w:ascii="Times New Roman" w:eastAsia="Times New Roman" w:hAnsi="Times New Roman" w:cs="Times New Roman"/>
                <w:sz w:val="20"/>
                <w:szCs w:val="20"/>
              </w:rPr>
              <w:t>± 1.20</w:t>
            </w:r>
            <w:r w:rsidRPr="00E06694">
              <w:rPr>
                <w:rFonts w:ascii="Times New Roman" w:eastAsia="Calibri" w:hAnsi="Times New Roman" w:cs="Times New Roman"/>
                <w:sz w:val="24"/>
                <w:szCs w:val="24"/>
                <w:vertAlign w:val="superscript"/>
              </w:rPr>
              <w:t>c</w:t>
            </w:r>
          </w:p>
        </w:tc>
        <w:tc>
          <w:tcPr>
            <w:tcW w:w="1411" w:type="dxa"/>
            <w:vAlign w:val="center"/>
          </w:tcPr>
          <w:p w14:paraId="4308EEDD" w14:textId="77777777" w:rsidR="00025508" w:rsidRPr="00E06694" w:rsidRDefault="00025508" w:rsidP="00E0690C">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5.00 </w:t>
            </w:r>
            <w:r w:rsidRPr="00E06694">
              <w:rPr>
                <w:rFonts w:ascii="Times New Roman" w:eastAsia="Times New Roman" w:hAnsi="Times New Roman" w:cs="Times New Roman"/>
                <w:sz w:val="20"/>
                <w:szCs w:val="20"/>
              </w:rPr>
              <w:t>± 0.58</w:t>
            </w:r>
            <w:r w:rsidRPr="00E06694">
              <w:rPr>
                <w:rFonts w:ascii="Times New Roman" w:eastAsia="Calibri" w:hAnsi="Times New Roman" w:cs="Times New Roman"/>
                <w:sz w:val="24"/>
                <w:szCs w:val="24"/>
                <w:vertAlign w:val="superscript"/>
              </w:rPr>
              <w:t>cd</w:t>
            </w:r>
          </w:p>
        </w:tc>
      </w:tr>
      <w:tr w:rsidR="00025508" w:rsidRPr="00E06694" w14:paraId="2A728AC3" w14:textId="77777777" w:rsidTr="00E0690C">
        <w:trPr>
          <w:trHeight w:val="300"/>
        </w:trPr>
        <w:tc>
          <w:tcPr>
            <w:tcW w:w="3686" w:type="dxa"/>
            <w:vAlign w:val="bottom"/>
          </w:tcPr>
          <w:p w14:paraId="19677223"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r w:rsidRPr="00E06694">
              <w:rPr>
                <w:rFonts w:ascii="Times New Roman" w:eastAsia="Times New Roman" w:hAnsi="Times New Roman" w:cs="Times New Roman"/>
                <w:sz w:val="20"/>
                <w:szCs w:val="20"/>
              </w:rPr>
              <w:t>Laraga Vida</w:t>
            </w:r>
            <w:r w:rsidRPr="00E06694">
              <w:rPr>
                <w:rFonts w:ascii="Times New Roman" w:eastAsia="Times New Roman" w:hAnsi="Times New Roman" w:cs="Times New Roman"/>
                <w:color w:val="000000"/>
                <w:sz w:val="20"/>
                <w:szCs w:val="20"/>
              </w:rPr>
              <w:t xml:space="preserve"> with raised bed</w:t>
            </w:r>
          </w:p>
        </w:tc>
        <w:tc>
          <w:tcPr>
            <w:tcW w:w="1411" w:type="dxa"/>
            <w:vAlign w:val="center"/>
          </w:tcPr>
          <w:p w14:paraId="30925D04"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17.8</w:t>
            </w:r>
            <w:r w:rsidRPr="00E06694">
              <w:rPr>
                <w:rFonts w:ascii="Times New Roman" w:eastAsia="Times New Roman" w:hAnsi="Times New Roman" w:cs="Times New Roman"/>
                <w:sz w:val="20"/>
                <w:szCs w:val="20"/>
              </w:rPr>
              <w:t>5</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0.85</w:t>
            </w:r>
            <w:r w:rsidRPr="00E06694">
              <w:rPr>
                <w:rFonts w:ascii="Times New Roman" w:eastAsia="Calibri" w:hAnsi="Times New Roman" w:cs="Times New Roman"/>
                <w:sz w:val="24"/>
                <w:szCs w:val="24"/>
                <w:vertAlign w:val="superscript"/>
              </w:rPr>
              <w:t>d</w:t>
            </w:r>
          </w:p>
        </w:tc>
        <w:tc>
          <w:tcPr>
            <w:tcW w:w="1411" w:type="dxa"/>
            <w:vAlign w:val="center"/>
          </w:tcPr>
          <w:p w14:paraId="7A07340C"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10.</w:t>
            </w:r>
            <w:r w:rsidRPr="00E06694">
              <w:rPr>
                <w:rFonts w:ascii="Times New Roman" w:eastAsia="Times New Roman" w:hAnsi="Times New Roman" w:cs="Times New Roman"/>
                <w:sz w:val="20"/>
                <w:szCs w:val="20"/>
              </w:rPr>
              <w:t>6</w:t>
            </w:r>
            <w:r w:rsidRPr="00E06694">
              <w:rPr>
                <w:rFonts w:ascii="Times New Roman" w:eastAsia="Times New Roman" w:hAnsi="Times New Roman" w:cs="Times New Roman"/>
                <w:color w:val="000000"/>
                <w:sz w:val="20"/>
                <w:szCs w:val="20"/>
              </w:rPr>
              <w:t xml:space="preserve">7 </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1.16</w:t>
            </w:r>
            <w:r w:rsidRPr="00E06694">
              <w:rPr>
                <w:rFonts w:ascii="Times New Roman" w:eastAsia="Calibri" w:hAnsi="Times New Roman" w:cs="Times New Roman"/>
                <w:sz w:val="24"/>
                <w:szCs w:val="24"/>
                <w:vertAlign w:val="superscript"/>
              </w:rPr>
              <w:t>b</w:t>
            </w:r>
          </w:p>
        </w:tc>
        <w:tc>
          <w:tcPr>
            <w:tcW w:w="1411" w:type="dxa"/>
            <w:vAlign w:val="center"/>
          </w:tcPr>
          <w:p w14:paraId="0164A926" w14:textId="77777777" w:rsidR="00025508" w:rsidRPr="00E06694" w:rsidRDefault="00025508" w:rsidP="00E0690C">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17.5</w:t>
            </w:r>
            <w:r w:rsidRPr="00E06694">
              <w:rPr>
                <w:rFonts w:ascii="Times New Roman" w:eastAsia="Times New Roman" w:hAnsi="Times New Roman" w:cs="Times New Roman"/>
                <w:sz w:val="20"/>
                <w:szCs w:val="20"/>
              </w:rPr>
              <w:t>9</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0.67</w:t>
            </w:r>
            <w:r w:rsidRPr="00E06694">
              <w:rPr>
                <w:rFonts w:ascii="Times New Roman" w:eastAsia="Calibri" w:hAnsi="Times New Roman" w:cs="Times New Roman"/>
                <w:sz w:val="24"/>
                <w:szCs w:val="24"/>
                <w:vertAlign w:val="superscript"/>
              </w:rPr>
              <w:t>d</w:t>
            </w:r>
          </w:p>
        </w:tc>
        <w:tc>
          <w:tcPr>
            <w:tcW w:w="1411" w:type="dxa"/>
            <w:vAlign w:val="center"/>
          </w:tcPr>
          <w:p w14:paraId="0DB9C2CA"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9.28 </w:t>
            </w:r>
            <w:r w:rsidRPr="00E06694">
              <w:rPr>
                <w:rFonts w:ascii="Times New Roman" w:eastAsia="Times New Roman" w:hAnsi="Times New Roman" w:cs="Times New Roman"/>
                <w:sz w:val="20"/>
                <w:szCs w:val="20"/>
              </w:rPr>
              <w:t>± 0.74</w:t>
            </w:r>
            <w:r w:rsidRPr="00E06694">
              <w:rPr>
                <w:rFonts w:ascii="Times New Roman" w:eastAsia="Calibri" w:hAnsi="Times New Roman" w:cs="Times New Roman"/>
                <w:sz w:val="24"/>
                <w:szCs w:val="24"/>
                <w:vertAlign w:val="superscript"/>
              </w:rPr>
              <w:t>b</w:t>
            </w:r>
          </w:p>
        </w:tc>
      </w:tr>
      <w:tr w:rsidR="00025508" w:rsidRPr="00E06694" w14:paraId="12CA1F35" w14:textId="77777777" w:rsidTr="00E0690C">
        <w:trPr>
          <w:trHeight w:val="300"/>
        </w:trPr>
        <w:tc>
          <w:tcPr>
            <w:tcW w:w="3686" w:type="dxa"/>
            <w:vAlign w:val="bottom"/>
          </w:tcPr>
          <w:p w14:paraId="074235D8"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r w:rsidRPr="00E06694">
              <w:rPr>
                <w:rFonts w:ascii="Times New Roman" w:eastAsia="Times New Roman" w:hAnsi="Times New Roman" w:cs="Times New Roman"/>
                <w:sz w:val="20"/>
                <w:szCs w:val="20"/>
              </w:rPr>
              <w:t>Laraga Vida</w:t>
            </w:r>
            <w:r w:rsidRPr="00E06694">
              <w:rPr>
                <w:rFonts w:ascii="Times New Roman" w:eastAsia="Times New Roman" w:hAnsi="Times New Roman" w:cs="Times New Roman"/>
                <w:color w:val="000000"/>
                <w:sz w:val="20"/>
                <w:szCs w:val="20"/>
              </w:rPr>
              <w:t xml:space="preserve"> without raised bed</w:t>
            </w:r>
          </w:p>
        </w:tc>
        <w:tc>
          <w:tcPr>
            <w:tcW w:w="1411" w:type="dxa"/>
            <w:vAlign w:val="center"/>
          </w:tcPr>
          <w:p w14:paraId="121856E2"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21.43 </w:t>
            </w:r>
            <w:r w:rsidRPr="00E06694">
              <w:rPr>
                <w:rFonts w:ascii="Times New Roman" w:eastAsia="Times New Roman" w:hAnsi="Times New Roman" w:cs="Times New Roman"/>
                <w:sz w:val="20"/>
                <w:szCs w:val="20"/>
              </w:rPr>
              <w:t>± 1.58</w:t>
            </w:r>
            <w:r w:rsidRPr="00E06694">
              <w:rPr>
                <w:rFonts w:ascii="Times New Roman" w:eastAsia="Calibri" w:hAnsi="Times New Roman" w:cs="Times New Roman"/>
                <w:sz w:val="24"/>
                <w:szCs w:val="24"/>
                <w:vertAlign w:val="superscript"/>
              </w:rPr>
              <w:t>cd</w:t>
            </w:r>
          </w:p>
        </w:tc>
        <w:tc>
          <w:tcPr>
            <w:tcW w:w="1411" w:type="dxa"/>
            <w:vAlign w:val="center"/>
          </w:tcPr>
          <w:p w14:paraId="4AC9C8CC"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3.57 </w:t>
            </w:r>
            <w:r w:rsidRPr="00E06694">
              <w:rPr>
                <w:rFonts w:ascii="Times New Roman" w:eastAsia="Times New Roman" w:hAnsi="Times New Roman" w:cs="Times New Roman"/>
                <w:sz w:val="20"/>
                <w:szCs w:val="20"/>
              </w:rPr>
              <w:t>± 0.32</w:t>
            </w:r>
            <w:r w:rsidRPr="00E06694">
              <w:rPr>
                <w:rFonts w:ascii="Times New Roman" w:eastAsia="Calibri" w:hAnsi="Times New Roman" w:cs="Times New Roman"/>
                <w:sz w:val="24"/>
                <w:szCs w:val="24"/>
                <w:vertAlign w:val="superscript"/>
              </w:rPr>
              <w:t>d</w:t>
            </w:r>
          </w:p>
        </w:tc>
        <w:tc>
          <w:tcPr>
            <w:tcW w:w="1411" w:type="dxa"/>
            <w:vAlign w:val="center"/>
          </w:tcPr>
          <w:p w14:paraId="3A290E24" w14:textId="77777777" w:rsidR="00025508" w:rsidRPr="00E06694" w:rsidRDefault="00025508" w:rsidP="00E0690C">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20.2</w:t>
            </w:r>
            <w:r w:rsidRPr="00E06694">
              <w:rPr>
                <w:rFonts w:ascii="Times New Roman" w:eastAsia="Times New Roman" w:hAnsi="Times New Roman" w:cs="Times New Roman"/>
                <w:sz w:val="20"/>
                <w:szCs w:val="20"/>
              </w:rPr>
              <w:t>6</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1.03</w:t>
            </w:r>
            <w:r w:rsidRPr="00E06694">
              <w:rPr>
                <w:rFonts w:ascii="Times New Roman" w:eastAsia="Calibri" w:hAnsi="Times New Roman" w:cs="Times New Roman"/>
                <w:sz w:val="24"/>
                <w:szCs w:val="24"/>
                <w:vertAlign w:val="superscript"/>
              </w:rPr>
              <w:t>d</w:t>
            </w:r>
          </w:p>
        </w:tc>
        <w:tc>
          <w:tcPr>
            <w:tcW w:w="1411" w:type="dxa"/>
            <w:vAlign w:val="center"/>
          </w:tcPr>
          <w:p w14:paraId="54105CEF" w14:textId="77777777" w:rsidR="00025508" w:rsidRPr="00E06694" w:rsidRDefault="00025508" w:rsidP="00E0690C">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3.96 </w:t>
            </w:r>
            <w:r w:rsidRPr="00E06694">
              <w:rPr>
                <w:rFonts w:ascii="Times New Roman" w:eastAsia="Times New Roman" w:hAnsi="Times New Roman" w:cs="Times New Roman"/>
                <w:sz w:val="20"/>
                <w:szCs w:val="20"/>
              </w:rPr>
              <w:t>± 0.61</w:t>
            </w:r>
            <w:r w:rsidRPr="00E06694">
              <w:rPr>
                <w:rFonts w:ascii="Times New Roman" w:eastAsia="Calibri" w:hAnsi="Times New Roman" w:cs="Times New Roman"/>
                <w:sz w:val="24"/>
                <w:szCs w:val="24"/>
                <w:vertAlign w:val="superscript"/>
              </w:rPr>
              <w:t>d</w:t>
            </w:r>
          </w:p>
        </w:tc>
      </w:tr>
      <w:tr w:rsidR="00025508" w:rsidRPr="00E06694" w14:paraId="44D540A8" w14:textId="77777777" w:rsidTr="00E0690C">
        <w:trPr>
          <w:trHeight w:val="300"/>
        </w:trPr>
        <w:tc>
          <w:tcPr>
            <w:tcW w:w="3686" w:type="dxa"/>
            <w:vAlign w:val="bottom"/>
          </w:tcPr>
          <w:p w14:paraId="6F1BFAAF"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Control (</w:t>
            </w:r>
            <w:proofErr w:type="spellStart"/>
            <w:r w:rsidRPr="00E06694">
              <w:rPr>
                <w:rFonts w:ascii="Times New Roman" w:eastAsia="Times New Roman" w:hAnsi="Times New Roman" w:cs="Times New Roman"/>
                <w:sz w:val="20"/>
                <w:szCs w:val="20"/>
              </w:rPr>
              <w:t>t</w:t>
            </w:r>
            <w:r w:rsidRPr="00E06694">
              <w:rPr>
                <w:rFonts w:ascii="Times New Roman" w:eastAsia="Times New Roman" w:hAnsi="Times New Roman" w:cs="Times New Roman"/>
                <w:color w:val="000000"/>
                <w:sz w:val="20"/>
                <w:szCs w:val="20"/>
              </w:rPr>
              <w:t>origin</w:t>
            </w:r>
            <w:proofErr w:type="spellEnd"/>
            <w:r w:rsidRPr="00E06694">
              <w:rPr>
                <w:rFonts w:ascii="Times New Roman" w:eastAsia="Times New Roman" w:hAnsi="Times New Roman" w:cs="Times New Roman"/>
                <w:color w:val="000000"/>
                <w:sz w:val="20"/>
                <w:szCs w:val="20"/>
              </w:rPr>
              <w:t>)</w:t>
            </w:r>
          </w:p>
        </w:tc>
        <w:tc>
          <w:tcPr>
            <w:tcW w:w="1411" w:type="dxa"/>
            <w:vAlign w:val="center"/>
          </w:tcPr>
          <w:p w14:paraId="1F6D01E3"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43.8</w:t>
            </w:r>
            <w:r w:rsidRPr="00E06694">
              <w:rPr>
                <w:rFonts w:ascii="Times New Roman" w:eastAsia="Times New Roman" w:hAnsi="Times New Roman" w:cs="Times New Roman"/>
                <w:sz w:val="20"/>
                <w:szCs w:val="20"/>
              </w:rPr>
              <w:t>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0.21</w:t>
            </w:r>
            <w:r w:rsidRPr="00E06694">
              <w:rPr>
                <w:rFonts w:ascii="Times New Roman" w:eastAsia="Calibri" w:hAnsi="Times New Roman" w:cs="Times New Roman"/>
                <w:sz w:val="24"/>
                <w:szCs w:val="24"/>
                <w:vertAlign w:val="superscript"/>
              </w:rPr>
              <w:t>a</w:t>
            </w:r>
          </w:p>
        </w:tc>
        <w:tc>
          <w:tcPr>
            <w:tcW w:w="1411" w:type="dxa"/>
            <w:vAlign w:val="center"/>
          </w:tcPr>
          <w:p w14:paraId="33EE341D"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6.78 </w:t>
            </w:r>
            <w:r w:rsidRPr="00E06694">
              <w:rPr>
                <w:rFonts w:ascii="Times New Roman" w:eastAsia="Times New Roman" w:hAnsi="Times New Roman" w:cs="Times New Roman"/>
                <w:sz w:val="20"/>
                <w:szCs w:val="20"/>
              </w:rPr>
              <w:t xml:space="preserve">± </w:t>
            </w:r>
            <w:r w:rsidRPr="00E06694">
              <w:rPr>
                <w:rFonts w:ascii="Times New Roman" w:eastAsia="Times New Roman" w:hAnsi="Times New Roman" w:cs="Times New Roman"/>
                <w:color w:val="000000"/>
                <w:sz w:val="20"/>
                <w:szCs w:val="20"/>
              </w:rPr>
              <w:t>0.78</w:t>
            </w:r>
            <w:r w:rsidRPr="00E06694">
              <w:rPr>
                <w:rFonts w:ascii="Times New Roman" w:eastAsia="Calibri" w:hAnsi="Times New Roman" w:cs="Times New Roman"/>
                <w:sz w:val="24"/>
                <w:szCs w:val="24"/>
                <w:vertAlign w:val="superscript"/>
              </w:rPr>
              <w:t>c</w:t>
            </w:r>
          </w:p>
        </w:tc>
        <w:tc>
          <w:tcPr>
            <w:tcW w:w="1411" w:type="dxa"/>
            <w:vAlign w:val="center"/>
          </w:tcPr>
          <w:p w14:paraId="5451FD6C"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48.09 </w:t>
            </w:r>
            <w:r w:rsidRPr="00E06694">
              <w:rPr>
                <w:rFonts w:ascii="Times New Roman" w:eastAsia="Times New Roman" w:hAnsi="Times New Roman" w:cs="Times New Roman"/>
                <w:sz w:val="20"/>
                <w:szCs w:val="20"/>
              </w:rPr>
              <w:t>± 2.42</w:t>
            </w:r>
            <w:r w:rsidRPr="00E06694">
              <w:rPr>
                <w:rFonts w:ascii="Times New Roman" w:eastAsia="Calibri" w:hAnsi="Times New Roman" w:cs="Times New Roman"/>
                <w:sz w:val="24"/>
                <w:szCs w:val="24"/>
                <w:vertAlign w:val="superscript"/>
              </w:rPr>
              <w:t>a</w:t>
            </w:r>
          </w:p>
        </w:tc>
        <w:tc>
          <w:tcPr>
            <w:tcW w:w="1411" w:type="dxa"/>
            <w:vAlign w:val="center"/>
          </w:tcPr>
          <w:p w14:paraId="6873FD9C"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5.87 </w:t>
            </w:r>
            <w:r w:rsidRPr="00E06694">
              <w:rPr>
                <w:rFonts w:ascii="Times New Roman" w:eastAsia="Times New Roman" w:hAnsi="Times New Roman" w:cs="Times New Roman"/>
                <w:sz w:val="20"/>
                <w:szCs w:val="20"/>
              </w:rPr>
              <w:t>± 0.72</w:t>
            </w:r>
            <w:r w:rsidRPr="00E06694">
              <w:rPr>
                <w:rFonts w:ascii="Times New Roman" w:eastAsia="Calibri" w:hAnsi="Times New Roman" w:cs="Times New Roman"/>
                <w:sz w:val="24"/>
                <w:szCs w:val="24"/>
                <w:vertAlign w:val="superscript"/>
              </w:rPr>
              <w:t>cd</w:t>
            </w:r>
          </w:p>
        </w:tc>
      </w:tr>
      <w:tr w:rsidR="00025508" w:rsidRPr="00E06694" w14:paraId="6F14EC1F" w14:textId="77777777" w:rsidTr="00E0690C">
        <w:trPr>
          <w:trHeight w:val="300"/>
        </w:trPr>
        <w:tc>
          <w:tcPr>
            <w:tcW w:w="3686" w:type="dxa"/>
            <w:vAlign w:val="bottom"/>
          </w:tcPr>
          <w:p w14:paraId="441E57F4"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R</w:t>
            </w:r>
            <w:r w:rsidRPr="00E06694">
              <w:rPr>
                <w:rFonts w:ascii="Times New Roman" w:eastAsia="Times New Roman" w:hAnsi="Times New Roman" w:cs="Times New Roman"/>
                <w:color w:val="000000"/>
                <w:sz w:val="20"/>
                <w:szCs w:val="20"/>
                <w:vertAlign w:val="superscript"/>
              </w:rPr>
              <w:t>2</w:t>
            </w:r>
          </w:p>
        </w:tc>
        <w:tc>
          <w:tcPr>
            <w:tcW w:w="1411" w:type="dxa"/>
            <w:vAlign w:val="center"/>
          </w:tcPr>
          <w:p w14:paraId="5B210D32"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0.95</w:t>
            </w:r>
          </w:p>
        </w:tc>
        <w:tc>
          <w:tcPr>
            <w:tcW w:w="1411" w:type="dxa"/>
            <w:vAlign w:val="center"/>
          </w:tcPr>
          <w:p w14:paraId="1E04240A"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0.94</w:t>
            </w:r>
          </w:p>
        </w:tc>
        <w:tc>
          <w:tcPr>
            <w:tcW w:w="1411" w:type="dxa"/>
            <w:vAlign w:val="center"/>
          </w:tcPr>
          <w:p w14:paraId="1FE74430"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0.98</w:t>
            </w:r>
          </w:p>
        </w:tc>
        <w:tc>
          <w:tcPr>
            <w:tcW w:w="1411" w:type="dxa"/>
            <w:vAlign w:val="center"/>
          </w:tcPr>
          <w:p w14:paraId="062FB3E4"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0.97</w:t>
            </w:r>
          </w:p>
        </w:tc>
      </w:tr>
      <w:tr w:rsidR="00025508" w:rsidRPr="00E06694" w14:paraId="0FB3F24A" w14:textId="77777777" w:rsidTr="00E0690C">
        <w:trPr>
          <w:trHeight w:val="300"/>
        </w:trPr>
        <w:tc>
          <w:tcPr>
            <w:tcW w:w="3686" w:type="dxa"/>
            <w:tcBorders>
              <w:bottom w:val="single" w:sz="4" w:space="0" w:color="000000"/>
            </w:tcBorders>
            <w:vAlign w:val="bottom"/>
          </w:tcPr>
          <w:p w14:paraId="10B3473E" w14:textId="77777777" w:rsidR="00025508" w:rsidRPr="00E06694" w:rsidRDefault="00025508"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CV (%)</w:t>
            </w:r>
          </w:p>
        </w:tc>
        <w:tc>
          <w:tcPr>
            <w:tcW w:w="1411" w:type="dxa"/>
            <w:tcBorders>
              <w:bottom w:val="single" w:sz="4" w:space="0" w:color="000000"/>
            </w:tcBorders>
            <w:vAlign w:val="center"/>
          </w:tcPr>
          <w:p w14:paraId="48C0D13E"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1.91</w:t>
            </w:r>
          </w:p>
        </w:tc>
        <w:tc>
          <w:tcPr>
            <w:tcW w:w="1411" w:type="dxa"/>
            <w:tcBorders>
              <w:bottom w:val="single" w:sz="4" w:space="0" w:color="000000"/>
            </w:tcBorders>
            <w:vAlign w:val="center"/>
          </w:tcPr>
          <w:p w14:paraId="28280873"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4.63</w:t>
            </w:r>
          </w:p>
        </w:tc>
        <w:tc>
          <w:tcPr>
            <w:tcW w:w="1411" w:type="dxa"/>
            <w:tcBorders>
              <w:bottom w:val="single" w:sz="4" w:space="0" w:color="000000"/>
            </w:tcBorders>
            <w:vAlign w:val="center"/>
          </w:tcPr>
          <w:p w14:paraId="22D8DDD9"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1.12</w:t>
            </w:r>
          </w:p>
        </w:tc>
        <w:tc>
          <w:tcPr>
            <w:tcW w:w="1411" w:type="dxa"/>
            <w:tcBorders>
              <w:bottom w:val="single" w:sz="4" w:space="0" w:color="000000"/>
            </w:tcBorders>
            <w:vAlign w:val="center"/>
          </w:tcPr>
          <w:p w14:paraId="74C39EE7" w14:textId="77777777" w:rsidR="00025508" w:rsidRPr="00E06694" w:rsidRDefault="00025508"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4.19</w:t>
            </w:r>
          </w:p>
        </w:tc>
      </w:tr>
    </w:tbl>
    <w:p w14:paraId="0562C9CB" w14:textId="77777777" w:rsidR="00025508" w:rsidRPr="00E06694" w:rsidRDefault="00025508" w:rsidP="00025508">
      <w:pPr>
        <w:spacing w:after="0" w:line="240" w:lineRule="auto"/>
        <w:ind w:left="0"/>
        <w:rPr>
          <w:rFonts w:ascii="Times New Roman" w:eastAsia="Gungsuh" w:hAnsi="Times New Roman" w:cs="Times New Roman"/>
          <w:sz w:val="24"/>
          <w:szCs w:val="24"/>
        </w:rPr>
      </w:pPr>
      <w:r w:rsidRPr="00E06694">
        <w:rPr>
          <w:rFonts w:ascii="Times New Roman" w:eastAsia="Times New Roman" w:hAnsi="Times New Roman" w:cs="Times New Roman"/>
          <w:sz w:val="24"/>
          <w:szCs w:val="24"/>
        </w:rPr>
        <w:t>R</w:t>
      </w:r>
      <w:r w:rsidRPr="00E06694">
        <w:rPr>
          <w:rFonts w:ascii="Times New Roman" w:eastAsia="Calibri" w:hAnsi="Times New Roman" w:cs="Times New Roman"/>
          <w:sz w:val="24"/>
          <w:szCs w:val="24"/>
          <w:vertAlign w:val="superscript"/>
        </w:rPr>
        <w:t xml:space="preserve">2 </w:t>
      </w:r>
      <w:r w:rsidRPr="00E06694">
        <w:rPr>
          <w:rFonts w:ascii="Times New Roman" w:eastAsia="Gungsuh" w:hAnsi="Times New Roman" w:cs="Times New Roman"/>
          <w:sz w:val="24"/>
          <w:szCs w:val="24"/>
        </w:rPr>
        <w:t>= coefficient of determination; CV: coefficient of variation. Means in the same column followed by the same letters do not show significant differences according to Tukey's test (p ≤ 0.05).</w:t>
      </w:r>
    </w:p>
    <w:p w14:paraId="39E41A1B" w14:textId="77777777" w:rsidR="00025508" w:rsidRPr="00E06694" w:rsidRDefault="00025508" w:rsidP="00025508">
      <w:pPr>
        <w:spacing w:after="0" w:line="240" w:lineRule="auto"/>
        <w:ind w:left="0" w:firstLine="567"/>
        <w:rPr>
          <w:rFonts w:ascii="Times New Roman" w:eastAsia="Times New Roman" w:hAnsi="Times New Roman" w:cs="Times New Roman"/>
          <w:sz w:val="24"/>
          <w:szCs w:val="24"/>
        </w:rPr>
      </w:pPr>
    </w:p>
    <w:p w14:paraId="693A4D92" w14:textId="77777777" w:rsidR="00FB19B9" w:rsidRPr="00E06694" w:rsidRDefault="00B42611" w:rsidP="00741359">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highest seeding density (8 kg ha</w:t>
      </w:r>
      <w:r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used in both the control and non-raised bed treatments, was associated with higher gross root yields at both locations. In contrast, the raised bed treatments, which employed a lower seeding density (4 kg ha</w:t>
      </w:r>
      <w:r w:rsidR="00FB19B9"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recorded lower gross yields. This underscores the significant influence of planting density on yield outcomes (</w:t>
      </w:r>
      <w:proofErr w:type="spellStart"/>
      <w:r w:rsidRPr="00E06694">
        <w:rPr>
          <w:rFonts w:ascii="Times New Roman" w:eastAsia="Times New Roman" w:hAnsi="Times New Roman" w:cs="Times New Roman"/>
          <w:sz w:val="24"/>
          <w:szCs w:val="24"/>
        </w:rPr>
        <w:t>Pooniya</w:t>
      </w:r>
      <w:proofErr w:type="spellEnd"/>
      <w:r w:rsidRPr="00E06694">
        <w:rPr>
          <w:rFonts w:ascii="Times New Roman" w:eastAsia="Times New Roman" w:hAnsi="Times New Roman" w:cs="Times New Roman"/>
          <w:sz w:val="24"/>
          <w:szCs w:val="24"/>
        </w:rPr>
        <w:t xml:space="preserve"> et al., 2015), particularly in traditional cultivation systems. However, higher yields under these conditions do not necessarily reflect greater crop efficiency or improved root quality.</w:t>
      </w:r>
    </w:p>
    <w:p w14:paraId="28AE3085" w14:textId="68DC4B95" w:rsidR="00FB19B9" w:rsidRPr="00E06694" w:rsidRDefault="00B42611" w:rsidP="00741359">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In terms of top-quality root yield, the Altiplano variety grown in raised beds recorded the highest average yield of first-grade roots at both sites (Koari Alto: 17.28 ± 2.94 t ha</w:t>
      </w:r>
      <w:r w:rsidR="00FB19B9"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xml:space="preserve">; Koari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25.47 ± 2.04 t ha</w:t>
      </w:r>
      <w:r w:rsidR="00FB19B9"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outperforming all other treatments. Conversely, the control treatment produced the lowest average yield of first-grade roots at both locations (Koari Alto: 6.78 ± 0.78 t ha</w:t>
      </w:r>
      <w:r w:rsidR="00FB19B9"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xml:space="preserve">; Koari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5.87 ± 0.72 t ha</w:t>
      </w:r>
      <w:r w:rsidR="00FB19B9" w:rsidRPr="00E06694">
        <w:rPr>
          <w:rFonts w:ascii="Times New Roman" w:eastAsia="Gungsuh" w:hAnsi="Times New Roman" w:cs="Times New Roman"/>
          <w:sz w:val="24"/>
          <w:szCs w:val="24"/>
          <w:vertAlign w:val="superscript"/>
        </w:rPr>
        <w:t>-1</w:t>
      </w:r>
      <w:r w:rsidRPr="00E06694">
        <w:rPr>
          <w:rFonts w:ascii="Times New Roman" w:eastAsia="Times New Roman" w:hAnsi="Times New Roman" w:cs="Times New Roman"/>
          <w:sz w:val="24"/>
          <w:szCs w:val="24"/>
        </w:rPr>
        <w:t>) (Table 5).</w:t>
      </w:r>
      <w:r w:rsidR="00025508"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This variation in first-grade root yield can be attributed to the superior performance of the Altiplano variety across environments (G × E interaction) and, more notably, to the raised bed cultivation system. Raised beds enhanced soil drainage, thereby reducing waterlogging and minimizing the incidence of root rot (Harrison et al., 1985). In addition, improved aeration favored uniform root development (Nath et al., 2019), while the physical structure of the raised beds likely contributed to maintaining more stable soil temperatures (Thind &amp; Mahal, 2021), supporting continuous root growth and reducing heat-induced stress.</w:t>
      </w:r>
    </w:p>
    <w:p w14:paraId="372BD0BF" w14:textId="72CF84BA" w:rsidR="00465EF1" w:rsidRPr="00E06694" w:rsidRDefault="00B42611" w:rsidP="00741359">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Moreover, a greater incidence of deformed and cracked roots was observed in treatments without raised beds, likely due to soil compaction, inadequate drainage, and fluctuations in moisture and temperature (Ventura, 2021)</w:t>
      </w:r>
      <w:r w:rsidR="009A1239" w:rsidRPr="00E06694">
        <w:rPr>
          <w:rFonts w:ascii="Times New Roman" w:eastAsia="Times New Roman" w:hAnsi="Times New Roman" w:cs="Times New Roman"/>
          <w:sz w:val="24"/>
          <w:szCs w:val="24"/>
        </w:rPr>
        <w:t xml:space="preserve"> - </w:t>
      </w:r>
      <w:r w:rsidRPr="00E06694">
        <w:rPr>
          <w:rFonts w:ascii="Times New Roman" w:eastAsia="Times New Roman" w:hAnsi="Times New Roman" w:cs="Times New Roman"/>
          <w:sz w:val="24"/>
          <w:szCs w:val="24"/>
        </w:rPr>
        <w:t>factors that were effectively mitigated by raised bed cultivation.</w:t>
      </w:r>
      <w:r w:rsidR="00FB19B9"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Overall, raised beds created optimal soil conditions that supported the expression of varietal potential, enabling a greater proportion of top-quality root production compared to traditional cultivation systems.</w:t>
      </w:r>
    </w:p>
    <w:p w14:paraId="7C5D58DE" w14:textId="77777777" w:rsidR="00465EF1" w:rsidRPr="00E06694" w:rsidRDefault="00465EF1" w:rsidP="00741359">
      <w:pPr>
        <w:spacing w:after="0" w:line="240" w:lineRule="auto"/>
        <w:ind w:left="0" w:firstLine="567"/>
        <w:rPr>
          <w:rFonts w:ascii="Times New Roman" w:eastAsia="Times New Roman" w:hAnsi="Times New Roman" w:cs="Times New Roman"/>
          <w:sz w:val="24"/>
          <w:szCs w:val="24"/>
        </w:rPr>
      </w:pPr>
    </w:p>
    <w:p w14:paraId="43FD283A" w14:textId="77777777" w:rsidR="00F90484" w:rsidRPr="00E06694" w:rsidRDefault="0093250E" w:rsidP="00D52B1A">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Second-class root yield and third-class root yield</w:t>
      </w:r>
    </w:p>
    <w:p w14:paraId="18C084C1" w14:textId="110305FA" w:rsidR="00B56B8E" w:rsidRPr="00E06694" w:rsidRDefault="00B56B8E" w:rsidP="00D52B1A">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lastRenderedPageBreak/>
        <w:t>The ANOVA results revealed significant differences (p ≤ 0.05) in the interaction between location, variety, and cropping system for both second- and third-season root yields. These findings indicate that the combined influence of these three factors had a significant effect on these yield components. The highest second-season root yields were recorded by the Altiplano variety grown in raised beds (Koari Alto: 11.13 ± 2.04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Koari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13.59 ± 0.81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and by the control treatment (Koari Alto: 10.75 ± 0.78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Koari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13.82 ± 0.73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both of which outperformed the other treatments at both locations (Table 6).</w:t>
      </w:r>
    </w:p>
    <w:p w14:paraId="4C10C88E" w14:textId="77777777" w:rsidR="008515C2" w:rsidRPr="00E06694" w:rsidRDefault="008515C2" w:rsidP="008515C2">
      <w:pPr>
        <w:spacing w:after="0" w:line="240" w:lineRule="auto"/>
        <w:ind w:left="0" w:firstLine="567"/>
        <w:rPr>
          <w:rFonts w:ascii="Times New Roman" w:eastAsia="Times New Roman" w:hAnsi="Times New Roman" w:cs="Times New Roman"/>
          <w:sz w:val="24"/>
          <w:szCs w:val="24"/>
        </w:rPr>
      </w:pPr>
    </w:p>
    <w:p w14:paraId="3AEAC947" w14:textId="77777777" w:rsidR="008515C2" w:rsidRPr="00E06694" w:rsidRDefault="008515C2" w:rsidP="008515C2">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b/>
          <w:sz w:val="24"/>
          <w:szCs w:val="24"/>
        </w:rPr>
        <w:t xml:space="preserve">Table 6. </w:t>
      </w:r>
      <w:r w:rsidRPr="00E06694">
        <w:rPr>
          <w:rFonts w:ascii="Times New Roman" w:eastAsia="Times New Roman" w:hAnsi="Times New Roman" w:cs="Times New Roman"/>
          <w:sz w:val="24"/>
          <w:szCs w:val="24"/>
        </w:rPr>
        <w:t>Averages for second- and third-rate root yield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by location.</w:t>
      </w:r>
    </w:p>
    <w:tbl>
      <w:tblPr>
        <w:tblStyle w:val="Style15"/>
        <w:tblW w:w="9420" w:type="dxa"/>
        <w:tblInd w:w="0" w:type="dxa"/>
        <w:tblLayout w:type="fixed"/>
        <w:tblLook w:val="04A0" w:firstRow="1" w:lastRow="0" w:firstColumn="1" w:lastColumn="0" w:noHBand="0" w:noVBand="1"/>
      </w:tblPr>
      <w:tblGrid>
        <w:gridCol w:w="3686"/>
        <w:gridCol w:w="1433"/>
        <w:gridCol w:w="1434"/>
        <w:gridCol w:w="1433"/>
        <w:gridCol w:w="1434"/>
      </w:tblGrid>
      <w:tr w:rsidR="008515C2" w:rsidRPr="00E06694" w14:paraId="3FEBED19" w14:textId="77777777" w:rsidTr="00E0690C">
        <w:trPr>
          <w:trHeight w:val="300"/>
        </w:trPr>
        <w:tc>
          <w:tcPr>
            <w:tcW w:w="3686" w:type="dxa"/>
            <w:vMerge w:val="restart"/>
            <w:tcBorders>
              <w:top w:val="single" w:sz="4" w:space="0" w:color="000000"/>
            </w:tcBorders>
            <w:vAlign w:val="center"/>
          </w:tcPr>
          <w:p w14:paraId="5C386C87" w14:textId="77777777" w:rsidR="008515C2" w:rsidRPr="00E06694" w:rsidRDefault="008515C2"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Treatments</w:t>
            </w:r>
          </w:p>
        </w:tc>
        <w:tc>
          <w:tcPr>
            <w:tcW w:w="2867" w:type="dxa"/>
            <w:gridSpan w:val="2"/>
            <w:tcBorders>
              <w:top w:val="single" w:sz="4" w:space="0" w:color="000000"/>
              <w:bottom w:val="single" w:sz="4" w:space="0" w:color="000000"/>
            </w:tcBorders>
            <w:vAlign w:val="center"/>
          </w:tcPr>
          <w:p w14:paraId="7BA858AC" w14:textId="77777777" w:rsidR="008515C2" w:rsidRPr="00E06694" w:rsidRDefault="008515C2"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Koari Alto</w:t>
            </w:r>
          </w:p>
        </w:tc>
        <w:tc>
          <w:tcPr>
            <w:tcW w:w="2867" w:type="dxa"/>
            <w:gridSpan w:val="2"/>
            <w:tcBorders>
              <w:top w:val="single" w:sz="4" w:space="0" w:color="000000"/>
              <w:bottom w:val="single" w:sz="4" w:space="0" w:color="000000"/>
            </w:tcBorders>
            <w:vAlign w:val="center"/>
          </w:tcPr>
          <w:p w14:paraId="045EB254" w14:textId="77777777" w:rsidR="008515C2" w:rsidRPr="00E06694" w:rsidRDefault="008515C2"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Koari Lagunillas</w:t>
            </w:r>
          </w:p>
        </w:tc>
      </w:tr>
      <w:tr w:rsidR="008515C2" w:rsidRPr="00E06694" w14:paraId="0F9D2DD8" w14:textId="77777777" w:rsidTr="00E0690C">
        <w:trPr>
          <w:trHeight w:val="489"/>
        </w:trPr>
        <w:tc>
          <w:tcPr>
            <w:tcW w:w="3686" w:type="dxa"/>
            <w:vMerge/>
            <w:tcBorders>
              <w:top w:val="single" w:sz="4" w:space="0" w:color="000000"/>
            </w:tcBorders>
            <w:vAlign w:val="center"/>
          </w:tcPr>
          <w:p w14:paraId="58F3B4D8" w14:textId="77777777" w:rsidR="008515C2" w:rsidRPr="00E06694" w:rsidRDefault="008515C2" w:rsidP="00E0690C">
            <w:pPr>
              <w:widowControl w:val="0"/>
              <w:spacing w:after="0" w:line="240" w:lineRule="auto"/>
              <w:ind w:left="0"/>
              <w:jc w:val="left"/>
              <w:rPr>
                <w:rFonts w:ascii="Times New Roman" w:eastAsia="Times New Roman" w:hAnsi="Times New Roman" w:cs="Times New Roman"/>
                <w:b/>
                <w:color w:val="000000"/>
                <w:sz w:val="20"/>
                <w:szCs w:val="20"/>
              </w:rPr>
            </w:pPr>
          </w:p>
        </w:tc>
        <w:tc>
          <w:tcPr>
            <w:tcW w:w="1433" w:type="dxa"/>
            <w:tcBorders>
              <w:top w:val="single" w:sz="4" w:space="0" w:color="000000"/>
              <w:bottom w:val="single" w:sz="4" w:space="0" w:color="000000"/>
            </w:tcBorders>
            <w:vAlign w:val="center"/>
          </w:tcPr>
          <w:p w14:paraId="186D975E" w14:textId="77777777" w:rsidR="008515C2" w:rsidRPr="00E06694" w:rsidRDefault="008515C2"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Second root yield</w:t>
            </w:r>
          </w:p>
        </w:tc>
        <w:tc>
          <w:tcPr>
            <w:tcW w:w="1434" w:type="dxa"/>
            <w:tcBorders>
              <w:top w:val="single" w:sz="4" w:space="0" w:color="000000"/>
              <w:bottom w:val="single" w:sz="4" w:space="0" w:color="000000"/>
            </w:tcBorders>
            <w:vAlign w:val="center"/>
          </w:tcPr>
          <w:p w14:paraId="3F549CE8" w14:textId="77777777" w:rsidR="008515C2" w:rsidRPr="00E06694" w:rsidRDefault="008515C2"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Third-rate root yield</w:t>
            </w:r>
          </w:p>
        </w:tc>
        <w:tc>
          <w:tcPr>
            <w:tcW w:w="1433" w:type="dxa"/>
            <w:tcBorders>
              <w:top w:val="single" w:sz="4" w:space="0" w:color="000000"/>
              <w:bottom w:val="single" w:sz="4" w:space="0" w:color="000000"/>
            </w:tcBorders>
            <w:vAlign w:val="center"/>
          </w:tcPr>
          <w:p w14:paraId="2C144D1E" w14:textId="77777777" w:rsidR="008515C2" w:rsidRPr="00E06694" w:rsidRDefault="008515C2"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Second root yield</w:t>
            </w:r>
          </w:p>
        </w:tc>
        <w:tc>
          <w:tcPr>
            <w:tcW w:w="1434" w:type="dxa"/>
            <w:tcBorders>
              <w:top w:val="single" w:sz="4" w:space="0" w:color="000000"/>
              <w:bottom w:val="single" w:sz="4" w:space="0" w:color="000000"/>
            </w:tcBorders>
            <w:vAlign w:val="center"/>
          </w:tcPr>
          <w:p w14:paraId="21DF53C3" w14:textId="77777777" w:rsidR="008515C2" w:rsidRPr="00E06694" w:rsidRDefault="008515C2"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Third-rate root yield</w:t>
            </w:r>
          </w:p>
        </w:tc>
      </w:tr>
      <w:tr w:rsidR="008515C2" w:rsidRPr="00E06694" w14:paraId="19A271D6" w14:textId="77777777" w:rsidTr="00E0690C">
        <w:trPr>
          <w:trHeight w:val="300"/>
        </w:trPr>
        <w:tc>
          <w:tcPr>
            <w:tcW w:w="3686" w:type="dxa"/>
            <w:tcBorders>
              <w:top w:val="single" w:sz="4" w:space="0" w:color="000000"/>
            </w:tcBorders>
            <w:vAlign w:val="bottom"/>
          </w:tcPr>
          <w:p w14:paraId="1BF46E52"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High plateau with raised bed</w:t>
            </w:r>
          </w:p>
        </w:tc>
        <w:tc>
          <w:tcPr>
            <w:tcW w:w="1433" w:type="dxa"/>
            <w:tcBorders>
              <w:top w:val="single" w:sz="4" w:space="0" w:color="000000"/>
            </w:tcBorders>
            <w:vAlign w:val="center"/>
          </w:tcPr>
          <w:p w14:paraId="0B38F1C5"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11.13 </w:t>
            </w:r>
            <w:r w:rsidRPr="00E06694">
              <w:rPr>
                <w:rFonts w:ascii="Times New Roman" w:eastAsia="Times New Roman" w:hAnsi="Times New Roman" w:cs="Times New Roman"/>
                <w:sz w:val="20"/>
                <w:szCs w:val="20"/>
              </w:rPr>
              <w:t>± 2.04</w:t>
            </w:r>
            <w:r w:rsidRPr="00E06694">
              <w:rPr>
                <w:rFonts w:ascii="Times New Roman" w:eastAsia="Calibri" w:hAnsi="Times New Roman" w:cs="Times New Roman"/>
                <w:sz w:val="24"/>
                <w:szCs w:val="24"/>
                <w:vertAlign w:val="superscript"/>
              </w:rPr>
              <w:t>a</w:t>
            </w:r>
          </w:p>
        </w:tc>
        <w:tc>
          <w:tcPr>
            <w:tcW w:w="1434" w:type="dxa"/>
            <w:tcBorders>
              <w:top w:val="single" w:sz="4" w:space="0" w:color="000000"/>
            </w:tcBorders>
            <w:vAlign w:val="center"/>
          </w:tcPr>
          <w:p w14:paraId="229FCBF7"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1.16 </w:t>
            </w:r>
            <w:r w:rsidRPr="00E06694">
              <w:rPr>
                <w:rFonts w:ascii="Times New Roman" w:eastAsia="Times New Roman" w:hAnsi="Times New Roman" w:cs="Times New Roman"/>
                <w:sz w:val="20"/>
                <w:szCs w:val="20"/>
              </w:rPr>
              <w:t>± 0.35</w:t>
            </w:r>
            <w:r w:rsidRPr="00E06694">
              <w:rPr>
                <w:rFonts w:ascii="Times New Roman" w:eastAsia="Calibri" w:hAnsi="Times New Roman" w:cs="Times New Roman"/>
                <w:sz w:val="24"/>
                <w:szCs w:val="24"/>
                <w:vertAlign w:val="superscript"/>
              </w:rPr>
              <w:t>c</w:t>
            </w:r>
          </w:p>
        </w:tc>
        <w:tc>
          <w:tcPr>
            <w:tcW w:w="1433" w:type="dxa"/>
            <w:tcBorders>
              <w:top w:val="single" w:sz="4" w:space="0" w:color="000000"/>
            </w:tcBorders>
            <w:vAlign w:val="center"/>
          </w:tcPr>
          <w:p w14:paraId="67607B73"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13.5</w:t>
            </w:r>
            <w:r w:rsidRPr="00E06694">
              <w:rPr>
                <w:rFonts w:ascii="Times New Roman" w:eastAsia="Times New Roman" w:hAnsi="Times New Roman" w:cs="Times New Roman"/>
                <w:sz w:val="20"/>
                <w:szCs w:val="20"/>
              </w:rPr>
              <w:t>9</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0.81</w:t>
            </w:r>
            <w:r w:rsidRPr="00E06694">
              <w:rPr>
                <w:rFonts w:ascii="Times New Roman" w:eastAsia="Calibri" w:hAnsi="Times New Roman" w:cs="Times New Roman"/>
                <w:sz w:val="24"/>
                <w:szCs w:val="24"/>
                <w:vertAlign w:val="superscript"/>
              </w:rPr>
              <w:t>a</w:t>
            </w:r>
          </w:p>
        </w:tc>
        <w:tc>
          <w:tcPr>
            <w:tcW w:w="1434" w:type="dxa"/>
            <w:tcBorders>
              <w:top w:val="single" w:sz="4" w:space="0" w:color="000000"/>
            </w:tcBorders>
            <w:vAlign w:val="center"/>
          </w:tcPr>
          <w:p w14:paraId="7B6CD7DF"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0.61 </w:t>
            </w:r>
            <w:r w:rsidRPr="00E06694">
              <w:rPr>
                <w:rFonts w:ascii="Times New Roman" w:eastAsia="Times New Roman" w:hAnsi="Times New Roman" w:cs="Times New Roman"/>
                <w:sz w:val="20"/>
                <w:szCs w:val="20"/>
              </w:rPr>
              <w:t>± 0.31</w:t>
            </w:r>
            <w:r w:rsidRPr="00E06694">
              <w:rPr>
                <w:rFonts w:ascii="Times New Roman" w:eastAsia="Calibri" w:hAnsi="Times New Roman" w:cs="Times New Roman"/>
                <w:sz w:val="24"/>
                <w:szCs w:val="24"/>
                <w:vertAlign w:val="superscript"/>
              </w:rPr>
              <w:t>c</w:t>
            </w:r>
          </w:p>
        </w:tc>
      </w:tr>
      <w:tr w:rsidR="008515C2" w:rsidRPr="00E06694" w14:paraId="38F53659" w14:textId="77777777" w:rsidTr="00E0690C">
        <w:trPr>
          <w:trHeight w:val="300"/>
        </w:trPr>
        <w:tc>
          <w:tcPr>
            <w:tcW w:w="3686" w:type="dxa"/>
            <w:vAlign w:val="bottom"/>
          </w:tcPr>
          <w:p w14:paraId="07F5E0E8"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Altiplano without raised bed</w:t>
            </w:r>
          </w:p>
        </w:tc>
        <w:tc>
          <w:tcPr>
            <w:tcW w:w="1433" w:type="dxa"/>
            <w:vAlign w:val="center"/>
          </w:tcPr>
          <w:p w14:paraId="7EC1E6AA"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8.32 </w:t>
            </w:r>
            <w:r w:rsidRPr="00E06694">
              <w:rPr>
                <w:rFonts w:ascii="Times New Roman" w:eastAsia="Times New Roman" w:hAnsi="Times New Roman" w:cs="Times New Roman"/>
                <w:sz w:val="20"/>
                <w:szCs w:val="20"/>
              </w:rPr>
              <w:t>± 0.76</w:t>
            </w:r>
            <w:r w:rsidRPr="00E06694">
              <w:rPr>
                <w:rFonts w:ascii="Times New Roman" w:eastAsia="Calibri" w:hAnsi="Times New Roman" w:cs="Times New Roman"/>
                <w:sz w:val="24"/>
                <w:szCs w:val="24"/>
                <w:vertAlign w:val="superscript"/>
              </w:rPr>
              <w:t>bc</w:t>
            </w:r>
          </w:p>
        </w:tc>
        <w:tc>
          <w:tcPr>
            <w:tcW w:w="1434" w:type="dxa"/>
            <w:vAlign w:val="center"/>
          </w:tcPr>
          <w:p w14:paraId="6FBB0569"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9.37 </w:t>
            </w:r>
            <w:r w:rsidRPr="00E06694">
              <w:rPr>
                <w:rFonts w:ascii="Times New Roman" w:eastAsia="Times New Roman" w:hAnsi="Times New Roman" w:cs="Times New Roman"/>
                <w:sz w:val="20"/>
                <w:szCs w:val="20"/>
              </w:rPr>
              <w:t>± 0.40</w:t>
            </w:r>
            <w:r w:rsidRPr="00E06694">
              <w:rPr>
                <w:rFonts w:ascii="Times New Roman" w:eastAsia="Calibri" w:hAnsi="Times New Roman" w:cs="Times New Roman"/>
                <w:sz w:val="24"/>
                <w:szCs w:val="24"/>
                <w:vertAlign w:val="superscript"/>
              </w:rPr>
              <w:t>a</w:t>
            </w:r>
          </w:p>
        </w:tc>
        <w:tc>
          <w:tcPr>
            <w:tcW w:w="1433" w:type="dxa"/>
            <w:vAlign w:val="center"/>
          </w:tcPr>
          <w:p w14:paraId="74CB7E82"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13.36 </w:t>
            </w:r>
            <w:r w:rsidRPr="00E06694">
              <w:rPr>
                <w:rFonts w:ascii="Times New Roman" w:eastAsia="Times New Roman" w:hAnsi="Times New Roman" w:cs="Times New Roman"/>
                <w:sz w:val="20"/>
                <w:szCs w:val="20"/>
              </w:rPr>
              <w:t>± 0.75</w:t>
            </w:r>
            <w:r w:rsidRPr="00E06694">
              <w:rPr>
                <w:rFonts w:ascii="Times New Roman" w:eastAsia="Calibri" w:hAnsi="Times New Roman" w:cs="Times New Roman"/>
                <w:sz w:val="24"/>
                <w:szCs w:val="24"/>
                <w:vertAlign w:val="superscript"/>
              </w:rPr>
              <w:t>a</w:t>
            </w:r>
          </w:p>
        </w:tc>
        <w:tc>
          <w:tcPr>
            <w:tcW w:w="1434" w:type="dxa"/>
            <w:vAlign w:val="center"/>
          </w:tcPr>
          <w:p w14:paraId="3DC13AB0"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11.90 </w:t>
            </w:r>
            <w:r w:rsidRPr="00E06694">
              <w:rPr>
                <w:rFonts w:ascii="Times New Roman" w:eastAsia="Times New Roman" w:hAnsi="Times New Roman" w:cs="Times New Roman"/>
                <w:sz w:val="20"/>
                <w:szCs w:val="20"/>
              </w:rPr>
              <w:t>± 1.12</w:t>
            </w:r>
            <w:r w:rsidRPr="00E06694">
              <w:rPr>
                <w:rFonts w:ascii="Times New Roman" w:eastAsia="Calibri" w:hAnsi="Times New Roman" w:cs="Times New Roman"/>
                <w:sz w:val="24"/>
                <w:szCs w:val="24"/>
                <w:vertAlign w:val="superscript"/>
              </w:rPr>
              <w:t>a</w:t>
            </w:r>
          </w:p>
        </w:tc>
      </w:tr>
      <w:tr w:rsidR="008515C2" w:rsidRPr="00E06694" w14:paraId="7A8D7280" w14:textId="77777777" w:rsidTr="00E0690C">
        <w:trPr>
          <w:trHeight w:val="300"/>
        </w:trPr>
        <w:tc>
          <w:tcPr>
            <w:tcW w:w="3686" w:type="dxa"/>
            <w:vAlign w:val="bottom"/>
          </w:tcPr>
          <w:p w14:paraId="3232C7F4"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 raised bed</w:t>
            </w:r>
          </w:p>
        </w:tc>
        <w:tc>
          <w:tcPr>
            <w:tcW w:w="1433" w:type="dxa"/>
            <w:vAlign w:val="center"/>
          </w:tcPr>
          <w:p w14:paraId="612DAA63" w14:textId="77777777" w:rsidR="008515C2" w:rsidRPr="00E06694" w:rsidRDefault="008515C2" w:rsidP="00E0690C">
            <w:pPr>
              <w:spacing w:after="0" w:line="240" w:lineRule="auto"/>
              <w:ind w:left="0"/>
              <w:jc w:val="center"/>
              <w:rPr>
                <w:rFonts w:ascii="Times New Roman" w:eastAsia="Times New Roman" w:hAnsi="Times New Roman" w:cs="Times New Roman"/>
                <w:sz w:val="20"/>
                <w:szCs w:val="20"/>
              </w:rPr>
            </w:pPr>
            <w:r w:rsidRPr="00E06694">
              <w:rPr>
                <w:rFonts w:ascii="Times New Roman" w:eastAsia="Times New Roman" w:hAnsi="Times New Roman" w:cs="Times New Roman"/>
                <w:color w:val="000000"/>
                <w:sz w:val="20"/>
                <w:szCs w:val="20"/>
              </w:rPr>
              <w:t xml:space="preserve">6.30 </w:t>
            </w:r>
            <w:r w:rsidRPr="00E06694">
              <w:rPr>
                <w:rFonts w:ascii="Times New Roman" w:eastAsia="Times New Roman" w:hAnsi="Times New Roman" w:cs="Times New Roman"/>
                <w:sz w:val="20"/>
                <w:szCs w:val="20"/>
              </w:rPr>
              <w:t>± 1.46</w:t>
            </w:r>
            <w:r w:rsidRPr="00E06694">
              <w:rPr>
                <w:rFonts w:ascii="Times New Roman" w:eastAsia="Calibri" w:hAnsi="Times New Roman" w:cs="Times New Roman"/>
                <w:sz w:val="24"/>
                <w:szCs w:val="24"/>
                <w:vertAlign w:val="superscript"/>
              </w:rPr>
              <w:t>cd</w:t>
            </w:r>
          </w:p>
        </w:tc>
        <w:tc>
          <w:tcPr>
            <w:tcW w:w="1434" w:type="dxa"/>
            <w:vAlign w:val="center"/>
          </w:tcPr>
          <w:p w14:paraId="2FEE947F"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1.46 </w:t>
            </w:r>
            <w:r w:rsidRPr="00E06694">
              <w:rPr>
                <w:rFonts w:ascii="Times New Roman" w:eastAsia="Times New Roman" w:hAnsi="Times New Roman" w:cs="Times New Roman"/>
                <w:sz w:val="20"/>
                <w:szCs w:val="20"/>
              </w:rPr>
              <w:t>± 0.09</w:t>
            </w:r>
            <w:r w:rsidRPr="00E06694">
              <w:rPr>
                <w:rFonts w:ascii="Times New Roman" w:eastAsia="Calibri" w:hAnsi="Times New Roman" w:cs="Times New Roman"/>
                <w:sz w:val="24"/>
                <w:szCs w:val="24"/>
                <w:vertAlign w:val="superscript"/>
              </w:rPr>
              <w:t>c</w:t>
            </w:r>
          </w:p>
        </w:tc>
        <w:tc>
          <w:tcPr>
            <w:tcW w:w="1433" w:type="dxa"/>
            <w:vAlign w:val="center"/>
          </w:tcPr>
          <w:p w14:paraId="6EC3A1A1"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6.04 </w:t>
            </w:r>
            <w:r w:rsidRPr="00E06694">
              <w:rPr>
                <w:rFonts w:ascii="Times New Roman" w:eastAsia="Times New Roman" w:hAnsi="Times New Roman" w:cs="Times New Roman"/>
                <w:sz w:val="20"/>
                <w:szCs w:val="20"/>
              </w:rPr>
              <w:t>± 0.52</w:t>
            </w:r>
            <w:r w:rsidRPr="00E06694">
              <w:rPr>
                <w:rFonts w:ascii="Times New Roman" w:eastAsia="Calibri" w:hAnsi="Times New Roman" w:cs="Times New Roman"/>
                <w:sz w:val="24"/>
                <w:szCs w:val="24"/>
                <w:vertAlign w:val="superscript"/>
              </w:rPr>
              <w:t>bc</w:t>
            </w:r>
          </w:p>
        </w:tc>
        <w:tc>
          <w:tcPr>
            <w:tcW w:w="1434" w:type="dxa"/>
            <w:vAlign w:val="center"/>
          </w:tcPr>
          <w:p w14:paraId="621C80FE"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1.50 </w:t>
            </w:r>
            <w:r w:rsidRPr="00E06694">
              <w:rPr>
                <w:rFonts w:ascii="Times New Roman" w:eastAsia="Times New Roman" w:hAnsi="Times New Roman" w:cs="Times New Roman"/>
                <w:sz w:val="20"/>
                <w:szCs w:val="20"/>
              </w:rPr>
              <w:t>± 0.26</w:t>
            </w:r>
            <w:r w:rsidRPr="00E06694">
              <w:rPr>
                <w:rFonts w:ascii="Times New Roman" w:eastAsia="Calibri" w:hAnsi="Times New Roman" w:cs="Times New Roman"/>
                <w:sz w:val="24"/>
                <w:szCs w:val="24"/>
                <w:vertAlign w:val="superscript"/>
              </w:rPr>
              <w:t>c</w:t>
            </w:r>
          </w:p>
        </w:tc>
      </w:tr>
      <w:tr w:rsidR="008515C2" w:rsidRPr="00E06694" w14:paraId="09D068C5" w14:textId="77777777" w:rsidTr="00E0690C">
        <w:trPr>
          <w:trHeight w:val="300"/>
        </w:trPr>
        <w:tc>
          <w:tcPr>
            <w:tcW w:w="3686" w:type="dxa"/>
            <w:vAlign w:val="bottom"/>
          </w:tcPr>
          <w:p w14:paraId="1F6E9DBA"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without raised bed</w:t>
            </w:r>
          </w:p>
        </w:tc>
        <w:tc>
          <w:tcPr>
            <w:tcW w:w="1433" w:type="dxa"/>
            <w:vAlign w:val="center"/>
          </w:tcPr>
          <w:p w14:paraId="71A59A8B"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5.6</w:t>
            </w:r>
            <w:r w:rsidRPr="00E06694">
              <w:rPr>
                <w:rFonts w:ascii="Times New Roman" w:eastAsia="Times New Roman" w:hAnsi="Times New Roman" w:cs="Times New Roman"/>
                <w:sz w:val="20"/>
                <w:szCs w:val="20"/>
              </w:rPr>
              <w:t>3</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0.62</w:t>
            </w:r>
            <w:r w:rsidRPr="00E06694">
              <w:rPr>
                <w:rFonts w:ascii="Times New Roman" w:eastAsia="Calibri" w:hAnsi="Times New Roman" w:cs="Times New Roman"/>
                <w:sz w:val="24"/>
                <w:szCs w:val="24"/>
                <w:vertAlign w:val="superscript"/>
              </w:rPr>
              <w:t>d</w:t>
            </w:r>
          </w:p>
        </w:tc>
        <w:tc>
          <w:tcPr>
            <w:tcW w:w="1434" w:type="dxa"/>
            <w:vAlign w:val="center"/>
          </w:tcPr>
          <w:p w14:paraId="7926CC9D"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6.28 </w:t>
            </w:r>
            <w:r w:rsidRPr="00E06694">
              <w:rPr>
                <w:rFonts w:ascii="Times New Roman" w:eastAsia="Times New Roman" w:hAnsi="Times New Roman" w:cs="Times New Roman"/>
                <w:sz w:val="20"/>
                <w:szCs w:val="20"/>
              </w:rPr>
              <w:t>± 0.91</w:t>
            </w:r>
            <w:r w:rsidRPr="00E06694">
              <w:rPr>
                <w:rFonts w:ascii="Times New Roman" w:eastAsia="Calibri" w:hAnsi="Times New Roman" w:cs="Times New Roman"/>
                <w:sz w:val="24"/>
                <w:szCs w:val="24"/>
                <w:vertAlign w:val="superscript"/>
              </w:rPr>
              <w:t>b</w:t>
            </w:r>
          </w:p>
        </w:tc>
        <w:tc>
          <w:tcPr>
            <w:tcW w:w="1433" w:type="dxa"/>
            <w:vAlign w:val="center"/>
          </w:tcPr>
          <w:p w14:paraId="6084A8A1"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7.06 </w:t>
            </w:r>
            <w:r w:rsidRPr="00E06694">
              <w:rPr>
                <w:rFonts w:ascii="Times New Roman" w:eastAsia="Times New Roman" w:hAnsi="Times New Roman" w:cs="Times New Roman"/>
                <w:sz w:val="20"/>
                <w:szCs w:val="20"/>
              </w:rPr>
              <w:t>± 0.75</w:t>
            </w:r>
            <w:r w:rsidRPr="00E06694">
              <w:rPr>
                <w:rFonts w:ascii="Times New Roman" w:eastAsia="Calibri" w:hAnsi="Times New Roman" w:cs="Times New Roman"/>
                <w:sz w:val="24"/>
                <w:szCs w:val="24"/>
                <w:vertAlign w:val="superscript"/>
              </w:rPr>
              <w:t>b</w:t>
            </w:r>
          </w:p>
        </w:tc>
        <w:tc>
          <w:tcPr>
            <w:tcW w:w="1434" w:type="dxa"/>
            <w:vAlign w:val="center"/>
          </w:tcPr>
          <w:p w14:paraId="5C462398"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6.46 </w:t>
            </w:r>
            <w:r w:rsidRPr="00E06694">
              <w:rPr>
                <w:rFonts w:ascii="Times New Roman" w:eastAsia="Times New Roman" w:hAnsi="Times New Roman" w:cs="Times New Roman"/>
                <w:sz w:val="20"/>
                <w:szCs w:val="20"/>
              </w:rPr>
              <w:t>± 0.79</w:t>
            </w:r>
            <w:r w:rsidRPr="00E06694">
              <w:rPr>
                <w:rFonts w:ascii="Times New Roman" w:eastAsia="Calibri" w:hAnsi="Times New Roman" w:cs="Times New Roman"/>
                <w:sz w:val="24"/>
                <w:szCs w:val="24"/>
                <w:vertAlign w:val="superscript"/>
              </w:rPr>
              <w:t>b</w:t>
            </w:r>
          </w:p>
        </w:tc>
      </w:tr>
      <w:tr w:rsidR="008515C2" w:rsidRPr="00E06694" w14:paraId="539BF3E5" w14:textId="77777777" w:rsidTr="00E0690C">
        <w:trPr>
          <w:trHeight w:val="300"/>
        </w:trPr>
        <w:tc>
          <w:tcPr>
            <w:tcW w:w="3686" w:type="dxa"/>
            <w:vAlign w:val="bottom"/>
          </w:tcPr>
          <w:p w14:paraId="1B500C49"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r w:rsidRPr="00E06694">
              <w:rPr>
                <w:rFonts w:ascii="Times New Roman" w:eastAsia="Times New Roman" w:hAnsi="Times New Roman" w:cs="Times New Roman"/>
                <w:sz w:val="20"/>
                <w:szCs w:val="20"/>
              </w:rPr>
              <w:t>Laraga Vida</w:t>
            </w:r>
            <w:r w:rsidRPr="00E06694">
              <w:rPr>
                <w:rFonts w:ascii="Times New Roman" w:eastAsia="Times New Roman" w:hAnsi="Times New Roman" w:cs="Times New Roman"/>
                <w:color w:val="000000"/>
                <w:sz w:val="20"/>
                <w:szCs w:val="20"/>
              </w:rPr>
              <w:t xml:space="preserve"> with raised bed</w:t>
            </w:r>
          </w:p>
        </w:tc>
        <w:tc>
          <w:tcPr>
            <w:tcW w:w="1433" w:type="dxa"/>
            <w:vAlign w:val="center"/>
          </w:tcPr>
          <w:p w14:paraId="68F40144"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5.04 </w:t>
            </w:r>
            <w:r w:rsidRPr="00E06694">
              <w:rPr>
                <w:rFonts w:ascii="Times New Roman" w:eastAsia="Times New Roman" w:hAnsi="Times New Roman" w:cs="Times New Roman"/>
                <w:sz w:val="20"/>
                <w:szCs w:val="20"/>
              </w:rPr>
              <w:t>± 0.85</w:t>
            </w:r>
            <w:r w:rsidRPr="00E06694">
              <w:rPr>
                <w:rFonts w:ascii="Times New Roman" w:eastAsia="Calibri" w:hAnsi="Times New Roman" w:cs="Times New Roman"/>
                <w:sz w:val="24"/>
                <w:szCs w:val="24"/>
                <w:vertAlign w:val="superscript"/>
              </w:rPr>
              <w:t>d</w:t>
            </w:r>
          </w:p>
        </w:tc>
        <w:tc>
          <w:tcPr>
            <w:tcW w:w="1434" w:type="dxa"/>
            <w:vAlign w:val="center"/>
          </w:tcPr>
          <w:p w14:paraId="73E1891B"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1.5</w:t>
            </w:r>
            <w:r w:rsidRPr="00E06694">
              <w:rPr>
                <w:rFonts w:ascii="Times New Roman" w:eastAsia="Times New Roman" w:hAnsi="Times New Roman" w:cs="Times New Roman"/>
                <w:sz w:val="20"/>
                <w:szCs w:val="20"/>
              </w:rPr>
              <w:t>9</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0.23</w:t>
            </w:r>
            <w:r w:rsidRPr="00E06694">
              <w:rPr>
                <w:rFonts w:ascii="Times New Roman" w:eastAsia="Calibri" w:hAnsi="Times New Roman" w:cs="Times New Roman"/>
                <w:sz w:val="24"/>
                <w:szCs w:val="24"/>
                <w:vertAlign w:val="superscript"/>
              </w:rPr>
              <w:t>c</w:t>
            </w:r>
          </w:p>
        </w:tc>
        <w:tc>
          <w:tcPr>
            <w:tcW w:w="1433" w:type="dxa"/>
            <w:vAlign w:val="center"/>
          </w:tcPr>
          <w:p w14:paraId="2E55D73B"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6.</w:t>
            </w:r>
            <w:r w:rsidRPr="00E06694">
              <w:rPr>
                <w:rFonts w:ascii="Times New Roman" w:eastAsia="Times New Roman" w:hAnsi="Times New Roman" w:cs="Times New Roman"/>
                <w:sz w:val="20"/>
                <w:szCs w:val="20"/>
              </w:rPr>
              <w:t>09</w:t>
            </w:r>
            <w:r w:rsidRPr="00E06694">
              <w:rPr>
                <w:rFonts w:ascii="Times New Roman" w:eastAsia="Times New Roman" w:hAnsi="Times New Roman" w:cs="Times New Roman"/>
                <w:color w:val="000000"/>
                <w:sz w:val="20"/>
                <w:szCs w:val="20"/>
              </w:rPr>
              <w:t xml:space="preserve"> </w:t>
            </w:r>
            <w:r w:rsidRPr="00E06694">
              <w:rPr>
                <w:rFonts w:ascii="Times New Roman" w:eastAsia="Times New Roman" w:hAnsi="Times New Roman" w:cs="Times New Roman"/>
                <w:sz w:val="20"/>
                <w:szCs w:val="20"/>
              </w:rPr>
              <w:t>± 0.74</w:t>
            </w:r>
            <w:r w:rsidRPr="00E06694">
              <w:rPr>
                <w:rFonts w:ascii="Times New Roman" w:eastAsia="Calibri" w:hAnsi="Times New Roman" w:cs="Times New Roman"/>
                <w:sz w:val="24"/>
                <w:szCs w:val="24"/>
                <w:vertAlign w:val="superscript"/>
              </w:rPr>
              <w:t>bc</w:t>
            </w:r>
          </w:p>
        </w:tc>
        <w:tc>
          <w:tcPr>
            <w:tcW w:w="1434" w:type="dxa"/>
            <w:vAlign w:val="center"/>
          </w:tcPr>
          <w:p w14:paraId="2E2EC72E"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1.25 </w:t>
            </w:r>
            <w:r w:rsidRPr="00E06694">
              <w:rPr>
                <w:rFonts w:ascii="Times New Roman" w:eastAsia="Times New Roman" w:hAnsi="Times New Roman" w:cs="Times New Roman"/>
                <w:sz w:val="20"/>
                <w:szCs w:val="20"/>
              </w:rPr>
              <w:t>± 0.17</w:t>
            </w:r>
            <w:r w:rsidRPr="00E06694">
              <w:rPr>
                <w:rFonts w:ascii="Times New Roman" w:eastAsia="Calibri" w:hAnsi="Times New Roman" w:cs="Times New Roman"/>
                <w:sz w:val="24"/>
                <w:szCs w:val="24"/>
                <w:vertAlign w:val="superscript"/>
              </w:rPr>
              <w:t>c</w:t>
            </w:r>
          </w:p>
        </w:tc>
      </w:tr>
      <w:tr w:rsidR="008515C2" w:rsidRPr="00E06694" w14:paraId="7DA69A60" w14:textId="77777777" w:rsidTr="00E0690C">
        <w:trPr>
          <w:trHeight w:val="300"/>
        </w:trPr>
        <w:tc>
          <w:tcPr>
            <w:tcW w:w="3686" w:type="dxa"/>
            <w:vAlign w:val="bottom"/>
          </w:tcPr>
          <w:p w14:paraId="20E87D46"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r w:rsidRPr="00E06694">
              <w:rPr>
                <w:rFonts w:ascii="Times New Roman" w:eastAsia="Times New Roman" w:hAnsi="Times New Roman" w:cs="Times New Roman"/>
                <w:sz w:val="20"/>
                <w:szCs w:val="20"/>
              </w:rPr>
              <w:t>Laraga Vida</w:t>
            </w:r>
            <w:r w:rsidRPr="00E06694">
              <w:rPr>
                <w:rFonts w:ascii="Times New Roman" w:eastAsia="Times New Roman" w:hAnsi="Times New Roman" w:cs="Times New Roman"/>
                <w:color w:val="000000"/>
                <w:sz w:val="20"/>
                <w:szCs w:val="20"/>
              </w:rPr>
              <w:t xml:space="preserve"> without raised bed</w:t>
            </w:r>
          </w:p>
        </w:tc>
        <w:tc>
          <w:tcPr>
            <w:tcW w:w="1433" w:type="dxa"/>
            <w:vAlign w:val="center"/>
          </w:tcPr>
          <w:p w14:paraId="121A9B2F"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5.72 </w:t>
            </w:r>
            <w:r w:rsidRPr="00E06694">
              <w:rPr>
                <w:rFonts w:ascii="Times New Roman" w:eastAsia="Times New Roman" w:hAnsi="Times New Roman" w:cs="Times New Roman"/>
                <w:sz w:val="20"/>
                <w:szCs w:val="20"/>
              </w:rPr>
              <w:t>± 0.59</w:t>
            </w:r>
            <w:r w:rsidRPr="00E06694">
              <w:rPr>
                <w:rFonts w:ascii="Times New Roman" w:eastAsia="Calibri" w:hAnsi="Times New Roman" w:cs="Times New Roman"/>
                <w:sz w:val="24"/>
                <w:szCs w:val="24"/>
                <w:vertAlign w:val="superscript"/>
              </w:rPr>
              <w:t>d</w:t>
            </w:r>
          </w:p>
        </w:tc>
        <w:tc>
          <w:tcPr>
            <w:tcW w:w="1434" w:type="dxa"/>
            <w:vAlign w:val="center"/>
          </w:tcPr>
          <w:p w14:paraId="21C008C2"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5</w:t>
            </w:r>
            <w:r w:rsidRPr="00E06694">
              <w:rPr>
                <w:rFonts w:ascii="Times New Roman" w:eastAsia="Times New Roman" w:hAnsi="Times New Roman" w:cs="Times New Roman"/>
                <w:color w:val="000000"/>
                <w:sz w:val="20"/>
                <w:szCs w:val="20"/>
              </w:rPr>
              <w:t xml:space="preserve">.74 </w:t>
            </w:r>
            <w:r w:rsidRPr="00E06694">
              <w:rPr>
                <w:rFonts w:ascii="Times New Roman" w:eastAsia="Times New Roman" w:hAnsi="Times New Roman" w:cs="Times New Roman"/>
                <w:sz w:val="20"/>
                <w:szCs w:val="20"/>
              </w:rPr>
              <w:t>± 0.45</w:t>
            </w:r>
            <w:r w:rsidRPr="00E06694">
              <w:rPr>
                <w:rFonts w:ascii="Times New Roman" w:eastAsia="Calibri" w:hAnsi="Times New Roman" w:cs="Times New Roman"/>
                <w:sz w:val="24"/>
                <w:szCs w:val="24"/>
                <w:vertAlign w:val="superscript"/>
              </w:rPr>
              <w:t>b</w:t>
            </w:r>
          </w:p>
        </w:tc>
        <w:tc>
          <w:tcPr>
            <w:tcW w:w="1433" w:type="dxa"/>
            <w:vAlign w:val="center"/>
          </w:tcPr>
          <w:p w14:paraId="5F1CB42B"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5.18 </w:t>
            </w:r>
            <w:r w:rsidRPr="00E06694">
              <w:rPr>
                <w:rFonts w:ascii="Times New Roman" w:eastAsia="Times New Roman" w:hAnsi="Times New Roman" w:cs="Times New Roman"/>
                <w:sz w:val="20"/>
                <w:szCs w:val="20"/>
              </w:rPr>
              <w:t>± 0.41</w:t>
            </w:r>
            <w:r w:rsidRPr="00E06694">
              <w:rPr>
                <w:rFonts w:ascii="Times New Roman" w:eastAsia="Calibri" w:hAnsi="Times New Roman" w:cs="Times New Roman"/>
                <w:sz w:val="24"/>
                <w:szCs w:val="24"/>
                <w:vertAlign w:val="superscript"/>
              </w:rPr>
              <w:t>c</w:t>
            </w:r>
          </w:p>
        </w:tc>
        <w:tc>
          <w:tcPr>
            <w:tcW w:w="1434" w:type="dxa"/>
            <w:vAlign w:val="center"/>
          </w:tcPr>
          <w:p w14:paraId="6B38D093"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50.05 </w:t>
            </w:r>
            <w:r w:rsidRPr="00E06694">
              <w:rPr>
                <w:rFonts w:ascii="Times New Roman" w:eastAsia="Times New Roman" w:hAnsi="Times New Roman" w:cs="Times New Roman"/>
                <w:sz w:val="20"/>
                <w:szCs w:val="20"/>
              </w:rPr>
              <w:t>± 1.25</w:t>
            </w:r>
            <w:r w:rsidRPr="00E06694">
              <w:rPr>
                <w:rFonts w:ascii="Times New Roman" w:eastAsia="Calibri" w:hAnsi="Times New Roman" w:cs="Times New Roman"/>
                <w:sz w:val="24"/>
                <w:szCs w:val="24"/>
                <w:vertAlign w:val="superscript"/>
              </w:rPr>
              <w:t>b</w:t>
            </w:r>
          </w:p>
        </w:tc>
      </w:tr>
      <w:tr w:rsidR="008515C2" w:rsidRPr="00E06694" w14:paraId="67B9B3AB" w14:textId="77777777" w:rsidTr="00E0690C">
        <w:trPr>
          <w:trHeight w:val="300"/>
        </w:trPr>
        <w:tc>
          <w:tcPr>
            <w:tcW w:w="3686" w:type="dxa"/>
            <w:vAlign w:val="bottom"/>
          </w:tcPr>
          <w:p w14:paraId="7B7D4231"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Control (</w:t>
            </w:r>
            <w:proofErr w:type="spellStart"/>
            <w:r w:rsidRPr="00E06694">
              <w:rPr>
                <w:rFonts w:ascii="Times New Roman" w:eastAsia="Times New Roman" w:hAnsi="Times New Roman" w:cs="Times New Roman"/>
                <w:sz w:val="20"/>
                <w:szCs w:val="20"/>
              </w:rPr>
              <w:t>t</w:t>
            </w:r>
            <w:r w:rsidRPr="00E06694">
              <w:rPr>
                <w:rFonts w:ascii="Times New Roman" w:eastAsia="Times New Roman" w:hAnsi="Times New Roman" w:cs="Times New Roman"/>
                <w:color w:val="000000"/>
                <w:sz w:val="20"/>
                <w:szCs w:val="20"/>
              </w:rPr>
              <w:t>origin</w:t>
            </w:r>
            <w:proofErr w:type="spellEnd"/>
            <w:r w:rsidRPr="00E06694">
              <w:rPr>
                <w:rFonts w:ascii="Times New Roman" w:eastAsia="Times New Roman" w:hAnsi="Times New Roman" w:cs="Times New Roman"/>
                <w:color w:val="000000"/>
                <w:sz w:val="20"/>
                <w:szCs w:val="20"/>
              </w:rPr>
              <w:t>)</w:t>
            </w:r>
          </w:p>
        </w:tc>
        <w:tc>
          <w:tcPr>
            <w:tcW w:w="1433" w:type="dxa"/>
            <w:vAlign w:val="center"/>
          </w:tcPr>
          <w:p w14:paraId="0F61529B"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4"/>
                <w:szCs w:val="24"/>
              </w:rPr>
            </w:pPr>
            <w:r w:rsidRPr="00E06694">
              <w:rPr>
                <w:rFonts w:ascii="Times New Roman" w:eastAsia="Times New Roman" w:hAnsi="Times New Roman" w:cs="Times New Roman"/>
                <w:color w:val="000000"/>
                <w:sz w:val="20"/>
                <w:szCs w:val="20"/>
              </w:rPr>
              <w:t xml:space="preserve">10.75 </w:t>
            </w:r>
            <w:r w:rsidRPr="00E06694">
              <w:rPr>
                <w:rFonts w:ascii="Times New Roman" w:eastAsia="Times New Roman" w:hAnsi="Times New Roman" w:cs="Times New Roman"/>
                <w:sz w:val="20"/>
                <w:szCs w:val="20"/>
              </w:rPr>
              <w:t>± 0.78</w:t>
            </w:r>
            <w:r w:rsidRPr="00E06694">
              <w:rPr>
                <w:rFonts w:ascii="Times New Roman" w:eastAsia="Calibri" w:hAnsi="Times New Roman" w:cs="Times New Roman"/>
                <w:sz w:val="24"/>
                <w:szCs w:val="24"/>
                <w:vertAlign w:val="superscript"/>
              </w:rPr>
              <w:t>ab</w:t>
            </w:r>
          </w:p>
        </w:tc>
        <w:tc>
          <w:tcPr>
            <w:tcW w:w="1434" w:type="dxa"/>
            <w:vAlign w:val="center"/>
          </w:tcPr>
          <w:p w14:paraId="23AAC114"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10.38 </w:t>
            </w:r>
            <w:r w:rsidRPr="00E06694">
              <w:rPr>
                <w:rFonts w:ascii="Times New Roman" w:eastAsia="Times New Roman" w:hAnsi="Times New Roman" w:cs="Times New Roman"/>
                <w:sz w:val="20"/>
                <w:szCs w:val="20"/>
              </w:rPr>
              <w:t>± 1.03</w:t>
            </w:r>
            <w:r w:rsidRPr="00E06694">
              <w:rPr>
                <w:rFonts w:ascii="Times New Roman" w:eastAsia="Calibri" w:hAnsi="Times New Roman" w:cs="Times New Roman"/>
                <w:sz w:val="24"/>
                <w:szCs w:val="24"/>
                <w:vertAlign w:val="superscript"/>
              </w:rPr>
              <w:t>a</w:t>
            </w:r>
          </w:p>
        </w:tc>
        <w:tc>
          <w:tcPr>
            <w:tcW w:w="1433" w:type="dxa"/>
            <w:vAlign w:val="center"/>
          </w:tcPr>
          <w:p w14:paraId="68BDDBA7"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13.82 </w:t>
            </w:r>
            <w:r w:rsidRPr="00E06694">
              <w:rPr>
                <w:rFonts w:ascii="Times New Roman" w:eastAsia="Times New Roman" w:hAnsi="Times New Roman" w:cs="Times New Roman"/>
                <w:sz w:val="20"/>
                <w:szCs w:val="20"/>
              </w:rPr>
              <w:t>± 0.73</w:t>
            </w:r>
            <w:r w:rsidRPr="00E06694">
              <w:rPr>
                <w:rFonts w:ascii="Times New Roman" w:eastAsia="Calibri" w:hAnsi="Times New Roman" w:cs="Times New Roman"/>
                <w:sz w:val="24"/>
                <w:szCs w:val="24"/>
                <w:vertAlign w:val="superscript"/>
              </w:rPr>
              <w:t>a</w:t>
            </w:r>
          </w:p>
        </w:tc>
        <w:tc>
          <w:tcPr>
            <w:tcW w:w="1434" w:type="dxa"/>
            <w:vAlign w:val="center"/>
          </w:tcPr>
          <w:p w14:paraId="56A08922"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13.96 </w:t>
            </w:r>
            <w:r w:rsidRPr="00E06694">
              <w:rPr>
                <w:rFonts w:ascii="Times New Roman" w:eastAsia="Times New Roman" w:hAnsi="Times New Roman" w:cs="Times New Roman"/>
                <w:sz w:val="20"/>
                <w:szCs w:val="20"/>
              </w:rPr>
              <w:t>± 1.49</w:t>
            </w:r>
            <w:r w:rsidRPr="00E06694">
              <w:rPr>
                <w:rFonts w:ascii="Times New Roman" w:eastAsia="Calibri" w:hAnsi="Times New Roman" w:cs="Times New Roman"/>
                <w:sz w:val="24"/>
                <w:szCs w:val="24"/>
                <w:vertAlign w:val="superscript"/>
              </w:rPr>
              <w:t>a</w:t>
            </w:r>
          </w:p>
        </w:tc>
      </w:tr>
      <w:tr w:rsidR="008515C2" w:rsidRPr="00E06694" w14:paraId="517374C5" w14:textId="77777777" w:rsidTr="00E0690C">
        <w:trPr>
          <w:trHeight w:val="300"/>
        </w:trPr>
        <w:tc>
          <w:tcPr>
            <w:tcW w:w="3686" w:type="dxa"/>
            <w:vAlign w:val="bottom"/>
          </w:tcPr>
          <w:p w14:paraId="5A2E8A8D"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R</w:t>
            </w:r>
            <w:r w:rsidRPr="00E06694">
              <w:rPr>
                <w:rFonts w:ascii="Times New Roman" w:eastAsia="Times New Roman" w:hAnsi="Times New Roman" w:cs="Times New Roman"/>
                <w:color w:val="000000"/>
                <w:sz w:val="20"/>
                <w:szCs w:val="20"/>
                <w:vertAlign w:val="superscript"/>
              </w:rPr>
              <w:t>2</w:t>
            </w:r>
          </w:p>
        </w:tc>
        <w:tc>
          <w:tcPr>
            <w:tcW w:w="1433" w:type="dxa"/>
            <w:vAlign w:val="center"/>
          </w:tcPr>
          <w:p w14:paraId="46861E7C"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0.85</w:t>
            </w:r>
          </w:p>
        </w:tc>
        <w:tc>
          <w:tcPr>
            <w:tcW w:w="1434" w:type="dxa"/>
            <w:vAlign w:val="center"/>
          </w:tcPr>
          <w:p w14:paraId="224C5E07"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0.98</w:t>
            </w:r>
          </w:p>
        </w:tc>
        <w:tc>
          <w:tcPr>
            <w:tcW w:w="1433" w:type="dxa"/>
            <w:vAlign w:val="center"/>
          </w:tcPr>
          <w:p w14:paraId="66C00A5B"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0.97</w:t>
            </w:r>
          </w:p>
        </w:tc>
        <w:tc>
          <w:tcPr>
            <w:tcW w:w="1434" w:type="dxa"/>
            <w:vAlign w:val="center"/>
          </w:tcPr>
          <w:p w14:paraId="705A40C3"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0.97</w:t>
            </w:r>
          </w:p>
        </w:tc>
      </w:tr>
      <w:tr w:rsidR="008515C2" w:rsidRPr="00E06694" w14:paraId="45C9A39D" w14:textId="77777777" w:rsidTr="00E0690C">
        <w:trPr>
          <w:trHeight w:val="300"/>
        </w:trPr>
        <w:tc>
          <w:tcPr>
            <w:tcW w:w="3686" w:type="dxa"/>
            <w:tcBorders>
              <w:bottom w:val="single" w:sz="4" w:space="0" w:color="000000"/>
            </w:tcBorders>
            <w:vAlign w:val="bottom"/>
          </w:tcPr>
          <w:p w14:paraId="55539430" w14:textId="77777777" w:rsidR="008515C2" w:rsidRPr="00E06694" w:rsidRDefault="008515C2"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CV (%)</w:t>
            </w:r>
          </w:p>
        </w:tc>
        <w:tc>
          <w:tcPr>
            <w:tcW w:w="1433" w:type="dxa"/>
            <w:tcBorders>
              <w:bottom w:val="single" w:sz="4" w:space="0" w:color="000000"/>
            </w:tcBorders>
            <w:vAlign w:val="center"/>
          </w:tcPr>
          <w:p w14:paraId="0268E17D"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5.32</w:t>
            </w:r>
          </w:p>
        </w:tc>
        <w:tc>
          <w:tcPr>
            <w:tcW w:w="1434" w:type="dxa"/>
            <w:tcBorders>
              <w:bottom w:val="single" w:sz="4" w:space="0" w:color="000000"/>
            </w:tcBorders>
            <w:vAlign w:val="center"/>
          </w:tcPr>
          <w:p w14:paraId="0C9F290B"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5.26</w:t>
            </w:r>
          </w:p>
        </w:tc>
        <w:tc>
          <w:tcPr>
            <w:tcW w:w="1433" w:type="dxa"/>
            <w:tcBorders>
              <w:bottom w:val="single" w:sz="4" w:space="0" w:color="000000"/>
            </w:tcBorders>
            <w:vAlign w:val="center"/>
          </w:tcPr>
          <w:p w14:paraId="50F63A0D"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2.85</w:t>
            </w:r>
          </w:p>
        </w:tc>
        <w:tc>
          <w:tcPr>
            <w:tcW w:w="1434" w:type="dxa"/>
            <w:tcBorders>
              <w:bottom w:val="single" w:sz="4" w:space="0" w:color="000000"/>
            </w:tcBorders>
            <w:vAlign w:val="center"/>
          </w:tcPr>
          <w:p w14:paraId="111DF842" w14:textId="77777777" w:rsidR="008515C2" w:rsidRPr="00E06694" w:rsidRDefault="008515C2"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7.63</w:t>
            </w:r>
          </w:p>
        </w:tc>
      </w:tr>
    </w:tbl>
    <w:p w14:paraId="63969B3E" w14:textId="77777777" w:rsidR="008515C2" w:rsidRPr="00E06694" w:rsidRDefault="008515C2" w:rsidP="008515C2">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w:t>
      </w:r>
      <w:r w:rsidRPr="00E06694">
        <w:rPr>
          <w:rFonts w:ascii="Times New Roman" w:eastAsia="Calibri" w:hAnsi="Times New Roman" w:cs="Times New Roman"/>
          <w:sz w:val="24"/>
          <w:szCs w:val="24"/>
          <w:vertAlign w:val="superscript"/>
        </w:rPr>
        <w:t xml:space="preserve">2 </w:t>
      </w:r>
      <w:r w:rsidRPr="00E06694">
        <w:rPr>
          <w:rFonts w:ascii="Times New Roman" w:eastAsia="Gungsuh" w:hAnsi="Times New Roman" w:cs="Times New Roman"/>
          <w:sz w:val="24"/>
          <w:szCs w:val="24"/>
        </w:rPr>
        <w:t>= coefficient of determination; CV: coefficient of variation. Means in the same column followed by the same letters do not show significant differences according to Tukey's test (p ≤ 0.05).</w:t>
      </w:r>
    </w:p>
    <w:p w14:paraId="23CE983B" w14:textId="77777777" w:rsidR="008515C2" w:rsidRPr="00E06694" w:rsidRDefault="008515C2" w:rsidP="008515C2">
      <w:pPr>
        <w:spacing w:after="0" w:line="240" w:lineRule="auto"/>
        <w:ind w:left="0" w:firstLine="567"/>
        <w:rPr>
          <w:rFonts w:ascii="Times New Roman" w:eastAsia="Times New Roman" w:hAnsi="Times New Roman" w:cs="Times New Roman"/>
          <w:sz w:val="24"/>
          <w:szCs w:val="24"/>
        </w:rPr>
      </w:pPr>
    </w:p>
    <w:p w14:paraId="5D868796" w14:textId="77777777" w:rsidR="00B23922" w:rsidRPr="00E06694" w:rsidRDefault="00B23922" w:rsidP="00D52B1A">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second-season root yield results for the Altiplano variety grown in raised beds confirm not only the influence of environmental conditions on the performance of this genotype (G × E interaction) (Prajapati et al., 2015), but also emphasize the critical role of the raised bed cultivation system. This system enhanced soil drainage, improved aeration, and contributed to more stable soil temperatures - factors that collectively supported more uniform and consistent production of second-season roots (Harrison et al., 1985; Nath et al., 2019; Thind &amp; Mahal, 2021).</w:t>
      </w:r>
    </w:p>
    <w:p w14:paraId="0D7EF1EA" w14:textId="5A3CF751" w:rsidR="00B23922" w:rsidRPr="00E06694" w:rsidRDefault="00B23922" w:rsidP="00D52B1A">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relatively high second-season root yield observed in the control treatment across both locations can likely be attributed to the higher seeding rate used in the traditional planting system of the region (8 kg ha</w:t>
      </w:r>
      <w:r w:rsidR="008E6230"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which increased plant density and overall biomass accumulation.</w:t>
      </w:r>
    </w:p>
    <w:p w14:paraId="3351E666" w14:textId="77777777" w:rsidR="00B23922" w:rsidRPr="00E06694" w:rsidRDefault="00B23922" w:rsidP="00D52B1A">
      <w:pPr>
        <w:spacing w:after="0" w:line="240" w:lineRule="auto"/>
        <w:ind w:left="0" w:firstLine="567"/>
        <w:rPr>
          <w:rFonts w:ascii="Times New Roman" w:eastAsia="Times New Roman" w:hAnsi="Times New Roman" w:cs="Times New Roman"/>
          <w:sz w:val="24"/>
          <w:szCs w:val="24"/>
        </w:rPr>
      </w:pPr>
    </w:p>
    <w:p w14:paraId="27B8D6E5" w14:textId="77777777" w:rsidR="00F90484" w:rsidRPr="00E06694" w:rsidRDefault="0093250E" w:rsidP="00D159E3">
      <w:pPr>
        <w:spacing w:after="0" w:line="240" w:lineRule="auto"/>
        <w:ind w:left="0"/>
        <w:rPr>
          <w:rFonts w:ascii="Times New Roman" w:eastAsia="Times New Roman" w:hAnsi="Times New Roman" w:cs="Times New Roman"/>
          <w:i/>
          <w:sz w:val="24"/>
          <w:szCs w:val="24"/>
        </w:rPr>
      </w:pPr>
      <w:r w:rsidRPr="00E06694">
        <w:rPr>
          <w:rFonts w:ascii="Times New Roman" w:eastAsia="Times New Roman" w:hAnsi="Times New Roman" w:cs="Times New Roman"/>
          <w:i/>
          <w:sz w:val="24"/>
          <w:szCs w:val="24"/>
        </w:rPr>
        <w:t>Discarded roots and commercial root yield</w:t>
      </w:r>
    </w:p>
    <w:p w14:paraId="280E6BE4" w14:textId="6EF40803" w:rsidR="00F959B0" w:rsidRPr="00E06694" w:rsidRDefault="00F959B0" w:rsidP="00D52B1A">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 ANOVA results revealed significant differences (p ≤ 0.05) in the interaction between location, variety, and cultivation system for both the quantity of discarded roots and the yield of commercial-grade roots. These findings indicate that the combined effect of these three factors significantly influenced these response variables.</w:t>
      </w:r>
      <w:r w:rsidR="00681E64"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The highest amounts of discarded roots were recorded in the control treatment at both locations (Koari Alto: 15.95 ± 0.83 t ha</w:t>
      </w:r>
      <w:r w:rsidR="00681E64"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Koari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14.44 ± 1.00 t ha</w:t>
      </w:r>
      <w:r w:rsidR="00681E64"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In contrast, the Altiplano variety grown in raised beds recorded the lowest quantities of discarded roots at both sites (Koari Alto: 0.44 ± 0.27 t ha</w:t>
      </w:r>
      <w:r w:rsidR="00681E64"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Koari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0.30 ± 0.15 t ha</w:t>
      </w:r>
      <w:r w:rsidR="00681E64"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(Table 7).</w:t>
      </w:r>
    </w:p>
    <w:p w14:paraId="6CE6BBCC" w14:textId="31DD3BC2" w:rsidR="00F90484" w:rsidRPr="00E06694" w:rsidRDefault="00F90484" w:rsidP="00B062B2">
      <w:pPr>
        <w:spacing w:after="0" w:line="240" w:lineRule="auto"/>
        <w:ind w:left="0" w:firstLine="567"/>
        <w:rPr>
          <w:rFonts w:ascii="Times New Roman" w:eastAsia="Times New Roman" w:hAnsi="Times New Roman" w:cs="Times New Roman"/>
          <w:sz w:val="24"/>
          <w:szCs w:val="24"/>
        </w:rPr>
      </w:pPr>
    </w:p>
    <w:p w14:paraId="5DA88E15" w14:textId="77777777" w:rsidR="00B011B7" w:rsidRPr="00E06694" w:rsidRDefault="00B011B7" w:rsidP="00B011B7">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b/>
          <w:sz w:val="24"/>
          <w:szCs w:val="20"/>
        </w:rPr>
        <w:t xml:space="preserve">Table 7. </w:t>
      </w:r>
      <w:r w:rsidRPr="00E06694">
        <w:rPr>
          <w:rFonts w:ascii="Times New Roman" w:eastAsia="Times New Roman" w:hAnsi="Times New Roman" w:cs="Times New Roman"/>
          <w:sz w:val="24"/>
          <w:szCs w:val="20"/>
        </w:rPr>
        <w:t>Average for discarded roots (t ha</w:t>
      </w:r>
      <w:r w:rsidRPr="00E06694">
        <w:rPr>
          <w:rFonts w:ascii="Times New Roman" w:eastAsia="Times New Roman" w:hAnsi="Times New Roman" w:cs="Times New Roman"/>
          <w:sz w:val="24"/>
          <w:szCs w:val="20"/>
          <w:vertAlign w:val="superscript"/>
        </w:rPr>
        <w:t>-1</w:t>
      </w:r>
      <w:r w:rsidRPr="00E06694">
        <w:rPr>
          <w:rFonts w:ascii="Times New Roman" w:eastAsia="Times New Roman" w:hAnsi="Times New Roman" w:cs="Times New Roman"/>
          <w:sz w:val="24"/>
          <w:szCs w:val="20"/>
        </w:rPr>
        <w:t>) and commercial root yield (t ha</w:t>
      </w:r>
      <w:r w:rsidRPr="00E06694">
        <w:rPr>
          <w:rFonts w:ascii="Times New Roman" w:eastAsia="Times New Roman" w:hAnsi="Times New Roman" w:cs="Times New Roman"/>
          <w:sz w:val="24"/>
          <w:szCs w:val="20"/>
          <w:vertAlign w:val="superscript"/>
        </w:rPr>
        <w:t>-1</w:t>
      </w:r>
      <w:r w:rsidRPr="00E06694">
        <w:rPr>
          <w:rFonts w:ascii="Times New Roman" w:eastAsia="Times New Roman" w:hAnsi="Times New Roman" w:cs="Times New Roman"/>
          <w:sz w:val="24"/>
          <w:szCs w:val="20"/>
        </w:rPr>
        <w:t>) by location.</w:t>
      </w:r>
    </w:p>
    <w:tbl>
      <w:tblPr>
        <w:tblStyle w:val="Style16"/>
        <w:tblW w:w="9465" w:type="dxa"/>
        <w:tblInd w:w="0" w:type="dxa"/>
        <w:tblLayout w:type="fixed"/>
        <w:tblLook w:val="04A0" w:firstRow="1" w:lastRow="0" w:firstColumn="1" w:lastColumn="0" w:noHBand="0" w:noVBand="1"/>
      </w:tblPr>
      <w:tblGrid>
        <w:gridCol w:w="3686"/>
        <w:gridCol w:w="1444"/>
        <w:gridCol w:w="1445"/>
        <w:gridCol w:w="1445"/>
        <w:gridCol w:w="1445"/>
      </w:tblGrid>
      <w:tr w:rsidR="00B011B7" w:rsidRPr="00E06694" w14:paraId="36F478CA" w14:textId="77777777" w:rsidTr="00E0690C">
        <w:trPr>
          <w:trHeight w:val="300"/>
        </w:trPr>
        <w:tc>
          <w:tcPr>
            <w:tcW w:w="3686" w:type="dxa"/>
            <w:vMerge w:val="restart"/>
            <w:tcBorders>
              <w:top w:val="single" w:sz="4" w:space="0" w:color="000000"/>
            </w:tcBorders>
            <w:vAlign w:val="center"/>
          </w:tcPr>
          <w:p w14:paraId="265F9C10" w14:textId="77777777" w:rsidR="00B011B7" w:rsidRPr="00E06694" w:rsidRDefault="00B011B7"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Treatments</w:t>
            </w:r>
          </w:p>
        </w:tc>
        <w:tc>
          <w:tcPr>
            <w:tcW w:w="2889" w:type="dxa"/>
            <w:gridSpan w:val="2"/>
            <w:tcBorders>
              <w:top w:val="single" w:sz="4" w:space="0" w:color="000000"/>
              <w:bottom w:val="single" w:sz="4" w:space="0" w:color="000000"/>
            </w:tcBorders>
            <w:vAlign w:val="center"/>
          </w:tcPr>
          <w:p w14:paraId="3CF2E2E3" w14:textId="77777777" w:rsidR="00B011B7" w:rsidRPr="00E06694" w:rsidRDefault="00B011B7"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Koari Alto</w:t>
            </w:r>
          </w:p>
        </w:tc>
        <w:tc>
          <w:tcPr>
            <w:tcW w:w="2890" w:type="dxa"/>
            <w:gridSpan w:val="2"/>
            <w:tcBorders>
              <w:top w:val="single" w:sz="4" w:space="0" w:color="000000"/>
              <w:bottom w:val="single" w:sz="4" w:space="0" w:color="000000"/>
            </w:tcBorders>
            <w:vAlign w:val="center"/>
          </w:tcPr>
          <w:p w14:paraId="4CF6E678" w14:textId="77777777" w:rsidR="00B011B7" w:rsidRPr="00E06694" w:rsidRDefault="00B011B7"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Koari Lagunillas</w:t>
            </w:r>
          </w:p>
        </w:tc>
      </w:tr>
      <w:tr w:rsidR="00B011B7" w:rsidRPr="00E06694" w14:paraId="3D3FDA1B" w14:textId="77777777" w:rsidTr="00E0690C">
        <w:trPr>
          <w:trHeight w:val="674"/>
        </w:trPr>
        <w:tc>
          <w:tcPr>
            <w:tcW w:w="3686" w:type="dxa"/>
            <w:vMerge/>
            <w:tcBorders>
              <w:top w:val="single" w:sz="4" w:space="0" w:color="000000"/>
            </w:tcBorders>
            <w:vAlign w:val="center"/>
          </w:tcPr>
          <w:p w14:paraId="5BCAA623" w14:textId="77777777" w:rsidR="00B011B7" w:rsidRPr="00E06694" w:rsidRDefault="00B011B7" w:rsidP="00E0690C">
            <w:pPr>
              <w:widowControl w:val="0"/>
              <w:spacing w:after="0" w:line="240" w:lineRule="auto"/>
              <w:ind w:left="0"/>
              <w:jc w:val="left"/>
              <w:rPr>
                <w:rFonts w:ascii="Times New Roman" w:eastAsia="Times New Roman" w:hAnsi="Times New Roman" w:cs="Times New Roman"/>
                <w:b/>
                <w:color w:val="000000"/>
                <w:sz w:val="20"/>
                <w:szCs w:val="20"/>
              </w:rPr>
            </w:pPr>
          </w:p>
        </w:tc>
        <w:tc>
          <w:tcPr>
            <w:tcW w:w="1444" w:type="dxa"/>
            <w:tcBorders>
              <w:top w:val="single" w:sz="4" w:space="0" w:color="000000"/>
              <w:bottom w:val="single" w:sz="4" w:space="0" w:color="000000"/>
            </w:tcBorders>
            <w:vAlign w:val="center"/>
          </w:tcPr>
          <w:p w14:paraId="085474DE" w14:textId="77777777" w:rsidR="00B011B7" w:rsidRPr="00E06694" w:rsidRDefault="00B011B7"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Discarded roots</w:t>
            </w:r>
          </w:p>
        </w:tc>
        <w:tc>
          <w:tcPr>
            <w:tcW w:w="1445" w:type="dxa"/>
            <w:tcBorders>
              <w:top w:val="single" w:sz="4" w:space="0" w:color="000000"/>
              <w:bottom w:val="single" w:sz="4" w:space="0" w:color="000000"/>
            </w:tcBorders>
            <w:vAlign w:val="center"/>
          </w:tcPr>
          <w:p w14:paraId="2B142E8F" w14:textId="77777777" w:rsidR="00B011B7" w:rsidRPr="00E06694" w:rsidRDefault="00B011B7"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Commercial real estate performance</w:t>
            </w:r>
          </w:p>
        </w:tc>
        <w:tc>
          <w:tcPr>
            <w:tcW w:w="1445" w:type="dxa"/>
            <w:tcBorders>
              <w:top w:val="single" w:sz="4" w:space="0" w:color="000000"/>
              <w:bottom w:val="single" w:sz="4" w:space="0" w:color="000000"/>
            </w:tcBorders>
            <w:vAlign w:val="center"/>
          </w:tcPr>
          <w:p w14:paraId="404AE97C" w14:textId="77777777" w:rsidR="00B011B7" w:rsidRPr="00E06694" w:rsidRDefault="00B011B7"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Discard roots</w:t>
            </w:r>
          </w:p>
        </w:tc>
        <w:tc>
          <w:tcPr>
            <w:tcW w:w="1445" w:type="dxa"/>
            <w:tcBorders>
              <w:top w:val="single" w:sz="4" w:space="0" w:color="000000"/>
              <w:bottom w:val="single" w:sz="4" w:space="0" w:color="000000"/>
            </w:tcBorders>
            <w:vAlign w:val="center"/>
          </w:tcPr>
          <w:p w14:paraId="14EC031B" w14:textId="77777777" w:rsidR="00B011B7" w:rsidRPr="00E06694" w:rsidRDefault="00B011B7" w:rsidP="00E0690C">
            <w:pPr>
              <w:spacing w:after="0" w:line="240" w:lineRule="auto"/>
              <w:ind w:left="0"/>
              <w:jc w:val="center"/>
              <w:rPr>
                <w:rFonts w:ascii="Times New Roman" w:eastAsia="Times New Roman" w:hAnsi="Times New Roman" w:cs="Times New Roman"/>
                <w:b/>
                <w:color w:val="000000"/>
                <w:sz w:val="20"/>
                <w:szCs w:val="20"/>
              </w:rPr>
            </w:pPr>
            <w:r w:rsidRPr="00E06694">
              <w:rPr>
                <w:rFonts w:ascii="Times New Roman" w:eastAsia="Times New Roman" w:hAnsi="Times New Roman" w:cs="Times New Roman"/>
                <w:b/>
                <w:color w:val="000000"/>
                <w:sz w:val="20"/>
                <w:szCs w:val="20"/>
              </w:rPr>
              <w:t>Commercial real estate performance</w:t>
            </w:r>
          </w:p>
        </w:tc>
      </w:tr>
      <w:tr w:rsidR="00B011B7" w:rsidRPr="00E06694" w14:paraId="0A398D41" w14:textId="77777777" w:rsidTr="00E0690C">
        <w:trPr>
          <w:trHeight w:val="300"/>
        </w:trPr>
        <w:tc>
          <w:tcPr>
            <w:tcW w:w="3686" w:type="dxa"/>
            <w:tcBorders>
              <w:top w:val="single" w:sz="4" w:space="0" w:color="000000"/>
            </w:tcBorders>
            <w:vAlign w:val="bottom"/>
          </w:tcPr>
          <w:p w14:paraId="559F1998"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High plateau with raised bed</w:t>
            </w:r>
          </w:p>
        </w:tc>
        <w:tc>
          <w:tcPr>
            <w:tcW w:w="1444" w:type="dxa"/>
            <w:tcBorders>
              <w:top w:val="single" w:sz="4" w:space="0" w:color="000000"/>
            </w:tcBorders>
            <w:vAlign w:val="center"/>
          </w:tcPr>
          <w:p w14:paraId="53A5C99D"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0.44</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0.27</w:t>
            </w:r>
            <w:r w:rsidRPr="00E06694">
              <w:rPr>
                <w:rFonts w:ascii="Times New Roman" w:eastAsia="Calibri" w:hAnsi="Times New Roman" w:cs="Times New Roman"/>
                <w:sz w:val="24"/>
                <w:szCs w:val="24"/>
                <w:vertAlign w:val="superscript"/>
              </w:rPr>
              <w:t>d</w:t>
            </w:r>
          </w:p>
        </w:tc>
        <w:tc>
          <w:tcPr>
            <w:tcW w:w="1445" w:type="dxa"/>
            <w:tcBorders>
              <w:top w:val="single" w:sz="4" w:space="0" w:color="000000"/>
            </w:tcBorders>
            <w:vAlign w:val="center"/>
          </w:tcPr>
          <w:p w14:paraId="1A346D5F"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29.57 </w:t>
            </w:r>
            <w:r w:rsidRPr="00E06694">
              <w:rPr>
                <w:rFonts w:ascii="Times New Roman" w:eastAsia="Times New Roman" w:hAnsi="Times New Roman" w:cs="Times New Roman"/>
                <w:sz w:val="20"/>
                <w:szCs w:val="20"/>
              </w:rPr>
              <w:t>±4.72</w:t>
            </w:r>
            <w:r w:rsidRPr="00E06694">
              <w:rPr>
                <w:rFonts w:ascii="Times New Roman" w:eastAsia="Calibri" w:hAnsi="Times New Roman" w:cs="Times New Roman"/>
                <w:sz w:val="24"/>
                <w:szCs w:val="24"/>
                <w:vertAlign w:val="superscript"/>
              </w:rPr>
              <w:t>a</w:t>
            </w:r>
          </w:p>
        </w:tc>
        <w:tc>
          <w:tcPr>
            <w:tcW w:w="1445" w:type="dxa"/>
            <w:tcBorders>
              <w:top w:val="single" w:sz="4" w:space="0" w:color="000000"/>
            </w:tcBorders>
            <w:vAlign w:val="center"/>
          </w:tcPr>
          <w:p w14:paraId="6854871D"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0.30 </w:t>
            </w:r>
            <w:r w:rsidRPr="00E06694">
              <w:rPr>
                <w:rFonts w:ascii="Times New Roman" w:eastAsia="Times New Roman" w:hAnsi="Times New Roman" w:cs="Times New Roman"/>
                <w:sz w:val="20"/>
                <w:szCs w:val="20"/>
              </w:rPr>
              <w:t>± 0.15</w:t>
            </w:r>
            <w:r w:rsidRPr="00E06694">
              <w:rPr>
                <w:rFonts w:ascii="Times New Roman" w:eastAsia="Calibri" w:hAnsi="Times New Roman" w:cs="Times New Roman"/>
                <w:sz w:val="24"/>
                <w:szCs w:val="24"/>
                <w:vertAlign w:val="superscript"/>
              </w:rPr>
              <w:t>d</w:t>
            </w:r>
          </w:p>
        </w:tc>
        <w:tc>
          <w:tcPr>
            <w:tcW w:w="1445" w:type="dxa"/>
            <w:tcBorders>
              <w:top w:val="single" w:sz="4" w:space="0" w:color="000000"/>
            </w:tcBorders>
            <w:vAlign w:val="center"/>
          </w:tcPr>
          <w:p w14:paraId="0DD046D2"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39.66 </w:t>
            </w:r>
            <w:r w:rsidRPr="00E06694">
              <w:rPr>
                <w:rFonts w:ascii="Times New Roman" w:eastAsia="Times New Roman" w:hAnsi="Times New Roman" w:cs="Times New Roman"/>
                <w:sz w:val="20"/>
                <w:szCs w:val="20"/>
              </w:rPr>
              <w:t>± 2.27</w:t>
            </w:r>
            <w:r w:rsidRPr="00E06694">
              <w:rPr>
                <w:rFonts w:ascii="Times New Roman" w:eastAsia="Calibri" w:hAnsi="Times New Roman" w:cs="Times New Roman"/>
                <w:sz w:val="24"/>
                <w:szCs w:val="24"/>
                <w:vertAlign w:val="superscript"/>
              </w:rPr>
              <w:t>a</w:t>
            </w:r>
          </w:p>
        </w:tc>
      </w:tr>
      <w:tr w:rsidR="00B011B7" w:rsidRPr="00E06694" w14:paraId="4264BECE" w14:textId="77777777" w:rsidTr="00E0690C">
        <w:trPr>
          <w:trHeight w:val="300"/>
        </w:trPr>
        <w:tc>
          <w:tcPr>
            <w:tcW w:w="3686" w:type="dxa"/>
            <w:vAlign w:val="bottom"/>
          </w:tcPr>
          <w:p w14:paraId="5CECBB79"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Altiplano without raised bed</w:t>
            </w:r>
          </w:p>
        </w:tc>
        <w:tc>
          <w:tcPr>
            <w:tcW w:w="1444" w:type="dxa"/>
            <w:vAlign w:val="center"/>
          </w:tcPr>
          <w:p w14:paraId="00E0E807"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7.46 </w:t>
            </w:r>
            <w:r w:rsidRPr="00E06694">
              <w:rPr>
                <w:rFonts w:ascii="Times New Roman" w:eastAsia="Times New Roman" w:hAnsi="Times New Roman" w:cs="Times New Roman"/>
                <w:sz w:val="20"/>
                <w:szCs w:val="20"/>
              </w:rPr>
              <w:t>± 0.83</w:t>
            </w:r>
            <w:r w:rsidRPr="00E06694">
              <w:rPr>
                <w:rFonts w:ascii="Times New Roman" w:eastAsia="Calibri" w:hAnsi="Times New Roman" w:cs="Times New Roman"/>
                <w:sz w:val="24"/>
                <w:szCs w:val="24"/>
                <w:vertAlign w:val="superscript"/>
              </w:rPr>
              <w:t>b</w:t>
            </w:r>
          </w:p>
        </w:tc>
        <w:tc>
          <w:tcPr>
            <w:tcW w:w="1445" w:type="dxa"/>
            <w:vAlign w:val="center"/>
          </w:tcPr>
          <w:p w14:paraId="4F320A91"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24.63 </w:t>
            </w:r>
            <w:r w:rsidRPr="00E06694">
              <w:rPr>
                <w:rFonts w:ascii="Times New Roman" w:eastAsia="Times New Roman" w:hAnsi="Times New Roman" w:cs="Times New Roman"/>
                <w:sz w:val="20"/>
                <w:szCs w:val="20"/>
              </w:rPr>
              <w:t>± 1.11</w:t>
            </w:r>
            <w:r w:rsidRPr="00E06694">
              <w:rPr>
                <w:rFonts w:ascii="Times New Roman" w:eastAsia="Calibri" w:hAnsi="Times New Roman" w:cs="Times New Roman"/>
                <w:sz w:val="24"/>
                <w:szCs w:val="24"/>
                <w:vertAlign w:val="superscript"/>
              </w:rPr>
              <w:t>ab</w:t>
            </w:r>
          </w:p>
        </w:tc>
        <w:tc>
          <w:tcPr>
            <w:tcW w:w="1445" w:type="dxa"/>
            <w:vAlign w:val="center"/>
          </w:tcPr>
          <w:p w14:paraId="4DCC3518"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9.29 </w:t>
            </w:r>
            <w:r w:rsidRPr="00E06694">
              <w:rPr>
                <w:rFonts w:ascii="Times New Roman" w:eastAsia="Times New Roman" w:hAnsi="Times New Roman" w:cs="Times New Roman"/>
                <w:sz w:val="20"/>
                <w:szCs w:val="20"/>
              </w:rPr>
              <w:t>± 0.48</w:t>
            </w:r>
            <w:r w:rsidRPr="00E06694">
              <w:rPr>
                <w:rFonts w:ascii="Times New Roman" w:eastAsia="Calibri" w:hAnsi="Times New Roman" w:cs="Times New Roman"/>
                <w:sz w:val="24"/>
                <w:szCs w:val="24"/>
                <w:vertAlign w:val="superscript"/>
              </w:rPr>
              <w:t>b</w:t>
            </w:r>
          </w:p>
        </w:tc>
        <w:tc>
          <w:tcPr>
            <w:tcW w:w="1445" w:type="dxa"/>
            <w:vAlign w:val="center"/>
          </w:tcPr>
          <w:p w14:paraId="2E1DA58C"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31.75 </w:t>
            </w:r>
            <w:r w:rsidRPr="00E06694">
              <w:rPr>
                <w:rFonts w:ascii="Times New Roman" w:eastAsia="Times New Roman" w:hAnsi="Times New Roman" w:cs="Times New Roman"/>
                <w:sz w:val="20"/>
                <w:szCs w:val="20"/>
              </w:rPr>
              <w:t>± 1.19</w:t>
            </w:r>
            <w:r w:rsidRPr="00E06694">
              <w:rPr>
                <w:rFonts w:ascii="Times New Roman" w:eastAsia="Calibri" w:hAnsi="Times New Roman" w:cs="Times New Roman"/>
                <w:sz w:val="24"/>
                <w:szCs w:val="24"/>
                <w:vertAlign w:val="superscript"/>
              </w:rPr>
              <w:t>b</w:t>
            </w:r>
          </w:p>
        </w:tc>
      </w:tr>
      <w:tr w:rsidR="00B011B7" w:rsidRPr="00E06694" w14:paraId="26D5B885" w14:textId="77777777" w:rsidTr="00E0690C">
        <w:trPr>
          <w:trHeight w:val="300"/>
        </w:trPr>
        <w:tc>
          <w:tcPr>
            <w:tcW w:w="3686" w:type="dxa"/>
            <w:vAlign w:val="bottom"/>
          </w:tcPr>
          <w:p w14:paraId="2DF8C199"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 raised bed</w:t>
            </w:r>
          </w:p>
        </w:tc>
        <w:tc>
          <w:tcPr>
            <w:tcW w:w="1444" w:type="dxa"/>
            <w:vAlign w:val="center"/>
          </w:tcPr>
          <w:p w14:paraId="3B27DF7A"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1.40 </w:t>
            </w:r>
            <w:r w:rsidRPr="00E06694">
              <w:rPr>
                <w:rFonts w:ascii="Times New Roman" w:eastAsia="Times New Roman" w:hAnsi="Times New Roman" w:cs="Times New Roman"/>
                <w:sz w:val="20"/>
                <w:szCs w:val="20"/>
              </w:rPr>
              <w:t>± 0.61</w:t>
            </w:r>
            <w:r w:rsidRPr="00E06694">
              <w:rPr>
                <w:rFonts w:ascii="Times New Roman" w:eastAsia="Calibri" w:hAnsi="Times New Roman" w:cs="Times New Roman"/>
                <w:sz w:val="24"/>
                <w:szCs w:val="24"/>
                <w:vertAlign w:val="superscript"/>
              </w:rPr>
              <w:t>d</w:t>
            </w:r>
          </w:p>
        </w:tc>
        <w:tc>
          <w:tcPr>
            <w:tcW w:w="1445" w:type="dxa"/>
            <w:vAlign w:val="center"/>
          </w:tcPr>
          <w:p w14:paraId="03B51D72"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18.81 </w:t>
            </w:r>
            <w:r w:rsidRPr="00E06694">
              <w:rPr>
                <w:rFonts w:ascii="Times New Roman" w:eastAsia="Times New Roman" w:hAnsi="Times New Roman" w:cs="Times New Roman"/>
                <w:sz w:val="20"/>
                <w:szCs w:val="20"/>
              </w:rPr>
              <w:t>± 1.36</w:t>
            </w:r>
            <w:r w:rsidRPr="00E06694">
              <w:rPr>
                <w:rFonts w:ascii="Times New Roman" w:eastAsia="Calibri" w:hAnsi="Times New Roman" w:cs="Times New Roman"/>
                <w:sz w:val="24"/>
                <w:szCs w:val="24"/>
                <w:vertAlign w:val="superscript"/>
              </w:rPr>
              <w:t>c</w:t>
            </w:r>
          </w:p>
        </w:tc>
        <w:tc>
          <w:tcPr>
            <w:tcW w:w="1445" w:type="dxa"/>
            <w:vAlign w:val="center"/>
          </w:tcPr>
          <w:p w14:paraId="563754E3"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1.38 </w:t>
            </w:r>
            <w:r w:rsidRPr="00E06694">
              <w:rPr>
                <w:rFonts w:ascii="Times New Roman" w:eastAsia="Times New Roman" w:hAnsi="Times New Roman" w:cs="Times New Roman"/>
                <w:sz w:val="20"/>
                <w:szCs w:val="20"/>
              </w:rPr>
              <w:t>± 0.34</w:t>
            </w:r>
            <w:r w:rsidRPr="00E06694">
              <w:rPr>
                <w:rFonts w:ascii="Times New Roman" w:eastAsia="Calibri" w:hAnsi="Times New Roman" w:cs="Times New Roman"/>
                <w:sz w:val="24"/>
                <w:szCs w:val="24"/>
                <w:vertAlign w:val="superscript"/>
              </w:rPr>
              <w:t>d</w:t>
            </w:r>
          </w:p>
        </w:tc>
        <w:tc>
          <w:tcPr>
            <w:tcW w:w="1445" w:type="dxa"/>
            <w:vAlign w:val="center"/>
          </w:tcPr>
          <w:p w14:paraId="23C06454"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18.67 </w:t>
            </w:r>
            <w:r w:rsidRPr="00E06694">
              <w:rPr>
                <w:rFonts w:ascii="Times New Roman" w:eastAsia="Times New Roman" w:hAnsi="Times New Roman" w:cs="Times New Roman"/>
                <w:sz w:val="20"/>
                <w:szCs w:val="20"/>
              </w:rPr>
              <w:t>± 0.63</w:t>
            </w:r>
            <w:r w:rsidRPr="00E06694">
              <w:rPr>
                <w:rFonts w:ascii="Times New Roman" w:eastAsia="Calibri" w:hAnsi="Times New Roman" w:cs="Times New Roman"/>
                <w:sz w:val="24"/>
                <w:szCs w:val="24"/>
                <w:vertAlign w:val="superscript"/>
              </w:rPr>
              <w:t>c</w:t>
            </w:r>
          </w:p>
        </w:tc>
      </w:tr>
      <w:tr w:rsidR="00B011B7" w:rsidRPr="00E06694" w14:paraId="3A01DCEF" w14:textId="77777777" w:rsidTr="00E0690C">
        <w:trPr>
          <w:trHeight w:val="300"/>
        </w:trPr>
        <w:tc>
          <w:tcPr>
            <w:tcW w:w="3686" w:type="dxa"/>
            <w:vAlign w:val="bottom"/>
          </w:tcPr>
          <w:p w14:paraId="70147D29"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Var. Montenegro 1 without raised bed</w:t>
            </w:r>
          </w:p>
        </w:tc>
        <w:tc>
          <w:tcPr>
            <w:tcW w:w="1444" w:type="dxa"/>
            <w:vAlign w:val="center"/>
          </w:tcPr>
          <w:p w14:paraId="5D128C99"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5.84 </w:t>
            </w:r>
            <w:r w:rsidRPr="00E06694">
              <w:rPr>
                <w:rFonts w:ascii="Times New Roman" w:eastAsia="Times New Roman" w:hAnsi="Times New Roman" w:cs="Times New Roman"/>
                <w:sz w:val="20"/>
                <w:szCs w:val="20"/>
              </w:rPr>
              <w:t>± 0.57</w:t>
            </w:r>
            <w:r w:rsidRPr="00E06694">
              <w:rPr>
                <w:rFonts w:ascii="Times New Roman" w:eastAsia="Calibri" w:hAnsi="Times New Roman" w:cs="Times New Roman"/>
                <w:sz w:val="24"/>
                <w:szCs w:val="24"/>
                <w:vertAlign w:val="superscript"/>
              </w:rPr>
              <w:t>c</w:t>
            </w:r>
          </w:p>
        </w:tc>
        <w:tc>
          <w:tcPr>
            <w:tcW w:w="1445" w:type="dxa"/>
            <w:vAlign w:val="center"/>
          </w:tcPr>
          <w:p w14:paraId="2BA8A96B"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17.53 </w:t>
            </w:r>
            <w:r w:rsidRPr="00E06694">
              <w:rPr>
                <w:rFonts w:ascii="Times New Roman" w:eastAsia="Times New Roman" w:hAnsi="Times New Roman" w:cs="Times New Roman"/>
                <w:sz w:val="20"/>
                <w:szCs w:val="20"/>
              </w:rPr>
              <w:t>± 1.32</w:t>
            </w:r>
            <w:r w:rsidRPr="00E06694">
              <w:rPr>
                <w:rFonts w:ascii="Times New Roman" w:eastAsia="Calibri" w:hAnsi="Times New Roman" w:cs="Times New Roman"/>
                <w:sz w:val="24"/>
                <w:szCs w:val="24"/>
                <w:vertAlign w:val="superscript"/>
              </w:rPr>
              <w:t>c</w:t>
            </w:r>
          </w:p>
        </w:tc>
        <w:tc>
          <w:tcPr>
            <w:tcW w:w="1445" w:type="dxa"/>
            <w:vAlign w:val="center"/>
          </w:tcPr>
          <w:p w14:paraId="00782D90"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6.22 </w:t>
            </w:r>
            <w:r w:rsidRPr="00E06694">
              <w:rPr>
                <w:rFonts w:ascii="Times New Roman" w:eastAsia="Times New Roman" w:hAnsi="Times New Roman" w:cs="Times New Roman"/>
                <w:sz w:val="20"/>
                <w:szCs w:val="20"/>
              </w:rPr>
              <w:t>± 0.71</w:t>
            </w:r>
            <w:r w:rsidRPr="00E06694">
              <w:rPr>
                <w:rFonts w:ascii="Times New Roman" w:eastAsia="Calibri" w:hAnsi="Times New Roman" w:cs="Times New Roman"/>
                <w:sz w:val="24"/>
                <w:szCs w:val="24"/>
                <w:vertAlign w:val="superscript"/>
              </w:rPr>
              <w:t>c</w:t>
            </w:r>
          </w:p>
        </w:tc>
        <w:tc>
          <w:tcPr>
            <w:tcW w:w="1445" w:type="dxa"/>
            <w:vAlign w:val="center"/>
          </w:tcPr>
          <w:p w14:paraId="1D78AFED"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18.52 </w:t>
            </w:r>
            <w:r w:rsidRPr="00E06694">
              <w:rPr>
                <w:rFonts w:ascii="Times New Roman" w:eastAsia="Times New Roman" w:hAnsi="Times New Roman" w:cs="Times New Roman"/>
                <w:sz w:val="20"/>
                <w:szCs w:val="20"/>
              </w:rPr>
              <w:t>± 1.28</w:t>
            </w:r>
            <w:r w:rsidRPr="00E06694">
              <w:rPr>
                <w:rFonts w:ascii="Times New Roman" w:eastAsia="Calibri" w:hAnsi="Times New Roman" w:cs="Times New Roman"/>
                <w:sz w:val="24"/>
                <w:szCs w:val="24"/>
                <w:vertAlign w:val="superscript"/>
              </w:rPr>
              <w:t>c</w:t>
            </w:r>
          </w:p>
        </w:tc>
      </w:tr>
      <w:tr w:rsidR="00B011B7" w:rsidRPr="00E06694" w14:paraId="6B0C5C22" w14:textId="77777777" w:rsidTr="00E0690C">
        <w:trPr>
          <w:trHeight w:val="300"/>
        </w:trPr>
        <w:tc>
          <w:tcPr>
            <w:tcW w:w="3686" w:type="dxa"/>
            <w:vAlign w:val="bottom"/>
          </w:tcPr>
          <w:p w14:paraId="748586E3"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r w:rsidRPr="00E06694">
              <w:rPr>
                <w:rFonts w:ascii="Times New Roman" w:eastAsia="Times New Roman" w:hAnsi="Times New Roman" w:cs="Times New Roman"/>
                <w:sz w:val="20"/>
                <w:szCs w:val="20"/>
              </w:rPr>
              <w:t>Laraga Vida</w:t>
            </w:r>
            <w:r w:rsidRPr="00E06694">
              <w:rPr>
                <w:rFonts w:ascii="Times New Roman" w:eastAsia="Times New Roman" w:hAnsi="Times New Roman" w:cs="Times New Roman"/>
                <w:color w:val="000000"/>
                <w:sz w:val="20"/>
                <w:szCs w:val="20"/>
              </w:rPr>
              <w:t xml:space="preserve"> with raised bed</w:t>
            </w:r>
          </w:p>
        </w:tc>
        <w:tc>
          <w:tcPr>
            <w:tcW w:w="1444" w:type="dxa"/>
            <w:vAlign w:val="center"/>
          </w:tcPr>
          <w:p w14:paraId="4194B4B1"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0.55 </w:t>
            </w:r>
            <w:r w:rsidRPr="00E06694">
              <w:rPr>
                <w:rFonts w:ascii="Times New Roman" w:eastAsia="Times New Roman" w:hAnsi="Times New Roman" w:cs="Times New Roman"/>
                <w:sz w:val="20"/>
                <w:szCs w:val="20"/>
              </w:rPr>
              <w:t>± 0.34</w:t>
            </w:r>
            <w:r w:rsidRPr="00E06694">
              <w:rPr>
                <w:rFonts w:ascii="Times New Roman" w:eastAsia="Calibri" w:hAnsi="Times New Roman" w:cs="Times New Roman"/>
                <w:sz w:val="24"/>
                <w:szCs w:val="24"/>
                <w:vertAlign w:val="superscript"/>
              </w:rPr>
              <w:t>d</w:t>
            </w:r>
          </w:p>
        </w:tc>
        <w:tc>
          <w:tcPr>
            <w:tcW w:w="1445" w:type="dxa"/>
            <w:vAlign w:val="center"/>
          </w:tcPr>
          <w:p w14:paraId="00E4B875"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17.29 </w:t>
            </w:r>
            <w:r w:rsidRPr="00E06694">
              <w:rPr>
                <w:rFonts w:ascii="Times New Roman" w:eastAsia="Times New Roman" w:hAnsi="Times New Roman" w:cs="Times New Roman"/>
                <w:sz w:val="20"/>
                <w:szCs w:val="20"/>
              </w:rPr>
              <w:t>± 0.79</w:t>
            </w:r>
            <w:r w:rsidRPr="00E06694">
              <w:rPr>
                <w:rFonts w:ascii="Times New Roman" w:eastAsia="Calibri" w:hAnsi="Times New Roman" w:cs="Times New Roman"/>
                <w:sz w:val="24"/>
                <w:szCs w:val="24"/>
                <w:vertAlign w:val="superscript"/>
              </w:rPr>
              <w:t>c</w:t>
            </w:r>
          </w:p>
        </w:tc>
        <w:tc>
          <w:tcPr>
            <w:tcW w:w="1445" w:type="dxa"/>
            <w:vAlign w:val="center"/>
          </w:tcPr>
          <w:p w14:paraId="6184FEEC"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0</w:t>
            </w:r>
            <w:r w:rsidRPr="00E06694">
              <w:rPr>
                <w:rFonts w:ascii="Times New Roman" w:eastAsia="Times New Roman" w:hAnsi="Times New Roman" w:cs="Times New Roman"/>
                <w:color w:val="000000"/>
                <w:sz w:val="20"/>
                <w:szCs w:val="20"/>
              </w:rPr>
              <w:t xml:space="preserve">.96 </w:t>
            </w:r>
            <w:r w:rsidRPr="00E06694">
              <w:rPr>
                <w:rFonts w:ascii="Times New Roman" w:eastAsia="Times New Roman" w:hAnsi="Times New Roman" w:cs="Times New Roman"/>
                <w:sz w:val="20"/>
                <w:szCs w:val="20"/>
              </w:rPr>
              <w:t>± 0.34</w:t>
            </w:r>
            <w:r w:rsidRPr="00E06694">
              <w:rPr>
                <w:rFonts w:ascii="Times New Roman" w:eastAsia="Calibri" w:hAnsi="Times New Roman" w:cs="Times New Roman"/>
                <w:sz w:val="24"/>
                <w:szCs w:val="24"/>
                <w:vertAlign w:val="superscript"/>
              </w:rPr>
              <w:t>d</w:t>
            </w:r>
          </w:p>
        </w:tc>
        <w:tc>
          <w:tcPr>
            <w:tcW w:w="1445" w:type="dxa"/>
            <w:vAlign w:val="center"/>
          </w:tcPr>
          <w:p w14:paraId="46349A32"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16.62 </w:t>
            </w:r>
            <w:r w:rsidRPr="00E06694">
              <w:rPr>
                <w:rFonts w:ascii="Times New Roman" w:eastAsia="Times New Roman" w:hAnsi="Times New Roman" w:cs="Times New Roman"/>
                <w:sz w:val="20"/>
                <w:szCs w:val="20"/>
              </w:rPr>
              <w:t>± 0.43</w:t>
            </w:r>
            <w:r w:rsidRPr="00E06694">
              <w:rPr>
                <w:rFonts w:ascii="Times New Roman" w:eastAsia="Calibri" w:hAnsi="Times New Roman" w:cs="Times New Roman"/>
                <w:sz w:val="24"/>
                <w:szCs w:val="24"/>
                <w:vertAlign w:val="superscript"/>
              </w:rPr>
              <w:t>cd</w:t>
            </w:r>
          </w:p>
        </w:tc>
      </w:tr>
      <w:tr w:rsidR="00B011B7" w:rsidRPr="00E06694" w14:paraId="10D68B82" w14:textId="77777777" w:rsidTr="00E0690C">
        <w:trPr>
          <w:trHeight w:val="300"/>
        </w:trPr>
        <w:tc>
          <w:tcPr>
            <w:tcW w:w="3686" w:type="dxa"/>
            <w:vAlign w:val="bottom"/>
          </w:tcPr>
          <w:p w14:paraId="54377ABD"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Var. INIAF </w:t>
            </w:r>
            <w:r w:rsidRPr="00E06694">
              <w:rPr>
                <w:rFonts w:ascii="Times New Roman" w:eastAsia="Times New Roman" w:hAnsi="Times New Roman" w:cs="Times New Roman"/>
                <w:sz w:val="20"/>
                <w:szCs w:val="20"/>
              </w:rPr>
              <w:t>Laraga Vida</w:t>
            </w:r>
            <w:r w:rsidRPr="00E06694">
              <w:rPr>
                <w:rFonts w:ascii="Times New Roman" w:eastAsia="Times New Roman" w:hAnsi="Times New Roman" w:cs="Times New Roman"/>
                <w:color w:val="000000"/>
                <w:sz w:val="20"/>
                <w:szCs w:val="20"/>
              </w:rPr>
              <w:t xml:space="preserve"> without raised bed</w:t>
            </w:r>
          </w:p>
        </w:tc>
        <w:tc>
          <w:tcPr>
            <w:tcW w:w="1444" w:type="dxa"/>
            <w:vAlign w:val="center"/>
          </w:tcPr>
          <w:p w14:paraId="6F6C7E32"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6.40 </w:t>
            </w:r>
            <w:r w:rsidRPr="00E06694">
              <w:rPr>
                <w:rFonts w:ascii="Times New Roman" w:eastAsia="Times New Roman" w:hAnsi="Times New Roman" w:cs="Times New Roman"/>
                <w:sz w:val="20"/>
                <w:szCs w:val="20"/>
              </w:rPr>
              <w:t>± 0.67</w:t>
            </w:r>
            <w:r w:rsidRPr="00E06694">
              <w:rPr>
                <w:rFonts w:ascii="Times New Roman" w:eastAsia="Calibri" w:hAnsi="Times New Roman" w:cs="Times New Roman"/>
                <w:sz w:val="24"/>
                <w:szCs w:val="24"/>
                <w:vertAlign w:val="superscript"/>
              </w:rPr>
              <w:t>bc</w:t>
            </w:r>
          </w:p>
        </w:tc>
        <w:tc>
          <w:tcPr>
            <w:tcW w:w="1445" w:type="dxa"/>
            <w:vAlign w:val="center"/>
          </w:tcPr>
          <w:p w14:paraId="303246B1"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15.03 </w:t>
            </w:r>
            <w:r w:rsidRPr="00E06694">
              <w:rPr>
                <w:rFonts w:ascii="Times New Roman" w:eastAsia="Times New Roman" w:hAnsi="Times New Roman" w:cs="Times New Roman"/>
                <w:sz w:val="20"/>
                <w:szCs w:val="20"/>
              </w:rPr>
              <w:t>± 1.00</w:t>
            </w:r>
            <w:r w:rsidRPr="00E06694">
              <w:rPr>
                <w:rFonts w:ascii="Times New Roman" w:eastAsia="Calibri" w:hAnsi="Times New Roman" w:cs="Times New Roman"/>
                <w:sz w:val="24"/>
                <w:szCs w:val="24"/>
                <w:vertAlign w:val="superscript"/>
              </w:rPr>
              <w:t>c</w:t>
            </w:r>
          </w:p>
        </w:tc>
        <w:tc>
          <w:tcPr>
            <w:tcW w:w="1445" w:type="dxa"/>
            <w:vAlign w:val="center"/>
          </w:tcPr>
          <w:p w14:paraId="13CEB7F7"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6.07 </w:t>
            </w:r>
            <w:r w:rsidRPr="00E06694">
              <w:rPr>
                <w:rFonts w:ascii="Times New Roman" w:eastAsia="Times New Roman" w:hAnsi="Times New Roman" w:cs="Times New Roman"/>
                <w:sz w:val="20"/>
                <w:szCs w:val="20"/>
              </w:rPr>
              <w:t>± 0.53</w:t>
            </w:r>
            <w:r w:rsidRPr="00E06694">
              <w:rPr>
                <w:rFonts w:ascii="Times New Roman" w:eastAsia="Calibri" w:hAnsi="Times New Roman" w:cs="Times New Roman"/>
                <w:sz w:val="24"/>
                <w:szCs w:val="24"/>
                <w:vertAlign w:val="superscript"/>
              </w:rPr>
              <w:t>c</w:t>
            </w:r>
          </w:p>
        </w:tc>
        <w:tc>
          <w:tcPr>
            <w:tcW w:w="1445" w:type="dxa"/>
            <w:vAlign w:val="center"/>
          </w:tcPr>
          <w:p w14:paraId="7C743307"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14.19 </w:t>
            </w:r>
            <w:r w:rsidRPr="00E06694">
              <w:rPr>
                <w:rFonts w:ascii="Times New Roman" w:eastAsia="Times New Roman" w:hAnsi="Times New Roman" w:cs="Times New Roman"/>
                <w:sz w:val="20"/>
                <w:szCs w:val="20"/>
              </w:rPr>
              <w:t>± 0.57</w:t>
            </w:r>
            <w:r w:rsidRPr="00E06694">
              <w:rPr>
                <w:rFonts w:ascii="Times New Roman" w:eastAsia="Calibri" w:hAnsi="Times New Roman" w:cs="Times New Roman"/>
                <w:sz w:val="24"/>
                <w:szCs w:val="24"/>
                <w:vertAlign w:val="superscript"/>
              </w:rPr>
              <w:t>d</w:t>
            </w:r>
          </w:p>
        </w:tc>
      </w:tr>
      <w:tr w:rsidR="00B011B7" w:rsidRPr="00E06694" w14:paraId="048957D1" w14:textId="77777777" w:rsidTr="00E0690C">
        <w:trPr>
          <w:trHeight w:val="300"/>
        </w:trPr>
        <w:tc>
          <w:tcPr>
            <w:tcW w:w="3686" w:type="dxa"/>
            <w:vAlign w:val="bottom"/>
          </w:tcPr>
          <w:p w14:paraId="11B2A65D"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sz w:val="20"/>
                <w:szCs w:val="20"/>
              </w:rPr>
              <w:t>Control (</w:t>
            </w:r>
            <w:proofErr w:type="spellStart"/>
            <w:r w:rsidRPr="00E06694">
              <w:rPr>
                <w:rFonts w:ascii="Times New Roman" w:eastAsia="Times New Roman" w:hAnsi="Times New Roman" w:cs="Times New Roman"/>
                <w:sz w:val="20"/>
                <w:szCs w:val="20"/>
              </w:rPr>
              <w:t>t</w:t>
            </w:r>
            <w:r w:rsidRPr="00E06694">
              <w:rPr>
                <w:rFonts w:ascii="Times New Roman" w:eastAsia="Times New Roman" w:hAnsi="Times New Roman" w:cs="Times New Roman"/>
                <w:color w:val="000000"/>
                <w:sz w:val="20"/>
                <w:szCs w:val="20"/>
              </w:rPr>
              <w:t>origin</w:t>
            </w:r>
            <w:proofErr w:type="spellEnd"/>
            <w:r w:rsidRPr="00E06694">
              <w:rPr>
                <w:rFonts w:ascii="Times New Roman" w:eastAsia="Times New Roman" w:hAnsi="Times New Roman" w:cs="Times New Roman"/>
                <w:color w:val="000000"/>
                <w:sz w:val="20"/>
                <w:szCs w:val="20"/>
              </w:rPr>
              <w:t>)</w:t>
            </w:r>
          </w:p>
        </w:tc>
        <w:tc>
          <w:tcPr>
            <w:tcW w:w="1444" w:type="dxa"/>
            <w:vAlign w:val="center"/>
          </w:tcPr>
          <w:p w14:paraId="0DA4F0BD"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15.95</w:t>
            </w:r>
            <w:r w:rsidRPr="00E06694">
              <w:rPr>
                <w:rFonts w:ascii="Times New Roman" w:eastAsia="Times New Roman" w:hAnsi="Times New Roman" w:cs="Times New Roman"/>
                <w:sz w:val="20"/>
                <w:szCs w:val="20"/>
              </w:rPr>
              <w:t>±</w:t>
            </w:r>
            <w:r w:rsidRPr="00E06694">
              <w:rPr>
                <w:rFonts w:ascii="Times New Roman" w:eastAsia="Times New Roman" w:hAnsi="Times New Roman" w:cs="Times New Roman"/>
                <w:color w:val="000000"/>
                <w:sz w:val="20"/>
                <w:szCs w:val="20"/>
              </w:rPr>
              <w:t xml:space="preserve"> 0.83</w:t>
            </w:r>
            <w:r w:rsidRPr="00E06694">
              <w:rPr>
                <w:rFonts w:ascii="Times New Roman" w:eastAsia="Calibri" w:hAnsi="Times New Roman" w:cs="Times New Roman"/>
                <w:sz w:val="24"/>
                <w:szCs w:val="24"/>
                <w:vertAlign w:val="superscript"/>
              </w:rPr>
              <w:t>a</w:t>
            </w:r>
          </w:p>
        </w:tc>
        <w:tc>
          <w:tcPr>
            <w:tcW w:w="1445" w:type="dxa"/>
            <w:vAlign w:val="center"/>
          </w:tcPr>
          <w:p w14:paraId="0BB449EC"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27.91 </w:t>
            </w:r>
            <w:r w:rsidRPr="00E06694">
              <w:rPr>
                <w:rFonts w:ascii="Times New Roman" w:eastAsia="Times New Roman" w:hAnsi="Times New Roman" w:cs="Times New Roman"/>
                <w:sz w:val="20"/>
                <w:szCs w:val="20"/>
              </w:rPr>
              <w:t>± 1.03</w:t>
            </w:r>
            <w:r w:rsidRPr="00E06694">
              <w:rPr>
                <w:rFonts w:ascii="Times New Roman" w:eastAsia="Calibri" w:hAnsi="Times New Roman" w:cs="Times New Roman"/>
                <w:sz w:val="24"/>
                <w:szCs w:val="24"/>
                <w:vertAlign w:val="superscript"/>
              </w:rPr>
              <w:t>ab</w:t>
            </w:r>
          </w:p>
        </w:tc>
        <w:tc>
          <w:tcPr>
            <w:tcW w:w="1445" w:type="dxa"/>
            <w:vAlign w:val="center"/>
          </w:tcPr>
          <w:p w14:paraId="1E848C3F"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14.44 </w:t>
            </w:r>
            <w:r w:rsidRPr="00E06694">
              <w:rPr>
                <w:rFonts w:ascii="Times New Roman" w:eastAsia="Times New Roman" w:hAnsi="Times New Roman" w:cs="Times New Roman"/>
                <w:sz w:val="20"/>
                <w:szCs w:val="20"/>
              </w:rPr>
              <w:t>± 1.00</w:t>
            </w:r>
            <w:r w:rsidRPr="00E06694">
              <w:rPr>
                <w:rFonts w:ascii="Times New Roman" w:eastAsia="Calibri" w:hAnsi="Times New Roman" w:cs="Times New Roman"/>
                <w:sz w:val="24"/>
                <w:szCs w:val="24"/>
                <w:vertAlign w:val="superscript"/>
              </w:rPr>
              <w:t>a</w:t>
            </w:r>
          </w:p>
        </w:tc>
        <w:tc>
          <w:tcPr>
            <w:tcW w:w="1445" w:type="dxa"/>
            <w:vAlign w:val="center"/>
          </w:tcPr>
          <w:p w14:paraId="5E05187D"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 xml:space="preserve">33.65 </w:t>
            </w:r>
            <w:r w:rsidRPr="00E06694">
              <w:rPr>
                <w:rFonts w:ascii="Times New Roman" w:eastAsia="Times New Roman" w:hAnsi="Times New Roman" w:cs="Times New Roman"/>
                <w:sz w:val="20"/>
                <w:szCs w:val="20"/>
              </w:rPr>
              <w:t>± 2.20</w:t>
            </w:r>
            <w:r w:rsidRPr="00E06694">
              <w:rPr>
                <w:rFonts w:ascii="Times New Roman" w:eastAsia="Calibri" w:hAnsi="Times New Roman" w:cs="Times New Roman"/>
                <w:sz w:val="24"/>
                <w:szCs w:val="24"/>
                <w:vertAlign w:val="superscript"/>
              </w:rPr>
              <w:t>b</w:t>
            </w:r>
          </w:p>
        </w:tc>
      </w:tr>
      <w:tr w:rsidR="00B011B7" w:rsidRPr="00E06694" w14:paraId="18AD6947" w14:textId="77777777" w:rsidTr="00E0690C">
        <w:trPr>
          <w:trHeight w:val="300"/>
        </w:trPr>
        <w:tc>
          <w:tcPr>
            <w:tcW w:w="3686" w:type="dxa"/>
            <w:vAlign w:val="bottom"/>
          </w:tcPr>
          <w:p w14:paraId="23FAAFB0"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R</w:t>
            </w:r>
            <w:r w:rsidRPr="00E06694">
              <w:rPr>
                <w:rFonts w:ascii="Times New Roman" w:eastAsia="Times New Roman" w:hAnsi="Times New Roman" w:cs="Times New Roman"/>
                <w:color w:val="000000"/>
                <w:sz w:val="20"/>
                <w:szCs w:val="20"/>
                <w:vertAlign w:val="superscript"/>
              </w:rPr>
              <w:t>2</w:t>
            </w:r>
          </w:p>
        </w:tc>
        <w:tc>
          <w:tcPr>
            <w:tcW w:w="1444" w:type="dxa"/>
            <w:vAlign w:val="center"/>
          </w:tcPr>
          <w:p w14:paraId="6332C6B5"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0.97</w:t>
            </w:r>
          </w:p>
        </w:tc>
        <w:tc>
          <w:tcPr>
            <w:tcW w:w="1445" w:type="dxa"/>
            <w:vAlign w:val="center"/>
          </w:tcPr>
          <w:p w14:paraId="2DFDEA71"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0.92</w:t>
            </w:r>
          </w:p>
        </w:tc>
        <w:tc>
          <w:tcPr>
            <w:tcW w:w="1445" w:type="dxa"/>
            <w:vAlign w:val="center"/>
          </w:tcPr>
          <w:p w14:paraId="0117BEFB"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0.98</w:t>
            </w:r>
          </w:p>
        </w:tc>
        <w:tc>
          <w:tcPr>
            <w:tcW w:w="1445" w:type="dxa"/>
            <w:vAlign w:val="center"/>
          </w:tcPr>
          <w:p w14:paraId="07065311"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0.98</w:t>
            </w:r>
          </w:p>
        </w:tc>
      </w:tr>
      <w:tr w:rsidR="00B011B7" w:rsidRPr="00E06694" w14:paraId="5C6DFA25" w14:textId="77777777" w:rsidTr="00E0690C">
        <w:trPr>
          <w:trHeight w:val="300"/>
        </w:trPr>
        <w:tc>
          <w:tcPr>
            <w:tcW w:w="3686" w:type="dxa"/>
            <w:tcBorders>
              <w:bottom w:val="single" w:sz="4" w:space="0" w:color="000000"/>
            </w:tcBorders>
            <w:vAlign w:val="bottom"/>
          </w:tcPr>
          <w:p w14:paraId="4FAC8D50" w14:textId="77777777" w:rsidR="00B011B7" w:rsidRPr="00E06694" w:rsidRDefault="00B011B7" w:rsidP="00E0690C">
            <w:pPr>
              <w:spacing w:after="0" w:line="240" w:lineRule="auto"/>
              <w:ind w:left="0"/>
              <w:jc w:val="left"/>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CV (%)</w:t>
            </w:r>
          </w:p>
        </w:tc>
        <w:tc>
          <w:tcPr>
            <w:tcW w:w="1444" w:type="dxa"/>
            <w:tcBorders>
              <w:bottom w:val="single" w:sz="4" w:space="0" w:color="000000"/>
            </w:tcBorders>
            <w:vAlign w:val="center"/>
          </w:tcPr>
          <w:p w14:paraId="29B62751"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9.81</w:t>
            </w:r>
          </w:p>
        </w:tc>
        <w:tc>
          <w:tcPr>
            <w:tcW w:w="1445" w:type="dxa"/>
            <w:tcBorders>
              <w:bottom w:val="single" w:sz="4" w:space="0" w:color="000000"/>
            </w:tcBorders>
            <w:vAlign w:val="center"/>
          </w:tcPr>
          <w:p w14:paraId="4C0F2A23"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2.14</w:t>
            </w:r>
          </w:p>
        </w:tc>
        <w:tc>
          <w:tcPr>
            <w:tcW w:w="1445" w:type="dxa"/>
            <w:tcBorders>
              <w:bottom w:val="single" w:sz="4" w:space="0" w:color="000000"/>
            </w:tcBorders>
            <w:vAlign w:val="center"/>
          </w:tcPr>
          <w:p w14:paraId="7CD06723"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6.44</w:t>
            </w:r>
          </w:p>
        </w:tc>
        <w:tc>
          <w:tcPr>
            <w:tcW w:w="1445" w:type="dxa"/>
            <w:tcBorders>
              <w:bottom w:val="single" w:sz="4" w:space="0" w:color="000000"/>
            </w:tcBorders>
            <w:vAlign w:val="center"/>
          </w:tcPr>
          <w:p w14:paraId="6211B587" w14:textId="77777777" w:rsidR="00B011B7" w:rsidRPr="00E06694" w:rsidRDefault="00B011B7" w:rsidP="00E0690C">
            <w:pPr>
              <w:spacing w:after="0" w:line="240" w:lineRule="auto"/>
              <w:ind w:left="0"/>
              <w:jc w:val="center"/>
              <w:rPr>
                <w:rFonts w:ascii="Times New Roman" w:eastAsia="Times New Roman" w:hAnsi="Times New Roman" w:cs="Times New Roman"/>
                <w:color w:val="000000"/>
                <w:sz w:val="20"/>
                <w:szCs w:val="20"/>
              </w:rPr>
            </w:pPr>
            <w:r w:rsidRPr="00E06694">
              <w:rPr>
                <w:rFonts w:ascii="Times New Roman" w:eastAsia="Times New Roman" w:hAnsi="Times New Roman" w:cs="Times New Roman"/>
                <w:color w:val="000000"/>
                <w:sz w:val="20"/>
                <w:szCs w:val="20"/>
              </w:rPr>
              <w:t>1.31</w:t>
            </w:r>
          </w:p>
        </w:tc>
      </w:tr>
    </w:tbl>
    <w:p w14:paraId="0222522F" w14:textId="77777777" w:rsidR="00B011B7" w:rsidRPr="00E06694" w:rsidRDefault="00B011B7" w:rsidP="00B011B7">
      <w:pPr>
        <w:spacing w:after="0" w:line="240" w:lineRule="auto"/>
        <w:ind w:left="0"/>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w:t>
      </w:r>
      <w:r w:rsidRPr="00E06694">
        <w:rPr>
          <w:rFonts w:ascii="Times New Roman" w:eastAsia="Calibri" w:hAnsi="Times New Roman" w:cs="Times New Roman"/>
          <w:sz w:val="24"/>
          <w:szCs w:val="24"/>
          <w:vertAlign w:val="superscript"/>
        </w:rPr>
        <w:t xml:space="preserve">2 </w:t>
      </w:r>
      <w:r w:rsidRPr="00E06694">
        <w:rPr>
          <w:rFonts w:ascii="Times New Roman" w:eastAsia="Gungsuh" w:hAnsi="Times New Roman" w:cs="Times New Roman"/>
          <w:sz w:val="24"/>
          <w:szCs w:val="24"/>
        </w:rPr>
        <w:t>= coefficient of determination; CV: coefficient of variation. Means in the same column followed by the same letters do not show significant differences according to Tukey's test (p ≤ 0.05).</w:t>
      </w:r>
    </w:p>
    <w:p w14:paraId="79B78866" w14:textId="00ED7D28" w:rsidR="00B011B7" w:rsidRPr="00E06694" w:rsidRDefault="00B011B7" w:rsidP="00B011B7">
      <w:pPr>
        <w:spacing w:after="0" w:line="240" w:lineRule="auto"/>
        <w:ind w:left="0" w:firstLine="567"/>
        <w:rPr>
          <w:rFonts w:ascii="Times New Roman" w:eastAsia="Times New Roman" w:hAnsi="Times New Roman" w:cs="Times New Roman"/>
          <w:sz w:val="24"/>
          <w:szCs w:val="24"/>
        </w:rPr>
      </w:pPr>
    </w:p>
    <w:p w14:paraId="1F9C6C15" w14:textId="4EEB19C0" w:rsidR="000268B8" w:rsidRPr="00E06694" w:rsidRDefault="000268B8" w:rsidP="00B011B7">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These results can be attributed to the higher planting density and, more notably, to the use of the traditional cultivation system without raised beds, which favored the production of non-commercial (discarded) roots. Additionally, treatments without raised beds produced a greater number of deformed and cracked roots, likely due to soil compaction, inadequate drainage, and fluctuations in soil moisture and temperature—common issues associated with conventional planting methods. In contrast, the raised bed cultivation system significantly reduced the number of discarded roots at both locations, indicating that this technology promotes more uniform root development in the evaluated varieties.</w:t>
      </w:r>
    </w:p>
    <w:p w14:paraId="31E7134A" w14:textId="5B51689D" w:rsidR="000268B8" w:rsidRPr="00E06694" w:rsidRDefault="000268B8" w:rsidP="00B011B7">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Regarding commercial root yield, the Altiplano variety grown in raised beds significantly outperformed (p ≤ 0.05) all other treatments at both sites (Koari Alto: 29.57 ± 4.72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Koari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39.66 ± 2.27 t ha</w:t>
      </w:r>
      <w:r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with a more pronounced effect observed in Koari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xml:space="preserve"> (Table 7). This result is attributed to the raised bed system’s ability to promote the production of more homogeneous roots, primarily of first and second quality (Nath et al., 2019), a finding that has been supported by other studies (</w:t>
      </w:r>
      <w:proofErr w:type="spellStart"/>
      <w:r w:rsidRPr="00E06694">
        <w:rPr>
          <w:rFonts w:ascii="Times New Roman" w:eastAsia="Times New Roman" w:hAnsi="Times New Roman" w:cs="Times New Roman"/>
          <w:sz w:val="24"/>
          <w:szCs w:val="24"/>
        </w:rPr>
        <w:t>Ayupov</w:t>
      </w:r>
      <w:proofErr w:type="spellEnd"/>
      <w:r w:rsidRPr="00E06694">
        <w:rPr>
          <w:rFonts w:ascii="Times New Roman" w:eastAsia="Times New Roman" w:hAnsi="Times New Roman" w:cs="Times New Roman"/>
          <w:sz w:val="24"/>
          <w:szCs w:val="24"/>
        </w:rPr>
        <w:t xml:space="preserve"> et al., 2019; Santhi et al., 2015; </w:t>
      </w:r>
      <w:proofErr w:type="spellStart"/>
      <w:r w:rsidRPr="00E06694">
        <w:rPr>
          <w:rFonts w:ascii="Times New Roman" w:eastAsia="Times New Roman" w:hAnsi="Times New Roman" w:cs="Times New Roman"/>
          <w:sz w:val="24"/>
          <w:szCs w:val="24"/>
        </w:rPr>
        <w:t>Huespe</w:t>
      </w:r>
      <w:proofErr w:type="spellEnd"/>
      <w:r w:rsidRPr="00E06694">
        <w:rPr>
          <w:rFonts w:ascii="Times New Roman" w:eastAsia="Times New Roman" w:hAnsi="Times New Roman" w:cs="Times New Roman"/>
          <w:sz w:val="24"/>
          <w:szCs w:val="24"/>
        </w:rPr>
        <w:t xml:space="preserve"> et al., 2022).</w:t>
      </w:r>
    </w:p>
    <w:p w14:paraId="3A1F9C91" w14:textId="77777777" w:rsidR="00DE4792" w:rsidRPr="00E06694" w:rsidRDefault="00DE4792" w:rsidP="00DE4792">
      <w:pPr>
        <w:spacing w:after="0" w:line="240" w:lineRule="auto"/>
        <w:ind w:left="0" w:firstLine="567"/>
        <w:rPr>
          <w:rFonts w:ascii="Times New Roman" w:eastAsia="Times New Roman" w:hAnsi="Times New Roman" w:cs="Times New Roman"/>
          <w:sz w:val="24"/>
          <w:szCs w:val="24"/>
        </w:rPr>
      </w:pPr>
    </w:p>
    <w:p w14:paraId="28C8047A" w14:textId="470D7C32" w:rsidR="00F90484" w:rsidRPr="00E06694" w:rsidRDefault="00DE4792" w:rsidP="00DE4792">
      <w:pPr>
        <w:spacing w:after="0" w:line="240" w:lineRule="auto"/>
        <w:ind w:left="0"/>
        <w:rPr>
          <w:rFonts w:ascii="Times New Roman" w:eastAsia="Times New Roman" w:hAnsi="Times New Roman" w:cs="Times New Roman"/>
          <w:b/>
          <w:sz w:val="24"/>
          <w:szCs w:val="24"/>
        </w:rPr>
      </w:pPr>
      <w:r w:rsidRPr="00E06694">
        <w:rPr>
          <w:rFonts w:ascii="Times New Roman" w:eastAsia="Times New Roman" w:hAnsi="Times New Roman" w:cs="Times New Roman"/>
          <w:b/>
          <w:sz w:val="24"/>
          <w:szCs w:val="24"/>
        </w:rPr>
        <w:t>Conclusions</w:t>
      </w:r>
    </w:p>
    <w:p w14:paraId="77CD6698" w14:textId="65C045C6" w:rsidR="00DE4792" w:rsidRPr="00E06694" w:rsidRDefault="00DE4792" w:rsidP="00DE4792">
      <w:pPr>
        <w:spacing w:after="0" w:line="240" w:lineRule="auto"/>
        <w:ind w:left="0" w:firstLine="567"/>
        <w:rPr>
          <w:rFonts w:ascii="Times New Roman" w:eastAsia="Times New Roman" w:hAnsi="Times New Roman" w:cs="Times New Roman"/>
          <w:sz w:val="24"/>
          <w:szCs w:val="24"/>
        </w:rPr>
      </w:pPr>
    </w:p>
    <w:p w14:paraId="1C41BC4F" w14:textId="1E5CD2AE" w:rsidR="009A6554" w:rsidRPr="00E06694" w:rsidRDefault="009A6554" w:rsidP="00DE4792">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Under the conditions of this study, the Altiplano variety exhibited a later phenological response in terms of days to emergence and harvest when compared to INIAF Larga Vida, which demonstrated earlier development but showed a tendency toward premature </w:t>
      </w:r>
      <w:r w:rsidR="00BC610D" w:rsidRPr="00E06694">
        <w:rPr>
          <w:rFonts w:ascii="Times New Roman" w:eastAsia="Times New Roman" w:hAnsi="Times New Roman" w:cs="Times New Roman"/>
          <w:sz w:val="24"/>
          <w:szCs w:val="24"/>
        </w:rPr>
        <w:t>flowering</w:t>
      </w:r>
      <w:r w:rsidRPr="00E06694">
        <w:rPr>
          <w:rFonts w:ascii="Times New Roman" w:eastAsia="Times New Roman" w:hAnsi="Times New Roman" w:cs="Times New Roman"/>
          <w:sz w:val="24"/>
          <w:szCs w:val="24"/>
        </w:rPr>
        <w:t xml:space="preserve">. The raised bed planting system significantly improved commercial yield and root quality </w:t>
      </w:r>
      <w:r w:rsidR="00BC610D" w:rsidRPr="00E06694">
        <w:rPr>
          <w:rFonts w:ascii="Times New Roman" w:eastAsia="Times New Roman" w:hAnsi="Times New Roman" w:cs="Times New Roman"/>
          <w:sz w:val="24"/>
          <w:szCs w:val="24"/>
        </w:rPr>
        <w:t xml:space="preserve">across all evaluated varieties. </w:t>
      </w:r>
      <w:r w:rsidRPr="00E06694">
        <w:rPr>
          <w:rFonts w:ascii="Times New Roman" w:eastAsia="Times New Roman" w:hAnsi="Times New Roman" w:cs="Times New Roman"/>
          <w:sz w:val="24"/>
          <w:szCs w:val="24"/>
        </w:rPr>
        <w:t>In this context, Altiplano was particularly noteworthy, achieving the highest commercial root yields (Koari Alto: 29.57 t ha</w:t>
      </w:r>
      <w:r w:rsidR="00B97FB7"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xml:space="preserve">; Koari </w:t>
      </w:r>
      <w:proofErr w:type="spellStart"/>
      <w:r w:rsidRPr="00E06694">
        <w:rPr>
          <w:rFonts w:ascii="Times New Roman" w:eastAsia="Times New Roman" w:hAnsi="Times New Roman" w:cs="Times New Roman"/>
          <w:sz w:val="24"/>
          <w:szCs w:val="24"/>
        </w:rPr>
        <w:t>Lagunillas</w:t>
      </w:r>
      <w:proofErr w:type="spellEnd"/>
      <w:r w:rsidRPr="00E06694">
        <w:rPr>
          <w:rFonts w:ascii="Times New Roman" w:eastAsia="Times New Roman" w:hAnsi="Times New Roman" w:cs="Times New Roman"/>
          <w:sz w:val="24"/>
          <w:szCs w:val="24"/>
        </w:rPr>
        <w:t>: 39.66 t ha</w:t>
      </w:r>
      <w:r w:rsidR="00B97FB7" w:rsidRPr="00E06694">
        <w:rPr>
          <w:rFonts w:ascii="Times New Roman" w:eastAsia="Times New Roman" w:hAnsi="Times New Roman" w:cs="Times New Roman"/>
          <w:sz w:val="24"/>
          <w:szCs w:val="24"/>
          <w:vertAlign w:val="superscript"/>
        </w:rPr>
        <w:t>-1</w:t>
      </w:r>
      <w:r w:rsidRPr="00E06694">
        <w:rPr>
          <w:rFonts w:ascii="Times New Roman" w:eastAsia="Times New Roman" w:hAnsi="Times New Roman" w:cs="Times New Roman"/>
          <w:sz w:val="24"/>
          <w:szCs w:val="24"/>
        </w:rPr>
        <w:t>) and greater uniformity in first- and second-grade roots when compared to Montenegro 1, INIAF Larga Vida, and the control.</w:t>
      </w:r>
      <w:r w:rsidR="00BC610D" w:rsidRPr="00E06694">
        <w:rPr>
          <w:rFonts w:ascii="Times New Roman" w:eastAsia="Times New Roman" w:hAnsi="Times New Roman" w:cs="Times New Roman"/>
          <w:sz w:val="24"/>
          <w:szCs w:val="24"/>
        </w:rPr>
        <w:t xml:space="preserve"> </w:t>
      </w:r>
      <w:r w:rsidR="00B026EC" w:rsidRPr="00E06694">
        <w:rPr>
          <w:rFonts w:ascii="Times New Roman" w:eastAsia="Times New Roman" w:hAnsi="Times New Roman" w:cs="Times New Roman"/>
          <w:sz w:val="24"/>
          <w:szCs w:val="24"/>
        </w:rPr>
        <w:t>Producers for its favorable morphological traits valued the INIAF Larga Vida variety</w:t>
      </w:r>
      <w:r w:rsidRPr="00E06694">
        <w:rPr>
          <w:rFonts w:ascii="Times New Roman" w:eastAsia="Times New Roman" w:hAnsi="Times New Roman" w:cs="Times New Roman"/>
          <w:sz w:val="24"/>
          <w:szCs w:val="24"/>
        </w:rPr>
        <w:t xml:space="preserve">; however, its </w:t>
      </w:r>
      <w:r w:rsidR="00B026EC" w:rsidRPr="00E06694">
        <w:rPr>
          <w:rFonts w:ascii="Times New Roman" w:eastAsia="Times New Roman" w:hAnsi="Times New Roman" w:cs="Times New Roman"/>
          <w:sz w:val="24"/>
          <w:szCs w:val="24"/>
        </w:rPr>
        <w:t>flower</w:t>
      </w:r>
      <w:r w:rsidRPr="00E06694">
        <w:rPr>
          <w:rFonts w:ascii="Times New Roman" w:eastAsia="Times New Roman" w:hAnsi="Times New Roman" w:cs="Times New Roman"/>
          <w:sz w:val="24"/>
          <w:szCs w:val="24"/>
        </w:rPr>
        <w:t>ing tendency indicates a need for genetic improvement to enhance its adaptability to environments such as those studied.</w:t>
      </w:r>
    </w:p>
    <w:p w14:paraId="176B99C6" w14:textId="77777777" w:rsidR="009A6554" w:rsidRPr="00E06694" w:rsidRDefault="009A6554" w:rsidP="00DE4792">
      <w:pPr>
        <w:spacing w:after="0" w:line="240" w:lineRule="auto"/>
        <w:ind w:left="0" w:firstLine="567"/>
        <w:rPr>
          <w:rFonts w:ascii="Times New Roman" w:eastAsia="Times New Roman" w:hAnsi="Times New Roman" w:cs="Times New Roman"/>
          <w:sz w:val="24"/>
          <w:szCs w:val="24"/>
        </w:rPr>
      </w:pPr>
    </w:p>
    <w:p w14:paraId="49522756" w14:textId="0CDB79A5" w:rsidR="00802449" w:rsidRPr="00E06694" w:rsidRDefault="008473B1" w:rsidP="008473B1">
      <w:pPr>
        <w:spacing w:after="0" w:line="240" w:lineRule="auto"/>
        <w:ind w:left="0"/>
        <w:rPr>
          <w:rFonts w:ascii="Times New Roman" w:eastAsia="Times New Roman" w:hAnsi="Times New Roman" w:cs="Times New Roman"/>
          <w:b/>
          <w:sz w:val="24"/>
          <w:szCs w:val="24"/>
        </w:rPr>
      </w:pPr>
      <w:r w:rsidRPr="00E06694">
        <w:rPr>
          <w:rFonts w:ascii="Times New Roman" w:eastAsia="Times New Roman" w:hAnsi="Times New Roman" w:cs="Times New Roman"/>
          <w:b/>
          <w:sz w:val="24"/>
          <w:szCs w:val="24"/>
        </w:rPr>
        <w:t>Disclaimer</w:t>
      </w:r>
      <w:r w:rsidR="00802449" w:rsidRPr="00E06694">
        <w:rPr>
          <w:rFonts w:ascii="Times New Roman" w:eastAsia="Times New Roman" w:hAnsi="Times New Roman" w:cs="Times New Roman"/>
          <w:b/>
          <w:sz w:val="24"/>
          <w:szCs w:val="24"/>
        </w:rPr>
        <w:t xml:space="preserve"> (artificial intelligence)</w:t>
      </w:r>
    </w:p>
    <w:p w14:paraId="50E0EA5C" w14:textId="77777777" w:rsidR="008473B1" w:rsidRPr="00E06694" w:rsidRDefault="00802449" w:rsidP="008473B1">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 xml:space="preserve">Author(s) hereby declare that generative AI technologies such as Large Language Models, etc. have been used during the writing or editing of manuscripts. This explanation will include the </w:t>
      </w:r>
      <w:r w:rsidRPr="00E06694">
        <w:rPr>
          <w:rFonts w:ascii="Times New Roman" w:eastAsia="Times New Roman" w:hAnsi="Times New Roman" w:cs="Times New Roman"/>
          <w:sz w:val="24"/>
          <w:szCs w:val="24"/>
        </w:rPr>
        <w:lastRenderedPageBreak/>
        <w:t>name, version, model, and source of the generative AI technology and as well as all input prompts provided to the generative AI technology.</w:t>
      </w:r>
    </w:p>
    <w:p w14:paraId="3EF9B055" w14:textId="54E9876C" w:rsidR="00802449" w:rsidRPr="00E06694" w:rsidRDefault="00802449" w:rsidP="008473B1">
      <w:pPr>
        <w:spacing w:after="0" w:line="240" w:lineRule="auto"/>
        <w:ind w:left="0" w:firstLine="567"/>
        <w:rPr>
          <w:rFonts w:ascii="Times New Roman" w:eastAsia="Times New Roman" w:hAnsi="Times New Roman" w:cs="Times New Roman"/>
          <w:sz w:val="24"/>
          <w:szCs w:val="24"/>
        </w:rPr>
      </w:pPr>
      <w:r w:rsidRPr="00E06694">
        <w:rPr>
          <w:rFonts w:ascii="Times New Roman" w:eastAsia="Times New Roman" w:hAnsi="Times New Roman" w:cs="Times New Roman"/>
          <w:sz w:val="24"/>
          <w:szCs w:val="24"/>
        </w:rPr>
        <w:t>Details of the AI usage:</w:t>
      </w:r>
      <w:r w:rsidR="008473B1" w:rsidRPr="00E06694">
        <w:rPr>
          <w:rFonts w:ascii="Times New Roman" w:eastAsia="Times New Roman" w:hAnsi="Times New Roman" w:cs="Times New Roman"/>
          <w:sz w:val="24"/>
          <w:szCs w:val="24"/>
        </w:rPr>
        <w:t xml:space="preserve"> </w:t>
      </w:r>
      <w:r w:rsidRPr="00E06694">
        <w:rPr>
          <w:rFonts w:ascii="Times New Roman" w:eastAsia="Times New Roman" w:hAnsi="Times New Roman" w:cs="Times New Roman"/>
          <w:sz w:val="24"/>
          <w:szCs w:val="24"/>
        </w:rPr>
        <w:t xml:space="preserve">The linguistic improvement of the manuscript was carried out with the assistance of the ChatGPT tool (GPT-4, OpenAI), used solely for style and language corrections, without any alteration to the technical or scientific content of the </w:t>
      </w:r>
      <w:r w:rsidR="00B026EC" w:rsidRPr="00E06694">
        <w:rPr>
          <w:rFonts w:ascii="Times New Roman" w:eastAsia="Times New Roman" w:hAnsi="Times New Roman" w:cs="Times New Roman"/>
          <w:sz w:val="24"/>
          <w:szCs w:val="24"/>
        </w:rPr>
        <w:t xml:space="preserve">present </w:t>
      </w:r>
      <w:r w:rsidRPr="00E06694">
        <w:rPr>
          <w:rFonts w:ascii="Times New Roman" w:eastAsia="Times New Roman" w:hAnsi="Times New Roman" w:cs="Times New Roman"/>
          <w:sz w:val="24"/>
          <w:szCs w:val="24"/>
        </w:rPr>
        <w:t>study.</w:t>
      </w:r>
    </w:p>
    <w:p w14:paraId="788FEB0B" w14:textId="01EC9C26" w:rsidR="00DE4792" w:rsidRPr="00E06694" w:rsidRDefault="00DE4792" w:rsidP="00DE4792">
      <w:pPr>
        <w:spacing w:after="0" w:line="240" w:lineRule="auto"/>
        <w:ind w:left="0" w:firstLine="567"/>
        <w:rPr>
          <w:rFonts w:ascii="Times New Roman" w:eastAsia="Times New Roman" w:hAnsi="Times New Roman" w:cs="Times New Roman"/>
          <w:sz w:val="24"/>
          <w:szCs w:val="24"/>
        </w:rPr>
      </w:pPr>
    </w:p>
    <w:p w14:paraId="6D2F0BA9" w14:textId="713CE7FD" w:rsidR="00DE4792" w:rsidRPr="00E06694" w:rsidRDefault="008473B1" w:rsidP="00DE4792">
      <w:pPr>
        <w:spacing w:after="0" w:line="240" w:lineRule="auto"/>
        <w:ind w:left="0"/>
        <w:rPr>
          <w:rFonts w:ascii="Times New Roman" w:eastAsia="Times New Roman" w:hAnsi="Times New Roman" w:cs="Times New Roman"/>
          <w:b/>
          <w:sz w:val="24"/>
          <w:szCs w:val="24"/>
        </w:rPr>
      </w:pPr>
      <w:r w:rsidRPr="00E06694">
        <w:rPr>
          <w:rFonts w:ascii="Times New Roman" w:eastAsia="Times New Roman" w:hAnsi="Times New Roman" w:cs="Times New Roman"/>
          <w:b/>
          <w:sz w:val="24"/>
          <w:szCs w:val="24"/>
        </w:rPr>
        <w:t>References</w:t>
      </w:r>
    </w:p>
    <w:p w14:paraId="4DA2579C" w14:textId="11609260" w:rsidR="00DE4792" w:rsidRPr="00E06694" w:rsidRDefault="00DE4792" w:rsidP="00CF1955">
      <w:pPr>
        <w:spacing w:after="0" w:line="240" w:lineRule="auto"/>
        <w:ind w:left="567" w:hanging="567"/>
        <w:rPr>
          <w:rFonts w:ascii="Times New Roman" w:eastAsia="Times New Roman" w:hAnsi="Times New Roman" w:cs="Times New Roman"/>
          <w:sz w:val="24"/>
          <w:szCs w:val="24"/>
        </w:rPr>
      </w:pPr>
    </w:p>
    <w:p w14:paraId="76A757A6"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pt-BR" w:eastAsia="en-US"/>
        </w:rPr>
      </w:pPr>
      <w:r w:rsidRPr="00344F3A">
        <w:rPr>
          <w:rFonts w:ascii="Times New Roman" w:eastAsia="Calibri" w:hAnsi="Times New Roman" w:cs="Times New Roman"/>
          <w:sz w:val="24"/>
          <w:szCs w:val="24"/>
          <w:lang w:val="en-US" w:eastAsia="en-US"/>
        </w:rPr>
        <w:t xml:space="preserve">Abbott, L., &amp; </w:t>
      </w:r>
      <w:proofErr w:type="spellStart"/>
      <w:r w:rsidRPr="00344F3A">
        <w:rPr>
          <w:rFonts w:ascii="Times New Roman" w:eastAsia="Calibri" w:hAnsi="Times New Roman" w:cs="Times New Roman"/>
          <w:sz w:val="24"/>
          <w:szCs w:val="24"/>
          <w:lang w:val="en-US" w:eastAsia="en-US"/>
        </w:rPr>
        <w:t>Pistorale</w:t>
      </w:r>
      <w:proofErr w:type="spellEnd"/>
      <w:r w:rsidRPr="00344F3A">
        <w:rPr>
          <w:rFonts w:ascii="Times New Roman" w:eastAsia="Calibri" w:hAnsi="Times New Roman" w:cs="Times New Roman"/>
          <w:sz w:val="24"/>
          <w:szCs w:val="24"/>
          <w:lang w:val="en-US" w:eastAsia="en-US"/>
        </w:rPr>
        <w:t xml:space="preserve">, S. (2011). Analysis of the stability and adaptability of traits of agronomic interest in selected genotypes of Creole barley (Cathartic bromine). </w:t>
      </w:r>
      <w:r w:rsidRPr="00344F3A">
        <w:rPr>
          <w:rFonts w:ascii="Times New Roman" w:eastAsia="Calibri" w:hAnsi="Times New Roman" w:cs="Times New Roman"/>
          <w:sz w:val="24"/>
          <w:szCs w:val="24"/>
          <w:lang w:val="pt-BR" w:eastAsia="en-US"/>
        </w:rPr>
        <w:t>Agriscientia, 28(2), 109-117. hhttp://www.scielo.org.ar/pdf/agrisc/v28n2/v28n2a02.pdf</w:t>
      </w:r>
    </w:p>
    <w:p w14:paraId="0CDA75D1"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Ahmad, R. N., &amp; Mahmood, N. (2005). Impact of raised bed technology on water productivity and lodging of wheat. Pakistan Journal of Water Resources, 9(2), 29-32. https://www.researchgate.net/profile/Naeem-Mahmood-2/publication/256542962_Impact_of_raised_bed_technology_on_water_productivity_and_lodging_of_wheat/links/0c960523419f9b23cf000000/Impact-of-raised-bed-technology-on-water-productivity-and-lodging-of-wheat.pdf</w:t>
      </w:r>
    </w:p>
    <w:p w14:paraId="33E685CE"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s-ES" w:eastAsia="en-US"/>
        </w:rPr>
        <w:t xml:space="preserve">Alejos, G., Monasterio, P., and Rea, R. (2006). </w:t>
      </w:r>
      <w:r w:rsidRPr="00344F3A">
        <w:rPr>
          <w:rFonts w:ascii="Times New Roman" w:eastAsia="Calibri" w:hAnsi="Times New Roman" w:cs="Times New Roman"/>
          <w:sz w:val="24"/>
          <w:szCs w:val="24"/>
          <w:lang w:val="en-US" w:eastAsia="en-US"/>
        </w:rPr>
        <w:t xml:space="preserve">Analysis of genotype-environment interaction for corn yield in the corn-growing region of Yaracuy State, </w:t>
      </w:r>
      <w:proofErr w:type="spellStart"/>
      <w:r w:rsidRPr="00344F3A">
        <w:rPr>
          <w:rFonts w:ascii="Times New Roman" w:eastAsia="Calibri" w:hAnsi="Times New Roman" w:cs="Times New Roman"/>
          <w:sz w:val="24"/>
          <w:szCs w:val="24"/>
          <w:lang w:val="en-US" w:eastAsia="en-US"/>
        </w:rPr>
        <w:t>Venezuela.Tropical</w:t>
      </w:r>
      <w:proofErr w:type="spellEnd"/>
      <w:r w:rsidRPr="00344F3A">
        <w:rPr>
          <w:rFonts w:ascii="Times New Roman" w:eastAsia="Calibri" w:hAnsi="Times New Roman" w:cs="Times New Roman"/>
          <w:sz w:val="24"/>
          <w:szCs w:val="24"/>
          <w:lang w:val="en-US" w:eastAsia="en-US"/>
        </w:rPr>
        <w:t xml:space="preserve"> Agronomy, 56(3), 369-384. http://ve.scielo.org/scielo.php?script=sci_arttext&amp;pid=S0002-192X2006000300004</w:t>
      </w:r>
    </w:p>
    <w:p w14:paraId="2DA7F020"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pt-BR" w:eastAsia="en-US"/>
        </w:rPr>
      </w:pPr>
      <w:r w:rsidRPr="00344F3A">
        <w:rPr>
          <w:rFonts w:ascii="Times New Roman" w:eastAsia="Calibri" w:hAnsi="Times New Roman" w:cs="Times New Roman"/>
          <w:sz w:val="24"/>
          <w:szCs w:val="24"/>
          <w:lang w:val="es-ES" w:eastAsia="en-US"/>
        </w:rPr>
        <w:t xml:space="preserve">Alessandro, M. S., </w:t>
      </w:r>
      <w:proofErr w:type="spellStart"/>
      <w:r w:rsidRPr="00344F3A">
        <w:rPr>
          <w:rFonts w:ascii="Times New Roman" w:eastAsia="Calibri" w:hAnsi="Times New Roman" w:cs="Times New Roman"/>
          <w:sz w:val="24"/>
          <w:szCs w:val="24"/>
          <w:lang w:val="es-ES" w:eastAsia="en-US"/>
        </w:rPr>
        <w:t>Lopez</w:t>
      </w:r>
      <w:proofErr w:type="spellEnd"/>
      <w:r w:rsidRPr="00344F3A">
        <w:rPr>
          <w:rFonts w:ascii="Times New Roman" w:eastAsia="Calibri" w:hAnsi="Times New Roman" w:cs="Times New Roman"/>
          <w:sz w:val="24"/>
          <w:szCs w:val="24"/>
          <w:lang w:val="es-ES" w:eastAsia="en-US"/>
        </w:rPr>
        <w:t xml:space="preserve"> Frasca, A., &amp; González, M. (2014). </w:t>
      </w:r>
      <w:r w:rsidRPr="00344F3A">
        <w:rPr>
          <w:rFonts w:ascii="Times New Roman" w:eastAsia="Calibri" w:hAnsi="Times New Roman" w:cs="Times New Roman"/>
          <w:sz w:val="24"/>
          <w:szCs w:val="24"/>
          <w:lang w:val="en-US" w:eastAsia="en-US"/>
        </w:rPr>
        <w:t xml:space="preserve">Evaluation of carrot cultivars in the Uco Valley, Mendoza. </w:t>
      </w:r>
      <w:r w:rsidRPr="00344F3A">
        <w:rPr>
          <w:rFonts w:ascii="Times New Roman" w:eastAsia="Calibri" w:hAnsi="Times New Roman" w:cs="Times New Roman"/>
          <w:sz w:val="24"/>
          <w:szCs w:val="24"/>
          <w:lang w:val="pt-BR" w:eastAsia="en-US"/>
        </w:rPr>
        <w:t>Argentine Horticulture, 33(81), 22-30. https://www.horticulturaar.com.ar/en/pdf/158/carrot-cultivar-evaluation-in-uco-valley-mendoza.pdf</w:t>
      </w:r>
    </w:p>
    <w:p w14:paraId="1EB3CF9F"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pt-BR" w:eastAsia="en-US"/>
        </w:rPr>
        <w:t xml:space="preserve">Ali, M., Ali, L., Waqar, M. Q., &amp; Ali, M. A. (2016). </w:t>
      </w:r>
      <w:r w:rsidRPr="00344F3A">
        <w:rPr>
          <w:rFonts w:ascii="Times New Roman" w:eastAsia="Calibri" w:hAnsi="Times New Roman" w:cs="Times New Roman"/>
          <w:sz w:val="24"/>
          <w:szCs w:val="24"/>
          <w:lang w:val="en-US" w:eastAsia="en-US"/>
        </w:rPr>
        <w:t>Bed planting: A new crop establishment method for wheat (</w:t>
      </w:r>
      <w:r w:rsidRPr="00344F3A">
        <w:rPr>
          <w:rFonts w:ascii="Times New Roman" w:eastAsia="Calibri" w:hAnsi="Times New Roman" w:cs="Times New Roman"/>
          <w:i/>
          <w:sz w:val="24"/>
          <w:szCs w:val="24"/>
          <w:lang w:val="en-US" w:eastAsia="en-US"/>
        </w:rPr>
        <w:t>Triticum aestivum</w:t>
      </w:r>
      <w:r w:rsidRPr="00344F3A">
        <w:rPr>
          <w:rFonts w:ascii="Times New Roman" w:eastAsia="Calibri" w:hAnsi="Times New Roman" w:cs="Times New Roman"/>
          <w:sz w:val="24"/>
          <w:szCs w:val="24"/>
          <w:lang w:val="en-US" w:eastAsia="en-US"/>
        </w:rPr>
        <w:t xml:space="preserve"> L.) in cotton-wheat cropping system of Southern Punjab. International Journal of Agriculture and Applied Sciences (Pakistan), 4(1). https://agris.fao.org/search/en/providers/122650/records/6473a35996fdec8b71b4602f</w:t>
      </w:r>
    </w:p>
    <w:p w14:paraId="7330D1FD"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Ayupov, D., </w:t>
      </w:r>
      <w:proofErr w:type="spellStart"/>
      <w:r w:rsidRPr="00344F3A">
        <w:rPr>
          <w:rFonts w:ascii="Times New Roman" w:eastAsia="Calibri" w:hAnsi="Times New Roman" w:cs="Times New Roman"/>
          <w:sz w:val="24"/>
          <w:szCs w:val="24"/>
          <w:lang w:val="en-US" w:eastAsia="en-US"/>
        </w:rPr>
        <w:t>Akhiyarov</w:t>
      </w:r>
      <w:proofErr w:type="spellEnd"/>
      <w:r w:rsidRPr="00344F3A">
        <w:rPr>
          <w:rFonts w:ascii="Times New Roman" w:eastAsia="Calibri" w:hAnsi="Times New Roman" w:cs="Times New Roman"/>
          <w:sz w:val="24"/>
          <w:szCs w:val="24"/>
          <w:lang w:val="en-US" w:eastAsia="en-US"/>
        </w:rPr>
        <w:t xml:space="preserve">, B., Kuznetsov, I., Ismagilov, R., </w:t>
      </w:r>
      <w:proofErr w:type="spellStart"/>
      <w:r w:rsidRPr="00344F3A">
        <w:rPr>
          <w:rFonts w:ascii="Times New Roman" w:eastAsia="Calibri" w:hAnsi="Times New Roman" w:cs="Times New Roman"/>
          <w:sz w:val="24"/>
          <w:szCs w:val="24"/>
          <w:lang w:val="en-US" w:eastAsia="en-US"/>
        </w:rPr>
        <w:t>Abdulvaleyev</w:t>
      </w:r>
      <w:proofErr w:type="spellEnd"/>
      <w:r w:rsidRPr="00344F3A">
        <w:rPr>
          <w:rFonts w:ascii="Times New Roman" w:eastAsia="Calibri" w:hAnsi="Times New Roman" w:cs="Times New Roman"/>
          <w:sz w:val="24"/>
          <w:szCs w:val="24"/>
          <w:lang w:val="en-US" w:eastAsia="en-US"/>
        </w:rPr>
        <w:t xml:space="preserve">, R., </w:t>
      </w:r>
      <w:proofErr w:type="spellStart"/>
      <w:r w:rsidRPr="00344F3A">
        <w:rPr>
          <w:rFonts w:ascii="Times New Roman" w:eastAsia="Calibri" w:hAnsi="Times New Roman" w:cs="Times New Roman"/>
          <w:sz w:val="24"/>
          <w:szCs w:val="24"/>
          <w:lang w:val="en-US" w:eastAsia="en-US"/>
        </w:rPr>
        <w:t>Akhiyarov</w:t>
      </w:r>
      <w:proofErr w:type="spellEnd"/>
      <w:r w:rsidRPr="00344F3A">
        <w:rPr>
          <w:rFonts w:ascii="Times New Roman" w:eastAsia="Calibri" w:hAnsi="Times New Roman" w:cs="Times New Roman"/>
          <w:sz w:val="24"/>
          <w:szCs w:val="24"/>
          <w:lang w:val="pt-BR" w:eastAsia="en-US"/>
        </w:rPr>
        <w:t>а</w:t>
      </w:r>
      <w:r w:rsidRPr="00344F3A">
        <w:rPr>
          <w:rFonts w:ascii="Times New Roman" w:eastAsia="Calibri" w:hAnsi="Times New Roman" w:cs="Times New Roman"/>
          <w:sz w:val="24"/>
          <w:szCs w:val="24"/>
          <w:lang w:val="en-US" w:eastAsia="en-US"/>
        </w:rPr>
        <w:t xml:space="preserve">, L., </w:t>
      </w:r>
      <w:proofErr w:type="spellStart"/>
      <w:r w:rsidRPr="00344F3A">
        <w:rPr>
          <w:rFonts w:ascii="Times New Roman" w:eastAsia="Calibri" w:hAnsi="Times New Roman" w:cs="Times New Roman"/>
          <w:sz w:val="24"/>
          <w:szCs w:val="24"/>
          <w:lang w:val="en-US" w:eastAsia="en-US"/>
        </w:rPr>
        <w:t>Valitov</w:t>
      </w:r>
      <w:proofErr w:type="spellEnd"/>
      <w:r w:rsidRPr="00344F3A">
        <w:rPr>
          <w:rFonts w:ascii="Times New Roman" w:eastAsia="Calibri" w:hAnsi="Times New Roman" w:cs="Times New Roman"/>
          <w:sz w:val="24"/>
          <w:szCs w:val="24"/>
          <w:lang w:val="en-US" w:eastAsia="en-US"/>
        </w:rPr>
        <w:t xml:space="preserve">, A., </w:t>
      </w:r>
      <w:proofErr w:type="spellStart"/>
      <w:r w:rsidRPr="00344F3A">
        <w:rPr>
          <w:rFonts w:ascii="Times New Roman" w:eastAsia="Calibri" w:hAnsi="Times New Roman" w:cs="Times New Roman"/>
          <w:sz w:val="24"/>
          <w:szCs w:val="24"/>
          <w:lang w:val="en-US" w:eastAsia="en-US"/>
        </w:rPr>
        <w:t>Davletshin</w:t>
      </w:r>
      <w:proofErr w:type="spellEnd"/>
      <w:r w:rsidRPr="00344F3A">
        <w:rPr>
          <w:rFonts w:ascii="Times New Roman" w:eastAsia="Calibri" w:hAnsi="Times New Roman" w:cs="Times New Roman"/>
          <w:sz w:val="24"/>
          <w:szCs w:val="24"/>
          <w:lang w:val="en-US" w:eastAsia="en-US"/>
        </w:rPr>
        <w:t xml:space="preserve">, F., </w:t>
      </w:r>
      <w:proofErr w:type="spellStart"/>
      <w:r w:rsidRPr="00344F3A">
        <w:rPr>
          <w:rFonts w:ascii="Times New Roman" w:eastAsia="Calibri" w:hAnsi="Times New Roman" w:cs="Times New Roman"/>
          <w:sz w:val="24"/>
          <w:szCs w:val="24"/>
          <w:lang w:val="en-US" w:eastAsia="en-US"/>
        </w:rPr>
        <w:t>Abdulmanov</w:t>
      </w:r>
      <w:proofErr w:type="spellEnd"/>
      <w:r w:rsidRPr="00344F3A">
        <w:rPr>
          <w:rFonts w:ascii="Times New Roman" w:eastAsia="Calibri" w:hAnsi="Times New Roman" w:cs="Times New Roman"/>
          <w:sz w:val="24"/>
          <w:szCs w:val="24"/>
          <w:lang w:val="en-US" w:eastAsia="en-US"/>
        </w:rPr>
        <w:t xml:space="preserve">, R., &amp; </w:t>
      </w:r>
      <w:proofErr w:type="spellStart"/>
      <w:r w:rsidRPr="00344F3A">
        <w:rPr>
          <w:rFonts w:ascii="Times New Roman" w:eastAsia="Calibri" w:hAnsi="Times New Roman" w:cs="Times New Roman"/>
          <w:sz w:val="24"/>
          <w:szCs w:val="24"/>
          <w:lang w:val="en-US" w:eastAsia="en-US"/>
        </w:rPr>
        <w:t>Irgalina</w:t>
      </w:r>
      <w:proofErr w:type="spellEnd"/>
      <w:r w:rsidRPr="00344F3A">
        <w:rPr>
          <w:rFonts w:ascii="Times New Roman" w:eastAsia="Calibri" w:hAnsi="Times New Roman" w:cs="Times New Roman"/>
          <w:sz w:val="24"/>
          <w:szCs w:val="24"/>
          <w:lang w:val="en-US" w:eastAsia="en-US"/>
        </w:rPr>
        <w:t xml:space="preserve">, R. (2019). Improving technology elements in multi-purpose carrot </w:t>
      </w:r>
      <w:proofErr w:type="spellStart"/>
      <w:r w:rsidRPr="00344F3A">
        <w:rPr>
          <w:rFonts w:ascii="Times New Roman" w:eastAsia="Calibri" w:hAnsi="Times New Roman" w:cs="Times New Roman"/>
          <w:sz w:val="24"/>
          <w:szCs w:val="24"/>
          <w:lang w:val="en-US" w:eastAsia="en-US"/>
        </w:rPr>
        <w:t>cultivation.Bulgarian</w:t>
      </w:r>
      <w:proofErr w:type="spellEnd"/>
      <w:r w:rsidRPr="00344F3A">
        <w:rPr>
          <w:rFonts w:ascii="Times New Roman" w:eastAsia="Calibri" w:hAnsi="Times New Roman" w:cs="Times New Roman"/>
          <w:sz w:val="24"/>
          <w:szCs w:val="24"/>
          <w:lang w:val="en-US" w:eastAsia="en-US"/>
        </w:rPr>
        <w:t xml:space="preserve"> Journal of Agricultural Science, 25(Suppl. 2), 21-29. https://www.agrojournal.org/25/02s-03.pdf</w:t>
      </w:r>
    </w:p>
    <w:p w14:paraId="32F4BED6"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Blake, J. A., &amp; Dunn, B. L. (2021). Carrot yield and shape altered by seeding rate and raised beds in clay‑loam soil. </w:t>
      </w:r>
      <w:proofErr w:type="spellStart"/>
      <w:r w:rsidRPr="00344F3A">
        <w:rPr>
          <w:rFonts w:ascii="Times New Roman" w:eastAsia="Calibri" w:hAnsi="Times New Roman" w:cs="Times New Roman"/>
          <w:sz w:val="24"/>
          <w:szCs w:val="24"/>
          <w:lang w:val="en-US" w:eastAsia="en-US"/>
        </w:rPr>
        <w:t>HortScience</w:t>
      </w:r>
      <w:proofErr w:type="spellEnd"/>
      <w:r w:rsidRPr="00344F3A">
        <w:rPr>
          <w:rFonts w:ascii="Times New Roman" w:eastAsia="Calibri" w:hAnsi="Times New Roman" w:cs="Times New Roman"/>
          <w:sz w:val="24"/>
          <w:szCs w:val="24"/>
          <w:lang w:val="en-US" w:eastAsia="en-US"/>
        </w:rPr>
        <w:t>, 56(6), 722-728. https://doi.org/10.21273/HORTSCI15823-21</w:t>
      </w:r>
    </w:p>
    <w:p w14:paraId="7249EF2E"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Bussi, J., &amp; </w:t>
      </w:r>
      <w:proofErr w:type="spellStart"/>
      <w:r w:rsidRPr="00344F3A">
        <w:rPr>
          <w:rFonts w:ascii="Times New Roman" w:eastAsia="Calibri" w:hAnsi="Times New Roman" w:cs="Times New Roman"/>
          <w:sz w:val="24"/>
          <w:szCs w:val="24"/>
          <w:lang w:val="en-US" w:eastAsia="en-US"/>
        </w:rPr>
        <w:t>Ciccioli</w:t>
      </w:r>
      <w:proofErr w:type="spellEnd"/>
      <w:r w:rsidRPr="00344F3A">
        <w:rPr>
          <w:rFonts w:ascii="Times New Roman" w:eastAsia="Calibri" w:hAnsi="Times New Roman" w:cs="Times New Roman"/>
          <w:sz w:val="24"/>
          <w:szCs w:val="24"/>
          <w:lang w:val="en-US" w:eastAsia="en-US"/>
        </w:rPr>
        <w:t>, P. (2015). A review of different robust methods for principal component analysis. Retrieved from: https://rephip.unr.edu.ar/items/bc19035a-69b0-4dba-aa50-5025dff61dbf</w:t>
      </w:r>
    </w:p>
    <w:p w14:paraId="1969B6F1"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Cabrera, F. A. V. (2016). Plant Genetic Improvement [Google Books Version]: Second Edition. National University of Colombia.</w:t>
      </w:r>
    </w:p>
    <w:p w14:paraId="079BFF84"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Camargo, I., </w:t>
      </w:r>
      <w:proofErr w:type="spellStart"/>
      <w:r w:rsidRPr="00344F3A">
        <w:rPr>
          <w:rFonts w:ascii="Times New Roman" w:eastAsia="Calibri" w:hAnsi="Times New Roman" w:cs="Times New Roman"/>
          <w:sz w:val="24"/>
          <w:szCs w:val="24"/>
          <w:lang w:val="en-US" w:eastAsia="en-US"/>
        </w:rPr>
        <w:t>Intire</w:t>
      </w:r>
      <w:proofErr w:type="spellEnd"/>
      <w:r w:rsidRPr="00344F3A">
        <w:rPr>
          <w:rFonts w:ascii="Times New Roman" w:eastAsia="Calibri" w:hAnsi="Times New Roman" w:cs="Times New Roman"/>
          <w:sz w:val="24"/>
          <w:szCs w:val="24"/>
          <w:lang w:val="en-US" w:eastAsia="en-US"/>
        </w:rPr>
        <w:t xml:space="preserve">, Q., &amp; </w:t>
      </w:r>
      <w:proofErr w:type="spellStart"/>
      <w:r w:rsidRPr="00344F3A">
        <w:rPr>
          <w:rFonts w:ascii="Times New Roman" w:eastAsia="Calibri" w:hAnsi="Times New Roman" w:cs="Times New Roman"/>
          <w:sz w:val="24"/>
          <w:szCs w:val="24"/>
          <w:lang w:val="en-US" w:eastAsia="en-US"/>
        </w:rPr>
        <w:t>Gordón</w:t>
      </w:r>
      <w:proofErr w:type="spellEnd"/>
      <w:r w:rsidRPr="00344F3A">
        <w:rPr>
          <w:rFonts w:ascii="Times New Roman" w:eastAsia="Calibri" w:hAnsi="Times New Roman" w:cs="Times New Roman"/>
          <w:sz w:val="24"/>
          <w:szCs w:val="24"/>
          <w:lang w:val="en-US" w:eastAsia="en-US"/>
        </w:rPr>
        <w:t xml:space="preserve">, R. (2011). Identifying mega-environments to enhance the use of superior rice genotypes in </w:t>
      </w:r>
      <w:proofErr w:type="spellStart"/>
      <w:r w:rsidRPr="00344F3A">
        <w:rPr>
          <w:rFonts w:ascii="Times New Roman" w:eastAsia="Calibri" w:hAnsi="Times New Roman" w:cs="Times New Roman"/>
          <w:sz w:val="24"/>
          <w:szCs w:val="24"/>
          <w:lang w:val="en-US" w:eastAsia="en-US"/>
        </w:rPr>
        <w:t>Panama.Brazilian</w:t>
      </w:r>
      <w:proofErr w:type="spellEnd"/>
      <w:r w:rsidRPr="00344F3A">
        <w:rPr>
          <w:rFonts w:ascii="Times New Roman" w:eastAsia="Calibri" w:hAnsi="Times New Roman" w:cs="Times New Roman"/>
          <w:sz w:val="24"/>
          <w:szCs w:val="24"/>
          <w:lang w:val="en-US" w:eastAsia="en-US"/>
        </w:rPr>
        <w:t xml:space="preserve"> Agricultural Research, 46, 1061-1069. https://www.scielo.br/j/pab/a/CrW3Pqh7KKBZcVhkY7dPXdg/?format=pdf&amp;lang=es</w:t>
      </w:r>
    </w:p>
    <w:p w14:paraId="06A614C4"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pt-BR" w:eastAsia="en-US"/>
        </w:rPr>
        <w:lastRenderedPageBreak/>
        <w:t xml:space="preserve">Carvalho A., Da Silva G., &amp; Pereira G. (2019). </w:t>
      </w:r>
      <w:r w:rsidRPr="00344F3A">
        <w:rPr>
          <w:rFonts w:ascii="Times New Roman" w:eastAsia="Calibri" w:hAnsi="Times New Roman" w:cs="Times New Roman"/>
          <w:sz w:val="24"/>
          <w:szCs w:val="24"/>
          <w:lang w:val="en-US" w:eastAsia="en-US"/>
        </w:rPr>
        <w:t xml:space="preserve">Direct selection for phenotypic traits in cart </w:t>
      </w:r>
      <w:proofErr w:type="spellStart"/>
      <w:r w:rsidRPr="00344F3A">
        <w:rPr>
          <w:rFonts w:ascii="Times New Roman" w:eastAsia="Calibri" w:hAnsi="Times New Roman" w:cs="Times New Roman"/>
          <w:sz w:val="24"/>
          <w:szCs w:val="24"/>
          <w:lang w:val="en-US" w:eastAsia="en-US"/>
        </w:rPr>
        <w:t>genotypes.Brazilian</w:t>
      </w:r>
      <w:proofErr w:type="spellEnd"/>
      <w:r w:rsidRPr="00344F3A">
        <w:rPr>
          <w:rFonts w:ascii="Times New Roman" w:eastAsia="Calibri" w:hAnsi="Times New Roman" w:cs="Times New Roman"/>
          <w:sz w:val="24"/>
          <w:szCs w:val="24"/>
          <w:lang w:val="en-US" w:eastAsia="en-US"/>
        </w:rPr>
        <w:t xml:space="preserve"> Horticulture 37: 354-358. DOI - http://dx.doi.org/10.1590/S0102-053620190316</w:t>
      </w:r>
    </w:p>
    <w:p w14:paraId="2C776451"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Canedo‑Rosso, C.; </w:t>
      </w:r>
      <w:proofErr w:type="spellStart"/>
      <w:r w:rsidRPr="00344F3A">
        <w:rPr>
          <w:rFonts w:ascii="Times New Roman" w:eastAsia="Calibri" w:hAnsi="Times New Roman" w:cs="Times New Roman"/>
          <w:sz w:val="24"/>
          <w:szCs w:val="24"/>
          <w:lang w:val="en-US" w:eastAsia="en-US"/>
        </w:rPr>
        <w:t>Hochrainer</w:t>
      </w:r>
      <w:proofErr w:type="spellEnd"/>
      <w:r w:rsidRPr="00344F3A">
        <w:rPr>
          <w:rFonts w:ascii="Times New Roman" w:eastAsia="Calibri" w:hAnsi="Times New Roman" w:cs="Times New Roman"/>
          <w:sz w:val="24"/>
          <w:szCs w:val="24"/>
          <w:lang w:val="en-US" w:eastAsia="en-US"/>
        </w:rPr>
        <w:t>‑Stigler, S.; Pflug, G.; Condori, B.; Berndtsson, R. Drought impact in the Bolivian Altiplano agriculture associated with the El Niño–Southern Oscillation using satellite imagery data. Natural Hazards and Earth System Sciences, v. 21, p. 995–1010, 2021. https://doi.org/10.5194/nhess-21-995-2021</w:t>
      </w:r>
    </w:p>
    <w:p w14:paraId="7B504B58"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s-ES" w:eastAsia="en-US"/>
        </w:rPr>
        <w:t xml:space="preserve">Dotor, M., González, L., &amp; Morillo, A. (2018). </w:t>
      </w:r>
      <w:r w:rsidRPr="00344F3A">
        <w:rPr>
          <w:rFonts w:ascii="Times New Roman" w:eastAsia="Calibri" w:hAnsi="Times New Roman" w:cs="Times New Roman"/>
          <w:sz w:val="24"/>
          <w:szCs w:val="24"/>
          <w:lang w:val="en-US" w:eastAsia="en-US"/>
        </w:rPr>
        <w:t xml:space="preserve">Critical period of Carrot competition (Daucus </w:t>
      </w:r>
      <w:proofErr w:type="spellStart"/>
      <w:r w:rsidRPr="00344F3A">
        <w:rPr>
          <w:rFonts w:ascii="Times New Roman" w:eastAsia="Calibri" w:hAnsi="Times New Roman" w:cs="Times New Roman"/>
          <w:sz w:val="24"/>
          <w:szCs w:val="24"/>
          <w:lang w:val="en-US" w:eastAsia="en-US"/>
        </w:rPr>
        <w:t>carotaL</w:t>
      </w:r>
      <w:proofErr w:type="spellEnd"/>
      <w:r w:rsidRPr="00344F3A">
        <w:rPr>
          <w:rFonts w:ascii="Times New Roman" w:eastAsia="Calibri" w:hAnsi="Times New Roman" w:cs="Times New Roman"/>
          <w:sz w:val="24"/>
          <w:szCs w:val="24"/>
          <w:lang w:val="en-US" w:eastAsia="en-US"/>
        </w:rPr>
        <w:t xml:space="preserve">.) and weeds associated with the </w:t>
      </w:r>
      <w:proofErr w:type="spellStart"/>
      <w:r w:rsidRPr="00344F3A">
        <w:rPr>
          <w:rFonts w:ascii="Times New Roman" w:eastAsia="Calibri" w:hAnsi="Times New Roman" w:cs="Times New Roman"/>
          <w:sz w:val="24"/>
          <w:szCs w:val="24"/>
          <w:lang w:val="en-US" w:eastAsia="en-US"/>
        </w:rPr>
        <w:t>crop.Journal</w:t>
      </w:r>
      <w:proofErr w:type="spellEnd"/>
      <w:r w:rsidRPr="00344F3A">
        <w:rPr>
          <w:rFonts w:ascii="Times New Roman" w:eastAsia="Calibri" w:hAnsi="Times New Roman" w:cs="Times New Roman"/>
          <w:sz w:val="24"/>
          <w:szCs w:val="24"/>
          <w:lang w:val="en-US" w:eastAsia="en-US"/>
        </w:rPr>
        <w:t xml:space="preserve"> of Agricultural Sciences, 35(1), 5-15. https://doi.org/10.22267/rcia.183501.78</w:t>
      </w:r>
    </w:p>
    <w:p w14:paraId="52675997"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Du, X., He, W., Wang, Z., et al. (2021). Raised bed planting reduces waterlogging and increases yield in wheat following rice. Field Crops Research, 265, 108119. https://doi.org/10.1016/j.fcr.2021.108119</w:t>
      </w:r>
    </w:p>
    <w:p w14:paraId="61E4E1FA"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García de Souza, M. Rocha B., Gallo A., Galván G., Borges A.,&amp;</w:t>
      </w:r>
      <w:proofErr w:type="spellStart"/>
      <w:r w:rsidRPr="00344F3A">
        <w:rPr>
          <w:rFonts w:ascii="Times New Roman" w:eastAsia="Calibri" w:hAnsi="Times New Roman" w:cs="Times New Roman"/>
          <w:sz w:val="24"/>
          <w:szCs w:val="24"/>
          <w:lang w:val="en-US" w:eastAsia="en-US"/>
        </w:rPr>
        <w:t>Záccari</w:t>
      </w:r>
      <w:proofErr w:type="spellEnd"/>
      <w:r w:rsidRPr="00344F3A">
        <w:rPr>
          <w:rFonts w:ascii="Times New Roman" w:eastAsia="Calibri" w:hAnsi="Times New Roman" w:cs="Times New Roman"/>
          <w:sz w:val="24"/>
          <w:szCs w:val="24"/>
          <w:lang w:val="en-US" w:eastAsia="en-US"/>
        </w:rPr>
        <w:t xml:space="preserve"> F. (2012). Agronomic behavior and quality of local carrot populations in southern </w:t>
      </w:r>
      <w:proofErr w:type="spellStart"/>
      <w:r w:rsidRPr="00344F3A">
        <w:rPr>
          <w:rFonts w:ascii="Times New Roman" w:eastAsia="Calibri" w:hAnsi="Times New Roman" w:cs="Times New Roman"/>
          <w:sz w:val="24"/>
          <w:szCs w:val="24"/>
          <w:lang w:val="en-US" w:eastAsia="en-US"/>
        </w:rPr>
        <w:t>Uruguay.Agroscience</w:t>
      </w:r>
      <w:proofErr w:type="spellEnd"/>
      <w:r w:rsidRPr="00344F3A">
        <w:rPr>
          <w:rFonts w:ascii="Times New Roman" w:eastAsia="Calibri" w:hAnsi="Times New Roman" w:cs="Times New Roman"/>
          <w:sz w:val="24"/>
          <w:szCs w:val="24"/>
          <w:lang w:val="en-US" w:eastAsia="en-US"/>
        </w:rPr>
        <w:t xml:space="preserve"> Uruguay [online]. 2012, vol. 16, n. 1, pp. 86-88. http://www.scielo.edu.uy/pdf/agro/v16n1/v16n1a11.pdf</w:t>
      </w:r>
    </w:p>
    <w:p w14:paraId="24BE11C8"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Godwin, A.; </w:t>
      </w:r>
      <w:proofErr w:type="spellStart"/>
      <w:r w:rsidRPr="00344F3A">
        <w:rPr>
          <w:rFonts w:ascii="Times New Roman" w:eastAsia="Calibri" w:hAnsi="Times New Roman" w:cs="Times New Roman"/>
          <w:sz w:val="24"/>
          <w:szCs w:val="24"/>
          <w:lang w:val="en-US" w:eastAsia="en-US"/>
        </w:rPr>
        <w:t>Mcgill</w:t>
      </w:r>
      <w:proofErr w:type="spellEnd"/>
      <w:r w:rsidRPr="00344F3A">
        <w:rPr>
          <w:rFonts w:ascii="Times New Roman" w:eastAsia="Calibri" w:hAnsi="Times New Roman" w:cs="Times New Roman"/>
          <w:sz w:val="24"/>
          <w:szCs w:val="24"/>
          <w:lang w:val="en-US" w:eastAsia="en-US"/>
        </w:rPr>
        <w:t xml:space="preserve">, C.; Ward, A.; </w:t>
      </w:r>
      <w:proofErr w:type="spellStart"/>
      <w:r w:rsidRPr="00344F3A">
        <w:rPr>
          <w:rFonts w:ascii="Times New Roman" w:eastAsia="Calibri" w:hAnsi="Times New Roman" w:cs="Times New Roman"/>
          <w:sz w:val="24"/>
          <w:szCs w:val="24"/>
          <w:lang w:val="en-US" w:eastAsia="en-US"/>
        </w:rPr>
        <w:t>Sofkova‑Bobcheva</w:t>
      </w:r>
      <w:proofErr w:type="spellEnd"/>
      <w:r w:rsidRPr="00344F3A">
        <w:rPr>
          <w:rFonts w:ascii="Times New Roman" w:eastAsia="Calibri" w:hAnsi="Times New Roman" w:cs="Times New Roman"/>
          <w:sz w:val="24"/>
          <w:szCs w:val="24"/>
          <w:lang w:val="en-US" w:eastAsia="en-US"/>
        </w:rPr>
        <w:t xml:space="preserve">, S.; </w:t>
      </w:r>
      <w:proofErr w:type="spellStart"/>
      <w:r w:rsidRPr="00344F3A">
        <w:rPr>
          <w:rFonts w:ascii="Times New Roman" w:eastAsia="Calibri" w:hAnsi="Times New Roman" w:cs="Times New Roman"/>
          <w:sz w:val="24"/>
          <w:szCs w:val="24"/>
          <w:lang w:val="en-US" w:eastAsia="en-US"/>
        </w:rPr>
        <w:t>Pieralli</w:t>
      </w:r>
      <w:proofErr w:type="spellEnd"/>
      <w:r w:rsidRPr="00344F3A">
        <w:rPr>
          <w:rFonts w:ascii="Times New Roman" w:eastAsia="Calibri" w:hAnsi="Times New Roman" w:cs="Times New Roman"/>
          <w:sz w:val="24"/>
          <w:szCs w:val="24"/>
          <w:lang w:val="en-US" w:eastAsia="en-US"/>
        </w:rPr>
        <w:t>, S. Phenological phase affects carrot seed production sensitivity to climate change – A panel data analysis. Science of the Total Environment, v. 892, p. 164502, 2023. https://doi.org/10.1016/j.scitotenv.2023.164502</w:t>
      </w:r>
    </w:p>
    <w:p w14:paraId="2ABCF6F4"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Harrison, H. C., Staub, J. E., &amp; Simon, P. W. (1985). The Effects of Sludge, Bed, and Genotype on Carrot and Cucumber Flavor. </w:t>
      </w:r>
      <w:proofErr w:type="spellStart"/>
      <w:r w:rsidRPr="00344F3A">
        <w:rPr>
          <w:rFonts w:ascii="Times New Roman" w:eastAsia="Calibri" w:hAnsi="Times New Roman" w:cs="Times New Roman"/>
          <w:sz w:val="24"/>
          <w:szCs w:val="24"/>
          <w:lang w:val="en-US" w:eastAsia="en-US"/>
        </w:rPr>
        <w:t>HortScience</w:t>
      </w:r>
      <w:proofErr w:type="spellEnd"/>
      <w:r w:rsidRPr="00344F3A">
        <w:rPr>
          <w:rFonts w:ascii="Times New Roman" w:eastAsia="Calibri" w:hAnsi="Times New Roman" w:cs="Times New Roman"/>
          <w:sz w:val="24"/>
          <w:szCs w:val="24"/>
          <w:lang w:val="en-US" w:eastAsia="en-US"/>
        </w:rPr>
        <w:t>, 20(2), 209-211. https://doi.org/10.21273/HORTSCI.20.2.209</w:t>
      </w:r>
    </w:p>
    <w:p w14:paraId="2E5ACB8E"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Huespe</w:t>
      </w:r>
      <w:proofErr w:type="spellEnd"/>
      <w:r w:rsidRPr="00344F3A">
        <w:rPr>
          <w:rFonts w:ascii="Times New Roman" w:eastAsia="Calibri" w:hAnsi="Times New Roman" w:cs="Times New Roman"/>
          <w:sz w:val="24"/>
          <w:szCs w:val="24"/>
          <w:lang w:val="en-US" w:eastAsia="en-US"/>
        </w:rPr>
        <w:t xml:space="preserve">, D., </w:t>
      </w:r>
      <w:proofErr w:type="spellStart"/>
      <w:r w:rsidRPr="00344F3A">
        <w:rPr>
          <w:rFonts w:ascii="Times New Roman" w:eastAsia="Calibri" w:hAnsi="Times New Roman" w:cs="Times New Roman"/>
          <w:sz w:val="24"/>
          <w:szCs w:val="24"/>
          <w:lang w:val="en-US" w:eastAsia="en-US"/>
        </w:rPr>
        <w:t>Solaro</w:t>
      </w:r>
      <w:proofErr w:type="spellEnd"/>
      <w:r w:rsidRPr="00344F3A">
        <w:rPr>
          <w:rFonts w:ascii="Times New Roman" w:eastAsia="Calibri" w:hAnsi="Times New Roman" w:cs="Times New Roman"/>
          <w:sz w:val="24"/>
          <w:szCs w:val="24"/>
          <w:lang w:val="en-US" w:eastAsia="en-US"/>
        </w:rPr>
        <w:t xml:space="preserve">, C., &amp; Ponce, J. (2022). Comparative yield trial of carrot (Daucus </w:t>
      </w:r>
      <w:proofErr w:type="spellStart"/>
      <w:r w:rsidRPr="00344F3A">
        <w:rPr>
          <w:rFonts w:ascii="Times New Roman" w:eastAsia="Calibri" w:hAnsi="Times New Roman" w:cs="Times New Roman"/>
          <w:sz w:val="24"/>
          <w:szCs w:val="24"/>
          <w:lang w:val="en-US" w:eastAsia="en-US"/>
        </w:rPr>
        <w:t>carotaL</w:t>
      </w:r>
      <w:proofErr w:type="spellEnd"/>
      <w:r w:rsidRPr="00344F3A">
        <w:rPr>
          <w:rFonts w:ascii="Times New Roman" w:eastAsia="Calibri" w:hAnsi="Times New Roman" w:cs="Times New Roman"/>
          <w:sz w:val="24"/>
          <w:szCs w:val="24"/>
          <w:lang w:val="en-US" w:eastAsia="en-US"/>
        </w:rPr>
        <w:t xml:space="preserve">.) for two different harvest dates in the semi-arid Pampas </w:t>
      </w:r>
      <w:proofErr w:type="spellStart"/>
      <w:r w:rsidRPr="00344F3A">
        <w:rPr>
          <w:rFonts w:ascii="Times New Roman" w:eastAsia="Calibri" w:hAnsi="Times New Roman" w:cs="Times New Roman"/>
          <w:sz w:val="24"/>
          <w:szCs w:val="24"/>
          <w:lang w:val="en-US" w:eastAsia="en-US"/>
        </w:rPr>
        <w:t>region.Semi</w:t>
      </w:r>
      <w:proofErr w:type="spellEnd"/>
      <w:r w:rsidRPr="00344F3A">
        <w:rPr>
          <w:rFonts w:ascii="Times New Roman" w:eastAsia="Calibri" w:hAnsi="Times New Roman" w:cs="Times New Roman"/>
          <w:sz w:val="24"/>
          <w:szCs w:val="24"/>
          <w:lang w:val="en-US" w:eastAsia="en-US"/>
        </w:rPr>
        <w:t>-arid, 32(2), 57-64. http://dx.doi.org/10.19137/semiarida.2022(02).57-64</w:t>
      </w:r>
    </w:p>
    <w:p w14:paraId="6C3FC30D"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INIAF, (2024). National registry of varieties and protected varieties 2024 - National Institute of Agricultural and Forestry Innovation (INIAF).https://iniaf.gob.bo</w:t>
      </w:r>
    </w:p>
    <w:p w14:paraId="652AB9F7"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s-ES" w:eastAsia="en-US"/>
        </w:rPr>
        <w:t>Jat</w:t>
      </w:r>
      <w:proofErr w:type="spellEnd"/>
      <w:r w:rsidRPr="00344F3A">
        <w:rPr>
          <w:rFonts w:ascii="Times New Roman" w:eastAsia="Calibri" w:hAnsi="Times New Roman" w:cs="Times New Roman"/>
          <w:sz w:val="24"/>
          <w:szCs w:val="24"/>
          <w:lang w:val="es-ES" w:eastAsia="en-US"/>
        </w:rPr>
        <w:t xml:space="preserve">, M., Gupta, R., </w:t>
      </w:r>
      <w:proofErr w:type="spellStart"/>
      <w:r w:rsidRPr="00344F3A">
        <w:rPr>
          <w:rFonts w:ascii="Times New Roman" w:eastAsia="Calibri" w:hAnsi="Times New Roman" w:cs="Times New Roman"/>
          <w:sz w:val="24"/>
          <w:szCs w:val="24"/>
          <w:lang w:val="es-ES" w:eastAsia="en-US"/>
        </w:rPr>
        <w:t>Saharawat</w:t>
      </w:r>
      <w:proofErr w:type="spellEnd"/>
      <w:r w:rsidRPr="00344F3A">
        <w:rPr>
          <w:rFonts w:ascii="Times New Roman" w:eastAsia="Calibri" w:hAnsi="Times New Roman" w:cs="Times New Roman"/>
          <w:sz w:val="24"/>
          <w:szCs w:val="24"/>
          <w:lang w:val="es-ES" w:eastAsia="en-US"/>
        </w:rPr>
        <w:t xml:space="preserve">, Y., &amp; </w:t>
      </w:r>
      <w:proofErr w:type="spellStart"/>
      <w:r w:rsidRPr="00344F3A">
        <w:rPr>
          <w:rFonts w:ascii="Times New Roman" w:eastAsia="Calibri" w:hAnsi="Times New Roman" w:cs="Times New Roman"/>
          <w:sz w:val="24"/>
          <w:szCs w:val="24"/>
          <w:lang w:val="es-ES" w:eastAsia="en-US"/>
        </w:rPr>
        <w:t>Khosla</w:t>
      </w:r>
      <w:proofErr w:type="spellEnd"/>
      <w:r w:rsidRPr="00344F3A">
        <w:rPr>
          <w:rFonts w:ascii="Times New Roman" w:eastAsia="Calibri" w:hAnsi="Times New Roman" w:cs="Times New Roman"/>
          <w:sz w:val="24"/>
          <w:szCs w:val="24"/>
          <w:lang w:val="es-ES" w:eastAsia="en-US"/>
        </w:rPr>
        <w:t xml:space="preserve">, R. (2011). </w:t>
      </w:r>
      <w:r w:rsidRPr="00344F3A">
        <w:rPr>
          <w:rFonts w:ascii="Times New Roman" w:eastAsia="Calibri" w:hAnsi="Times New Roman" w:cs="Times New Roman"/>
          <w:sz w:val="24"/>
          <w:szCs w:val="24"/>
          <w:lang w:val="en-US" w:eastAsia="en-US"/>
        </w:rPr>
        <w:t>Layering precision land leveling and furrow irrigated raised bed planting: Productivity and input use efficiency of irrigated bread wheat in Indo-Gangetic Plains. American Journal of Plant Sciences, 2(04), 578. https://www.scirp.org/html/8251.html</w:t>
      </w:r>
    </w:p>
    <w:p w14:paraId="332D1678"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Naresh, R. K., Singh, B., Singh, S. P., Singh, P. K., Kumar, A., &amp; Kumar, A. (2012). Furrow irrigated raised bed (FIRB) planting technique for diversification of rice wheat system for western IGP region. International Journal of Life Sciences Biotechnology and Pharma Research, 1(3), 134-141. https://citeseerx.ist.psu.edu/document?repid=rep1&amp;type=pdf&amp;doi=e1d1b2c9cfd43435f147ccd2a6069b4dbefefc6f</w:t>
      </w:r>
    </w:p>
    <w:p w14:paraId="63C3B5FC"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Nath, S., Kumar, A., Mani, I., Singh, J., &amp; Sureja, A. K. (2019). Determination of physical and mechanical properties of carrot (Daucus carota) for designing combine harvesting mechanisms. Indian Journal of Agricultural Sciences, 89(6), 1011-1016. https://cdnsciencepub.com/doi/pdf/10.4141/P03-166</w:t>
      </w:r>
    </w:p>
    <w:p w14:paraId="66296DD2"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National Institute of Statistics (NIS) (2025). Economic Statistics: Agriculture. https://www.ine.gob.bo/</w:t>
      </w:r>
    </w:p>
    <w:p w14:paraId="5E66F2FE"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lastRenderedPageBreak/>
        <w:t>Nones, R. (2013). Raised - Bed Vegetable Gardening Made Simple. The Countryman Press. https://books.google.com.bo/books?id=pgk9em9SJf0C</w:t>
      </w:r>
    </w:p>
    <w:p w14:paraId="2E84F515"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proofErr w:type="spellStart"/>
      <w:r w:rsidRPr="00344F3A">
        <w:rPr>
          <w:rFonts w:ascii="Times New Roman" w:eastAsia="Calibri" w:hAnsi="Times New Roman" w:cs="Times New Roman"/>
          <w:sz w:val="24"/>
          <w:szCs w:val="24"/>
          <w:lang w:val="en-US" w:eastAsia="en-US"/>
        </w:rPr>
        <w:t>Pooniya</w:t>
      </w:r>
      <w:proofErr w:type="spellEnd"/>
      <w:r w:rsidRPr="00344F3A">
        <w:rPr>
          <w:rFonts w:ascii="Times New Roman" w:eastAsia="Calibri" w:hAnsi="Times New Roman" w:cs="Times New Roman"/>
          <w:sz w:val="24"/>
          <w:szCs w:val="24"/>
          <w:lang w:val="en-US" w:eastAsia="en-US"/>
        </w:rPr>
        <w:t xml:space="preserve">, V., Choudhary, A. K., Dass, A., Bana, R. S., Rana, K. S., Rana, D. S., ... &amp; </w:t>
      </w:r>
      <w:proofErr w:type="spellStart"/>
      <w:r w:rsidRPr="00344F3A">
        <w:rPr>
          <w:rFonts w:ascii="Times New Roman" w:eastAsia="Calibri" w:hAnsi="Times New Roman" w:cs="Times New Roman"/>
          <w:sz w:val="24"/>
          <w:szCs w:val="24"/>
          <w:lang w:val="en-US" w:eastAsia="en-US"/>
        </w:rPr>
        <w:t>Puniya</w:t>
      </w:r>
      <w:proofErr w:type="spellEnd"/>
      <w:r w:rsidRPr="00344F3A">
        <w:rPr>
          <w:rFonts w:ascii="Times New Roman" w:eastAsia="Calibri" w:hAnsi="Times New Roman" w:cs="Times New Roman"/>
          <w:sz w:val="24"/>
          <w:szCs w:val="24"/>
          <w:lang w:val="en-US" w:eastAsia="en-US"/>
        </w:rPr>
        <w:t>, M. M. (2015). Improved crop management practices for sustainable pulse production: An Indian perspective. The Indian Journal of Agricultural Sciences, 85(6), 747-458. https://doi.org/10.56093/ijas.v85i6.49184</w:t>
      </w:r>
    </w:p>
    <w:p w14:paraId="3DBAF54E"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pt-BR" w:eastAsia="en-US"/>
        </w:rPr>
        <w:t xml:space="preserve">Prajapati , A. , Tank , C. , Gami , R. , Ravindrababu , Y. , &amp; Kanbi , V. (2015). </w:t>
      </w:r>
      <w:r w:rsidRPr="00344F3A">
        <w:rPr>
          <w:rFonts w:ascii="Times New Roman" w:eastAsia="Calibri" w:hAnsi="Times New Roman" w:cs="Times New Roman"/>
          <w:sz w:val="24"/>
          <w:szCs w:val="24"/>
          <w:lang w:val="en-US" w:eastAsia="en-US"/>
        </w:rPr>
        <w:t>G x E interaction and stability analysis in carrot (Daucus carota L.). https://www.researchgate.net/profile/Ra-Gami/publication/308723562_G_x_E_interaction_and_stability_analysis_in_carrot_Daucus_carota_L/links/57ed091608ae92a5dbd1edbd/G-x-E-interaction-and-stability-analysis-in-carrot-Daucus-carota-L.pdf</w:t>
      </w:r>
    </w:p>
    <w:p w14:paraId="48618089"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pt-BR" w:eastAsia="en-US"/>
        </w:rPr>
        <w:t xml:space="preserve">Reginaldo, L., Lins, H., Sousa, M., Teófilo, T., Mendonça, V., &amp; Silva, D. (2021). </w:t>
      </w:r>
      <w:r w:rsidRPr="00344F3A">
        <w:rPr>
          <w:rFonts w:ascii="Times New Roman" w:eastAsia="Calibri" w:hAnsi="Times New Roman" w:cs="Times New Roman"/>
          <w:sz w:val="24"/>
          <w:szCs w:val="24"/>
          <w:lang w:val="en-US" w:eastAsia="en-US"/>
        </w:rPr>
        <w:t>Weed interference in carrot yield in two localized irrigation systems. Caatinga Magazine, 34(1), 119-131. https://doi. org/10.1590/1983-21252021v34n113rc</w:t>
      </w:r>
    </w:p>
    <w:p w14:paraId="5F8CE162"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Robert, S. P., </w:t>
      </w:r>
      <w:proofErr w:type="spellStart"/>
      <w:r w:rsidRPr="00344F3A">
        <w:rPr>
          <w:rFonts w:ascii="Times New Roman" w:eastAsia="Calibri" w:hAnsi="Times New Roman" w:cs="Times New Roman"/>
          <w:sz w:val="24"/>
          <w:szCs w:val="24"/>
          <w:lang w:val="en-US" w:eastAsia="en-US"/>
        </w:rPr>
        <w:t>Etokeren</w:t>
      </w:r>
      <w:proofErr w:type="spellEnd"/>
      <w:r w:rsidRPr="00344F3A">
        <w:rPr>
          <w:rFonts w:ascii="Times New Roman" w:eastAsia="Calibri" w:hAnsi="Times New Roman" w:cs="Times New Roman"/>
          <w:sz w:val="24"/>
          <w:szCs w:val="24"/>
          <w:lang w:val="en-US" w:eastAsia="en-US"/>
        </w:rPr>
        <w:t xml:space="preserve">, A. E., &amp; Adie, J. B. (2023). Yield Performance of Carrot (Daucus carota) Based on Seedbed Types in </w:t>
      </w:r>
      <w:proofErr w:type="spellStart"/>
      <w:r w:rsidRPr="00344F3A">
        <w:rPr>
          <w:rFonts w:ascii="Times New Roman" w:eastAsia="Calibri" w:hAnsi="Times New Roman" w:cs="Times New Roman"/>
          <w:sz w:val="24"/>
          <w:szCs w:val="24"/>
          <w:lang w:val="en-US" w:eastAsia="en-US"/>
        </w:rPr>
        <w:t>Uyo</w:t>
      </w:r>
      <w:proofErr w:type="spellEnd"/>
      <w:r w:rsidRPr="00344F3A">
        <w:rPr>
          <w:rFonts w:ascii="Times New Roman" w:eastAsia="Calibri" w:hAnsi="Times New Roman" w:cs="Times New Roman"/>
          <w:sz w:val="24"/>
          <w:szCs w:val="24"/>
          <w:lang w:val="en-US" w:eastAsia="en-US"/>
        </w:rPr>
        <w:t xml:space="preserve"> Local Government Area. International Journal of Education and Evaluation (IJEE)DOI: </w:t>
      </w:r>
      <w:proofErr w:type="gramStart"/>
      <w:r w:rsidRPr="00344F3A">
        <w:rPr>
          <w:rFonts w:ascii="Times New Roman" w:eastAsia="Calibri" w:hAnsi="Times New Roman" w:cs="Times New Roman"/>
          <w:sz w:val="24"/>
          <w:szCs w:val="24"/>
          <w:lang w:val="en-US" w:eastAsia="en-US"/>
        </w:rPr>
        <w:t>10.56201/ijee.v10.no3.2024.pg</w:t>
      </w:r>
      <w:proofErr w:type="gramEnd"/>
      <w:r w:rsidRPr="00344F3A">
        <w:rPr>
          <w:rFonts w:ascii="Times New Roman" w:eastAsia="Calibri" w:hAnsi="Times New Roman" w:cs="Times New Roman"/>
          <w:sz w:val="24"/>
          <w:szCs w:val="24"/>
          <w:lang w:val="en-US" w:eastAsia="en-US"/>
        </w:rPr>
        <w:t>16.27</w:t>
      </w:r>
    </w:p>
    <w:p w14:paraId="3AAF4FBB"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s-ES" w:eastAsia="en-US"/>
        </w:rPr>
        <w:t xml:space="preserve">Rodríguez, M., </w:t>
      </w:r>
      <w:proofErr w:type="spellStart"/>
      <w:r w:rsidRPr="00344F3A">
        <w:rPr>
          <w:rFonts w:ascii="Times New Roman" w:eastAsia="Calibri" w:hAnsi="Times New Roman" w:cs="Times New Roman"/>
          <w:sz w:val="24"/>
          <w:szCs w:val="24"/>
          <w:lang w:val="es-ES" w:eastAsia="en-US"/>
        </w:rPr>
        <w:t>Abramoff</w:t>
      </w:r>
      <w:proofErr w:type="spellEnd"/>
      <w:r w:rsidRPr="00344F3A">
        <w:rPr>
          <w:rFonts w:ascii="Times New Roman" w:eastAsia="Calibri" w:hAnsi="Times New Roman" w:cs="Times New Roman"/>
          <w:sz w:val="24"/>
          <w:szCs w:val="24"/>
          <w:lang w:val="es-ES" w:eastAsia="en-US"/>
        </w:rPr>
        <w:t xml:space="preserve">, C., Sisterna, M. N., &amp; </w:t>
      </w:r>
      <w:proofErr w:type="spellStart"/>
      <w:r w:rsidRPr="00344F3A">
        <w:rPr>
          <w:rFonts w:ascii="Times New Roman" w:eastAsia="Calibri" w:hAnsi="Times New Roman" w:cs="Times New Roman"/>
          <w:sz w:val="24"/>
          <w:szCs w:val="24"/>
          <w:lang w:val="es-ES" w:eastAsia="en-US"/>
        </w:rPr>
        <w:t>Lampugnani</w:t>
      </w:r>
      <w:proofErr w:type="spellEnd"/>
      <w:r w:rsidRPr="00344F3A">
        <w:rPr>
          <w:rFonts w:ascii="Times New Roman" w:eastAsia="Calibri" w:hAnsi="Times New Roman" w:cs="Times New Roman"/>
          <w:sz w:val="24"/>
          <w:szCs w:val="24"/>
          <w:lang w:val="es-ES" w:eastAsia="en-US"/>
        </w:rPr>
        <w:t xml:space="preserve">, G. (2019). </w:t>
      </w:r>
      <w:proofErr w:type="spellStart"/>
      <w:r w:rsidRPr="00344F3A">
        <w:rPr>
          <w:rFonts w:ascii="Times New Roman" w:eastAsia="Calibri" w:hAnsi="Times New Roman" w:cs="Times New Roman"/>
          <w:sz w:val="24"/>
          <w:szCs w:val="24"/>
          <w:lang w:val="en-US" w:eastAsia="en-US"/>
        </w:rPr>
        <w:t>Bioinput</w:t>
      </w:r>
      <w:proofErr w:type="spellEnd"/>
      <w:r w:rsidRPr="00344F3A">
        <w:rPr>
          <w:rFonts w:ascii="Times New Roman" w:eastAsia="Calibri" w:hAnsi="Times New Roman" w:cs="Times New Roman"/>
          <w:sz w:val="24"/>
          <w:szCs w:val="24"/>
          <w:lang w:val="en-US" w:eastAsia="en-US"/>
        </w:rPr>
        <w:t xml:space="preserve"> as an alternative control for fungi that affect vegetable seeds. Young Research, 6. https://sedici.unlp.edu.ar/bitstream/handle/10915/92944/Documento_completo.pdf-PDFA.pdf?sequence=1</w:t>
      </w:r>
    </w:p>
    <w:p w14:paraId="72929EAF"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Rohwer, C. L. (2021). Carrot Yield and Shape Altered by Seeding Rate and Raised Beds in Clay-loam Soil. </w:t>
      </w:r>
      <w:proofErr w:type="spellStart"/>
      <w:r w:rsidRPr="00344F3A">
        <w:rPr>
          <w:rFonts w:ascii="Times New Roman" w:eastAsia="Calibri" w:hAnsi="Times New Roman" w:cs="Times New Roman"/>
          <w:sz w:val="24"/>
          <w:szCs w:val="24"/>
          <w:lang w:val="en-US" w:eastAsia="en-US"/>
        </w:rPr>
        <w:t>HortScience</w:t>
      </w:r>
      <w:proofErr w:type="spellEnd"/>
      <w:r w:rsidRPr="00344F3A">
        <w:rPr>
          <w:rFonts w:ascii="Times New Roman" w:eastAsia="Calibri" w:hAnsi="Times New Roman" w:cs="Times New Roman"/>
          <w:sz w:val="24"/>
          <w:szCs w:val="24"/>
          <w:lang w:val="en-US" w:eastAsia="en-US"/>
        </w:rPr>
        <w:t xml:space="preserve"> gardens, 56(6), 722-729. https://doi.org/10.21273/HORTSCI15823-21</w:t>
      </w:r>
    </w:p>
    <w:p w14:paraId="7DDE9309"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Santhi, V., Priya, P., Anita, B.&amp; Selvaraj, N. (2015). Genetic variability, heritability and genetic advance in varieties of carrot (Daucus carota L.). Interns. J. Plant Sci., 10 (2): 136-141. https://doi.org/10.15740/HAS/IJPS/10.2/136-141</w:t>
      </w:r>
    </w:p>
    <w:p w14:paraId="5EBBBD06"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Sayre, K.; Moreno Ramos, O. (1997). Applications of raised-bed planting systems to wheat. WPSR. CIMMYT. 36 p.</w:t>
      </w:r>
    </w:p>
    <w:p w14:paraId="634F79A7"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Takeshima, R., Murakami, S., Fujiwara, Y., &amp; Koyama, T. (2023). Subsurface drainage and raised‑bed planting reduce excess water stress and increase yield in common buckwheat (</w:t>
      </w:r>
      <w:r w:rsidRPr="00344F3A">
        <w:rPr>
          <w:rFonts w:ascii="Times New Roman" w:eastAsia="Calibri" w:hAnsi="Times New Roman" w:cs="Times New Roman"/>
          <w:i/>
          <w:sz w:val="24"/>
          <w:szCs w:val="24"/>
          <w:lang w:val="en-US" w:eastAsia="en-US"/>
        </w:rPr>
        <w:t>Fagopyrum esculentum</w:t>
      </w:r>
      <w:r w:rsidRPr="00344F3A">
        <w:rPr>
          <w:rFonts w:ascii="Times New Roman" w:eastAsia="Calibri" w:hAnsi="Times New Roman" w:cs="Times New Roman"/>
          <w:sz w:val="24"/>
          <w:szCs w:val="24"/>
          <w:lang w:val="en-US" w:eastAsia="en-US"/>
        </w:rPr>
        <w:t xml:space="preserve"> Moench). Field Crops Research, 297, 108935. https://doi.org/10.1016/j.fcr.2023.108935</w:t>
      </w:r>
    </w:p>
    <w:p w14:paraId="7AFAD9C6"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Thind, S. K., &amp; Mahal, J. S. (2021). Package of practices for cultivation of vegetables. Additional Director of Communication for Punjab Agricultural University, Ludhiana, 39. https://pau.edu/content/ccil/pf/pp_veg.pdf</w:t>
      </w:r>
    </w:p>
    <w:p w14:paraId="04818688" w14:textId="77777777" w:rsidR="00344F3A" w:rsidRPr="00344F3A" w:rsidRDefault="00344F3A" w:rsidP="00344F3A">
      <w:pPr>
        <w:spacing w:after="0" w:line="240" w:lineRule="auto"/>
        <w:ind w:left="567" w:hanging="567"/>
        <w:rPr>
          <w:rFonts w:ascii="Times New Roman" w:eastAsia="Calibri" w:hAnsi="Times New Roman" w:cs="Times New Roman"/>
          <w:sz w:val="24"/>
          <w:szCs w:val="24"/>
          <w:lang w:val="en-US" w:eastAsia="en-US"/>
        </w:rPr>
      </w:pPr>
      <w:r w:rsidRPr="00344F3A">
        <w:rPr>
          <w:rFonts w:ascii="Times New Roman" w:eastAsia="Calibri" w:hAnsi="Times New Roman" w:cs="Times New Roman"/>
          <w:sz w:val="24"/>
          <w:szCs w:val="24"/>
          <w:lang w:val="en-US" w:eastAsia="en-US"/>
        </w:rPr>
        <w:t xml:space="preserve">Ventura, F. T. (2021). Carrot: evaluation of nationally developed cultivars in peri-urban Buenos </w:t>
      </w:r>
      <w:proofErr w:type="spellStart"/>
      <w:r w:rsidRPr="00344F3A">
        <w:rPr>
          <w:rFonts w:ascii="Times New Roman" w:eastAsia="Calibri" w:hAnsi="Times New Roman" w:cs="Times New Roman"/>
          <w:sz w:val="24"/>
          <w:szCs w:val="24"/>
          <w:lang w:val="en-US" w:eastAsia="en-US"/>
        </w:rPr>
        <w:t>Aires.Fruit</w:t>
      </w:r>
      <w:proofErr w:type="spellEnd"/>
      <w:r w:rsidRPr="00344F3A">
        <w:rPr>
          <w:rFonts w:ascii="Times New Roman" w:eastAsia="Calibri" w:hAnsi="Times New Roman" w:cs="Times New Roman"/>
          <w:sz w:val="24"/>
          <w:szCs w:val="24"/>
          <w:lang w:val="en-US" w:eastAsia="en-US"/>
        </w:rPr>
        <w:t xml:space="preserve"> and Vegetable Perspectives, 47. https://www.unaj.edu.ar/wp-content/uploads/2021/12/RevistaMDA_vol02-n03_122021.pdf#page=47</w:t>
      </w:r>
    </w:p>
    <w:p w14:paraId="40DC16FC" w14:textId="7812BDC9" w:rsidR="00CF1955" w:rsidRDefault="00344F3A" w:rsidP="00344F3A">
      <w:pPr>
        <w:spacing w:after="0" w:line="240" w:lineRule="auto"/>
        <w:ind w:left="567" w:hanging="567"/>
        <w:rPr>
          <w:rFonts w:ascii="Times New Roman" w:eastAsia="Times New Roman" w:hAnsi="Times New Roman" w:cs="Times New Roman"/>
          <w:sz w:val="24"/>
          <w:szCs w:val="24"/>
        </w:rPr>
      </w:pPr>
      <w:r w:rsidRPr="00E06694">
        <w:rPr>
          <w:rFonts w:ascii="Times New Roman" w:eastAsia="Calibri" w:hAnsi="Times New Roman" w:cs="Times New Roman"/>
          <w:sz w:val="24"/>
          <w:szCs w:val="24"/>
          <w:lang w:val="en-US" w:eastAsia="en-US"/>
        </w:rPr>
        <w:t xml:space="preserve">Zhang, X., Ma, L., Gilliam, F., Wang, Q., &amp; Li, C. (2012). Effects of raised-bed planting for enhanced summer maize yield on rhizosphere soil microbial functional groups and enzyme activity in Henan Province, China. </w:t>
      </w:r>
      <w:r w:rsidRPr="00E06694">
        <w:rPr>
          <w:rFonts w:ascii="Times New Roman" w:eastAsia="Calibri" w:hAnsi="Times New Roman" w:cs="Times New Roman"/>
          <w:sz w:val="24"/>
          <w:szCs w:val="24"/>
          <w:lang w:val="pt-BR" w:eastAsia="en-US"/>
        </w:rPr>
        <w:t>Field Crops Research, 130, 28-37. https://doi.org/10.1016/j.fcr.2012.02.008</w:t>
      </w:r>
    </w:p>
    <w:p w14:paraId="5350B134" w14:textId="77777777" w:rsidR="00CF1955" w:rsidRPr="004D0B40" w:rsidRDefault="00CF1955" w:rsidP="00344F3A">
      <w:pPr>
        <w:spacing w:after="0" w:line="240" w:lineRule="auto"/>
        <w:rPr>
          <w:rFonts w:ascii="Times New Roman" w:eastAsia="Times New Roman" w:hAnsi="Times New Roman" w:cs="Times New Roman"/>
          <w:sz w:val="24"/>
          <w:szCs w:val="24"/>
        </w:rPr>
      </w:pPr>
    </w:p>
    <w:sectPr w:rsidR="00CF1955" w:rsidRPr="004D0B40" w:rsidSect="004D0B40">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ohlupuii ralte" w:date="2025-07-17T20:21:00Z" w:initials="rr">
    <w:p w14:paraId="683D8B58" w14:textId="4EFD6100" w:rsidR="002B3C38" w:rsidRDefault="002B3C38">
      <w:pPr>
        <w:pStyle w:val="CommentText"/>
      </w:pPr>
      <w:r>
        <w:rPr>
          <w:rStyle w:val="CommentReference"/>
        </w:rPr>
        <w:annotationRef/>
      </w:r>
      <w:r>
        <w:t xml:space="preserve">Please remove this hyphen when </w:t>
      </w:r>
      <w:proofErr w:type="spellStart"/>
      <w:r>
        <w:t>its</w:t>
      </w:r>
      <w:proofErr w:type="spellEnd"/>
      <w:r>
        <w:t xml:space="preserve"> not necessary.</w:t>
      </w:r>
    </w:p>
  </w:comment>
  <w:comment w:id="1" w:author="rohlupuii ralte" w:date="2025-07-17T20:06:00Z" w:initials="rr">
    <w:p w14:paraId="6563FFD3" w14:textId="2D1A8DB6" w:rsidR="00CC5753" w:rsidRDefault="00CC5753">
      <w:pPr>
        <w:pStyle w:val="CommentText"/>
      </w:pPr>
      <w:r>
        <w:rPr>
          <w:rStyle w:val="CommentReference"/>
        </w:rPr>
        <w:annotationRef/>
      </w:r>
      <w:r>
        <w:t>During the year</w:t>
      </w:r>
    </w:p>
  </w:comment>
  <w:comment w:id="2" w:author="rohlupuii ralte" w:date="2025-07-17T20:08:00Z" w:initials="rr">
    <w:p w14:paraId="195B31DE" w14:textId="6336FBF5" w:rsidR="00CC5753" w:rsidRDefault="00CC5753">
      <w:pPr>
        <w:pStyle w:val="CommentText"/>
      </w:pPr>
      <w:r>
        <w:rPr>
          <w:rStyle w:val="CommentReference"/>
        </w:rPr>
        <w:annotationRef/>
      </w:r>
      <w:r>
        <w:t>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3D8B58" w15:done="0"/>
  <w15:commentEx w15:paraId="6563FFD3" w15:done="0"/>
  <w15:commentEx w15:paraId="195B31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597ED1" w16cex:dateUtc="2025-07-17T14:51:00Z"/>
  <w16cex:commentExtensible w16cex:durableId="7556FED7" w16cex:dateUtc="2025-07-17T14:36:00Z"/>
  <w16cex:commentExtensible w16cex:durableId="117CC5A1" w16cex:dateUtc="2025-07-17T1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3D8B58" w16cid:durableId="0B597ED1"/>
  <w16cid:commentId w16cid:paraId="6563FFD3" w16cid:durableId="7556FED7"/>
  <w16cid:commentId w16cid:paraId="195B31DE" w16cid:durableId="117CC5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34660" w14:textId="77777777" w:rsidR="0057133A" w:rsidRDefault="0057133A">
      <w:pPr>
        <w:spacing w:line="240" w:lineRule="auto"/>
      </w:pPr>
      <w:r>
        <w:separator/>
      </w:r>
    </w:p>
  </w:endnote>
  <w:endnote w:type="continuationSeparator" w:id="0">
    <w:p w14:paraId="4D113C54" w14:textId="77777777" w:rsidR="0057133A" w:rsidRDefault="005713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6A922" w14:textId="77777777" w:rsidR="005E5750" w:rsidRDefault="005E57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6E5BF" w14:textId="77777777" w:rsidR="005E5750" w:rsidRDefault="005E5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66AFE" w14:textId="77777777" w:rsidR="005E5750" w:rsidRDefault="005E5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E027D" w14:textId="77777777" w:rsidR="0057133A" w:rsidRDefault="0057133A">
      <w:pPr>
        <w:spacing w:after="0"/>
      </w:pPr>
      <w:r>
        <w:separator/>
      </w:r>
    </w:p>
  </w:footnote>
  <w:footnote w:type="continuationSeparator" w:id="0">
    <w:p w14:paraId="76AC7416" w14:textId="77777777" w:rsidR="0057133A" w:rsidRDefault="005713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1DAC9" w14:textId="5BA6659B" w:rsidR="005E5750" w:rsidRDefault="00000000">
    <w:pPr>
      <w:pStyle w:val="Header"/>
    </w:pPr>
    <w:r>
      <w:rPr>
        <w:noProof/>
      </w:rPr>
      <w:pict w14:anchorId="47A9E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0516"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F2F8" w14:textId="6132B6D0" w:rsidR="00DC79FF" w:rsidRDefault="00000000">
    <w:r>
      <w:rPr>
        <w:noProof/>
      </w:rPr>
      <w:pict w14:anchorId="2F977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0517"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29E7" w14:textId="00EE1D30" w:rsidR="005E5750" w:rsidRDefault="00000000">
    <w:pPr>
      <w:pStyle w:val="Header"/>
    </w:pPr>
    <w:r>
      <w:rPr>
        <w:noProof/>
      </w:rPr>
      <w:pict w14:anchorId="7D42A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1720515"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hlupuii ralte">
    <w15:presenceInfo w15:providerId="Windows Live" w15:userId="ac16f6e18e4bf4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484"/>
    <w:rsid w:val="000002D8"/>
    <w:rsid w:val="00015A4D"/>
    <w:rsid w:val="00025508"/>
    <w:rsid w:val="000268B8"/>
    <w:rsid w:val="00046CA3"/>
    <w:rsid w:val="00055429"/>
    <w:rsid w:val="00064BCC"/>
    <w:rsid w:val="000770F1"/>
    <w:rsid w:val="00090460"/>
    <w:rsid w:val="000B0B0F"/>
    <w:rsid w:val="000B4A45"/>
    <w:rsid w:val="000C50E9"/>
    <w:rsid w:val="000D4988"/>
    <w:rsid w:val="000D7B5D"/>
    <w:rsid w:val="000E792C"/>
    <w:rsid w:val="000F0EA9"/>
    <w:rsid w:val="00122066"/>
    <w:rsid w:val="001859D2"/>
    <w:rsid w:val="001D033D"/>
    <w:rsid w:val="001F6944"/>
    <w:rsid w:val="002050CD"/>
    <w:rsid w:val="0022565D"/>
    <w:rsid w:val="00227DEA"/>
    <w:rsid w:val="002412EC"/>
    <w:rsid w:val="00266C39"/>
    <w:rsid w:val="0027138B"/>
    <w:rsid w:val="002A22A7"/>
    <w:rsid w:val="002B3C38"/>
    <w:rsid w:val="002C4141"/>
    <w:rsid w:val="002E1193"/>
    <w:rsid w:val="002F5D9B"/>
    <w:rsid w:val="00310F07"/>
    <w:rsid w:val="00344F3A"/>
    <w:rsid w:val="003524BF"/>
    <w:rsid w:val="003A7EE7"/>
    <w:rsid w:val="003B37C2"/>
    <w:rsid w:val="003D3841"/>
    <w:rsid w:val="003E1013"/>
    <w:rsid w:val="003F3048"/>
    <w:rsid w:val="0041578C"/>
    <w:rsid w:val="00426326"/>
    <w:rsid w:val="00427B47"/>
    <w:rsid w:val="00435418"/>
    <w:rsid w:val="00437A01"/>
    <w:rsid w:val="004418CA"/>
    <w:rsid w:val="00443F1F"/>
    <w:rsid w:val="00465EF1"/>
    <w:rsid w:val="00471D59"/>
    <w:rsid w:val="00473A84"/>
    <w:rsid w:val="00496592"/>
    <w:rsid w:val="004C6329"/>
    <w:rsid w:val="004D0B40"/>
    <w:rsid w:val="004D332A"/>
    <w:rsid w:val="004D3D7B"/>
    <w:rsid w:val="004E1689"/>
    <w:rsid w:val="005060D3"/>
    <w:rsid w:val="005251ED"/>
    <w:rsid w:val="00562B5B"/>
    <w:rsid w:val="0057133A"/>
    <w:rsid w:val="00582104"/>
    <w:rsid w:val="005A0C8B"/>
    <w:rsid w:val="005E5750"/>
    <w:rsid w:val="005F13A8"/>
    <w:rsid w:val="005F77A8"/>
    <w:rsid w:val="00617C11"/>
    <w:rsid w:val="0062467A"/>
    <w:rsid w:val="00626D8A"/>
    <w:rsid w:val="006441CE"/>
    <w:rsid w:val="006472E5"/>
    <w:rsid w:val="00681E64"/>
    <w:rsid w:val="006A16BE"/>
    <w:rsid w:val="006A2639"/>
    <w:rsid w:val="006D300B"/>
    <w:rsid w:val="00741359"/>
    <w:rsid w:val="00745168"/>
    <w:rsid w:val="00746E88"/>
    <w:rsid w:val="0076598C"/>
    <w:rsid w:val="0076604D"/>
    <w:rsid w:val="007A2EC9"/>
    <w:rsid w:val="007D12E6"/>
    <w:rsid w:val="00802449"/>
    <w:rsid w:val="00802C74"/>
    <w:rsid w:val="00830015"/>
    <w:rsid w:val="0084281A"/>
    <w:rsid w:val="008473B1"/>
    <w:rsid w:val="008515C2"/>
    <w:rsid w:val="00852920"/>
    <w:rsid w:val="008538FC"/>
    <w:rsid w:val="008701EC"/>
    <w:rsid w:val="00873ED9"/>
    <w:rsid w:val="008B43D1"/>
    <w:rsid w:val="008B60EE"/>
    <w:rsid w:val="008C102D"/>
    <w:rsid w:val="008E4D64"/>
    <w:rsid w:val="008E6230"/>
    <w:rsid w:val="0093250E"/>
    <w:rsid w:val="0094040A"/>
    <w:rsid w:val="009579C0"/>
    <w:rsid w:val="00982811"/>
    <w:rsid w:val="009929BE"/>
    <w:rsid w:val="009A1239"/>
    <w:rsid w:val="009A6554"/>
    <w:rsid w:val="009B35A2"/>
    <w:rsid w:val="009B3BDB"/>
    <w:rsid w:val="009C2961"/>
    <w:rsid w:val="009D3297"/>
    <w:rsid w:val="009D787F"/>
    <w:rsid w:val="009D798B"/>
    <w:rsid w:val="009E4015"/>
    <w:rsid w:val="009F1DF4"/>
    <w:rsid w:val="009F36F3"/>
    <w:rsid w:val="009F4216"/>
    <w:rsid w:val="009F5A66"/>
    <w:rsid w:val="00A06162"/>
    <w:rsid w:val="00A31A75"/>
    <w:rsid w:val="00A357C2"/>
    <w:rsid w:val="00A92290"/>
    <w:rsid w:val="00AC223F"/>
    <w:rsid w:val="00B011B7"/>
    <w:rsid w:val="00B026EC"/>
    <w:rsid w:val="00B062B2"/>
    <w:rsid w:val="00B17B1A"/>
    <w:rsid w:val="00B215F5"/>
    <w:rsid w:val="00B23922"/>
    <w:rsid w:val="00B32A2F"/>
    <w:rsid w:val="00B36B48"/>
    <w:rsid w:val="00B37250"/>
    <w:rsid w:val="00B42611"/>
    <w:rsid w:val="00B450BC"/>
    <w:rsid w:val="00B56B8E"/>
    <w:rsid w:val="00B95E5C"/>
    <w:rsid w:val="00B97FB7"/>
    <w:rsid w:val="00BC610D"/>
    <w:rsid w:val="00C0547A"/>
    <w:rsid w:val="00C11344"/>
    <w:rsid w:val="00C2613A"/>
    <w:rsid w:val="00C3210A"/>
    <w:rsid w:val="00C33410"/>
    <w:rsid w:val="00CC5753"/>
    <w:rsid w:val="00CC62B4"/>
    <w:rsid w:val="00CF0A2F"/>
    <w:rsid w:val="00CF1955"/>
    <w:rsid w:val="00CF1CBB"/>
    <w:rsid w:val="00D11EBA"/>
    <w:rsid w:val="00D13AB7"/>
    <w:rsid w:val="00D159E3"/>
    <w:rsid w:val="00D162DA"/>
    <w:rsid w:val="00D52B1A"/>
    <w:rsid w:val="00D758D8"/>
    <w:rsid w:val="00D90B52"/>
    <w:rsid w:val="00D947BB"/>
    <w:rsid w:val="00DB6809"/>
    <w:rsid w:val="00DC79FF"/>
    <w:rsid w:val="00DE4792"/>
    <w:rsid w:val="00E06694"/>
    <w:rsid w:val="00E23EA5"/>
    <w:rsid w:val="00E37491"/>
    <w:rsid w:val="00E55A01"/>
    <w:rsid w:val="00E568E1"/>
    <w:rsid w:val="00E72020"/>
    <w:rsid w:val="00EC3881"/>
    <w:rsid w:val="00EF3729"/>
    <w:rsid w:val="00F04CA0"/>
    <w:rsid w:val="00F06459"/>
    <w:rsid w:val="00F32D40"/>
    <w:rsid w:val="00F535E5"/>
    <w:rsid w:val="00F90484"/>
    <w:rsid w:val="00F959B0"/>
    <w:rsid w:val="00FA3721"/>
    <w:rsid w:val="00FA3C93"/>
    <w:rsid w:val="00FB19B9"/>
    <w:rsid w:val="00FC2566"/>
    <w:rsid w:val="18215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399070"/>
  <w15:docId w15:val="{AD581B94-2E20-4040-A2EC-0A020F00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BO" w:eastAsia="es-BO" w:bidi="ar-SA"/>
      </w:rPr>
    </w:rPrDefault>
    <w:pPrDefault/>
  </w:docDefaults>
  <w:latentStyles w:defLockedState="0" w:defUIPriority="0" w:defSemiHidden="0" w:defUnhideWhenUsed="0" w:defQFormat="0" w:count="376">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480" w:lineRule="auto"/>
      <w:ind w:left="426"/>
      <w:jc w:val="both"/>
    </w:pPr>
    <w:rPr>
      <w:sz w:val="22"/>
      <w:szCs w:val="22"/>
      <w:lang w:val="en"/>
    </w:rPr>
  </w:style>
  <w:style w:type="paragraph" w:styleId="Heading1">
    <w:name w:val="heading 1"/>
    <w:basedOn w:val="Normal"/>
    <w:next w:val="Normal"/>
    <w:pPr>
      <w:spacing w:before="200" w:after="200" w:line="276" w:lineRule="auto"/>
      <w:ind w:left="720" w:hanging="720"/>
      <w:outlineLvl w:val="0"/>
    </w:pPr>
    <w:rPr>
      <w:b/>
    </w:rPr>
  </w:style>
  <w:style w:type="paragraph" w:styleId="Heading2">
    <w:name w:val="heading 2"/>
    <w:basedOn w:val="Normal"/>
    <w:next w:val="Normal"/>
    <w:pPr>
      <w:spacing w:before="200" w:after="200" w:line="276" w:lineRule="auto"/>
      <w:ind w:left="720" w:hanging="720"/>
      <w:outlineLvl w:val="1"/>
    </w:pPr>
    <w:rPr>
      <w:b/>
    </w:rPr>
  </w:style>
  <w:style w:type="paragraph" w:styleId="Heading3">
    <w:name w:val="heading 3"/>
    <w:basedOn w:val="Normal"/>
    <w:next w:val="Normal"/>
    <w:pPr>
      <w:spacing w:before="200" w:after="200" w:line="276" w:lineRule="auto"/>
      <w:ind w:left="1224" w:hanging="1224"/>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Style10">
    <w:name w:val="_Style 10"/>
    <w:basedOn w:val="TableNormal0"/>
    <w:qFormat/>
    <w:tblPr>
      <w:tblCellMar>
        <w:left w:w="70" w:type="dxa"/>
        <w:right w:w="70" w:type="dxa"/>
      </w:tblCellMar>
    </w:tblPr>
  </w:style>
  <w:style w:type="table" w:customStyle="1" w:styleId="Style11">
    <w:name w:val="_Style 11"/>
    <w:basedOn w:val="TableNormal0"/>
    <w:qFormat/>
    <w:tblPr>
      <w:tblCellMar>
        <w:top w:w="100" w:type="dxa"/>
        <w:left w:w="100" w:type="dxa"/>
        <w:bottom w:w="100" w:type="dxa"/>
        <w:right w:w="100" w:type="dxa"/>
      </w:tblCellMar>
    </w:tblPr>
  </w:style>
  <w:style w:type="table" w:customStyle="1" w:styleId="Style12">
    <w:name w:val="_Style 12"/>
    <w:basedOn w:val="TableNormal0"/>
    <w:qFormat/>
    <w:tblPr>
      <w:tblCellMar>
        <w:left w:w="70" w:type="dxa"/>
        <w:right w:w="70" w:type="dxa"/>
      </w:tblCellMar>
    </w:tblPr>
  </w:style>
  <w:style w:type="table" w:customStyle="1" w:styleId="Style13">
    <w:name w:val="_Style 13"/>
    <w:basedOn w:val="TableNormal0"/>
    <w:qFormat/>
    <w:tblPr>
      <w:tblCellMar>
        <w:left w:w="70" w:type="dxa"/>
        <w:right w:w="70" w:type="dxa"/>
      </w:tblCellMar>
    </w:tblPr>
  </w:style>
  <w:style w:type="table" w:customStyle="1" w:styleId="Style14">
    <w:name w:val="_Style 14"/>
    <w:basedOn w:val="TableNormal0"/>
    <w:qFormat/>
    <w:tblPr>
      <w:tblCellMar>
        <w:left w:w="70" w:type="dxa"/>
        <w:right w:w="70" w:type="dxa"/>
      </w:tblCellMar>
    </w:tblPr>
  </w:style>
  <w:style w:type="table" w:customStyle="1" w:styleId="Style15">
    <w:name w:val="_Style 15"/>
    <w:basedOn w:val="TableNormal0"/>
    <w:qFormat/>
    <w:tblPr>
      <w:tblCellMar>
        <w:left w:w="70" w:type="dxa"/>
        <w:right w:w="70" w:type="dxa"/>
      </w:tblCellMar>
    </w:tblPr>
  </w:style>
  <w:style w:type="table" w:customStyle="1" w:styleId="Style16">
    <w:name w:val="_Style 16"/>
    <w:basedOn w:val="TableNormal0"/>
    <w:qFormat/>
    <w:tblPr>
      <w:tblCellMar>
        <w:left w:w="70" w:type="dxa"/>
        <w:right w:w="70" w:type="dxa"/>
      </w:tblCellMar>
    </w:tblPr>
  </w:style>
  <w:style w:type="paragraph" w:styleId="ListParagraph">
    <w:name w:val="List Paragraph"/>
    <w:basedOn w:val="Normal"/>
    <w:uiPriority w:val="99"/>
    <w:unhideWhenUsed/>
    <w:rsid w:val="00DE4792"/>
    <w:pPr>
      <w:ind w:left="720"/>
      <w:contextualSpacing/>
    </w:pPr>
  </w:style>
  <w:style w:type="character" w:styleId="Hyperlink">
    <w:name w:val="Hyperlink"/>
    <w:basedOn w:val="DefaultParagraphFont"/>
    <w:rsid w:val="008701EC"/>
    <w:rPr>
      <w:color w:val="0000FF" w:themeColor="hyperlink"/>
      <w:u w:val="single"/>
    </w:rPr>
  </w:style>
  <w:style w:type="character" w:styleId="UnresolvedMention">
    <w:name w:val="Unresolved Mention"/>
    <w:basedOn w:val="DefaultParagraphFont"/>
    <w:uiPriority w:val="99"/>
    <w:semiHidden/>
    <w:unhideWhenUsed/>
    <w:rsid w:val="008701EC"/>
    <w:rPr>
      <w:color w:val="605E5C"/>
      <w:shd w:val="clear" w:color="auto" w:fill="E1DFDD"/>
    </w:rPr>
  </w:style>
  <w:style w:type="paragraph" w:styleId="Header">
    <w:name w:val="header"/>
    <w:basedOn w:val="Normal"/>
    <w:link w:val="HeaderChar"/>
    <w:rsid w:val="005E5750"/>
    <w:pPr>
      <w:tabs>
        <w:tab w:val="center" w:pos="4680"/>
        <w:tab w:val="right" w:pos="9360"/>
      </w:tabs>
      <w:spacing w:after="0" w:line="240" w:lineRule="auto"/>
    </w:pPr>
  </w:style>
  <w:style w:type="character" w:customStyle="1" w:styleId="HeaderChar">
    <w:name w:val="Header Char"/>
    <w:basedOn w:val="DefaultParagraphFont"/>
    <w:link w:val="Header"/>
    <w:rsid w:val="005E5750"/>
    <w:rPr>
      <w:sz w:val="22"/>
      <w:szCs w:val="22"/>
      <w:lang w:val="en"/>
    </w:rPr>
  </w:style>
  <w:style w:type="paragraph" w:styleId="Footer">
    <w:name w:val="footer"/>
    <w:basedOn w:val="Normal"/>
    <w:link w:val="FooterChar"/>
    <w:rsid w:val="005E5750"/>
    <w:pPr>
      <w:tabs>
        <w:tab w:val="center" w:pos="4680"/>
        <w:tab w:val="right" w:pos="9360"/>
      </w:tabs>
      <w:spacing w:after="0" w:line="240" w:lineRule="auto"/>
    </w:pPr>
  </w:style>
  <w:style w:type="character" w:customStyle="1" w:styleId="FooterChar">
    <w:name w:val="Footer Char"/>
    <w:basedOn w:val="DefaultParagraphFont"/>
    <w:link w:val="Footer"/>
    <w:rsid w:val="005E5750"/>
    <w:rPr>
      <w:sz w:val="22"/>
      <w:szCs w:val="22"/>
      <w:lang w:val="en"/>
    </w:rPr>
  </w:style>
  <w:style w:type="character" w:styleId="CommentReference">
    <w:name w:val="annotation reference"/>
    <w:basedOn w:val="DefaultParagraphFont"/>
    <w:rsid w:val="00CC5753"/>
    <w:rPr>
      <w:sz w:val="16"/>
      <w:szCs w:val="16"/>
    </w:rPr>
  </w:style>
  <w:style w:type="paragraph" w:styleId="CommentText">
    <w:name w:val="annotation text"/>
    <w:basedOn w:val="Normal"/>
    <w:link w:val="CommentTextChar"/>
    <w:rsid w:val="00CC5753"/>
    <w:pPr>
      <w:spacing w:line="240" w:lineRule="auto"/>
    </w:pPr>
    <w:rPr>
      <w:sz w:val="20"/>
      <w:szCs w:val="20"/>
    </w:rPr>
  </w:style>
  <w:style w:type="character" w:customStyle="1" w:styleId="CommentTextChar">
    <w:name w:val="Comment Text Char"/>
    <w:basedOn w:val="DefaultParagraphFont"/>
    <w:link w:val="CommentText"/>
    <w:rsid w:val="00CC5753"/>
    <w:rPr>
      <w:lang w:val="en"/>
    </w:rPr>
  </w:style>
  <w:style w:type="paragraph" w:styleId="CommentSubject">
    <w:name w:val="annotation subject"/>
    <w:basedOn w:val="CommentText"/>
    <w:next w:val="CommentText"/>
    <w:link w:val="CommentSubjectChar"/>
    <w:rsid w:val="00CC5753"/>
    <w:rPr>
      <w:b/>
      <w:bCs/>
    </w:rPr>
  </w:style>
  <w:style w:type="character" w:customStyle="1" w:styleId="CommentSubjectChar">
    <w:name w:val="Comment Subject Char"/>
    <w:basedOn w:val="CommentTextChar"/>
    <w:link w:val="CommentSubject"/>
    <w:rsid w:val="00CC5753"/>
    <w:rPr>
      <w:b/>
      <w:bCs/>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07/relationships/hdphoto" Target="media/hdphoto2.wdp"/><Relationship Id="rId18" Type="http://schemas.openxmlformats.org/officeDocument/2006/relationships/header" Target="header3.xml"/><Relationship Id="rId3" Type="http://schemas.openxmlformats.org/officeDocument/2006/relationships/webSettings" Target="webSettings.xml"/><Relationship Id="rId21" Type="http://schemas.microsoft.com/office/2011/relationships/people" Target="people.xml"/><Relationship Id="rId7" Type="http://schemas.microsoft.com/office/2011/relationships/commentsExtended" Target="commentsExtended.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microsoft.com/office/2007/relationships/hdphoto" Target="media/hdphoto1.wdp"/><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14</Pages>
  <Words>6140</Words>
  <Characters>35798</Characters>
  <Application>Microsoft Office Word</Application>
  <DocSecurity>0</DocSecurity>
  <Lines>917</Lines>
  <Paragraphs>524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Vivero Castillo</dc:creator>
  <cp:lastModifiedBy>rohlupuii ralte</cp:lastModifiedBy>
  <cp:revision>11</cp:revision>
  <dcterms:created xsi:type="dcterms:W3CDTF">2025-07-14T14:26:00Z</dcterms:created>
  <dcterms:modified xsi:type="dcterms:W3CDTF">2025-07-17T16:00:00Z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ZOTERO_PREF_1">
    <vt:lpwstr>&lt;data data-version="3" zotero-version="6.0.26"&gt;&lt;session id="ajJi4K3m"/&gt;&lt;style id="http://www.zotero.org/styles/american-political-science-association" locale="en-EN" hasBibliography="1" bibliographyStyleHasBeenSet="1"/&gt;&lt;prefs&gt;&lt;pref name="fieldType" value=</vt:lpwstr>
  </property>
  <property fmtid="{D5CDD505-2E9C-101B-9397-08002B2CF9AE}" pid="4" name="ZOTERO_PREF_2">
    <vt:lpwstr>"Field"/&gt;&lt;pref name="automaticJournalAbbreviations" value="true"/&gt;&lt;/prefs&gt;&lt;/data&gt;</vt:lpwstr>
  </property>
  <property fmtid="{D5CDD505-2E9C-101B-9397-08002B2CF9AE}" pid="5" name="KSOProductBuildVer">
    <vt:lpwstr>3082-12.2.0.21546</vt:lpwstr>
  </property>
  <property fmtid="{D5CDD505-2E9C-101B-9397-08002B2CF9AE}" pid="6" name="ICV">
    <vt:lpwstr>23EE4ADDFB854A26AB4EC118565272DB_12</vt:lpwstr>
  </property>
  <property fmtid="{D5CDD505-2E9C-101B-9397-08002B2CF9AE}" pid="7" name="GrammarlyDocumentId">
    <vt:lpwstr>18902528-e0d1-4b5b-86a7-e1943c040218</vt:lpwstr>
  </property>
</Properties>
</file>