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E7" w:rsidRDefault="003F1EE7" w:rsidP="003F1EE7">
      <w:pPr>
        <w:rPr>
          <w:rFonts w:ascii="Times New Roman" w:hAnsi="Times New Roman"/>
          <w:b/>
          <w:bCs/>
          <w:iCs/>
          <w:kern w:val="28"/>
          <w:sz w:val="24"/>
          <w:szCs w:val="24"/>
          <w:u w:val="single"/>
        </w:rPr>
      </w:pPr>
      <w:r w:rsidRPr="003F1EE7">
        <w:rPr>
          <w:rFonts w:ascii="Times New Roman" w:hAnsi="Times New Roman"/>
          <w:b/>
          <w:bCs/>
          <w:iCs/>
          <w:kern w:val="28"/>
          <w:sz w:val="24"/>
          <w:szCs w:val="24"/>
          <w:u w:val="single"/>
        </w:rPr>
        <w:t>Original Research Article</w:t>
      </w:r>
    </w:p>
    <w:p w:rsidR="00413675" w:rsidRPr="003F1EE7" w:rsidRDefault="00413675" w:rsidP="003F1EE7">
      <w:pPr>
        <w:rPr>
          <w:rFonts w:ascii="Times New Roman" w:hAnsi="Times New Roman"/>
          <w:b/>
          <w:bCs/>
          <w:iCs/>
          <w:kern w:val="28"/>
          <w:sz w:val="24"/>
          <w:szCs w:val="24"/>
          <w:u w:val="single"/>
        </w:rPr>
      </w:pPr>
    </w:p>
    <w:p w:rsidR="00FE5F1B" w:rsidRPr="00180956" w:rsidRDefault="00FE5F1B" w:rsidP="00FE5F1B">
      <w:pPr>
        <w:jc w:val="center"/>
        <w:rPr>
          <w:rFonts w:ascii="Times New Roman" w:hAnsi="Times New Roman"/>
          <w:b/>
          <w:bCs/>
          <w:iCs/>
          <w:kern w:val="28"/>
          <w:sz w:val="24"/>
          <w:szCs w:val="24"/>
        </w:rPr>
      </w:pPr>
      <w:r w:rsidRPr="00180956">
        <w:rPr>
          <w:rFonts w:ascii="Times New Roman" w:hAnsi="Times New Roman"/>
          <w:b/>
          <w:bCs/>
          <w:iCs/>
          <w:kern w:val="28"/>
          <w:sz w:val="24"/>
          <w:szCs w:val="24"/>
        </w:rPr>
        <w:t>Short-Term Effects of Organic Manure and Microbial Biofertilizer Doses on Soil Properties under Cluster bean Cultivation in Southern Odisha</w:t>
      </w:r>
    </w:p>
    <w:p w:rsidR="009634DC" w:rsidRDefault="009634DC" w:rsidP="00FE5F1B">
      <w:pPr>
        <w:jc w:val="both"/>
        <w:rPr>
          <w:rFonts w:ascii="Times New Roman" w:hAnsi="Times New Roman"/>
          <w:i/>
          <w:sz w:val="24"/>
          <w:szCs w:val="24"/>
        </w:rPr>
      </w:pPr>
    </w:p>
    <w:p w:rsidR="0014679B" w:rsidRDefault="0014679B" w:rsidP="00FE5F1B">
      <w:pPr>
        <w:jc w:val="both"/>
        <w:rPr>
          <w:rFonts w:ascii="Times New Roman" w:hAnsi="Times New Roman"/>
          <w:i/>
          <w:sz w:val="24"/>
          <w:szCs w:val="24"/>
        </w:rPr>
      </w:pPr>
    </w:p>
    <w:p w:rsidR="009634DC" w:rsidRPr="009634DC" w:rsidRDefault="009634DC" w:rsidP="00FE5F1B">
      <w:pPr>
        <w:jc w:val="both"/>
        <w:rPr>
          <w:rFonts w:ascii="Times New Roman" w:hAnsi="Times New Roman"/>
          <w:b/>
          <w:bCs/>
          <w:sz w:val="24"/>
          <w:szCs w:val="24"/>
        </w:rPr>
      </w:pPr>
      <w:r w:rsidRPr="009634DC">
        <w:rPr>
          <w:rFonts w:ascii="Times New Roman" w:hAnsi="Times New Roman"/>
          <w:b/>
          <w:bCs/>
          <w:sz w:val="24"/>
          <w:szCs w:val="24"/>
        </w:rPr>
        <w:t>ABSTRACT:</w:t>
      </w:r>
    </w:p>
    <w:p w:rsidR="009634DC" w:rsidRPr="00180956" w:rsidRDefault="009634DC" w:rsidP="009634DC">
      <w:pPr>
        <w:pStyle w:val="Body"/>
        <w:spacing w:after="0"/>
        <w:rPr>
          <w:rFonts w:ascii="Times New Roman" w:eastAsia="Calibri" w:hAnsi="Times New Roman"/>
          <w:sz w:val="24"/>
          <w:szCs w:val="24"/>
        </w:rPr>
      </w:pPr>
      <w:r w:rsidRPr="00180956">
        <w:rPr>
          <w:rFonts w:ascii="Times New Roman" w:eastAsia="Calibri" w:hAnsi="Times New Roman"/>
          <w:b/>
          <w:bCs/>
          <w:sz w:val="24"/>
          <w:szCs w:val="24"/>
        </w:rPr>
        <w:t>Aims:</w:t>
      </w:r>
      <w:r w:rsidRPr="00180956">
        <w:rPr>
          <w:rFonts w:ascii="Times New Roman" w:eastAsia="Calibri" w:hAnsi="Times New Roman"/>
          <w:sz w:val="24"/>
          <w:szCs w:val="24"/>
        </w:rPr>
        <w:br/>
        <w:t>To evaluate the impact of different doses of organic amendments (FYM and vermicompost), with or without Rhizobium inoculation, on soil physical and chemical properties during clusterbean (Cyamopsistetragonoloba) cultivation.</w:t>
      </w:r>
    </w:p>
    <w:p w:rsidR="00980837" w:rsidRDefault="00980837" w:rsidP="009634DC">
      <w:pPr>
        <w:pStyle w:val="Body"/>
        <w:spacing w:after="0"/>
        <w:rPr>
          <w:rFonts w:ascii="Times New Roman" w:eastAsia="Calibri" w:hAnsi="Times New Roman"/>
          <w:b/>
          <w:bCs/>
          <w:sz w:val="24"/>
          <w:szCs w:val="24"/>
        </w:rPr>
      </w:pPr>
    </w:p>
    <w:p w:rsidR="009634DC" w:rsidRPr="009634DC" w:rsidRDefault="00980837" w:rsidP="009634DC">
      <w:pPr>
        <w:pStyle w:val="Body"/>
        <w:spacing w:after="0"/>
        <w:rPr>
          <w:rFonts w:ascii="Times New Roman" w:eastAsia="Calibri" w:hAnsi="Times New Roman"/>
          <w:sz w:val="24"/>
          <w:szCs w:val="24"/>
        </w:rPr>
      </w:pPr>
      <w:r w:rsidRPr="00180956">
        <w:rPr>
          <w:rFonts w:ascii="Times New Roman" w:eastAsia="Calibri" w:hAnsi="Times New Roman"/>
          <w:b/>
          <w:bCs/>
          <w:sz w:val="24"/>
          <w:szCs w:val="24"/>
        </w:rPr>
        <w:t>Design</w:t>
      </w:r>
      <w:r>
        <w:rPr>
          <w:rFonts w:ascii="Times New Roman" w:eastAsia="Calibri" w:hAnsi="Times New Roman"/>
          <w:b/>
          <w:bCs/>
          <w:sz w:val="24"/>
          <w:szCs w:val="24"/>
        </w:rPr>
        <w:t xml:space="preserve"> of </w:t>
      </w:r>
      <w:r w:rsidR="009634DC" w:rsidRPr="00180956">
        <w:rPr>
          <w:rFonts w:ascii="Times New Roman" w:eastAsia="Calibri" w:hAnsi="Times New Roman"/>
          <w:b/>
          <w:bCs/>
          <w:sz w:val="24"/>
          <w:szCs w:val="24"/>
        </w:rPr>
        <w:t xml:space="preserve">Study </w:t>
      </w:r>
      <w:r w:rsidR="009634DC" w:rsidRPr="00180956">
        <w:rPr>
          <w:rFonts w:ascii="Times New Roman" w:eastAsia="Calibri" w:hAnsi="Times New Roman"/>
          <w:sz w:val="24"/>
          <w:szCs w:val="24"/>
        </w:rPr>
        <w:t xml:space="preserve">A field-based factorial randomized block </w:t>
      </w:r>
      <w:commentRangeStart w:id="0"/>
      <w:r w:rsidR="009634DC" w:rsidRPr="00180956">
        <w:rPr>
          <w:rFonts w:ascii="Times New Roman" w:eastAsia="Calibri" w:hAnsi="Times New Roman"/>
          <w:sz w:val="24"/>
          <w:szCs w:val="24"/>
        </w:rPr>
        <w:t>design</w:t>
      </w:r>
      <w:commentRangeEnd w:id="0"/>
      <w:r w:rsidR="001A3BD7">
        <w:rPr>
          <w:rStyle w:val="CommentReference"/>
        </w:rPr>
        <w:commentReference w:id="0"/>
      </w:r>
      <w:r w:rsidR="009634DC" w:rsidRPr="00180956">
        <w:rPr>
          <w:rFonts w:ascii="Times New Roman" w:eastAsia="Calibri" w:hAnsi="Times New Roman"/>
          <w:sz w:val="24"/>
          <w:szCs w:val="24"/>
        </w:rPr>
        <w:t xml:space="preserve"> (RBD) with nine treatments and three replications.</w:t>
      </w:r>
    </w:p>
    <w:p w:rsidR="00980837" w:rsidRDefault="00980837" w:rsidP="009634DC">
      <w:pPr>
        <w:pStyle w:val="Body"/>
        <w:spacing w:after="0"/>
        <w:rPr>
          <w:rFonts w:ascii="Times New Roman" w:eastAsia="Calibri" w:hAnsi="Times New Roman"/>
          <w:b/>
          <w:bCs/>
          <w:sz w:val="24"/>
          <w:szCs w:val="24"/>
        </w:rPr>
      </w:pPr>
    </w:p>
    <w:p w:rsidR="009634DC" w:rsidRPr="00180956" w:rsidRDefault="009634DC" w:rsidP="009634DC">
      <w:pPr>
        <w:pStyle w:val="Body"/>
        <w:spacing w:after="0"/>
        <w:rPr>
          <w:rFonts w:ascii="Times New Roman" w:eastAsia="Calibri" w:hAnsi="Times New Roman"/>
          <w:b/>
          <w:bCs/>
          <w:sz w:val="24"/>
          <w:szCs w:val="24"/>
        </w:rPr>
      </w:pPr>
      <w:r w:rsidRPr="00180956">
        <w:rPr>
          <w:rFonts w:ascii="Times New Roman" w:eastAsia="Calibri" w:hAnsi="Times New Roman"/>
          <w:b/>
          <w:bCs/>
          <w:sz w:val="24"/>
          <w:szCs w:val="24"/>
        </w:rPr>
        <w:t>Place and Duration of Study:</w:t>
      </w:r>
    </w:p>
    <w:p w:rsidR="009634DC" w:rsidRPr="00180956" w:rsidRDefault="009634DC" w:rsidP="009634DC">
      <w:pPr>
        <w:pStyle w:val="Body"/>
        <w:spacing w:after="0"/>
        <w:rPr>
          <w:rFonts w:ascii="Times New Roman" w:eastAsia="Calibri" w:hAnsi="Times New Roman"/>
          <w:sz w:val="24"/>
          <w:szCs w:val="24"/>
        </w:rPr>
      </w:pPr>
      <w:r w:rsidRPr="00180956">
        <w:rPr>
          <w:rFonts w:ascii="Times New Roman" w:eastAsia="Calibri" w:hAnsi="Times New Roman"/>
          <w:sz w:val="24"/>
          <w:szCs w:val="24"/>
        </w:rPr>
        <w:br/>
        <w:t>The experiment was conducted during the summer of 2025 at the Organic Research Farm, M.S. Swaminathan School of Agriculture, Centurion University of Technology and Management, Paralakhemundi, Odisha, India.</w:t>
      </w:r>
    </w:p>
    <w:p w:rsidR="00980837" w:rsidRDefault="00980837" w:rsidP="009634DC">
      <w:pPr>
        <w:pStyle w:val="Body"/>
        <w:spacing w:after="0"/>
        <w:rPr>
          <w:rFonts w:ascii="Times New Roman" w:eastAsia="Calibri" w:hAnsi="Times New Roman"/>
          <w:b/>
          <w:bCs/>
          <w:sz w:val="24"/>
          <w:szCs w:val="24"/>
        </w:rPr>
      </w:pPr>
    </w:p>
    <w:p w:rsidR="009634DC" w:rsidRPr="00180956" w:rsidRDefault="009634DC" w:rsidP="009634DC">
      <w:pPr>
        <w:pStyle w:val="Body"/>
        <w:spacing w:after="0"/>
        <w:rPr>
          <w:rFonts w:ascii="Times New Roman" w:eastAsia="Calibri" w:hAnsi="Times New Roman"/>
          <w:sz w:val="24"/>
          <w:szCs w:val="24"/>
        </w:rPr>
      </w:pPr>
      <w:r w:rsidRPr="00180956">
        <w:rPr>
          <w:rFonts w:ascii="Times New Roman" w:eastAsia="Calibri" w:hAnsi="Times New Roman"/>
          <w:b/>
          <w:bCs/>
          <w:sz w:val="24"/>
          <w:szCs w:val="24"/>
        </w:rPr>
        <w:t>Methodology:</w:t>
      </w:r>
      <w:r w:rsidRPr="00180956">
        <w:rPr>
          <w:rFonts w:ascii="Times New Roman" w:eastAsia="Calibri" w:hAnsi="Times New Roman"/>
          <w:sz w:val="24"/>
          <w:szCs w:val="24"/>
        </w:rPr>
        <w:br/>
        <w:t xml:space="preserve">Nine treatments involved combinations of FYM and vermicompost at 100% and 150% recommended levels, with and without Rhizobium inoculation. Soil samples were collected at 30, 60, and 90 days after sowing (DAS) from the 0–15 cm depth. </w:t>
      </w:r>
      <w:commentRangeStart w:id="1"/>
      <w:r w:rsidRPr="00180956">
        <w:rPr>
          <w:rFonts w:ascii="Times New Roman" w:eastAsia="Calibri" w:hAnsi="Times New Roman"/>
          <w:sz w:val="24"/>
          <w:szCs w:val="24"/>
        </w:rPr>
        <w:t>Physical</w:t>
      </w:r>
      <w:commentRangeEnd w:id="1"/>
      <w:r w:rsidR="003162FD">
        <w:rPr>
          <w:rStyle w:val="CommentReference"/>
        </w:rPr>
        <w:commentReference w:id="1"/>
      </w:r>
      <w:r w:rsidRPr="00180956">
        <w:rPr>
          <w:rFonts w:ascii="Times New Roman" w:eastAsia="Calibri" w:hAnsi="Times New Roman"/>
          <w:sz w:val="24"/>
          <w:szCs w:val="24"/>
        </w:rPr>
        <w:t xml:space="preserve"> (bulk density, texture) and chemical (pH, SOC, and available N, P, K) properties were analyzed using standard procedures.</w:t>
      </w:r>
    </w:p>
    <w:p w:rsidR="00980837" w:rsidRDefault="00980837" w:rsidP="009634DC">
      <w:pPr>
        <w:jc w:val="both"/>
        <w:rPr>
          <w:rFonts w:ascii="Times New Roman" w:eastAsia="Calibri" w:hAnsi="Times New Roman"/>
          <w:b/>
          <w:bCs/>
          <w:sz w:val="24"/>
          <w:szCs w:val="24"/>
        </w:rPr>
      </w:pPr>
    </w:p>
    <w:p w:rsidR="009634DC" w:rsidRDefault="009634DC" w:rsidP="009634DC">
      <w:pPr>
        <w:jc w:val="both"/>
        <w:rPr>
          <w:rFonts w:ascii="Times New Roman" w:eastAsia="Calibri" w:hAnsi="Times New Roman"/>
          <w:sz w:val="24"/>
          <w:szCs w:val="24"/>
        </w:rPr>
      </w:pPr>
      <w:r w:rsidRPr="00180956">
        <w:rPr>
          <w:rFonts w:ascii="Times New Roman" w:eastAsia="Calibri" w:hAnsi="Times New Roman"/>
          <w:b/>
          <w:bCs/>
          <w:sz w:val="24"/>
          <w:szCs w:val="24"/>
        </w:rPr>
        <w:t>Results:</w:t>
      </w:r>
      <w:r w:rsidRPr="00180956">
        <w:rPr>
          <w:rFonts w:ascii="Times New Roman" w:eastAsia="Calibri" w:hAnsi="Times New Roman"/>
          <w:sz w:val="24"/>
          <w:szCs w:val="24"/>
        </w:rPr>
        <w:br/>
        <w:t>All organic treatments reduced soil bulk density, with 150% vermicompost + Rhizobium showing the lowest values (1.22 g/cm³ at 90 DAS). The texture remained sandy loam, with minorimprovements in silt and clay fractions. pH was moderated most effectively by combined organic + Rhizobium treatments, maintaining near-neutral values. SOC increased across all treatments, with 100% FYM showing the highest (0.88% at 90 DAS). Available N, P, and K also improved significantly, with 150% vermicompost + Rhizobium consistently showing superior nutrient levels, especially for phosphorus (25.44 mg/kg) and potassium (206.08 mg/kg) at 90 DAS.</w:t>
      </w:r>
    </w:p>
    <w:p w:rsidR="009634DC" w:rsidRDefault="009634DC" w:rsidP="009634DC">
      <w:pPr>
        <w:jc w:val="both"/>
        <w:rPr>
          <w:rFonts w:ascii="Times New Roman" w:eastAsia="Calibri" w:hAnsi="Times New Roman"/>
          <w:sz w:val="24"/>
          <w:szCs w:val="24"/>
        </w:rPr>
      </w:pPr>
    </w:p>
    <w:p w:rsidR="009634DC" w:rsidRPr="00180956" w:rsidRDefault="009634DC" w:rsidP="009634DC">
      <w:pPr>
        <w:pStyle w:val="Body"/>
        <w:rPr>
          <w:rFonts w:ascii="Times New Roman" w:hAnsi="Times New Roman"/>
          <w:bCs/>
          <w:i/>
          <w:sz w:val="24"/>
          <w:szCs w:val="24"/>
        </w:rPr>
      </w:pPr>
      <w:r w:rsidRPr="00180956">
        <w:rPr>
          <w:rFonts w:ascii="Times New Roman" w:hAnsi="Times New Roman"/>
          <w:i/>
          <w:sz w:val="24"/>
          <w:szCs w:val="24"/>
        </w:rPr>
        <w:t>Keywords:</w:t>
      </w:r>
      <w:r w:rsidRPr="00180956">
        <w:rPr>
          <w:rFonts w:ascii="Times New Roman" w:hAnsi="Times New Roman"/>
          <w:bCs/>
          <w:i/>
          <w:sz w:val="24"/>
          <w:szCs w:val="24"/>
        </w:rPr>
        <w:t xml:space="preserve">Soil </w:t>
      </w:r>
      <w:r w:rsidR="00327C64" w:rsidRPr="00180956">
        <w:rPr>
          <w:rFonts w:ascii="Times New Roman" w:hAnsi="Times New Roman"/>
          <w:bCs/>
          <w:i/>
          <w:sz w:val="24"/>
          <w:szCs w:val="24"/>
        </w:rPr>
        <w:t>health, Organicamendments, Rhizobiuminoculation,</w:t>
      </w:r>
      <w:r w:rsidRPr="00180956">
        <w:rPr>
          <w:rFonts w:ascii="Times New Roman" w:hAnsi="Times New Roman"/>
          <w:bCs/>
          <w:i/>
          <w:sz w:val="24"/>
          <w:szCs w:val="24"/>
        </w:rPr>
        <w:t xml:space="preserve"> Clusterbean (Cyamopsis</w:t>
      </w:r>
      <w:r w:rsidR="00327C64" w:rsidRPr="00180956">
        <w:rPr>
          <w:rFonts w:ascii="Times New Roman" w:hAnsi="Times New Roman"/>
          <w:bCs/>
          <w:i/>
          <w:sz w:val="24"/>
          <w:szCs w:val="24"/>
        </w:rPr>
        <w:t>tetragonoloba)</w:t>
      </w:r>
      <w:r w:rsidR="00327C64">
        <w:rPr>
          <w:rFonts w:ascii="Times New Roman" w:hAnsi="Times New Roman"/>
          <w:bCs/>
          <w:i/>
          <w:sz w:val="24"/>
          <w:szCs w:val="24"/>
        </w:rPr>
        <w:t>,</w:t>
      </w:r>
      <w:r w:rsidR="00327C64" w:rsidRPr="00180956">
        <w:rPr>
          <w:rFonts w:ascii="Times New Roman" w:hAnsi="Times New Roman"/>
          <w:bCs/>
          <w:i/>
          <w:sz w:val="24"/>
          <w:szCs w:val="24"/>
        </w:rPr>
        <w:t xml:space="preserve"> Soil</w:t>
      </w:r>
      <w:r w:rsidRPr="00180956">
        <w:rPr>
          <w:rFonts w:ascii="Times New Roman" w:hAnsi="Times New Roman"/>
          <w:bCs/>
          <w:i/>
          <w:sz w:val="24"/>
          <w:szCs w:val="24"/>
        </w:rPr>
        <w:t xml:space="preserve"> fertility management</w:t>
      </w:r>
    </w:p>
    <w:p w:rsidR="009634DC" w:rsidRDefault="005545F9" w:rsidP="009634DC">
      <w:pPr>
        <w:pStyle w:val="AbstHead"/>
        <w:spacing w:after="0"/>
        <w:jc w:val="both"/>
        <w:rPr>
          <w:rFonts w:ascii="Times New Roman" w:hAnsi="Times New Roman"/>
          <w:caps w:val="0"/>
          <w:sz w:val="24"/>
          <w:szCs w:val="24"/>
        </w:rPr>
      </w:pPr>
      <w:r>
        <w:rPr>
          <w:rFonts w:ascii="Times New Roman" w:hAnsi="Times New Roman"/>
          <w:caps w:val="0"/>
          <w:sz w:val="24"/>
          <w:szCs w:val="24"/>
        </w:rPr>
        <w:t>I</w:t>
      </w:r>
      <w:r w:rsidRPr="00180956">
        <w:rPr>
          <w:rFonts w:ascii="Times New Roman" w:hAnsi="Times New Roman"/>
          <w:caps w:val="0"/>
          <w:sz w:val="24"/>
          <w:szCs w:val="24"/>
        </w:rPr>
        <w:t xml:space="preserve">ntroduction </w:t>
      </w:r>
    </w:p>
    <w:p w:rsidR="005545F9" w:rsidRPr="00180956" w:rsidRDefault="005545F9" w:rsidP="009634DC">
      <w:pPr>
        <w:pStyle w:val="AbstHead"/>
        <w:spacing w:after="0"/>
        <w:jc w:val="both"/>
        <w:rPr>
          <w:rFonts w:ascii="Times New Roman" w:hAnsi="Times New Roman"/>
          <w:sz w:val="24"/>
          <w:szCs w:val="24"/>
        </w:rPr>
      </w:pPr>
    </w:p>
    <w:p w:rsidR="009634DC" w:rsidRDefault="009634DC" w:rsidP="009634DC">
      <w:pPr>
        <w:pStyle w:val="AbstHead"/>
        <w:spacing w:after="0"/>
        <w:jc w:val="both"/>
        <w:rPr>
          <w:rFonts w:ascii="Times New Roman" w:hAnsi="Times New Roman"/>
          <w:b w:val="0"/>
          <w:caps w:val="0"/>
          <w:sz w:val="24"/>
          <w:szCs w:val="24"/>
        </w:rPr>
      </w:pPr>
      <w:r w:rsidRPr="00180956">
        <w:rPr>
          <w:rFonts w:ascii="Times New Roman" w:hAnsi="Times New Roman"/>
          <w:b w:val="0"/>
          <w:caps w:val="0"/>
          <w:sz w:val="24"/>
          <w:szCs w:val="24"/>
        </w:rPr>
        <w:t xml:space="preserve">Soil health is determined by the balance and interaction of its physical, chemical, and biological properties, all of which are essential for sustainable crop production. A disturbance in one property often influences others, leading to a decline in overall soil quality. In recent decades, the rapid growth of the global population and the corresponding increase in food demand have intensified agricultural activities. This has led to excessive use of synthetic fertilizers, frequent tillage, and reliance on heavy machinery practices that have significantly degraded soil structure and fertility (Sharma et al., 2018). In India, the Green Revolution </w:t>
      </w:r>
      <w:r w:rsidRPr="00180956">
        <w:rPr>
          <w:rFonts w:ascii="Times New Roman" w:hAnsi="Times New Roman"/>
          <w:b w:val="0"/>
          <w:caps w:val="0"/>
          <w:sz w:val="24"/>
          <w:szCs w:val="24"/>
        </w:rPr>
        <w:lastRenderedPageBreak/>
        <w:t>successfully boosted food grain production and addressed immediate food insecurity. However, it also contributed to a long-term issue of nutrient imbalance and soil degradation, resulting in what is now termed as "hidden hunger" or nutrient deficiency in soils and crops (Singh et al., 2020).</w:t>
      </w:r>
    </w:p>
    <w:p w:rsidR="009634DC" w:rsidRPr="00180956" w:rsidRDefault="009634DC" w:rsidP="009634DC">
      <w:pPr>
        <w:pStyle w:val="AbstHead"/>
        <w:spacing w:after="0"/>
        <w:jc w:val="both"/>
        <w:rPr>
          <w:rFonts w:ascii="Times New Roman" w:hAnsi="Times New Roman"/>
          <w:b w:val="0"/>
          <w:caps w:val="0"/>
          <w:sz w:val="24"/>
          <w:szCs w:val="24"/>
        </w:rPr>
      </w:pPr>
    </w:p>
    <w:p w:rsidR="009634DC" w:rsidRDefault="009634DC" w:rsidP="009634DC">
      <w:pPr>
        <w:tabs>
          <w:tab w:val="left" w:pos="720"/>
        </w:tabs>
        <w:jc w:val="both"/>
        <w:rPr>
          <w:rFonts w:ascii="Times New Roman" w:hAnsi="Times New Roman"/>
          <w:sz w:val="24"/>
          <w:szCs w:val="24"/>
        </w:rPr>
      </w:pPr>
      <w:r w:rsidRPr="009634DC">
        <w:rPr>
          <w:rFonts w:ascii="Times New Roman" w:hAnsi="Times New Roman"/>
          <w:sz w:val="24"/>
          <w:szCs w:val="24"/>
        </w:rPr>
        <w:t>India, with only 2.4% of the world’s geographical area, supports over 17% of the global population, making it crucial to preserve and enhance soil health for sustained agricultural productivity. The indiscriminate use of chemical fertilizers without adequate organic inputs has led to declining organic carbon levels, poor soil structure, reduced microbial diversity, and diminishing fertilizer-use efficiency (Bhattacharyya et al., 2019). To reverse this trend and restore soil fertility, an integrated approach involving balanced fertilization—combining organic and inorganic nutrient sources is necessary. The application of organic amendments such as farmyard manure (FYM), vermicompost, and biofertilizers not only replenishes soil organic matter but also improves physical structure, enhances microbial activity, and increases the efficiency of nutrient uptake (Choudhary et al., 2023). Therefore, promoting the combined use of organic and microbial inputs is critical for sustaining soil health and achieving long-term food security.</w:t>
      </w:r>
    </w:p>
    <w:p w:rsidR="009634DC" w:rsidRPr="009634DC" w:rsidRDefault="009634DC" w:rsidP="009634DC">
      <w:pPr>
        <w:tabs>
          <w:tab w:val="left" w:pos="720"/>
        </w:tabs>
        <w:jc w:val="both"/>
        <w:rPr>
          <w:rFonts w:ascii="Times New Roman" w:hAnsi="Times New Roman"/>
          <w:sz w:val="24"/>
          <w:szCs w:val="24"/>
        </w:rPr>
      </w:pPr>
    </w:p>
    <w:p w:rsidR="009634DC" w:rsidRDefault="009634DC" w:rsidP="009634DC">
      <w:pPr>
        <w:jc w:val="both"/>
        <w:rPr>
          <w:rFonts w:ascii="Times New Roman" w:hAnsi="Times New Roman"/>
          <w:sz w:val="24"/>
          <w:szCs w:val="24"/>
        </w:rPr>
      </w:pPr>
      <w:r w:rsidRPr="009634DC">
        <w:rPr>
          <w:rFonts w:ascii="Times New Roman" w:hAnsi="Times New Roman"/>
          <w:sz w:val="24"/>
          <w:szCs w:val="24"/>
        </w:rPr>
        <w:t>Organic manure plays a crucial role in enhancing crop productivity and promoting sustainable agricultural practices by improving the physical, chemical, and biological properties of soil. Studies have demonstrated that the application of organic amendments significantly improves soil structure, increases the proportion of water-stable macroaggregates, and reduces bulk density, which enhances water infiltration and decreases erosion risks (Liu et al., 2023; Bechmann et al., 2022). Compared to inorganic fertilizers, organic manure increases soil organic carbon (SOC) by approximately 27% and total nitrogen by 33%, supporting long-term nutrient availability (Wang et al., 2020). These improvements are particularly important for addressing soil degradation caused by conventional farming systems, which are linked to compaction, nitrogen leaching, salinity, and groundwater contamination (Ali et al., 2023)</w:t>
      </w:r>
      <w:r>
        <w:rPr>
          <w:rFonts w:ascii="Times New Roman" w:hAnsi="Times New Roman"/>
          <w:sz w:val="24"/>
          <w:szCs w:val="24"/>
        </w:rPr>
        <w:t>.</w:t>
      </w:r>
    </w:p>
    <w:p w:rsidR="009634DC" w:rsidRPr="009634DC" w:rsidRDefault="009634DC" w:rsidP="009634DC">
      <w:pPr>
        <w:jc w:val="both"/>
        <w:rPr>
          <w:rFonts w:ascii="Times New Roman" w:hAnsi="Times New Roman"/>
          <w:sz w:val="24"/>
          <w:szCs w:val="24"/>
        </w:rPr>
      </w:pPr>
    </w:p>
    <w:p w:rsidR="009634DC" w:rsidRPr="00180956" w:rsidRDefault="009634DC" w:rsidP="009634DC">
      <w:pPr>
        <w:jc w:val="both"/>
        <w:rPr>
          <w:rFonts w:ascii="Times New Roman" w:hAnsi="Times New Roman"/>
          <w:sz w:val="24"/>
          <w:szCs w:val="24"/>
        </w:rPr>
      </w:pPr>
      <w:r w:rsidRPr="00180956">
        <w:rPr>
          <w:rFonts w:ascii="Times New Roman" w:hAnsi="Times New Roman"/>
          <w:sz w:val="24"/>
          <w:szCs w:val="24"/>
        </w:rPr>
        <w:t xml:space="preserve">Additionally, organic amendments enrich soil microbial biomass and enzymatic activities, promoting nutrient cycling and suppressing soilborne pathogens such as </w:t>
      </w:r>
      <w:r w:rsidRPr="00180956">
        <w:rPr>
          <w:rFonts w:ascii="Times New Roman" w:hAnsi="Times New Roman"/>
          <w:i/>
          <w:iCs/>
          <w:sz w:val="24"/>
          <w:szCs w:val="24"/>
        </w:rPr>
        <w:t>Fusarium spp.</w:t>
      </w:r>
      <w:r w:rsidRPr="00180956">
        <w:rPr>
          <w:rFonts w:ascii="Times New Roman" w:hAnsi="Times New Roman"/>
          <w:sz w:val="24"/>
          <w:szCs w:val="24"/>
        </w:rPr>
        <w:t xml:space="preserve"> (Chen et al., 2023). Improved microbial diversity and function are closely associated with soil quality, which refers to the soil's capacity to support plant growth and maintain environmental quality (Li et al., 2023). Though not directly measurable, soil quality is assessed through physical and biological indicators influenced by land use and management. High soil quality is correlated with improved water and air regulation, reduced greenhouse gas emissions, and increased agronomic efficiency (FAO, 2021). Therefore, integrating organic manure into soil management strategies is essential for achieving long-term agricultural sustainability and environmental health.</w:t>
      </w:r>
    </w:p>
    <w:p w:rsidR="009634DC" w:rsidRPr="00180956" w:rsidRDefault="009634DC" w:rsidP="009634DC">
      <w:pPr>
        <w:jc w:val="both"/>
        <w:rPr>
          <w:rFonts w:ascii="Times New Roman" w:hAnsi="Times New Roman"/>
          <w:sz w:val="24"/>
          <w:szCs w:val="24"/>
        </w:rPr>
      </w:pPr>
      <w:r w:rsidRPr="00180956">
        <w:rPr>
          <w:rFonts w:ascii="Times New Roman" w:hAnsi="Times New Roman"/>
          <w:sz w:val="24"/>
          <w:szCs w:val="24"/>
        </w:rPr>
        <w:t xml:space="preserve">Organic fertilization is inherently more complex than mineral fertilization due to the variable and often less predictable nutrient composition of organic amendments (Bünemann et al., 2018). Unlike mineral fertilizers, which supply nutrients in immediately plant-available forms, organic fertilizers require microbial decomposition for nutrient release, making their effects more gradual and long-term (Schröder et al., 2020). However, their fertilization value can be significantly enhanced through careful management of composition, application rates, timing, and placement (Liu et al., 2023). Long-term field experiments are essential for assessing the cumulative impact of organic inputs on soil, particularly changes in soil organic matter (SOM), which is best characterized by sustained increases or decreases in total soil organic carbon (SOC) content in the upper layers of soil (Wang et al., 2021). To mitigate </w:t>
      </w:r>
      <w:r w:rsidRPr="00180956">
        <w:rPr>
          <w:rFonts w:ascii="Times New Roman" w:hAnsi="Times New Roman"/>
          <w:sz w:val="24"/>
          <w:szCs w:val="24"/>
        </w:rPr>
        <w:lastRenderedPageBreak/>
        <w:t>these adverse effects while maintaining crop productivity, researchers recommend integrated nutrient management (INM), which combines organic and inorganic amendments. This holistic approach improves nutrient cycling, strengthens soil aggregation, enhances microbial activity, and reduces environmental degradation, thereby fostering long-term soil health and sustainable agricultural productivity (Chen et al., 2023; Li et al., 2023).</w:t>
      </w:r>
    </w:p>
    <w:p w:rsidR="009634DC" w:rsidRPr="00180956" w:rsidRDefault="009634DC" w:rsidP="009634DC">
      <w:pPr>
        <w:pStyle w:val="Body"/>
        <w:spacing w:after="0"/>
        <w:rPr>
          <w:rFonts w:ascii="Times New Roman" w:hAnsi="Times New Roman"/>
          <w:sz w:val="24"/>
          <w:szCs w:val="24"/>
        </w:rPr>
      </w:pPr>
    </w:p>
    <w:p w:rsidR="009634DC" w:rsidRPr="005545F9" w:rsidRDefault="005545F9" w:rsidP="009634DC">
      <w:pPr>
        <w:pStyle w:val="AbstHead"/>
        <w:spacing w:after="0"/>
        <w:jc w:val="both"/>
        <w:rPr>
          <w:rFonts w:ascii="Times New Roman" w:hAnsi="Times New Roman"/>
          <w:sz w:val="24"/>
          <w:szCs w:val="24"/>
        </w:rPr>
      </w:pPr>
      <w:r>
        <w:rPr>
          <w:rFonts w:ascii="Times New Roman" w:hAnsi="Times New Roman"/>
          <w:caps w:val="0"/>
          <w:sz w:val="24"/>
          <w:szCs w:val="24"/>
        </w:rPr>
        <w:t>M</w:t>
      </w:r>
      <w:r w:rsidRPr="005545F9">
        <w:rPr>
          <w:rFonts w:ascii="Times New Roman" w:hAnsi="Times New Roman"/>
          <w:caps w:val="0"/>
          <w:sz w:val="24"/>
          <w:szCs w:val="24"/>
        </w:rPr>
        <w:t xml:space="preserve">aterial and methods </w:t>
      </w:r>
    </w:p>
    <w:p w:rsidR="009634DC" w:rsidRPr="00180956" w:rsidRDefault="009634DC" w:rsidP="009634DC">
      <w:pPr>
        <w:pStyle w:val="AbstHead"/>
        <w:spacing w:after="0"/>
        <w:jc w:val="both"/>
        <w:rPr>
          <w:rFonts w:ascii="Times New Roman" w:hAnsi="Times New Roman"/>
          <w:sz w:val="24"/>
          <w:szCs w:val="24"/>
        </w:rPr>
      </w:pPr>
    </w:p>
    <w:p w:rsidR="009634DC" w:rsidRPr="00980837" w:rsidRDefault="009634DC" w:rsidP="00980837">
      <w:pPr>
        <w:jc w:val="both"/>
        <w:rPr>
          <w:rFonts w:ascii="Times New Roman" w:eastAsia="Times-Roman" w:hAnsi="Times New Roman"/>
          <w:color w:val="000000"/>
          <w:sz w:val="24"/>
          <w:szCs w:val="24"/>
          <w:lang w:eastAsia="zh-CN"/>
        </w:rPr>
      </w:pPr>
      <w:r w:rsidRPr="009634DC">
        <w:rPr>
          <w:rFonts w:ascii="Times New Roman" w:eastAsia="Times-Roman" w:hAnsi="Times New Roman"/>
          <w:color w:val="000000"/>
          <w:sz w:val="24"/>
          <w:szCs w:val="24"/>
          <w:lang w:eastAsia="zh-CN"/>
        </w:rPr>
        <w:t>The experiment was conducted during the summer season of 2025 at the Organic Research Farm, M.S. Swaminathan School of Agriculture, Centurion University of Technology and Management, Paralakhemundi, Odisha, India. The site is geographically situated at 18.80°N latitude and 84.20°E longitude, at an altitude of 145 m above mean sea level, falling under the North-Eastern Ghatagro-climatic zone characterized by sub-humid and sub-tropical conditions.</w:t>
      </w:r>
      <w:r w:rsidRPr="00980837">
        <w:rPr>
          <w:rFonts w:ascii="Times New Roman" w:eastAsia="Times-Roman" w:hAnsi="Times New Roman"/>
          <w:color w:val="000000"/>
          <w:sz w:val="24"/>
          <w:szCs w:val="24"/>
          <w:lang w:eastAsia="zh-CN"/>
        </w:rPr>
        <w:t>The region receives an average annual rainfall of 1400 mm, with the monsoon typically active from June to September. During the experiment, maximum and minimum temperatures ranged between 26.5 °C–38.9 °C and 12.3 °C–27.4 °C, respectively. Relative humidity varied from 75.71% to 95.9% morning and 33.86% to 64.9% afternoon. Sunshine hours ranged from 3.0 to 10.3 hours/day, and evaporation rates from 1.5 mm to 7.06 mm/day. Weather data were recorded from the university meteorological observatory.</w:t>
      </w:r>
    </w:p>
    <w:p w:rsidR="00980837" w:rsidRDefault="00980837" w:rsidP="00980837">
      <w:pPr>
        <w:jc w:val="both"/>
        <w:rPr>
          <w:rFonts w:ascii="Times New Roman" w:eastAsia="Times-Roman" w:hAnsi="Times New Roman"/>
          <w:color w:val="000000"/>
          <w:sz w:val="24"/>
          <w:szCs w:val="24"/>
          <w:lang w:eastAsia="zh-CN"/>
        </w:rPr>
      </w:pPr>
    </w:p>
    <w:p w:rsid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The field experiment was conducted using a factorial Randomized Block Design (RBD) with nine treatments and three replications. The test crop was cluster bean (</w:t>
      </w:r>
      <w:r w:rsidRPr="00980837">
        <w:rPr>
          <w:rFonts w:ascii="Times New Roman" w:eastAsia="Times-Roman" w:hAnsi="Times New Roman"/>
          <w:i/>
          <w:iCs/>
          <w:color w:val="000000"/>
          <w:sz w:val="24"/>
          <w:szCs w:val="24"/>
          <w:lang w:eastAsia="zh-CN"/>
        </w:rPr>
        <w:t>Cyamopsistetragonoloba</w:t>
      </w:r>
      <w:r w:rsidRPr="00980837">
        <w:rPr>
          <w:rFonts w:ascii="Times New Roman" w:eastAsia="Times-Roman" w:hAnsi="Times New Roman"/>
          <w:color w:val="000000"/>
          <w:sz w:val="24"/>
          <w:szCs w:val="24"/>
          <w:lang w:eastAsia="zh-CN"/>
        </w:rPr>
        <w:t>), variety GP-07, with a crop duration of three months. The nine treatments consisted of different combinations of organic manures and biofertilizer as follows: T0 (Control), T1 (100% FYM), T2 (150% FYM), T3 (100% Vermicompost), T4 (150% Vermicompost), T5 (100% FYM + Rhizobium), T6 (150% FYM + Rhizobium), T7 (100% Vermicompost + Rhizobium), and T8 (150% Vermicompost + Rhizobium).</w:t>
      </w:r>
    </w:p>
    <w:p w:rsidR="00980837" w:rsidRDefault="00980837" w:rsidP="00980837">
      <w:pPr>
        <w:jc w:val="both"/>
        <w:rPr>
          <w:rFonts w:ascii="Times New Roman" w:eastAsia="Times-Roman" w:hAnsi="Times New Roman"/>
          <w:color w:val="000000"/>
          <w:sz w:val="24"/>
          <w:szCs w:val="24"/>
          <w:lang w:eastAsia="zh-CN"/>
        </w:rPr>
      </w:pPr>
    </w:p>
    <w:p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Prior to sowing, green manure was incorporated into the field. The land was prepared by ploughing 2–3 times, followed by a resting period of two days before marking rows. Organic fertilization was carried out by applying a nutrient dose equivalent to 20:40:20 kg NPK ha</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s="Helvetica"/>
          <w:color w:val="000000"/>
          <w:sz w:val="24"/>
          <w:szCs w:val="24"/>
          <w:lang w:eastAsia="zh-CN"/>
        </w:rPr>
        <w:t>¹</w:t>
      </w:r>
      <w:r w:rsidRPr="00980837">
        <w:rPr>
          <w:rFonts w:ascii="Times New Roman" w:eastAsia="Times-Roman" w:hAnsi="Times New Roman"/>
          <w:color w:val="000000"/>
          <w:sz w:val="24"/>
          <w:szCs w:val="24"/>
          <w:lang w:eastAsia="zh-CN"/>
        </w:rPr>
        <w:t>, tailored to each treatment. Farmyard manure (FYM), vermicompost, and Rhizobium were applied based on the treatment requirements to support optimal crop growth and soil health.</w:t>
      </w:r>
    </w:p>
    <w:p w:rsidR="009634DC" w:rsidRPr="00180956" w:rsidRDefault="009634DC" w:rsidP="009634DC">
      <w:pPr>
        <w:ind w:left="360"/>
        <w:jc w:val="both"/>
        <w:rPr>
          <w:rFonts w:ascii="Times New Roman" w:eastAsia="Times-Roman" w:hAnsi="Times New Roman"/>
          <w:color w:val="000000"/>
          <w:sz w:val="24"/>
          <w:szCs w:val="24"/>
          <w:lang w:eastAsia="zh-CN"/>
        </w:rPr>
      </w:pPr>
    </w:p>
    <w:p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To investigate the short-term effects of different doses of farmyard manure (FYM), vermicompost, and biofertilizer on soil properties, soil samples were collected at three  time 30, 60, and 90 days after sowing (DAS). Samples were taken from the surface layer at a depth of 0–15 cm. for the assessment of physical properties, bulk density was measured under field conditions using the core sampling method. for chemical analysis, the collected 0-15 cm </w:t>
      </w:r>
      <w:r w:rsidR="00980837" w:rsidRPr="00980837">
        <w:rPr>
          <w:rFonts w:ascii="Times New Roman" w:eastAsia="Times-Roman" w:hAnsi="Times New Roman"/>
          <w:color w:val="000000"/>
          <w:sz w:val="24"/>
          <w:szCs w:val="24"/>
          <w:lang w:eastAsia="zh-CN"/>
        </w:rPr>
        <w:t>surface soil</w:t>
      </w:r>
      <w:r w:rsidRPr="00980837">
        <w:rPr>
          <w:rFonts w:ascii="Times New Roman" w:eastAsia="Times-Roman" w:hAnsi="Times New Roman"/>
          <w:color w:val="000000"/>
          <w:sz w:val="24"/>
          <w:szCs w:val="24"/>
          <w:lang w:eastAsia="zh-CN"/>
        </w:rPr>
        <w:t xml:space="preserve"> samples were air-dried, and passed through a 2 mm sieve. the sieved samples were then used to determine soil texture, ph, soil organic carbon (soc) and available macronutrients  nitrogen (n), phosphorus (p), and potassium (k) following standard analytical procedures (Table.1).</w:t>
      </w:r>
    </w:p>
    <w:p w:rsidR="009634DC" w:rsidRPr="00180956" w:rsidRDefault="009634DC" w:rsidP="009634DC">
      <w:pPr>
        <w:pStyle w:val="AbstHead"/>
        <w:spacing w:after="0"/>
        <w:jc w:val="both"/>
        <w:rPr>
          <w:rFonts w:ascii="Times New Roman" w:hAnsi="Times New Roman"/>
          <w:b w:val="0"/>
          <w:sz w:val="24"/>
          <w:szCs w:val="24"/>
        </w:rPr>
      </w:pPr>
    </w:p>
    <w:p w:rsidR="009634DC" w:rsidRPr="00180956" w:rsidRDefault="009634DC" w:rsidP="009634DC">
      <w:pPr>
        <w:pStyle w:val="Body"/>
        <w:spacing w:after="0"/>
        <w:rPr>
          <w:rFonts w:ascii="Times New Roman" w:hAnsi="Times New Roman"/>
          <w:sz w:val="24"/>
          <w:szCs w:val="24"/>
        </w:rPr>
      </w:pPr>
    </w:p>
    <w:p w:rsidR="009634DC" w:rsidRPr="00180956" w:rsidRDefault="009634DC" w:rsidP="009634DC">
      <w:pPr>
        <w:pStyle w:val="Body"/>
        <w:spacing w:after="0"/>
        <w:rPr>
          <w:rFonts w:ascii="Times New Roman" w:hAnsi="Times New Roman"/>
          <w:sz w:val="24"/>
          <w:szCs w:val="24"/>
        </w:rPr>
      </w:pPr>
    </w:p>
    <w:p w:rsidR="009634DC" w:rsidRDefault="005545F9" w:rsidP="00980837">
      <w:pPr>
        <w:pStyle w:val="Head1"/>
        <w:spacing w:after="0"/>
        <w:jc w:val="both"/>
        <w:rPr>
          <w:rFonts w:ascii="Times New Roman" w:hAnsi="Times New Roman"/>
          <w:caps w:val="0"/>
          <w:sz w:val="24"/>
          <w:szCs w:val="24"/>
        </w:rPr>
      </w:pPr>
      <w:r>
        <w:rPr>
          <w:rFonts w:ascii="Times New Roman" w:hAnsi="Times New Roman"/>
          <w:caps w:val="0"/>
          <w:sz w:val="24"/>
          <w:szCs w:val="24"/>
        </w:rPr>
        <w:t>R</w:t>
      </w:r>
      <w:r w:rsidRPr="00180956">
        <w:rPr>
          <w:rFonts w:ascii="Times New Roman" w:hAnsi="Times New Roman"/>
          <w:caps w:val="0"/>
          <w:sz w:val="24"/>
          <w:szCs w:val="24"/>
        </w:rPr>
        <w:t>esults and discussion</w:t>
      </w:r>
    </w:p>
    <w:p w:rsidR="005545F9" w:rsidRPr="00180956" w:rsidRDefault="005545F9" w:rsidP="00980837">
      <w:pPr>
        <w:pStyle w:val="Head1"/>
        <w:spacing w:after="0"/>
        <w:jc w:val="both"/>
        <w:rPr>
          <w:rFonts w:ascii="Times New Roman" w:hAnsi="Times New Roman"/>
          <w:sz w:val="24"/>
          <w:szCs w:val="24"/>
        </w:rPr>
      </w:pPr>
    </w:p>
    <w:p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The study evaluated the effects of various organic treatment regimes on soil physical and chemical properties at different crop growth stages (30, 60, and 90 days after sowing). The </w:t>
      </w:r>
      <w:r w:rsidRPr="00980837">
        <w:rPr>
          <w:rFonts w:ascii="Times New Roman" w:eastAsia="Times-Roman" w:hAnsi="Times New Roman"/>
          <w:color w:val="000000"/>
          <w:sz w:val="24"/>
          <w:szCs w:val="24"/>
          <w:lang w:eastAsia="zh-CN"/>
        </w:rPr>
        <w:lastRenderedPageBreak/>
        <w:t xml:space="preserve">physical properties assessed included soil texture and bulk density, while the chemical properties comprised pH, electrical conductivity (EC), and available nitrogen (N), phosphorus (P), and potassium (K) levels in soil </w:t>
      </w:r>
    </w:p>
    <w:p w:rsidR="00980837" w:rsidRPr="00980837" w:rsidRDefault="00980837" w:rsidP="00980837">
      <w:pPr>
        <w:jc w:val="both"/>
        <w:rPr>
          <w:rFonts w:ascii="Times New Roman" w:eastAsia="Times-Roman" w:hAnsi="Times New Roman"/>
          <w:color w:val="000000"/>
          <w:sz w:val="24"/>
          <w:szCs w:val="24"/>
          <w:lang w:eastAsia="zh-CN"/>
        </w:rPr>
      </w:pPr>
    </w:p>
    <w:p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Across all sampling intervals, a consistent decline in bulk density was observed in organically treated plots compared to the control. At 30 days, the control exhibited the highest bulk density (1.41 g/cm³), while the lowest was recorded under 150% vermicompost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1.27 g/cm³. A similar trend persisted at 60 and 90 days, where the control remained highest (1.43 and 1.44 g/cm³, respectively), and 150% vermicompost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showed the lowest values 1.24 and 1.22 g/cm³, respectively (Table 2).</w:t>
      </w:r>
    </w:p>
    <w:p w:rsidR="00980837" w:rsidRPr="00980837" w:rsidRDefault="00980837" w:rsidP="00980837">
      <w:pPr>
        <w:jc w:val="both"/>
        <w:rPr>
          <w:rFonts w:ascii="Times New Roman" w:eastAsia="Times-Roman" w:hAnsi="Times New Roman"/>
          <w:color w:val="000000"/>
          <w:sz w:val="24"/>
          <w:szCs w:val="24"/>
          <w:lang w:eastAsia="zh-CN"/>
        </w:rPr>
      </w:pPr>
    </w:p>
    <w:p w:rsidR="009634DC" w:rsidRDefault="009634DC" w:rsidP="00980837">
      <w:pPr>
        <w:jc w:val="both"/>
        <w:rPr>
          <w:rFonts w:ascii="Times New Roman" w:eastAsia="Times-Roman" w:hAnsi="Times New Roman"/>
          <w:i/>
          <w:iCs/>
          <w:color w:val="000000"/>
          <w:sz w:val="24"/>
          <w:szCs w:val="24"/>
          <w:lang w:eastAsia="zh-CN"/>
        </w:rPr>
      </w:pPr>
      <w:r w:rsidRPr="00980837">
        <w:rPr>
          <w:rFonts w:ascii="Times New Roman" w:eastAsia="Times-Roman" w:hAnsi="Times New Roman"/>
          <w:color w:val="000000"/>
          <w:sz w:val="24"/>
          <w:szCs w:val="24"/>
          <w:lang w:eastAsia="zh-CN"/>
        </w:rPr>
        <w:t xml:space="preserve">The progressive decrease in bulk density with increasing organic input, particularly at higher application rates and in combination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may be attributed to improved soil aggregation, increased organic matter content, and enhanced microbial activity. This is consistent with previous findings that organic amendments improve soil structure and porosity, thereby reducing compaction (Yadav et al., 2020; Sharma et al., 2019). Treatments with FYM and vermicompost alone or combined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consistently performed better than the control in lowering bulk density, with the most notable improvement under 150% vermicompost + </w:t>
      </w:r>
      <w:r w:rsidRPr="00980837">
        <w:rPr>
          <w:rFonts w:ascii="Times New Roman" w:eastAsia="Times-Roman" w:hAnsi="Times New Roman"/>
          <w:i/>
          <w:iCs/>
          <w:color w:val="000000"/>
          <w:sz w:val="24"/>
          <w:szCs w:val="24"/>
          <w:lang w:eastAsia="zh-CN"/>
        </w:rPr>
        <w:t>Rhizobium</w:t>
      </w:r>
      <w:r w:rsidR="00980837">
        <w:rPr>
          <w:rFonts w:ascii="Times New Roman" w:eastAsia="Times-Roman" w:hAnsi="Times New Roman"/>
          <w:i/>
          <w:iCs/>
          <w:color w:val="000000"/>
          <w:sz w:val="24"/>
          <w:szCs w:val="24"/>
          <w:lang w:eastAsia="zh-CN"/>
        </w:rPr>
        <w:t>.</w:t>
      </w:r>
    </w:p>
    <w:p w:rsidR="00980837" w:rsidRPr="00980837" w:rsidRDefault="00980837" w:rsidP="00980837">
      <w:pPr>
        <w:jc w:val="both"/>
        <w:rPr>
          <w:rFonts w:ascii="Times New Roman" w:eastAsia="Times-Roman" w:hAnsi="Times New Roman"/>
          <w:color w:val="000000"/>
          <w:sz w:val="24"/>
          <w:szCs w:val="24"/>
          <w:lang w:eastAsia="zh-CN"/>
        </w:rPr>
      </w:pPr>
    </w:p>
    <w:p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The textural class of the soil across all treatments remained sandy loam, with minor variations in sand, silt, and clay percentages. The sand content ranged from 64.5% to 68.2%, silt from 20.5% to 22.8%, and clay from 11.3% to 12.8%. While the organic treatments did not significantly alter the soil texture class, slight increases in silt and clay fractions in organically treated plots may indicate better soil aggregation and organic matter binding over time.</w:t>
      </w:r>
    </w:p>
    <w:p w:rsidR="00980837" w:rsidRPr="00980837" w:rsidRDefault="00980837" w:rsidP="00980837">
      <w:pPr>
        <w:jc w:val="both"/>
        <w:rPr>
          <w:rFonts w:ascii="Times New Roman" w:eastAsia="Times-Roman" w:hAnsi="Times New Roman"/>
          <w:color w:val="000000"/>
          <w:sz w:val="24"/>
          <w:szCs w:val="24"/>
          <w:lang w:eastAsia="zh-CN"/>
        </w:rPr>
      </w:pPr>
    </w:p>
    <w:p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Soil pH measurements at 30, 60, and 90 days after sowing revealed marked variability across treatments. At 30 DAS, the 150% FYM + Rhizobium and 100% Vermicompost + Rhizobium treatments recorded the highest pH values (7.900), followed by the 100% Vermicompost treatment (7.80). The lowest pH (7.38) appeared in the 100% FYM treatment. By 60 DAS, the highest pH shifted to the 100% FYM treatment (7.900), while the control plots showed the lowest pH (7.46). Treatments with Rhizobium—specifically 100% FYM + Rhizobium and 150% Vermicompost + Rhizobium—maintained moderately high pH values (7.83 and 7.74, respectively). At 90 DAS, most treatments showed a slight decline in pH. The 100% Vermicompost treatment displayed the lowest pH (6.93), suggesting potential acidifying effects over time, whereas 100% FYM + Rhizobium and 150% FYM + Rhizobium stabilized at pH values of 7.813 and 7.267, respectively(</w:t>
      </w:r>
      <w:r w:rsidRPr="00980837">
        <w:rPr>
          <w:rFonts w:ascii="Times New Roman" w:hAnsi="Times New Roman"/>
          <w:sz w:val="24"/>
          <w:szCs w:val="24"/>
        </w:rPr>
        <w:t>Table 3.)</w:t>
      </w:r>
      <w:r w:rsidRPr="00980837">
        <w:rPr>
          <w:rFonts w:ascii="Times New Roman" w:eastAsia="Times-Roman" w:hAnsi="Times New Roman"/>
          <w:color w:val="000000"/>
          <w:sz w:val="24"/>
          <w:szCs w:val="24"/>
          <w:lang w:eastAsia="zh-CN"/>
        </w:rPr>
        <w:t>. Treatments combining organic amendments with Rhizobium inoculation generally sustained more stable and moderate pH values. Standard error of the mean (SEm) ranged from 0.125 to 0.229 and the coefficient of variation (CV) ranged from 2.802% to 5.136%, indicating acceptable variability among treatments (Fig. 1).</w:t>
      </w:r>
    </w:p>
    <w:p w:rsidR="00980837" w:rsidRDefault="00980837" w:rsidP="00980837">
      <w:pPr>
        <w:jc w:val="both"/>
        <w:rPr>
          <w:rFonts w:ascii="Times New Roman" w:eastAsia="Times-Roman" w:hAnsi="Times New Roman"/>
          <w:color w:val="000000"/>
          <w:sz w:val="24"/>
          <w:szCs w:val="24"/>
          <w:lang w:eastAsia="zh-CN"/>
        </w:rPr>
      </w:pPr>
    </w:p>
    <w:p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These findings align with observations that vermicompost acts as a buffering agent, helping moderate soil pH fluctuations due to its ability to release microbial metabolites and humic substances (Maheswarappa et al., 1999; Subler et al., 1998) .Initial pH elevation in Rhizobium</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olor w:val="000000"/>
          <w:sz w:val="24"/>
          <w:szCs w:val="24"/>
          <w:lang w:eastAsia="zh-CN"/>
        </w:rPr>
        <w:t xml:space="preserve">inoculated treatments may be attributed to microbial nitrogen fixation and associated organic acid dynamics, while long-term declines in pH for standalone vermicompost treatments may result from progressive mineralization of organic acids during decomposition (Howe, 2024; Manzoor et al., 2024) </w:t>
      </w:r>
    </w:p>
    <w:p w:rsidR="00980837" w:rsidRDefault="00980837" w:rsidP="009634DC">
      <w:pPr>
        <w:pStyle w:val="ListParagraph"/>
        <w:jc w:val="both"/>
        <w:rPr>
          <w:rFonts w:ascii="Times New Roman" w:eastAsia="Times-Roman" w:hAnsi="Times New Roman"/>
          <w:color w:val="000000"/>
          <w:sz w:val="24"/>
          <w:szCs w:val="24"/>
          <w:lang w:eastAsia="zh-CN"/>
        </w:rPr>
      </w:pPr>
    </w:p>
    <w:p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Combined treatments of FYM or vermicompost with Rhizobium inoculation dampened extreme pH shifts and maintained near-neutral pH levels throughout the observation period. This suggests that the synergistic effects of organic manure and microbial inoculants can stabilize soil pH more effectively than single-input treatments. Similar observations have been reported in legume cropping systems, where Rhizobium inoculation improved soil chemical balance and nutrient availability when applied alongside organic </w:t>
      </w:r>
      <w:r w:rsidR="00980837" w:rsidRPr="00980837">
        <w:rPr>
          <w:rFonts w:ascii="Times New Roman" w:eastAsia="Times-Roman" w:hAnsi="Times New Roman"/>
          <w:color w:val="000000"/>
          <w:sz w:val="24"/>
          <w:szCs w:val="24"/>
          <w:lang w:eastAsia="zh-CN"/>
        </w:rPr>
        <w:t>amendments.</w:t>
      </w:r>
    </w:p>
    <w:p w:rsidR="00980837" w:rsidRPr="00980837" w:rsidRDefault="00980837" w:rsidP="00980837">
      <w:pPr>
        <w:jc w:val="both"/>
        <w:rPr>
          <w:rFonts w:ascii="Times New Roman" w:eastAsia="Times-Roman" w:hAnsi="Times New Roman"/>
          <w:color w:val="000000"/>
          <w:sz w:val="24"/>
          <w:szCs w:val="24"/>
          <w:lang w:eastAsia="zh-CN"/>
        </w:rPr>
      </w:pPr>
    </w:p>
    <w:p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Overall, these results highlight the importance of integrating organic amendments with biofertilizers to maintain soil chemical equilibrium. Standalone organic amendments may yield short-term pH variation, whereas combined treatments offer more stable conditions, thereby promoting better nutrient availability and soil health over the early crop growth stages.</w:t>
      </w:r>
    </w:p>
    <w:p w:rsidR="00980837" w:rsidRDefault="00980837" w:rsidP="00980837">
      <w:pPr>
        <w:jc w:val="both"/>
        <w:rPr>
          <w:rFonts w:ascii="Times New Roman" w:eastAsia="Times-Roman" w:hAnsi="Times New Roman"/>
          <w:color w:val="000000"/>
          <w:sz w:val="24"/>
          <w:szCs w:val="24"/>
          <w:lang w:eastAsia="zh-CN"/>
        </w:rPr>
      </w:pPr>
    </w:p>
    <w:p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The temporal dynamics of soil organic carbon (SOC) revealed significant variations across treatments and time intervals, indicating that both the type and dose of organic amendment, as well as the presence of Rhizobium, substantially influenced SOC trends during the early crop growth stages. At 30 days, SOC was highest in the 100% FYM + Rhizobium treatment (0.64%), reflecting a synergistic effect likely due to enhanced microbial activity and nitrogen fixation, consistent with findings by Khambalkar (2025) and Just et al. (2024) who reported similar carbon enrichment through organic and biofertilizer combinations. By 60 days, the highest SOC was recorded in the 150% FYM (0.72%), suggesting that higher rates of FYM provide sustained carbon input due to slower decomposition of complex organic matter (Oyege et al., 2023). Interestingly, the SOC under 100% FYM + Rhizobium decreased at this stage, potentially due to early-stage microbial mineralization—a trend aligned with microbial succession patterns discussed in Uzun et al. (2014). At 90 days, SOC increased across most treatments, with 100% FYM maintaining the highest level (0.88%), indicating its long-term benefit on carbon buildup, as also supported by field results. However, the lowest SOC in the 150% vermicompost + Rhizobium treatment at this stage (0.60%) may reflect rapid decomposition and carbon loss, as noted by Li et al. (2023) in high-dose vermicompost systems. These outcomes emphasize the importance of integrated nutrient management strategies that balance organic input types and doses to enhance carbon retention and soil quality </w:t>
      </w:r>
      <w:r w:rsidR="00980837" w:rsidRPr="00980837">
        <w:rPr>
          <w:rFonts w:ascii="Times New Roman" w:eastAsia="Times-Roman" w:hAnsi="Times New Roman"/>
          <w:color w:val="000000"/>
          <w:sz w:val="24"/>
          <w:szCs w:val="24"/>
          <w:lang w:eastAsia="zh-CN"/>
        </w:rPr>
        <w:t>sustainably.</w:t>
      </w:r>
    </w:p>
    <w:p w:rsidR="00980837" w:rsidRPr="00980837" w:rsidRDefault="00980837" w:rsidP="00980837">
      <w:pPr>
        <w:jc w:val="both"/>
        <w:rPr>
          <w:rFonts w:ascii="Times New Roman" w:eastAsia="Times-Roman" w:hAnsi="Times New Roman"/>
          <w:color w:val="000000"/>
          <w:sz w:val="24"/>
          <w:szCs w:val="24"/>
          <w:lang w:eastAsia="zh-CN"/>
        </w:rPr>
      </w:pPr>
    </w:p>
    <w:p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Soil available nitrogen varied significantly over time and among organic treatments. At 30 DAS, higher nitrogen levels in 100% vermicompost and FYM indicated rapid mineralization, while lower levels in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-inoculated treatments suggested microbial immobilization (Kaur et al., 2021). By 60 DAS, nitrogen content increased across most treatments, with 100% vermicompost and 150% FYM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performing best. Lower nitrogen in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-based treatments may reflect delayed biological nitrogen fixation. At 90 DAS, all treatments showed a marked increase, especially with 150% vermicompost, 100% vermicompost, and 150% FYM, due to cumulative mineralization.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treatments also improved, indicating effective nitrogen fixation at later stages (Yadav et al., 2020). The decreasing coefficient of variation over time and significant C.D. values confirm consistent and effective nitrogen release, especially from vermicompost and FYM(</w:t>
      </w:r>
      <w:r w:rsidRPr="00980837">
        <w:rPr>
          <w:rFonts w:ascii="Times New Roman" w:hAnsi="Times New Roman"/>
          <w:sz w:val="24"/>
          <w:szCs w:val="24"/>
        </w:rPr>
        <w:t>Table 4.)</w:t>
      </w:r>
      <w:r w:rsidRPr="00980837">
        <w:rPr>
          <w:rFonts w:ascii="Times New Roman" w:eastAsia="Times-Roman" w:hAnsi="Times New Roman"/>
          <w:color w:val="000000"/>
          <w:sz w:val="24"/>
          <w:szCs w:val="24"/>
          <w:lang w:eastAsia="zh-CN"/>
        </w:rPr>
        <w:t>. These results support integrated use of organics and bio-inoculants for sustained nitrogen availability (Sharma et al., 2019) (Fig.2).</w:t>
      </w:r>
    </w:p>
    <w:p w:rsidR="00393A69" w:rsidRPr="00980837" w:rsidRDefault="00393A69" w:rsidP="00980837">
      <w:pPr>
        <w:jc w:val="both"/>
        <w:rPr>
          <w:rFonts w:ascii="Times New Roman" w:eastAsia="Times-Roman" w:hAnsi="Times New Roman"/>
          <w:color w:val="000000"/>
          <w:sz w:val="24"/>
          <w:szCs w:val="24"/>
          <w:lang w:eastAsia="zh-CN"/>
        </w:rPr>
      </w:pPr>
    </w:p>
    <w:p w:rsidR="009634DC"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Soil available Phosphorus (P) levels showed significant variation across treatments and time intervals (30, 60, and 90 days), highlighting the effectiveness of organic amendments and </w:t>
      </w:r>
      <w:r w:rsidRPr="00980837">
        <w:rPr>
          <w:rFonts w:ascii="Times New Roman" w:eastAsia="Times-Roman" w:hAnsi="Times New Roman"/>
          <w:color w:val="000000"/>
          <w:sz w:val="24"/>
          <w:szCs w:val="24"/>
          <w:lang w:eastAsia="zh-CN"/>
        </w:rPr>
        <w:lastRenderedPageBreak/>
        <w:t>biofertilizers in enhancing nutrient availability. At 30 days, the highest P content was recorded in the 150% vermicompost + Rhizobium treatment (18.25 mg kg</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s="Helvetica"/>
          <w:color w:val="000000"/>
          <w:sz w:val="24"/>
          <w:szCs w:val="24"/>
          <w:lang w:eastAsia="zh-CN"/>
        </w:rPr>
        <w:t>¹</w:t>
      </w:r>
      <w:r w:rsidRPr="00980837">
        <w:rPr>
          <w:rFonts w:ascii="Times New Roman" w:eastAsia="Times-Roman" w:hAnsi="Times New Roman"/>
          <w:color w:val="000000"/>
          <w:sz w:val="24"/>
          <w:szCs w:val="24"/>
          <w:lang w:eastAsia="zh-CN"/>
        </w:rPr>
        <w:t>), while the control had the lowest (13.31</w:t>
      </w:r>
      <w:r w:rsidRPr="00980837">
        <w:rPr>
          <w:rFonts w:ascii="Times New Roman" w:eastAsia="Times-Roman" w:hAnsi="Times New Roman" w:cs="Helvetica"/>
          <w:color w:val="000000"/>
          <w:sz w:val="24"/>
          <w:szCs w:val="24"/>
          <w:lang w:eastAsia="zh-CN"/>
        </w:rPr>
        <w:t> </w:t>
      </w:r>
      <w:r w:rsidRPr="00980837">
        <w:rPr>
          <w:rFonts w:ascii="Times New Roman" w:eastAsia="Times-Roman" w:hAnsi="Times New Roman"/>
          <w:color w:val="000000"/>
          <w:sz w:val="24"/>
          <w:szCs w:val="24"/>
          <w:lang w:eastAsia="zh-CN"/>
        </w:rPr>
        <w:t>mg</w:t>
      </w:r>
      <w:r w:rsidRPr="00980837">
        <w:rPr>
          <w:rFonts w:ascii="Times New Roman" w:eastAsia="Times-Roman" w:hAnsi="Times New Roman" w:cs="Helvetica"/>
          <w:color w:val="000000"/>
          <w:sz w:val="24"/>
          <w:szCs w:val="24"/>
          <w:lang w:eastAsia="zh-CN"/>
        </w:rPr>
        <w:t> </w:t>
      </w:r>
      <w:r w:rsidRPr="00980837">
        <w:rPr>
          <w:rFonts w:ascii="Times New Roman" w:eastAsia="Times-Roman" w:hAnsi="Times New Roman"/>
          <w:color w:val="000000"/>
          <w:sz w:val="24"/>
          <w:szCs w:val="24"/>
          <w:lang w:eastAsia="zh-CN"/>
        </w:rPr>
        <w:t>kg</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s="Helvetica"/>
          <w:color w:val="000000"/>
          <w:sz w:val="24"/>
          <w:szCs w:val="24"/>
          <w:lang w:eastAsia="zh-CN"/>
        </w:rPr>
        <w:t>¹</w:t>
      </w:r>
      <w:r w:rsidRPr="00980837">
        <w:rPr>
          <w:rFonts w:ascii="Times New Roman" w:eastAsia="Times-Roman" w:hAnsi="Times New Roman"/>
          <w:color w:val="000000"/>
          <w:sz w:val="24"/>
          <w:szCs w:val="24"/>
          <w:lang w:eastAsia="zh-CN"/>
        </w:rPr>
        <w:t>). By 60 days, phosphorus levels increased in most treatments, peaking in 150% FYM + Rhizobium (19.15</w:t>
      </w:r>
      <w:r w:rsidRPr="00980837">
        <w:rPr>
          <w:rFonts w:ascii="Times New Roman" w:eastAsia="Times-Roman" w:hAnsi="Times New Roman" w:cs="Helvetica"/>
          <w:color w:val="000000"/>
          <w:sz w:val="24"/>
          <w:szCs w:val="24"/>
          <w:lang w:eastAsia="zh-CN"/>
        </w:rPr>
        <w:t> </w:t>
      </w:r>
      <w:r w:rsidRPr="00980837">
        <w:rPr>
          <w:rFonts w:ascii="Times New Roman" w:eastAsia="Times-Roman" w:hAnsi="Times New Roman"/>
          <w:color w:val="000000"/>
          <w:sz w:val="24"/>
          <w:szCs w:val="24"/>
          <w:lang w:eastAsia="zh-CN"/>
        </w:rPr>
        <w:t>mg</w:t>
      </w:r>
      <w:r w:rsidRPr="00980837">
        <w:rPr>
          <w:rFonts w:ascii="Times New Roman" w:eastAsia="Times-Roman" w:hAnsi="Times New Roman" w:cs="Helvetica"/>
          <w:color w:val="000000"/>
          <w:sz w:val="24"/>
          <w:szCs w:val="24"/>
          <w:lang w:eastAsia="zh-CN"/>
        </w:rPr>
        <w:t> </w:t>
      </w:r>
      <w:r w:rsidRPr="00980837">
        <w:rPr>
          <w:rFonts w:ascii="Times New Roman" w:eastAsia="Times-Roman" w:hAnsi="Times New Roman"/>
          <w:color w:val="000000"/>
          <w:sz w:val="24"/>
          <w:szCs w:val="24"/>
          <w:lang w:eastAsia="zh-CN"/>
        </w:rPr>
        <w:t>kg</w:t>
      </w:r>
      <w:r w:rsidRPr="00980837">
        <w:rPr>
          <w:rFonts w:ascii="Times New Roman" w:eastAsia="Times-Roman" w:hAnsi="Times New Roman" w:cs="Cambria Math"/>
          <w:color w:val="000000"/>
          <w:sz w:val="24"/>
          <w:szCs w:val="24"/>
          <w:lang w:eastAsia="zh-CN"/>
        </w:rPr>
        <w:t>⁻</w:t>
      </w:r>
      <w:r w:rsidRPr="00980837">
        <w:rPr>
          <w:rFonts w:ascii="Times New Roman" w:eastAsia="Times-Roman" w:hAnsi="Times New Roman" w:cs="Helvetica"/>
          <w:color w:val="000000"/>
          <w:sz w:val="24"/>
          <w:szCs w:val="24"/>
          <w:lang w:eastAsia="zh-CN"/>
        </w:rPr>
        <w:t>¹</w:t>
      </w:r>
      <w:r w:rsidRPr="00980837">
        <w:rPr>
          <w:rFonts w:ascii="Times New Roman" w:eastAsia="Times-Roman" w:hAnsi="Times New Roman"/>
          <w:color w:val="000000"/>
          <w:sz w:val="24"/>
          <w:szCs w:val="24"/>
          <w:lang w:eastAsia="zh-CN"/>
        </w:rPr>
        <w:t>). At 90 days, P content was highest in 150% vermicompost + Rhizobium (25.44 mg kg⁻¹), followed by 100% vermicompost + Rhizobium (23.20 mg kg⁻¹) and 100% FYM + Rhizobium (21.30 mg kg⁻¹), again with the control showing the lowest value (15.90 mg kg⁻¹). These patterns suggest that Rhizobium inoculation, especially when combined with higher doses of organic inputs, plays a crucial role in phosphorus mobilization. The observed improvements are consistent with previous findings indicating that vermicompost and FYM enhance P availability by stimulating microbial activity and organic matter decomposition. Rhizobium contributes to this effect by promoting enzymatic processes and solubilizing bound phosphorus, increasing its uptake by plants. These synergistic interactions were also observed by Wei et al. (2024), who reported increased P availability through microbial mineralization pathways, and Li et al. (2025), who highlighted the role of organic inputs in improving soil nutrient dynamics (</w:t>
      </w:r>
      <w:r w:rsidRPr="00980837">
        <w:rPr>
          <w:rFonts w:ascii="Times New Roman" w:hAnsi="Times New Roman"/>
          <w:sz w:val="24"/>
          <w:szCs w:val="24"/>
        </w:rPr>
        <w:t>Table 5.)</w:t>
      </w:r>
      <w:r w:rsidRPr="00980837">
        <w:rPr>
          <w:rFonts w:ascii="Times New Roman" w:eastAsia="Times-Roman" w:hAnsi="Times New Roman"/>
          <w:color w:val="000000"/>
          <w:sz w:val="24"/>
          <w:szCs w:val="24"/>
          <w:lang w:eastAsia="zh-CN"/>
        </w:rPr>
        <w:t>.</w:t>
      </w:r>
    </w:p>
    <w:p w:rsidR="00980837" w:rsidRDefault="00980837" w:rsidP="00980837">
      <w:pPr>
        <w:jc w:val="both"/>
        <w:rPr>
          <w:rFonts w:ascii="Times New Roman" w:eastAsia="Times-Roman" w:hAnsi="Times New Roman"/>
          <w:color w:val="000000"/>
          <w:sz w:val="24"/>
          <w:szCs w:val="24"/>
          <w:lang w:eastAsia="zh-CN"/>
        </w:rPr>
      </w:pPr>
    </w:p>
    <w:p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Soil available Potassium (K) exhibited significant treatment- and time-dependent variations over the 30, 60, and 90-day intervals, highlighting the influence of organic amendments and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inoculation. Control plots showed a steady increase in K from 173.6 mg kg⁻¹ at 30 days to 207.2 mg kg⁻¹ at 90 days. Treatments with 100% and 150% FYM saw moderate increases, with values rising from approximately 185 to 201 mg kg⁻¹. Vermicompost treatments—both 100% and 150%—recorded higher initial K (190.4 and 187.6 mg kg⁻¹ respectively), reaching 198–199 mg kg⁻¹ by 90 days. When combined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the increases were more pronounced: 150% FYM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rose from 186.95 to 212.8 mg kg⁻¹, and 150% vermicompost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increased from 189.57 to 206.08 mg kg⁻¹. Critical differences at 30 and 90 days (9.17 and 8.50) confirmed that treatment effects were statistically significant. Standard errors ranged from 2.8 to 3.2 and CV remained between 2.4% and 2.93%, indicating good data reliability. This pattern aligns with earlier findings that vermicompost significantly enhances available potassium in soil by supplying soluble K and stimulating microbial activity (Sharma et al., 2015; Kale et al., 2023). Organic amendments such as FYM and vermicompost have been shown to increase soil K through mineralization and microbial-mediated mobilization of both exchangeable and fixed potassium pools (Ali et al., 2023; Zhang et al., 2024). The synergistic effects observed between organic inputs and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inoculation may be attributed to enhanced microbial solubilization and nutrient retention (Sinha et al., 2000; Uzun et al., 2014), supporting the view that integrating biofertilizers with composted organics is a more efficient strategy for improving soil potassium availability than either input used </w:t>
      </w:r>
      <w:r w:rsidR="00980837" w:rsidRPr="00980837">
        <w:rPr>
          <w:rFonts w:ascii="Times New Roman" w:eastAsia="Times-Roman" w:hAnsi="Times New Roman"/>
          <w:color w:val="000000"/>
          <w:sz w:val="24"/>
          <w:szCs w:val="24"/>
          <w:lang w:eastAsia="zh-CN"/>
        </w:rPr>
        <w:t>alone (</w:t>
      </w:r>
      <w:r w:rsidRPr="00980837">
        <w:rPr>
          <w:rFonts w:ascii="Times New Roman" w:hAnsi="Times New Roman"/>
          <w:sz w:val="24"/>
          <w:szCs w:val="24"/>
        </w:rPr>
        <w:t xml:space="preserve">Table </w:t>
      </w:r>
      <w:commentRangeStart w:id="2"/>
      <w:r w:rsidR="00980837" w:rsidRPr="00980837">
        <w:rPr>
          <w:rFonts w:ascii="Times New Roman" w:hAnsi="Times New Roman"/>
          <w:sz w:val="24"/>
          <w:szCs w:val="24"/>
        </w:rPr>
        <w:t>6</w:t>
      </w:r>
      <w:commentRangeEnd w:id="2"/>
      <w:r w:rsidR="003162FD">
        <w:rPr>
          <w:rStyle w:val="CommentReference"/>
        </w:rPr>
        <w:commentReference w:id="2"/>
      </w:r>
      <w:r w:rsidR="00980837" w:rsidRPr="00980837">
        <w:rPr>
          <w:rFonts w:ascii="Times New Roman" w:hAnsi="Times New Roman"/>
          <w:sz w:val="24"/>
          <w:szCs w:val="24"/>
        </w:rPr>
        <w:t>. ).</w:t>
      </w:r>
    </w:p>
    <w:p w:rsidR="00980837" w:rsidRDefault="00980837" w:rsidP="00980837">
      <w:pPr>
        <w:jc w:val="both"/>
        <w:rPr>
          <w:rFonts w:ascii="Times New Roman" w:eastAsia="Times-Roman" w:hAnsi="Times New Roman"/>
          <w:b/>
          <w:bCs/>
          <w:color w:val="000000" w:themeColor="text1"/>
          <w:sz w:val="24"/>
          <w:szCs w:val="24"/>
          <w:lang w:eastAsia="zh-CN"/>
        </w:rPr>
      </w:pPr>
    </w:p>
    <w:p w:rsidR="009634DC" w:rsidRPr="00980837" w:rsidRDefault="009634DC" w:rsidP="00980837">
      <w:pPr>
        <w:jc w:val="both"/>
        <w:rPr>
          <w:rFonts w:ascii="Times New Roman" w:eastAsia="Times-Roman" w:hAnsi="Times New Roman"/>
          <w:color w:val="000000" w:themeColor="text1"/>
          <w:sz w:val="24"/>
          <w:szCs w:val="24"/>
          <w:lang w:eastAsia="zh-CN"/>
        </w:rPr>
      </w:pPr>
      <w:r w:rsidRPr="00980837">
        <w:rPr>
          <w:rFonts w:ascii="Times New Roman" w:eastAsia="Times-Roman" w:hAnsi="Times New Roman"/>
          <w:b/>
          <w:bCs/>
          <w:color w:val="000000" w:themeColor="text1"/>
          <w:sz w:val="24"/>
          <w:szCs w:val="24"/>
          <w:lang w:eastAsia="zh-CN"/>
        </w:rPr>
        <w:t>Conclusion</w:t>
      </w:r>
    </w:p>
    <w:p w:rsidR="009634DC" w:rsidRPr="00980837" w:rsidRDefault="009634DC" w:rsidP="00980837">
      <w:pPr>
        <w:jc w:val="both"/>
        <w:rPr>
          <w:rFonts w:ascii="Times New Roman" w:eastAsia="Times-Roman" w:hAnsi="Times New Roman"/>
          <w:color w:val="000000"/>
          <w:sz w:val="24"/>
          <w:szCs w:val="24"/>
          <w:lang w:eastAsia="zh-CN"/>
        </w:rPr>
      </w:pPr>
      <w:r w:rsidRPr="00980837">
        <w:rPr>
          <w:rFonts w:ascii="Times New Roman" w:eastAsia="Times-Roman" w:hAnsi="Times New Roman"/>
          <w:color w:val="000000"/>
          <w:sz w:val="24"/>
          <w:szCs w:val="24"/>
          <w:lang w:eastAsia="zh-CN"/>
        </w:rPr>
        <w:t xml:space="preserve">The study clearly demonstrated that the application of organic amendments—particularly at higher doses—and their integration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inoculation significantly improved soil physical and chemical properties under clusterbean cultivation. Organic treatments consistently reduced bulk density and enhanced soil organic carbon, while maintaining a stable sandy loam texture. Combined applications of FYM or vermicompost with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effectively moderated soil pH, increased nutrient availability (N, P, and K), and improved microbial activity. Among all treatments, 150% vermicompost + </w:t>
      </w:r>
      <w:r w:rsidRPr="00980837">
        <w:rPr>
          <w:rFonts w:ascii="Times New Roman" w:eastAsia="Times-Roman" w:hAnsi="Times New Roman"/>
          <w:i/>
          <w:iCs/>
          <w:color w:val="000000"/>
          <w:sz w:val="24"/>
          <w:szCs w:val="24"/>
          <w:lang w:eastAsia="zh-CN"/>
        </w:rPr>
        <w:t>Rhizobium</w:t>
      </w:r>
      <w:r w:rsidRPr="00980837">
        <w:rPr>
          <w:rFonts w:ascii="Times New Roman" w:eastAsia="Times-Roman" w:hAnsi="Times New Roman"/>
          <w:color w:val="000000"/>
          <w:sz w:val="24"/>
          <w:szCs w:val="24"/>
          <w:lang w:eastAsia="zh-CN"/>
        </w:rPr>
        <w:t xml:space="preserve"> was most effective in enhancing overall soil health. These findings support the adoption of integrated organic and microbial management strategies for sustainable soil fertility enhancement and improved crop productivity in legume-based systems.</w:t>
      </w:r>
    </w:p>
    <w:p w:rsidR="009634DC" w:rsidRPr="00180956" w:rsidRDefault="009634DC" w:rsidP="009634DC">
      <w:pPr>
        <w:pStyle w:val="Head1"/>
        <w:spacing w:after="0"/>
        <w:ind w:left="720"/>
        <w:jc w:val="both"/>
        <w:rPr>
          <w:rFonts w:ascii="Times New Roman" w:hAnsi="Times New Roman"/>
          <w:sz w:val="24"/>
          <w:szCs w:val="24"/>
        </w:rPr>
      </w:pPr>
    </w:p>
    <w:p w:rsidR="009634DC" w:rsidRPr="00180956" w:rsidRDefault="009634DC" w:rsidP="009634DC">
      <w:pPr>
        <w:tabs>
          <w:tab w:val="left" w:pos="1080"/>
        </w:tabs>
        <w:jc w:val="both"/>
        <w:rPr>
          <w:rFonts w:ascii="Times New Roman" w:hAnsi="Times New Roman"/>
          <w:b/>
          <w:sz w:val="24"/>
          <w:szCs w:val="24"/>
        </w:rPr>
      </w:pPr>
      <w:r w:rsidRPr="00180956">
        <w:rPr>
          <w:rFonts w:ascii="Times New Roman" w:hAnsi="Times New Roman"/>
          <w:b/>
          <w:sz w:val="24"/>
          <w:szCs w:val="24"/>
        </w:rPr>
        <w:t>Table 1. Methods Used for Analysis of Soil Physical and Chemical Properties</w:t>
      </w:r>
    </w:p>
    <w:p w:rsidR="009634DC" w:rsidRPr="00180956" w:rsidRDefault="009634DC" w:rsidP="009634DC">
      <w:pPr>
        <w:jc w:val="both"/>
        <w:rPr>
          <w:rFonts w:ascii="Times New Roman" w:eastAsia="Times-Roman" w:hAnsi="Times New Roman"/>
          <w:color w:val="000000"/>
          <w:sz w:val="24"/>
          <w:szCs w:val="24"/>
          <w:lang w:eastAsia="zh-C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0"/>
        <w:gridCol w:w="2053"/>
        <w:gridCol w:w="2244"/>
        <w:gridCol w:w="2814"/>
      </w:tblGrid>
      <w:tr w:rsidR="009634DC" w:rsidRPr="00180956" w:rsidTr="00344CA6">
        <w:trPr>
          <w:trHeight w:val="242"/>
        </w:trPr>
        <w:tc>
          <w:tcPr>
            <w:tcW w:w="2240" w:type="dxa"/>
            <w:tcBorders>
              <w:top w:val="single" w:sz="4" w:space="0" w:color="auto"/>
              <w:bottom w:val="single" w:sz="4" w:space="0" w:color="auto"/>
            </w:tcBorders>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Property</w:t>
            </w:r>
          </w:p>
        </w:tc>
        <w:tc>
          <w:tcPr>
            <w:tcW w:w="2053" w:type="dxa"/>
            <w:tcBorders>
              <w:top w:val="single" w:sz="4" w:space="0" w:color="auto"/>
              <w:bottom w:val="single" w:sz="4" w:space="0" w:color="auto"/>
            </w:tcBorders>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Unit</w:t>
            </w:r>
          </w:p>
        </w:tc>
        <w:tc>
          <w:tcPr>
            <w:tcW w:w="2244" w:type="dxa"/>
            <w:tcBorders>
              <w:top w:val="single" w:sz="4" w:space="0" w:color="auto"/>
              <w:bottom w:val="single" w:sz="4" w:space="0" w:color="auto"/>
            </w:tcBorders>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Method of Analysis</w:t>
            </w:r>
          </w:p>
        </w:tc>
        <w:tc>
          <w:tcPr>
            <w:tcW w:w="2814" w:type="dxa"/>
            <w:tcBorders>
              <w:top w:val="single" w:sz="4" w:space="0" w:color="auto"/>
              <w:bottom w:val="single" w:sz="4" w:space="0" w:color="auto"/>
            </w:tcBorders>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Reference/Standard</w:t>
            </w:r>
          </w:p>
        </w:tc>
      </w:tr>
      <w:tr w:rsidR="009634DC" w:rsidRPr="00180956" w:rsidTr="00344CA6">
        <w:trPr>
          <w:trHeight w:val="360"/>
        </w:trPr>
        <w:tc>
          <w:tcPr>
            <w:tcW w:w="2240" w:type="dxa"/>
            <w:tcBorders>
              <w:top w:val="single" w:sz="4" w:space="0" w:color="auto"/>
            </w:tcBorders>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Bulk Density (BD)</w:t>
            </w:r>
          </w:p>
        </w:tc>
        <w:tc>
          <w:tcPr>
            <w:tcW w:w="2053" w:type="dxa"/>
            <w:tcBorders>
              <w:top w:val="single" w:sz="4" w:space="0" w:color="auto"/>
            </w:tcBorders>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g/cm³</w:t>
            </w:r>
          </w:p>
        </w:tc>
        <w:tc>
          <w:tcPr>
            <w:tcW w:w="2244" w:type="dxa"/>
            <w:tcBorders>
              <w:top w:val="single" w:sz="4" w:space="0" w:color="auto"/>
            </w:tcBorders>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Core sampler method</w:t>
            </w:r>
          </w:p>
        </w:tc>
        <w:tc>
          <w:tcPr>
            <w:tcW w:w="2814" w:type="dxa"/>
            <w:tcBorders>
              <w:top w:val="single" w:sz="4" w:space="0" w:color="auto"/>
            </w:tcBorders>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Blake and Hartge (1986)</w:t>
            </w:r>
          </w:p>
        </w:tc>
      </w:tr>
      <w:tr w:rsidR="009634DC" w:rsidRPr="00180956" w:rsidTr="00344CA6">
        <w:trPr>
          <w:trHeight w:val="81"/>
        </w:trPr>
        <w:tc>
          <w:tcPr>
            <w:tcW w:w="2240"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Texture</w:t>
            </w:r>
          </w:p>
        </w:tc>
        <w:tc>
          <w:tcPr>
            <w:tcW w:w="2053"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 sand, silt, clay</w:t>
            </w:r>
          </w:p>
        </w:tc>
        <w:tc>
          <w:tcPr>
            <w:tcW w:w="224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Hydrometer method</w:t>
            </w:r>
          </w:p>
        </w:tc>
        <w:tc>
          <w:tcPr>
            <w:tcW w:w="281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Bouyoucos (1927)</w:t>
            </w:r>
          </w:p>
        </w:tc>
      </w:tr>
      <w:tr w:rsidR="009634DC" w:rsidRPr="00180956" w:rsidTr="00344CA6">
        <w:trPr>
          <w:trHeight w:val="486"/>
        </w:trPr>
        <w:tc>
          <w:tcPr>
            <w:tcW w:w="2240"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pH</w:t>
            </w:r>
          </w:p>
        </w:tc>
        <w:tc>
          <w:tcPr>
            <w:tcW w:w="2053"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t>
            </w:r>
          </w:p>
        </w:tc>
        <w:tc>
          <w:tcPr>
            <w:tcW w:w="224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1:2.5 soil-to-water suspension using digital pH meter</w:t>
            </w:r>
          </w:p>
        </w:tc>
        <w:tc>
          <w:tcPr>
            <w:tcW w:w="281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Jackson (1973)</w:t>
            </w:r>
          </w:p>
        </w:tc>
      </w:tr>
      <w:tr w:rsidR="009634DC" w:rsidRPr="00180956" w:rsidTr="00344CA6">
        <w:trPr>
          <w:trHeight w:val="68"/>
        </w:trPr>
        <w:tc>
          <w:tcPr>
            <w:tcW w:w="2240"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Electrical Conductivity (EC)</w:t>
            </w:r>
          </w:p>
        </w:tc>
        <w:tc>
          <w:tcPr>
            <w:tcW w:w="2053"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dS/m</w:t>
            </w:r>
          </w:p>
        </w:tc>
        <w:tc>
          <w:tcPr>
            <w:tcW w:w="224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1:2.5 soil-to-water extract using digital EC meter</w:t>
            </w:r>
          </w:p>
        </w:tc>
        <w:tc>
          <w:tcPr>
            <w:tcW w:w="281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Jackson (1973)</w:t>
            </w:r>
          </w:p>
        </w:tc>
      </w:tr>
      <w:tr w:rsidR="009634DC" w:rsidRPr="00180956" w:rsidTr="00344CA6">
        <w:trPr>
          <w:trHeight w:val="459"/>
        </w:trPr>
        <w:tc>
          <w:tcPr>
            <w:tcW w:w="2240"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Soil Organic Carbon (SOC)</w:t>
            </w:r>
          </w:p>
        </w:tc>
        <w:tc>
          <w:tcPr>
            <w:tcW w:w="2053"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t>
            </w:r>
          </w:p>
        </w:tc>
        <w:tc>
          <w:tcPr>
            <w:tcW w:w="224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Walkley and Black wet oxidation method</w:t>
            </w:r>
          </w:p>
        </w:tc>
        <w:tc>
          <w:tcPr>
            <w:tcW w:w="281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Walkley and Black (1934)</w:t>
            </w:r>
          </w:p>
        </w:tc>
      </w:tr>
      <w:tr w:rsidR="009634DC" w:rsidRPr="00180956" w:rsidTr="00344CA6">
        <w:trPr>
          <w:trHeight w:val="1308"/>
        </w:trPr>
        <w:tc>
          <w:tcPr>
            <w:tcW w:w="2240"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Available Nitrogen (N)</w:t>
            </w:r>
          </w:p>
        </w:tc>
        <w:tc>
          <w:tcPr>
            <w:tcW w:w="2053"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kg/ha</w:t>
            </w:r>
          </w:p>
        </w:tc>
        <w:tc>
          <w:tcPr>
            <w:tcW w:w="224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Alkaline potassium permanganate method</w:t>
            </w:r>
          </w:p>
        </w:tc>
        <w:tc>
          <w:tcPr>
            <w:tcW w:w="281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Subbiah and Asija (1956)</w:t>
            </w:r>
          </w:p>
        </w:tc>
      </w:tr>
      <w:tr w:rsidR="009634DC" w:rsidRPr="00180956" w:rsidTr="00344CA6">
        <w:trPr>
          <w:trHeight w:val="68"/>
        </w:trPr>
        <w:tc>
          <w:tcPr>
            <w:tcW w:w="2240"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Available Phosphorus (P)</w:t>
            </w:r>
          </w:p>
        </w:tc>
        <w:tc>
          <w:tcPr>
            <w:tcW w:w="2053"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kg/ha</w:t>
            </w:r>
          </w:p>
        </w:tc>
        <w:tc>
          <w:tcPr>
            <w:tcW w:w="224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Olsen’s method (for neutral to alkaline soils)</w:t>
            </w:r>
          </w:p>
        </w:tc>
        <w:tc>
          <w:tcPr>
            <w:tcW w:w="2814" w:type="dxa"/>
            <w:vAlign w:val="center"/>
          </w:tcPr>
          <w:p w:rsidR="009634DC" w:rsidRPr="00180956" w:rsidRDefault="009634DC" w:rsidP="00344CA6">
            <w:pPr>
              <w:jc w:val="both"/>
              <w:rPr>
                <w:rFonts w:ascii="Times New Roman" w:hAnsi="Times New Roman"/>
                <w:b/>
                <w:sz w:val="24"/>
                <w:szCs w:val="24"/>
              </w:rPr>
            </w:pPr>
            <w:r w:rsidRPr="00180956">
              <w:rPr>
                <w:rFonts w:ascii="Times New Roman" w:hAnsi="Times New Roman"/>
                <w:b/>
                <w:sz w:val="24"/>
                <w:szCs w:val="24"/>
              </w:rPr>
              <w:t>Olsen et al. (1954)</w:t>
            </w:r>
          </w:p>
        </w:tc>
      </w:tr>
    </w:tbl>
    <w:p w:rsidR="009634DC" w:rsidRPr="00180956" w:rsidRDefault="009634DC" w:rsidP="009634DC">
      <w:pPr>
        <w:jc w:val="both"/>
        <w:rPr>
          <w:rFonts w:ascii="Times New Roman" w:eastAsia="Times-Roman" w:hAnsi="Times New Roman"/>
          <w:color w:val="000000"/>
          <w:sz w:val="24"/>
          <w:szCs w:val="24"/>
          <w:lang w:eastAsia="zh-CN"/>
        </w:rPr>
      </w:pPr>
    </w:p>
    <w:p w:rsidR="009634DC" w:rsidRPr="00180956" w:rsidRDefault="009634DC" w:rsidP="009634DC">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Table 2.</w:t>
      </w:r>
      <w:r w:rsidRPr="00180956">
        <w:rPr>
          <w:rFonts w:ascii="Times New Roman" w:eastAsia="Times-Roman" w:hAnsi="Times New Roman"/>
          <w:color w:val="000000"/>
          <w:sz w:val="24"/>
          <w:szCs w:val="24"/>
          <w:lang w:eastAsia="zh-CN"/>
        </w:rPr>
        <w:t xml:space="preserve"> Effect of different organic treatments on soil bulk density and texture at 30, 60, and 90 days after sowing.</w:t>
      </w:r>
    </w:p>
    <w:tbl>
      <w:tblPr>
        <w:tblStyle w:val="TableGrid"/>
        <w:tblpPr w:leftFromText="180" w:rightFromText="180" w:vertAnchor="text" w:horzAnchor="margin" w:tblpY="204"/>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3"/>
        <w:gridCol w:w="1103"/>
        <w:gridCol w:w="1105"/>
        <w:gridCol w:w="1105"/>
        <w:gridCol w:w="1106"/>
        <w:gridCol w:w="1097"/>
        <w:gridCol w:w="1104"/>
        <w:gridCol w:w="1135"/>
      </w:tblGrid>
      <w:tr w:rsidR="009634DC" w:rsidRPr="00180956" w:rsidTr="00344CA6">
        <w:trPr>
          <w:trHeight w:val="447"/>
        </w:trPr>
        <w:tc>
          <w:tcPr>
            <w:tcW w:w="1643" w:type="dxa"/>
            <w:tcBorders>
              <w:top w:val="single" w:sz="4" w:space="0" w:color="auto"/>
              <w:bottom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Treatment</w:t>
            </w:r>
          </w:p>
        </w:tc>
        <w:tc>
          <w:tcPr>
            <w:tcW w:w="1116" w:type="dxa"/>
            <w:tcBorders>
              <w:top w:val="single" w:sz="4" w:space="0" w:color="auto"/>
              <w:bottom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30 Days</w:t>
            </w:r>
          </w:p>
        </w:tc>
        <w:tc>
          <w:tcPr>
            <w:tcW w:w="1117" w:type="dxa"/>
            <w:tcBorders>
              <w:top w:val="single" w:sz="4" w:space="0" w:color="auto"/>
              <w:bottom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60 Days</w:t>
            </w:r>
          </w:p>
        </w:tc>
        <w:tc>
          <w:tcPr>
            <w:tcW w:w="1117" w:type="dxa"/>
            <w:tcBorders>
              <w:top w:val="single" w:sz="4" w:space="0" w:color="auto"/>
              <w:bottom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b/>
                <w:bCs/>
                <w:color w:val="000000"/>
                <w:sz w:val="24"/>
                <w:szCs w:val="24"/>
                <w:lang w:eastAsia="zh-CN"/>
              </w:rPr>
              <w:t>90 Days</w:t>
            </w:r>
          </w:p>
        </w:tc>
        <w:tc>
          <w:tcPr>
            <w:tcW w:w="1118" w:type="dxa"/>
            <w:tcBorders>
              <w:top w:val="single" w:sz="4" w:space="0" w:color="auto"/>
              <w:bottom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Sand (%)</w:t>
            </w:r>
          </w:p>
        </w:tc>
        <w:tc>
          <w:tcPr>
            <w:tcW w:w="1112" w:type="dxa"/>
            <w:tcBorders>
              <w:top w:val="single" w:sz="4" w:space="0" w:color="auto"/>
              <w:bottom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Silt (%)</w:t>
            </w:r>
          </w:p>
        </w:tc>
        <w:tc>
          <w:tcPr>
            <w:tcW w:w="1117" w:type="dxa"/>
            <w:tcBorders>
              <w:top w:val="single" w:sz="4" w:space="0" w:color="auto"/>
              <w:bottom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Clay (%)</w:t>
            </w:r>
          </w:p>
        </w:tc>
        <w:tc>
          <w:tcPr>
            <w:tcW w:w="1138" w:type="dxa"/>
            <w:tcBorders>
              <w:top w:val="single" w:sz="4" w:space="0" w:color="auto"/>
              <w:bottom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b/>
                <w:bCs/>
                <w:sz w:val="24"/>
                <w:szCs w:val="24"/>
                <w:lang w:bidi="hi-IN"/>
              </w:rPr>
              <w:t>Texture Class</w:t>
            </w:r>
          </w:p>
        </w:tc>
      </w:tr>
      <w:tr w:rsidR="009634DC" w:rsidRPr="00180956" w:rsidTr="00344CA6">
        <w:trPr>
          <w:trHeight w:val="68"/>
        </w:trPr>
        <w:tc>
          <w:tcPr>
            <w:tcW w:w="1643" w:type="dxa"/>
            <w:tcBorders>
              <w:top w:val="single" w:sz="4" w:space="0" w:color="auto"/>
            </w:tcBorders>
            <w:vAlign w:val="center"/>
          </w:tcPr>
          <w:p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Control</w:t>
            </w:r>
          </w:p>
        </w:tc>
        <w:tc>
          <w:tcPr>
            <w:tcW w:w="1116" w:type="dxa"/>
            <w:tcBorders>
              <w:top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1.41 ± 0.02</w:t>
            </w:r>
          </w:p>
        </w:tc>
        <w:tc>
          <w:tcPr>
            <w:tcW w:w="1117" w:type="dxa"/>
            <w:tcBorders>
              <w:top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1.43 ± 0.02</w:t>
            </w:r>
          </w:p>
        </w:tc>
        <w:tc>
          <w:tcPr>
            <w:tcW w:w="1117" w:type="dxa"/>
            <w:tcBorders>
              <w:top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1.44 ± 0.01</w:t>
            </w:r>
          </w:p>
        </w:tc>
        <w:tc>
          <w:tcPr>
            <w:tcW w:w="1118" w:type="dxa"/>
            <w:tcBorders>
              <w:top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68.2</w:t>
            </w:r>
          </w:p>
        </w:tc>
        <w:tc>
          <w:tcPr>
            <w:tcW w:w="1112" w:type="dxa"/>
            <w:tcBorders>
              <w:top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20.5</w:t>
            </w:r>
          </w:p>
        </w:tc>
        <w:tc>
          <w:tcPr>
            <w:tcW w:w="1117" w:type="dxa"/>
            <w:tcBorders>
              <w:top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11.3</w:t>
            </w:r>
          </w:p>
        </w:tc>
        <w:tc>
          <w:tcPr>
            <w:tcW w:w="1138" w:type="dxa"/>
            <w:tcBorders>
              <w:top w:val="single" w:sz="4" w:space="0" w:color="auto"/>
            </w:tcBorders>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rsidTr="00344CA6">
        <w:trPr>
          <w:trHeight w:val="68"/>
        </w:trPr>
        <w:tc>
          <w:tcPr>
            <w:tcW w:w="1643" w:type="dxa"/>
            <w:vAlign w:val="center"/>
          </w:tcPr>
          <w:p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FYM</w:t>
            </w:r>
          </w:p>
        </w:tc>
        <w:tc>
          <w:tcPr>
            <w:tcW w:w="1116"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1.34 ± 0.03</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1.33 ± 0.02</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1.31 ± 0.02</w:t>
            </w:r>
          </w:p>
        </w:tc>
        <w:tc>
          <w:tcPr>
            <w:tcW w:w="111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66.0</w:t>
            </w:r>
          </w:p>
        </w:tc>
        <w:tc>
          <w:tcPr>
            <w:tcW w:w="1112"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21.5</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12.5</w:t>
            </w:r>
          </w:p>
        </w:tc>
        <w:tc>
          <w:tcPr>
            <w:tcW w:w="113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rsidTr="00344CA6">
        <w:trPr>
          <w:trHeight w:val="81"/>
        </w:trPr>
        <w:tc>
          <w:tcPr>
            <w:tcW w:w="1643" w:type="dxa"/>
            <w:vAlign w:val="center"/>
          </w:tcPr>
          <w:p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FYM</w:t>
            </w:r>
          </w:p>
        </w:tc>
        <w:tc>
          <w:tcPr>
            <w:tcW w:w="1116"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1.30 ± 0.02</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0.02</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1.27 ± 0.01</w:t>
            </w:r>
          </w:p>
        </w:tc>
        <w:tc>
          <w:tcPr>
            <w:tcW w:w="111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65.3</w:t>
            </w:r>
          </w:p>
        </w:tc>
        <w:tc>
          <w:tcPr>
            <w:tcW w:w="1112"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22.0</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12.7</w:t>
            </w:r>
          </w:p>
        </w:tc>
        <w:tc>
          <w:tcPr>
            <w:tcW w:w="113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rsidTr="00344CA6">
        <w:trPr>
          <w:trHeight w:val="153"/>
        </w:trPr>
        <w:tc>
          <w:tcPr>
            <w:tcW w:w="1643" w:type="dxa"/>
            <w:vAlign w:val="center"/>
          </w:tcPr>
          <w:p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Vermicompost</w:t>
            </w:r>
          </w:p>
        </w:tc>
        <w:tc>
          <w:tcPr>
            <w:tcW w:w="1116"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1.32 ± 0.02</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1.30 ± 0.02</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1.29 ± 0.01</w:t>
            </w:r>
          </w:p>
        </w:tc>
        <w:tc>
          <w:tcPr>
            <w:tcW w:w="111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66.4</w:t>
            </w:r>
          </w:p>
        </w:tc>
        <w:tc>
          <w:tcPr>
            <w:tcW w:w="1112"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21.1</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12.5</w:t>
            </w:r>
          </w:p>
        </w:tc>
        <w:tc>
          <w:tcPr>
            <w:tcW w:w="113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rsidTr="00344CA6">
        <w:trPr>
          <w:trHeight w:val="68"/>
        </w:trPr>
        <w:tc>
          <w:tcPr>
            <w:tcW w:w="1643" w:type="dxa"/>
            <w:vAlign w:val="center"/>
          </w:tcPr>
          <w:p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Vermicompost</w:t>
            </w:r>
          </w:p>
        </w:tc>
        <w:tc>
          <w:tcPr>
            <w:tcW w:w="1116"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1.29 ± 0.02</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1.27 ± 0.01</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1.25 ± 0.01</w:t>
            </w:r>
          </w:p>
        </w:tc>
        <w:tc>
          <w:tcPr>
            <w:tcW w:w="111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65.7</w:t>
            </w:r>
          </w:p>
        </w:tc>
        <w:tc>
          <w:tcPr>
            <w:tcW w:w="1112"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21.8</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12.5</w:t>
            </w:r>
          </w:p>
        </w:tc>
        <w:tc>
          <w:tcPr>
            <w:tcW w:w="113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rsidTr="00344CA6">
        <w:trPr>
          <w:trHeight w:val="225"/>
        </w:trPr>
        <w:tc>
          <w:tcPr>
            <w:tcW w:w="1643" w:type="dxa"/>
            <w:vAlign w:val="center"/>
          </w:tcPr>
          <w:p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FYM + Rhizobium</w:t>
            </w:r>
          </w:p>
        </w:tc>
        <w:tc>
          <w:tcPr>
            <w:tcW w:w="1116"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1.31 ± 0.02</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1.29 ± 0.01</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0.01</w:t>
            </w:r>
          </w:p>
        </w:tc>
        <w:tc>
          <w:tcPr>
            <w:tcW w:w="111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65.1</w:t>
            </w:r>
          </w:p>
        </w:tc>
        <w:tc>
          <w:tcPr>
            <w:tcW w:w="1112"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22.3</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12.6</w:t>
            </w:r>
          </w:p>
        </w:tc>
        <w:tc>
          <w:tcPr>
            <w:tcW w:w="113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rsidTr="00344CA6">
        <w:trPr>
          <w:trHeight w:val="207"/>
        </w:trPr>
        <w:tc>
          <w:tcPr>
            <w:tcW w:w="1643" w:type="dxa"/>
            <w:vAlign w:val="center"/>
          </w:tcPr>
          <w:p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150% FYM + Rhizobium</w:t>
            </w:r>
          </w:p>
        </w:tc>
        <w:tc>
          <w:tcPr>
            <w:tcW w:w="1116"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0.02</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1.26 ± 0.01</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1.24 ± 0.01</w:t>
            </w:r>
          </w:p>
        </w:tc>
        <w:tc>
          <w:tcPr>
            <w:tcW w:w="111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64.7</w:t>
            </w:r>
          </w:p>
        </w:tc>
        <w:tc>
          <w:tcPr>
            <w:tcW w:w="1112"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22.6</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12.7</w:t>
            </w:r>
          </w:p>
        </w:tc>
        <w:tc>
          <w:tcPr>
            <w:tcW w:w="113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rsidTr="00344CA6">
        <w:trPr>
          <w:trHeight w:val="198"/>
        </w:trPr>
        <w:tc>
          <w:tcPr>
            <w:tcW w:w="1643" w:type="dxa"/>
            <w:vAlign w:val="center"/>
          </w:tcPr>
          <w:p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100% Vermicompost + Rhizobium</w:t>
            </w:r>
          </w:p>
        </w:tc>
        <w:tc>
          <w:tcPr>
            <w:tcW w:w="1116"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1.30 ± 0.01</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1.28 ± 0.01</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1.26 ± 0.01</w:t>
            </w:r>
          </w:p>
        </w:tc>
        <w:tc>
          <w:tcPr>
            <w:tcW w:w="111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65.2</w:t>
            </w:r>
          </w:p>
        </w:tc>
        <w:tc>
          <w:tcPr>
            <w:tcW w:w="1112"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22.0</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12.8</w:t>
            </w:r>
          </w:p>
        </w:tc>
        <w:tc>
          <w:tcPr>
            <w:tcW w:w="113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Sandy Loam</w:t>
            </w:r>
          </w:p>
        </w:tc>
      </w:tr>
      <w:tr w:rsidR="009634DC" w:rsidRPr="00180956" w:rsidTr="00344CA6">
        <w:trPr>
          <w:trHeight w:val="68"/>
        </w:trPr>
        <w:tc>
          <w:tcPr>
            <w:tcW w:w="1643" w:type="dxa"/>
            <w:vAlign w:val="center"/>
          </w:tcPr>
          <w:p w:rsidR="009634DC" w:rsidRPr="00180956" w:rsidRDefault="009634DC" w:rsidP="00344CA6">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 xml:space="preserve">150% Vermicompost </w:t>
            </w:r>
            <w:r w:rsidRPr="00180956">
              <w:rPr>
                <w:rFonts w:ascii="Times New Roman" w:eastAsia="Times-Roman" w:hAnsi="Times New Roman"/>
                <w:b/>
                <w:bCs/>
                <w:color w:val="000000"/>
                <w:sz w:val="24"/>
                <w:szCs w:val="24"/>
                <w:lang w:eastAsia="zh-CN"/>
              </w:rPr>
              <w:lastRenderedPageBreak/>
              <w:t>+ Rhizobium</w:t>
            </w:r>
          </w:p>
        </w:tc>
        <w:tc>
          <w:tcPr>
            <w:tcW w:w="1116"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lastRenderedPageBreak/>
              <w:t>1.27 ± 0.02</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1.24 ± 0.01</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eastAsia="Times-Roman" w:hAnsi="Times New Roman"/>
                <w:color w:val="000000"/>
                <w:sz w:val="24"/>
                <w:szCs w:val="24"/>
                <w:lang w:eastAsia="zh-CN"/>
              </w:rPr>
              <w:t>1.22 ± 0.01</w:t>
            </w:r>
          </w:p>
        </w:tc>
        <w:tc>
          <w:tcPr>
            <w:tcW w:w="1118"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64.5</w:t>
            </w:r>
          </w:p>
        </w:tc>
        <w:tc>
          <w:tcPr>
            <w:tcW w:w="1112"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22.8</w:t>
            </w:r>
          </w:p>
        </w:tc>
        <w:tc>
          <w:tcPr>
            <w:tcW w:w="1117" w:type="dxa"/>
            <w:vAlign w:val="center"/>
          </w:tcPr>
          <w:p w:rsidR="009634DC" w:rsidRPr="00180956" w:rsidRDefault="009634DC" w:rsidP="00344CA6">
            <w:pPr>
              <w:jc w:val="both"/>
              <w:rPr>
                <w:rFonts w:ascii="Times New Roman" w:eastAsia="Times-Roman" w:hAnsi="Times New Roman"/>
                <w:color w:val="000000"/>
                <w:sz w:val="24"/>
                <w:szCs w:val="24"/>
                <w:lang w:eastAsia="zh-CN"/>
              </w:rPr>
            </w:pPr>
            <w:r w:rsidRPr="00180956">
              <w:rPr>
                <w:rFonts w:ascii="Times New Roman" w:hAnsi="Times New Roman"/>
                <w:sz w:val="24"/>
                <w:szCs w:val="24"/>
                <w:lang w:bidi="hi-IN"/>
              </w:rPr>
              <w:t>12.7</w:t>
            </w:r>
          </w:p>
        </w:tc>
        <w:tc>
          <w:tcPr>
            <w:tcW w:w="1138" w:type="dxa"/>
            <w:vAlign w:val="center"/>
          </w:tcPr>
          <w:p w:rsidR="009634DC" w:rsidRPr="00180956" w:rsidRDefault="009634DC" w:rsidP="00344CA6">
            <w:pPr>
              <w:jc w:val="both"/>
              <w:rPr>
                <w:rFonts w:ascii="Times New Roman" w:hAnsi="Times New Roman"/>
                <w:sz w:val="24"/>
                <w:szCs w:val="24"/>
                <w:lang w:bidi="hi-IN"/>
              </w:rPr>
            </w:pPr>
            <w:r w:rsidRPr="00180956">
              <w:rPr>
                <w:rFonts w:ascii="Times New Roman" w:hAnsi="Times New Roman"/>
                <w:sz w:val="24"/>
                <w:szCs w:val="24"/>
                <w:lang w:bidi="hi-IN"/>
              </w:rPr>
              <w:t>Sandy Loam</w:t>
            </w:r>
          </w:p>
          <w:p w:rsidR="009634DC" w:rsidRPr="00180956" w:rsidRDefault="009634DC" w:rsidP="00344CA6">
            <w:pPr>
              <w:jc w:val="both"/>
              <w:rPr>
                <w:rFonts w:ascii="Times New Roman" w:eastAsia="Times-Roman" w:hAnsi="Times New Roman"/>
                <w:color w:val="000000"/>
                <w:sz w:val="24"/>
                <w:szCs w:val="24"/>
                <w:lang w:eastAsia="zh-CN"/>
              </w:rPr>
            </w:pPr>
          </w:p>
        </w:tc>
      </w:tr>
    </w:tbl>
    <w:p w:rsidR="009634DC" w:rsidRPr="00180956" w:rsidRDefault="009634DC" w:rsidP="009634DC">
      <w:pPr>
        <w:jc w:val="both"/>
        <w:rPr>
          <w:rFonts w:ascii="Times New Roman" w:eastAsia="Times-Roman" w:hAnsi="Times New Roman"/>
          <w:color w:val="000000"/>
          <w:sz w:val="24"/>
          <w:szCs w:val="24"/>
          <w:lang w:eastAsia="zh-CN"/>
        </w:rPr>
      </w:pPr>
    </w:p>
    <w:p w:rsidR="009634DC" w:rsidRPr="00180956" w:rsidRDefault="009634DC" w:rsidP="009634DC">
      <w:pPr>
        <w:jc w:val="both"/>
        <w:rPr>
          <w:rFonts w:ascii="Times New Roman" w:eastAsia="Times-Roman" w:hAnsi="Times New Roman"/>
          <w:b/>
          <w:bCs/>
          <w:color w:val="000000"/>
          <w:sz w:val="24"/>
          <w:szCs w:val="24"/>
          <w:lang w:eastAsia="zh-CN"/>
        </w:rPr>
      </w:pPr>
    </w:p>
    <w:p w:rsidR="009634DC" w:rsidRPr="00180956" w:rsidRDefault="009634DC" w:rsidP="009634DC">
      <w:pPr>
        <w:jc w:val="both"/>
        <w:rPr>
          <w:rFonts w:ascii="Times New Roman" w:eastAsia="Times-Roman" w:hAnsi="Times New Roman"/>
          <w:b/>
          <w:bCs/>
          <w:color w:val="000000"/>
          <w:sz w:val="24"/>
          <w:szCs w:val="24"/>
          <w:lang w:eastAsia="zh-CN"/>
        </w:rPr>
      </w:pPr>
    </w:p>
    <w:p w:rsidR="009634DC" w:rsidRPr="00180956" w:rsidRDefault="009634DC" w:rsidP="009634DC">
      <w:pPr>
        <w:jc w:val="both"/>
        <w:rPr>
          <w:rFonts w:ascii="Times New Roman" w:eastAsia="Times-Roman" w:hAnsi="Times New Roman"/>
          <w:i/>
          <w:iCs/>
          <w:color w:val="000000"/>
          <w:sz w:val="24"/>
          <w:szCs w:val="24"/>
          <w:lang w:eastAsia="zh-CN"/>
        </w:rPr>
      </w:pPr>
      <w:r w:rsidRPr="00180956">
        <w:rPr>
          <w:rFonts w:ascii="Times New Roman" w:eastAsia="Times-Roman" w:hAnsi="Times New Roman"/>
          <w:b/>
          <w:bCs/>
          <w:color w:val="000000"/>
          <w:sz w:val="24"/>
          <w:szCs w:val="24"/>
          <w:lang w:eastAsia="zh-CN"/>
        </w:rPr>
        <w:t>Table 3. Effect of organic treatments on soil pH and soil organic carbon (SOC) at 30, 60, and 90 days after sowing</w:t>
      </w:r>
      <w:r w:rsidRPr="00180956">
        <w:rPr>
          <w:rFonts w:ascii="Times New Roman" w:eastAsia="Times-Roman" w:hAnsi="Times New Roman"/>
          <w:i/>
          <w:iCs/>
          <w:color w:val="000000"/>
          <w:sz w:val="24"/>
          <w:szCs w:val="24"/>
          <w:lang w:eastAsia="zh-CN"/>
        </w:rPr>
        <w:t>.</w:t>
      </w:r>
    </w:p>
    <w:p w:rsidR="009634DC" w:rsidRPr="00180956" w:rsidRDefault="009634DC" w:rsidP="009634DC">
      <w:pPr>
        <w:jc w:val="both"/>
        <w:rPr>
          <w:rFonts w:ascii="Times New Roman" w:eastAsia="Times-Roman" w:hAnsi="Times New Roman"/>
          <w:color w:val="000000"/>
          <w:sz w:val="24"/>
          <w:szCs w:val="24"/>
          <w:lang w:eastAsia="zh-CN"/>
        </w:rPr>
      </w:pPr>
    </w:p>
    <w:tbl>
      <w:tblPr>
        <w:tblW w:w="9392" w:type="dxa"/>
        <w:tblLook w:val="04A0"/>
      </w:tblPr>
      <w:tblGrid>
        <w:gridCol w:w="510"/>
        <w:gridCol w:w="3195"/>
        <w:gridCol w:w="993"/>
        <w:gridCol w:w="925"/>
        <w:gridCol w:w="925"/>
        <w:gridCol w:w="968"/>
        <w:gridCol w:w="938"/>
        <w:gridCol w:w="938"/>
      </w:tblGrid>
      <w:tr w:rsidR="009634DC" w:rsidRPr="00180956" w:rsidTr="00344CA6">
        <w:trPr>
          <w:trHeight w:val="588"/>
        </w:trPr>
        <w:tc>
          <w:tcPr>
            <w:tcW w:w="3705" w:type="dxa"/>
            <w:gridSpan w:val="2"/>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 xml:space="preserve">Treatment details </w:t>
            </w:r>
          </w:p>
        </w:tc>
        <w:tc>
          <w:tcPr>
            <w:tcW w:w="2843" w:type="dxa"/>
            <w:gridSpan w:val="3"/>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bidi="hi-IN"/>
              </w:rPr>
              <w:t>Soil pH</w:t>
            </w:r>
          </w:p>
        </w:tc>
        <w:tc>
          <w:tcPr>
            <w:tcW w:w="2844" w:type="dxa"/>
            <w:gridSpan w:val="3"/>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soil Organic Carbon</w:t>
            </w:r>
          </w:p>
        </w:tc>
      </w:tr>
      <w:tr w:rsidR="009634DC" w:rsidRPr="00180956" w:rsidTr="00344CA6">
        <w:trPr>
          <w:trHeight w:val="588"/>
        </w:trPr>
        <w:tc>
          <w:tcPr>
            <w:tcW w:w="3705" w:type="dxa"/>
            <w:gridSpan w:val="2"/>
            <w:tcBorders>
              <w:top w:val="single" w:sz="4" w:space="0" w:color="auto"/>
              <w:bottom w:val="single" w:sz="4" w:space="0" w:color="auto"/>
            </w:tcBorders>
            <w:noWrap/>
            <w:vAlign w:val="center"/>
          </w:tcPr>
          <w:p w:rsidR="009634DC" w:rsidRPr="00180956" w:rsidRDefault="009634DC" w:rsidP="00344CA6">
            <w:pPr>
              <w:jc w:val="center"/>
              <w:rPr>
                <w:rFonts w:ascii="Times New Roman" w:hAnsi="Times New Roman"/>
                <w:b/>
                <w:bCs/>
                <w:color w:val="000000"/>
                <w:sz w:val="24"/>
                <w:szCs w:val="24"/>
                <w:lang w:val="en-IN" w:bidi="hi-IN"/>
              </w:rPr>
            </w:pPr>
          </w:p>
        </w:tc>
        <w:tc>
          <w:tcPr>
            <w:tcW w:w="2843" w:type="dxa"/>
            <w:gridSpan w:val="3"/>
            <w:tcBorders>
              <w:top w:val="single" w:sz="4" w:space="0" w:color="auto"/>
              <w:bottom w:val="single" w:sz="4" w:space="0" w:color="auto"/>
            </w:tcBorders>
            <w:noWrap/>
            <w:vAlign w:val="center"/>
          </w:tcPr>
          <w:p w:rsidR="009634DC" w:rsidRPr="00180956" w:rsidRDefault="009634DC" w:rsidP="00344CA6">
            <w:pPr>
              <w:jc w:val="center"/>
              <w:rPr>
                <w:rFonts w:ascii="Times New Roman" w:hAnsi="Times New Roman"/>
                <w:b/>
                <w:bCs/>
                <w:color w:val="000000"/>
                <w:sz w:val="24"/>
                <w:szCs w:val="24"/>
                <w:lang w:bidi="hi-IN"/>
              </w:rPr>
            </w:pPr>
          </w:p>
        </w:tc>
        <w:tc>
          <w:tcPr>
            <w:tcW w:w="2844" w:type="dxa"/>
            <w:gridSpan w:val="3"/>
            <w:tcBorders>
              <w:top w:val="single" w:sz="4" w:space="0" w:color="auto"/>
              <w:bottom w:val="single" w:sz="4" w:space="0" w:color="auto"/>
            </w:tcBorders>
            <w:noWrap/>
            <w:vAlign w:val="center"/>
          </w:tcPr>
          <w:p w:rsidR="009634DC" w:rsidRPr="00180956" w:rsidRDefault="009634DC" w:rsidP="00344CA6">
            <w:pPr>
              <w:jc w:val="center"/>
              <w:rPr>
                <w:rFonts w:ascii="Times New Roman" w:hAnsi="Times New Roman"/>
                <w:b/>
                <w:bCs/>
                <w:color w:val="000000"/>
                <w:sz w:val="24"/>
                <w:szCs w:val="24"/>
                <w:lang w:val="en-IN" w:bidi="hi-IN"/>
              </w:rPr>
            </w:pPr>
          </w:p>
        </w:tc>
      </w:tr>
      <w:tr w:rsidR="009634DC" w:rsidRPr="00180956" w:rsidTr="00344CA6">
        <w:trPr>
          <w:trHeight w:val="312"/>
        </w:trPr>
        <w:tc>
          <w:tcPr>
            <w:tcW w:w="510" w:type="dxa"/>
            <w:tcBorders>
              <w:top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3195"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993"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30 days</w:t>
            </w:r>
          </w:p>
        </w:tc>
        <w:tc>
          <w:tcPr>
            <w:tcW w:w="925"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60days</w:t>
            </w:r>
          </w:p>
        </w:tc>
        <w:tc>
          <w:tcPr>
            <w:tcW w:w="925"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90days</w:t>
            </w:r>
          </w:p>
        </w:tc>
        <w:tc>
          <w:tcPr>
            <w:tcW w:w="968"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val="en-IN" w:bidi="hi-IN"/>
              </w:rPr>
            </w:pPr>
            <w:r w:rsidRPr="00180956">
              <w:rPr>
                <w:rFonts w:ascii="Times New Roman" w:hAnsi="Times New Roman"/>
                <w:b/>
                <w:bCs/>
                <w:color w:val="000000"/>
                <w:sz w:val="24"/>
                <w:szCs w:val="24"/>
                <w:lang w:val="en-IN" w:bidi="hi-IN"/>
              </w:rPr>
              <w:t>30 days</w:t>
            </w:r>
          </w:p>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w:t>
            </w:r>
          </w:p>
        </w:tc>
        <w:tc>
          <w:tcPr>
            <w:tcW w:w="938"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val="en-IN" w:bidi="hi-IN"/>
              </w:rPr>
            </w:pPr>
            <w:r w:rsidRPr="00180956">
              <w:rPr>
                <w:rFonts w:ascii="Times New Roman" w:hAnsi="Times New Roman"/>
                <w:b/>
                <w:bCs/>
                <w:color w:val="000000"/>
                <w:sz w:val="24"/>
                <w:szCs w:val="24"/>
                <w:lang w:val="en-IN" w:bidi="hi-IN"/>
              </w:rPr>
              <w:t>60days</w:t>
            </w:r>
          </w:p>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w:t>
            </w:r>
          </w:p>
        </w:tc>
        <w:tc>
          <w:tcPr>
            <w:tcW w:w="938"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val="en-IN" w:bidi="hi-IN"/>
              </w:rPr>
            </w:pPr>
            <w:r w:rsidRPr="00180956">
              <w:rPr>
                <w:rFonts w:ascii="Times New Roman" w:hAnsi="Times New Roman"/>
                <w:b/>
                <w:bCs/>
                <w:color w:val="000000"/>
                <w:sz w:val="24"/>
                <w:szCs w:val="24"/>
                <w:lang w:val="en-IN" w:bidi="hi-IN"/>
              </w:rPr>
              <w:t>90days</w:t>
            </w:r>
          </w:p>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w:t>
            </w:r>
          </w:p>
        </w:tc>
      </w:tr>
      <w:tr w:rsidR="009634DC" w:rsidRPr="00180956" w:rsidTr="00344CA6">
        <w:trPr>
          <w:trHeight w:val="312"/>
        </w:trPr>
        <w:tc>
          <w:tcPr>
            <w:tcW w:w="510"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3195" w:type="dxa"/>
            <w:tcBorders>
              <w:top w:val="single" w:sz="4" w:space="0" w:color="auto"/>
            </w:tcBorders>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993"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7.74</w:t>
            </w:r>
          </w:p>
        </w:tc>
        <w:tc>
          <w:tcPr>
            <w:tcW w:w="925"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7.46</w:t>
            </w:r>
          </w:p>
        </w:tc>
        <w:tc>
          <w:tcPr>
            <w:tcW w:w="925"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7.3</w:t>
            </w:r>
          </w:p>
        </w:tc>
        <w:tc>
          <w:tcPr>
            <w:tcW w:w="968" w:type="dxa"/>
            <w:tcBorders>
              <w:top w:val="single" w:sz="4" w:space="0" w:color="auto"/>
            </w:tcBorders>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w:t>
            </w:r>
          </w:p>
        </w:tc>
        <w:tc>
          <w:tcPr>
            <w:tcW w:w="938" w:type="dxa"/>
            <w:tcBorders>
              <w:top w:val="single" w:sz="4" w:space="0" w:color="auto"/>
            </w:tcBorders>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0.537</w:t>
            </w:r>
          </w:p>
        </w:tc>
        <w:tc>
          <w:tcPr>
            <w:tcW w:w="938" w:type="dxa"/>
            <w:tcBorders>
              <w:top w:val="single" w:sz="4" w:space="0" w:color="auto"/>
            </w:tcBorders>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0.857</w:t>
            </w:r>
          </w:p>
        </w:tc>
      </w:tr>
      <w:tr w:rsidR="009634DC" w:rsidRPr="00180956" w:rsidTr="00344CA6">
        <w:trPr>
          <w:trHeight w:val="312"/>
        </w:trPr>
        <w:tc>
          <w:tcPr>
            <w:tcW w:w="510"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3195"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7.38</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7.9</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7.62</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0.61</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0.55</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0.887</w:t>
            </w:r>
          </w:p>
        </w:tc>
      </w:tr>
      <w:tr w:rsidR="009634DC" w:rsidRPr="00180956" w:rsidTr="00344CA6">
        <w:trPr>
          <w:trHeight w:val="312"/>
        </w:trPr>
        <w:tc>
          <w:tcPr>
            <w:tcW w:w="510"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3195"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7.69</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7.73</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7.66</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0.507</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0.72</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0.71</w:t>
            </w:r>
          </w:p>
        </w:tc>
      </w:tr>
      <w:tr w:rsidR="009634DC" w:rsidRPr="00180956" w:rsidTr="00344CA6">
        <w:trPr>
          <w:trHeight w:val="312"/>
        </w:trPr>
        <w:tc>
          <w:tcPr>
            <w:tcW w:w="510"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3195"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Vermicompst</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7.83</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6.93</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0.567</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w:t>
            </w:r>
          </w:p>
        </w:tc>
      </w:tr>
      <w:tr w:rsidR="009634DC" w:rsidRPr="00180956" w:rsidTr="00344CA6">
        <w:trPr>
          <w:trHeight w:val="312"/>
        </w:trPr>
        <w:tc>
          <w:tcPr>
            <w:tcW w:w="510"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3195"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7.74</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7.86</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7.71</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0.487</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0.52</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0.68</w:t>
            </w:r>
          </w:p>
        </w:tc>
      </w:tr>
      <w:tr w:rsidR="009634DC" w:rsidRPr="00180956" w:rsidTr="00344CA6">
        <w:trPr>
          <w:trHeight w:val="312"/>
        </w:trPr>
        <w:tc>
          <w:tcPr>
            <w:tcW w:w="510"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3195"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7.69</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7.83</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7.81</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0.64</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0.477</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0.817</w:t>
            </w:r>
          </w:p>
        </w:tc>
      </w:tr>
      <w:tr w:rsidR="009634DC" w:rsidRPr="00180956" w:rsidTr="00344CA6">
        <w:trPr>
          <w:trHeight w:val="312"/>
        </w:trPr>
        <w:tc>
          <w:tcPr>
            <w:tcW w:w="510"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3195"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7.9</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7.44</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7.26</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0.367</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0.577</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0.657</w:t>
            </w:r>
          </w:p>
        </w:tc>
      </w:tr>
      <w:tr w:rsidR="009634DC" w:rsidRPr="00180956" w:rsidTr="00344CA6">
        <w:trPr>
          <w:trHeight w:val="312"/>
        </w:trPr>
        <w:tc>
          <w:tcPr>
            <w:tcW w:w="510"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3195"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7.9</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7.69</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7.62</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0.31</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0.527</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0.607</w:t>
            </w:r>
          </w:p>
        </w:tc>
      </w:tr>
      <w:tr w:rsidR="009634DC" w:rsidRPr="00180956" w:rsidTr="00344CA6">
        <w:trPr>
          <w:trHeight w:val="312"/>
        </w:trPr>
        <w:tc>
          <w:tcPr>
            <w:tcW w:w="510"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3195"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7.73</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7.74</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7.42</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0.48</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0.7</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0.6</w:t>
            </w:r>
          </w:p>
        </w:tc>
      </w:tr>
      <w:tr w:rsidR="009634DC" w:rsidRPr="00180956" w:rsidTr="00344CA6">
        <w:trPr>
          <w:trHeight w:val="312"/>
        </w:trPr>
        <w:tc>
          <w:tcPr>
            <w:tcW w:w="3705"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0.137</w:t>
            </w:r>
          </w:p>
        </w:tc>
        <w:tc>
          <w:tcPr>
            <w:tcW w:w="938" w:type="dxa"/>
            <w:noWrap/>
            <w:vAlign w:val="center"/>
            <w:hideMark/>
          </w:tcPr>
          <w:p w:rsidR="009634DC" w:rsidRPr="00180956" w:rsidRDefault="009634DC" w:rsidP="00344CA6">
            <w:pP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0.19</w:t>
            </w:r>
          </w:p>
        </w:tc>
      </w:tr>
      <w:tr w:rsidR="009634DC" w:rsidRPr="00180956" w:rsidTr="00344CA6">
        <w:trPr>
          <w:trHeight w:val="312"/>
        </w:trPr>
        <w:tc>
          <w:tcPr>
            <w:tcW w:w="3705"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0.125</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0.229</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0.184</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0.045</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0.075</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0.063</w:t>
            </w:r>
          </w:p>
        </w:tc>
      </w:tr>
      <w:tr w:rsidR="009634DC" w:rsidRPr="00180956" w:rsidTr="00344CA6">
        <w:trPr>
          <w:trHeight w:val="312"/>
        </w:trPr>
        <w:tc>
          <w:tcPr>
            <w:tcW w:w="3705"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993"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0.177</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0.324</w:t>
            </w:r>
          </w:p>
        </w:tc>
        <w:tc>
          <w:tcPr>
            <w:tcW w:w="92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0.26</w:t>
            </w:r>
          </w:p>
        </w:tc>
        <w:tc>
          <w:tcPr>
            <w:tcW w:w="96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0.064</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0.106</w:t>
            </w:r>
          </w:p>
        </w:tc>
        <w:tc>
          <w:tcPr>
            <w:tcW w:w="938" w:type="dxa"/>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0.089</w:t>
            </w:r>
          </w:p>
        </w:tc>
      </w:tr>
      <w:tr w:rsidR="009634DC" w:rsidRPr="00180956" w:rsidTr="00344CA6">
        <w:trPr>
          <w:trHeight w:val="312"/>
        </w:trPr>
        <w:tc>
          <w:tcPr>
            <w:tcW w:w="3705" w:type="dxa"/>
            <w:gridSpan w:val="2"/>
            <w:tcBorders>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993" w:type="dxa"/>
            <w:tcBorders>
              <w:bottom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2.802</w:t>
            </w:r>
          </w:p>
        </w:tc>
        <w:tc>
          <w:tcPr>
            <w:tcW w:w="925" w:type="dxa"/>
            <w:tcBorders>
              <w:bottom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5.136</w:t>
            </w:r>
          </w:p>
        </w:tc>
        <w:tc>
          <w:tcPr>
            <w:tcW w:w="925" w:type="dxa"/>
            <w:tcBorders>
              <w:bottom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4.247</w:t>
            </w:r>
          </w:p>
        </w:tc>
        <w:tc>
          <w:tcPr>
            <w:tcW w:w="968" w:type="dxa"/>
            <w:tcBorders>
              <w:bottom w:val="single" w:sz="4" w:space="0" w:color="auto"/>
            </w:tcBorders>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16.199</w:t>
            </w:r>
          </w:p>
        </w:tc>
        <w:tc>
          <w:tcPr>
            <w:tcW w:w="938" w:type="dxa"/>
            <w:tcBorders>
              <w:bottom w:val="single" w:sz="4" w:space="0" w:color="auto"/>
            </w:tcBorders>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22.033</w:t>
            </w:r>
          </w:p>
        </w:tc>
        <w:tc>
          <w:tcPr>
            <w:tcW w:w="938" w:type="dxa"/>
            <w:tcBorders>
              <w:bottom w:val="single" w:sz="4" w:space="0" w:color="auto"/>
            </w:tcBorders>
            <w:noWrap/>
            <w:vAlign w:val="center"/>
            <w:hideMark/>
          </w:tcPr>
          <w:p w:rsidR="009634DC" w:rsidRPr="00180956" w:rsidRDefault="009634DC" w:rsidP="00344CA6">
            <w:pPr>
              <w:jc w:val="right"/>
              <w:rPr>
                <w:rFonts w:ascii="Times New Roman" w:hAnsi="Times New Roman"/>
                <w:color w:val="000000"/>
                <w:sz w:val="24"/>
                <w:szCs w:val="24"/>
                <w:lang w:bidi="hi-IN"/>
              </w:rPr>
            </w:pPr>
            <w:r w:rsidRPr="00180956">
              <w:rPr>
                <w:rFonts w:ascii="Times New Roman" w:hAnsi="Times New Roman"/>
                <w:color w:val="000000"/>
                <w:sz w:val="24"/>
                <w:szCs w:val="24"/>
                <w:lang w:val="en-IN" w:bidi="hi-IN"/>
              </w:rPr>
              <w:t>14.789</w:t>
            </w:r>
          </w:p>
        </w:tc>
      </w:tr>
    </w:tbl>
    <w:p w:rsidR="009634DC" w:rsidRPr="00180956" w:rsidRDefault="009634DC" w:rsidP="009634DC">
      <w:pPr>
        <w:jc w:val="both"/>
        <w:rPr>
          <w:rFonts w:ascii="Times New Roman" w:eastAsia="Times-Roman" w:hAnsi="Times New Roman"/>
          <w:b/>
          <w:bCs/>
          <w:color w:val="000000"/>
          <w:sz w:val="24"/>
          <w:szCs w:val="24"/>
          <w:lang w:eastAsia="zh-CN"/>
        </w:rPr>
      </w:pPr>
    </w:p>
    <w:p w:rsidR="009634DC" w:rsidRPr="00180956" w:rsidRDefault="009634DC" w:rsidP="009634DC">
      <w:pPr>
        <w:jc w:val="both"/>
        <w:rPr>
          <w:rFonts w:ascii="Times New Roman" w:eastAsia="Times-Roman" w:hAnsi="Times New Roman"/>
          <w:color w:val="000000"/>
          <w:sz w:val="24"/>
          <w:szCs w:val="24"/>
          <w:lang w:eastAsia="zh-CN"/>
        </w:rPr>
      </w:pPr>
    </w:p>
    <w:p w:rsidR="009634DC" w:rsidRPr="00180956" w:rsidRDefault="009634DC" w:rsidP="009634DC">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Table 4. Effect of organic treatments on soil available nitrogen (kg/ha) at 30, 60, and 90 days after sowing.</w:t>
      </w:r>
    </w:p>
    <w:p w:rsidR="009634DC" w:rsidRPr="00180956" w:rsidRDefault="009634DC" w:rsidP="009634DC">
      <w:pPr>
        <w:jc w:val="both"/>
        <w:rPr>
          <w:rFonts w:ascii="Times New Roman" w:eastAsia="Times-Roman" w:hAnsi="Times New Roman"/>
          <w:color w:val="000000"/>
          <w:sz w:val="24"/>
          <w:szCs w:val="24"/>
          <w:lang w:eastAsia="zh-CN"/>
        </w:rPr>
      </w:pPr>
    </w:p>
    <w:tbl>
      <w:tblPr>
        <w:tblW w:w="9179" w:type="dxa"/>
        <w:tblLook w:val="04A0"/>
      </w:tblPr>
      <w:tblGrid>
        <w:gridCol w:w="915"/>
        <w:gridCol w:w="4818"/>
        <w:gridCol w:w="1095"/>
        <w:gridCol w:w="1078"/>
        <w:gridCol w:w="1273"/>
      </w:tblGrid>
      <w:tr w:rsidR="009634DC" w:rsidRPr="00180956" w:rsidTr="00344CA6">
        <w:trPr>
          <w:trHeight w:val="211"/>
        </w:trPr>
        <w:tc>
          <w:tcPr>
            <w:tcW w:w="9179" w:type="dxa"/>
            <w:gridSpan w:val="5"/>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Soil Available Nitrogen</w:t>
            </w:r>
          </w:p>
        </w:tc>
      </w:tr>
      <w:tr w:rsidR="009634DC" w:rsidRPr="00180956" w:rsidTr="00344CA6">
        <w:trPr>
          <w:trHeight w:val="211"/>
        </w:trPr>
        <w:tc>
          <w:tcPr>
            <w:tcW w:w="915" w:type="dxa"/>
            <w:tcBorders>
              <w:top w:val="single" w:sz="4" w:space="0" w:color="auto"/>
              <w:bottom w:val="single" w:sz="4" w:space="0" w:color="auto"/>
            </w:tcBorders>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4818"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1095"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30 days</w:t>
            </w:r>
          </w:p>
        </w:tc>
        <w:tc>
          <w:tcPr>
            <w:tcW w:w="1078"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60days</w:t>
            </w:r>
          </w:p>
        </w:tc>
        <w:tc>
          <w:tcPr>
            <w:tcW w:w="1271"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90days</w:t>
            </w:r>
          </w:p>
        </w:tc>
      </w:tr>
      <w:tr w:rsidR="009634DC" w:rsidRPr="00180956" w:rsidTr="00344CA6">
        <w:trPr>
          <w:trHeight w:val="229"/>
        </w:trPr>
        <w:tc>
          <w:tcPr>
            <w:tcW w:w="915" w:type="dxa"/>
            <w:tcBorders>
              <w:top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4818" w:type="dxa"/>
            <w:tcBorders>
              <w:top w:val="single" w:sz="4" w:space="0" w:color="auto"/>
            </w:tcBorders>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1095"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56.447</w:t>
            </w:r>
          </w:p>
        </w:tc>
        <w:tc>
          <w:tcPr>
            <w:tcW w:w="1078"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81.53</w:t>
            </w:r>
          </w:p>
        </w:tc>
        <w:tc>
          <w:tcPr>
            <w:tcW w:w="1271"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108.385</w:t>
            </w:r>
          </w:p>
        </w:tc>
      </w:tr>
      <w:tr w:rsidR="009634DC" w:rsidRPr="00180956" w:rsidTr="00344CA6">
        <w:trPr>
          <w:trHeight w:val="229"/>
        </w:trPr>
        <w:tc>
          <w:tcPr>
            <w:tcW w:w="91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4818"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65.227</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67.77</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120.437</w:t>
            </w:r>
          </w:p>
        </w:tc>
      </w:tr>
      <w:tr w:rsidR="009634DC" w:rsidRPr="00180956" w:rsidTr="00344CA6">
        <w:trPr>
          <w:trHeight w:val="229"/>
        </w:trPr>
        <w:tc>
          <w:tcPr>
            <w:tcW w:w="91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4818"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44.55</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70.835</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129.92</w:t>
            </w:r>
          </w:p>
        </w:tc>
      </w:tr>
      <w:tr w:rsidR="009634DC" w:rsidRPr="00180956" w:rsidTr="00344CA6">
        <w:trPr>
          <w:trHeight w:val="229"/>
        </w:trPr>
        <w:tc>
          <w:tcPr>
            <w:tcW w:w="91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4818"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Vermicompst</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68.667</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92.117</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130.27</w:t>
            </w:r>
          </w:p>
        </w:tc>
      </w:tr>
      <w:tr w:rsidR="009634DC" w:rsidRPr="00180956" w:rsidTr="00344CA6">
        <w:trPr>
          <w:trHeight w:val="229"/>
        </w:trPr>
        <w:tc>
          <w:tcPr>
            <w:tcW w:w="91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4818"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57.64</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72.167</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131.635</w:t>
            </w:r>
          </w:p>
        </w:tc>
      </w:tr>
      <w:tr w:rsidR="009634DC" w:rsidRPr="00180956" w:rsidTr="00344CA6">
        <w:trPr>
          <w:trHeight w:val="229"/>
        </w:trPr>
        <w:tc>
          <w:tcPr>
            <w:tcW w:w="91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4818"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40.047</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56.497</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121.39</w:t>
            </w:r>
          </w:p>
        </w:tc>
      </w:tr>
      <w:tr w:rsidR="009634DC" w:rsidRPr="00180956" w:rsidTr="00344CA6">
        <w:trPr>
          <w:trHeight w:val="229"/>
        </w:trPr>
        <w:tc>
          <w:tcPr>
            <w:tcW w:w="91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4818"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62.75</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81.76</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122.79</w:t>
            </w:r>
          </w:p>
        </w:tc>
      </w:tr>
      <w:tr w:rsidR="009634DC" w:rsidRPr="00180956" w:rsidTr="00344CA6">
        <w:trPr>
          <w:trHeight w:val="229"/>
        </w:trPr>
        <w:tc>
          <w:tcPr>
            <w:tcW w:w="91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4818"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39.5</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64.48</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129.59</w:t>
            </w:r>
          </w:p>
        </w:tc>
      </w:tr>
      <w:tr w:rsidR="009634DC" w:rsidRPr="00180956" w:rsidTr="00344CA6">
        <w:trPr>
          <w:trHeight w:val="229"/>
        </w:trPr>
        <w:tc>
          <w:tcPr>
            <w:tcW w:w="91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4818"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39.867</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57.987</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124.785</w:t>
            </w:r>
          </w:p>
        </w:tc>
      </w:tr>
      <w:tr w:rsidR="009634DC" w:rsidRPr="00180956" w:rsidTr="00344CA6">
        <w:trPr>
          <w:trHeight w:val="229"/>
        </w:trPr>
        <w:tc>
          <w:tcPr>
            <w:tcW w:w="5733"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14.83</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8.196</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8.029</w:t>
            </w:r>
          </w:p>
        </w:tc>
      </w:tr>
      <w:tr w:rsidR="009634DC" w:rsidRPr="00180956" w:rsidTr="00344CA6">
        <w:trPr>
          <w:trHeight w:val="229"/>
        </w:trPr>
        <w:tc>
          <w:tcPr>
            <w:tcW w:w="5733"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4.904</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2.71</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2.655</w:t>
            </w:r>
          </w:p>
        </w:tc>
      </w:tr>
      <w:tr w:rsidR="009634DC" w:rsidRPr="00180956" w:rsidTr="00344CA6">
        <w:trPr>
          <w:trHeight w:val="229"/>
        </w:trPr>
        <w:tc>
          <w:tcPr>
            <w:tcW w:w="5733"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6.936</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3.833</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3.755</w:t>
            </w:r>
          </w:p>
        </w:tc>
      </w:tr>
      <w:tr w:rsidR="009634DC" w:rsidRPr="00180956" w:rsidTr="00344CA6">
        <w:trPr>
          <w:trHeight w:val="369"/>
        </w:trPr>
        <w:tc>
          <w:tcPr>
            <w:tcW w:w="5733"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lastRenderedPageBreak/>
              <w:t>C.V.</w:t>
            </w:r>
          </w:p>
        </w:tc>
        <w:tc>
          <w:tcPr>
            <w:tcW w:w="1095"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16.106</w:t>
            </w:r>
          </w:p>
        </w:tc>
        <w:tc>
          <w:tcPr>
            <w:tcW w:w="1078"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6.549</w:t>
            </w:r>
          </w:p>
        </w:tc>
        <w:tc>
          <w:tcPr>
            <w:tcW w:w="127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3.698</w:t>
            </w:r>
          </w:p>
        </w:tc>
      </w:tr>
    </w:tbl>
    <w:p w:rsidR="009634DC" w:rsidRPr="00180956" w:rsidRDefault="009634DC" w:rsidP="009634DC">
      <w:pPr>
        <w:jc w:val="both"/>
        <w:rPr>
          <w:rFonts w:ascii="Times New Roman" w:eastAsia="Times-Roman" w:hAnsi="Times New Roman"/>
          <w:color w:val="000000"/>
          <w:sz w:val="24"/>
          <w:szCs w:val="24"/>
          <w:lang w:eastAsia="zh-CN"/>
        </w:rPr>
      </w:pPr>
    </w:p>
    <w:p w:rsidR="009634DC" w:rsidRPr="00180956" w:rsidRDefault="009634DC" w:rsidP="009634DC">
      <w:pPr>
        <w:jc w:val="both"/>
        <w:rPr>
          <w:rFonts w:ascii="Times New Roman" w:eastAsia="Times-Roman" w:hAnsi="Times New Roman"/>
          <w:b/>
          <w:bCs/>
          <w:color w:val="000000"/>
          <w:sz w:val="24"/>
          <w:szCs w:val="24"/>
          <w:lang w:eastAsia="zh-CN"/>
        </w:rPr>
      </w:pPr>
      <w:r w:rsidRPr="00180956">
        <w:rPr>
          <w:rFonts w:ascii="Times New Roman" w:eastAsia="Times-Roman" w:hAnsi="Times New Roman"/>
          <w:b/>
          <w:bCs/>
          <w:color w:val="000000"/>
          <w:sz w:val="24"/>
          <w:szCs w:val="24"/>
          <w:lang w:eastAsia="zh-CN"/>
        </w:rPr>
        <w:t>Table 5. Effect of organic treatments on soil available phosphorus (kg/ha) at 30, 60, and 90 days after sowing.</w:t>
      </w:r>
    </w:p>
    <w:p w:rsidR="009634DC" w:rsidRPr="00180956" w:rsidRDefault="009634DC" w:rsidP="009634DC">
      <w:pPr>
        <w:jc w:val="both"/>
        <w:rPr>
          <w:rFonts w:ascii="Times New Roman" w:eastAsia="Times-Roman" w:hAnsi="Times New Roman"/>
          <w:b/>
          <w:bCs/>
          <w:color w:val="000000"/>
          <w:sz w:val="24"/>
          <w:szCs w:val="24"/>
          <w:lang w:eastAsia="zh-CN"/>
        </w:rPr>
      </w:pPr>
    </w:p>
    <w:tbl>
      <w:tblPr>
        <w:tblW w:w="9662" w:type="dxa"/>
        <w:tblLook w:val="04A0"/>
      </w:tblPr>
      <w:tblGrid>
        <w:gridCol w:w="985"/>
        <w:gridCol w:w="5189"/>
        <w:gridCol w:w="1161"/>
        <w:gridCol w:w="1161"/>
        <w:gridCol w:w="1166"/>
      </w:tblGrid>
      <w:tr w:rsidR="009634DC" w:rsidRPr="00180956" w:rsidTr="00344CA6">
        <w:trPr>
          <w:trHeight w:val="348"/>
        </w:trPr>
        <w:tc>
          <w:tcPr>
            <w:tcW w:w="9662" w:type="dxa"/>
            <w:gridSpan w:val="5"/>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Soil Available Phosphorus</w:t>
            </w:r>
          </w:p>
        </w:tc>
      </w:tr>
      <w:tr w:rsidR="009634DC" w:rsidRPr="00180956" w:rsidTr="00344CA6">
        <w:trPr>
          <w:trHeight w:val="334"/>
        </w:trPr>
        <w:tc>
          <w:tcPr>
            <w:tcW w:w="985" w:type="dxa"/>
            <w:tcBorders>
              <w:top w:val="single" w:sz="4" w:space="0" w:color="auto"/>
              <w:bottom w:val="single" w:sz="4" w:space="0" w:color="auto"/>
            </w:tcBorders>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5189"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1161"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30days</w:t>
            </w:r>
          </w:p>
        </w:tc>
        <w:tc>
          <w:tcPr>
            <w:tcW w:w="1161"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60days</w:t>
            </w:r>
          </w:p>
        </w:tc>
        <w:tc>
          <w:tcPr>
            <w:tcW w:w="1164"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90days</w:t>
            </w:r>
          </w:p>
        </w:tc>
      </w:tr>
      <w:tr w:rsidR="009634DC" w:rsidRPr="00180956" w:rsidTr="00344CA6">
        <w:trPr>
          <w:trHeight w:val="361"/>
        </w:trPr>
        <w:tc>
          <w:tcPr>
            <w:tcW w:w="985" w:type="dxa"/>
            <w:tcBorders>
              <w:top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5189" w:type="dxa"/>
            <w:tcBorders>
              <w:top w:val="single" w:sz="4" w:space="0" w:color="auto"/>
            </w:tcBorders>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1161"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13.31</w:t>
            </w:r>
          </w:p>
        </w:tc>
        <w:tc>
          <w:tcPr>
            <w:tcW w:w="1161"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15.117</w:t>
            </w:r>
          </w:p>
        </w:tc>
        <w:tc>
          <w:tcPr>
            <w:tcW w:w="1164"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15.9</w:t>
            </w:r>
          </w:p>
        </w:tc>
      </w:tr>
      <w:tr w:rsidR="009634DC" w:rsidRPr="00180956" w:rsidTr="00344CA6">
        <w:trPr>
          <w:trHeight w:val="361"/>
        </w:trPr>
        <w:tc>
          <w:tcPr>
            <w:tcW w:w="98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5189"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15.417</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15.007</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16.57</w:t>
            </w:r>
          </w:p>
        </w:tc>
      </w:tr>
      <w:tr w:rsidR="009634DC" w:rsidRPr="00180956" w:rsidTr="00344CA6">
        <w:trPr>
          <w:trHeight w:val="361"/>
        </w:trPr>
        <w:tc>
          <w:tcPr>
            <w:tcW w:w="98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5189"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17.917</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13.66</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18.527</w:t>
            </w:r>
          </w:p>
        </w:tc>
      </w:tr>
      <w:tr w:rsidR="009634DC" w:rsidRPr="00180956" w:rsidTr="00344CA6">
        <w:trPr>
          <w:trHeight w:val="361"/>
        </w:trPr>
        <w:tc>
          <w:tcPr>
            <w:tcW w:w="98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5189"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13.137</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15.117</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16.64</w:t>
            </w:r>
          </w:p>
        </w:tc>
      </w:tr>
      <w:tr w:rsidR="009634DC" w:rsidRPr="00180956" w:rsidTr="00344CA6">
        <w:trPr>
          <w:trHeight w:val="361"/>
        </w:trPr>
        <w:tc>
          <w:tcPr>
            <w:tcW w:w="98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5189"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14.107</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18.14</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15.32</w:t>
            </w:r>
          </w:p>
        </w:tc>
      </w:tr>
      <w:tr w:rsidR="009634DC" w:rsidRPr="00180956" w:rsidTr="00344CA6">
        <w:trPr>
          <w:trHeight w:val="361"/>
        </w:trPr>
        <w:tc>
          <w:tcPr>
            <w:tcW w:w="98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5189"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16.687</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18.477</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21.3</w:t>
            </w:r>
          </w:p>
        </w:tc>
      </w:tr>
      <w:tr w:rsidR="009634DC" w:rsidRPr="00180956" w:rsidTr="00344CA6">
        <w:trPr>
          <w:trHeight w:val="361"/>
        </w:trPr>
        <w:tc>
          <w:tcPr>
            <w:tcW w:w="98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5189"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16.46</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19.147</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15.59</w:t>
            </w:r>
          </w:p>
        </w:tc>
      </w:tr>
      <w:tr w:rsidR="009634DC" w:rsidRPr="00180956" w:rsidTr="00344CA6">
        <w:trPr>
          <w:trHeight w:val="361"/>
        </w:trPr>
        <w:tc>
          <w:tcPr>
            <w:tcW w:w="98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5189"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15.225</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16.127</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23.2</w:t>
            </w:r>
          </w:p>
        </w:tc>
      </w:tr>
      <w:tr w:rsidR="009634DC" w:rsidRPr="00180956" w:rsidTr="00344CA6">
        <w:trPr>
          <w:trHeight w:val="361"/>
        </w:trPr>
        <w:tc>
          <w:tcPr>
            <w:tcW w:w="985"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5189"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18.25</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16.907</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25.437</w:t>
            </w:r>
          </w:p>
        </w:tc>
      </w:tr>
      <w:tr w:rsidR="009634DC" w:rsidRPr="00180956" w:rsidTr="00344CA6">
        <w:trPr>
          <w:trHeight w:val="348"/>
        </w:trPr>
        <w:tc>
          <w:tcPr>
            <w:tcW w:w="6174"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5.42</w:t>
            </w:r>
          </w:p>
        </w:tc>
      </w:tr>
      <w:tr w:rsidR="009634DC" w:rsidRPr="00180956" w:rsidTr="00344CA6">
        <w:trPr>
          <w:trHeight w:val="348"/>
        </w:trPr>
        <w:tc>
          <w:tcPr>
            <w:tcW w:w="6174"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1.779</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1.181</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1.792</w:t>
            </w:r>
          </w:p>
        </w:tc>
      </w:tr>
      <w:tr w:rsidR="009634DC" w:rsidRPr="00180956" w:rsidTr="00344CA6">
        <w:trPr>
          <w:trHeight w:val="348"/>
        </w:trPr>
        <w:tc>
          <w:tcPr>
            <w:tcW w:w="6174"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2.516</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1.67</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2.535</w:t>
            </w:r>
          </w:p>
        </w:tc>
      </w:tr>
      <w:tr w:rsidR="009634DC" w:rsidRPr="00180956" w:rsidTr="00344CA6">
        <w:trPr>
          <w:trHeight w:val="348"/>
        </w:trPr>
        <w:tc>
          <w:tcPr>
            <w:tcW w:w="6174"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19.741</w:t>
            </w:r>
          </w:p>
        </w:tc>
        <w:tc>
          <w:tcPr>
            <w:tcW w:w="1161"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12.467</w:t>
            </w:r>
          </w:p>
        </w:tc>
        <w:tc>
          <w:tcPr>
            <w:tcW w:w="1164"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16.583</w:t>
            </w:r>
          </w:p>
        </w:tc>
      </w:tr>
    </w:tbl>
    <w:p w:rsidR="009634DC" w:rsidRPr="00180956" w:rsidRDefault="009634DC" w:rsidP="009634DC">
      <w:pPr>
        <w:jc w:val="both"/>
        <w:rPr>
          <w:rFonts w:ascii="Times New Roman" w:eastAsia="Times-Roman" w:hAnsi="Times New Roman"/>
          <w:color w:val="000000"/>
          <w:sz w:val="24"/>
          <w:szCs w:val="24"/>
          <w:lang w:eastAsia="zh-CN"/>
        </w:rPr>
      </w:pPr>
    </w:p>
    <w:p w:rsidR="009634DC" w:rsidRPr="00180956" w:rsidRDefault="009634DC" w:rsidP="009634DC">
      <w:pPr>
        <w:jc w:val="both"/>
        <w:rPr>
          <w:rFonts w:ascii="Times New Roman" w:hAnsi="Times New Roman"/>
          <w:b/>
          <w:sz w:val="24"/>
          <w:szCs w:val="24"/>
        </w:rPr>
      </w:pPr>
      <w:r w:rsidRPr="00180956">
        <w:rPr>
          <w:rFonts w:ascii="Times New Roman" w:hAnsi="Times New Roman"/>
          <w:b/>
          <w:sz w:val="24"/>
          <w:szCs w:val="24"/>
        </w:rPr>
        <w:t>Table 6. Effect of organic treatments on soil available potassium (kg/ha) at 30, 60, and 90 days after sowing.</w:t>
      </w:r>
    </w:p>
    <w:p w:rsidR="009634DC" w:rsidRPr="00180956" w:rsidRDefault="009634DC" w:rsidP="009634DC">
      <w:pPr>
        <w:jc w:val="both"/>
        <w:rPr>
          <w:rFonts w:ascii="Times New Roman" w:hAnsi="Times New Roman"/>
          <w:b/>
          <w:sz w:val="24"/>
          <w:szCs w:val="24"/>
        </w:rPr>
      </w:pPr>
    </w:p>
    <w:tbl>
      <w:tblPr>
        <w:tblW w:w="9332" w:type="dxa"/>
        <w:tblLook w:val="04A0"/>
      </w:tblPr>
      <w:tblGrid>
        <w:gridCol w:w="934"/>
        <w:gridCol w:w="4907"/>
        <w:gridCol w:w="1292"/>
        <w:gridCol w:w="1099"/>
        <w:gridCol w:w="1100"/>
      </w:tblGrid>
      <w:tr w:rsidR="009634DC" w:rsidRPr="00180956" w:rsidTr="00344CA6">
        <w:trPr>
          <w:trHeight w:val="316"/>
        </w:trPr>
        <w:tc>
          <w:tcPr>
            <w:tcW w:w="9332" w:type="dxa"/>
            <w:gridSpan w:val="5"/>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bidi="hi-IN"/>
              </w:rPr>
              <w:t>Soil Available   Potassium</w:t>
            </w:r>
          </w:p>
        </w:tc>
      </w:tr>
      <w:tr w:rsidR="009634DC" w:rsidRPr="00180956" w:rsidTr="00344CA6">
        <w:trPr>
          <w:trHeight w:val="291"/>
        </w:trPr>
        <w:tc>
          <w:tcPr>
            <w:tcW w:w="934" w:type="dxa"/>
            <w:tcBorders>
              <w:top w:val="single" w:sz="4" w:space="0" w:color="auto"/>
              <w:bottom w:val="single" w:sz="4" w:space="0" w:color="auto"/>
            </w:tcBorders>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Sl. No</w:t>
            </w:r>
          </w:p>
        </w:tc>
        <w:tc>
          <w:tcPr>
            <w:tcW w:w="4907"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Treatments</w:t>
            </w:r>
          </w:p>
        </w:tc>
        <w:tc>
          <w:tcPr>
            <w:tcW w:w="1292"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30days</w:t>
            </w:r>
          </w:p>
        </w:tc>
        <w:tc>
          <w:tcPr>
            <w:tcW w:w="1099"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60days</w:t>
            </w:r>
          </w:p>
        </w:tc>
        <w:tc>
          <w:tcPr>
            <w:tcW w:w="1100" w:type="dxa"/>
            <w:tcBorders>
              <w:top w:val="single" w:sz="4" w:space="0" w:color="auto"/>
              <w:bottom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90days</w:t>
            </w:r>
          </w:p>
        </w:tc>
      </w:tr>
      <w:tr w:rsidR="009634DC" w:rsidRPr="00180956" w:rsidTr="00344CA6">
        <w:trPr>
          <w:trHeight w:val="316"/>
        </w:trPr>
        <w:tc>
          <w:tcPr>
            <w:tcW w:w="934" w:type="dxa"/>
            <w:tcBorders>
              <w:top w:val="single" w:sz="4" w:space="0" w:color="auto"/>
            </w:tcBorders>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w:t>
            </w:r>
          </w:p>
        </w:tc>
        <w:tc>
          <w:tcPr>
            <w:tcW w:w="4907" w:type="dxa"/>
            <w:tcBorders>
              <w:top w:val="single" w:sz="4" w:space="0" w:color="auto"/>
            </w:tcBorders>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Control</w:t>
            </w:r>
          </w:p>
        </w:tc>
        <w:tc>
          <w:tcPr>
            <w:tcW w:w="1292"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173.6</w:t>
            </w:r>
          </w:p>
        </w:tc>
        <w:tc>
          <w:tcPr>
            <w:tcW w:w="1099"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100" w:type="dxa"/>
            <w:tcBorders>
              <w:top w:val="single" w:sz="4" w:space="0" w:color="auto"/>
            </w:tcBorders>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207.2</w:t>
            </w:r>
          </w:p>
        </w:tc>
      </w:tr>
      <w:tr w:rsidR="009634DC" w:rsidRPr="00180956" w:rsidTr="00344CA6">
        <w:trPr>
          <w:trHeight w:val="316"/>
        </w:trPr>
        <w:tc>
          <w:tcPr>
            <w:tcW w:w="934"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2</w:t>
            </w:r>
          </w:p>
        </w:tc>
        <w:tc>
          <w:tcPr>
            <w:tcW w:w="4907"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185.92</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201.04</w:t>
            </w:r>
          </w:p>
        </w:tc>
      </w:tr>
      <w:tr w:rsidR="009634DC" w:rsidRPr="00180956" w:rsidTr="00344CA6">
        <w:trPr>
          <w:trHeight w:val="316"/>
        </w:trPr>
        <w:tc>
          <w:tcPr>
            <w:tcW w:w="934"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3</w:t>
            </w:r>
          </w:p>
        </w:tc>
        <w:tc>
          <w:tcPr>
            <w:tcW w:w="4907"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184.24</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188.72</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197.68</w:t>
            </w:r>
          </w:p>
        </w:tc>
      </w:tr>
      <w:tr w:rsidR="009634DC" w:rsidRPr="00180956" w:rsidTr="00344CA6">
        <w:trPr>
          <w:trHeight w:val="316"/>
        </w:trPr>
        <w:tc>
          <w:tcPr>
            <w:tcW w:w="934"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4</w:t>
            </w:r>
          </w:p>
        </w:tc>
        <w:tc>
          <w:tcPr>
            <w:tcW w:w="4907"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194.32</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198.8</w:t>
            </w:r>
          </w:p>
        </w:tc>
      </w:tr>
      <w:tr w:rsidR="009634DC" w:rsidRPr="00180956" w:rsidTr="00344CA6">
        <w:trPr>
          <w:trHeight w:val="316"/>
        </w:trPr>
        <w:tc>
          <w:tcPr>
            <w:tcW w:w="934"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5</w:t>
            </w:r>
          </w:p>
        </w:tc>
        <w:tc>
          <w:tcPr>
            <w:tcW w:w="4907"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187.6</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192.08</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199.36</w:t>
            </w:r>
          </w:p>
        </w:tc>
      </w:tr>
      <w:tr w:rsidR="009634DC" w:rsidRPr="00180956" w:rsidTr="00344CA6">
        <w:trPr>
          <w:trHeight w:val="316"/>
        </w:trPr>
        <w:tc>
          <w:tcPr>
            <w:tcW w:w="934"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6</w:t>
            </w:r>
          </w:p>
        </w:tc>
        <w:tc>
          <w:tcPr>
            <w:tcW w:w="4907"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FYM + Rhizobium</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180.32</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187.6</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202.16</w:t>
            </w:r>
          </w:p>
        </w:tc>
      </w:tr>
      <w:tr w:rsidR="009634DC" w:rsidRPr="00180956" w:rsidTr="00344CA6">
        <w:trPr>
          <w:trHeight w:val="316"/>
        </w:trPr>
        <w:tc>
          <w:tcPr>
            <w:tcW w:w="934"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7</w:t>
            </w:r>
          </w:p>
        </w:tc>
        <w:tc>
          <w:tcPr>
            <w:tcW w:w="4907"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FYM + Rhizobium</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186.95</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193.2</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212.8</w:t>
            </w:r>
          </w:p>
        </w:tc>
      </w:tr>
      <w:tr w:rsidR="009634DC" w:rsidRPr="00180956" w:rsidTr="00344CA6">
        <w:trPr>
          <w:trHeight w:val="316"/>
        </w:trPr>
        <w:tc>
          <w:tcPr>
            <w:tcW w:w="934"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8</w:t>
            </w:r>
          </w:p>
        </w:tc>
        <w:tc>
          <w:tcPr>
            <w:tcW w:w="4907"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100% Vermicompost +Rhizobium</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190.4</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193.2</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200.48</w:t>
            </w:r>
          </w:p>
        </w:tc>
      </w:tr>
      <w:tr w:rsidR="009634DC" w:rsidRPr="00180956" w:rsidTr="00344CA6">
        <w:trPr>
          <w:trHeight w:val="316"/>
        </w:trPr>
        <w:tc>
          <w:tcPr>
            <w:tcW w:w="934" w:type="dxa"/>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9</w:t>
            </w:r>
          </w:p>
        </w:tc>
        <w:tc>
          <w:tcPr>
            <w:tcW w:w="4907" w:type="dxa"/>
            <w:noWrap/>
            <w:vAlign w:val="center"/>
            <w:hideMark/>
          </w:tcPr>
          <w:p w:rsidR="009634DC" w:rsidRPr="00180956" w:rsidRDefault="009634DC" w:rsidP="00344CA6">
            <w:pP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150% Vermicompost + Rhizobium</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189.573</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194.32</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206.08</w:t>
            </w:r>
          </w:p>
        </w:tc>
      </w:tr>
      <w:tr w:rsidR="009634DC" w:rsidRPr="00180956" w:rsidTr="00344CA6">
        <w:trPr>
          <w:trHeight w:val="316"/>
        </w:trPr>
        <w:tc>
          <w:tcPr>
            <w:tcW w:w="5841"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C.D.</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9.167</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N/A</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8.497</w:t>
            </w:r>
          </w:p>
        </w:tc>
      </w:tr>
      <w:tr w:rsidR="009634DC" w:rsidRPr="00180956" w:rsidTr="00344CA6">
        <w:trPr>
          <w:trHeight w:val="316"/>
        </w:trPr>
        <w:tc>
          <w:tcPr>
            <w:tcW w:w="5841"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SE(m)</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3.032</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3.237</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2.81</w:t>
            </w:r>
          </w:p>
        </w:tc>
      </w:tr>
      <w:tr w:rsidR="009634DC" w:rsidRPr="00180956" w:rsidTr="00344CA6">
        <w:trPr>
          <w:trHeight w:val="316"/>
        </w:trPr>
        <w:tc>
          <w:tcPr>
            <w:tcW w:w="5841"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SE(d)</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4.287</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4.578</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3.974</w:t>
            </w:r>
          </w:p>
        </w:tc>
      </w:tr>
      <w:tr w:rsidR="009634DC" w:rsidRPr="00180956" w:rsidTr="00344CA6">
        <w:trPr>
          <w:trHeight w:val="316"/>
        </w:trPr>
        <w:tc>
          <w:tcPr>
            <w:tcW w:w="5841" w:type="dxa"/>
            <w:gridSpan w:val="2"/>
            <w:noWrap/>
            <w:vAlign w:val="center"/>
            <w:hideMark/>
          </w:tcPr>
          <w:p w:rsidR="009634DC" w:rsidRPr="00180956" w:rsidRDefault="009634DC" w:rsidP="00344CA6">
            <w:pPr>
              <w:jc w:val="center"/>
              <w:rPr>
                <w:rFonts w:ascii="Times New Roman" w:hAnsi="Times New Roman"/>
                <w:b/>
                <w:bCs/>
                <w:color w:val="000000"/>
                <w:sz w:val="24"/>
                <w:szCs w:val="24"/>
                <w:lang w:bidi="hi-IN"/>
              </w:rPr>
            </w:pPr>
            <w:r w:rsidRPr="00180956">
              <w:rPr>
                <w:rFonts w:ascii="Times New Roman" w:hAnsi="Times New Roman"/>
                <w:b/>
                <w:bCs/>
                <w:color w:val="000000"/>
                <w:sz w:val="24"/>
                <w:szCs w:val="24"/>
                <w:lang w:val="en-IN" w:bidi="hi-IN"/>
              </w:rPr>
              <w:t>C.V.</w:t>
            </w:r>
          </w:p>
        </w:tc>
        <w:tc>
          <w:tcPr>
            <w:tcW w:w="1292"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2.832</w:t>
            </w:r>
          </w:p>
        </w:tc>
        <w:tc>
          <w:tcPr>
            <w:tcW w:w="1099"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2.926</w:t>
            </w:r>
          </w:p>
        </w:tc>
        <w:tc>
          <w:tcPr>
            <w:tcW w:w="1100" w:type="dxa"/>
            <w:noWrap/>
            <w:vAlign w:val="center"/>
            <w:hideMark/>
          </w:tcPr>
          <w:p w:rsidR="009634DC" w:rsidRPr="00180956" w:rsidRDefault="009634DC" w:rsidP="00344CA6">
            <w:pPr>
              <w:jc w:val="center"/>
              <w:rPr>
                <w:rFonts w:ascii="Times New Roman" w:hAnsi="Times New Roman"/>
                <w:color w:val="000000"/>
                <w:sz w:val="24"/>
                <w:szCs w:val="24"/>
                <w:lang w:bidi="hi-IN"/>
              </w:rPr>
            </w:pPr>
            <w:r w:rsidRPr="00180956">
              <w:rPr>
                <w:rFonts w:ascii="Times New Roman" w:hAnsi="Times New Roman"/>
                <w:color w:val="000000"/>
                <w:sz w:val="24"/>
                <w:szCs w:val="24"/>
                <w:lang w:val="en-IN" w:bidi="hi-IN"/>
              </w:rPr>
              <w:t>2.4</w:t>
            </w:r>
          </w:p>
        </w:tc>
      </w:tr>
    </w:tbl>
    <w:p w:rsidR="009634DC" w:rsidRPr="00180956" w:rsidRDefault="009634DC" w:rsidP="009634DC">
      <w:pPr>
        <w:autoSpaceDE w:val="0"/>
        <w:autoSpaceDN w:val="0"/>
        <w:adjustRightInd w:val="0"/>
        <w:jc w:val="both"/>
        <w:rPr>
          <w:rFonts w:ascii="Times New Roman" w:hAnsi="Times New Roman"/>
          <w:b/>
          <w:bCs/>
          <w:sz w:val="24"/>
          <w:szCs w:val="24"/>
        </w:rPr>
      </w:pPr>
      <w:bookmarkStart w:id="3" w:name="_GoBack"/>
      <w:bookmarkEnd w:id="3"/>
    </w:p>
    <w:p w:rsidR="009634DC" w:rsidRPr="00180956" w:rsidRDefault="009634DC" w:rsidP="009634DC">
      <w:pPr>
        <w:autoSpaceDE w:val="0"/>
        <w:autoSpaceDN w:val="0"/>
        <w:adjustRightInd w:val="0"/>
        <w:jc w:val="both"/>
        <w:rPr>
          <w:rFonts w:ascii="Times New Roman" w:hAnsi="Times New Roman"/>
          <w:b/>
          <w:bCs/>
          <w:sz w:val="24"/>
          <w:szCs w:val="24"/>
        </w:rPr>
      </w:pPr>
      <w:r w:rsidRPr="00180956">
        <w:rPr>
          <w:rFonts w:ascii="Times New Roman" w:hAnsi="Times New Roman"/>
          <w:b/>
          <w:bCs/>
          <w:noProof/>
          <w:sz w:val="24"/>
          <w:szCs w:val="24"/>
        </w:rPr>
        <w:lastRenderedPageBreak/>
        <w:drawing>
          <wp:inline distT="0" distB="0" distL="0" distR="0">
            <wp:extent cx="5875020" cy="3093720"/>
            <wp:effectExtent l="0" t="0" r="0" b="0"/>
            <wp:docPr id="93860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2565" cy="3108225"/>
                    </a:xfrm>
                    <a:prstGeom prst="rect">
                      <a:avLst/>
                    </a:prstGeom>
                    <a:noFill/>
                    <a:ln>
                      <a:noFill/>
                    </a:ln>
                  </pic:spPr>
                </pic:pic>
              </a:graphicData>
            </a:graphic>
          </wp:inline>
        </w:drawing>
      </w:r>
    </w:p>
    <w:p w:rsidR="009634DC" w:rsidRPr="00180956" w:rsidRDefault="009634DC" w:rsidP="009634DC">
      <w:pPr>
        <w:autoSpaceDE w:val="0"/>
        <w:autoSpaceDN w:val="0"/>
        <w:adjustRightInd w:val="0"/>
        <w:jc w:val="both"/>
        <w:rPr>
          <w:rFonts w:ascii="Times New Roman" w:hAnsi="Times New Roman"/>
          <w:b/>
          <w:bCs/>
          <w:sz w:val="24"/>
          <w:szCs w:val="24"/>
        </w:rPr>
      </w:pPr>
      <w:r w:rsidRPr="00180956">
        <w:rPr>
          <w:rFonts w:ascii="Times New Roman" w:hAnsi="Times New Roman"/>
          <w:b/>
          <w:bCs/>
          <w:sz w:val="24"/>
          <w:szCs w:val="24"/>
        </w:rPr>
        <w:t>Fig. 1. Effect of different organic amendments on soil bulk density over time (30, 60, and 90 days)</w:t>
      </w:r>
    </w:p>
    <w:p w:rsidR="009634DC" w:rsidRPr="00180956" w:rsidRDefault="00980837" w:rsidP="009634DC">
      <w:pPr>
        <w:autoSpaceDE w:val="0"/>
        <w:autoSpaceDN w:val="0"/>
        <w:adjustRightInd w:val="0"/>
        <w:jc w:val="both"/>
        <w:rPr>
          <w:rFonts w:ascii="Times New Roman" w:hAnsi="Times New Roman"/>
          <w:b/>
          <w:bCs/>
          <w:sz w:val="24"/>
          <w:szCs w:val="24"/>
        </w:rPr>
      </w:pPr>
      <w:r w:rsidRPr="00180956">
        <w:rPr>
          <w:rFonts w:ascii="Times New Roman" w:hAnsi="Times New Roman"/>
          <w:b/>
          <w:bCs/>
          <w:noProof/>
          <w:sz w:val="24"/>
          <w:szCs w:val="24"/>
        </w:rPr>
        <w:drawing>
          <wp:anchor distT="0" distB="0" distL="114300" distR="114300" simplePos="0" relativeHeight="251658240" behindDoc="1" locked="0" layoutInCell="1" allowOverlap="1">
            <wp:simplePos x="0" y="0"/>
            <wp:positionH relativeFrom="page">
              <wp:posOffset>302260</wp:posOffset>
            </wp:positionH>
            <wp:positionV relativeFrom="paragraph">
              <wp:posOffset>241935</wp:posOffset>
            </wp:positionV>
            <wp:extent cx="6772470" cy="2438400"/>
            <wp:effectExtent l="0" t="0" r="9525" b="0"/>
            <wp:wrapTight wrapText="bothSides">
              <wp:wrapPolygon edited="0">
                <wp:start x="0" y="0"/>
                <wp:lineTo x="0" y="21431"/>
                <wp:lineTo x="21570" y="21431"/>
                <wp:lineTo x="21570" y="0"/>
                <wp:lineTo x="0" y="0"/>
              </wp:wrapPolygon>
            </wp:wrapTight>
            <wp:docPr id="17027068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72470" cy="2438400"/>
                    </a:xfrm>
                    <a:prstGeom prst="rect">
                      <a:avLst/>
                    </a:prstGeom>
                    <a:noFill/>
                    <a:ln>
                      <a:noFill/>
                    </a:ln>
                  </pic:spPr>
                </pic:pic>
              </a:graphicData>
            </a:graphic>
          </wp:anchor>
        </w:drawing>
      </w:r>
    </w:p>
    <w:p w:rsidR="009634DC" w:rsidRPr="00180956" w:rsidRDefault="009634DC" w:rsidP="009634DC">
      <w:pPr>
        <w:autoSpaceDE w:val="0"/>
        <w:autoSpaceDN w:val="0"/>
        <w:adjustRightInd w:val="0"/>
        <w:jc w:val="both"/>
        <w:rPr>
          <w:rFonts w:ascii="Times New Roman" w:hAnsi="Times New Roman"/>
          <w:b/>
          <w:bCs/>
          <w:sz w:val="24"/>
          <w:szCs w:val="24"/>
        </w:rPr>
      </w:pPr>
    </w:p>
    <w:p w:rsidR="009634DC" w:rsidRPr="00180956" w:rsidRDefault="009634DC" w:rsidP="009634DC">
      <w:pPr>
        <w:autoSpaceDE w:val="0"/>
        <w:autoSpaceDN w:val="0"/>
        <w:adjustRightInd w:val="0"/>
        <w:jc w:val="both"/>
        <w:rPr>
          <w:rFonts w:ascii="Times New Roman" w:hAnsi="Times New Roman"/>
          <w:b/>
          <w:bCs/>
          <w:sz w:val="24"/>
          <w:szCs w:val="24"/>
        </w:rPr>
      </w:pPr>
    </w:p>
    <w:p w:rsidR="009634DC" w:rsidRPr="00180956" w:rsidRDefault="009634DC" w:rsidP="009634DC">
      <w:pPr>
        <w:autoSpaceDE w:val="0"/>
        <w:autoSpaceDN w:val="0"/>
        <w:adjustRightInd w:val="0"/>
        <w:jc w:val="both"/>
        <w:rPr>
          <w:rFonts w:ascii="Times New Roman" w:hAnsi="Times New Roman"/>
          <w:b/>
          <w:bCs/>
          <w:sz w:val="24"/>
          <w:szCs w:val="24"/>
        </w:rPr>
      </w:pPr>
    </w:p>
    <w:p w:rsidR="009634DC" w:rsidRPr="00180956" w:rsidRDefault="009634DC" w:rsidP="009634DC">
      <w:pPr>
        <w:autoSpaceDE w:val="0"/>
        <w:autoSpaceDN w:val="0"/>
        <w:adjustRightInd w:val="0"/>
        <w:jc w:val="both"/>
        <w:rPr>
          <w:rFonts w:ascii="Times New Roman" w:hAnsi="Times New Roman"/>
          <w:b/>
          <w:bCs/>
          <w:sz w:val="24"/>
          <w:szCs w:val="24"/>
        </w:rPr>
      </w:pPr>
      <w:r w:rsidRPr="00180956">
        <w:rPr>
          <w:rFonts w:ascii="Times New Roman" w:hAnsi="Times New Roman"/>
          <w:b/>
          <w:bCs/>
          <w:sz w:val="24"/>
          <w:szCs w:val="24"/>
        </w:rPr>
        <w:t xml:space="preserve">Fig.2 </w:t>
      </w:r>
      <w:r w:rsidRPr="00180956">
        <w:rPr>
          <w:rFonts w:ascii="Times New Roman" w:hAnsi="Times New Roman"/>
          <w:b/>
          <w:bCs/>
          <w:i/>
          <w:iCs/>
          <w:sz w:val="24"/>
          <w:szCs w:val="24"/>
        </w:rPr>
        <w:t>Changes in soil available nitrogen (kg/ha) over time under different organic and inorganic fertilization treatments</w:t>
      </w:r>
    </w:p>
    <w:p w:rsidR="009634DC" w:rsidRPr="00180956" w:rsidRDefault="009634DC" w:rsidP="009634DC">
      <w:pPr>
        <w:autoSpaceDE w:val="0"/>
        <w:autoSpaceDN w:val="0"/>
        <w:adjustRightInd w:val="0"/>
        <w:jc w:val="both"/>
        <w:rPr>
          <w:rFonts w:ascii="Times New Roman" w:hAnsi="Times New Roman"/>
          <w:b/>
          <w:bCs/>
          <w:sz w:val="24"/>
          <w:szCs w:val="24"/>
        </w:rPr>
      </w:pPr>
    </w:p>
    <w:p w:rsidR="009634DC" w:rsidRPr="00180956" w:rsidRDefault="009634DC" w:rsidP="009634DC">
      <w:pPr>
        <w:pStyle w:val="ConcHead"/>
        <w:spacing w:after="0"/>
        <w:jc w:val="both"/>
        <w:rPr>
          <w:rFonts w:ascii="Times New Roman" w:hAnsi="Times New Roman"/>
          <w:sz w:val="24"/>
          <w:szCs w:val="24"/>
        </w:rPr>
      </w:pPr>
    </w:p>
    <w:p w:rsidR="009634DC" w:rsidRPr="00180956" w:rsidRDefault="009634DC" w:rsidP="009634DC">
      <w:pPr>
        <w:pStyle w:val="Body"/>
        <w:spacing w:after="0"/>
        <w:rPr>
          <w:rFonts w:ascii="Times New Roman" w:hAnsi="Times New Roman"/>
          <w:sz w:val="24"/>
          <w:szCs w:val="24"/>
        </w:rPr>
      </w:pPr>
    </w:p>
    <w:p w:rsidR="001D5F9D" w:rsidRDefault="001D5F9D" w:rsidP="005545F9">
      <w:pPr>
        <w:pStyle w:val="AcknHead"/>
        <w:spacing w:after="0" w:line="276" w:lineRule="auto"/>
        <w:jc w:val="both"/>
        <w:rPr>
          <w:rFonts w:ascii="Times New Roman" w:hAnsi="Times New Roman"/>
          <w:sz w:val="24"/>
          <w:szCs w:val="24"/>
        </w:rPr>
      </w:pPr>
    </w:p>
    <w:p w:rsidR="001D5F9D" w:rsidRDefault="001D5F9D" w:rsidP="005545F9">
      <w:pPr>
        <w:pStyle w:val="AcknHead"/>
        <w:spacing w:after="0" w:line="276" w:lineRule="auto"/>
        <w:jc w:val="both"/>
        <w:rPr>
          <w:rFonts w:ascii="Times New Roman" w:hAnsi="Times New Roman"/>
          <w:sz w:val="24"/>
          <w:szCs w:val="24"/>
        </w:rPr>
      </w:pPr>
    </w:p>
    <w:p w:rsidR="001D5F9D" w:rsidRDefault="001D5F9D" w:rsidP="005545F9">
      <w:pPr>
        <w:pStyle w:val="AcknHead"/>
        <w:spacing w:after="0" w:line="276" w:lineRule="auto"/>
        <w:jc w:val="both"/>
        <w:rPr>
          <w:rFonts w:ascii="Times New Roman" w:hAnsi="Times New Roman"/>
          <w:sz w:val="24"/>
          <w:szCs w:val="24"/>
        </w:rPr>
      </w:pPr>
    </w:p>
    <w:p w:rsidR="009634DC" w:rsidRPr="00180956" w:rsidRDefault="009634DC" w:rsidP="005545F9">
      <w:pPr>
        <w:spacing w:line="276" w:lineRule="auto"/>
        <w:rPr>
          <w:rFonts w:ascii="Times New Roman" w:hAnsi="Times New Roman"/>
          <w:sz w:val="24"/>
          <w:szCs w:val="24"/>
        </w:rPr>
      </w:pPr>
    </w:p>
    <w:p w:rsidR="009634DC" w:rsidRPr="00180956" w:rsidRDefault="009634DC" w:rsidP="005545F9">
      <w:pPr>
        <w:spacing w:line="276" w:lineRule="auto"/>
        <w:rPr>
          <w:rFonts w:ascii="Times New Roman" w:hAnsi="Times New Roman"/>
          <w:sz w:val="24"/>
          <w:szCs w:val="24"/>
        </w:rPr>
      </w:pPr>
    </w:p>
    <w:p w:rsidR="009634DC" w:rsidRPr="00180956" w:rsidRDefault="009634DC" w:rsidP="005545F9">
      <w:pPr>
        <w:spacing w:line="276" w:lineRule="auto"/>
        <w:rPr>
          <w:rFonts w:ascii="Times New Roman" w:hAnsi="Times New Roman"/>
          <w:sz w:val="24"/>
          <w:szCs w:val="24"/>
        </w:rPr>
      </w:pPr>
    </w:p>
    <w:p w:rsidR="009634DC" w:rsidRPr="00180956" w:rsidRDefault="009634DC" w:rsidP="005545F9">
      <w:pPr>
        <w:pStyle w:val="ReferHead"/>
        <w:spacing w:after="0" w:line="276" w:lineRule="auto"/>
        <w:jc w:val="both"/>
        <w:rPr>
          <w:rFonts w:ascii="Times New Roman" w:hAnsi="Times New Roman"/>
          <w:b w:val="0"/>
          <w:caps w:val="0"/>
          <w:sz w:val="24"/>
          <w:szCs w:val="24"/>
        </w:rPr>
      </w:pPr>
    </w:p>
    <w:p w:rsidR="009634DC" w:rsidRPr="00180956" w:rsidRDefault="009634DC" w:rsidP="005545F9">
      <w:pPr>
        <w:pStyle w:val="ReferHead"/>
        <w:spacing w:after="0" w:line="276" w:lineRule="auto"/>
        <w:jc w:val="both"/>
        <w:rPr>
          <w:rFonts w:ascii="Times New Roman" w:hAnsi="Times New Roman"/>
          <w:bCs/>
          <w:sz w:val="24"/>
          <w:szCs w:val="24"/>
        </w:rPr>
      </w:pPr>
      <w:r w:rsidRPr="00180956">
        <w:rPr>
          <w:rFonts w:ascii="Times New Roman" w:hAnsi="Times New Roman"/>
          <w:bCs/>
          <w:sz w:val="24"/>
          <w:szCs w:val="24"/>
        </w:rPr>
        <w:t>Consent (where ever applicable)</w:t>
      </w:r>
    </w:p>
    <w:p w:rsidR="009634DC" w:rsidRPr="001D5F9D" w:rsidRDefault="005545F9" w:rsidP="005545F9">
      <w:pPr>
        <w:pStyle w:val="ReferHead"/>
        <w:spacing w:after="0" w:line="276" w:lineRule="auto"/>
        <w:jc w:val="both"/>
        <w:rPr>
          <w:rFonts w:ascii="Times New Roman" w:hAnsi="Times New Roman"/>
          <w:b w:val="0"/>
          <w:sz w:val="24"/>
          <w:szCs w:val="24"/>
        </w:rPr>
      </w:pPr>
      <w:r w:rsidRPr="001D5F9D">
        <w:rPr>
          <w:rFonts w:ascii="Times New Roman" w:hAnsi="Times New Roman"/>
          <w:b w:val="0"/>
          <w:sz w:val="24"/>
          <w:szCs w:val="24"/>
        </w:rPr>
        <w:t>Na</w:t>
      </w:r>
    </w:p>
    <w:p w:rsidR="009634DC" w:rsidRPr="00180956" w:rsidRDefault="009634DC" w:rsidP="005545F9">
      <w:pPr>
        <w:pStyle w:val="ReferHead"/>
        <w:spacing w:after="0" w:line="276" w:lineRule="auto"/>
        <w:jc w:val="both"/>
        <w:rPr>
          <w:rFonts w:ascii="Times New Roman" w:hAnsi="Times New Roman"/>
          <w:b w:val="0"/>
          <w:caps w:val="0"/>
          <w:sz w:val="24"/>
          <w:szCs w:val="24"/>
        </w:rPr>
      </w:pPr>
    </w:p>
    <w:p w:rsidR="009634DC" w:rsidRPr="00180956" w:rsidRDefault="009634DC" w:rsidP="005545F9">
      <w:pPr>
        <w:pStyle w:val="ReferHead"/>
        <w:spacing w:after="0" w:line="276" w:lineRule="auto"/>
        <w:jc w:val="both"/>
        <w:rPr>
          <w:rFonts w:ascii="Times New Roman" w:hAnsi="Times New Roman"/>
          <w:b w:val="0"/>
          <w:caps w:val="0"/>
          <w:sz w:val="24"/>
          <w:szCs w:val="24"/>
        </w:rPr>
      </w:pPr>
    </w:p>
    <w:p w:rsidR="009634DC" w:rsidRPr="00180956" w:rsidRDefault="009634DC" w:rsidP="005545F9">
      <w:pPr>
        <w:pStyle w:val="ReferHead"/>
        <w:spacing w:after="0" w:line="276" w:lineRule="auto"/>
        <w:jc w:val="both"/>
        <w:rPr>
          <w:rFonts w:ascii="Times New Roman" w:hAnsi="Times New Roman"/>
          <w:bCs/>
          <w:sz w:val="24"/>
          <w:szCs w:val="24"/>
        </w:rPr>
      </w:pPr>
      <w:r w:rsidRPr="00180956">
        <w:rPr>
          <w:rFonts w:ascii="Times New Roman" w:hAnsi="Times New Roman"/>
          <w:bCs/>
          <w:sz w:val="24"/>
          <w:szCs w:val="24"/>
        </w:rPr>
        <w:t>Ethical approval (where ever applicable)</w:t>
      </w:r>
    </w:p>
    <w:p w:rsidR="009634DC" w:rsidRPr="001D5F9D" w:rsidRDefault="001D5F9D" w:rsidP="005545F9">
      <w:pPr>
        <w:pStyle w:val="ReferHead"/>
        <w:spacing w:after="0" w:line="276" w:lineRule="auto"/>
        <w:jc w:val="both"/>
        <w:rPr>
          <w:rFonts w:ascii="Times New Roman" w:hAnsi="Times New Roman"/>
          <w:b w:val="0"/>
          <w:sz w:val="24"/>
          <w:szCs w:val="24"/>
        </w:rPr>
      </w:pPr>
      <w:r w:rsidRPr="001D5F9D">
        <w:rPr>
          <w:rFonts w:ascii="Times New Roman" w:hAnsi="Times New Roman"/>
          <w:b w:val="0"/>
          <w:sz w:val="24"/>
          <w:szCs w:val="24"/>
        </w:rPr>
        <w:t>NA</w:t>
      </w:r>
    </w:p>
    <w:p w:rsidR="009634DC" w:rsidRDefault="009634DC" w:rsidP="009634DC">
      <w:pPr>
        <w:pStyle w:val="ReferHead"/>
        <w:spacing w:after="0"/>
        <w:jc w:val="both"/>
        <w:rPr>
          <w:rFonts w:ascii="Times New Roman" w:hAnsi="Times New Roman"/>
          <w:sz w:val="24"/>
          <w:szCs w:val="24"/>
        </w:rPr>
      </w:pPr>
    </w:p>
    <w:p w:rsidR="00D5526E" w:rsidRDefault="00D5526E" w:rsidP="009634DC">
      <w:pPr>
        <w:pStyle w:val="ReferHead"/>
        <w:spacing w:after="0"/>
        <w:jc w:val="both"/>
        <w:rPr>
          <w:rFonts w:ascii="Times New Roman" w:hAnsi="Times New Roman"/>
          <w:sz w:val="24"/>
          <w:szCs w:val="24"/>
        </w:rPr>
      </w:pPr>
      <w:r w:rsidRPr="00D5526E">
        <w:rPr>
          <w:rFonts w:ascii="Times New Roman" w:hAnsi="Times New Roman"/>
          <w:sz w:val="24"/>
          <w:szCs w:val="24"/>
        </w:rPr>
        <w:t>DISCLAIMER (ARTIFICIAL INTELLIGENCE)</w:t>
      </w:r>
    </w:p>
    <w:p w:rsidR="00D5526E" w:rsidRDefault="00D5526E" w:rsidP="009634DC">
      <w:pPr>
        <w:pStyle w:val="ReferHead"/>
        <w:spacing w:after="0"/>
        <w:jc w:val="both"/>
        <w:rPr>
          <w:rFonts w:ascii="Times New Roman" w:hAnsi="Times New Roman"/>
          <w:b w:val="0"/>
          <w:bCs/>
          <w:caps w:val="0"/>
          <w:sz w:val="24"/>
          <w:szCs w:val="24"/>
        </w:rPr>
      </w:pPr>
      <w:r w:rsidRPr="00D5526E">
        <w:rPr>
          <w:rFonts w:ascii="Times New Roman" w:hAnsi="Times New Roman"/>
          <w:b w:val="0"/>
          <w:bCs/>
          <w:caps w:val="0"/>
          <w:sz w:val="24"/>
          <w:szCs w:val="24"/>
        </w:rPr>
        <w:t>Author(s) hereby declares that no generative ai technologies such as large language models (chatgpt, copilot, etc) and text-to-imagegenerators have been used during writing or editing of this manuscript</w:t>
      </w:r>
      <w:r>
        <w:rPr>
          <w:rFonts w:ascii="Times New Roman" w:hAnsi="Times New Roman"/>
          <w:b w:val="0"/>
          <w:bCs/>
          <w:caps w:val="0"/>
          <w:sz w:val="24"/>
          <w:szCs w:val="24"/>
        </w:rPr>
        <w:t>.</w:t>
      </w:r>
    </w:p>
    <w:p w:rsidR="00495303" w:rsidRDefault="00495303" w:rsidP="009634DC">
      <w:pPr>
        <w:pStyle w:val="ReferHead"/>
        <w:spacing w:after="0"/>
        <w:jc w:val="both"/>
        <w:rPr>
          <w:rFonts w:ascii="Times New Roman" w:hAnsi="Times New Roman"/>
          <w:b w:val="0"/>
          <w:bCs/>
          <w:caps w:val="0"/>
          <w:sz w:val="24"/>
          <w:szCs w:val="24"/>
        </w:rPr>
      </w:pPr>
    </w:p>
    <w:p w:rsidR="00495303" w:rsidRPr="00495303" w:rsidRDefault="00495303" w:rsidP="00495303">
      <w:pPr>
        <w:spacing w:after="200" w:line="276" w:lineRule="auto"/>
        <w:jc w:val="both"/>
        <w:outlineLvl w:val="0"/>
        <w:rPr>
          <w:rFonts w:ascii="Arial" w:hAnsi="Arial" w:cs="Arial"/>
          <w:sz w:val="22"/>
          <w:szCs w:val="22"/>
          <w:lang w:val="en-GB" w:eastAsia="en-GB"/>
        </w:rPr>
      </w:pPr>
      <w:r w:rsidRPr="00495303">
        <w:rPr>
          <w:rFonts w:ascii="Arial" w:hAnsi="Arial" w:cs="Arial"/>
          <w:b/>
          <w:bCs/>
          <w:sz w:val="22"/>
          <w:szCs w:val="22"/>
          <w:lang w:val="en-GB" w:eastAsia="en-GB"/>
        </w:rPr>
        <w:t>COMPETING INTERESTS DISCLAIMER:</w:t>
      </w:r>
    </w:p>
    <w:p w:rsidR="00495303" w:rsidRPr="00495303" w:rsidRDefault="00495303" w:rsidP="00495303">
      <w:pPr>
        <w:spacing w:after="200" w:line="276" w:lineRule="auto"/>
        <w:rPr>
          <w:rFonts w:ascii="Calibri" w:hAnsi="Calibri"/>
          <w:sz w:val="22"/>
          <w:szCs w:val="22"/>
          <w:lang w:val="en-GB" w:eastAsia="en-GB"/>
        </w:rPr>
      </w:pPr>
      <w:r w:rsidRPr="00495303">
        <w:rPr>
          <w:rFonts w:ascii="Calibri" w:hAnsi="Calibri"/>
          <w:sz w:val="22"/>
          <w:szCs w:val="22"/>
          <w:lang w:val="en-GB" w:eastAsia="en-GB"/>
        </w:rPr>
        <w:t>Authors have declared that they have no known competing financial interests OR non-financial interests OR personal relationships that could have appeared to influence the work reported in this paper.</w:t>
      </w:r>
    </w:p>
    <w:p w:rsidR="00495303" w:rsidRPr="00D5526E" w:rsidRDefault="00495303" w:rsidP="009634DC">
      <w:pPr>
        <w:pStyle w:val="ReferHead"/>
        <w:spacing w:after="0"/>
        <w:jc w:val="both"/>
        <w:rPr>
          <w:rFonts w:ascii="Times New Roman" w:hAnsi="Times New Roman"/>
          <w:b w:val="0"/>
          <w:bCs/>
          <w:sz w:val="24"/>
          <w:szCs w:val="24"/>
        </w:rPr>
      </w:pPr>
    </w:p>
    <w:p w:rsidR="009634DC" w:rsidRPr="00180956" w:rsidRDefault="009634DC" w:rsidP="009634DC">
      <w:pPr>
        <w:pStyle w:val="ReferHead"/>
        <w:spacing w:after="0"/>
        <w:jc w:val="both"/>
        <w:rPr>
          <w:rFonts w:ascii="Times New Roman" w:hAnsi="Times New Roman"/>
          <w:sz w:val="24"/>
          <w:szCs w:val="24"/>
        </w:rPr>
      </w:pPr>
    </w:p>
    <w:p w:rsidR="009634DC" w:rsidRPr="00180956" w:rsidRDefault="009634DC" w:rsidP="009634DC">
      <w:pPr>
        <w:pStyle w:val="ReferHead"/>
        <w:spacing w:after="0"/>
        <w:jc w:val="both"/>
        <w:rPr>
          <w:rFonts w:ascii="Times New Roman" w:hAnsi="Times New Roman"/>
          <w:sz w:val="24"/>
          <w:szCs w:val="24"/>
        </w:rPr>
      </w:pPr>
    </w:p>
    <w:p w:rsidR="009634DC" w:rsidRPr="00180956" w:rsidRDefault="009634DC" w:rsidP="009634DC">
      <w:pPr>
        <w:pStyle w:val="ReferHead"/>
        <w:spacing w:after="0"/>
        <w:jc w:val="both"/>
        <w:rPr>
          <w:rFonts w:ascii="Times New Roman" w:hAnsi="Times New Roman"/>
          <w:sz w:val="24"/>
          <w:szCs w:val="24"/>
        </w:rPr>
      </w:pPr>
      <w:r w:rsidRPr="00180956">
        <w:rPr>
          <w:rFonts w:ascii="Times New Roman" w:hAnsi="Times New Roman"/>
          <w:sz w:val="24"/>
          <w:szCs w:val="24"/>
        </w:rPr>
        <w:t>References</w:t>
      </w:r>
    </w:p>
    <w:p w:rsidR="009634DC" w:rsidRPr="00180956" w:rsidRDefault="009634DC" w:rsidP="009634DC">
      <w:pPr>
        <w:pStyle w:val="ReferHead"/>
        <w:spacing w:after="0"/>
        <w:jc w:val="both"/>
        <w:rPr>
          <w:rFonts w:ascii="Times New Roman" w:hAnsi="Times New Roman"/>
          <w:sz w:val="24"/>
          <w:szCs w:val="24"/>
        </w:rPr>
      </w:pP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Adhikari, N., Disha, A., Mahata, A. P., Pal, A., Adhikari, R., Sardar, M., Saha, A., Bauri, S. K., Tarafdar, P. K., &amp; De, S. K. (2016). Efficient use of jute agro textiles as soil conditioner to increase chilli productivity on inceptisol of West Bengal. </w:t>
      </w:r>
      <w:r w:rsidRPr="00180956">
        <w:rPr>
          <w:rFonts w:ascii="Times New Roman" w:hAnsi="Times New Roman"/>
          <w:i/>
          <w:iCs/>
          <w:sz w:val="24"/>
          <w:szCs w:val="24"/>
        </w:rPr>
        <w:t>Journal of Soil and Water Conservation, 15</w:t>
      </w:r>
      <w:r w:rsidRPr="00180956">
        <w:rPr>
          <w:rFonts w:ascii="Times New Roman" w:hAnsi="Times New Roman"/>
          <w:sz w:val="24"/>
          <w:szCs w:val="24"/>
        </w:rPr>
        <w:t>(3), 242–245.</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Adhikary, R., &amp; Pal, A. (2019). Geotextile and its importance in agriculture: A review study. </w:t>
      </w:r>
      <w:r w:rsidRPr="00180956">
        <w:rPr>
          <w:rFonts w:ascii="Times New Roman" w:hAnsi="Times New Roman"/>
          <w:i/>
          <w:iCs/>
          <w:sz w:val="24"/>
          <w:szCs w:val="24"/>
        </w:rPr>
        <w:t>International Journal of Bioresource Science, 6</w:t>
      </w:r>
      <w:r w:rsidRPr="00180956">
        <w:rPr>
          <w:rFonts w:ascii="Times New Roman" w:hAnsi="Times New Roman"/>
          <w:sz w:val="24"/>
          <w:szCs w:val="24"/>
        </w:rPr>
        <w:t>(2), 61–63.</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Agriculture. (2022). Effect of Rhizobium inoculation and organic amendments on soil fertility and legume yield. </w:t>
      </w:r>
      <w:r w:rsidRPr="00180956">
        <w:rPr>
          <w:rFonts w:ascii="Times New Roman" w:hAnsi="Times New Roman"/>
          <w:i/>
          <w:iCs/>
          <w:sz w:val="24"/>
          <w:szCs w:val="24"/>
        </w:rPr>
        <w:t>Agriculture, 12</w:t>
      </w:r>
      <w:r w:rsidRPr="00180956">
        <w:rPr>
          <w:rFonts w:ascii="Times New Roman" w:hAnsi="Times New Roman"/>
          <w:sz w:val="24"/>
          <w:szCs w:val="24"/>
        </w:rPr>
        <w:t>(8), 1136.</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Ali, A., Shahzad, K., &amp; Tariq, A. (2023). Soil health improvement through integrated organic fertilization in maize-wheat cropping systems. </w:t>
      </w:r>
      <w:r w:rsidRPr="00180956">
        <w:rPr>
          <w:rFonts w:ascii="Times New Roman" w:hAnsi="Times New Roman"/>
          <w:i/>
          <w:iCs/>
          <w:sz w:val="24"/>
          <w:szCs w:val="24"/>
        </w:rPr>
        <w:t>Agronomy, 13</w:t>
      </w:r>
      <w:r w:rsidRPr="00180956">
        <w:rPr>
          <w:rFonts w:ascii="Times New Roman" w:hAnsi="Times New Roman"/>
          <w:sz w:val="24"/>
          <w:szCs w:val="24"/>
        </w:rPr>
        <w:t>(2), 285.</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Bechmann, M., Stenrød, M., &amp; Deelstra, J. (2022). Long-term impacts of organic vs. mineral fertilization on runoff and leaching in Norwegian agricultural catchments. </w:t>
      </w:r>
      <w:r w:rsidRPr="00180956">
        <w:rPr>
          <w:rFonts w:ascii="Times New Roman" w:hAnsi="Times New Roman"/>
          <w:i/>
          <w:iCs/>
          <w:sz w:val="24"/>
          <w:szCs w:val="24"/>
        </w:rPr>
        <w:t>Sustainability, 14</w:t>
      </w:r>
      <w:r w:rsidRPr="00180956">
        <w:rPr>
          <w:rFonts w:ascii="Times New Roman" w:hAnsi="Times New Roman"/>
          <w:sz w:val="24"/>
          <w:szCs w:val="24"/>
        </w:rPr>
        <w:t>(9), 5247.</w:t>
      </w:r>
    </w:p>
    <w:p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Bhattacharyya, R., et al. (2019). Long-term effects of fertilization on soil organic carbon and soil health in India. </w:t>
      </w:r>
      <w:r w:rsidRPr="00180956">
        <w:rPr>
          <w:rFonts w:ascii="Times New Roman" w:hAnsi="Times New Roman"/>
          <w:i/>
          <w:iCs/>
          <w:sz w:val="24"/>
          <w:szCs w:val="24"/>
        </w:rPr>
        <w:t>Geoderma.</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Chen, X., Zhou, Y., &amp; Wang, L. (2023). Organic amendments enhance soil microbial communities and suppress pathogens in vegetable soils. </w:t>
      </w:r>
      <w:r w:rsidRPr="00180956">
        <w:rPr>
          <w:rFonts w:ascii="Times New Roman" w:hAnsi="Times New Roman"/>
          <w:i/>
          <w:iCs/>
          <w:sz w:val="24"/>
          <w:szCs w:val="24"/>
        </w:rPr>
        <w:t>Agronomy, 13</w:t>
      </w:r>
      <w:r w:rsidRPr="00180956">
        <w:rPr>
          <w:rFonts w:ascii="Times New Roman" w:hAnsi="Times New Roman"/>
          <w:sz w:val="24"/>
          <w:szCs w:val="24"/>
        </w:rPr>
        <w:t>(1), 123.</w:t>
      </w:r>
    </w:p>
    <w:p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lastRenderedPageBreak/>
        <w:t xml:space="preserve">Choudhary, M., et al. (2023). Integrating organic manures and biofertilizers for soil health and crop productivity. </w:t>
      </w:r>
      <w:r w:rsidRPr="00180956">
        <w:rPr>
          <w:rFonts w:ascii="Times New Roman" w:hAnsi="Times New Roman"/>
          <w:i/>
          <w:iCs/>
          <w:sz w:val="24"/>
          <w:szCs w:val="24"/>
        </w:rPr>
        <w:t>PLOS Sustainability and Transformation.</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FAO. (2021). </w:t>
      </w:r>
      <w:r w:rsidRPr="00180956">
        <w:rPr>
          <w:rFonts w:ascii="Times New Roman" w:hAnsi="Times New Roman"/>
          <w:i/>
          <w:iCs/>
          <w:sz w:val="24"/>
          <w:szCs w:val="24"/>
        </w:rPr>
        <w:t>Soil quality and health – Key to sustainable agriculture</w:t>
      </w:r>
      <w:r w:rsidRPr="00180956">
        <w:rPr>
          <w:rFonts w:ascii="Times New Roman" w:hAnsi="Times New Roman"/>
          <w:sz w:val="24"/>
          <w:szCs w:val="24"/>
        </w:rPr>
        <w:t>. Food and Agriculture Organization of the United Nations.</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Howe, A. C., &amp; Kaur, G. (2024). Influence of vermicompost and microbial consortia on soil pH buffering and nitrogen cycling under vegetable cropping systems. </w:t>
      </w:r>
      <w:r w:rsidRPr="00180956">
        <w:rPr>
          <w:rFonts w:ascii="Times New Roman" w:hAnsi="Times New Roman"/>
          <w:i/>
          <w:iCs/>
          <w:sz w:val="24"/>
          <w:szCs w:val="24"/>
        </w:rPr>
        <w:t>Soil Security, 10</w:t>
      </w:r>
      <w:r w:rsidRPr="00180956">
        <w:rPr>
          <w:rFonts w:ascii="Times New Roman" w:hAnsi="Times New Roman"/>
          <w:sz w:val="24"/>
          <w:szCs w:val="24"/>
        </w:rPr>
        <w:t>, 100156.</w:t>
      </w:r>
    </w:p>
    <w:p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Just, K., et al. (2024). Short-term carbon sequestration through organic amendments in arid soils. </w:t>
      </w:r>
      <w:r w:rsidRPr="00180956">
        <w:rPr>
          <w:rFonts w:ascii="Times New Roman" w:hAnsi="Times New Roman"/>
          <w:i/>
          <w:iCs/>
          <w:sz w:val="24"/>
          <w:szCs w:val="24"/>
        </w:rPr>
        <w:t>Taylor &amp; Francis.</w:t>
      </w:r>
    </w:p>
    <w:p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Khambalkar, R., et al. (2025). Synergistic effect of Rhizobium and organics on soil fertility. </w:t>
      </w:r>
      <w:r w:rsidRPr="00180956">
        <w:rPr>
          <w:rFonts w:ascii="Times New Roman" w:hAnsi="Times New Roman"/>
          <w:i/>
          <w:iCs/>
          <w:sz w:val="24"/>
          <w:szCs w:val="24"/>
        </w:rPr>
        <w:t>ScienceDirect.</w:t>
      </w:r>
    </w:p>
    <w:p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Li, X., et al. (2023). Decomposition rates of high-dose vermicompost. </w:t>
      </w:r>
      <w:r w:rsidRPr="00180956">
        <w:rPr>
          <w:rFonts w:ascii="Times New Roman" w:hAnsi="Times New Roman"/>
          <w:i/>
          <w:iCs/>
          <w:sz w:val="24"/>
          <w:szCs w:val="24"/>
        </w:rPr>
        <w:t>Science Publishing Group.</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Li, X., et al. (2025). Effects of organic amendments on soil fertility and phosphorus availability: A meta-analysis. </w:t>
      </w:r>
      <w:r w:rsidRPr="00180956">
        <w:rPr>
          <w:rFonts w:ascii="Times New Roman" w:hAnsi="Times New Roman"/>
          <w:i/>
          <w:iCs/>
          <w:sz w:val="24"/>
          <w:szCs w:val="24"/>
        </w:rPr>
        <w:t>Plant-Environment Interactions, 6</w:t>
      </w:r>
      <w:r w:rsidRPr="00180956">
        <w:rPr>
          <w:rFonts w:ascii="Times New Roman" w:hAnsi="Times New Roman"/>
          <w:sz w:val="24"/>
          <w:szCs w:val="24"/>
        </w:rPr>
        <w:t>(1), 50–63.</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Li, Z., Zhang, W., &amp; Xu, C. (2023). Soil quality assessment using biological indicators under organic and conventional farming systems. </w:t>
      </w:r>
      <w:r w:rsidRPr="00180956">
        <w:rPr>
          <w:rFonts w:ascii="Times New Roman" w:hAnsi="Times New Roman"/>
          <w:i/>
          <w:iCs/>
          <w:sz w:val="24"/>
          <w:szCs w:val="24"/>
        </w:rPr>
        <w:t>Sustainability, 15</w:t>
      </w:r>
      <w:r w:rsidRPr="00180956">
        <w:rPr>
          <w:rFonts w:ascii="Times New Roman" w:hAnsi="Times New Roman"/>
          <w:sz w:val="24"/>
          <w:szCs w:val="24"/>
        </w:rPr>
        <w:t>(3), 2556.</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Liu, B., Meng, Q., &amp; Li, Y. (2023). Effects of organic manure on soil aggregate stability and crop yield in maize-based systems. </w:t>
      </w:r>
      <w:r w:rsidRPr="00180956">
        <w:rPr>
          <w:rFonts w:ascii="Times New Roman" w:hAnsi="Times New Roman"/>
          <w:i/>
          <w:iCs/>
          <w:sz w:val="24"/>
          <w:szCs w:val="24"/>
        </w:rPr>
        <w:t>Sustainability, 15</w:t>
      </w:r>
      <w:r w:rsidRPr="00180956">
        <w:rPr>
          <w:rFonts w:ascii="Times New Roman" w:hAnsi="Times New Roman"/>
          <w:sz w:val="24"/>
          <w:szCs w:val="24"/>
        </w:rPr>
        <w:t>(10), 8254</w:t>
      </w:r>
    </w:p>
    <w:p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Mahendra Publications. (2025). </w:t>
      </w:r>
      <w:r w:rsidRPr="00180956">
        <w:rPr>
          <w:rFonts w:ascii="Times New Roman" w:hAnsi="Times New Roman"/>
          <w:i/>
          <w:iCs/>
          <w:sz w:val="24"/>
          <w:szCs w:val="24"/>
        </w:rPr>
        <w:t>Effect of FYM and vermicompost on SOC.</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Maheswarappa, H. P., Nanjappa, H. V., &amp; Hegde, M. R. (1999). Influence of organic manures on soil properties and yield of arrowroot. </w:t>
      </w:r>
      <w:r w:rsidRPr="00180956">
        <w:rPr>
          <w:rFonts w:ascii="Times New Roman" w:hAnsi="Times New Roman"/>
          <w:i/>
          <w:iCs/>
          <w:sz w:val="24"/>
          <w:szCs w:val="24"/>
        </w:rPr>
        <w:t>Journal of the Indian Society of Soil Science, 47</w:t>
      </w:r>
      <w:r w:rsidRPr="00180956">
        <w:rPr>
          <w:rFonts w:ascii="Times New Roman" w:hAnsi="Times New Roman"/>
          <w:sz w:val="24"/>
          <w:szCs w:val="24"/>
        </w:rPr>
        <w:t>(4), 802–805.</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Maitra, S., Shankar, T., Palai, J. B., Sairam, M., Pal, A., &amp; Gaikwad, D. J. (2020). Cultivation of gerbera in polyhouse. In </w:t>
      </w:r>
      <w:r w:rsidRPr="00180956">
        <w:rPr>
          <w:rFonts w:ascii="Times New Roman" w:hAnsi="Times New Roman"/>
          <w:i/>
          <w:iCs/>
          <w:sz w:val="24"/>
          <w:szCs w:val="24"/>
        </w:rPr>
        <w:t>Protected cultivation and smart agriculture</w:t>
      </w:r>
      <w:r w:rsidRPr="00180956">
        <w:rPr>
          <w:rFonts w:ascii="Times New Roman" w:hAnsi="Times New Roman"/>
          <w:sz w:val="24"/>
          <w:szCs w:val="24"/>
        </w:rPr>
        <w:t xml:space="preserve"> (pp. 2019–226).</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Manzoor, S., Mehmood, T., &amp; Ahmad, S. (2024). Effect of biofertilizers and organic inputs on pH stabilization and nutrient transformation in acidic soils. </w:t>
      </w:r>
      <w:r w:rsidRPr="00180956">
        <w:rPr>
          <w:rFonts w:ascii="Times New Roman" w:hAnsi="Times New Roman"/>
          <w:i/>
          <w:iCs/>
          <w:sz w:val="24"/>
          <w:szCs w:val="24"/>
        </w:rPr>
        <w:t>Scientia Horticulturae, 328</w:t>
      </w:r>
      <w:r w:rsidRPr="00180956">
        <w:rPr>
          <w:rFonts w:ascii="Times New Roman" w:hAnsi="Times New Roman"/>
          <w:sz w:val="24"/>
          <w:szCs w:val="24"/>
        </w:rPr>
        <w:t>, 112610.</w:t>
      </w:r>
    </w:p>
    <w:p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Oyege, E., et al. (2023). Vermicompost and microbial biomass impacts on SOC. </w:t>
      </w:r>
      <w:r w:rsidRPr="00180956">
        <w:rPr>
          <w:rFonts w:ascii="Times New Roman" w:hAnsi="Times New Roman"/>
          <w:i/>
          <w:iCs/>
          <w:sz w:val="24"/>
          <w:szCs w:val="24"/>
        </w:rPr>
        <w:t>MDPI.</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Oyege, G., et al. (2023). Role of vermicompost in improving soil nutrient availability. </w:t>
      </w:r>
      <w:r w:rsidRPr="00180956">
        <w:rPr>
          <w:rFonts w:ascii="Times New Roman" w:hAnsi="Times New Roman"/>
          <w:i/>
          <w:iCs/>
          <w:sz w:val="24"/>
          <w:szCs w:val="24"/>
        </w:rPr>
        <w:t>Soils, 7</w:t>
      </w:r>
      <w:r w:rsidRPr="00180956">
        <w:rPr>
          <w:rFonts w:ascii="Times New Roman" w:hAnsi="Times New Roman"/>
          <w:sz w:val="24"/>
          <w:szCs w:val="24"/>
        </w:rPr>
        <w:t>(4), 101.</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lastRenderedPageBreak/>
        <w:t xml:space="preserve">Pain, D., De, S. K., Tarafdar, P., Pal, A., Mahata, A. P., Adhikari, R., &amp; Bauri, S. K. (2013). Efficient use of geotextiles as soil conditioner to increase potato productivity on inceptisol of West Bengal. </w:t>
      </w:r>
      <w:r w:rsidRPr="00180956">
        <w:rPr>
          <w:rFonts w:ascii="Times New Roman" w:hAnsi="Times New Roman"/>
          <w:i/>
          <w:iCs/>
          <w:sz w:val="24"/>
          <w:szCs w:val="24"/>
        </w:rPr>
        <w:t>INMS: A Tool to Retrieve Soil Health, 12</w:t>
      </w:r>
      <w:r w:rsidRPr="00180956">
        <w:rPr>
          <w:rFonts w:ascii="Times New Roman" w:hAnsi="Times New Roman"/>
          <w:sz w:val="24"/>
          <w:szCs w:val="24"/>
        </w:rPr>
        <w:t>(2), 104–107.</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Pal, A., Adhikary, R., Barman, S., &amp; Maitra, S. (2020). Nitrogen transformation and losses in soil: A cost-effective review study for farmer. </w:t>
      </w:r>
      <w:r w:rsidRPr="00180956">
        <w:rPr>
          <w:rFonts w:ascii="Times New Roman" w:hAnsi="Times New Roman"/>
          <w:i/>
          <w:iCs/>
          <w:sz w:val="24"/>
          <w:szCs w:val="24"/>
        </w:rPr>
        <w:t>International Journal of Chemical Studies, 8</w:t>
      </w:r>
      <w:r w:rsidRPr="00180956">
        <w:rPr>
          <w:rFonts w:ascii="Times New Roman" w:hAnsi="Times New Roman"/>
          <w:sz w:val="24"/>
          <w:szCs w:val="24"/>
        </w:rPr>
        <w:t>(3), 2623–2626.</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Pal, A., Adhikary, R., De, S. K., &amp; Sardar, M. (2020). Effect of different geotextile treatments in soil to increase the yield and yield attribute of capsicum (</w:t>
      </w:r>
      <w:r w:rsidRPr="00180956">
        <w:rPr>
          <w:rFonts w:ascii="Times New Roman" w:hAnsi="Times New Roman"/>
          <w:i/>
          <w:iCs/>
          <w:sz w:val="24"/>
          <w:szCs w:val="24"/>
        </w:rPr>
        <w:t>Capsicum annuum</w:t>
      </w:r>
      <w:r w:rsidRPr="00180956">
        <w:rPr>
          <w:rFonts w:ascii="Times New Roman" w:hAnsi="Times New Roman"/>
          <w:sz w:val="24"/>
          <w:szCs w:val="24"/>
        </w:rPr>
        <w:t xml:space="preserve">). </w:t>
      </w:r>
      <w:r w:rsidRPr="00180956">
        <w:rPr>
          <w:rFonts w:ascii="Times New Roman" w:hAnsi="Times New Roman"/>
          <w:i/>
          <w:iCs/>
          <w:sz w:val="24"/>
          <w:szCs w:val="24"/>
        </w:rPr>
        <w:t>International Journal of Chemical Studies, 8</w:t>
      </w:r>
      <w:r w:rsidRPr="00180956">
        <w:rPr>
          <w:rFonts w:ascii="Times New Roman" w:hAnsi="Times New Roman"/>
          <w:sz w:val="24"/>
          <w:szCs w:val="24"/>
        </w:rPr>
        <w:t>(3), 2620–2622.</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Reddy, D. P., Pal, A., &amp; Reddy, M. D. (2022). Effect of nitrogen levels on yield of rice varieties during kharif in South Odisha. </w:t>
      </w:r>
      <w:r w:rsidRPr="00180956">
        <w:rPr>
          <w:rFonts w:ascii="Times New Roman" w:hAnsi="Times New Roman"/>
          <w:i/>
          <w:iCs/>
          <w:sz w:val="24"/>
          <w:szCs w:val="24"/>
        </w:rPr>
        <w:t>Crop Research, 57</w:t>
      </w:r>
      <w:r w:rsidRPr="00180956">
        <w:rPr>
          <w:rFonts w:ascii="Times New Roman" w:hAnsi="Times New Roman"/>
          <w:sz w:val="24"/>
          <w:szCs w:val="24"/>
        </w:rPr>
        <w:t>(3), 108–112.</w:t>
      </w:r>
    </w:p>
    <w:p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Sharma, K. L., et al. (2018). Impact of conservation agriculture and organic inputs on soil properties. </w:t>
      </w:r>
      <w:r w:rsidRPr="00180956">
        <w:rPr>
          <w:rFonts w:ascii="Times New Roman" w:hAnsi="Times New Roman"/>
          <w:i/>
          <w:iCs/>
          <w:sz w:val="24"/>
          <w:szCs w:val="24"/>
        </w:rPr>
        <w:t>Environmental Sustainability.</w:t>
      </w:r>
    </w:p>
    <w:p w:rsidR="009634DC" w:rsidRPr="00180956" w:rsidRDefault="009634DC" w:rsidP="00D5526E">
      <w:pPr>
        <w:pStyle w:val="Body"/>
        <w:spacing w:after="0" w:line="360" w:lineRule="auto"/>
        <w:ind w:left="720" w:hanging="720"/>
        <w:rPr>
          <w:rFonts w:ascii="Times New Roman" w:hAnsi="Times New Roman"/>
          <w:i/>
          <w:iCs/>
          <w:sz w:val="24"/>
          <w:szCs w:val="24"/>
        </w:rPr>
      </w:pPr>
      <w:r w:rsidRPr="00180956">
        <w:rPr>
          <w:rFonts w:ascii="Times New Roman" w:hAnsi="Times New Roman"/>
          <w:sz w:val="24"/>
          <w:szCs w:val="24"/>
        </w:rPr>
        <w:t xml:space="preserve">Singh, B., et al. (2020). Nutrient imbalance and hidden hunger in Indian soils: Implications for agricultural sustainability. </w:t>
      </w:r>
      <w:r w:rsidRPr="00180956">
        <w:rPr>
          <w:rFonts w:ascii="Times New Roman" w:hAnsi="Times New Roman"/>
          <w:i/>
          <w:iCs/>
          <w:sz w:val="24"/>
          <w:szCs w:val="24"/>
        </w:rPr>
        <w:t>Current Science.</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Subler, S., Edwards, C. A., &amp; Metzger, J. D. (1998). Comparing vermicomposts and composts. </w:t>
      </w:r>
      <w:r w:rsidRPr="00180956">
        <w:rPr>
          <w:rFonts w:ascii="Times New Roman" w:hAnsi="Times New Roman"/>
          <w:i/>
          <w:iCs/>
          <w:sz w:val="24"/>
          <w:szCs w:val="24"/>
        </w:rPr>
        <w:t>Biocycle, 39</w:t>
      </w:r>
      <w:r w:rsidRPr="00180956">
        <w:rPr>
          <w:rFonts w:ascii="Times New Roman" w:hAnsi="Times New Roman"/>
          <w:sz w:val="24"/>
          <w:szCs w:val="24"/>
        </w:rPr>
        <w:t>(7), 63–66.</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Tang, S., Huang, Y., &amp; Zhang, X. (2022). Organic and inorganic fertilization effects on soil properties and maize productivity in long-term trials. </w:t>
      </w:r>
      <w:r w:rsidRPr="00180956">
        <w:rPr>
          <w:rFonts w:ascii="Times New Roman" w:hAnsi="Times New Roman"/>
          <w:i/>
          <w:iCs/>
          <w:sz w:val="24"/>
          <w:szCs w:val="24"/>
        </w:rPr>
        <w:t>Frontiers in Environmental Science, 10</w:t>
      </w:r>
      <w:r w:rsidRPr="00180956">
        <w:rPr>
          <w:rFonts w:ascii="Times New Roman" w:hAnsi="Times New Roman"/>
          <w:sz w:val="24"/>
          <w:szCs w:val="24"/>
        </w:rPr>
        <w:t>, 879563</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Uzun, I., et al. (2014). Organic amendments and soil microbial responses. </w:t>
      </w:r>
      <w:r w:rsidRPr="00180956">
        <w:rPr>
          <w:rFonts w:ascii="Times New Roman" w:hAnsi="Times New Roman"/>
          <w:i/>
          <w:iCs/>
          <w:sz w:val="24"/>
          <w:szCs w:val="24"/>
        </w:rPr>
        <w:t>PMC.</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Wang, J., et al. (2025). Integrated nutrient management enhances phosphorus bioavailability and microbial diversity. </w:t>
      </w:r>
      <w:r w:rsidRPr="00180956">
        <w:rPr>
          <w:rFonts w:ascii="Times New Roman" w:hAnsi="Times New Roman"/>
          <w:i/>
          <w:iCs/>
          <w:sz w:val="24"/>
          <w:szCs w:val="24"/>
        </w:rPr>
        <w:t>Agronomy, 15</w:t>
      </w:r>
      <w:r w:rsidRPr="00180956">
        <w:rPr>
          <w:rFonts w:ascii="Times New Roman" w:hAnsi="Times New Roman"/>
          <w:sz w:val="24"/>
          <w:szCs w:val="24"/>
        </w:rPr>
        <w:t>(5), 1187.</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Wang, J., Zhao, Y., &amp; Liu, Y. (2020). Long-term manure and fertilizer effects on soil nutrients and maize yield. </w:t>
      </w:r>
      <w:r w:rsidRPr="00180956">
        <w:rPr>
          <w:rFonts w:ascii="Times New Roman" w:hAnsi="Times New Roman"/>
          <w:i/>
          <w:iCs/>
          <w:sz w:val="24"/>
          <w:szCs w:val="24"/>
        </w:rPr>
        <w:t>Science of The Total Environment, 743</w:t>
      </w:r>
      <w:r w:rsidRPr="00180956">
        <w:rPr>
          <w:rFonts w:ascii="Times New Roman" w:hAnsi="Times New Roman"/>
          <w:sz w:val="24"/>
          <w:szCs w:val="24"/>
        </w:rPr>
        <w:t>, 140591</w:t>
      </w:r>
    </w:p>
    <w:p w:rsidR="009634DC" w:rsidRPr="00180956" w:rsidRDefault="009634DC" w:rsidP="00D5526E">
      <w:pPr>
        <w:pStyle w:val="Body"/>
        <w:spacing w:after="0" w:line="360" w:lineRule="auto"/>
        <w:ind w:left="720" w:hanging="720"/>
        <w:rPr>
          <w:rFonts w:ascii="Times New Roman" w:hAnsi="Times New Roman"/>
          <w:sz w:val="24"/>
          <w:szCs w:val="24"/>
        </w:rPr>
      </w:pPr>
      <w:r w:rsidRPr="00180956">
        <w:rPr>
          <w:rFonts w:ascii="Times New Roman" w:hAnsi="Times New Roman"/>
          <w:sz w:val="24"/>
          <w:szCs w:val="24"/>
        </w:rPr>
        <w:t xml:space="preserve">Wei, H., et al. (2024). Microbial phosphorus cycling responses to organic fertilization in cropping systems. </w:t>
      </w:r>
      <w:r w:rsidRPr="00180956">
        <w:rPr>
          <w:rFonts w:ascii="Times New Roman" w:hAnsi="Times New Roman"/>
          <w:i/>
          <w:iCs/>
          <w:sz w:val="24"/>
          <w:szCs w:val="24"/>
        </w:rPr>
        <w:t>Environmental Microbiome, 19</w:t>
      </w:r>
      <w:r w:rsidRPr="00180956">
        <w:rPr>
          <w:rFonts w:ascii="Times New Roman" w:hAnsi="Times New Roman"/>
          <w:sz w:val="24"/>
          <w:szCs w:val="24"/>
        </w:rPr>
        <w:t>, 33.</w:t>
      </w:r>
    </w:p>
    <w:p w:rsidR="009634DC" w:rsidRDefault="009634DC" w:rsidP="00980837">
      <w:pPr>
        <w:spacing w:line="276" w:lineRule="auto"/>
        <w:ind w:left="720" w:hanging="720"/>
        <w:jc w:val="both"/>
      </w:pPr>
    </w:p>
    <w:sectPr w:rsidR="009634DC" w:rsidSect="00101D7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5-08-13T13:26:00Z" w:initials="A">
    <w:p w:rsidR="001A3BD7" w:rsidRDefault="001A3BD7">
      <w:pPr>
        <w:pStyle w:val="CommentText"/>
      </w:pPr>
      <w:r>
        <w:rPr>
          <w:rStyle w:val="CommentReference"/>
        </w:rPr>
        <w:annotationRef/>
      </w:r>
      <w:r>
        <w:t>FRBD</w:t>
      </w:r>
      <w:r w:rsidR="003162FD">
        <w:t xml:space="preserve"> not RBD</w:t>
      </w:r>
    </w:p>
  </w:comment>
  <w:comment w:id="1" w:author="Admin" w:date="2025-08-13T13:28:00Z" w:initials="A">
    <w:p w:rsidR="003162FD" w:rsidRDefault="003162FD">
      <w:pPr>
        <w:pStyle w:val="CommentText"/>
      </w:pPr>
      <w:r>
        <w:rPr>
          <w:rStyle w:val="CommentReference"/>
        </w:rPr>
        <w:annotationRef/>
      </w:r>
      <w:r>
        <w:t xml:space="preserve">Make a table </w:t>
      </w:r>
    </w:p>
  </w:comment>
  <w:comment w:id="2" w:author="Admin" w:date="2025-08-13T13:29:00Z" w:initials="A">
    <w:p w:rsidR="003162FD" w:rsidRDefault="003162FD">
      <w:pPr>
        <w:pStyle w:val="CommentText"/>
      </w:pPr>
      <w:r>
        <w:rPr>
          <w:rStyle w:val="CommentReference"/>
        </w:rPr>
        <w:annotationRef/>
      </w:r>
      <w:r>
        <w:t>add graphs also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ADF" w:rsidRDefault="00520ADF" w:rsidP="0014679B">
      <w:r>
        <w:separator/>
      </w:r>
    </w:p>
  </w:endnote>
  <w:endnote w:type="continuationSeparator" w:id="1">
    <w:p w:rsidR="00520ADF" w:rsidRDefault="00520ADF" w:rsidP="001467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9B" w:rsidRDefault="001467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9B" w:rsidRDefault="001467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9B" w:rsidRDefault="001467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ADF" w:rsidRDefault="00520ADF" w:rsidP="0014679B">
      <w:r>
        <w:separator/>
      </w:r>
    </w:p>
  </w:footnote>
  <w:footnote w:type="continuationSeparator" w:id="1">
    <w:p w:rsidR="00520ADF" w:rsidRDefault="00520ADF" w:rsidP="001467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9B" w:rsidRDefault="00101D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646235"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9B" w:rsidRDefault="00101D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646236"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79B" w:rsidRDefault="00101D7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646234"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97795"/>
    <w:multiLevelType w:val="hybridMultilevel"/>
    <w:tmpl w:val="8B36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6C7DE9"/>
    <w:rsid w:val="00101D71"/>
    <w:rsid w:val="0014679B"/>
    <w:rsid w:val="001A3BD7"/>
    <w:rsid w:val="001D4AF9"/>
    <w:rsid w:val="001D5F9D"/>
    <w:rsid w:val="002119C9"/>
    <w:rsid w:val="00290402"/>
    <w:rsid w:val="003162FD"/>
    <w:rsid w:val="00327C64"/>
    <w:rsid w:val="00393A69"/>
    <w:rsid w:val="003F1EE7"/>
    <w:rsid w:val="00413675"/>
    <w:rsid w:val="0045299B"/>
    <w:rsid w:val="00495303"/>
    <w:rsid w:val="00520ADF"/>
    <w:rsid w:val="00554301"/>
    <w:rsid w:val="005545F9"/>
    <w:rsid w:val="0064450C"/>
    <w:rsid w:val="00645507"/>
    <w:rsid w:val="006C7DE9"/>
    <w:rsid w:val="00910B68"/>
    <w:rsid w:val="009634DC"/>
    <w:rsid w:val="00980837"/>
    <w:rsid w:val="009C1C1F"/>
    <w:rsid w:val="00B450AB"/>
    <w:rsid w:val="00C055BD"/>
    <w:rsid w:val="00C05BBF"/>
    <w:rsid w:val="00C213E4"/>
    <w:rsid w:val="00C21503"/>
    <w:rsid w:val="00D5526E"/>
    <w:rsid w:val="00FE5F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F1B"/>
    <w:pPr>
      <w:spacing w:after="0" w:line="240" w:lineRule="auto"/>
    </w:pPr>
    <w:rPr>
      <w:rFonts w:ascii="Helvetica" w:eastAsia="Times New Roman" w:hAnsi="Helvetica" w:cs="Times New Roman"/>
      <w:kern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FE5F1B"/>
    <w:pPr>
      <w:spacing w:line="280" w:lineRule="exact"/>
      <w:jc w:val="right"/>
    </w:pPr>
    <w:rPr>
      <w:b/>
      <w:sz w:val="24"/>
    </w:rPr>
  </w:style>
  <w:style w:type="paragraph" w:customStyle="1" w:styleId="Affiliation">
    <w:name w:val="Affiliation"/>
    <w:basedOn w:val="Normal"/>
    <w:rsid w:val="00FE5F1B"/>
    <w:pPr>
      <w:spacing w:after="240" w:line="240" w:lineRule="exact"/>
      <w:jc w:val="right"/>
    </w:pPr>
  </w:style>
  <w:style w:type="paragraph" w:customStyle="1" w:styleId="Body">
    <w:name w:val="Body"/>
    <w:basedOn w:val="Normal"/>
    <w:rsid w:val="009634DC"/>
    <w:pPr>
      <w:spacing w:after="240"/>
      <w:jc w:val="both"/>
    </w:pPr>
  </w:style>
  <w:style w:type="paragraph" w:customStyle="1" w:styleId="AbstHead">
    <w:name w:val="Abst Head"/>
    <w:basedOn w:val="Normal"/>
    <w:rsid w:val="009634DC"/>
    <w:pPr>
      <w:keepNext/>
      <w:spacing w:after="240"/>
    </w:pPr>
    <w:rPr>
      <w:b/>
      <w:caps/>
      <w:sz w:val="22"/>
    </w:rPr>
  </w:style>
  <w:style w:type="paragraph" w:customStyle="1" w:styleId="ConcHead">
    <w:name w:val="Conc Head"/>
    <w:basedOn w:val="Normal"/>
    <w:rsid w:val="009634DC"/>
    <w:pPr>
      <w:keepNext/>
      <w:spacing w:after="240"/>
    </w:pPr>
    <w:rPr>
      <w:b/>
      <w:caps/>
      <w:sz w:val="22"/>
    </w:rPr>
  </w:style>
  <w:style w:type="paragraph" w:customStyle="1" w:styleId="AcknHead">
    <w:name w:val="Ackn Head"/>
    <w:basedOn w:val="Normal"/>
    <w:rsid w:val="009634DC"/>
    <w:pPr>
      <w:keepNext/>
      <w:spacing w:after="240"/>
    </w:pPr>
    <w:rPr>
      <w:b/>
      <w:caps/>
      <w:sz w:val="22"/>
    </w:rPr>
  </w:style>
  <w:style w:type="paragraph" w:customStyle="1" w:styleId="ReferHead">
    <w:name w:val="Refer Head"/>
    <w:basedOn w:val="Normal"/>
    <w:rsid w:val="009634DC"/>
    <w:pPr>
      <w:keepNext/>
      <w:spacing w:after="240"/>
    </w:pPr>
    <w:rPr>
      <w:b/>
      <w:caps/>
      <w:sz w:val="22"/>
    </w:rPr>
  </w:style>
  <w:style w:type="paragraph" w:customStyle="1" w:styleId="Head1">
    <w:name w:val="Head1"/>
    <w:basedOn w:val="Normal"/>
    <w:rsid w:val="009634DC"/>
    <w:pPr>
      <w:keepNext/>
      <w:spacing w:after="240"/>
    </w:pPr>
    <w:rPr>
      <w:b/>
      <w:caps/>
      <w:sz w:val="22"/>
    </w:rPr>
  </w:style>
  <w:style w:type="table" w:styleId="TableGrid">
    <w:name w:val="Table Grid"/>
    <w:basedOn w:val="TableNormal"/>
    <w:uiPriority w:val="39"/>
    <w:rsid w:val="009634DC"/>
    <w:pPr>
      <w:spacing w:after="0" w:line="240" w:lineRule="auto"/>
    </w:pPr>
    <w:rPr>
      <w:rFonts w:ascii="Calibri" w:eastAsia="Calibri" w:hAnsi="Calibri" w:cs="Times New Roman"/>
      <w:kern w:val="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634DC"/>
    <w:pPr>
      <w:ind w:left="720"/>
      <w:contextualSpacing/>
    </w:pPr>
  </w:style>
  <w:style w:type="character" w:styleId="Hyperlink">
    <w:name w:val="Hyperlink"/>
    <w:basedOn w:val="DefaultParagraphFont"/>
    <w:uiPriority w:val="99"/>
    <w:unhideWhenUsed/>
    <w:rsid w:val="009C1C1F"/>
    <w:rPr>
      <w:color w:val="0563C1" w:themeColor="hyperlink"/>
      <w:u w:val="single"/>
    </w:rPr>
  </w:style>
  <w:style w:type="character" w:customStyle="1" w:styleId="UnresolvedMention">
    <w:name w:val="Unresolved Mention"/>
    <w:basedOn w:val="DefaultParagraphFont"/>
    <w:uiPriority w:val="99"/>
    <w:semiHidden/>
    <w:unhideWhenUsed/>
    <w:rsid w:val="009C1C1F"/>
    <w:rPr>
      <w:color w:val="605E5C"/>
      <w:shd w:val="clear" w:color="auto" w:fill="E1DFDD"/>
    </w:rPr>
  </w:style>
  <w:style w:type="paragraph" w:styleId="Header">
    <w:name w:val="header"/>
    <w:basedOn w:val="Normal"/>
    <w:link w:val="HeaderChar"/>
    <w:uiPriority w:val="99"/>
    <w:unhideWhenUsed/>
    <w:rsid w:val="0014679B"/>
    <w:pPr>
      <w:tabs>
        <w:tab w:val="center" w:pos="4680"/>
        <w:tab w:val="right" w:pos="9360"/>
      </w:tabs>
    </w:pPr>
  </w:style>
  <w:style w:type="character" w:customStyle="1" w:styleId="HeaderChar">
    <w:name w:val="Header Char"/>
    <w:basedOn w:val="DefaultParagraphFont"/>
    <w:link w:val="Header"/>
    <w:uiPriority w:val="99"/>
    <w:rsid w:val="0014679B"/>
    <w:rPr>
      <w:rFonts w:ascii="Helvetica" w:eastAsia="Times New Roman" w:hAnsi="Helvetica" w:cs="Times New Roman"/>
      <w:kern w:val="0"/>
      <w:sz w:val="20"/>
      <w:szCs w:val="20"/>
      <w:lang w:val="en-US"/>
    </w:rPr>
  </w:style>
  <w:style w:type="paragraph" w:styleId="Footer">
    <w:name w:val="footer"/>
    <w:basedOn w:val="Normal"/>
    <w:link w:val="FooterChar"/>
    <w:uiPriority w:val="99"/>
    <w:unhideWhenUsed/>
    <w:rsid w:val="0014679B"/>
    <w:pPr>
      <w:tabs>
        <w:tab w:val="center" w:pos="4680"/>
        <w:tab w:val="right" w:pos="9360"/>
      </w:tabs>
    </w:pPr>
  </w:style>
  <w:style w:type="character" w:customStyle="1" w:styleId="FooterChar">
    <w:name w:val="Footer Char"/>
    <w:basedOn w:val="DefaultParagraphFont"/>
    <w:link w:val="Footer"/>
    <w:uiPriority w:val="99"/>
    <w:rsid w:val="0014679B"/>
    <w:rPr>
      <w:rFonts w:ascii="Helvetica" w:eastAsia="Times New Roman" w:hAnsi="Helvetica" w:cs="Times New Roman"/>
      <w:kern w:val="0"/>
      <w:sz w:val="20"/>
      <w:szCs w:val="20"/>
      <w:lang w:val="en-US"/>
    </w:rPr>
  </w:style>
  <w:style w:type="character" w:styleId="CommentReference">
    <w:name w:val="annotation reference"/>
    <w:basedOn w:val="DefaultParagraphFont"/>
    <w:uiPriority w:val="99"/>
    <w:semiHidden/>
    <w:unhideWhenUsed/>
    <w:rsid w:val="001A3BD7"/>
    <w:rPr>
      <w:sz w:val="16"/>
      <w:szCs w:val="16"/>
    </w:rPr>
  </w:style>
  <w:style w:type="paragraph" w:styleId="CommentText">
    <w:name w:val="annotation text"/>
    <w:basedOn w:val="Normal"/>
    <w:link w:val="CommentTextChar"/>
    <w:uiPriority w:val="99"/>
    <w:semiHidden/>
    <w:unhideWhenUsed/>
    <w:rsid w:val="001A3BD7"/>
  </w:style>
  <w:style w:type="character" w:customStyle="1" w:styleId="CommentTextChar">
    <w:name w:val="Comment Text Char"/>
    <w:basedOn w:val="DefaultParagraphFont"/>
    <w:link w:val="CommentText"/>
    <w:uiPriority w:val="99"/>
    <w:semiHidden/>
    <w:rsid w:val="001A3BD7"/>
    <w:rPr>
      <w:rFonts w:ascii="Helvetica" w:eastAsia="Times New Roman" w:hAnsi="Helvetica"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1A3BD7"/>
    <w:rPr>
      <w:b/>
      <w:bCs/>
    </w:rPr>
  </w:style>
  <w:style w:type="character" w:customStyle="1" w:styleId="CommentSubjectChar">
    <w:name w:val="Comment Subject Char"/>
    <w:basedOn w:val="CommentTextChar"/>
    <w:link w:val="CommentSubject"/>
    <w:uiPriority w:val="99"/>
    <w:semiHidden/>
    <w:rsid w:val="001A3BD7"/>
    <w:rPr>
      <w:b/>
      <w:bCs/>
    </w:rPr>
  </w:style>
  <w:style w:type="paragraph" w:styleId="BalloonText">
    <w:name w:val="Balloon Text"/>
    <w:basedOn w:val="Normal"/>
    <w:link w:val="BalloonTextChar"/>
    <w:uiPriority w:val="99"/>
    <w:semiHidden/>
    <w:unhideWhenUsed/>
    <w:rsid w:val="001A3BD7"/>
    <w:rPr>
      <w:rFonts w:ascii="Tahoma" w:hAnsi="Tahoma" w:cs="Tahoma"/>
      <w:sz w:val="16"/>
      <w:szCs w:val="16"/>
    </w:rPr>
  </w:style>
  <w:style w:type="character" w:customStyle="1" w:styleId="BalloonTextChar">
    <w:name w:val="Balloon Text Char"/>
    <w:basedOn w:val="DefaultParagraphFont"/>
    <w:link w:val="BalloonText"/>
    <w:uiPriority w:val="99"/>
    <w:semiHidden/>
    <w:rsid w:val="001A3BD7"/>
    <w:rPr>
      <w:rFonts w:ascii="Tahoma" w:eastAsia="Times New Roman" w:hAnsi="Tahoma" w:cs="Tahoma"/>
      <w:kern w:val="0"/>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13</Pages>
  <Words>4782</Words>
  <Characters>27258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Admin</cp:lastModifiedBy>
  <cp:revision>36</cp:revision>
  <dcterms:created xsi:type="dcterms:W3CDTF">2025-08-11T07:51:00Z</dcterms:created>
  <dcterms:modified xsi:type="dcterms:W3CDTF">2025-08-13T07:59:00Z</dcterms:modified>
</cp:coreProperties>
</file>