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B64" w:rsidRPr="004F1B64" w:rsidRDefault="004F1B64" w:rsidP="000C6955">
      <w:pPr>
        <w:spacing w:before="240" w:after="240" w:line="240" w:lineRule="auto"/>
        <w:jc w:val="both"/>
        <w:rPr>
          <w:rFonts w:ascii="Times New Roman" w:hAnsi="Times New Roman"/>
          <w:b/>
          <w:sz w:val="28"/>
          <w:szCs w:val="28"/>
        </w:rPr>
      </w:pPr>
      <w:r w:rsidRPr="004F1B64">
        <w:rPr>
          <w:rFonts w:ascii="Times New Roman" w:hAnsi="Times New Roman"/>
          <w:b/>
          <w:sz w:val="28"/>
          <w:szCs w:val="28"/>
        </w:rPr>
        <w:t xml:space="preserve">Effect of different combinations of micronutrients and biofertilizers on dry matter accumulation, protein content, nutrient content and yield in chickpea  </w:t>
      </w:r>
    </w:p>
    <w:p w:rsidR="00100AEA" w:rsidRDefault="00100AEA" w:rsidP="00F144AE">
      <w:pPr>
        <w:spacing w:before="240" w:after="240" w:line="240" w:lineRule="auto"/>
        <w:ind w:left="900" w:hanging="900"/>
        <w:jc w:val="both"/>
        <w:rPr>
          <w:rFonts w:ascii="Times New Roman" w:hAnsi="Times New Roman"/>
          <w:sz w:val="18"/>
          <w:szCs w:val="18"/>
        </w:rPr>
      </w:pPr>
    </w:p>
    <w:p w:rsidR="00F30FB3" w:rsidRPr="00F144AE" w:rsidRDefault="00F30FB3" w:rsidP="00F144AE">
      <w:pPr>
        <w:spacing w:before="240" w:after="240" w:line="240" w:lineRule="auto"/>
        <w:ind w:left="900" w:hanging="900"/>
        <w:jc w:val="both"/>
        <w:rPr>
          <w:rFonts w:ascii="Times New Roman" w:hAnsi="Times New Roman"/>
          <w:b/>
          <w:sz w:val="18"/>
          <w:szCs w:val="18"/>
        </w:rPr>
      </w:pPr>
    </w:p>
    <w:p w:rsidR="00C4426C" w:rsidRDefault="00C4426C" w:rsidP="001C0924">
      <w:pPr>
        <w:pStyle w:val="BodyText"/>
        <w:jc w:val="center"/>
        <w:rPr>
          <w:b/>
          <w:sz w:val="28"/>
          <w:szCs w:val="28"/>
        </w:rPr>
      </w:pPr>
    </w:p>
    <w:p w:rsidR="0076236C" w:rsidRPr="00843A68" w:rsidRDefault="0076236C" w:rsidP="0076236C">
      <w:pPr>
        <w:spacing w:after="0" w:line="240" w:lineRule="auto"/>
        <w:rPr>
          <w:rFonts w:ascii="Times New Roman" w:hAnsi="Times New Roman"/>
          <w:b/>
          <w:bCs/>
          <w:noProof/>
          <w:sz w:val="30"/>
          <w:szCs w:val="26"/>
          <w:lang w:eastAsia="zh-CN"/>
        </w:rPr>
      </w:pPr>
    </w:p>
    <w:p w:rsidR="0076236C" w:rsidRPr="00843A68" w:rsidRDefault="0076236C" w:rsidP="003A2EED">
      <w:pPr>
        <w:pStyle w:val="Heading1"/>
        <w:spacing w:before="1"/>
        <w:ind w:left="665"/>
        <w:jc w:val="left"/>
      </w:pPr>
      <w:r w:rsidRPr="00843A68">
        <w:t xml:space="preserve">                                             Abstract</w:t>
      </w:r>
    </w:p>
    <w:p w:rsidR="00A141A4" w:rsidRDefault="00825DCB" w:rsidP="00A141A4">
      <w:pPr>
        <w:pStyle w:val="BodyText"/>
        <w:spacing w:before="240" w:after="240" w:line="384" w:lineRule="auto"/>
        <w:jc w:val="both"/>
      </w:pPr>
      <w:r w:rsidRPr="00843A68">
        <w:t>A study was carried out</w:t>
      </w:r>
      <w:r w:rsidR="001C0924" w:rsidRPr="00843A68">
        <w:t xml:space="preserve"> to</w:t>
      </w:r>
      <w:r w:rsidR="003A2EED" w:rsidRPr="00843A68">
        <w:t xml:space="preserve"> know </w:t>
      </w:r>
      <w:r w:rsidR="00F144AE">
        <w:t xml:space="preserve">the </w:t>
      </w:r>
      <w:r w:rsidR="00F144AE" w:rsidRPr="00843A68">
        <w:t>e</w:t>
      </w:r>
      <w:r w:rsidR="001C0924" w:rsidRPr="00843A68">
        <w:t xml:space="preserve">ffect of </w:t>
      </w:r>
      <w:r w:rsidR="003A2EED" w:rsidRPr="00843A68">
        <w:t>different combinations of micronutrients and biofertilizers on dry matter accumulation, protein content</w:t>
      </w:r>
      <w:r w:rsidR="00D01402" w:rsidRPr="00843A68">
        <w:t xml:space="preserve">, </w:t>
      </w:r>
      <w:r w:rsidR="003A2EED" w:rsidRPr="00843A68">
        <w:t xml:space="preserve">nutrient content </w:t>
      </w:r>
      <w:r w:rsidR="00D25145" w:rsidRPr="00D25145">
        <w:t>and yield</w:t>
      </w:r>
      <w:r w:rsidR="003A2EED" w:rsidRPr="00843A68">
        <w:t xml:space="preserve">in </w:t>
      </w:r>
      <w:r w:rsidR="00D01402" w:rsidRPr="00843A68">
        <w:t>C</w:t>
      </w:r>
      <w:r w:rsidR="003A2EED" w:rsidRPr="00843A68">
        <w:t>hickpea</w:t>
      </w:r>
      <w:r w:rsidR="0044663A" w:rsidRPr="00843A68">
        <w:t xml:space="preserve"> in vertisol</w:t>
      </w:r>
      <w:r w:rsidR="001C0924" w:rsidRPr="00843A68">
        <w:t xml:space="preserve"> at College of Agriculture, Vijayapur</w:t>
      </w:r>
      <w:r w:rsidR="007C4297" w:rsidRPr="00843A68">
        <w:t xml:space="preserve">a during </w:t>
      </w:r>
      <w:r w:rsidR="007C4297" w:rsidRPr="00843A68">
        <w:rPr>
          <w:i/>
        </w:rPr>
        <w:t>R</w:t>
      </w:r>
      <w:r w:rsidR="001C0924" w:rsidRPr="00843A68">
        <w:rPr>
          <w:i/>
        </w:rPr>
        <w:t>abi</w:t>
      </w:r>
      <w:r w:rsidR="001C0924" w:rsidRPr="00843A68">
        <w:t xml:space="preserve"> 2020-21. The experiment was laid out in a randomized complete block design</w:t>
      </w:r>
      <w:r w:rsidRPr="00843A68">
        <w:t xml:space="preserve"> (RCBD)</w:t>
      </w:r>
      <w:r w:rsidR="001C0924" w:rsidRPr="00843A68">
        <w:t xml:space="preserve"> with nine t</w:t>
      </w:r>
      <w:r w:rsidRPr="00843A68">
        <w:t>reatments</w:t>
      </w:r>
      <w:r w:rsidR="0044663A" w:rsidRPr="00843A68">
        <w:t>,</w:t>
      </w:r>
      <w:r w:rsidRPr="00843A68">
        <w:t xml:space="preserve"> each replicated thrice. T</w:t>
      </w:r>
      <w:r w:rsidR="003B44DB">
        <w:t>reatments included</w:t>
      </w:r>
      <w:r w:rsidR="001C0924" w:rsidRPr="00843A68">
        <w:t xml:space="preserve"> application o</w:t>
      </w:r>
      <w:r w:rsidRPr="00843A68">
        <w:t>f ferrous</w:t>
      </w:r>
      <w:r w:rsidR="001C0924" w:rsidRPr="00843A68">
        <w:t xml:space="preserve"> sulphat</w:t>
      </w:r>
      <w:r w:rsidRPr="00843A68">
        <w:t>e @10 kgha</w:t>
      </w:r>
      <w:r w:rsidRPr="00F144AE">
        <w:rPr>
          <w:vertAlign w:val="superscript"/>
        </w:rPr>
        <w:t>-</w:t>
      </w:r>
      <w:r w:rsidRPr="005C56BC">
        <w:rPr>
          <w:vertAlign w:val="superscript"/>
        </w:rPr>
        <w:t>1</w:t>
      </w:r>
      <w:r w:rsidR="001C0924" w:rsidRPr="00843A68">
        <w:t>, zinc sulphat</w:t>
      </w:r>
      <w:r w:rsidRPr="00843A68">
        <w:t>e @10 kg ha</w:t>
      </w:r>
      <w:r w:rsidRPr="003B44DB">
        <w:rPr>
          <w:vertAlign w:val="superscript"/>
        </w:rPr>
        <w:t>-1</w:t>
      </w:r>
      <w:r w:rsidRPr="00843A68">
        <w:t>, borax @ 10 kg ha</w:t>
      </w:r>
      <w:r w:rsidRPr="003B44DB">
        <w:rPr>
          <w:vertAlign w:val="superscript"/>
        </w:rPr>
        <w:t>-1</w:t>
      </w:r>
      <w:r w:rsidR="001C0924" w:rsidRPr="00843A68">
        <w:t xml:space="preserve"> and sodium molybdate </w:t>
      </w:r>
      <w:bookmarkStart w:id="0" w:name="_GoBack"/>
      <w:r w:rsidR="001C0924" w:rsidRPr="00843A68">
        <w:t>@</w:t>
      </w:r>
      <w:bookmarkEnd w:id="0"/>
      <w:r w:rsidR="001C0924" w:rsidRPr="00843A68">
        <w:t xml:space="preserve"> 1.0 g kg</w:t>
      </w:r>
      <w:r w:rsidR="001C0924" w:rsidRPr="003B44DB">
        <w:rPr>
          <w:vertAlign w:val="superscript"/>
        </w:rPr>
        <w:t>-1</w:t>
      </w:r>
      <w:r w:rsidR="001C0924" w:rsidRPr="00843A68">
        <w:t xml:space="preserve"> seeds in various combin</w:t>
      </w:r>
      <w:r w:rsidRPr="00843A68">
        <w:t>ati</w:t>
      </w:r>
      <w:r w:rsidR="003B44DB">
        <w:t xml:space="preserve">ons along with recommended dose (10:25:00 </w:t>
      </w:r>
      <w:r w:rsidR="0044663A" w:rsidRPr="00843A68">
        <w:t>N: P</w:t>
      </w:r>
      <w:r w:rsidR="0044663A" w:rsidRPr="003B44DB">
        <w:rPr>
          <w:vertAlign w:val="subscript"/>
        </w:rPr>
        <w:t>2</w:t>
      </w:r>
      <w:r w:rsidR="0044663A" w:rsidRPr="00843A68">
        <w:t>O</w:t>
      </w:r>
      <w:r w:rsidR="0044663A" w:rsidRPr="003B44DB">
        <w:rPr>
          <w:vertAlign w:val="subscript"/>
        </w:rPr>
        <w:t>5</w:t>
      </w:r>
      <w:r w:rsidR="0044663A" w:rsidRPr="00843A68">
        <w:t xml:space="preserve"> :K</w:t>
      </w:r>
      <w:r w:rsidR="0044663A" w:rsidRPr="003B44DB">
        <w:rPr>
          <w:vertAlign w:val="subscript"/>
        </w:rPr>
        <w:t>2</w:t>
      </w:r>
      <w:r w:rsidR="0044663A" w:rsidRPr="00843A68">
        <w:t>O kg ha</w:t>
      </w:r>
      <w:r w:rsidR="0044663A" w:rsidRPr="003B44DB">
        <w:rPr>
          <w:vertAlign w:val="superscript"/>
        </w:rPr>
        <w:t>-1</w:t>
      </w:r>
      <w:r w:rsidR="0044663A" w:rsidRPr="00843A68">
        <w:t>)</w:t>
      </w:r>
      <w:r w:rsidRPr="00843A68">
        <w:t>. Results of the experiment showed that,</w:t>
      </w:r>
      <w:r w:rsidR="001C0924" w:rsidRPr="00843A68">
        <w:t xml:space="preserve"> the treatmen</w:t>
      </w:r>
      <w:r w:rsidR="00F144AE">
        <w:t xml:space="preserve">t which received RDF + </w:t>
      </w:r>
      <w:r w:rsidR="00F144AE" w:rsidRPr="00F144AE">
        <w:rPr>
          <w:i/>
        </w:rPr>
        <w:t>Rhizobium</w:t>
      </w:r>
      <w:r w:rsidR="001C0924" w:rsidRPr="00843A68">
        <w:t xml:space="preserve"> + PSB (@ 1250 g ha</w:t>
      </w:r>
      <w:r w:rsidR="001C0924" w:rsidRPr="003B44DB">
        <w:rPr>
          <w:vertAlign w:val="superscript"/>
        </w:rPr>
        <w:t>-1</w:t>
      </w:r>
      <w:r w:rsidR="006959F1">
        <w:t>)</w:t>
      </w:r>
      <w:r w:rsidR="001C0924" w:rsidRPr="00843A68">
        <w:t xml:space="preserve"> + FeSO</w:t>
      </w:r>
      <w:r w:rsidR="001C0924" w:rsidRPr="003B44DB">
        <w:rPr>
          <w:vertAlign w:val="subscript"/>
        </w:rPr>
        <w:t>4</w:t>
      </w:r>
      <w:r w:rsidR="001C0924" w:rsidRPr="00843A68">
        <w:t xml:space="preserve"> @ 10 kg ha</w:t>
      </w:r>
      <w:r w:rsidR="001C0924" w:rsidRPr="003B44DB">
        <w:rPr>
          <w:vertAlign w:val="superscript"/>
        </w:rPr>
        <w:t>-1</w:t>
      </w:r>
      <w:r w:rsidR="001C0924" w:rsidRPr="00843A68">
        <w:t xml:space="preserve"> +ZnSO</w:t>
      </w:r>
      <w:r w:rsidR="001C0924" w:rsidRPr="003B44DB">
        <w:rPr>
          <w:vertAlign w:val="subscript"/>
        </w:rPr>
        <w:t>4</w:t>
      </w:r>
      <w:r w:rsidR="001C0924" w:rsidRPr="00843A68">
        <w:t>@ 10 kg ha</w:t>
      </w:r>
      <w:r w:rsidR="001C0924" w:rsidRPr="003B44DB">
        <w:rPr>
          <w:vertAlign w:val="superscript"/>
        </w:rPr>
        <w:t>-1</w:t>
      </w:r>
      <w:r w:rsidR="001C0924" w:rsidRPr="00843A68">
        <w:t xml:space="preserve"> +Borax @ 10 kg ha</w:t>
      </w:r>
      <w:r w:rsidR="001C0924" w:rsidRPr="003B44DB">
        <w:rPr>
          <w:vertAlign w:val="superscript"/>
        </w:rPr>
        <w:t>-1</w:t>
      </w:r>
      <w:r w:rsidR="001C0924" w:rsidRPr="00843A68">
        <w:t xml:space="preserve"> + Sodium molybdate @ 1.0 g kg</w:t>
      </w:r>
      <w:r w:rsidR="001C0924" w:rsidRPr="003B44DB">
        <w:rPr>
          <w:vertAlign w:val="superscript"/>
        </w:rPr>
        <w:t>-1</w:t>
      </w:r>
      <w:r w:rsidR="001C0924" w:rsidRPr="00843A68">
        <w:t xml:space="preserve"> seeds (T</w:t>
      </w:r>
      <w:r w:rsidR="001C0924" w:rsidRPr="003B44DB">
        <w:rPr>
          <w:vertAlign w:val="subscript"/>
        </w:rPr>
        <w:t>8</w:t>
      </w:r>
      <w:r w:rsidR="001C0924" w:rsidRPr="00843A68">
        <w:t xml:space="preserve"> ) resulted in </w:t>
      </w:r>
      <w:r w:rsidR="0044663A" w:rsidRPr="00843A68">
        <w:t>s</w:t>
      </w:r>
      <w:r w:rsidR="00B20B68" w:rsidRPr="00843A68">
        <w:t xml:space="preserve">ignificantly higher </w:t>
      </w:r>
      <w:r w:rsidR="00FC4234" w:rsidRPr="00843A68">
        <w:t>dry matter accumulation, protein content,nutrient content</w:t>
      </w:r>
      <w:r w:rsidR="00D25145">
        <w:t>,grain yield (1591.4</w:t>
      </w:r>
      <w:r w:rsidR="003B44DB">
        <w:t>0</w:t>
      </w:r>
      <w:r w:rsidR="00D25145">
        <w:t>), straw yield (1350 kg ha</w:t>
      </w:r>
      <w:r w:rsidR="00D25145" w:rsidRPr="00F144AE">
        <w:rPr>
          <w:vertAlign w:val="superscript"/>
        </w:rPr>
        <w:t>-1</w:t>
      </w:r>
      <w:r w:rsidR="00D25145">
        <w:t xml:space="preserve">) and harvest index (0.54) </w:t>
      </w:r>
      <w:r w:rsidR="00FC4234" w:rsidRPr="00843A68">
        <w:t xml:space="preserve">in chickpea </w:t>
      </w:r>
      <w:r w:rsidR="00B20B68" w:rsidRPr="00843A68">
        <w:t>at harvest of the</w:t>
      </w:r>
      <w:r w:rsidR="0044663A" w:rsidRPr="00843A68">
        <w:t xml:space="preserve"> crop whereas significant lower values for these were observed in treatment where fertilizers were applied as per recommended dose</w:t>
      </w:r>
      <w:r w:rsidR="00B20B68" w:rsidRPr="00843A68">
        <w:t xml:space="preserve">. Thus, </w:t>
      </w:r>
      <w:r w:rsidR="00F144AE">
        <w:t xml:space="preserve">the combined application of RDF </w:t>
      </w:r>
      <w:r w:rsidR="00B20B68" w:rsidRPr="00843A68">
        <w:t xml:space="preserve">(10:25:00 </w:t>
      </w:r>
      <w:r w:rsidR="003B44DB" w:rsidRPr="00843A68">
        <w:t>N: P</w:t>
      </w:r>
      <w:r w:rsidR="003B44DB" w:rsidRPr="003B44DB">
        <w:rPr>
          <w:vertAlign w:val="subscript"/>
        </w:rPr>
        <w:t>2</w:t>
      </w:r>
      <w:r w:rsidR="003B44DB" w:rsidRPr="00843A68">
        <w:t>O</w:t>
      </w:r>
      <w:r w:rsidR="003B44DB" w:rsidRPr="003B44DB">
        <w:rPr>
          <w:vertAlign w:val="subscript"/>
        </w:rPr>
        <w:t>5</w:t>
      </w:r>
      <w:r w:rsidR="003B44DB" w:rsidRPr="00843A68">
        <w:t xml:space="preserve"> :K</w:t>
      </w:r>
      <w:r w:rsidR="003B44DB" w:rsidRPr="003B44DB">
        <w:rPr>
          <w:vertAlign w:val="subscript"/>
        </w:rPr>
        <w:t>2</w:t>
      </w:r>
      <w:r w:rsidR="003B44DB" w:rsidRPr="00843A68">
        <w:t xml:space="preserve">O </w:t>
      </w:r>
      <w:r w:rsidR="00B20B68" w:rsidRPr="00843A68">
        <w:t>kg ha</w:t>
      </w:r>
      <w:r w:rsidR="00B20B68" w:rsidRPr="00F144AE">
        <w:rPr>
          <w:vertAlign w:val="superscript"/>
        </w:rPr>
        <w:t>-1</w:t>
      </w:r>
      <w:r w:rsidR="00B20B68" w:rsidRPr="00843A68">
        <w:t xml:space="preserve">) + </w:t>
      </w:r>
      <w:r w:rsidR="00B20B68" w:rsidRPr="00F144AE">
        <w:rPr>
          <w:i/>
        </w:rPr>
        <w:t>Rhizobium</w:t>
      </w:r>
      <w:r w:rsidR="00B20B68" w:rsidRPr="00843A68">
        <w:t xml:space="preserve"> + PSB (@ 1250 g ha</w:t>
      </w:r>
      <w:r w:rsidR="00B20B68" w:rsidRPr="003B44DB">
        <w:rPr>
          <w:vertAlign w:val="superscript"/>
        </w:rPr>
        <w:t>-1</w:t>
      </w:r>
      <w:r w:rsidR="00B20B68" w:rsidRPr="00843A68">
        <w:t>) + FeSO</w:t>
      </w:r>
      <w:r w:rsidR="00B20B68" w:rsidRPr="003B44DB">
        <w:rPr>
          <w:vertAlign w:val="subscript"/>
        </w:rPr>
        <w:t>4</w:t>
      </w:r>
      <w:r w:rsidR="00B20B68" w:rsidRPr="00843A68">
        <w:t xml:space="preserve"> @ 10 kg ha</w:t>
      </w:r>
      <w:r w:rsidR="00B20B68" w:rsidRPr="003B44DB">
        <w:rPr>
          <w:vertAlign w:val="superscript"/>
        </w:rPr>
        <w:t>-1</w:t>
      </w:r>
      <w:r w:rsidR="00B20B68" w:rsidRPr="00843A68">
        <w:t xml:space="preserve"> +ZnSO</w:t>
      </w:r>
      <w:r w:rsidR="00B20B68" w:rsidRPr="003B44DB">
        <w:rPr>
          <w:vertAlign w:val="subscript"/>
        </w:rPr>
        <w:t>4</w:t>
      </w:r>
      <w:r w:rsidR="00B20B68" w:rsidRPr="00843A68">
        <w:t>@ 10 kg ha</w:t>
      </w:r>
      <w:r w:rsidR="00B20B68" w:rsidRPr="003B44DB">
        <w:rPr>
          <w:vertAlign w:val="superscript"/>
        </w:rPr>
        <w:t>-1</w:t>
      </w:r>
      <w:r w:rsidR="00B20B68" w:rsidRPr="00843A68">
        <w:t xml:space="preserve"> +Borax @ 10 kg ha</w:t>
      </w:r>
      <w:r w:rsidR="00B20B68" w:rsidRPr="003B44DB">
        <w:rPr>
          <w:vertAlign w:val="superscript"/>
        </w:rPr>
        <w:t>-1</w:t>
      </w:r>
      <w:r w:rsidR="00B20B68" w:rsidRPr="00843A68">
        <w:t xml:space="preserve"> + Sodium molybdate @ 1.0 g kg</w:t>
      </w:r>
      <w:r w:rsidR="00B20B68" w:rsidRPr="003B44DB">
        <w:rPr>
          <w:vertAlign w:val="superscript"/>
        </w:rPr>
        <w:t>-1</w:t>
      </w:r>
      <w:r w:rsidR="00B20B68" w:rsidRPr="00843A68">
        <w:t xml:space="preserve"> seeds, found optimum for higher productivity of chickpea in vertisols</w:t>
      </w:r>
      <w:r w:rsidR="000869ED" w:rsidRPr="00843A68">
        <w:t>.</w:t>
      </w:r>
    </w:p>
    <w:p w:rsidR="000A2A20" w:rsidRPr="000A2A20" w:rsidRDefault="000A2A20" w:rsidP="000A2A20">
      <w:pPr>
        <w:pStyle w:val="BodyText"/>
        <w:spacing w:before="240" w:after="240" w:line="384" w:lineRule="auto"/>
        <w:jc w:val="both"/>
        <w:rPr>
          <w:highlight w:val="yellow"/>
        </w:rPr>
      </w:pPr>
      <w:r w:rsidRPr="000A2A20">
        <w:rPr>
          <w:highlight w:val="yellow"/>
        </w:rPr>
        <w:t>Suggested Revised Abstract:</w:t>
      </w:r>
    </w:p>
    <w:p w:rsidR="000A2A20" w:rsidRPr="00843A68" w:rsidRDefault="000A2A20" w:rsidP="000A2A20">
      <w:pPr>
        <w:pStyle w:val="BodyText"/>
        <w:spacing w:before="240" w:after="240" w:line="384" w:lineRule="auto"/>
        <w:jc w:val="both"/>
      </w:pPr>
      <w:r w:rsidRPr="000A2A20">
        <w:rPr>
          <w:highlight w:val="yellow"/>
        </w:rPr>
        <w:t xml:space="preserve">Chickpea productivity in vertisols is often constrained by nutrient deficiencies. Integrated nutrient management is a key strategy to address this limitation. A field experiment was conducted during the Rabi 2020-21 season to evaluate the effects of combining a recommended fertilizer dose (RDF) with biofertilizers (Rhizobium + PSB) and </w:t>
      </w:r>
      <w:r w:rsidRPr="000A2A20">
        <w:rPr>
          <w:highlight w:val="yellow"/>
        </w:rPr>
        <w:lastRenderedPageBreak/>
        <w:t>micronutrients (Fe, Zn, B, Mo) on chickpea performance. The experiment was laid out in a randomized complete block design with nine treatments. Results showed that the integrated application of RDF, biofertilizers, and all four micronutrients (T8) significantly outperformed all other treatments. Specifically, this combination increased grain yield by 46% (1591 kg ha⁻¹) compared to RDF alone (1088 kg ha⁻¹) and also produced the highest dry matter accumulation and seed protein content. Conversely, nutrient concentrations in the seed and straw were not significantly affected by the treatments. These findings demonstrate that a synergistic, integrated nutrient strategy is essential for maximizing chickpea yield and quality in these soils, highlighting that the combined application is superior to applying these inputs individually.</w:t>
      </w:r>
    </w:p>
    <w:p w:rsidR="0035256F" w:rsidRPr="00843A68" w:rsidRDefault="0035256F" w:rsidP="0035256F">
      <w:pPr>
        <w:rPr>
          <w:rFonts w:ascii="Times New Roman" w:hAnsi="Times New Roman"/>
          <w:sz w:val="24"/>
        </w:rPr>
      </w:pPr>
      <w:r w:rsidRPr="00843A68">
        <w:rPr>
          <w:rFonts w:ascii="Times New Roman" w:hAnsi="Times New Roman"/>
          <w:b/>
          <w:sz w:val="24"/>
        </w:rPr>
        <w:t xml:space="preserve">Key words: </w:t>
      </w:r>
      <w:r w:rsidR="00865166" w:rsidRPr="00843A68">
        <w:rPr>
          <w:rFonts w:ascii="Times New Roman" w:hAnsi="Times New Roman"/>
        </w:rPr>
        <w:t xml:space="preserve">Borax, Chickpea, </w:t>
      </w:r>
      <w:r w:rsidR="00117718" w:rsidRPr="00843A68">
        <w:rPr>
          <w:rFonts w:ascii="Times New Roman" w:hAnsi="Times New Roman"/>
        </w:rPr>
        <w:t>Ferrous Sulphate</w:t>
      </w:r>
      <w:r w:rsidR="00E44F38">
        <w:rPr>
          <w:rFonts w:ascii="Times New Roman" w:hAnsi="Times New Roman"/>
        </w:rPr>
        <w:t>,</w:t>
      </w:r>
      <w:r w:rsidR="00117718" w:rsidRPr="00843A68">
        <w:rPr>
          <w:rFonts w:ascii="Times New Roman" w:hAnsi="Times New Roman"/>
        </w:rPr>
        <w:t xml:space="preserve"> PSB (Phosphorous Solubilising Bacteria), Sodium molybdate an</w:t>
      </w:r>
      <w:r w:rsidR="00E44F38">
        <w:rPr>
          <w:rFonts w:ascii="Times New Roman" w:hAnsi="Times New Roman"/>
        </w:rPr>
        <w:t>d</w:t>
      </w:r>
      <w:r w:rsidR="00117718" w:rsidRPr="00843A68">
        <w:rPr>
          <w:rFonts w:ascii="Times New Roman" w:hAnsi="Times New Roman"/>
        </w:rPr>
        <w:t xml:space="preserve"> Zinc</w:t>
      </w:r>
    </w:p>
    <w:p w:rsidR="0035256F" w:rsidRDefault="00493D51" w:rsidP="00655571">
      <w:pPr>
        <w:pStyle w:val="BodyText"/>
        <w:spacing w:before="2"/>
        <w:rPr>
          <w:sz w:val="13"/>
        </w:rPr>
      </w:pPr>
      <w:r w:rsidRPr="00493D51">
        <w:rPr>
          <w:noProof/>
        </w:rPr>
        <w:pict>
          <v:line id=" 15" o:spid="_x0000_s1027" style="position:absolute;z-index:-251654144;visibility:visible;mso-wrap-distance-left:0;mso-wrap-distance-right:0;mso-position-horizontal-relative:page" from="54.95pt,11.25pt" to="546.65pt,11.25pt">
            <o:lock v:ext="edit" shapetype="f"/>
            <w10:wrap type="topAndBottom" anchorx="page"/>
          </v:line>
        </w:pict>
      </w:r>
    </w:p>
    <w:p w:rsidR="00655571" w:rsidRDefault="00655571" w:rsidP="00655571">
      <w:pPr>
        <w:pStyle w:val="BodyText"/>
        <w:spacing w:before="2"/>
        <w:rPr>
          <w:sz w:val="13"/>
        </w:rPr>
      </w:pPr>
    </w:p>
    <w:p w:rsidR="00655571" w:rsidRDefault="00655571" w:rsidP="00655571">
      <w:pPr>
        <w:pStyle w:val="BodyText"/>
        <w:spacing w:before="2"/>
        <w:rPr>
          <w:sz w:val="13"/>
        </w:rPr>
      </w:pPr>
    </w:p>
    <w:p w:rsidR="00655571" w:rsidRPr="00655571" w:rsidRDefault="00655571" w:rsidP="00655571">
      <w:pPr>
        <w:pStyle w:val="BodyText"/>
        <w:spacing w:before="2"/>
        <w:rPr>
          <w:sz w:val="13"/>
        </w:rPr>
        <w:sectPr w:rsidR="00655571" w:rsidRPr="00655571" w:rsidSect="00B865AE">
          <w:headerReference w:type="even" r:id="rId7"/>
          <w:headerReference w:type="default" r:id="rId8"/>
          <w:footerReference w:type="even" r:id="rId9"/>
          <w:footerReference w:type="default" r:id="rId10"/>
          <w:headerReference w:type="first" r:id="rId11"/>
          <w:footerReference w:type="first" r:id="rId12"/>
          <w:pgSz w:w="11910" w:h="16840" w:code="9"/>
          <w:pgMar w:top="1440" w:right="1440" w:bottom="1440" w:left="1440" w:header="720" w:footer="720" w:gutter="0"/>
          <w:cols w:space="720"/>
          <w:docGrid w:linePitch="299"/>
        </w:sectPr>
      </w:pPr>
    </w:p>
    <w:p w:rsidR="0035256F" w:rsidRPr="00843A68" w:rsidRDefault="0035256F" w:rsidP="0035256F">
      <w:pPr>
        <w:pStyle w:val="Heading2"/>
        <w:spacing w:before="79"/>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lastRenderedPageBreak/>
        <w:t>INTRODUCTION</w:t>
      </w:r>
    </w:p>
    <w:p w:rsidR="003474EB" w:rsidRPr="00843A68" w:rsidRDefault="003474EB" w:rsidP="003474EB">
      <w:pPr>
        <w:spacing w:before="200" w:line="355" w:lineRule="auto"/>
        <w:ind w:firstLine="720"/>
        <w:jc w:val="both"/>
        <w:rPr>
          <w:rFonts w:ascii="Times New Roman" w:eastAsia="Calibri" w:hAnsi="Times New Roman"/>
          <w:sz w:val="24"/>
          <w:szCs w:val="24"/>
          <w:lang w:val="en-IN"/>
        </w:rPr>
      </w:pPr>
      <w:r w:rsidRPr="00843A68">
        <w:rPr>
          <w:rFonts w:ascii="Times New Roman" w:eastAsia="Calibri" w:hAnsi="Times New Roman"/>
          <w:sz w:val="24"/>
          <w:szCs w:val="24"/>
          <w:lang w:val="en-IN"/>
        </w:rPr>
        <w:t xml:space="preserve">Pulses are known for their biological nitrogen fixation and 80 per cent of their area is under rainfed situation. Due to their profuse and ramified deep root system, pulses are resistant to drought and very well </w:t>
      </w:r>
      <w:r w:rsidR="00E44F38">
        <w:rPr>
          <w:rFonts w:ascii="Times New Roman" w:eastAsia="Calibri" w:hAnsi="Times New Roman"/>
          <w:sz w:val="24"/>
          <w:szCs w:val="24"/>
          <w:lang w:val="en-IN"/>
        </w:rPr>
        <w:t>adopted to climatic vagaries. T</w:t>
      </w:r>
      <w:r w:rsidRPr="00843A68">
        <w:rPr>
          <w:rFonts w:ascii="Times New Roman" w:eastAsia="Calibri" w:hAnsi="Times New Roman"/>
          <w:sz w:val="24"/>
          <w:szCs w:val="24"/>
          <w:lang w:val="en-IN"/>
        </w:rPr>
        <w:t xml:space="preserve">hey have greater nitrogen fixing capacity with </w:t>
      </w:r>
      <w:r w:rsidRPr="00843A68">
        <w:rPr>
          <w:rFonts w:ascii="Times New Roman" w:eastAsia="Calibri" w:hAnsi="Times New Roman"/>
          <w:i/>
          <w:sz w:val="24"/>
          <w:szCs w:val="24"/>
          <w:lang w:val="en-IN"/>
        </w:rPr>
        <w:t>Rhizobium</w:t>
      </w:r>
      <w:r w:rsidRPr="00843A68">
        <w:rPr>
          <w:rFonts w:ascii="Times New Roman" w:eastAsia="Calibri" w:hAnsi="Times New Roman"/>
          <w:sz w:val="24"/>
          <w:szCs w:val="24"/>
          <w:lang w:val="en-IN"/>
        </w:rPr>
        <w:t xml:space="preserve"> bacteria, which is a unique feature contributing to higher agricultural production and to maintain soil health.</w:t>
      </w:r>
    </w:p>
    <w:p w:rsidR="00AE2619" w:rsidRPr="00843A68" w:rsidRDefault="003474EB" w:rsidP="003474EB">
      <w:pPr>
        <w:spacing w:before="200" w:line="355" w:lineRule="auto"/>
        <w:ind w:firstLine="720"/>
        <w:jc w:val="both"/>
        <w:rPr>
          <w:rFonts w:ascii="Times New Roman" w:hAnsi="Times New Roman"/>
          <w:sz w:val="24"/>
          <w:szCs w:val="24"/>
        </w:rPr>
      </w:pPr>
      <w:r w:rsidRPr="00843A68">
        <w:rPr>
          <w:rFonts w:ascii="Times New Roman" w:hAnsi="Times New Roman"/>
          <w:sz w:val="24"/>
          <w:szCs w:val="24"/>
        </w:rPr>
        <w:t>Chickpea (</w:t>
      </w:r>
      <w:r w:rsidRPr="00843A68">
        <w:rPr>
          <w:rFonts w:ascii="Times New Roman" w:hAnsi="Times New Roman"/>
          <w:i/>
          <w:sz w:val="24"/>
          <w:szCs w:val="24"/>
        </w:rPr>
        <w:t xml:space="preserve">Cicer arietinum </w:t>
      </w:r>
      <w:r w:rsidRPr="00843A68">
        <w:rPr>
          <w:rFonts w:ascii="Times New Roman" w:hAnsi="Times New Roman"/>
          <w:sz w:val="24"/>
          <w:szCs w:val="24"/>
        </w:rPr>
        <w:t>L.) is the third most vital food legume belongs to family Fabaceae.</w:t>
      </w:r>
      <w:r w:rsidR="00E44F38">
        <w:rPr>
          <w:rFonts w:ascii="Times New Roman" w:hAnsi="Times New Roman"/>
          <w:sz w:val="24"/>
          <w:szCs w:val="24"/>
        </w:rPr>
        <w:t xml:space="preserve"> It is m</w:t>
      </w:r>
      <w:r w:rsidRPr="00843A68">
        <w:rPr>
          <w:rFonts w:ascii="Times New Roman" w:hAnsi="Times New Roman"/>
          <w:sz w:val="24"/>
          <w:szCs w:val="24"/>
        </w:rPr>
        <w:t xml:space="preserve">ost frequently grown in the world's semi-arid regions and has a well-branched tap root that grows deep in the soil profile with moisture retained to support growth. </w:t>
      </w:r>
    </w:p>
    <w:p w:rsidR="00E63D34" w:rsidRPr="00E44F38" w:rsidRDefault="00E63D34" w:rsidP="00E44F38">
      <w:pPr>
        <w:pStyle w:val="ListParagraph"/>
        <w:spacing w:before="240" w:after="240" w:line="360" w:lineRule="auto"/>
        <w:ind w:left="0" w:right="-47" w:firstLine="720"/>
        <w:rPr>
          <w:b/>
          <w:sz w:val="24"/>
        </w:rPr>
      </w:pPr>
      <w:r w:rsidRPr="00E44F38">
        <w:rPr>
          <w:sz w:val="24"/>
        </w:rPr>
        <w:t>Among the micronutrients, boron</w:t>
      </w:r>
      <w:r w:rsidR="003B44DB">
        <w:rPr>
          <w:sz w:val="24"/>
        </w:rPr>
        <w:t xml:space="preserve"> (B)</w:t>
      </w:r>
      <w:r w:rsidRPr="00E44F38">
        <w:rPr>
          <w:sz w:val="24"/>
        </w:rPr>
        <w:t xml:space="preserve"> and molybdenum</w:t>
      </w:r>
      <w:r w:rsidR="003B44DB">
        <w:rPr>
          <w:sz w:val="24"/>
        </w:rPr>
        <w:t xml:space="preserve"> (Mo)</w:t>
      </w:r>
      <w:r w:rsidRPr="00E44F38">
        <w:rPr>
          <w:sz w:val="24"/>
        </w:rPr>
        <w:t xml:space="preserve"> play most important role in legumes</w:t>
      </w:r>
      <w:r w:rsidR="003B44DB">
        <w:rPr>
          <w:sz w:val="24"/>
        </w:rPr>
        <w:t xml:space="preserve"> growth</w:t>
      </w:r>
      <w:r w:rsidRPr="00E44F38">
        <w:rPr>
          <w:sz w:val="24"/>
        </w:rPr>
        <w:t>. Application of micronutrients through soil, foliage or seed treatment enhances the biochemical activities of plants, thereby enhancing the physiological process of plants resulting in the higher crop yields (Movalia</w:t>
      </w:r>
      <w:r w:rsidRPr="00E44F38">
        <w:rPr>
          <w:i/>
          <w:iCs/>
          <w:sz w:val="24"/>
        </w:rPr>
        <w:t>et al</w:t>
      </w:r>
      <w:r w:rsidRPr="00E44F38">
        <w:rPr>
          <w:i/>
          <w:sz w:val="24"/>
        </w:rPr>
        <w:t xml:space="preserve">. </w:t>
      </w:r>
      <w:r w:rsidRPr="00E44F38">
        <w:rPr>
          <w:sz w:val="24"/>
        </w:rPr>
        <w:t>2020).</w:t>
      </w:r>
    </w:p>
    <w:p w:rsidR="002959A6" w:rsidRPr="00843A68" w:rsidRDefault="003B44DB" w:rsidP="002959A6">
      <w:pPr>
        <w:autoSpaceDE w:val="0"/>
        <w:autoSpaceDN w:val="0"/>
        <w:adjustRightInd w:val="0"/>
        <w:spacing w:before="240" w:after="240" w:line="360" w:lineRule="auto"/>
        <w:jc w:val="both"/>
        <w:rPr>
          <w:rFonts w:ascii="Times New Roman" w:hAnsi="Times New Roman"/>
          <w:sz w:val="24"/>
          <w:szCs w:val="24"/>
        </w:rPr>
      </w:pPr>
      <w:r>
        <w:rPr>
          <w:rFonts w:ascii="Times New Roman" w:hAnsi="Times New Roman"/>
          <w:sz w:val="24"/>
          <w:szCs w:val="24"/>
        </w:rPr>
        <w:tab/>
      </w:r>
      <w:r w:rsidR="0059548B" w:rsidRPr="00843A68">
        <w:rPr>
          <w:rFonts w:ascii="Times New Roman" w:hAnsi="Times New Roman"/>
          <w:sz w:val="24"/>
          <w:szCs w:val="24"/>
        </w:rPr>
        <w:t>Iron</w:t>
      </w:r>
      <w:r w:rsidR="0037185C">
        <w:rPr>
          <w:rFonts w:ascii="Times New Roman" w:hAnsi="Times New Roman"/>
          <w:sz w:val="24"/>
          <w:szCs w:val="24"/>
        </w:rPr>
        <w:t xml:space="preserve"> (F</w:t>
      </w:r>
      <w:r w:rsidR="0037185C" w:rsidRPr="00843A68">
        <w:rPr>
          <w:rFonts w:ascii="Times New Roman" w:hAnsi="Times New Roman"/>
          <w:sz w:val="24"/>
          <w:szCs w:val="24"/>
        </w:rPr>
        <w:t>e</w:t>
      </w:r>
      <w:r w:rsidR="0037185C">
        <w:rPr>
          <w:rFonts w:ascii="Times New Roman" w:hAnsi="Times New Roman"/>
          <w:sz w:val="24"/>
          <w:szCs w:val="24"/>
        </w:rPr>
        <w:t>)</w:t>
      </w:r>
      <w:r w:rsidR="0059548B" w:rsidRPr="00843A68">
        <w:rPr>
          <w:rFonts w:ascii="Times New Roman" w:hAnsi="Times New Roman"/>
          <w:sz w:val="24"/>
          <w:szCs w:val="24"/>
        </w:rPr>
        <w:t xml:space="preserve"> plays a crucial role in redox system in cell and various enzymes. Dicotyledonous and gramineaceous plants have different strategies to acquire iron</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(Marschner and Marschner’s, 2012). Chickpea genotypes vary in their sensitivity to iron</w:t>
      </w:r>
      <w:r w:rsidR="0037185C">
        <w:rPr>
          <w:rFonts w:ascii="Times New Roman" w:hAnsi="Times New Roman"/>
          <w:sz w:val="24"/>
          <w:szCs w:val="24"/>
        </w:rPr>
        <w:t>F</w:t>
      </w:r>
      <w:r w:rsidR="0037185C" w:rsidRPr="00843A68">
        <w:rPr>
          <w:rFonts w:ascii="Times New Roman" w:hAnsi="Times New Roman"/>
          <w:sz w:val="24"/>
          <w:szCs w:val="24"/>
        </w:rPr>
        <w:t>e</w:t>
      </w:r>
      <w:r w:rsidR="0059548B" w:rsidRPr="00843A68">
        <w:rPr>
          <w:rFonts w:ascii="Times New Roman" w:hAnsi="Times New Roman"/>
          <w:sz w:val="24"/>
          <w:szCs w:val="24"/>
        </w:rPr>
        <w:t xml:space="preserve"> deficiency.</w:t>
      </w:r>
      <w:r>
        <w:rPr>
          <w:sz w:val="24"/>
        </w:rPr>
        <w:t>B</w:t>
      </w:r>
      <w:r w:rsidR="002959A6" w:rsidRPr="00843A68">
        <w:rPr>
          <w:rFonts w:ascii="Times New Roman" w:hAnsi="Times New Roman"/>
          <w:sz w:val="24"/>
          <w:szCs w:val="24"/>
        </w:rPr>
        <w:t xml:space="preserve"> is trace element that can be applied in soil as well as foliar.</w:t>
      </w:r>
      <w:r>
        <w:rPr>
          <w:rFonts w:ascii="Times New Roman" w:hAnsi="Times New Roman"/>
          <w:sz w:val="24"/>
          <w:szCs w:val="24"/>
        </w:rPr>
        <w:t xml:space="preserve"> Wh</w:t>
      </w:r>
      <w:r w:rsidRPr="00843A68">
        <w:rPr>
          <w:rFonts w:ascii="Times New Roman" w:hAnsi="Times New Roman"/>
          <w:sz w:val="24"/>
          <w:szCs w:val="24"/>
        </w:rPr>
        <w:t>e</w:t>
      </w:r>
      <w:r>
        <w:rPr>
          <w:rFonts w:ascii="Times New Roman" w:hAnsi="Times New Roman"/>
          <w:sz w:val="24"/>
          <w:szCs w:val="24"/>
        </w:rPr>
        <w:t>n</w:t>
      </w:r>
      <w:r w:rsidRPr="00F144AE">
        <w:rPr>
          <w:rFonts w:ascii="Times New Roman" w:hAnsi="Times New Roman"/>
          <w:sz w:val="24"/>
        </w:rPr>
        <w:t>B</w:t>
      </w:r>
      <w:r w:rsidR="002959A6" w:rsidRPr="00843A68">
        <w:rPr>
          <w:rFonts w:ascii="Times New Roman" w:hAnsi="Times New Roman"/>
          <w:sz w:val="24"/>
          <w:szCs w:val="24"/>
        </w:rPr>
        <w:t xml:space="preserve"> applied as </w:t>
      </w:r>
      <w:r>
        <w:rPr>
          <w:rFonts w:ascii="Times New Roman" w:hAnsi="Times New Roman"/>
          <w:sz w:val="24"/>
          <w:szCs w:val="24"/>
        </w:rPr>
        <w:t>H</w:t>
      </w:r>
      <w:r w:rsidRPr="003B44DB">
        <w:rPr>
          <w:rFonts w:ascii="Times New Roman" w:hAnsi="Times New Roman"/>
          <w:sz w:val="24"/>
          <w:szCs w:val="24"/>
          <w:vertAlign w:val="subscript"/>
        </w:rPr>
        <w:t>3</w:t>
      </w:r>
      <w:r>
        <w:rPr>
          <w:rFonts w:ascii="Times New Roman" w:hAnsi="Times New Roman"/>
          <w:sz w:val="24"/>
          <w:szCs w:val="24"/>
        </w:rPr>
        <w:t>BO</w:t>
      </w:r>
      <w:r w:rsidRPr="003B44DB">
        <w:rPr>
          <w:rFonts w:ascii="Times New Roman" w:hAnsi="Times New Roman"/>
          <w:sz w:val="24"/>
          <w:szCs w:val="24"/>
          <w:vertAlign w:val="subscript"/>
        </w:rPr>
        <w:t>3</w:t>
      </w:r>
      <w:r w:rsidR="002959A6" w:rsidRPr="00843A68">
        <w:rPr>
          <w:rFonts w:ascii="Times New Roman" w:hAnsi="Times New Roman"/>
          <w:sz w:val="24"/>
          <w:szCs w:val="24"/>
        </w:rPr>
        <w:t xml:space="preserve"> increased the plant</w:t>
      </w:r>
      <w:r w:rsidR="00F144AE">
        <w:rPr>
          <w:rFonts w:ascii="Times New Roman" w:hAnsi="Times New Roman"/>
          <w:sz w:val="24"/>
          <w:szCs w:val="24"/>
        </w:rPr>
        <w:t xml:space="preserve"> height, relative growth rate, n</w:t>
      </w:r>
      <w:r w:rsidR="002959A6" w:rsidRPr="00843A68">
        <w:rPr>
          <w:rFonts w:ascii="Times New Roman" w:hAnsi="Times New Roman"/>
          <w:sz w:val="24"/>
          <w:szCs w:val="24"/>
        </w:rPr>
        <w:t>et assimilation rate and leaf area index.</w:t>
      </w:r>
    </w:p>
    <w:p w:rsidR="002959A6" w:rsidRPr="00843A68" w:rsidRDefault="00E44F38" w:rsidP="002959A6">
      <w:pPr>
        <w:autoSpaceDE w:val="0"/>
        <w:autoSpaceDN w:val="0"/>
        <w:adjustRightInd w:val="0"/>
        <w:spacing w:before="240" w:after="240" w:line="360" w:lineRule="auto"/>
        <w:jc w:val="both"/>
        <w:rPr>
          <w:rFonts w:ascii="Times New Roman" w:hAnsi="Times New Roman"/>
          <w:sz w:val="24"/>
          <w:szCs w:val="24"/>
        </w:rPr>
      </w:pPr>
      <w:r w:rsidRPr="00843A68">
        <w:rPr>
          <w:rFonts w:ascii="Times New Roman" w:hAnsi="Times New Roman"/>
          <w:sz w:val="24"/>
          <w:szCs w:val="24"/>
        </w:rPr>
        <w:t xml:space="preserve">Biofertilizers are cost effective, ecofriendly, and renewable sources of plant nutrition (Khan </w:t>
      </w:r>
      <w:r w:rsidRPr="00843A68">
        <w:rPr>
          <w:rFonts w:ascii="Times New Roman" w:hAnsi="Times New Roman"/>
          <w:i/>
          <w:iCs/>
          <w:sz w:val="24"/>
          <w:szCs w:val="24"/>
        </w:rPr>
        <w:t>et al</w:t>
      </w:r>
      <w:r w:rsidR="00F144AE">
        <w:rPr>
          <w:rFonts w:ascii="Times New Roman" w:hAnsi="Times New Roman"/>
          <w:i/>
          <w:iCs/>
          <w:sz w:val="24"/>
          <w:szCs w:val="24"/>
        </w:rPr>
        <w:t>.</w:t>
      </w:r>
      <w:r w:rsidRPr="00843A68">
        <w:rPr>
          <w:rFonts w:ascii="Times New Roman" w:hAnsi="Times New Roman"/>
          <w:sz w:val="24"/>
          <w:szCs w:val="24"/>
        </w:rPr>
        <w:t xml:space="preserve">, 2007). These are also known as microbial inoculants. There are different types of microbial inoculants. Some important inoculants are </w:t>
      </w:r>
      <w:r w:rsidR="00655571">
        <w:rPr>
          <w:rFonts w:ascii="Times New Roman" w:hAnsi="Times New Roman"/>
          <w:i/>
          <w:sz w:val="24"/>
          <w:szCs w:val="24"/>
        </w:rPr>
        <w:t>R</w:t>
      </w:r>
      <w:r w:rsidRPr="00843A68">
        <w:rPr>
          <w:rFonts w:ascii="Times New Roman" w:hAnsi="Times New Roman"/>
          <w:i/>
          <w:sz w:val="24"/>
          <w:szCs w:val="24"/>
        </w:rPr>
        <w:t>hizobium</w:t>
      </w:r>
      <w:r w:rsidR="00655571">
        <w:rPr>
          <w:rFonts w:ascii="Times New Roman" w:hAnsi="Times New Roman"/>
          <w:sz w:val="24"/>
          <w:szCs w:val="24"/>
        </w:rPr>
        <w:t xml:space="preserve"> inoculants,</w:t>
      </w:r>
      <w:r w:rsidR="00655571" w:rsidRPr="00F144AE">
        <w:rPr>
          <w:rFonts w:ascii="Times New Roman" w:hAnsi="Times New Roman"/>
          <w:i/>
          <w:sz w:val="24"/>
          <w:szCs w:val="24"/>
        </w:rPr>
        <w:t>Azotobacter</w:t>
      </w:r>
      <w:r w:rsidR="00655571">
        <w:rPr>
          <w:rFonts w:ascii="Times New Roman" w:hAnsi="Times New Roman"/>
          <w:sz w:val="24"/>
          <w:szCs w:val="24"/>
        </w:rPr>
        <w:t xml:space="preserve">inoculants, </w:t>
      </w:r>
      <w:r w:rsidR="00655571" w:rsidRPr="00F144AE">
        <w:rPr>
          <w:rFonts w:ascii="Times New Roman" w:hAnsi="Times New Roman"/>
          <w:sz w:val="24"/>
          <w:szCs w:val="24"/>
        </w:rPr>
        <w:t>Arbuscular M</w:t>
      </w:r>
      <w:r w:rsidRPr="00F144AE">
        <w:rPr>
          <w:rFonts w:ascii="Times New Roman" w:hAnsi="Times New Roman"/>
          <w:sz w:val="24"/>
          <w:szCs w:val="24"/>
        </w:rPr>
        <w:t>ycorrhiza</w:t>
      </w:r>
      <w:r w:rsidRPr="00843A68">
        <w:rPr>
          <w:rFonts w:ascii="Times New Roman" w:hAnsi="Times New Roman"/>
          <w:sz w:val="24"/>
          <w:szCs w:val="24"/>
        </w:rPr>
        <w:t xml:space="preserve"> (AM), blue green algae inoculants, azolla, phosphate solubilizing bacterial (PSB) inoculants etc. </w:t>
      </w:r>
      <w:r w:rsidRPr="00843A68">
        <w:rPr>
          <w:rFonts w:ascii="Times New Roman" w:hAnsi="Times New Roman"/>
          <w:i/>
          <w:sz w:val="24"/>
          <w:szCs w:val="24"/>
        </w:rPr>
        <w:t>Rhizobium</w:t>
      </w:r>
      <w:r w:rsidRPr="00843A68">
        <w:rPr>
          <w:rFonts w:ascii="Times New Roman" w:hAnsi="Times New Roman"/>
          <w:sz w:val="24"/>
          <w:szCs w:val="24"/>
        </w:rPr>
        <w:t xml:space="preserve"> inoculants are widely used as biofertilizer to enhance chickpea growth and yield as they fix atmospheric nitrogen symbiotically. They improve soil fertility level by fixing atmospheric nitrogen, solubilizing insoluble soil phosphates and releasing plant growth substances in the soil (Venkatashwarlu, 2008).</w:t>
      </w:r>
    </w:p>
    <w:p w:rsidR="0085673B" w:rsidRDefault="000C318A" w:rsidP="0085673B">
      <w:pPr>
        <w:pStyle w:val="Heading2"/>
        <w:spacing w:before="120"/>
        <w:rPr>
          <w:rFonts w:ascii="Times New Roman" w:hAnsi="Times New Roman" w:cs="Times New Roman"/>
          <w:color w:val="000000" w:themeColor="text1"/>
          <w:sz w:val="24"/>
          <w:szCs w:val="24"/>
        </w:rPr>
      </w:pPr>
      <w:r w:rsidRPr="00843A68">
        <w:rPr>
          <w:rFonts w:ascii="Times New Roman" w:hAnsi="Times New Roman" w:cs="Times New Roman"/>
          <w:color w:val="000000" w:themeColor="text1"/>
          <w:sz w:val="24"/>
          <w:szCs w:val="24"/>
        </w:rPr>
        <w:lastRenderedPageBreak/>
        <w:t>MATERIAL AND METHODS</w:t>
      </w:r>
    </w:p>
    <w:p w:rsidR="00F144AE" w:rsidRPr="00F144AE" w:rsidRDefault="00F144AE" w:rsidP="00F144AE"/>
    <w:p w:rsidR="0073131A" w:rsidRPr="00655571" w:rsidRDefault="0073131A" w:rsidP="00655571">
      <w:pPr>
        <w:spacing w:line="360" w:lineRule="auto"/>
        <w:ind w:firstLine="720"/>
        <w:jc w:val="both"/>
        <w:rPr>
          <w:rFonts w:ascii="Times New Roman" w:hAnsi="Times New Roman"/>
          <w:sz w:val="24"/>
          <w:szCs w:val="24"/>
        </w:rPr>
      </w:pPr>
      <w:r w:rsidRPr="00655571">
        <w:rPr>
          <w:rFonts w:ascii="Times New Roman" w:hAnsi="Times New Roman"/>
          <w:sz w:val="24"/>
          <w:szCs w:val="24"/>
        </w:rPr>
        <w:t xml:space="preserve">A field experiment </w:t>
      </w:r>
      <w:r w:rsidR="00655571">
        <w:rPr>
          <w:rFonts w:ascii="Times New Roman" w:hAnsi="Times New Roman"/>
          <w:sz w:val="24"/>
          <w:szCs w:val="24"/>
        </w:rPr>
        <w:t xml:space="preserve">was conducted </w:t>
      </w:r>
      <w:r w:rsidRPr="00655571">
        <w:rPr>
          <w:rFonts w:ascii="Times New Roman" w:hAnsi="Times New Roman"/>
          <w:sz w:val="24"/>
          <w:szCs w:val="24"/>
        </w:rPr>
        <w:t>to assess the</w:t>
      </w:r>
      <w:r w:rsidR="00655571">
        <w:rPr>
          <w:rFonts w:ascii="Times New Roman" w:hAnsi="Times New Roman"/>
          <w:sz w:val="24"/>
          <w:szCs w:val="24"/>
        </w:rPr>
        <w:t>e</w:t>
      </w:r>
      <w:r w:rsidR="00843A68" w:rsidRPr="00655571">
        <w:rPr>
          <w:rFonts w:ascii="Times New Roman" w:hAnsi="Times New Roman"/>
          <w:sz w:val="24"/>
          <w:szCs w:val="24"/>
        </w:rPr>
        <w:t xml:space="preserve">ffect ofdifferent combinations of micronutrients and biofertilizers on dry matter accumulation, protein content, nutrient </w:t>
      </w:r>
      <w:r w:rsidR="00843A68" w:rsidRPr="007300E6">
        <w:rPr>
          <w:rFonts w:ascii="Times New Roman" w:hAnsi="Times New Roman"/>
          <w:sz w:val="24"/>
          <w:szCs w:val="24"/>
        </w:rPr>
        <w:t xml:space="preserve">content </w:t>
      </w:r>
      <w:r w:rsidR="007300E6" w:rsidRPr="007300E6">
        <w:rPr>
          <w:rFonts w:ascii="Times New Roman" w:hAnsi="Times New Roman"/>
          <w:sz w:val="24"/>
          <w:szCs w:val="24"/>
        </w:rPr>
        <w:t xml:space="preserve">and yieldin Chickpea </w:t>
      </w:r>
      <w:r w:rsidR="00843A68" w:rsidRPr="007300E6">
        <w:rPr>
          <w:rFonts w:ascii="Times New Roman" w:hAnsi="Times New Roman"/>
          <w:sz w:val="24"/>
          <w:szCs w:val="24"/>
        </w:rPr>
        <w:t>in vertisol</w:t>
      </w:r>
      <w:r w:rsidRPr="007300E6">
        <w:rPr>
          <w:rFonts w:ascii="Times New Roman" w:hAnsi="Times New Roman"/>
          <w:sz w:val="24"/>
          <w:szCs w:val="24"/>
        </w:rPr>
        <w:t>under dry</w:t>
      </w:r>
      <w:r w:rsidRPr="00655571">
        <w:rPr>
          <w:rFonts w:ascii="Times New Roman" w:hAnsi="Times New Roman"/>
          <w:sz w:val="24"/>
          <w:szCs w:val="24"/>
        </w:rPr>
        <w:t xml:space="preserve"> land </w:t>
      </w:r>
      <w:r w:rsidR="00655571">
        <w:rPr>
          <w:rFonts w:ascii="Times New Roman" w:hAnsi="Times New Roman"/>
          <w:sz w:val="24"/>
          <w:szCs w:val="24"/>
        </w:rPr>
        <w:t>conditions</w:t>
      </w:r>
      <w:r w:rsidRPr="00655571">
        <w:rPr>
          <w:rFonts w:ascii="Times New Roman" w:hAnsi="Times New Roman"/>
          <w:sz w:val="24"/>
          <w:szCs w:val="24"/>
        </w:rPr>
        <w:t xml:space="preserve"> at College of </w:t>
      </w:r>
      <w:r w:rsidR="00655571">
        <w:rPr>
          <w:rFonts w:ascii="Times New Roman" w:hAnsi="Times New Roman"/>
          <w:sz w:val="24"/>
          <w:szCs w:val="24"/>
        </w:rPr>
        <w:t xml:space="preserve">Agriculture, Vijayapuraduring </w:t>
      </w:r>
      <w:r w:rsidR="00655571" w:rsidRPr="00655571">
        <w:rPr>
          <w:rFonts w:ascii="Times New Roman" w:hAnsi="Times New Roman"/>
          <w:i/>
          <w:sz w:val="24"/>
          <w:szCs w:val="24"/>
        </w:rPr>
        <w:t>R</w:t>
      </w:r>
      <w:r w:rsidRPr="00655571">
        <w:rPr>
          <w:rFonts w:ascii="Times New Roman" w:hAnsi="Times New Roman"/>
          <w:i/>
          <w:sz w:val="24"/>
          <w:szCs w:val="24"/>
        </w:rPr>
        <w:t>abi</w:t>
      </w:r>
      <w:r w:rsidRPr="00655571">
        <w:rPr>
          <w:rFonts w:ascii="Times New Roman" w:hAnsi="Times New Roman"/>
          <w:sz w:val="24"/>
          <w:szCs w:val="24"/>
        </w:rPr>
        <w:t xml:space="preserve"> 2020-21. Vijayapura is situated in the Northern Dry Zone (Zone-3) of Karnataka. Geographically, it is located in the nort</w:t>
      </w:r>
      <w:r w:rsidR="00E03DAF">
        <w:rPr>
          <w:rFonts w:ascii="Times New Roman" w:hAnsi="Times New Roman"/>
          <w:sz w:val="24"/>
          <w:szCs w:val="24"/>
        </w:rPr>
        <w:t xml:space="preserve">hern part of the state at 16°46’58” </w:t>
      </w:r>
      <w:r w:rsidRPr="00655571">
        <w:rPr>
          <w:rFonts w:ascii="Times New Roman" w:hAnsi="Times New Roman"/>
          <w:sz w:val="24"/>
          <w:szCs w:val="24"/>
        </w:rPr>
        <w:t>N latitud</w:t>
      </w:r>
      <w:r w:rsidR="00E03DAF">
        <w:rPr>
          <w:rFonts w:ascii="Times New Roman" w:hAnsi="Times New Roman"/>
          <w:sz w:val="24"/>
          <w:szCs w:val="24"/>
        </w:rPr>
        <w:t>e and 75°48’46” E</w:t>
      </w:r>
      <w:r w:rsidRPr="00655571">
        <w:rPr>
          <w:rFonts w:ascii="Times New Roman" w:hAnsi="Times New Roman"/>
          <w:sz w:val="24"/>
          <w:szCs w:val="24"/>
        </w:rPr>
        <w:t xml:space="preserve"> longitude and at an altitude of 593.8</w:t>
      </w:r>
      <w:r w:rsidR="00E03DAF">
        <w:rPr>
          <w:rFonts w:ascii="Times New Roman" w:hAnsi="Times New Roman"/>
          <w:sz w:val="24"/>
          <w:szCs w:val="24"/>
        </w:rPr>
        <w:t>0</w:t>
      </w:r>
      <w:r w:rsidRPr="00655571">
        <w:rPr>
          <w:rFonts w:ascii="Times New Roman" w:hAnsi="Times New Roman"/>
          <w:sz w:val="24"/>
          <w:szCs w:val="24"/>
        </w:rPr>
        <w:t xml:space="preserve"> m above the me</w:t>
      </w:r>
      <w:r w:rsidR="00E03DAF">
        <w:rPr>
          <w:rFonts w:ascii="Times New Roman" w:hAnsi="Times New Roman"/>
          <w:sz w:val="24"/>
          <w:szCs w:val="24"/>
        </w:rPr>
        <w:t xml:space="preserve">an sea level. The soil is blackand </w:t>
      </w:r>
      <w:r w:rsidRPr="00655571">
        <w:rPr>
          <w:rFonts w:ascii="Times New Roman" w:hAnsi="Times New Roman"/>
          <w:sz w:val="24"/>
          <w:szCs w:val="24"/>
        </w:rPr>
        <w:t>clayey in texture with 7.2</w:t>
      </w:r>
      <w:r w:rsidR="00A457DF">
        <w:rPr>
          <w:rFonts w:ascii="Times New Roman" w:hAnsi="Times New Roman"/>
          <w:sz w:val="24"/>
          <w:szCs w:val="24"/>
        </w:rPr>
        <w:t>0</w:t>
      </w:r>
      <w:r w:rsidRPr="00655571">
        <w:rPr>
          <w:rFonts w:ascii="Times New Roman" w:hAnsi="Times New Roman"/>
          <w:sz w:val="24"/>
          <w:szCs w:val="24"/>
        </w:rPr>
        <w:t>, 18.3</w:t>
      </w:r>
      <w:r w:rsidR="00A457DF">
        <w:rPr>
          <w:rFonts w:ascii="Times New Roman" w:hAnsi="Times New Roman"/>
          <w:sz w:val="24"/>
          <w:szCs w:val="24"/>
        </w:rPr>
        <w:t>0</w:t>
      </w:r>
      <w:r w:rsidRPr="00655571">
        <w:rPr>
          <w:rFonts w:ascii="Times New Roman" w:hAnsi="Times New Roman"/>
          <w:sz w:val="24"/>
          <w:szCs w:val="24"/>
        </w:rPr>
        <w:t>, 15.3</w:t>
      </w:r>
      <w:r w:rsidR="00A457DF">
        <w:rPr>
          <w:rFonts w:ascii="Times New Roman" w:hAnsi="Times New Roman"/>
          <w:sz w:val="24"/>
          <w:szCs w:val="24"/>
        </w:rPr>
        <w:t>0</w:t>
      </w:r>
      <w:r w:rsidRPr="00655571">
        <w:rPr>
          <w:rFonts w:ascii="Times New Roman" w:hAnsi="Times New Roman"/>
          <w:sz w:val="24"/>
          <w:szCs w:val="24"/>
        </w:rPr>
        <w:t xml:space="preserve"> and 59.2</w:t>
      </w:r>
      <w:r w:rsidR="00A457DF">
        <w:rPr>
          <w:rFonts w:ascii="Times New Roman" w:hAnsi="Times New Roman"/>
          <w:sz w:val="24"/>
          <w:szCs w:val="24"/>
        </w:rPr>
        <w:t>0</w:t>
      </w:r>
      <w:r w:rsidRPr="00655571">
        <w:rPr>
          <w:rFonts w:ascii="Times New Roman" w:hAnsi="Times New Roman"/>
          <w:sz w:val="24"/>
          <w:szCs w:val="24"/>
        </w:rPr>
        <w:t xml:space="preserve"> per cent of coarse sand, fine sand, silt and clay, respectively. The soil pH is estimated by Potentiometric method (Sparks, 1996) and it is alkaline in reaction (pH 8.33) and electrical conductivity of soil is estimated by Conductometric method (Sparks, 1996) and is low in soluble salts (0.38 dS m</w:t>
      </w:r>
      <w:r w:rsidRPr="00E03DAF">
        <w:rPr>
          <w:rFonts w:ascii="Times New Roman" w:hAnsi="Times New Roman"/>
          <w:sz w:val="24"/>
          <w:szCs w:val="24"/>
          <w:vertAlign w:val="superscript"/>
        </w:rPr>
        <w:t>-1</w:t>
      </w:r>
      <w:r w:rsidRPr="00655571">
        <w:rPr>
          <w:rFonts w:ascii="Times New Roman" w:hAnsi="Times New Roman"/>
          <w:sz w:val="24"/>
          <w:szCs w:val="24"/>
        </w:rPr>
        <w:t>). The soil low in organic carbon (3.90 g kg</w:t>
      </w:r>
      <w:r w:rsidR="00E03DAF" w:rsidRPr="00E03DAF">
        <w:rPr>
          <w:rFonts w:ascii="Times New Roman" w:hAnsi="Times New Roman"/>
          <w:sz w:val="24"/>
          <w:szCs w:val="24"/>
          <w:vertAlign w:val="superscript"/>
        </w:rPr>
        <w:t>-1</w:t>
      </w:r>
      <w:r w:rsidR="00E03DAF">
        <w:rPr>
          <w:rFonts w:ascii="Times New Roman" w:hAnsi="Times New Roman"/>
          <w:sz w:val="24"/>
          <w:szCs w:val="24"/>
        </w:rPr>
        <w:t>) and available N (209kg ha</w:t>
      </w:r>
      <w:r w:rsidR="00E03DAF">
        <w:rPr>
          <w:rFonts w:ascii="Times New Roman" w:hAnsi="Times New Roman"/>
          <w:sz w:val="24"/>
          <w:szCs w:val="24"/>
          <w:vertAlign w:val="superscript"/>
        </w:rPr>
        <w:t>-1</w:t>
      </w:r>
      <w:r w:rsidRPr="00655571">
        <w:rPr>
          <w:rFonts w:ascii="Times New Roman" w:hAnsi="Times New Roman"/>
          <w:sz w:val="24"/>
          <w:szCs w:val="24"/>
        </w:rPr>
        <w:t xml:space="preserve">) </w:t>
      </w:r>
      <w:r w:rsidR="00121694">
        <w:rPr>
          <w:rFonts w:ascii="Times New Roman" w:hAnsi="Times New Roman"/>
          <w:sz w:val="24"/>
          <w:szCs w:val="24"/>
        </w:rPr>
        <w:t>and medium in available P (14</w:t>
      </w:r>
      <w:r w:rsidR="00E03DAF">
        <w:rPr>
          <w:rFonts w:ascii="Times New Roman" w:hAnsi="Times New Roman"/>
          <w:sz w:val="24"/>
          <w:szCs w:val="24"/>
        </w:rPr>
        <w:t xml:space="preserve"> kg ha</w:t>
      </w:r>
      <w:r w:rsidR="00E03DAF">
        <w:rPr>
          <w:rFonts w:ascii="Times New Roman" w:hAnsi="Times New Roman"/>
          <w:sz w:val="24"/>
          <w:szCs w:val="24"/>
          <w:vertAlign w:val="superscript"/>
        </w:rPr>
        <w:t>-1</w:t>
      </w:r>
      <w:r w:rsidRPr="00655571">
        <w:rPr>
          <w:rFonts w:ascii="Times New Roman" w:hAnsi="Times New Roman"/>
          <w:sz w:val="24"/>
          <w:szCs w:val="24"/>
        </w:rPr>
        <w:t>), while it was high in available K</w:t>
      </w:r>
      <w:r w:rsidR="00E03DAF">
        <w:rPr>
          <w:rFonts w:ascii="Times New Roman" w:hAnsi="Times New Roman"/>
          <w:sz w:val="24"/>
          <w:szCs w:val="24"/>
        </w:rPr>
        <w:t xml:space="preserve"> (340 kg ha</w:t>
      </w:r>
      <w:r w:rsidR="00E03DAF">
        <w:rPr>
          <w:rFonts w:ascii="Times New Roman" w:hAnsi="Times New Roman"/>
          <w:sz w:val="24"/>
          <w:szCs w:val="24"/>
          <w:vertAlign w:val="superscript"/>
        </w:rPr>
        <w:t>-1</w:t>
      </w:r>
      <w:r w:rsidR="00E03DAF">
        <w:rPr>
          <w:rFonts w:ascii="Times New Roman" w:hAnsi="Times New Roman"/>
          <w:sz w:val="24"/>
          <w:szCs w:val="24"/>
        </w:rPr>
        <w:t>) and sulphur (14 kg ha</w:t>
      </w:r>
      <w:r w:rsidR="00E03DAF">
        <w:rPr>
          <w:rFonts w:ascii="Times New Roman" w:hAnsi="Times New Roman"/>
          <w:sz w:val="24"/>
          <w:szCs w:val="24"/>
          <w:vertAlign w:val="superscript"/>
        </w:rPr>
        <w:t xml:space="preserve">-1 </w:t>
      </w:r>
      <w:r w:rsidRPr="00655571">
        <w:rPr>
          <w:rFonts w:ascii="Times New Roman" w:hAnsi="Times New Roman"/>
          <w:sz w:val="24"/>
          <w:szCs w:val="24"/>
        </w:rPr>
        <w:t>). The free calcium carbonate content was 13.4</w:t>
      </w:r>
      <w:r w:rsidR="00E03DAF">
        <w:rPr>
          <w:rFonts w:ascii="Times New Roman" w:hAnsi="Times New Roman"/>
          <w:sz w:val="24"/>
          <w:szCs w:val="24"/>
        </w:rPr>
        <w:t>0</w:t>
      </w:r>
      <w:r w:rsidR="00812161">
        <w:rPr>
          <w:rFonts w:ascii="Times New Roman" w:hAnsi="Times New Roman"/>
          <w:sz w:val="24"/>
          <w:szCs w:val="24"/>
        </w:rPr>
        <w:t>me</w:t>
      </w:r>
      <w:r w:rsidR="00E03DAF">
        <w:rPr>
          <w:rFonts w:ascii="Times New Roman" w:hAnsi="Times New Roman"/>
          <w:sz w:val="24"/>
          <w:szCs w:val="24"/>
        </w:rPr>
        <w:t>q 100 g</w:t>
      </w:r>
      <w:r w:rsidR="00E03DAF">
        <w:rPr>
          <w:rFonts w:ascii="Times New Roman" w:hAnsi="Times New Roman"/>
          <w:sz w:val="24"/>
          <w:szCs w:val="24"/>
          <w:vertAlign w:val="superscript"/>
        </w:rPr>
        <w:t>-1</w:t>
      </w:r>
      <w:r w:rsidRPr="00655571">
        <w:rPr>
          <w:rFonts w:ascii="Times New Roman" w:hAnsi="Times New Roman"/>
          <w:sz w:val="24"/>
          <w:szCs w:val="24"/>
        </w:rPr>
        <w:t>. The DTPA extractable micronutrient content viz., zinc, iron, copper and manganese was 0.2, 1.6, 0.6 and 6.1 mg kg</w:t>
      </w:r>
      <w:r w:rsidRPr="00A457DF">
        <w:rPr>
          <w:rFonts w:ascii="Times New Roman" w:hAnsi="Times New Roman"/>
          <w:sz w:val="24"/>
          <w:szCs w:val="24"/>
          <w:vertAlign w:val="superscript"/>
        </w:rPr>
        <w:t>-1</w:t>
      </w:r>
      <w:r w:rsidRPr="00655571">
        <w:rPr>
          <w:rFonts w:ascii="Times New Roman" w:hAnsi="Times New Roman"/>
          <w:sz w:val="24"/>
          <w:szCs w:val="24"/>
        </w:rPr>
        <w:t xml:space="preserve"> , respectively .The content of Zn and Fe in soil was below the critical limits. The experiment was laid out in randomized complete block design (RCBD) design with nine treatments and three replications. The RDF @10: 25: 0 kg N:</w:t>
      </w:r>
      <w:r w:rsidR="00812161">
        <w:rPr>
          <w:rFonts w:ascii="Times New Roman" w:hAnsi="Times New Roman"/>
          <w:sz w:val="24"/>
          <w:szCs w:val="24"/>
        </w:rPr>
        <w:t xml:space="preserve"> P</w:t>
      </w:r>
      <w:r w:rsidR="00812161" w:rsidRPr="00A457DF">
        <w:rPr>
          <w:rFonts w:ascii="Times New Roman" w:hAnsi="Times New Roman"/>
          <w:sz w:val="24"/>
          <w:szCs w:val="24"/>
          <w:vertAlign w:val="subscript"/>
        </w:rPr>
        <w:t>2</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K</w:t>
      </w:r>
      <w:r w:rsidR="00812161" w:rsidRPr="00A457DF">
        <w:rPr>
          <w:rFonts w:ascii="Times New Roman" w:hAnsi="Times New Roman"/>
          <w:sz w:val="24"/>
          <w:szCs w:val="24"/>
          <w:vertAlign w:val="subscript"/>
        </w:rPr>
        <w:t>2</w:t>
      </w:r>
      <w:r w:rsidR="00812161">
        <w:rPr>
          <w:rFonts w:ascii="Times New Roman" w:hAnsi="Times New Roman"/>
          <w:sz w:val="24"/>
          <w:szCs w:val="24"/>
        </w:rPr>
        <w:t>O ha</w:t>
      </w:r>
      <w:r w:rsidR="00812161">
        <w:rPr>
          <w:rFonts w:ascii="Times New Roman" w:hAnsi="Times New Roman"/>
          <w:sz w:val="24"/>
          <w:szCs w:val="24"/>
          <w:vertAlign w:val="superscript"/>
        </w:rPr>
        <w:t>-1</w:t>
      </w:r>
      <w:r w:rsidRPr="00655571">
        <w:rPr>
          <w:rFonts w:ascii="Times New Roman" w:hAnsi="Times New Roman"/>
          <w:sz w:val="24"/>
          <w:szCs w:val="24"/>
        </w:rPr>
        <w:t xml:space="preserve"> was applied to all the treatments. Iron, zinc and Borax were applied to soil as per treatments through ferrous sulphate (FeSO</w:t>
      </w:r>
      <w:r w:rsidRPr="00A457DF">
        <w:rPr>
          <w:rFonts w:ascii="Times New Roman" w:hAnsi="Times New Roman"/>
          <w:sz w:val="24"/>
          <w:szCs w:val="24"/>
          <w:vertAlign w:val="subscript"/>
        </w:rPr>
        <w:t>4</w:t>
      </w:r>
      <w:r w:rsidRPr="00655571">
        <w:rPr>
          <w:rFonts w:ascii="Times New Roman" w:hAnsi="Times New Roman"/>
          <w:sz w:val="24"/>
          <w:szCs w:val="24"/>
        </w:rPr>
        <w:t xml:space="preserve"> .7H</w:t>
      </w:r>
      <w:r w:rsidRPr="00A457DF">
        <w:rPr>
          <w:rFonts w:ascii="Times New Roman" w:hAnsi="Times New Roman"/>
          <w:sz w:val="24"/>
          <w:szCs w:val="24"/>
          <w:vertAlign w:val="subscript"/>
        </w:rPr>
        <w:t>2</w:t>
      </w:r>
      <w:r w:rsidRPr="00655571">
        <w:rPr>
          <w:rFonts w:ascii="Times New Roman" w:hAnsi="Times New Roman"/>
          <w:sz w:val="24"/>
          <w:szCs w:val="24"/>
        </w:rPr>
        <w:t>O) containing 19 percent Fe and 10.5</w:t>
      </w:r>
      <w:r w:rsidR="00812161">
        <w:rPr>
          <w:rFonts w:ascii="Times New Roman" w:hAnsi="Times New Roman"/>
          <w:sz w:val="24"/>
          <w:szCs w:val="24"/>
        </w:rPr>
        <w:t>0</w:t>
      </w:r>
      <w:r w:rsidRPr="00655571">
        <w:rPr>
          <w:rFonts w:ascii="Times New Roman" w:hAnsi="Times New Roman"/>
          <w:sz w:val="24"/>
          <w:szCs w:val="24"/>
        </w:rPr>
        <w:t xml:space="preserve"> percent S, zinc sulphate (ZnSO</w:t>
      </w:r>
      <w:r w:rsidRPr="00121694">
        <w:rPr>
          <w:rFonts w:ascii="Times New Roman" w:hAnsi="Times New Roman"/>
          <w:sz w:val="24"/>
          <w:szCs w:val="24"/>
          <w:vertAlign w:val="subscript"/>
        </w:rPr>
        <w:t>4</w:t>
      </w:r>
      <w:r w:rsidRPr="00655571">
        <w:rPr>
          <w:rFonts w:ascii="Times New Roman" w:hAnsi="Times New Roman"/>
          <w:sz w:val="24"/>
          <w:szCs w:val="24"/>
        </w:rPr>
        <w:t xml:space="preserve"> .7 H</w:t>
      </w:r>
      <w:r w:rsidRPr="00121694">
        <w:rPr>
          <w:rFonts w:ascii="Times New Roman" w:hAnsi="Times New Roman"/>
          <w:sz w:val="24"/>
          <w:szCs w:val="24"/>
          <w:vertAlign w:val="subscript"/>
        </w:rPr>
        <w:t>2</w:t>
      </w:r>
      <w:r w:rsidRPr="00655571">
        <w:rPr>
          <w:rFonts w:ascii="Times New Roman" w:hAnsi="Times New Roman"/>
          <w:sz w:val="24"/>
          <w:szCs w:val="24"/>
        </w:rPr>
        <w:t xml:space="preserve">O) containing 21 per cent Zn and 10 percent S and, </w:t>
      </w:r>
      <w:r w:rsidR="00A457DF">
        <w:rPr>
          <w:rFonts w:ascii="Times New Roman" w:hAnsi="Times New Roman"/>
          <w:sz w:val="24"/>
          <w:szCs w:val="24"/>
        </w:rPr>
        <w:t xml:space="preserve">B </w:t>
      </w:r>
      <w:r w:rsidRPr="00655571">
        <w:rPr>
          <w:rFonts w:ascii="Times New Roman" w:hAnsi="Times New Roman"/>
          <w:sz w:val="24"/>
          <w:szCs w:val="24"/>
        </w:rPr>
        <w:t>applie</w:t>
      </w:r>
      <w:r w:rsidR="00812161">
        <w:rPr>
          <w:rFonts w:ascii="Times New Roman" w:hAnsi="Times New Roman"/>
          <w:sz w:val="24"/>
          <w:szCs w:val="24"/>
        </w:rPr>
        <w:t xml:space="preserve">d through borax </w:t>
      </w:r>
      <w:r w:rsidR="00A457DF">
        <w:rPr>
          <w:rFonts w:ascii="Times New Roman" w:hAnsi="Times New Roman"/>
          <w:sz w:val="24"/>
          <w:szCs w:val="24"/>
        </w:rPr>
        <w:t>(</w:t>
      </w:r>
      <w:r w:rsidR="00812161">
        <w:rPr>
          <w:rFonts w:ascii="Times New Roman" w:hAnsi="Times New Roman"/>
          <w:sz w:val="24"/>
          <w:szCs w:val="24"/>
        </w:rPr>
        <w:t>Na</w:t>
      </w:r>
      <w:r w:rsidR="00812161" w:rsidRPr="00A457DF">
        <w:rPr>
          <w:rFonts w:ascii="Times New Roman" w:hAnsi="Times New Roman"/>
          <w:sz w:val="24"/>
          <w:szCs w:val="24"/>
          <w:vertAlign w:val="subscript"/>
        </w:rPr>
        <w:t>2</w:t>
      </w:r>
      <w:r w:rsidR="00812161">
        <w:rPr>
          <w:rFonts w:ascii="Times New Roman" w:hAnsi="Times New Roman"/>
          <w:sz w:val="24"/>
          <w:szCs w:val="24"/>
        </w:rPr>
        <w:t>[B</w:t>
      </w:r>
      <w:r w:rsidR="00812161" w:rsidRPr="00A457DF">
        <w:rPr>
          <w:rFonts w:ascii="Times New Roman" w:hAnsi="Times New Roman"/>
          <w:sz w:val="24"/>
          <w:szCs w:val="24"/>
          <w:vertAlign w:val="subscript"/>
        </w:rPr>
        <w:t>4</w:t>
      </w:r>
      <w:r w:rsidR="00812161">
        <w:rPr>
          <w:rFonts w:ascii="Times New Roman" w:hAnsi="Times New Roman"/>
          <w:sz w:val="24"/>
          <w:szCs w:val="24"/>
        </w:rPr>
        <w:t>O</w:t>
      </w:r>
      <w:r w:rsidR="00812161" w:rsidRPr="00A457DF">
        <w:rPr>
          <w:rFonts w:ascii="Times New Roman" w:hAnsi="Times New Roman"/>
          <w:sz w:val="24"/>
          <w:szCs w:val="24"/>
          <w:vertAlign w:val="subscript"/>
        </w:rPr>
        <w:t>5</w:t>
      </w:r>
      <w:r w:rsidR="00812161">
        <w:rPr>
          <w:rFonts w:ascii="Times New Roman" w:hAnsi="Times New Roman"/>
          <w:sz w:val="24"/>
          <w:szCs w:val="24"/>
        </w:rPr>
        <w:t xml:space="preserve"> (OH)</w:t>
      </w:r>
      <w:r w:rsidR="00812161" w:rsidRPr="00A457DF">
        <w:rPr>
          <w:rFonts w:ascii="Times New Roman" w:hAnsi="Times New Roman"/>
          <w:sz w:val="24"/>
          <w:szCs w:val="24"/>
          <w:vertAlign w:val="subscript"/>
        </w:rPr>
        <w:t>4</w:t>
      </w:r>
      <w:r w:rsidRPr="00655571">
        <w:rPr>
          <w:rFonts w:ascii="Times New Roman" w:hAnsi="Times New Roman"/>
          <w:sz w:val="24"/>
          <w:szCs w:val="24"/>
        </w:rPr>
        <w:t>].8H</w:t>
      </w:r>
      <w:r w:rsidRPr="00A457DF">
        <w:rPr>
          <w:rFonts w:ascii="Times New Roman" w:hAnsi="Times New Roman"/>
          <w:sz w:val="24"/>
          <w:szCs w:val="24"/>
          <w:vertAlign w:val="subscript"/>
        </w:rPr>
        <w:t>2</w:t>
      </w:r>
      <w:r w:rsidR="00A457DF">
        <w:rPr>
          <w:rFonts w:ascii="Times New Roman" w:hAnsi="Times New Roman"/>
          <w:sz w:val="24"/>
          <w:szCs w:val="24"/>
        </w:rPr>
        <w:t>O)</w:t>
      </w:r>
      <w:r w:rsidRPr="00655571">
        <w:rPr>
          <w:rFonts w:ascii="Times New Roman" w:hAnsi="Times New Roman"/>
          <w:sz w:val="24"/>
          <w:szCs w:val="24"/>
        </w:rPr>
        <w:t>. Iron sulphate</w:t>
      </w:r>
      <w:r w:rsidR="00A457DF">
        <w:rPr>
          <w:rFonts w:ascii="Times New Roman" w:hAnsi="Times New Roman"/>
          <w:sz w:val="24"/>
          <w:szCs w:val="24"/>
        </w:rPr>
        <w:t>(</w:t>
      </w:r>
      <w:r w:rsidR="00A457DF" w:rsidRPr="00655571">
        <w:rPr>
          <w:rFonts w:ascii="Times New Roman" w:hAnsi="Times New Roman"/>
          <w:sz w:val="24"/>
          <w:szCs w:val="24"/>
        </w:rPr>
        <w:t>FeSO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and zinc sulphate</w:t>
      </w:r>
      <w:r w:rsidR="00A457DF">
        <w:rPr>
          <w:rFonts w:ascii="Times New Roman" w:hAnsi="Times New Roman"/>
          <w:sz w:val="24"/>
          <w:szCs w:val="24"/>
        </w:rPr>
        <w:t xml:space="preserve"> (</w:t>
      </w:r>
      <w:r w:rsidR="00A457DF" w:rsidRPr="00655571">
        <w:rPr>
          <w:rFonts w:ascii="Times New Roman" w:hAnsi="Times New Roman"/>
          <w:sz w:val="24"/>
          <w:szCs w:val="24"/>
        </w:rPr>
        <w:t>ZnSO</w:t>
      </w:r>
      <w:r w:rsidR="00A457DF" w:rsidRPr="00A457DF">
        <w:rPr>
          <w:rFonts w:ascii="Times New Roman" w:hAnsi="Times New Roman"/>
          <w:sz w:val="24"/>
          <w:szCs w:val="24"/>
          <w:vertAlign w:val="subscript"/>
        </w:rPr>
        <w:t>4</w:t>
      </w:r>
      <w:r w:rsidR="00A457DF">
        <w:rPr>
          <w:rFonts w:ascii="Times New Roman" w:hAnsi="Times New Roman"/>
          <w:sz w:val="24"/>
          <w:szCs w:val="24"/>
        </w:rPr>
        <w:t>)</w:t>
      </w:r>
      <w:r w:rsidRPr="00655571">
        <w:rPr>
          <w:rFonts w:ascii="Times New Roman" w:hAnsi="Times New Roman"/>
          <w:sz w:val="24"/>
          <w:szCs w:val="24"/>
        </w:rPr>
        <w:t xml:space="preserve"> were chelated with vermicompost at 1:1 ratio for 15 days before sowing.Rhizobium, phosphate solubilizing bacteria (PSB) and sodium molybdate were seed treated. Treatments included were, T1 : RDF (10: 25: 0 kg N:P</w:t>
      </w:r>
      <w:r w:rsidRPr="00A457DF">
        <w:rPr>
          <w:rFonts w:ascii="Times New Roman" w:hAnsi="Times New Roman"/>
          <w:sz w:val="24"/>
          <w:szCs w:val="24"/>
          <w:vertAlign w:val="subscript"/>
        </w:rPr>
        <w:t>2</w:t>
      </w:r>
      <w:r w:rsidRPr="00655571">
        <w:rPr>
          <w:rFonts w:ascii="Times New Roman" w:hAnsi="Times New Roman"/>
          <w:sz w:val="24"/>
          <w:szCs w:val="24"/>
        </w:rPr>
        <w:t>O</w:t>
      </w:r>
      <w:r w:rsidR="00A457DF" w:rsidRPr="00A457DF">
        <w:rPr>
          <w:rFonts w:ascii="Times New Roman" w:hAnsi="Times New Roman"/>
          <w:sz w:val="24"/>
          <w:szCs w:val="24"/>
          <w:vertAlign w:val="subscript"/>
        </w:rPr>
        <w:t>5</w:t>
      </w:r>
      <w:r w:rsidRPr="00655571">
        <w:rPr>
          <w:rFonts w:ascii="Times New Roman" w:hAnsi="Times New Roman"/>
          <w:sz w:val="24"/>
          <w:szCs w:val="24"/>
        </w:rPr>
        <w:t>: K</w:t>
      </w:r>
      <w:r w:rsidRPr="00A457DF">
        <w:rPr>
          <w:rFonts w:ascii="Times New Roman" w:hAnsi="Times New Roman"/>
          <w:sz w:val="24"/>
          <w:szCs w:val="24"/>
          <w:vertAlign w:val="subscript"/>
        </w:rPr>
        <w:t>2</w:t>
      </w:r>
      <w:r w:rsidRPr="00655571">
        <w:rPr>
          <w:rFonts w:ascii="Times New Roman" w:hAnsi="Times New Roman"/>
          <w:sz w:val="24"/>
          <w:szCs w:val="24"/>
        </w:rPr>
        <w:t>O ha</w:t>
      </w:r>
      <w:r w:rsidRPr="00121694">
        <w:rPr>
          <w:rFonts w:ascii="Times New Roman" w:hAnsi="Times New Roman"/>
          <w:sz w:val="24"/>
          <w:szCs w:val="24"/>
          <w:vertAlign w:val="superscript"/>
        </w:rPr>
        <w:t>-1</w:t>
      </w:r>
      <w:r w:rsidRPr="00655571">
        <w:rPr>
          <w:rFonts w:ascii="Times New Roman" w:hAnsi="Times New Roman"/>
          <w:sz w:val="24"/>
          <w:szCs w:val="24"/>
        </w:rPr>
        <w:t xml:space="preserve"> ), T2 :T1+Rhizobium + PSB (@ 1250 g ha</w:t>
      </w:r>
      <w:r w:rsidRPr="00A457DF">
        <w:rPr>
          <w:rFonts w:ascii="Times New Roman" w:hAnsi="Times New Roman"/>
          <w:sz w:val="24"/>
          <w:szCs w:val="24"/>
          <w:vertAlign w:val="superscript"/>
        </w:rPr>
        <w:t>-1</w:t>
      </w:r>
      <w:r w:rsidRPr="00655571">
        <w:rPr>
          <w:rFonts w:ascii="Times New Roman" w:hAnsi="Times New Roman"/>
          <w:sz w:val="24"/>
          <w:szCs w:val="24"/>
        </w:rPr>
        <w:t xml:space="preserve"> each), T3 : T2 + FeSO4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,T4 : T2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,T5 : T2 + Borax @10 kg ha</w:t>
      </w:r>
      <w:r w:rsidRPr="00A457DF">
        <w:rPr>
          <w:rFonts w:ascii="Times New Roman" w:hAnsi="Times New Roman"/>
          <w:sz w:val="24"/>
          <w:szCs w:val="24"/>
          <w:vertAlign w:val="superscript"/>
        </w:rPr>
        <w:t>-1</w:t>
      </w:r>
      <w:r w:rsidR="00121694">
        <w:rPr>
          <w:rFonts w:ascii="Times New Roman" w:hAnsi="Times New Roman"/>
          <w:sz w:val="24"/>
          <w:szCs w:val="24"/>
        </w:rPr>
        <w:t xml:space="preserve">, </w:t>
      </w:r>
      <w:r w:rsidRPr="00655571">
        <w:rPr>
          <w:rFonts w:ascii="Times New Roman" w:hAnsi="Times New Roman"/>
          <w:sz w:val="24"/>
          <w:szCs w:val="24"/>
        </w:rPr>
        <w:t>T6 : T2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seeds,T7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,T8 : T2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and T9 : FeSO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ZnSO</w:t>
      </w:r>
      <w:r w:rsidRPr="00A457DF">
        <w:rPr>
          <w:rFonts w:ascii="Times New Roman" w:hAnsi="Times New Roman"/>
          <w:sz w:val="24"/>
          <w:szCs w:val="24"/>
          <w:vertAlign w:val="subscript"/>
        </w:rPr>
        <w:t>4</w:t>
      </w:r>
      <w:r w:rsidRPr="00655571">
        <w:rPr>
          <w:rFonts w:ascii="Times New Roman" w:hAnsi="Times New Roman"/>
          <w:sz w:val="24"/>
          <w:szCs w:val="24"/>
        </w:rPr>
        <w:t xml:space="preserve">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Borax @ 10 kg ha</w:t>
      </w:r>
      <w:r w:rsidRPr="00A457DF">
        <w:rPr>
          <w:rFonts w:ascii="Times New Roman" w:hAnsi="Times New Roman"/>
          <w:sz w:val="24"/>
          <w:szCs w:val="24"/>
          <w:vertAlign w:val="superscript"/>
        </w:rPr>
        <w:t>-1</w:t>
      </w:r>
      <w:r w:rsidRPr="00655571">
        <w:rPr>
          <w:rFonts w:ascii="Times New Roman" w:hAnsi="Times New Roman"/>
          <w:sz w:val="24"/>
          <w:szCs w:val="24"/>
        </w:rPr>
        <w:t xml:space="preserve"> + Sodium molybdate @ 1.0 g kg</w:t>
      </w:r>
      <w:r w:rsidRPr="00A457DF">
        <w:rPr>
          <w:rFonts w:ascii="Times New Roman" w:hAnsi="Times New Roman"/>
          <w:sz w:val="24"/>
          <w:szCs w:val="24"/>
          <w:vertAlign w:val="superscript"/>
        </w:rPr>
        <w:t>-1</w:t>
      </w:r>
      <w:r w:rsidRPr="00655571">
        <w:rPr>
          <w:rFonts w:ascii="Times New Roman" w:hAnsi="Times New Roman"/>
          <w:sz w:val="24"/>
          <w:szCs w:val="24"/>
        </w:rPr>
        <w:t xml:space="preserve"> seeds. Recommended dose of nitrogen (10 kg N ha</w:t>
      </w:r>
      <w:r w:rsidRPr="00A457DF">
        <w:rPr>
          <w:rFonts w:ascii="Times New Roman" w:hAnsi="Times New Roman"/>
          <w:sz w:val="24"/>
          <w:szCs w:val="24"/>
          <w:vertAlign w:val="superscript"/>
        </w:rPr>
        <w:t>-1</w:t>
      </w:r>
      <w:r w:rsidRPr="00655571">
        <w:rPr>
          <w:rFonts w:ascii="Times New Roman" w:hAnsi="Times New Roman"/>
          <w:sz w:val="24"/>
          <w:szCs w:val="24"/>
        </w:rPr>
        <w:t>) and phosphorus (25 kg P</w:t>
      </w:r>
      <w:r w:rsidRPr="00A457DF">
        <w:rPr>
          <w:rFonts w:ascii="Times New Roman" w:hAnsi="Times New Roman"/>
          <w:sz w:val="24"/>
          <w:szCs w:val="24"/>
          <w:vertAlign w:val="subscript"/>
        </w:rPr>
        <w:t>2</w:t>
      </w:r>
      <w:r w:rsidRPr="00655571">
        <w:rPr>
          <w:rFonts w:ascii="Times New Roman" w:hAnsi="Times New Roman"/>
          <w:sz w:val="24"/>
          <w:szCs w:val="24"/>
        </w:rPr>
        <w:t>O</w:t>
      </w:r>
      <w:r w:rsidRPr="00A457DF">
        <w:rPr>
          <w:rFonts w:ascii="Times New Roman" w:hAnsi="Times New Roman"/>
          <w:sz w:val="24"/>
          <w:szCs w:val="24"/>
          <w:vertAlign w:val="subscript"/>
        </w:rPr>
        <w:t>5</w:t>
      </w:r>
      <w:r w:rsidRPr="00655571">
        <w:rPr>
          <w:rFonts w:ascii="Times New Roman" w:hAnsi="Times New Roman"/>
          <w:sz w:val="24"/>
          <w:szCs w:val="24"/>
        </w:rPr>
        <w:t xml:space="preserve"> ha</w:t>
      </w:r>
      <w:r w:rsidRPr="00A457DF">
        <w:rPr>
          <w:rFonts w:ascii="Times New Roman" w:hAnsi="Times New Roman"/>
          <w:sz w:val="24"/>
          <w:szCs w:val="24"/>
          <w:vertAlign w:val="superscript"/>
        </w:rPr>
        <w:t>-1</w:t>
      </w:r>
      <w:r w:rsidRPr="00655571">
        <w:rPr>
          <w:rFonts w:ascii="Times New Roman" w:hAnsi="Times New Roman"/>
          <w:sz w:val="24"/>
          <w:szCs w:val="24"/>
        </w:rPr>
        <w:t xml:space="preserve">) was applied through urea and DAP. The entire </w:t>
      </w:r>
      <w:r w:rsidRPr="00655571">
        <w:rPr>
          <w:rFonts w:ascii="Times New Roman" w:hAnsi="Times New Roman"/>
          <w:sz w:val="24"/>
          <w:szCs w:val="24"/>
        </w:rPr>
        <w:lastRenderedPageBreak/>
        <w:t xml:space="preserve">quantity of fertilizer was applied as basal dose. The soil samples after the harvest of the crop were analyzed for various chemical properties as mentioned by Page </w:t>
      </w:r>
      <w:r w:rsidRPr="00121694">
        <w:rPr>
          <w:rFonts w:ascii="Times New Roman" w:hAnsi="Times New Roman"/>
          <w:i/>
          <w:sz w:val="24"/>
          <w:szCs w:val="24"/>
        </w:rPr>
        <w:t>et al.</w:t>
      </w:r>
      <w:r w:rsidRPr="00655571">
        <w:rPr>
          <w:rFonts w:ascii="Times New Roman" w:hAnsi="Times New Roman"/>
          <w:sz w:val="24"/>
          <w:szCs w:val="24"/>
        </w:rPr>
        <w:t xml:space="preserve"> (1982).The data collected from the experiment during the crop growth period was subjected to statistical analysis.</w:t>
      </w:r>
    </w:p>
    <w:p w:rsidR="00E843EE" w:rsidRDefault="00EC51E4" w:rsidP="00E843EE">
      <w:pPr>
        <w:pStyle w:val="Heading2"/>
        <w:spacing w:before="201"/>
        <w:jc w:val="both"/>
        <w:rPr>
          <w:rFonts w:ascii="Times New Roman" w:hAnsi="Times New Roman" w:cs="Times New Roman"/>
          <w:color w:val="000000" w:themeColor="text1"/>
          <w:sz w:val="28"/>
          <w:szCs w:val="28"/>
        </w:rPr>
      </w:pPr>
      <w:r w:rsidRPr="00843A68">
        <w:rPr>
          <w:rFonts w:ascii="Times New Roman" w:hAnsi="Times New Roman" w:cs="Times New Roman"/>
          <w:color w:val="000000" w:themeColor="text1"/>
          <w:sz w:val="28"/>
          <w:szCs w:val="28"/>
        </w:rPr>
        <w:t>RESULTS AND DISCUSSION</w:t>
      </w:r>
    </w:p>
    <w:p w:rsidR="00AE2619" w:rsidRPr="00121694" w:rsidRDefault="00606839" w:rsidP="00E843EE">
      <w:pPr>
        <w:pStyle w:val="Heading2"/>
        <w:spacing w:before="201"/>
        <w:jc w:val="both"/>
        <w:rPr>
          <w:rFonts w:ascii="Times New Roman" w:hAnsi="Times New Roman" w:cs="Times New Roman"/>
          <w:color w:val="000000" w:themeColor="text1"/>
          <w:sz w:val="24"/>
          <w:szCs w:val="24"/>
        </w:rPr>
      </w:pPr>
      <w:r w:rsidRPr="00121694">
        <w:rPr>
          <w:rFonts w:ascii="Times New Roman" w:hAnsi="Times New Roman" w:cs="Times New Roman"/>
          <w:color w:val="000000" w:themeColor="text1"/>
          <w:sz w:val="24"/>
          <w:szCs w:val="24"/>
        </w:rPr>
        <w:t>Influence of micronutrients and biofertilizers on</w:t>
      </w:r>
      <w:r w:rsidR="00AE2619" w:rsidRPr="00121694">
        <w:rPr>
          <w:rFonts w:ascii="Times New Roman" w:hAnsi="Times New Roman" w:cs="Times New Roman"/>
          <w:color w:val="000000" w:themeColor="text1"/>
          <w:sz w:val="24"/>
          <w:szCs w:val="24"/>
        </w:rPr>
        <w:t xml:space="preserve">Total dry matter accumulation (g plant </w:t>
      </w:r>
      <w:r w:rsidR="00AE2619" w:rsidRPr="00121694">
        <w:rPr>
          <w:rFonts w:ascii="Times New Roman" w:hAnsi="Times New Roman" w:cs="Times New Roman"/>
          <w:color w:val="000000" w:themeColor="text1"/>
          <w:sz w:val="24"/>
          <w:szCs w:val="24"/>
          <w:vertAlign w:val="superscript"/>
        </w:rPr>
        <w:t>-1</w:t>
      </w:r>
      <w:r w:rsidR="00AE2619" w:rsidRPr="00121694">
        <w:rPr>
          <w:rFonts w:ascii="Times New Roman" w:hAnsi="Times New Roman" w:cs="Times New Roman"/>
          <w:color w:val="000000" w:themeColor="text1"/>
          <w:sz w:val="24"/>
          <w:szCs w:val="24"/>
        </w:rPr>
        <w:t>)</w:t>
      </w:r>
      <w:r w:rsidR="0004086D" w:rsidRPr="00121694">
        <w:rPr>
          <w:rFonts w:ascii="Times New Roman" w:hAnsi="Times New Roman" w:cs="Times New Roman"/>
          <w:color w:val="000000" w:themeColor="text1"/>
          <w:sz w:val="24"/>
          <w:szCs w:val="24"/>
        </w:rPr>
        <w:t xml:space="preserve"> in chickpea</w:t>
      </w:r>
    </w:p>
    <w:p w:rsidR="00AE2619" w:rsidRPr="00843A68"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total dry matter accumulation in chickpea at different stages as influenced by the different micronutrients and biofertilizers are presented in t</w:t>
      </w:r>
      <w:r w:rsidR="00424A52">
        <w:rPr>
          <w:rFonts w:ascii="Times New Roman" w:hAnsi="Times New Roman"/>
          <w:sz w:val="24"/>
          <w:szCs w:val="24"/>
        </w:rPr>
        <w:t xml:space="preserve">he </w:t>
      </w:r>
      <w:r w:rsidR="00424A52">
        <w:rPr>
          <w:rFonts w:ascii="Times New Roman" w:hAnsi="Times New Roman"/>
          <w:sz w:val="24"/>
          <w:szCs w:val="24"/>
        </w:rPr>
        <w:br/>
        <w:t xml:space="preserve">Table </w:t>
      </w:r>
      <w:r w:rsidR="00595A06">
        <w:rPr>
          <w:rFonts w:ascii="Times New Roman" w:hAnsi="Times New Roman"/>
          <w:sz w:val="24"/>
          <w:szCs w:val="24"/>
        </w:rPr>
        <w:t>1</w:t>
      </w:r>
      <w:r w:rsidR="00121694">
        <w:rPr>
          <w:rFonts w:ascii="Times New Roman" w:hAnsi="Times New Roman"/>
          <w:sz w:val="24"/>
          <w:szCs w:val="24"/>
        </w:rPr>
        <w:t>.</w:t>
      </w:r>
    </w:p>
    <w:p w:rsidR="003E7E09" w:rsidRPr="00A866B9" w:rsidRDefault="00AE2619" w:rsidP="008F0306">
      <w:pPr>
        <w:pStyle w:val="ListParagraph"/>
        <w:spacing w:before="240" w:after="240" w:line="360" w:lineRule="auto"/>
        <w:ind w:left="0" w:right="43"/>
        <w:rPr>
          <w:sz w:val="24"/>
          <w:szCs w:val="24"/>
        </w:rPr>
      </w:pPr>
      <w:r w:rsidRPr="00A866B9">
        <w:rPr>
          <w:sz w:val="24"/>
          <w:szCs w:val="24"/>
        </w:rPr>
        <w:t>The total dry matter accumulation in chickpea crop at different stage was significantly influencedby the soil application of micronutrients and biofertilizers incombinationalongwithRDF.</w:t>
      </w:r>
      <w:r w:rsidRPr="00A866B9">
        <w:rPr>
          <w:spacing w:val="-1"/>
          <w:sz w:val="24"/>
          <w:szCs w:val="24"/>
        </w:rPr>
        <w:t xml:space="preserve">The treatment received </w:t>
      </w:r>
      <w:r w:rsidRPr="00A866B9">
        <w:rPr>
          <w:sz w:val="24"/>
          <w:szCs w:val="24"/>
        </w:rPr>
        <w:t xml:space="preserve">RDF + </w:t>
      </w:r>
      <w:r w:rsidRPr="00A866B9">
        <w:rPr>
          <w:i/>
          <w:iCs/>
          <w:sz w:val="24"/>
          <w:szCs w:val="24"/>
        </w:rPr>
        <w:t>Rhizobium</w:t>
      </w:r>
      <w:r w:rsidRPr="00A866B9">
        <w:rPr>
          <w:sz w:val="24"/>
          <w:szCs w:val="24"/>
        </w:rPr>
        <w:t xml:space="preserve"> + PSB (@ 1250g ha</w:t>
      </w:r>
      <w:r w:rsidRPr="00A866B9">
        <w:rPr>
          <w:sz w:val="24"/>
          <w:szCs w:val="24"/>
          <w:vertAlign w:val="superscript"/>
        </w:rPr>
        <w:t>-1</w:t>
      </w:r>
      <w:r w:rsidRPr="00A866B9">
        <w:rPr>
          <w:sz w:val="24"/>
          <w:szCs w:val="24"/>
        </w:rPr>
        <w:t>) +Fe SO</w:t>
      </w:r>
      <w:r w:rsidRPr="00A866B9">
        <w:rPr>
          <w:sz w:val="24"/>
          <w:szCs w:val="24"/>
          <w:vertAlign w:val="subscript"/>
        </w:rPr>
        <w:t xml:space="preserve">4 </w:t>
      </w:r>
      <w:r w:rsidRPr="00A866B9">
        <w:rPr>
          <w:sz w:val="24"/>
          <w:szCs w:val="24"/>
          <w:lang w:val="en-IN"/>
        </w:rPr>
        <w:t>@ 10 kg ha</w:t>
      </w:r>
      <w:r w:rsidRPr="00A866B9">
        <w:rPr>
          <w:sz w:val="24"/>
          <w:szCs w:val="24"/>
          <w:vertAlign w:val="superscript"/>
          <w:lang w:val="en-IN"/>
        </w:rPr>
        <w:t xml:space="preserve">-1 </w:t>
      </w:r>
      <w:r w:rsidRPr="00A866B9">
        <w:rPr>
          <w:sz w:val="24"/>
          <w:szCs w:val="24"/>
        </w:rPr>
        <w:t>+Zn SO</w:t>
      </w:r>
      <w:r w:rsidRPr="00A866B9">
        <w:rPr>
          <w:sz w:val="24"/>
          <w:szCs w:val="24"/>
          <w:vertAlign w:val="subscript"/>
        </w:rPr>
        <w:t>4</w:t>
      </w:r>
      <w:r w:rsidRPr="00A866B9">
        <w:rPr>
          <w:sz w:val="24"/>
          <w:szCs w:val="24"/>
          <w:lang w:val="en-IN"/>
        </w:rPr>
        <w:t>@ 10 kg ha</w:t>
      </w:r>
      <w:r w:rsidRPr="00A866B9">
        <w:rPr>
          <w:sz w:val="24"/>
          <w:szCs w:val="24"/>
          <w:vertAlign w:val="superscript"/>
          <w:lang w:val="en-IN"/>
        </w:rPr>
        <w:t xml:space="preserve">-1 </w:t>
      </w:r>
      <w:r w:rsidRPr="00A866B9">
        <w:rPr>
          <w:sz w:val="24"/>
          <w:szCs w:val="24"/>
        </w:rPr>
        <w:t>+Borax @ 10 kg ha</w:t>
      </w:r>
      <w:r w:rsidRPr="00A866B9">
        <w:rPr>
          <w:sz w:val="24"/>
          <w:szCs w:val="24"/>
          <w:vertAlign w:val="superscript"/>
        </w:rPr>
        <w:t xml:space="preserve">-1 </w:t>
      </w:r>
      <w:r w:rsidRPr="00A866B9">
        <w:rPr>
          <w:sz w:val="24"/>
          <w:szCs w:val="24"/>
        </w:rPr>
        <w:t xml:space="preserve"> + Sodium molybdate @ 1.0 g kg</w:t>
      </w:r>
      <w:r w:rsidRPr="00A866B9">
        <w:rPr>
          <w:sz w:val="24"/>
          <w:szCs w:val="24"/>
          <w:vertAlign w:val="superscript"/>
        </w:rPr>
        <w:t xml:space="preserve">-1 </w:t>
      </w:r>
      <w:r w:rsidRPr="00A866B9">
        <w:rPr>
          <w:sz w:val="24"/>
          <w:szCs w:val="24"/>
        </w:rPr>
        <w:t xml:space="preserve"> seeds</w:t>
      </w:r>
      <w:r w:rsidRPr="00A866B9">
        <w:rPr>
          <w:spacing w:val="-1"/>
          <w:sz w:val="24"/>
          <w:szCs w:val="24"/>
        </w:rPr>
        <w:t xml:space="preserve"> (T</w:t>
      </w:r>
      <w:r w:rsidRPr="00A866B9">
        <w:rPr>
          <w:spacing w:val="-1"/>
          <w:sz w:val="24"/>
          <w:szCs w:val="24"/>
          <w:vertAlign w:val="subscript"/>
        </w:rPr>
        <w:t>8</w:t>
      </w:r>
      <w:r w:rsidRPr="00A866B9">
        <w:rPr>
          <w:spacing w:val="-1"/>
          <w:sz w:val="24"/>
          <w:szCs w:val="24"/>
        </w:rPr>
        <w:t xml:space="preserve">) </w:t>
      </w:r>
      <w:r w:rsidRPr="00A866B9">
        <w:rPr>
          <w:sz w:val="24"/>
          <w:szCs w:val="24"/>
        </w:rPr>
        <w:t>resulted inmaximum total dry matter accumulation</w:t>
      </w:r>
      <w:r w:rsidRPr="00A866B9">
        <w:rPr>
          <w:spacing w:val="22"/>
          <w:sz w:val="24"/>
          <w:szCs w:val="24"/>
        </w:rPr>
        <w:t xml:space="preserve"> at flowering </w:t>
      </w:r>
      <w:r w:rsidRPr="00A866B9">
        <w:rPr>
          <w:sz w:val="24"/>
          <w:szCs w:val="24"/>
        </w:rPr>
        <w:t xml:space="preserve">(12.60 g plant </w:t>
      </w:r>
      <w:r w:rsidRPr="00A866B9">
        <w:rPr>
          <w:sz w:val="24"/>
          <w:szCs w:val="24"/>
          <w:vertAlign w:val="superscript"/>
        </w:rPr>
        <w:t>-1</w:t>
      </w:r>
      <w:r w:rsidRPr="00A866B9">
        <w:rPr>
          <w:sz w:val="24"/>
          <w:szCs w:val="24"/>
        </w:rPr>
        <w:t>)</w:t>
      </w:r>
      <w:r w:rsidR="00A457DF" w:rsidRPr="00A866B9">
        <w:rPr>
          <w:sz w:val="24"/>
          <w:szCs w:val="24"/>
        </w:rPr>
        <w:t>, at pod filling (22.57 g plant</w:t>
      </w:r>
      <w:r w:rsidRPr="00A866B9">
        <w:rPr>
          <w:sz w:val="24"/>
          <w:szCs w:val="24"/>
          <w:vertAlign w:val="superscript"/>
        </w:rPr>
        <w:t>-1</w:t>
      </w:r>
      <w:r w:rsidRPr="00A866B9">
        <w:rPr>
          <w:sz w:val="24"/>
          <w:szCs w:val="24"/>
        </w:rPr>
        <w:t xml:space="preserve">) </w:t>
      </w:r>
      <w:r w:rsidRPr="00A866B9">
        <w:rPr>
          <w:spacing w:val="22"/>
          <w:sz w:val="24"/>
          <w:szCs w:val="24"/>
        </w:rPr>
        <w:t xml:space="preserve">and at harvest (25.56 </w:t>
      </w:r>
      <w:r w:rsidRPr="00A866B9">
        <w:rPr>
          <w:sz w:val="24"/>
          <w:szCs w:val="24"/>
        </w:rPr>
        <w:t>g plant</w:t>
      </w:r>
      <w:r w:rsidRPr="00A866B9">
        <w:rPr>
          <w:sz w:val="24"/>
          <w:szCs w:val="24"/>
          <w:vertAlign w:val="superscript"/>
        </w:rPr>
        <w:t>-1</w:t>
      </w:r>
      <w:r w:rsidRPr="00A866B9">
        <w:rPr>
          <w:sz w:val="24"/>
          <w:szCs w:val="24"/>
        </w:rPr>
        <w:t xml:space="preserve">) and was superior over all the treatments except treatment receiving RDF + </w:t>
      </w:r>
      <w:r w:rsidRPr="00A866B9">
        <w:rPr>
          <w:i/>
          <w:iCs/>
          <w:sz w:val="24"/>
          <w:szCs w:val="24"/>
        </w:rPr>
        <w:t>Rhizobium</w:t>
      </w:r>
      <w:r w:rsidRPr="00A866B9">
        <w:rPr>
          <w:sz w:val="24"/>
          <w:szCs w:val="24"/>
        </w:rPr>
        <w:t xml:space="preserve"> + PSB @ 1250g ha</w:t>
      </w:r>
      <w:r w:rsidRPr="00A866B9">
        <w:rPr>
          <w:sz w:val="24"/>
          <w:szCs w:val="24"/>
          <w:vertAlign w:val="superscript"/>
        </w:rPr>
        <w:t xml:space="preserve">-1 </w:t>
      </w:r>
      <w:r w:rsidRPr="00A866B9">
        <w:rPr>
          <w:sz w:val="24"/>
          <w:szCs w:val="24"/>
        </w:rPr>
        <w:t xml:space="preserve"> + Fe SO</w:t>
      </w:r>
      <w:r w:rsidRPr="00A866B9">
        <w:rPr>
          <w:sz w:val="24"/>
          <w:szCs w:val="24"/>
          <w:vertAlign w:val="subscript"/>
        </w:rPr>
        <w:t xml:space="preserve">4 </w:t>
      </w:r>
      <w:r w:rsidRPr="00A866B9">
        <w:rPr>
          <w:sz w:val="24"/>
          <w:szCs w:val="24"/>
          <w:lang w:val="en-IN"/>
        </w:rPr>
        <w:t>@ 10 kg ha</w:t>
      </w:r>
      <w:r w:rsidRPr="00A866B9">
        <w:rPr>
          <w:sz w:val="24"/>
          <w:szCs w:val="24"/>
          <w:vertAlign w:val="superscript"/>
          <w:lang w:val="en-IN"/>
        </w:rPr>
        <w:t xml:space="preserve">-1 </w:t>
      </w:r>
      <w:r w:rsidRPr="00A866B9">
        <w:rPr>
          <w:sz w:val="24"/>
          <w:szCs w:val="24"/>
        </w:rPr>
        <w:t>+Zn SO</w:t>
      </w:r>
      <w:r w:rsidRPr="00A866B9">
        <w:rPr>
          <w:sz w:val="24"/>
          <w:szCs w:val="24"/>
          <w:vertAlign w:val="subscript"/>
        </w:rPr>
        <w:t>4</w:t>
      </w:r>
      <w:r w:rsidRPr="00A866B9">
        <w:rPr>
          <w:sz w:val="24"/>
          <w:szCs w:val="24"/>
          <w:lang w:val="en-IN"/>
        </w:rPr>
        <w:t>@ 10 kg ha</w:t>
      </w:r>
      <w:r w:rsidRPr="00A866B9">
        <w:rPr>
          <w:sz w:val="24"/>
          <w:szCs w:val="24"/>
          <w:vertAlign w:val="superscript"/>
          <w:lang w:val="en-IN"/>
        </w:rPr>
        <w:t xml:space="preserve">-1 </w:t>
      </w:r>
      <w:r w:rsidRPr="00A866B9">
        <w:rPr>
          <w:sz w:val="24"/>
          <w:szCs w:val="24"/>
        </w:rPr>
        <w:t>+Borax @ 10 kg ha</w:t>
      </w:r>
      <w:r w:rsidRPr="00A866B9">
        <w:rPr>
          <w:sz w:val="24"/>
          <w:szCs w:val="24"/>
          <w:vertAlign w:val="superscript"/>
        </w:rPr>
        <w:t xml:space="preserve">-1 </w:t>
      </w:r>
      <w:r w:rsidRPr="00A866B9">
        <w:rPr>
          <w:sz w:val="24"/>
          <w:szCs w:val="24"/>
        </w:rPr>
        <w:t xml:space="preserve"> (T</w:t>
      </w:r>
      <w:r w:rsidRPr="00A866B9">
        <w:rPr>
          <w:sz w:val="24"/>
          <w:szCs w:val="24"/>
          <w:vertAlign w:val="subscript"/>
        </w:rPr>
        <w:t>7</w:t>
      </w:r>
      <w:r w:rsidRPr="00A866B9">
        <w:rPr>
          <w:sz w:val="24"/>
          <w:szCs w:val="24"/>
        </w:rPr>
        <w:t>) .The lower total dry matter accumul</w:t>
      </w:r>
      <w:r w:rsidR="00A457DF" w:rsidRPr="00A866B9">
        <w:rPr>
          <w:sz w:val="24"/>
          <w:szCs w:val="24"/>
        </w:rPr>
        <w:t>ation at flowering (9.5 g plant</w:t>
      </w:r>
      <w:r w:rsidRPr="00A866B9">
        <w:rPr>
          <w:sz w:val="24"/>
          <w:szCs w:val="24"/>
          <w:vertAlign w:val="superscript"/>
        </w:rPr>
        <w:t>-1</w:t>
      </w:r>
      <w:r w:rsidRPr="00A866B9">
        <w:rPr>
          <w:sz w:val="24"/>
          <w:szCs w:val="24"/>
        </w:rPr>
        <w:t>), at pod filling (16.50 g plant</w:t>
      </w:r>
      <w:r w:rsidRPr="00A866B9">
        <w:rPr>
          <w:sz w:val="24"/>
          <w:szCs w:val="24"/>
          <w:vertAlign w:val="superscript"/>
        </w:rPr>
        <w:t>-1)</w:t>
      </w:r>
      <w:r w:rsidRPr="00A866B9">
        <w:rPr>
          <w:sz w:val="24"/>
          <w:szCs w:val="24"/>
        </w:rPr>
        <w:t xml:space="preserve"> and at harvesting (21.26 g plant </w:t>
      </w:r>
      <w:r w:rsidRPr="00A866B9">
        <w:rPr>
          <w:sz w:val="24"/>
          <w:szCs w:val="24"/>
          <w:vertAlign w:val="superscript"/>
        </w:rPr>
        <w:t>-1</w:t>
      </w:r>
      <w:r w:rsidRPr="00A866B9">
        <w:rPr>
          <w:sz w:val="24"/>
          <w:szCs w:val="24"/>
        </w:rPr>
        <w:t>) was recorded in the treatment whichreceivedRDFalone (T</w:t>
      </w:r>
      <w:r w:rsidRPr="00A866B9">
        <w:rPr>
          <w:sz w:val="24"/>
          <w:szCs w:val="24"/>
          <w:vertAlign w:val="subscript"/>
        </w:rPr>
        <w:t>1</w:t>
      </w:r>
      <w:r w:rsidRPr="00A866B9">
        <w:rPr>
          <w:sz w:val="24"/>
          <w:szCs w:val="24"/>
        </w:rPr>
        <w:t>). Application of individual micronutrients, biofertilizers and their combinations (</w:t>
      </w:r>
      <w:r w:rsidRPr="00A866B9">
        <w:rPr>
          <w:spacing w:val="-1"/>
          <w:sz w:val="24"/>
          <w:szCs w:val="24"/>
        </w:rPr>
        <w:t>T</w:t>
      </w:r>
      <w:r w:rsidRPr="00A866B9">
        <w:rPr>
          <w:spacing w:val="-1"/>
          <w:sz w:val="24"/>
          <w:szCs w:val="24"/>
          <w:vertAlign w:val="subscript"/>
        </w:rPr>
        <w:t>2</w:t>
      </w:r>
      <w:r w:rsidRPr="00A866B9">
        <w:rPr>
          <w:spacing w:val="-1"/>
          <w:sz w:val="24"/>
          <w:szCs w:val="24"/>
        </w:rPr>
        <w:t xml:space="preserve"> to T</w:t>
      </w:r>
      <w:r w:rsidRPr="00A866B9">
        <w:rPr>
          <w:spacing w:val="-1"/>
          <w:sz w:val="24"/>
          <w:szCs w:val="24"/>
          <w:vertAlign w:val="subscript"/>
        </w:rPr>
        <w:t>6</w:t>
      </w:r>
      <w:r w:rsidRPr="00A866B9">
        <w:rPr>
          <w:spacing w:val="-1"/>
          <w:sz w:val="24"/>
          <w:szCs w:val="24"/>
        </w:rPr>
        <w:t>)</w:t>
      </w:r>
      <w:r w:rsidRPr="00A866B9">
        <w:rPr>
          <w:sz w:val="24"/>
          <w:szCs w:val="24"/>
        </w:rPr>
        <w:t xml:space="preserve"> were onpar with each other. However the said treatments were significantly lower than </w:t>
      </w:r>
      <w:r w:rsidRPr="00A866B9">
        <w:rPr>
          <w:spacing w:val="-1"/>
          <w:sz w:val="24"/>
          <w:szCs w:val="24"/>
        </w:rPr>
        <w:t>T</w:t>
      </w:r>
      <w:r w:rsidRPr="00A866B9">
        <w:rPr>
          <w:spacing w:val="-1"/>
          <w:sz w:val="24"/>
          <w:szCs w:val="24"/>
          <w:vertAlign w:val="subscript"/>
        </w:rPr>
        <w:t>8</w:t>
      </w:r>
      <w:r w:rsidRPr="00A866B9">
        <w:rPr>
          <w:spacing w:val="-1"/>
          <w:sz w:val="24"/>
          <w:szCs w:val="24"/>
        </w:rPr>
        <w:t>.</w:t>
      </w:r>
      <w:r w:rsidR="008F0306" w:rsidRPr="00A866B9">
        <w:rPr>
          <w:sz w:val="24"/>
          <w:szCs w:val="24"/>
        </w:rPr>
        <w:t xml:space="preserve">It </w:t>
      </w:r>
      <w:r w:rsidR="005607F7" w:rsidRPr="00A866B9">
        <w:rPr>
          <w:sz w:val="24"/>
          <w:szCs w:val="24"/>
        </w:rPr>
        <w:t xml:space="preserve">might be due to </w:t>
      </w:r>
      <w:r w:rsidR="00A866B9" w:rsidRPr="00A866B9">
        <w:rPr>
          <w:sz w:val="24"/>
          <w:szCs w:val="24"/>
        </w:rPr>
        <w:t>t</w:t>
      </w:r>
      <w:r w:rsidR="008F0306" w:rsidRPr="00A866B9">
        <w:rPr>
          <w:sz w:val="24"/>
          <w:szCs w:val="24"/>
        </w:rPr>
        <w:t xml:space="preserve">he continuous supply of chelated micronutrients along with biofertilizers ensures balanced nutrition for crops throughout their growth. Rhizobium enhances nitrogen fixation, boosting protein, carbohydrate, and starch production, leading to higher dry matter accumulation and more branches per plant. Inoculating with </w:t>
      </w:r>
      <w:r w:rsidR="008F0306" w:rsidRPr="00121694">
        <w:rPr>
          <w:i/>
          <w:sz w:val="24"/>
          <w:szCs w:val="24"/>
        </w:rPr>
        <w:t xml:space="preserve">Rhizobium </w:t>
      </w:r>
      <w:r w:rsidR="008F0306" w:rsidRPr="00A866B9">
        <w:rPr>
          <w:sz w:val="24"/>
          <w:szCs w:val="24"/>
        </w:rPr>
        <w:t>and PSB increases growth regulators, releases ammonia, and solubilizes phosphates, which could result in higher yields. Molybdenum (Mo) supports nodule-forming bacteria, increasing nodulation, branches, nodules, and dry nodule weight, particularly at 45 DAS (Movalia</w:t>
      </w:r>
      <w:r w:rsidR="008F0306" w:rsidRPr="00121694">
        <w:rPr>
          <w:i/>
          <w:sz w:val="24"/>
          <w:szCs w:val="24"/>
        </w:rPr>
        <w:t>et al.</w:t>
      </w:r>
      <w:r w:rsidR="003E7E09" w:rsidRPr="00121694">
        <w:rPr>
          <w:i/>
          <w:sz w:val="24"/>
          <w:szCs w:val="24"/>
        </w:rPr>
        <w:t>,</w:t>
      </w:r>
      <w:r w:rsidR="008F0306" w:rsidRPr="00A866B9">
        <w:rPr>
          <w:sz w:val="24"/>
          <w:szCs w:val="24"/>
        </w:rPr>
        <w:t xml:space="preserve"> 2020). Chelated micronutrients and biofertilizers ensure balanced crop nutrition. Rhizobium enhances nitrogen fixation, increasing dry </w:t>
      </w:r>
      <w:r w:rsidR="008F0306" w:rsidRPr="00A866B9">
        <w:rPr>
          <w:sz w:val="24"/>
          <w:szCs w:val="24"/>
        </w:rPr>
        <w:lastRenderedPageBreak/>
        <w:t>matter, branches, and yield. PSB boosts growth regulators and phosphate availability. Molybdenum supports nodulation, while boron aids photosynthate translocation. Sodium molybdate treatment improves nitrogen fixation, plant growth, and ultimat</w:t>
      </w:r>
      <w:r w:rsidR="003E7E09" w:rsidRPr="00A866B9">
        <w:rPr>
          <w:sz w:val="24"/>
          <w:szCs w:val="24"/>
        </w:rPr>
        <w:t>ely, crop yield (Movalia</w:t>
      </w:r>
      <w:r w:rsidR="003E7E09" w:rsidRPr="00A866B9">
        <w:rPr>
          <w:i/>
          <w:sz w:val="24"/>
          <w:szCs w:val="24"/>
        </w:rPr>
        <w:t>et al.,</w:t>
      </w:r>
      <w:r w:rsidR="008F0306" w:rsidRPr="00A866B9">
        <w:rPr>
          <w:sz w:val="24"/>
          <w:szCs w:val="24"/>
        </w:rPr>
        <w:t xml:space="preserve">2020; Valenciano </w:t>
      </w:r>
      <w:r w:rsidR="008F0306" w:rsidRPr="00A866B9">
        <w:rPr>
          <w:i/>
          <w:sz w:val="24"/>
          <w:szCs w:val="24"/>
        </w:rPr>
        <w:t>et al</w:t>
      </w:r>
      <w:r w:rsidR="008F0306" w:rsidRPr="00A866B9">
        <w:rPr>
          <w:sz w:val="24"/>
          <w:szCs w:val="24"/>
        </w:rPr>
        <w:t>.</w:t>
      </w:r>
      <w:r w:rsidR="003E7E09" w:rsidRPr="00A866B9">
        <w:rPr>
          <w:sz w:val="24"/>
          <w:szCs w:val="24"/>
        </w:rPr>
        <w:t>,</w:t>
      </w:r>
      <w:r w:rsidR="008F0306" w:rsidRPr="00A866B9">
        <w:rPr>
          <w:sz w:val="24"/>
          <w:szCs w:val="24"/>
        </w:rPr>
        <w:t xml:space="preserve"> 2010).</w:t>
      </w:r>
    </w:p>
    <w:p w:rsidR="00AE2619" w:rsidRPr="00121694" w:rsidRDefault="00AE2619" w:rsidP="008F0306">
      <w:pPr>
        <w:pStyle w:val="ListParagraph"/>
        <w:spacing w:before="240" w:after="240" w:line="360" w:lineRule="auto"/>
        <w:ind w:left="0" w:right="43"/>
        <w:rPr>
          <w:b/>
          <w:sz w:val="24"/>
          <w:szCs w:val="24"/>
        </w:rPr>
      </w:pPr>
      <w:r w:rsidRPr="00121694">
        <w:rPr>
          <w:b/>
          <w:sz w:val="24"/>
          <w:szCs w:val="24"/>
        </w:rPr>
        <w:t xml:space="preserve">Influence of micronutrients and biofertilizers on protein content (%)in chickpea seeds </w:t>
      </w:r>
    </w:p>
    <w:p w:rsidR="00AE2619" w:rsidRPr="00121694" w:rsidRDefault="00AE2619" w:rsidP="00AE2619">
      <w:pPr>
        <w:spacing w:before="240" w:after="240" w:line="360" w:lineRule="auto"/>
        <w:ind w:right="34"/>
        <w:jc w:val="both"/>
        <w:rPr>
          <w:rFonts w:ascii="Times New Roman" w:hAnsi="Times New Roman"/>
          <w:sz w:val="24"/>
          <w:szCs w:val="24"/>
        </w:rPr>
      </w:pPr>
      <w:r w:rsidRPr="00843A68">
        <w:rPr>
          <w:rFonts w:ascii="Times New Roman" w:hAnsi="Times New Roman"/>
          <w:sz w:val="24"/>
          <w:szCs w:val="24"/>
        </w:rPr>
        <w:tab/>
        <w:t>The data on protein content of chick</w:t>
      </w:r>
      <w:r w:rsidR="00121694">
        <w:rPr>
          <w:rFonts w:ascii="Times New Roman" w:hAnsi="Times New Roman"/>
          <w:sz w:val="24"/>
          <w:szCs w:val="24"/>
        </w:rPr>
        <w:t>pea ranged from 21.75 to 18.75 p</w:t>
      </w:r>
      <w:r w:rsidR="00121694" w:rsidRPr="00A866B9">
        <w:rPr>
          <w:rFonts w:ascii="Times New Roman" w:hAnsi="Times New Roman"/>
          <w:sz w:val="24"/>
          <w:szCs w:val="24"/>
        </w:rPr>
        <w:t>e</w:t>
      </w:r>
      <w:r w:rsidR="00121694">
        <w:rPr>
          <w:rFonts w:ascii="Times New Roman" w:hAnsi="Times New Roman"/>
          <w:sz w:val="24"/>
          <w:szCs w:val="24"/>
        </w:rPr>
        <w:t xml:space="preserve">r </w:t>
      </w:r>
      <w:r w:rsidR="00121694" w:rsidRPr="00843A68">
        <w:rPr>
          <w:rFonts w:ascii="Times New Roman" w:hAnsi="Times New Roman"/>
          <w:sz w:val="24"/>
          <w:szCs w:val="24"/>
        </w:rPr>
        <w:t>c</w:t>
      </w:r>
      <w:r w:rsidR="00121694" w:rsidRPr="00A866B9">
        <w:rPr>
          <w:rFonts w:ascii="Times New Roman" w:hAnsi="Times New Roman"/>
          <w:sz w:val="24"/>
          <w:szCs w:val="24"/>
        </w:rPr>
        <w:t>e</w:t>
      </w:r>
      <w:r w:rsidR="00121694">
        <w:rPr>
          <w:rFonts w:ascii="Times New Roman" w:hAnsi="Times New Roman"/>
          <w:sz w:val="24"/>
          <w:szCs w:val="24"/>
        </w:rPr>
        <w:t>nt</w:t>
      </w:r>
      <w:r w:rsidRPr="00843A68">
        <w:rPr>
          <w:rFonts w:ascii="Times New Roman" w:hAnsi="Times New Roman"/>
          <w:sz w:val="24"/>
          <w:szCs w:val="24"/>
        </w:rPr>
        <w:t xml:space="preserve"> and was significantly influenced by the different micronutrients and biofertilizers incombination</w:t>
      </w:r>
      <w:r w:rsidR="00812161">
        <w:rPr>
          <w:rFonts w:ascii="Times New Roman" w:hAnsi="Times New Roman"/>
          <w:spacing w:val="4"/>
          <w:sz w:val="24"/>
          <w:szCs w:val="24"/>
        </w:rPr>
        <w:t xml:space="preserve">when compared </w:t>
      </w:r>
      <w:r w:rsidRPr="00843A68">
        <w:rPr>
          <w:rFonts w:ascii="Times New Roman" w:hAnsi="Times New Roman"/>
          <w:sz w:val="24"/>
          <w:szCs w:val="24"/>
        </w:rPr>
        <w:t xml:space="preserve">withRDF </w:t>
      </w:r>
      <w:r w:rsidR="00121694">
        <w:rPr>
          <w:rFonts w:ascii="Times New Roman" w:hAnsi="Times New Roman"/>
          <w:sz w:val="24"/>
          <w:szCs w:val="24"/>
        </w:rPr>
        <w:t>and it is</w:t>
      </w:r>
      <w:r w:rsidR="00E63D34" w:rsidRPr="00121694">
        <w:rPr>
          <w:rFonts w:ascii="Times New Roman" w:hAnsi="Times New Roman"/>
          <w:sz w:val="24"/>
          <w:szCs w:val="24"/>
        </w:rPr>
        <w:t xml:space="preserve"> represented in</w:t>
      </w:r>
      <w:r w:rsidR="00121694">
        <w:rPr>
          <w:rFonts w:ascii="Times New Roman" w:hAnsi="Times New Roman"/>
          <w:sz w:val="24"/>
          <w:szCs w:val="24"/>
        </w:rPr>
        <w:t>t</w:t>
      </w:r>
      <w:r w:rsidR="00606839" w:rsidRPr="00121694">
        <w:rPr>
          <w:rFonts w:ascii="Times New Roman" w:hAnsi="Times New Roman"/>
          <w:sz w:val="24"/>
          <w:szCs w:val="24"/>
        </w:rPr>
        <w:t>able no</w:t>
      </w:r>
      <w:r w:rsidR="00E63D34" w:rsidRPr="00121694">
        <w:rPr>
          <w:rFonts w:ascii="Times New Roman" w:hAnsi="Times New Roman"/>
          <w:sz w:val="24"/>
          <w:szCs w:val="24"/>
        </w:rPr>
        <w:t xml:space="preserve">. </w:t>
      </w:r>
      <w:r w:rsidR="007367BD" w:rsidRPr="00121694">
        <w:rPr>
          <w:rFonts w:ascii="Times New Roman" w:hAnsi="Times New Roman"/>
          <w:sz w:val="24"/>
          <w:szCs w:val="24"/>
        </w:rPr>
        <w:t>2</w:t>
      </w:r>
    </w:p>
    <w:p w:rsidR="00812161" w:rsidRDefault="00AE2619" w:rsidP="004D2BBA">
      <w:pPr>
        <w:pStyle w:val="BodyText"/>
        <w:spacing w:before="240" w:after="240" w:line="360" w:lineRule="auto"/>
        <w:ind w:right="34"/>
        <w:jc w:val="both"/>
      </w:pPr>
      <w:r w:rsidRPr="00843A68">
        <w:rPr>
          <w:spacing w:val="-1"/>
        </w:rPr>
        <w:tab/>
      </w:r>
      <w:r w:rsidR="00E63D34" w:rsidRPr="00843A68">
        <w:t>Significantly</w:t>
      </w:r>
      <w:r w:rsidR="00E63D34" w:rsidRPr="00843A68">
        <w:rPr>
          <w:spacing w:val="-1"/>
        </w:rPr>
        <w:t xml:space="preserve"> maximum protein content in chickpea was recorded in the treatment which received </w:t>
      </w:r>
      <w:r w:rsidR="00E63D34" w:rsidRPr="00843A68">
        <w:t xml:space="preserve">RDF + </w:t>
      </w:r>
      <w:r w:rsidR="00E63D34" w:rsidRPr="00843A68">
        <w:rPr>
          <w:i/>
          <w:iCs/>
        </w:rPr>
        <w:t>Rhizobium</w:t>
      </w:r>
      <w:r w:rsidR="0004086D">
        <w:t xml:space="preserve"> + </w:t>
      </w:r>
      <w:r w:rsidR="00E63D34" w:rsidRPr="00843A68">
        <w:t>PSB (@ 1250g ha</w:t>
      </w:r>
      <w:r w:rsidR="00E63D34" w:rsidRPr="00843A68">
        <w:rPr>
          <w:vertAlign w:val="superscript"/>
        </w:rPr>
        <w:t>-1</w:t>
      </w:r>
      <w:r w:rsidR="00A866B9">
        <w:t>) + Fe</w:t>
      </w:r>
      <w:r w:rsidR="00E63D34" w:rsidRPr="00843A68">
        <w:t>SO</w:t>
      </w:r>
      <w:r w:rsidR="00E63D34" w:rsidRPr="00843A68">
        <w:rPr>
          <w:vertAlign w:val="subscript"/>
        </w:rPr>
        <w:t xml:space="preserve">4 </w:t>
      </w:r>
      <w:r w:rsidR="00E63D34" w:rsidRPr="00843A68">
        <w:t>@ 10 kg ha</w:t>
      </w:r>
      <w:r w:rsidR="00E63D34" w:rsidRPr="00843A68">
        <w:rPr>
          <w:vertAlign w:val="superscript"/>
        </w:rPr>
        <w:t xml:space="preserve">-1 </w:t>
      </w:r>
      <w:r w:rsidR="00E63D34" w:rsidRPr="00843A68">
        <w:t>+</w:t>
      </w:r>
      <w:r w:rsidR="00A866B9">
        <w:t>Zn</w:t>
      </w:r>
      <w:r w:rsidR="00E63D34" w:rsidRPr="00843A68">
        <w:t>SO</w:t>
      </w:r>
      <w:r w:rsidR="00E63D34" w:rsidRPr="00843A68">
        <w:rPr>
          <w:vertAlign w:val="subscript"/>
        </w:rPr>
        <w:t>4</w:t>
      </w:r>
      <w:r w:rsidR="00E63D34" w:rsidRPr="00843A68">
        <w:t>@ 10 kg ha</w:t>
      </w:r>
      <w:r w:rsidR="00E63D34" w:rsidRPr="00843A68">
        <w:rPr>
          <w:vertAlign w:val="superscript"/>
        </w:rPr>
        <w:t xml:space="preserve">-1 </w:t>
      </w:r>
      <w:r w:rsidR="00E63D34" w:rsidRPr="00843A68">
        <w:t>+Borax @ 10 kg ha</w:t>
      </w:r>
      <w:r w:rsidR="00E63D34" w:rsidRPr="00843A68">
        <w:rPr>
          <w:vertAlign w:val="superscript"/>
        </w:rPr>
        <w:t xml:space="preserve">-1 </w:t>
      </w:r>
      <w:r w:rsidR="00E63D34" w:rsidRPr="00843A68">
        <w:t>+ Sodium Molybdate @ 1.0 g kg</w:t>
      </w:r>
      <w:r w:rsidR="00E63D34" w:rsidRPr="00843A68">
        <w:rPr>
          <w:vertAlign w:val="superscript"/>
        </w:rPr>
        <w:t xml:space="preserve">-1 </w:t>
      </w:r>
      <w:r w:rsidR="00E63D34" w:rsidRPr="00843A68">
        <w:t>seed (T</w:t>
      </w:r>
      <w:r w:rsidR="00E63D34" w:rsidRPr="00843A68">
        <w:rPr>
          <w:vertAlign w:val="subscript"/>
        </w:rPr>
        <w:t>8</w:t>
      </w:r>
      <w:r w:rsidR="00E63D34" w:rsidRPr="00843A68">
        <w:t>). Increase in protein</w:t>
      </w:r>
      <w:r w:rsidR="00A866B9">
        <w:t xml:space="preserve"> content by 16 p</w:t>
      </w:r>
      <w:r w:rsidR="00A866B9" w:rsidRPr="00843A68">
        <w:t>e</w:t>
      </w:r>
      <w:r w:rsidR="00A866B9">
        <w:t xml:space="preserve">r </w:t>
      </w:r>
      <w:r w:rsidR="00A866B9" w:rsidRPr="00843A68">
        <w:t>ce</w:t>
      </w:r>
      <w:r w:rsidR="00A866B9">
        <w:t xml:space="preserve">nt </w:t>
      </w:r>
      <w:r w:rsidR="00E63D34" w:rsidRPr="00843A68">
        <w:t>was observed over control (T</w:t>
      </w:r>
      <w:r w:rsidR="00E63D34" w:rsidRPr="00843A68">
        <w:rPr>
          <w:vertAlign w:val="subscript"/>
        </w:rPr>
        <w:t>1</w:t>
      </w:r>
      <w:r w:rsidR="00E63D34" w:rsidRPr="00843A68">
        <w:t xml:space="preserve">).The increase in crude protein content may be due to iron and sulphur role in the enzyme activities and amino acids synthesis. It helps in conversion of amino acids to high quality protein. As </w:t>
      </w:r>
      <w:r w:rsidR="00A866B9">
        <w:t>Fe</w:t>
      </w:r>
      <w:r w:rsidR="00E63D34" w:rsidRPr="00843A68">
        <w:t xml:space="preserve"> and </w:t>
      </w:r>
      <w:r w:rsidR="00A866B9">
        <w:t>Zn</w:t>
      </w:r>
      <w:r w:rsidR="00E63D34" w:rsidRPr="00843A68">
        <w:t xml:space="preserve"> helps in the translocation of N to grain</w:t>
      </w:r>
      <w:r w:rsidR="007367BD">
        <w:t>,</w:t>
      </w:r>
      <w:r w:rsidR="007367BD" w:rsidRPr="00843A68">
        <w:t>this might have resulted in increased protein content in grain.</w:t>
      </w:r>
      <w:r w:rsidR="00E63D34" w:rsidRPr="00843A68">
        <w:t xml:space="preserve"> Besides, the increase may be related to the role of Fe in chlorophyll formation, respiration, photosynthesis and symbiotic N fixation in plant (Hemn, 2013) while Zn is required as structural and catalytic components of protein and enzymes for normal growth and development (Broadley</w:t>
      </w:r>
      <w:r w:rsidR="00E63D34" w:rsidRPr="00843A68">
        <w:rPr>
          <w:i/>
          <w:iCs/>
        </w:rPr>
        <w:t>et al</w:t>
      </w:r>
      <w:r w:rsidR="00E63D34" w:rsidRPr="00843A68">
        <w:t xml:space="preserve">., 2007). As </w:t>
      </w:r>
      <w:r w:rsidR="00A866B9" w:rsidRPr="00A866B9">
        <w:t>B</w:t>
      </w:r>
      <w:r w:rsidR="00E63D34" w:rsidRPr="00843A68">
        <w:t>is important for sugar translocation, n</w:t>
      </w:r>
      <w:r w:rsidR="0004086D">
        <w:t xml:space="preserve">itrogen utilization and protein </w:t>
      </w:r>
      <w:r w:rsidR="00121694">
        <w:t>synthesis. B</w:t>
      </w:r>
      <w:r w:rsidR="00E63D34" w:rsidRPr="00843A68">
        <w:t xml:space="preserve"> plays important role in synthesis of essential amino acids like cystine, methonine&amp; certain vitamins like biotine, thymine, vitamin B</w:t>
      </w:r>
      <w:r w:rsidR="00E63D34" w:rsidRPr="003E7E09">
        <w:rPr>
          <w:vertAlign w:val="subscript"/>
        </w:rPr>
        <w:t>1</w:t>
      </w:r>
      <w:r w:rsidR="00E63D34" w:rsidRPr="00843A68">
        <w:t xml:space="preserve"> as well as the formation of ferodoxin&amp; iron containing plants thus B play role in increase protein content (Movalia</w:t>
      </w:r>
      <w:r w:rsidR="00E63D34" w:rsidRPr="00843A68">
        <w:rPr>
          <w:i/>
          <w:iCs/>
        </w:rPr>
        <w:t>et al</w:t>
      </w:r>
      <w:r w:rsidR="00E63D34" w:rsidRPr="00843A68">
        <w:rPr>
          <w:i/>
        </w:rPr>
        <w:t>.</w:t>
      </w:r>
      <w:r w:rsidR="007367BD">
        <w:rPr>
          <w:i/>
        </w:rPr>
        <w:t>,</w:t>
      </w:r>
      <w:r w:rsidR="00E63D34" w:rsidRPr="00843A68">
        <w:t>2020)</w:t>
      </w:r>
      <w:r w:rsidR="007367BD">
        <w:t>.</w:t>
      </w:r>
    </w:p>
    <w:p w:rsidR="004518E5" w:rsidRPr="00121694" w:rsidRDefault="001B4620" w:rsidP="004518E5">
      <w:pPr>
        <w:spacing w:before="240" w:after="240" w:line="360" w:lineRule="auto"/>
        <w:ind w:right="34"/>
        <w:jc w:val="both"/>
        <w:rPr>
          <w:rFonts w:ascii="Times New Roman" w:hAnsi="Times New Roman"/>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Macronutrient content in chickpea (N, P, K and S)</w:t>
      </w:r>
    </w:p>
    <w:p w:rsidR="00121694" w:rsidRDefault="004518E5" w:rsidP="004518E5">
      <w:pPr>
        <w:spacing w:before="240" w:after="240" w:line="360" w:lineRule="auto"/>
        <w:ind w:right="34"/>
        <w:jc w:val="both"/>
        <w:rPr>
          <w:rFonts w:ascii="Times New Roman" w:hAnsi="Times New Roman"/>
          <w:b/>
          <w:sz w:val="28"/>
          <w:szCs w:val="28"/>
        </w:rPr>
      </w:pPr>
      <w:r w:rsidRPr="00843A68">
        <w:rPr>
          <w:rFonts w:ascii="Times New Roman" w:hAnsi="Times New Roman"/>
          <w:sz w:val="24"/>
          <w:szCs w:val="24"/>
        </w:rPr>
        <w:t>The data pertaining to the macro nutrient (N, P, K and S) content in chickpea as influenced by the different micronutrients and biofertiliz</w:t>
      </w:r>
      <w:r w:rsidR="007367BD">
        <w:rPr>
          <w:rFonts w:ascii="Times New Roman" w:hAnsi="Times New Roman"/>
          <w:sz w:val="24"/>
          <w:szCs w:val="24"/>
        </w:rPr>
        <w:t xml:space="preserve">ers is presented in the </w:t>
      </w:r>
      <w:r w:rsidR="007367BD">
        <w:rPr>
          <w:rFonts w:ascii="Times New Roman" w:hAnsi="Times New Roman"/>
          <w:sz w:val="24"/>
          <w:szCs w:val="24"/>
        </w:rPr>
        <w:br/>
      </w:r>
      <w:r w:rsidR="00087582" w:rsidRPr="00A866B9">
        <w:rPr>
          <w:rFonts w:ascii="Times New Roman" w:hAnsi="Times New Roman"/>
          <w:sz w:val="24"/>
          <w:szCs w:val="24"/>
        </w:rPr>
        <w:t>Fig</w:t>
      </w:r>
      <w:r w:rsidR="00A866B9">
        <w:rPr>
          <w:rFonts w:ascii="Times New Roman" w:hAnsi="Times New Roman"/>
          <w:sz w:val="24"/>
          <w:szCs w:val="24"/>
        </w:rPr>
        <w:t>.</w:t>
      </w:r>
      <w:r w:rsidR="00087582" w:rsidRPr="00A866B9">
        <w:rPr>
          <w:rFonts w:ascii="Times New Roman" w:hAnsi="Times New Roman"/>
          <w:sz w:val="24"/>
          <w:szCs w:val="24"/>
        </w:rPr>
        <w:t xml:space="preserve"> no</w:t>
      </w:r>
      <w:r w:rsidR="0004086D">
        <w:rPr>
          <w:rFonts w:ascii="Times New Roman" w:hAnsi="Times New Roman"/>
          <w:sz w:val="24"/>
          <w:szCs w:val="24"/>
        </w:rPr>
        <w:t>.</w:t>
      </w:r>
      <w:r w:rsidR="00087582" w:rsidRPr="00A866B9">
        <w:rPr>
          <w:rFonts w:ascii="Times New Roman" w:hAnsi="Times New Roman"/>
          <w:sz w:val="24"/>
          <w:szCs w:val="24"/>
        </w:rPr>
        <w:t>1to 4</w:t>
      </w:r>
      <w:r w:rsidRPr="00843A68">
        <w:rPr>
          <w:rFonts w:ascii="Times New Roman" w:hAnsi="Times New Roman"/>
          <w:sz w:val="24"/>
          <w:szCs w:val="24"/>
        </w:rPr>
        <w:t>. Application of micronutrients and biofertilizers did not differ significantly for macronutrient content in chickpea straw and seeds.</w:t>
      </w:r>
      <w:r w:rsidRPr="00843A68">
        <w:rPr>
          <w:rFonts w:ascii="Times New Roman" w:hAnsi="Times New Roman"/>
          <w:spacing w:val="-1"/>
          <w:sz w:val="24"/>
          <w:szCs w:val="24"/>
        </w:rPr>
        <w:t xml:space="preserve">However, the treatment which received </w:t>
      </w:r>
      <w:r w:rsidRPr="00843A68">
        <w:rPr>
          <w:rFonts w:ascii="Times New Roman" w:hAnsi="Times New Roman"/>
          <w:sz w:val="24"/>
          <w:szCs w:val="24"/>
        </w:rPr>
        <w:t xml:space="preserve">RDF + </w:t>
      </w:r>
      <w:r w:rsidRPr="00843A68">
        <w:rPr>
          <w:rFonts w:ascii="Times New Roman" w:hAnsi="Times New Roman"/>
          <w:i/>
          <w:iCs/>
          <w:sz w:val="24"/>
          <w:szCs w:val="24"/>
        </w:rPr>
        <w:t>Rhizobium</w:t>
      </w:r>
      <w:r w:rsidRPr="00843A68">
        <w:rPr>
          <w:rFonts w:ascii="Times New Roman" w:hAnsi="Times New Roman"/>
          <w:sz w:val="24"/>
          <w:szCs w:val="24"/>
        </w:rPr>
        <w:t xml:space="preserve"> + PSB (@ 1250g ha</w:t>
      </w:r>
      <w:r w:rsidRPr="00843A68">
        <w:rPr>
          <w:rFonts w:ascii="Times New Roman" w:hAnsi="Times New Roman"/>
          <w:sz w:val="24"/>
          <w:szCs w:val="24"/>
          <w:vertAlign w:val="superscript"/>
        </w:rPr>
        <w:t>-1</w:t>
      </w:r>
      <w:r w:rsidR="00A866B9">
        <w:rPr>
          <w:rFonts w:ascii="Times New Roman" w:hAnsi="Times New Roman"/>
          <w:sz w:val="24"/>
          <w:szCs w:val="24"/>
        </w:rPr>
        <w:t>)  + Fe</w:t>
      </w:r>
      <w:r w:rsidRPr="00843A68">
        <w:rPr>
          <w:rFonts w:ascii="Times New Roman" w:hAnsi="Times New Roman"/>
          <w:sz w:val="24"/>
          <w:szCs w:val="24"/>
        </w:rPr>
        <w:t>SO</w:t>
      </w:r>
      <w:r w:rsidRPr="00843A68">
        <w:rPr>
          <w:rFonts w:ascii="Times New Roman" w:hAnsi="Times New Roman"/>
          <w:sz w:val="24"/>
          <w:szCs w:val="24"/>
          <w:vertAlign w:val="subscript"/>
        </w:rPr>
        <w:t xml:space="preserve">4 </w:t>
      </w:r>
      <w:r w:rsidRPr="00843A68">
        <w:rPr>
          <w:rFonts w:ascii="Times New Roman" w:hAnsi="Times New Roman"/>
          <w:sz w:val="24"/>
          <w:szCs w:val="24"/>
        </w:rPr>
        <w:t>@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w:t>
      </w:r>
      <w:r w:rsidR="00A866B9">
        <w:rPr>
          <w:rFonts w:ascii="Times New Roman" w:hAnsi="Times New Roman"/>
          <w:sz w:val="24"/>
          <w:szCs w:val="24"/>
        </w:rPr>
        <w:t>Zn</w:t>
      </w:r>
      <w:r w:rsidRPr="00843A68">
        <w:rPr>
          <w:rFonts w:ascii="Times New Roman" w:hAnsi="Times New Roman"/>
          <w:sz w:val="24"/>
          <w:szCs w:val="24"/>
        </w:rPr>
        <w:t>SO</w:t>
      </w:r>
      <w:r w:rsidRPr="00843A68">
        <w:rPr>
          <w:rFonts w:ascii="Times New Roman" w:hAnsi="Times New Roman"/>
          <w:sz w:val="24"/>
          <w:szCs w:val="24"/>
          <w:vertAlign w:val="subscript"/>
        </w:rPr>
        <w:t>4</w:t>
      </w:r>
      <w:r w:rsidRPr="00843A68">
        <w:rPr>
          <w:rFonts w:ascii="Times New Roman" w:hAnsi="Times New Roman"/>
          <w:sz w:val="24"/>
          <w:szCs w:val="24"/>
        </w:rPr>
        <w:t xml:space="preserve">@ 10 kg </w:t>
      </w:r>
      <w:r w:rsidRPr="00843A68">
        <w:rPr>
          <w:rFonts w:ascii="Times New Roman" w:hAnsi="Times New Roman"/>
          <w:sz w:val="24"/>
          <w:szCs w:val="24"/>
        </w:rPr>
        <w:lastRenderedPageBreak/>
        <w:t>ha</w:t>
      </w:r>
      <w:r w:rsidRPr="00843A68">
        <w:rPr>
          <w:rFonts w:ascii="Times New Roman" w:hAnsi="Times New Roman"/>
          <w:sz w:val="24"/>
          <w:szCs w:val="24"/>
          <w:vertAlign w:val="superscript"/>
        </w:rPr>
        <w:t xml:space="preserve">-1 </w:t>
      </w:r>
      <w:r w:rsidRPr="00843A68">
        <w:rPr>
          <w:rFonts w:ascii="Times New Roman" w:hAnsi="Times New Roman"/>
          <w:sz w:val="24"/>
          <w:szCs w:val="24"/>
        </w:rPr>
        <w:t>+Borax @ 10 kg ha</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 Sodium molybdate @ 1.0 g kg</w:t>
      </w:r>
      <w:r w:rsidRPr="00843A68">
        <w:rPr>
          <w:rFonts w:ascii="Times New Roman" w:hAnsi="Times New Roman"/>
          <w:sz w:val="24"/>
          <w:szCs w:val="24"/>
          <w:vertAlign w:val="superscript"/>
        </w:rPr>
        <w:t xml:space="preserve">-1 </w:t>
      </w:r>
      <w:r w:rsidRPr="00843A68">
        <w:rPr>
          <w:rFonts w:ascii="Times New Roman" w:hAnsi="Times New Roman"/>
          <w:sz w:val="24"/>
          <w:szCs w:val="24"/>
        </w:rPr>
        <w:t xml:space="preserve"> seeds</w:t>
      </w:r>
      <w:r w:rsidRPr="00843A68">
        <w:rPr>
          <w:rFonts w:ascii="Times New Roman" w:hAnsi="Times New Roman"/>
          <w:spacing w:val="-1"/>
          <w:sz w:val="24"/>
          <w:szCs w:val="24"/>
        </w:rPr>
        <w:t xml:space="preserve"> (T</w:t>
      </w:r>
      <w:r w:rsidRPr="00843A68">
        <w:rPr>
          <w:rFonts w:ascii="Times New Roman" w:hAnsi="Times New Roman"/>
          <w:spacing w:val="-1"/>
          <w:sz w:val="24"/>
          <w:szCs w:val="24"/>
          <w:vertAlign w:val="subscript"/>
        </w:rPr>
        <w:t>8</w:t>
      </w:r>
      <w:r w:rsidRPr="00843A68">
        <w:rPr>
          <w:rFonts w:ascii="Times New Roman" w:hAnsi="Times New Roman"/>
          <w:spacing w:val="-1"/>
          <w:sz w:val="24"/>
          <w:szCs w:val="24"/>
        </w:rPr>
        <w:t xml:space="preserve">) </w:t>
      </w:r>
      <w:r w:rsidRPr="00843A68">
        <w:rPr>
          <w:rFonts w:ascii="Times New Roman" w:hAnsi="Times New Roman"/>
          <w:sz w:val="24"/>
          <w:szCs w:val="24"/>
        </w:rPr>
        <w:t xml:space="preserve">resulted innumerically higher </w:t>
      </w:r>
      <w:r w:rsidR="00A866B9" w:rsidRPr="00843A68">
        <w:rPr>
          <w:rFonts w:ascii="Times New Roman" w:hAnsi="Times New Roman"/>
          <w:sz w:val="24"/>
          <w:szCs w:val="24"/>
        </w:rPr>
        <w:t xml:space="preserve">N, P, K and S </w:t>
      </w:r>
      <w:r w:rsidRPr="00843A68">
        <w:rPr>
          <w:rFonts w:ascii="Times New Roman" w:hAnsi="Times New Roman"/>
          <w:sz w:val="24"/>
          <w:szCs w:val="24"/>
        </w:rPr>
        <w:t xml:space="preserve">content in chickpea seed(3.48, 0.30, 0.59 and 0.44 %, respectively) and straw ( 0.98, 0.26, 0.97 and 0.30 %, respectively). The lower </w:t>
      </w:r>
      <w:r w:rsidR="00A866B9" w:rsidRPr="00843A68">
        <w:rPr>
          <w:rFonts w:ascii="Times New Roman" w:hAnsi="Times New Roman"/>
          <w:sz w:val="24"/>
          <w:szCs w:val="24"/>
        </w:rPr>
        <w:t>N, P, K and S</w:t>
      </w:r>
      <w:r w:rsidRPr="00843A68">
        <w:rPr>
          <w:rFonts w:ascii="Times New Roman" w:hAnsi="Times New Roman"/>
          <w:sz w:val="24"/>
          <w:szCs w:val="24"/>
        </w:rPr>
        <w:t xml:space="preserve"> content in chickpea seed(3.00, 0.22, 0.49 and 0.35%, respectively) and</w:t>
      </w:r>
      <w:r w:rsidR="007367BD">
        <w:rPr>
          <w:rFonts w:ascii="Times New Roman" w:hAnsi="Times New Roman"/>
          <w:sz w:val="24"/>
          <w:szCs w:val="24"/>
        </w:rPr>
        <w:t>straw (</w:t>
      </w:r>
      <w:r w:rsidRPr="00843A68">
        <w:rPr>
          <w:rFonts w:ascii="Times New Roman" w:hAnsi="Times New Roman"/>
          <w:sz w:val="24"/>
          <w:szCs w:val="24"/>
        </w:rPr>
        <w:t>0.83, 0.20,</w:t>
      </w:r>
      <w:r w:rsidR="007367BD">
        <w:rPr>
          <w:rFonts w:ascii="Times New Roman" w:hAnsi="Times New Roman"/>
          <w:sz w:val="24"/>
          <w:szCs w:val="24"/>
        </w:rPr>
        <w:t xml:space="preserve"> 0.84 and 0.20%, respectively) </w:t>
      </w:r>
      <w:r w:rsidRPr="00843A68">
        <w:rPr>
          <w:rFonts w:ascii="Times New Roman" w:hAnsi="Times New Roman"/>
          <w:sz w:val="24"/>
          <w:szCs w:val="24"/>
        </w:rPr>
        <w:t>was recorded in the treatment whichreceivedRDFalone (T</w:t>
      </w:r>
      <w:r w:rsidRPr="00843A68">
        <w:rPr>
          <w:rFonts w:ascii="Times New Roman" w:hAnsi="Times New Roman"/>
          <w:sz w:val="24"/>
          <w:szCs w:val="24"/>
          <w:vertAlign w:val="subscript"/>
        </w:rPr>
        <w:t>1</w:t>
      </w:r>
      <w:r w:rsidRPr="00843A68">
        <w:rPr>
          <w:rFonts w:ascii="Times New Roman" w:hAnsi="Times New Roman"/>
          <w:sz w:val="24"/>
          <w:szCs w:val="24"/>
        </w:rPr>
        <w:t>).</w:t>
      </w:r>
      <w:r w:rsidR="00097AA7" w:rsidRPr="00A866B9">
        <w:rPr>
          <w:rFonts w:ascii="Times New Roman" w:hAnsi="Times New Roman"/>
          <w:sz w:val="24"/>
          <w:szCs w:val="24"/>
        </w:rPr>
        <w:t>The nitrogen uptake increased with the application of fertilizers with or without biofertilizers. It might be due to favorable soil conditions which enhanced nutrient availability and nutrient uptake as well as a better growth and activity of roots (Idries</w:t>
      </w:r>
      <w:r w:rsidR="00097AA7" w:rsidRPr="00A866B9">
        <w:rPr>
          <w:rFonts w:ascii="Times New Roman" w:hAnsi="Times New Roman"/>
          <w:i/>
          <w:sz w:val="24"/>
          <w:szCs w:val="24"/>
        </w:rPr>
        <w:t>et al</w:t>
      </w:r>
      <w:r w:rsidR="00097AA7" w:rsidRPr="00A866B9">
        <w:rPr>
          <w:rFonts w:ascii="Times New Roman" w:hAnsi="Times New Roman"/>
          <w:sz w:val="24"/>
          <w:szCs w:val="24"/>
        </w:rPr>
        <w:t>., 1979, Jagdale</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1980 and Bera</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2013).</w:t>
      </w:r>
      <w:r w:rsidR="00A866B9">
        <w:rPr>
          <w:rFonts w:ascii="Times New Roman" w:hAnsi="Times New Roman"/>
          <w:sz w:val="24"/>
          <w:szCs w:val="24"/>
        </w:rPr>
        <w:t xml:space="preserve"> G</w:t>
      </w:r>
      <w:r w:rsidR="00097AA7" w:rsidRPr="00843A68">
        <w:rPr>
          <w:rFonts w:ascii="Times New Roman" w:hAnsi="Times New Roman"/>
          <w:sz w:val="24"/>
          <w:szCs w:val="24"/>
        </w:rPr>
        <w:t xml:space="preserve">reater availability and uptake of phosphorus due to additive effect of these PSB biofertilizer in improving nutritional environment enhanced the growth in terms of branches and drymatter, photosynthetic area, production of assimilates and their translocation to reproductive structures, thereby increasing the </w:t>
      </w:r>
      <w:r w:rsidR="00A866B9">
        <w:rPr>
          <w:rFonts w:ascii="Times New Roman" w:hAnsi="Times New Roman"/>
          <w:sz w:val="24"/>
          <w:szCs w:val="24"/>
        </w:rPr>
        <w:t>yield attributes and ultimately,</w:t>
      </w:r>
      <w:r w:rsidR="00097AA7" w:rsidRPr="00843A68">
        <w:rPr>
          <w:rFonts w:ascii="Times New Roman" w:hAnsi="Times New Roman"/>
          <w:sz w:val="24"/>
          <w:szCs w:val="24"/>
        </w:rPr>
        <w:t xml:space="preserve"> yield of the </w:t>
      </w:r>
      <w:r w:rsidR="00097AA7" w:rsidRPr="00843A68">
        <w:rPr>
          <w:rFonts w:ascii="Times New Roman" w:hAnsi="Times New Roman"/>
          <w:spacing w:val="-2"/>
          <w:sz w:val="24"/>
          <w:szCs w:val="24"/>
        </w:rPr>
        <w:t>cr</w:t>
      </w:r>
      <w:r w:rsidR="00097AA7" w:rsidRPr="00843A68">
        <w:rPr>
          <w:rFonts w:ascii="Times New Roman" w:hAnsi="Times New Roman"/>
          <w:sz w:val="24"/>
          <w:szCs w:val="24"/>
        </w:rPr>
        <w:t>op. Significant increase in straw yield due to bio-fertilizer inoculation could be attributed to the increased vegetative growth possibly as a result of effective utilization of nutrients absorbed through extensive root system and prolific shoot development on account of improved nourishment (Gangwar and Dubey, 2012).</w:t>
      </w:r>
      <w:r w:rsidR="00097AA7" w:rsidRPr="00121694">
        <w:rPr>
          <w:rFonts w:ascii="Times New Roman" w:hAnsi="Times New Roman"/>
          <w:sz w:val="24"/>
          <w:szCs w:val="24"/>
        </w:rPr>
        <w:t xml:space="preserve">Increase in the potassium uptake is also due to the increase in dry matter production due to the balanced nutrition with micronutrients and biofertilizers. </w:t>
      </w:r>
      <w:r w:rsidR="00097AA7" w:rsidRPr="00121694">
        <w:rPr>
          <w:rFonts w:ascii="Times New Roman" w:hAnsi="Times New Roman"/>
          <w:b/>
          <w:sz w:val="28"/>
          <w:szCs w:val="28"/>
        </w:rPr>
        <w:tab/>
      </w:r>
    </w:p>
    <w:p w:rsidR="004518E5" w:rsidRPr="00121694" w:rsidRDefault="001B4620" w:rsidP="004518E5">
      <w:pPr>
        <w:spacing w:before="240" w:after="240" w:line="360" w:lineRule="auto"/>
        <w:ind w:right="34"/>
        <w:jc w:val="both"/>
        <w:rPr>
          <w:rFonts w:ascii="Times New Roman" w:hAnsi="Times New Roman"/>
          <w:b/>
          <w:sz w:val="24"/>
          <w:szCs w:val="24"/>
        </w:rPr>
      </w:pPr>
      <w:r w:rsidRPr="00121694">
        <w:rPr>
          <w:rFonts w:ascii="Times New Roman" w:hAnsi="Times New Roman"/>
          <w:b/>
          <w:sz w:val="24"/>
          <w:szCs w:val="24"/>
        </w:rPr>
        <w:t xml:space="preserve">Influence of micronutrients and biofertilizers on </w:t>
      </w:r>
      <w:r w:rsidR="004518E5" w:rsidRPr="00121694">
        <w:rPr>
          <w:rFonts w:ascii="Times New Roman" w:hAnsi="Times New Roman"/>
          <w:b/>
          <w:sz w:val="24"/>
          <w:szCs w:val="24"/>
        </w:rPr>
        <w:t xml:space="preserve">Micronutrient content in chickpea </w:t>
      </w:r>
      <w:r w:rsidR="004518E5" w:rsidRPr="00121694">
        <w:rPr>
          <w:rFonts w:ascii="Times New Roman" w:hAnsi="Times New Roman"/>
          <w:sz w:val="24"/>
          <w:szCs w:val="24"/>
        </w:rPr>
        <w:t>(</w:t>
      </w:r>
      <w:r w:rsidR="004518E5" w:rsidRPr="00121694">
        <w:rPr>
          <w:rFonts w:ascii="Times New Roman" w:hAnsi="Times New Roman"/>
          <w:b/>
          <w:sz w:val="24"/>
          <w:szCs w:val="24"/>
        </w:rPr>
        <w:t xml:space="preserve">Fe, Zn, Mn and Cu) </w:t>
      </w:r>
    </w:p>
    <w:p w:rsidR="00087582" w:rsidRPr="00A866B9" w:rsidRDefault="004518E5" w:rsidP="00087582">
      <w:pPr>
        <w:spacing w:before="240" w:after="240" w:line="360" w:lineRule="auto"/>
        <w:ind w:right="34" w:firstLine="720"/>
        <w:jc w:val="both"/>
        <w:rPr>
          <w:rFonts w:ascii="Times New Roman" w:hAnsi="Times New Roman"/>
          <w:sz w:val="24"/>
          <w:szCs w:val="24"/>
        </w:rPr>
      </w:pPr>
      <w:r w:rsidRPr="00843A68">
        <w:rPr>
          <w:rFonts w:ascii="Times New Roman" w:hAnsi="Times New Roman"/>
          <w:sz w:val="24"/>
          <w:szCs w:val="24"/>
        </w:rPr>
        <w:t>The data pertaining to the micro nutrient (Fe, Zn, Mn and Cu)content in chickpea as influenced by the different micronutrients and biofertilizers is presented i</w:t>
      </w:r>
      <w:r w:rsidR="00812161">
        <w:rPr>
          <w:rFonts w:ascii="Times New Roman" w:hAnsi="Times New Roman"/>
          <w:sz w:val="24"/>
          <w:szCs w:val="24"/>
        </w:rPr>
        <w:t xml:space="preserve">n </w:t>
      </w:r>
      <w:r w:rsidR="00087582" w:rsidRPr="00A866B9">
        <w:rPr>
          <w:rFonts w:ascii="Times New Roman" w:hAnsi="Times New Roman"/>
          <w:sz w:val="24"/>
          <w:szCs w:val="24"/>
        </w:rPr>
        <w:t>Fig</w:t>
      </w:r>
      <w:r w:rsidR="00A866B9" w:rsidRPr="00A866B9">
        <w:rPr>
          <w:rFonts w:ascii="Times New Roman" w:hAnsi="Times New Roman"/>
          <w:sz w:val="24"/>
          <w:szCs w:val="24"/>
        </w:rPr>
        <w:t>.</w:t>
      </w:r>
      <w:r w:rsidR="00087582" w:rsidRPr="00A866B9">
        <w:rPr>
          <w:rFonts w:ascii="Times New Roman" w:hAnsi="Times New Roman"/>
          <w:sz w:val="24"/>
          <w:szCs w:val="24"/>
        </w:rPr>
        <w:t xml:space="preserve"> no</w:t>
      </w:r>
      <w:r w:rsidR="00A866B9" w:rsidRPr="00A866B9">
        <w:rPr>
          <w:rFonts w:ascii="Times New Roman" w:hAnsi="Times New Roman"/>
          <w:sz w:val="24"/>
          <w:szCs w:val="24"/>
        </w:rPr>
        <w:t>.</w:t>
      </w:r>
      <w:r w:rsidR="00087582" w:rsidRPr="00A866B9">
        <w:rPr>
          <w:rFonts w:ascii="Times New Roman" w:hAnsi="Times New Roman"/>
          <w:sz w:val="24"/>
          <w:szCs w:val="24"/>
        </w:rPr>
        <w:t xml:space="preserve"> 5to 8</w:t>
      </w:r>
      <w:r w:rsidR="00A866B9">
        <w:rPr>
          <w:rFonts w:ascii="Times New Roman" w:hAnsi="Times New Roman"/>
          <w:sz w:val="24"/>
          <w:szCs w:val="24"/>
        </w:rPr>
        <w:t>.</w:t>
      </w:r>
    </w:p>
    <w:p w:rsidR="00097AA7" w:rsidRPr="00A866B9" w:rsidRDefault="004518E5" w:rsidP="00087582">
      <w:pPr>
        <w:spacing w:before="240" w:after="240" w:line="360" w:lineRule="auto"/>
        <w:ind w:right="34"/>
        <w:jc w:val="both"/>
        <w:rPr>
          <w:rFonts w:ascii="Times New Roman" w:hAnsi="Times New Roman"/>
          <w:sz w:val="24"/>
          <w:szCs w:val="24"/>
        </w:rPr>
      </w:pPr>
      <w:r w:rsidRPr="00A866B9">
        <w:rPr>
          <w:rFonts w:ascii="Times New Roman" w:hAnsi="Times New Roman"/>
          <w:sz w:val="24"/>
          <w:szCs w:val="24"/>
        </w:rPr>
        <w:t>Application of micronutrients and biofertilizers did not differ significantly for micro nutrient content in chickpea straw and seeds</w:t>
      </w:r>
      <w:r w:rsidRPr="00A866B9">
        <w:rPr>
          <w:rFonts w:ascii="Times New Roman" w:hAnsi="Times New Roman"/>
          <w:color w:val="FF0000"/>
          <w:sz w:val="24"/>
          <w:szCs w:val="24"/>
        </w:rPr>
        <w:t xml:space="preserve">. </w:t>
      </w:r>
      <w:r w:rsidRPr="00A866B9">
        <w:rPr>
          <w:rFonts w:ascii="Times New Roman" w:hAnsi="Times New Roman"/>
          <w:spacing w:val="-1"/>
          <w:sz w:val="24"/>
          <w:szCs w:val="24"/>
        </w:rPr>
        <w:t>However, the treatment which receive</w:t>
      </w:r>
      <w:r w:rsidR="00C72FB4" w:rsidRPr="00A866B9">
        <w:rPr>
          <w:rFonts w:ascii="Times New Roman" w:hAnsi="Times New Roman"/>
          <w:sz w:val="24"/>
          <w:szCs w:val="24"/>
        </w:rPr>
        <w:t>d</w:t>
      </w:r>
      <w:r w:rsidRPr="00A866B9">
        <w:rPr>
          <w:rFonts w:ascii="Times New Roman" w:hAnsi="Times New Roman"/>
          <w:sz w:val="24"/>
          <w:szCs w:val="24"/>
        </w:rPr>
        <w:t xml:space="preserve">RDF + </w:t>
      </w:r>
      <w:r w:rsidRPr="00A866B9">
        <w:rPr>
          <w:rFonts w:ascii="Times New Roman" w:hAnsi="Times New Roman"/>
          <w:i/>
          <w:iCs/>
          <w:sz w:val="24"/>
          <w:szCs w:val="24"/>
        </w:rPr>
        <w:t>Rhizobium</w:t>
      </w:r>
      <w:r w:rsidRPr="00A866B9">
        <w:rPr>
          <w:rFonts w:ascii="Times New Roman" w:hAnsi="Times New Roman"/>
          <w:sz w:val="24"/>
          <w:szCs w:val="24"/>
        </w:rPr>
        <w:t xml:space="preserve"> + PSB (@ 1250g ha</w:t>
      </w:r>
      <w:r w:rsidRPr="00A866B9">
        <w:rPr>
          <w:rFonts w:ascii="Times New Roman" w:hAnsi="Times New Roman"/>
          <w:sz w:val="24"/>
          <w:szCs w:val="24"/>
          <w:vertAlign w:val="superscript"/>
        </w:rPr>
        <w:t>-1</w:t>
      </w:r>
      <w:r w:rsidR="00A866B9" w:rsidRPr="00A866B9">
        <w:rPr>
          <w:rFonts w:ascii="Times New Roman" w:hAnsi="Times New Roman"/>
          <w:sz w:val="24"/>
          <w:szCs w:val="24"/>
        </w:rPr>
        <w:t>)  + Fe</w:t>
      </w:r>
      <w:r w:rsidRPr="00A866B9">
        <w:rPr>
          <w:rFonts w:ascii="Times New Roman" w:hAnsi="Times New Roman"/>
          <w:sz w:val="24"/>
          <w:szCs w:val="24"/>
        </w:rPr>
        <w:t>SO</w:t>
      </w:r>
      <w:r w:rsidRPr="00A866B9">
        <w:rPr>
          <w:rFonts w:ascii="Times New Roman" w:hAnsi="Times New Roman"/>
          <w:sz w:val="24"/>
          <w:szCs w:val="24"/>
          <w:vertAlign w:val="subscript"/>
        </w:rPr>
        <w:t xml:space="preserve">4 </w:t>
      </w:r>
      <w:r w:rsidRPr="00A866B9">
        <w:rPr>
          <w:rFonts w:ascii="Times New Roman" w:hAnsi="Times New Roman"/>
          <w:sz w:val="24"/>
          <w:szCs w:val="24"/>
        </w:rPr>
        <w:t>@ 10 kg ha</w:t>
      </w:r>
      <w:r w:rsidRPr="00A866B9">
        <w:rPr>
          <w:rFonts w:ascii="Times New Roman" w:hAnsi="Times New Roman"/>
          <w:sz w:val="24"/>
          <w:szCs w:val="24"/>
          <w:vertAlign w:val="superscript"/>
        </w:rPr>
        <w:t xml:space="preserve">-1 </w:t>
      </w:r>
      <w:r w:rsidRPr="00A866B9">
        <w:rPr>
          <w:rFonts w:ascii="Times New Roman" w:hAnsi="Times New Roman"/>
          <w:sz w:val="24"/>
          <w:szCs w:val="24"/>
        </w:rPr>
        <w:t>+</w:t>
      </w:r>
      <w:r w:rsidR="00A866B9" w:rsidRPr="00A866B9">
        <w:rPr>
          <w:rFonts w:ascii="Times New Roman" w:hAnsi="Times New Roman"/>
          <w:sz w:val="24"/>
          <w:szCs w:val="24"/>
        </w:rPr>
        <w:t>Zn</w:t>
      </w:r>
      <w:r w:rsidRPr="00A866B9">
        <w:rPr>
          <w:rFonts w:ascii="Times New Roman" w:hAnsi="Times New Roman"/>
          <w:sz w:val="24"/>
          <w:szCs w:val="24"/>
        </w:rPr>
        <w:t>SO</w:t>
      </w:r>
      <w:r w:rsidRPr="00A866B9">
        <w:rPr>
          <w:rFonts w:ascii="Times New Roman" w:hAnsi="Times New Roman"/>
          <w:sz w:val="24"/>
          <w:szCs w:val="24"/>
          <w:vertAlign w:val="subscript"/>
        </w:rPr>
        <w:t>4</w:t>
      </w:r>
      <w:r w:rsidRPr="00A866B9">
        <w:rPr>
          <w:rFonts w:ascii="Times New Roman" w:hAnsi="Times New Roman"/>
          <w:sz w:val="24"/>
          <w:szCs w:val="24"/>
        </w:rPr>
        <w:t>@ 10</w:t>
      </w:r>
      <w:r w:rsidR="00493D51" w:rsidRPr="00493D51">
        <w:rPr>
          <w:rFonts w:ascii="Times New Roman" w:hAnsi="Times New Roman"/>
          <w:b/>
          <w:noProof/>
          <w:sz w:val="24"/>
          <w:szCs w:val="24"/>
          <w:lang w:val="en-IN" w:eastAsia="en-IN" w:bidi="kn-IN"/>
        </w:rPr>
        <w:pict>
          <v:shapetype id="_x0000_t202" coordsize="21600,21600" o:spt="202" path="m,l,21600r21600,l21600,xe">
            <v:stroke joinstyle="miter"/>
            <v:path gradientshapeok="t" o:connecttype="rect"/>
          </v:shapetype>
          <v:shape id="_x0000_s1040" type="#_x0000_t202" style="position:absolute;left:0;text-align:left;margin-left:664.65pt;margin-top:-57.8pt;width:38.5pt;height:45pt;z-index:251673600;mso-position-horizontal-relative:text;mso-position-vertical-relative:text" filled="f" stroked="f">
            <v:textbox style="layout-flow:vertical;mso-next-textbox:#_x0000_s1040">
              <w:txbxContent>
                <w:p w:rsidR="002D6F11" w:rsidRPr="007C2AF3" w:rsidRDefault="002D6F11" w:rsidP="004518E5">
                  <w:pPr>
                    <w:jc w:val="center"/>
                    <w:rPr>
                      <w:rFonts w:ascii="Cambria" w:hAnsi="Cambria"/>
                      <w:b/>
                      <w:bCs/>
                      <w:sz w:val="26"/>
                      <w:szCs w:val="26"/>
                    </w:rPr>
                  </w:pPr>
                  <w:r>
                    <w:rPr>
                      <w:rFonts w:ascii="Cambria" w:hAnsi="Cambria"/>
                      <w:b/>
                      <w:bCs/>
                      <w:sz w:val="26"/>
                      <w:szCs w:val="26"/>
                    </w:rPr>
                    <w:t>62</w:t>
                  </w:r>
                </w:p>
              </w:txbxContent>
            </v:textbox>
          </v:shape>
        </w:pict>
      </w:r>
      <w:r w:rsidRPr="00A866B9">
        <w:rPr>
          <w:rFonts w:ascii="Times New Roman" w:hAnsi="Times New Roman"/>
          <w:sz w:val="24"/>
          <w:szCs w:val="24"/>
        </w:rPr>
        <w:t>kg ha</w:t>
      </w:r>
      <w:r w:rsidRPr="00A866B9">
        <w:rPr>
          <w:rFonts w:ascii="Times New Roman" w:hAnsi="Times New Roman"/>
          <w:sz w:val="24"/>
          <w:szCs w:val="24"/>
          <w:vertAlign w:val="superscript"/>
        </w:rPr>
        <w:t xml:space="preserve">-1 </w:t>
      </w:r>
      <w:r w:rsidRPr="00A866B9">
        <w:rPr>
          <w:rFonts w:ascii="Times New Roman" w:hAnsi="Times New Roman"/>
          <w:sz w:val="24"/>
          <w:szCs w:val="24"/>
        </w:rPr>
        <w:t>+Borax @ 10 kg ha</w:t>
      </w:r>
      <w:r w:rsidRPr="00A866B9">
        <w:rPr>
          <w:rFonts w:ascii="Times New Roman" w:hAnsi="Times New Roman"/>
          <w:sz w:val="24"/>
          <w:szCs w:val="24"/>
          <w:vertAlign w:val="superscript"/>
        </w:rPr>
        <w:t xml:space="preserve">-1 </w:t>
      </w:r>
      <w:r w:rsidRPr="00A866B9">
        <w:rPr>
          <w:rFonts w:ascii="Times New Roman" w:hAnsi="Times New Roman"/>
          <w:sz w:val="24"/>
          <w:szCs w:val="24"/>
        </w:rPr>
        <w:t xml:space="preserve"> + Sodium molybdate @ 1.0 g kg</w:t>
      </w:r>
      <w:r w:rsidRPr="00A866B9">
        <w:rPr>
          <w:rFonts w:ascii="Times New Roman" w:hAnsi="Times New Roman"/>
          <w:sz w:val="24"/>
          <w:szCs w:val="24"/>
          <w:vertAlign w:val="superscript"/>
        </w:rPr>
        <w:t xml:space="preserve">-1 </w:t>
      </w:r>
      <w:r w:rsidRPr="00A866B9">
        <w:rPr>
          <w:rFonts w:ascii="Times New Roman" w:hAnsi="Times New Roman"/>
          <w:sz w:val="24"/>
          <w:szCs w:val="24"/>
        </w:rPr>
        <w:t xml:space="preserve"> seeds</w:t>
      </w:r>
      <w:r w:rsidRPr="00A866B9">
        <w:rPr>
          <w:rFonts w:ascii="Times New Roman" w:hAnsi="Times New Roman"/>
          <w:spacing w:val="-1"/>
          <w:sz w:val="24"/>
          <w:szCs w:val="24"/>
        </w:rPr>
        <w:t xml:space="preserve"> (T</w:t>
      </w:r>
      <w:r w:rsidRPr="00A866B9">
        <w:rPr>
          <w:rFonts w:ascii="Times New Roman" w:hAnsi="Times New Roman"/>
          <w:spacing w:val="-1"/>
          <w:sz w:val="24"/>
          <w:szCs w:val="24"/>
          <w:vertAlign w:val="subscript"/>
        </w:rPr>
        <w:t>8</w:t>
      </w:r>
      <w:r w:rsidRPr="00A866B9">
        <w:rPr>
          <w:rFonts w:ascii="Times New Roman" w:hAnsi="Times New Roman"/>
          <w:spacing w:val="-1"/>
          <w:sz w:val="24"/>
          <w:szCs w:val="24"/>
        </w:rPr>
        <w:t xml:space="preserve">) </w:t>
      </w:r>
      <w:r w:rsidRPr="00A866B9">
        <w:rPr>
          <w:rFonts w:ascii="Times New Roman" w:hAnsi="Times New Roman"/>
          <w:sz w:val="24"/>
          <w:szCs w:val="24"/>
        </w:rPr>
        <w:t xml:space="preserve">resulted innumerically higher iron, zinc, manganese and copper content in chickpea seed(69.94, 28.46, 28.80 and 27.42 ppm, respectively) and straw (45.09, 18.57, 47.93 and 38.80 ppm, respectively). The lower iron, zinc, manganese and copper content in chickpea straw(63.01, 22.21, 22.40 and 25.65 </w:t>
      </w:r>
      <w:r w:rsidRPr="00A866B9">
        <w:rPr>
          <w:rFonts w:ascii="Times New Roman" w:hAnsi="Times New Roman"/>
          <w:sz w:val="24"/>
          <w:szCs w:val="24"/>
        </w:rPr>
        <w:lastRenderedPageBreak/>
        <w:t xml:space="preserve">ppm, respectively) and straw (18.48, 16.64, 45.34 and 35.63 ppm, respectively) </w:t>
      </w:r>
      <w:r w:rsidR="006929AE" w:rsidRPr="00A866B9">
        <w:rPr>
          <w:rFonts w:ascii="Times New Roman" w:hAnsi="Times New Roman"/>
          <w:sz w:val="24"/>
          <w:szCs w:val="24"/>
        </w:rPr>
        <w:t>were</w:t>
      </w:r>
      <w:r w:rsidRPr="00A866B9">
        <w:rPr>
          <w:rFonts w:ascii="Times New Roman" w:hAnsi="Times New Roman"/>
          <w:sz w:val="24"/>
          <w:szCs w:val="24"/>
        </w:rPr>
        <w:t xml:space="preserve"> recorded in the treatment whichreceivedRDFalone (T</w:t>
      </w:r>
      <w:r w:rsidRPr="00A866B9">
        <w:rPr>
          <w:rFonts w:ascii="Times New Roman" w:hAnsi="Times New Roman"/>
          <w:sz w:val="24"/>
          <w:szCs w:val="24"/>
          <w:vertAlign w:val="subscript"/>
        </w:rPr>
        <w:t>1</w:t>
      </w:r>
      <w:r w:rsidRPr="00A866B9">
        <w:rPr>
          <w:rFonts w:ascii="Times New Roman" w:hAnsi="Times New Roman"/>
          <w:sz w:val="24"/>
          <w:szCs w:val="24"/>
        </w:rPr>
        <w:t>).</w:t>
      </w:r>
      <w:r w:rsidR="00097AA7" w:rsidRPr="00A866B9">
        <w:rPr>
          <w:rFonts w:ascii="Times New Roman" w:hAnsi="Times New Roman"/>
          <w:sz w:val="24"/>
          <w:szCs w:val="24"/>
        </w:rPr>
        <w:t xml:space="preserve"> Uptake of any nutrient is the function of its content and dry matter production of the crop. Higher nutrient content in the produce and higher biomass production of chickpea might be the pertinent reason for higher uptake of nutrients (</w:t>
      </w:r>
      <w:r w:rsidR="00097AA7" w:rsidRPr="00A866B9">
        <w:rPr>
          <w:rFonts w:ascii="Times New Roman" w:hAnsi="Times New Roman"/>
          <w:bCs/>
          <w:sz w:val="24"/>
          <w:szCs w:val="24"/>
        </w:rPr>
        <w:t xml:space="preserve">Singh </w:t>
      </w:r>
      <w:r w:rsidR="006929AE" w:rsidRPr="00A866B9">
        <w:rPr>
          <w:rFonts w:ascii="Times New Roman" w:hAnsi="Times New Roman"/>
          <w:bCs/>
          <w:i/>
          <w:iCs/>
          <w:sz w:val="24"/>
          <w:szCs w:val="24"/>
        </w:rPr>
        <w:t>et al</w:t>
      </w:r>
      <w:r w:rsidR="00097AA7" w:rsidRPr="00A866B9">
        <w:rPr>
          <w:rFonts w:ascii="Times New Roman" w:hAnsi="Times New Roman"/>
          <w:bCs/>
          <w:i/>
          <w:sz w:val="24"/>
          <w:szCs w:val="24"/>
        </w:rPr>
        <w:t>.</w:t>
      </w:r>
      <w:r w:rsidR="006929AE" w:rsidRPr="00A866B9">
        <w:rPr>
          <w:rFonts w:ascii="Times New Roman" w:hAnsi="Times New Roman"/>
          <w:bCs/>
          <w:i/>
          <w:sz w:val="24"/>
          <w:szCs w:val="24"/>
        </w:rPr>
        <w:t>,</w:t>
      </w:r>
      <w:r w:rsidR="00097AA7" w:rsidRPr="00A866B9">
        <w:rPr>
          <w:rFonts w:ascii="Times New Roman" w:hAnsi="Times New Roman"/>
          <w:bCs/>
          <w:sz w:val="24"/>
          <w:szCs w:val="24"/>
        </w:rPr>
        <w:t>2004).</w:t>
      </w:r>
      <w:r w:rsidR="00097AA7" w:rsidRPr="00A866B9">
        <w:rPr>
          <w:rFonts w:ascii="Times New Roman" w:hAnsi="Times New Roman"/>
          <w:sz w:val="24"/>
          <w:szCs w:val="24"/>
        </w:rPr>
        <w:t xml:space="preserve"> It might be also due to the synergetic effect between iron and zinc in plants and higher dry matter production (Mousavi </w:t>
      </w:r>
      <w:r w:rsidR="00097AA7" w:rsidRPr="00A866B9">
        <w:rPr>
          <w:rFonts w:ascii="Times New Roman" w:hAnsi="Times New Roman"/>
          <w:i/>
          <w:sz w:val="24"/>
          <w:szCs w:val="24"/>
        </w:rPr>
        <w:t>et al.,</w:t>
      </w:r>
      <w:r w:rsidR="00097AA7" w:rsidRPr="00A866B9">
        <w:rPr>
          <w:rFonts w:ascii="Times New Roman" w:hAnsi="Times New Roman"/>
          <w:sz w:val="24"/>
          <w:szCs w:val="24"/>
        </w:rPr>
        <w:t xml:space="preserve"> 2012).</w:t>
      </w:r>
    </w:p>
    <w:p w:rsidR="00BD0EF8" w:rsidRDefault="00BD0EF8" w:rsidP="00A866B9">
      <w:pPr>
        <w:tabs>
          <w:tab w:val="left" w:pos="180"/>
        </w:tabs>
        <w:spacing w:line="240" w:lineRule="auto"/>
        <w:jc w:val="both"/>
        <w:rPr>
          <w:rFonts w:ascii="Times New Roman" w:hAnsi="Times New Roman"/>
          <w:b/>
          <w:sz w:val="24"/>
          <w:szCs w:val="24"/>
        </w:rPr>
      </w:pPr>
      <w:r w:rsidRPr="00B75D34">
        <w:rPr>
          <w:rFonts w:ascii="Times New Roman" w:hAnsi="Times New Roman"/>
          <w:b/>
          <w:sz w:val="24"/>
          <w:szCs w:val="24"/>
        </w:rPr>
        <w:t>Influence of different micronutrients and biofertilizers on grain yield, haulm yield and harvest index of chickpea</w:t>
      </w:r>
    </w:p>
    <w:p w:rsidR="00BD0EF8" w:rsidRPr="00BD0EF8" w:rsidRDefault="00A866B9" w:rsidP="00C72FB4">
      <w:pPr>
        <w:pStyle w:val="ListParagraph"/>
        <w:spacing w:before="240" w:after="240" w:line="360" w:lineRule="auto"/>
        <w:ind w:left="0" w:right="-222"/>
        <w:rPr>
          <w:sz w:val="24"/>
          <w:szCs w:val="24"/>
        </w:rPr>
      </w:pPr>
      <w:r>
        <w:tab/>
      </w:r>
      <w:r w:rsidR="00BD0EF8" w:rsidRPr="00BD0EF8">
        <w:rPr>
          <w:sz w:val="24"/>
          <w:szCs w:val="24"/>
        </w:rPr>
        <w:t xml:space="preserve">The grain yield increased by 46.17 percent, haulm yield increased by 27.59 percent and harvest index increased by 8 percent with the application of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 xml:space="preserve"> + Sodium Molybdate @ 1.0 g kg</w:t>
      </w:r>
      <w:r w:rsidR="00BD0EF8" w:rsidRPr="00BD0EF8">
        <w:rPr>
          <w:sz w:val="24"/>
          <w:szCs w:val="24"/>
          <w:vertAlign w:val="superscript"/>
        </w:rPr>
        <w:t xml:space="preserve">-1 </w:t>
      </w:r>
      <w:r w:rsidR="00BD0EF8" w:rsidRPr="00BD0EF8">
        <w:rPr>
          <w:sz w:val="24"/>
          <w:szCs w:val="24"/>
        </w:rPr>
        <w:t xml:space="preserve"> seeds (T</w:t>
      </w:r>
      <w:r w:rsidR="00BD0EF8" w:rsidRPr="00BD0EF8">
        <w:rPr>
          <w:sz w:val="24"/>
          <w:szCs w:val="24"/>
          <w:vertAlign w:val="subscript"/>
        </w:rPr>
        <w:t>8</w:t>
      </w:r>
      <w:r w:rsidR="00BD0EF8" w:rsidRPr="00BD0EF8">
        <w:rPr>
          <w:sz w:val="24"/>
          <w:szCs w:val="24"/>
        </w:rPr>
        <w:t xml:space="preserve">) followed by RDF + </w:t>
      </w:r>
      <w:r w:rsidR="00BD0EF8" w:rsidRPr="00BD0EF8">
        <w:rPr>
          <w:i/>
          <w:iCs/>
          <w:sz w:val="24"/>
          <w:szCs w:val="24"/>
        </w:rPr>
        <w:t>Rhizobium</w:t>
      </w:r>
      <w:r w:rsidR="00BD0EF8" w:rsidRPr="00BD0EF8">
        <w:rPr>
          <w:sz w:val="24"/>
          <w:szCs w:val="24"/>
        </w:rPr>
        <w:t xml:space="preserve"> + PSB (@ 1250g ha</w:t>
      </w:r>
      <w:r w:rsidR="00BD0EF8" w:rsidRPr="00BD0EF8">
        <w:rPr>
          <w:sz w:val="24"/>
          <w:szCs w:val="24"/>
          <w:vertAlign w:val="superscript"/>
        </w:rPr>
        <w:t>-1</w:t>
      </w:r>
      <w:r w:rsidR="001570F1">
        <w:rPr>
          <w:sz w:val="24"/>
          <w:szCs w:val="24"/>
        </w:rPr>
        <w:t>) + Fe</w:t>
      </w:r>
      <w:r w:rsidR="00BD0EF8" w:rsidRPr="00BD0EF8">
        <w:rPr>
          <w:sz w:val="24"/>
          <w:szCs w:val="24"/>
        </w:rPr>
        <w:t>SO</w:t>
      </w:r>
      <w:r w:rsidR="00BD0EF8" w:rsidRPr="00BD0EF8">
        <w:rPr>
          <w:sz w:val="24"/>
          <w:szCs w:val="24"/>
          <w:vertAlign w:val="subscript"/>
        </w:rPr>
        <w:t xml:space="preserve">4 </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w:t>
      </w:r>
      <w:r w:rsidR="001570F1">
        <w:rPr>
          <w:sz w:val="24"/>
          <w:szCs w:val="24"/>
        </w:rPr>
        <w:t>Zn</w:t>
      </w:r>
      <w:r w:rsidR="00BD0EF8" w:rsidRPr="00BD0EF8">
        <w:rPr>
          <w:sz w:val="24"/>
          <w:szCs w:val="24"/>
        </w:rPr>
        <w:t>SO</w:t>
      </w:r>
      <w:r w:rsidR="00BD0EF8" w:rsidRPr="00BD0EF8">
        <w:rPr>
          <w:sz w:val="24"/>
          <w:szCs w:val="24"/>
          <w:vertAlign w:val="subscript"/>
        </w:rPr>
        <w:t>4</w:t>
      </w:r>
      <w:r w:rsidR="00BD0EF8" w:rsidRPr="00BD0EF8">
        <w:rPr>
          <w:sz w:val="24"/>
          <w:szCs w:val="24"/>
          <w:lang w:val="en-IN"/>
        </w:rPr>
        <w:t>@ 10 kg ha</w:t>
      </w:r>
      <w:r w:rsidR="00BD0EF8" w:rsidRPr="00BD0EF8">
        <w:rPr>
          <w:sz w:val="24"/>
          <w:szCs w:val="24"/>
          <w:vertAlign w:val="superscript"/>
          <w:lang w:val="en-IN"/>
        </w:rPr>
        <w:t xml:space="preserve">-1 </w:t>
      </w:r>
      <w:r w:rsidR="00BD0EF8" w:rsidRPr="00BD0EF8">
        <w:rPr>
          <w:sz w:val="24"/>
          <w:szCs w:val="24"/>
        </w:rPr>
        <w:t>+Borax @ 10 kg ha</w:t>
      </w:r>
      <w:r w:rsidR="00BD0EF8" w:rsidRPr="00BD0EF8">
        <w:rPr>
          <w:sz w:val="24"/>
          <w:szCs w:val="24"/>
          <w:vertAlign w:val="superscript"/>
        </w:rPr>
        <w:t xml:space="preserve">-1 </w:t>
      </w:r>
      <w:r w:rsidR="00BD0EF8" w:rsidRPr="00BD0EF8">
        <w:rPr>
          <w:sz w:val="24"/>
          <w:szCs w:val="24"/>
        </w:rPr>
        <w:t>(T</w:t>
      </w:r>
      <w:r w:rsidR="00BD0EF8" w:rsidRPr="00BD0EF8">
        <w:rPr>
          <w:sz w:val="24"/>
          <w:szCs w:val="24"/>
          <w:vertAlign w:val="subscript"/>
        </w:rPr>
        <w:t>7</w:t>
      </w:r>
      <w:r w:rsidR="00BD0EF8" w:rsidRPr="00BD0EF8">
        <w:rPr>
          <w:sz w:val="24"/>
          <w:szCs w:val="24"/>
        </w:rPr>
        <w:t>). The lowest grain and haulm yield was found in control</w:t>
      </w:r>
      <w:r w:rsidR="00C72FB4" w:rsidRPr="00A866B9">
        <w:rPr>
          <w:spacing w:val="-1"/>
          <w:sz w:val="24"/>
          <w:szCs w:val="24"/>
        </w:rPr>
        <w:t>treatment</w:t>
      </w:r>
      <w:r w:rsidR="00BD0EF8" w:rsidRPr="00BD0EF8">
        <w:rPr>
          <w:sz w:val="24"/>
          <w:szCs w:val="24"/>
        </w:rPr>
        <w:t xml:space="preserve"> (T</w:t>
      </w:r>
      <w:r w:rsidR="00BD0EF8" w:rsidRPr="00BD0EF8">
        <w:rPr>
          <w:sz w:val="24"/>
          <w:szCs w:val="24"/>
          <w:vertAlign w:val="subscript"/>
        </w:rPr>
        <w:t>1</w:t>
      </w:r>
      <w:r w:rsidR="00BD0EF8" w:rsidRPr="00BD0EF8">
        <w:rPr>
          <w:sz w:val="24"/>
          <w:szCs w:val="24"/>
        </w:rPr>
        <w:t>) (</w:t>
      </w:r>
      <w:r w:rsidR="00BD0EF8">
        <w:rPr>
          <w:sz w:val="24"/>
          <w:szCs w:val="24"/>
        </w:rPr>
        <w:t>Tabl</w:t>
      </w:r>
      <w:r w:rsidR="001570F1" w:rsidRPr="00BD0EF8">
        <w:rPr>
          <w:sz w:val="24"/>
          <w:szCs w:val="24"/>
        </w:rPr>
        <w:t>e</w:t>
      </w:r>
      <w:r w:rsidR="00BD0EF8">
        <w:rPr>
          <w:sz w:val="24"/>
          <w:szCs w:val="24"/>
        </w:rPr>
        <w:t xml:space="preserve"> no.3)</w:t>
      </w:r>
      <w:r w:rsidR="001570F1">
        <w:rPr>
          <w:sz w:val="24"/>
          <w:szCs w:val="24"/>
        </w:rPr>
        <w:t>.</w:t>
      </w:r>
      <w:r w:rsidR="00BD0EF8" w:rsidRPr="00BD0EF8">
        <w:rPr>
          <w:sz w:val="24"/>
          <w:szCs w:val="24"/>
        </w:rPr>
        <w:t xml:space="preserve">These results might be due to improvement in the efficiency and utilization of native as well as applied nutrients. The increase in yield attributes is mainly due to increase in photosynthesis activity of leaves, translocation of photosynthates from source to sink and nutrient’s uptake (Mishra and Tiwari ,2001 and Hossain </w:t>
      </w:r>
      <w:r w:rsidR="00BD0EF8" w:rsidRPr="00BD0EF8">
        <w:rPr>
          <w:i/>
          <w:sz w:val="24"/>
          <w:szCs w:val="24"/>
        </w:rPr>
        <w:t>et al</w:t>
      </w:r>
      <w:r w:rsidR="00BD0EF8" w:rsidRPr="00BD0EF8">
        <w:rPr>
          <w:sz w:val="24"/>
          <w:szCs w:val="24"/>
        </w:rPr>
        <w:t xml:space="preserve">., 2018). The increased yield of chickpea is due to increase in growth and yield parameters like plant height, number of branches per plant, total dry matter accumulation, number of pods, pod weight and test weight. Combination of all micronutrients </w:t>
      </w:r>
      <w:r w:rsidR="00BD0EF8" w:rsidRPr="00BD0EF8">
        <w:rPr>
          <w:i/>
          <w:iCs/>
          <w:sz w:val="24"/>
          <w:szCs w:val="24"/>
        </w:rPr>
        <w:t>viz</w:t>
      </w:r>
      <w:r w:rsidR="00BD0EF8" w:rsidRPr="00BD0EF8">
        <w:rPr>
          <w:sz w:val="24"/>
          <w:szCs w:val="24"/>
        </w:rPr>
        <w:t>., Fe + B + Zn + Mo might have increased the growth and yield significantly the over RDF alone.</w:t>
      </w:r>
    </w:p>
    <w:p w:rsidR="00BD0EF8" w:rsidRPr="00BD0EF8" w:rsidRDefault="006E3416" w:rsidP="001570F1">
      <w:pPr>
        <w:spacing w:before="240" w:after="240" w:line="396" w:lineRule="auto"/>
        <w:jc w:val="both"/>
        <w:rPr>
          <w:rFonts w:ascii="Times New Roman" w:hAnsi="Times New Roman"/>
          <w:sz w:val="24"/>
          <w:szCs w:val="24"/>
        </w:rPr>
      </w:pPr>
      <w:r w:rsidRPr="00BD0EF8">
        <w:rPr>
          <w:rFonts w:ascii="Times New Roman" w:hAnsi="Times New Roman"/>
          <w:sz w:val="24"/>
          <w:szCs w:val="24"/>
        </w:rPr>
        <w:t>I</w:t>
      </w:r>
      <w:r w:rsidR="00C72FB4">
        <w:rPr>
          <w:rFonts w:ascii="Times New Roman" w:hAnsi="Times New Roman"/>
          <w:sz w:val="24"/>
          <w:szCs w:val="24"/>
        </w:rPr>
        <w:t xml:space="preserve">noculation of </w:t>
      </w:r>
      <w:r w:rsidR="00C72FB4" w:rsidRPr="00C72FB4">
        <w:rPr>
          <w:rFonts w:ascii="Times New Roman" w:hAnsi="Times New Roman"/>
          <w:i/>
          <w:sz w:val="24"/>
          <w:szCs w:val="24"/>
        </w:rPr>
        <w:t>R</w:t>
      </w:r>
      <w:r w:rsidR="00BD0EF8" w:rsidRPr="00C72FB4">
        <w:rPr>
          <w:rFonts w:ascii="Times New Roman" w:hAnsi="Times New Roman"/>
          <w:i/>
          <w:sz w:val="24"/>
          <w:szCs w:val="24"/>
        </w:rPr>
        <w:t>hizobium</w:t>
      </w:r>
      <w:r w:rsidR="00BD0EF8" w:rsidRPr="00BD0EF8">
        <w:rPr>
          <w:rFonts w:ascii="Times New Roman" w:hAnsi="Times New Roman"/>
          <w:sz w:val="24"/>
          <w:szCs w:val="24"/>
        </w:rPr>
        <w:t xml:space="preserve"> and PSB are known to produce the endogenous growth regulators and release ammonia from </w:t>
      </w:r>
      <w:r w:rsidR="00C72FB4" w:rsidRPr="00C72FB4">
        <w:rPr>
          <w:rFonts w:ascii="Times New Roman" w:hAnsi="Times New Roman"/>
          <w:i/>
          <w:sz w:val="24"/>
          <w:szCs w:val="24"/>
        </w:rPr>
        <w:t>Rhizobium</w:t>
      </w:r>
      <w:r w:rsidR="00BD0EF8" w:rsidRPr="00BD0EF8">
        <w:rPr>
          <w:rFonts w:ascii="Times New Roman" w:hAnsi="Times New Roman"/>
          <w:sz w:val="24"/>
          <w:szCs w:val="24"/>
        </w:rPr>
        <w:t xml:space="preserve">and supply phosphorous nutrients by solubilizing insoluble phosphate by PSB resulting in higher yield. Seed treatment with the combined application of </w:t>
      </w:r>
      <w:r w:rsidR="00BD0EF8" w:rsidRPr="00C72FB4">
        <w:rPr>
          <w:rFonts w:ascii="Times New Roman" w:hAnsi="Times New Roman"/>
          <w:i/>
          <w:sz w:val="24"/>
          <w:szCs w:val="24"/>
        </w:rPr>
        <w:t>Rhizobium</w:t>
      </w:r>
      <w:r w:rsidR="00BD0EF8" w:rsidRPr="00BD0EF8">
        <w:rPr>
          <w:rFonts w:ascii="Times New Roman" w:hAnsi="Times New Roman"/>
          <w:sz w:val="24"/>
          <w:szCs w:val="24"/>
        </w:rPr>
        <w:t>, PSB and molybdenum enh</w:t>
      </w:r>
      <w:r w:rsidR="001570F1">
        <w:rPr>
          <w:rFonts w:ascii="Times New Roman" w:hAnsi="Times New Roman"/>
          <w:sz w:val="24"/>
          <w:szCs w:val="24"/>
        </w:rPr>
        <w:t>anced the crop yield. Mo</w:t>
      </w:r>
      <w:r w:rsidR="00BD0EF8" w:rsidRPr="00BD0EF8">
        <w:rPr>
          <w:rFonts w:ascii="Times New Roman" w:hAnsi="Times New Roman"/>
          <w:sz w:val="24"/>
          <w:szCs w:val="24"/>
        </w:rPr>
        <w:t xml:space="preserve"> is essential for N</w:t>
      </w:r>
      <w:r w:rsidR="00BD0EF8" w:rsidRPr="00BD0EF8">
        <w:rPr>
          <w:rFonts w:ascii="Times New Roman" w:hAnsi="Times New Roman"/>
          <w:sz w:val="24"/>
          <w:szCs w:val="24"/>
          <w:vertAlign w:val="subscript"/>
        </w:rPr>
        <w:t>2</w:t>
      </w:r>
      <w:r w:rsidR="00BD0EF8" w:rsidRPr="00BD0EF8">
        <w:rPr>
          <w:rFonts w:ascii="Times New Roman" w:hAnsi="Times New Roman"/>
          <w:sz w:val="24"/>
          <w:szCs w:val="24"/>
        </w:rPr>
        <w:t xml:space="preserve">-fixation, which might have ensured better N supply to the crop and activation of enzyme </w:t>
      </w:r>
      <w:r w:rsidR="00C72FB4">
        <w:rPr>
          <w:rFonts w:ascii="Times New Roman" w:hAnsi="Times New Roman"/>
          <w:i/>
          <w:sz w:val="24"/>
          <w:szCs w:val="24"/>
        </w:rPr>
        <w:t>N</w:t>
      </w:r>
      <w:r w:rsidR="00BD0EF8" w:rsidRPr="00C72FB4">
        <w:rPr>
          <w:rFonts w:ascii="Times New Roman" w:hAnsi="Times New Roman"/>
          <w:i/>
          <w:sz w:val="24"/>
          <w:szCs w:val="24"/>
        </w:rPr>
        <w:t>itrate reductase,</w:t>
      </w:r>
      <w:r w:rsidR="00BD0EF8" w:rsidRPr="00BD0EF8">
        <w:rPr>
          <w:rFonts w:ascii="Times New Roman" w:hAnsi="Times New Roman"/>
          <w:sz w:val="24"/>
          <w:szCs w:val="24"/>
        </w:rPr>
        <w:t xml:space="preserve"> and it also responsible for better yield and yield attributes of the crop (Movalia</w:t>
      </w:r>
      <w:r w:rsidR="00BD0EF8" w:rsidRPr="00BD0EF8">
        <w:rPr>
          <w:rFonts w:ascii="Times New Roman" w:hAnsi="Times New Roman"/>
          <w:i/>
          <w:iCs/>
          <w:sz w:val="24"/>
          <w:szCs w:val="24"/>
        </w:rPr>
        <w:t>et al</w:t>
      </w:r>
      <w:r w:rsidR="00BD0EF8" w:rsidRPr="00BD0EF8">
        <w:rPr>
          <w:rFonts w:ascii="Times New Roman" w:hAnsi="Times New Roman"/>
          <w:i/>
          <w:sz w:val="24"/>
          <w:szCs w:val="24"/>
        </w:rPr>
        <w:t>.</w:t>
      </w:r>
      <w:r w:rsidR="00BD0EF8" w:rsidRPr="00BD0EF8">
        <w:rPr>
          <w:rFonts w:ascii="Times New Roman" w:hAnsi="Times New Roman"/>
          <w:sz w:val="24"/>
          <w:szCs w:val="24"/>
        </w:rPr>
        <w:t>,2020).</w:t>
      </w:r>
    </w:p>
    <w:p w:rsidR="00BD0EF8" w:rsidRPr="00BD0EF8" w:rsidRDefault="00BD0EF8" w:rsidP="00C72FB4">
      <w:pPr>
        <w:spacing w:line="360" w:lineRule="auto"/>
        <w:ind w:right="-277"/>
        <w:jc w:val="both"/>
        <w:rPr>
          <w:rFonts w:ascii="Times New Roman" w:hAnsi="Times New Roman"/>
          <w:b/>
          <w:sz w:val="24"/>
          <w:szCs w:val="24"/>
        </w:rPr>
      </w:pPr>
      <w:r w:rsidRPr="00BD0EF8">
        <w:rPr>
          <w:rFonts w:ascii="Times New Roman" w:hAnsi="Times New Roman"/>
          <w:sz w:val="24"/>
          <w:szCs w:val="24"/>
        </w:rPr>
        <w:lastRenderedPageBreak/>
        <w:t>The absorption of Zn and Fe might have increased the rate of nitrogen metabolism, biosynthesis of hormones and rate of photosynthesis which ultimate increase the yield of crop (Athokpam</w:t>
      </w:r>
      <w:r w:rsidRPr="00C72FB4">
        <w:rPr>
          <w:rFonts w:ascii="Times New Roman" w:hAnsi="Times New Roman"/>
          <w:i/>
          <w:sz w:val="24"/>
          <w:szCs w:val="24"/>
        </w:rPr>
        <w:t>et al.,</w:t>
      </w:r>
      <w:r w:rsidRPr="00BD0EF8">
        <w:rPr>
          <w:rFonts w:ascii="Times New Roman" w:hAnsi="Times New Roman"/>
          <w:sz w:val="24"/>
          <w:szCs w:val="24"/>
        </w:rPr>
        <w:t xml:space="preserve"> 2009). </w:t>
      </w: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C72FB4" w:rsidRDefault="00C72FB4" w:rsidP="00C72FB4">
      <w:pPr>
        <w:spacing w:before="240" w:after="240" w:line="240" w:lineRule="auto"/>
        <w:ind w:right="34"/>
        <w:jc w:val="both"/>
      </w:pPr>
    </w:p>
    <w:p w:rsidR="00424A52" w:rsidRPr="00B75D34" w:rsidRDefault="001B4620" w:rsidP="00C72FB4">
      <w:pPr>
        <w:spacing w:before="240" w:after="240" w:line="240" w:lineRule="auto"/>
        <w:ind w:right="34"/>
        <w:jc w:val="both"/>
        <w:rPr>
          <w:rFonts w:ascii="Times New Roman" w:hAnsi="Times New Roman"/>
          <w:b/>
          <w:sz w:val="24"/>
          <w:szCs w:val="24"/>
        </w:rPr>
      </w:pPr>
      <w:r>
        <w:rPr>
          <w:rFonts w:ascii="Times New Roman" w:hAnsi="Times New Roman"/>
          <w:b/>
          <w:sz w:val="24"/>
          <w:szCs w:val="24"/>
        </w:rPr>
        <w:lastRenderedPageBreak/>
        <w:t>Table 1</w:t>
      </w:r>
      <w:r w:rsidR="00424A52" w:rsidRPr="00B75D34">
        <w:rPr>
          <w:rFonts w:ascii="Times New Roman" w:hAnsi="Times New Roman"/>
          <w:b/>
          <w:sz w:val="24"/>
          <w:szCs w:val="24"/>
        </w:rPr>
        <w:t>: Influence of different micronutrients and biofertilizers on dry matter accumulation at different growth stages of chickpea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81"/>
        <w:gridCol w:w="1418"/>
        <w:gridCol w:w="1300"/>
        <w:gridCol w:w="1630"/>
      </w:tblGrid>
      <w:tr w:rsidR="00424A52" w:rsidRPr="00B75D34" w:rsidTr="00C72FB4">
        <w:trPr>
          <w:trHeight w:val="20"/>
          <w:jc w:val="center"/>
        </w:trPr>
        <w:tc>
          <w:tcPr>
            <w:tcW w:w="0" w:type="auto"/>
            <w:vMerge w:val="restart"/>
            <w:vAlign w:val="center"/>
          </w:tcPr>
          <w:p w:rsidR="00424A52" w:rsidRPr="00B75D34" w:rsidRDefault="00424A52" w:rsidP="00E44F9B">
            <w:pPr>
              <w:spacing w:before="120" w:after="120" w:line="240" w:lineRule="auto"/>
              <w:ind w:right="34"/>
              <w:jc w:val="center"/>
              <w:rPr>
                <w:rFonts w:ascii="Times New Roman" w:hAnsi="Times New Roman"/>
                <w:sz w:val="24"/>
                <w:szCs w:val="24"/>
              </w:rPr>
            </w:pPr>
            <w:r w:rsidRPr="00B75D34">
              <w:rPr>
                <w:rFonts w:ascii="Times New Roman" w:hAnsi="Times New Roman"/>
                <w:b/>
                <w:sz w:val="24"/>
                <w:szCs w:val="24"/>
              </w:rPr>
              <w:t>Treatments</w:t>
            </w:r>
          </w:p>
        </w:tc>
        <w:tc>
          <w:tcPr>
            <w:tcW w:w="0" w:type="auto"/>
            <w:gridSpan w:val="3"/>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 xml:space="preserve">Total dry matter accumulation </w:t>
            </w:r>
            <w:r w:rsidRPr="00B75D34">
              <w:rPr>
                <w:rFonts w:ascii="Times New Roman" w:hAnsi="Times New Roman"/>
                <w:b/>
                <w:sz w:val="24"/>
                <w:szCs w:val="24"/>
              </w:rPr>
              <w:br/>
              <w:t>(g plant</w:t>
            </w:r>
            <w:r w:rsidRPr="00B75D34">
              <w:rPr>
                <w:rFonts w:ascii="Times New Roman" w:hAnsi="Times New Roman"/>
                <w:b/>
                <w:sz w:val="24"/>
                <w:szCs w:val="24"/>
                <w:vertAlign w:val="superscript"/>
              </w:rPr>
              <w:t>-1</w:t>
            </w:r>
            <w:r w:rsidRPr="00B75D34">
              <w:rPr>
                <w:rFonts w:ascii="Times New Roman" w:hAnsi="Times New Roman"/>
                <w:b/>
                <w:sz w:val="24"/>
                <w:szCs w:val="24"/>
              </w:rPr>
              <w:t>)</w:t>
            </w:r>
          </w:p>
        </w:tc>
      </w:tr>
      <w:tr w:rsidR="00424A52" w:rsidRPr="00B75D34" w:rsidTr="00C72FB4">
        <w:trPr>
          <w:trHeight w:val="20"/>
          <w:jc w:val="center"/>
        </w:trPr>
        <w:tc>
          <w:tcPr>
            <w:tcW w:w="0" w:type="auto"/>
            <w:vMerge/>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p>
        </w:tc>
        <w:tc>
          <w:tcPr>
            <w:tcW w:w="0" w:type="auto"/>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w:t>
            </w:r>
          </w:p>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flowering stage</w:t>
            </w:r>
          </w:p>
        </w:tc>
        <w:tc>
          <w:tcPr>
            <w:tcW w:w="0" w:type="auto"/>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pod filling stage</w:t>
            </w:r>
          </w:p>
        </w:tc>
        <w:tc>
          <w:tcPr>
            <w:tcW w:w="0" w:type="auto"/>
            <w:vAlign w:val="center"/>
          </w:tcPr>
          <w:p w:rsidR="00424A52" w:rsidRPr="00B75D34" w:rsidRDefault="00424A52" w:rsidP="00E44F9B">
            <w:pPr>
              <w:spacing w:before="120" w:after="120" w:line="240" w:lineRule="auto"/>
              <w:ind w:right="34"/>
              <w:jc w:val="center"/>
              <w:rPr>
                <w:rFonts w:ascii="Times New Roman" w:hAnsi="Times New Roman"/>
                <w:b/>
                <w:sz w:val="24"/>
                <w:szCs w:val="24"/>
              </w:rPr>
            </w:pPr>
            <w:r w:rsidRPr="00B75D34">
              <w:rPr>
                <w:rFonts w:ascii="Times New Roman" w:hAnsi="Times New Roman"/>
                <w:b/>
                <w:sz w:val="24"/>
                <w:szCs w:val="24"/>
              </w:rPr>
              <w:t>At harvesting stage</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w:t>
            </w:r>
            <w:r w:rsidR="00C72FB4">
              <w:rPr>
                <w:rFonts w:ascii="Times New Roman" w:hAnsi="Times New Roman"/>
                <w:sz w:val="24"/>
                <w:szCs w:val="24"/>
                <w:lang w:val="pt-BR"/>
              </w:rPr>
              <w:t>0</w:t>
            </w:r>
            <w:r w:rsidRPr="00B75D34">
              <w:rPr>
                <w:rFonts w:ascii="Times New Roman" w:hAnsi="Times New Roman"/>
                <w:sz w:val="24"/>
                <w:szCs w:val="24"/>
                <w:lang w:val="pt-BR"/>
              </w:rPr>
              <w:t>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200D2D">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9.5</w:t>
            </w:r>
            <w:r w:rsidR="001570F1">
              <w:rPr>
                <w:rFonts w:ascii="Times New Roman" w:hAnsi="Times New Roman"/>
                <w:sz w:val="24"/>
                <w:szCs w:val="24"/>
              </w:rPr>
              <w:t>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16.50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21.26</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10.23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17.93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21.80</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19.13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22.00</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10.33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18.86</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21.90</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9.93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17.30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21.36</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10.68</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19.23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22.06</w:t>
            </w:r>
          </w:p>
        </w:tc>
      </w:tr>
      <w:tr w:rsidR="00424A52" w:rsidRPr="00B75D34" w:rsidTr="00C72FB4">
        <w:trPr>
          <w:trHeight w:val="20"/>
          <w:jc w:val="center"/>
        </w:trPr>
        <w:tc>
          <w:tcPr>
            <w:tcW w:w="0" w:type="auto"/>
            <w:vAlign w:val="center"/>
          </w:tcPr>
          <w:p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sidRPr="00731A92">
              <w:rPr>
                <w:rFonts w:ascii="Times New Roman" w:hAnsi="Times New Roman"/>
                <w:sz w:val="24"/>
                <w:szCs w:val="24"/>
                <w:lang w:val="de-DE"/>
              </w:rPr>
              <w:t>@ 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Borax @ 10 kg ha</w:t>
            </w:r>
            <w:r w:rsidRPr="00731A92">
              <w:rPr>
                <w:rFonts w:ascii="Times New Roman" w:hAnsi="Times New Roman"/>
                <w:sz w:val="24"/>
                <w:szCs w:val="24"/>
                <w:vertAlign w:val="superscript"/>
                <w:lang w:val="de-DE"/>
              </w:rPr>
              <w:t xml:space="preserve">-1  </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12.10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21.16</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24.23</w:t>
            </w:r>
          </w:p>
        </w:tc>
      </w:tr>
      <w:tr w:rsidR="00424A52" w:rsidRPr="00B75D34" w:rsidTr="00C72FB4">
        <w:trPr>
          <w:trHeight w:val="20"/>
          <w:jc w:val="center"/>
        </w:trPr>
        <w:tc>
          <w:tcPr>
            <w:tcW w:w="0" w:type="auto"/>
            <w:vAlign w:val="center"/>
          </w:tcPr>
          <w:p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12.60</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22.57</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25.56</w:t>
            </w:r>
          </w:p>
        </w:tc>
      </w:tr>
      <w:tr w:rsidR="00424A52" w:rsidRPr="00B75D34" w:rsidTr="00C72FB4">
        <w:trPr>
          <w:trHeight w:val="20"/>
          <w:jc w:val="center"/>
        </w:trPr>
        <w:tc>
          <w:tcPr>
            <w:tcW w:w="0" w:type="auto"/>
            <w:vAlign w:val="center"/>
          </w:tcPr>
          <w:p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sidRPr="00731A92">
              <w:rPr>
                <w:rFonts w:ascii="Times New Roman" w:hAnsi="Times New Roman"/>
                <w:sz w:val="24"/>
                <w:szCs w:val="24"/>
                <w:lang w:val="sv-SE"/>
              </w:rPr>
              <w:t xml:space="preserve">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Borax @ 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 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11.73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20.63</w:t>
            </w:r>
          </w:p>
        </w:tc>
        <w:tc>
          <w:tcPr>
            <w:tcW w:w="0" w:type="auto"/>
            <w:vAlign w:val="center"/>
          </w:tcPr>
          <w:p w:rsidR="00424A52" w:rsidRPr="00B75D34" w:rsidRDefault="00424A52" w:rsidP="00E44F9B">
            <w:pPr>
              <w:spacing w:before="200" w:line="240" w:lineRule="auto"/>
              <w:ind w:right="34"/>
              <w:jc w:val="center"/>
              <w:rPr>
                <w:rFonts w:ascii="Times New Roman" w:hAnsi="Times New Roman"/>
                <w:sz w:val="24"/>
                <w:szCs w:val="24"/>
              </w:rPr>
            </w:pPr>
            <w:r w:rsidRPr="00B75D34">
              <w:rPr>
                <w:rFonts w:ascii="Times New Roman" w:hAnsi="Times New Roman"/>
                <w:sz w:val="24"/>
                <w:szCs w:val="24"/>
              </w:rPr>
              <w:t>23.93</w:t>
            </w:r>
          </w:p>
        </w:tc>
      </w:tr>
      <w:tr w:rsidR="00424A52" w:rsidRPr="00B75D34" w:rsidTr="00C72FB4">
        <w:trPr>
          <w:trHeight w:val="20"/>
          <w:jc w:val="center"/>
        </w:trPr>
        <w:tc>
          <w:tcPr>
            <w:tcW w:w="0" w:type="auto"/>
          </w:tcPr>
          <w:p w:rsidR="00424A52" w:rsidRPr="00B75D34" w:rsidRDefault="00424A52" w:rsidP="001570F1">
            <w:pPr>
              <w:spacing w:before="200" w:line="240" w:lineRule="auto"/>
              <w:ind w:right="34"/>
              <w:rPr>
                <w:rFonts w:ascii="Times New Roman" w:hAnsi="Times New Roman"/>
                <w:b/>
                <w:sz w:val="24"/>
                <w:szCs w:val="24"/>
              </w:rPr>
            </w:pPr>
            <w:r w:rsidRPr="00B75D34">
              <w:rPr>
                <w:rFonts w:ascii="Times New Roman" w:hAnsi="Times New Roman"/>
                <w:b/>
                <w:sz w:val="24"/>
                <w:szCs w:val="24"/>
              </w:rPr>
              <w:t>S.Em.±</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0.55</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0.98</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0.94</w:t>
            </w:r>
          </w:p>
        </w:tc>
      </w:tr>
      <w:tr w:rsidR="00424A52" w:rsidRPr="00B75D34" w:rsidTr="00C72FB4">
        <w:trPr>
          <w:trHeight w:val="20"/>
          <w:jc w:val="center"/>
        </w:trPr>
        <w:tc>
          <w:tcPr>
            <w:tcW w:w="0" w:type="auto"/>
          </w:tcPr>
          <w:p w:rsidR="00424A52" w:rsidRPr="00B75D34" w:rsidRDefault="00424A52" w:rsidP="001570F1">
            <w:pPr>
              <w:spacing w:before="200" w:line="240" w:lineRule="auto"/>
              <w:ind w:right="34"/>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1.65</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2.94</w:t>
            </w:r>
          </w:p>
        </w:tc>
        <w:tc>
          <w:tcPr>
            <w:tcW w:w="0" w:type="auto"/>
            <w:vAlign w:val="center"/>
          </w:tcPr>
          <w:p w:rsidR="00424A52" w:rsidRPr="00B75D34" w:rsidRDefault="00424A52" w:rsidP="00E44F9B">
            <w:pPr>
              <w:spacing w:before="200" w:line="240" w:lineRule="auto"/>
              <w:ind w:right="34"/>
              <w:jc w:val="center"/>
              <w:rPr>
                <w:rFonts w:ascii="Times New Roman" w:hAnsi="Times New Roman"/>
                <w:b/>
                <w:sz w:val="24"/>
                <w:szCs w:val="24"/>
              </w:rPr>
            </w:pPr>
            <w:r w:rsidRPr="00B75D34">
              <w:rPr>
                <w:rFonts w:ascii="Times New Roman" w:hAnsi="Times New Roman"/>
                <w:b/>
                <w:sz w:val="24"/>
                <w:szCs w:val="24"/>
              </w:rPr>
              <w:t>2.84</w:t>
            </w:r>
          </w:p>
        </w:tc>
      </w:tr>
    </w:tbl>
    <w:p w:rsidR="006E3416" w:rsidRPr="00777190" w:rsidRDefault="00424A52" w:rsidP="00777190">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*RDF (Recommended dose of fertilizers) is common to all treatments.</w:t>
      </w:r>
    </w:p>
    <w:p w:rsidR="001570F1" w:rsidRDefault="001570F1" w:rsidP="00424A52">
      <w:pPr>
        <w:pStyle w:val="BodyText"/>
        <w:spacing w:before="240" w:after="240"/>
        <w:ind w:left="910" w:right="34" w:hanging="910"/>
        <w:jc w:val="both"/>
        <w:rPr>
          <w:b/>
        </w:rPr>
      </w:pPr>
    </w:p>
    <w:p w:rsidR="001570F1" w:rsidRDefault="001570F1" w:rsidP="00424A52">
      <w:pPr>
        <w:pStyle w:val="BodyText"/>
        <w:spacing w:before="240" w:after="240"/>
        <w:ind w:left="910" w:right="34" w:hanging="910"/>
        <w:jc w:val="both"/>
        <w:rPr>
          <w:b/>
        </w:rPr>
      </w:pPr>
    </w:p>
    <w:p w:rsidR="00424A52" w:rsidRPr="00B75D34" w:rsidRDefault="00C72FB4" w:rsidP="00424A52">
      <w:pPr>
        <w:pStyle w:val="BodyText"/>
        <w:spacing w:before="240" w:after="240"/>
        <w:ind w:left="910" w:right="34" w:hanging="910"/>
        <w:jc w:val="both"/>
        <w:rPr>
          <w:b/>
        </w:rPr>
      </w:pPr>
      <w:r>
        <w:rPr>
          <w:b/>
        </w:rPr>
        <w:lastRenderedPageBreak/>
        <w:t>Table</w:t>
      </w:r>
      <w:r w:rsidR="001B4620">
        <w:rPr>
          <w:b/>
        </w:rPr>
        <w:t>2</w:t>
      </w:r>
      <w:r w:rsidR="00424A52" w:rsidRPr="00B75D34">
        <w:rPr>
          <w:b/>
        </w:rPr>
        <w:t>: Influence of different micronutrients and biofertilizers on protein content in chickpea seed</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256"/>
        <w:gridCol w:w="2683"/>
      </w:tblGrid>
      <w:tr w:rsidR="00424A52" w:rsidRPr="00B75D34" w:rsidTr="00D60381">
        <w:trPr>
          <w:trHeight w:val="20"/>
          <w:jc w:val="center"/>
        </w:trPr>
        <w:tc>
          <w:tcPr>
            <w:tcW w:w="6045"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2592"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Protein content in seeds (%)</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18.75</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19.62</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20.31</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19.81</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18.93</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rsidTr="00D60381">
        <w:trPr>
          <w:trHeight w:val="20"/>
          <w:jc w:val="center"/>
        </w:trPr>
        <w:tc>
          <w:tcPr>
            <w:tcW w:w="6045" w:type="dxa"/>
            <w:vAlign w:val="center"/>
          </w:tcPr>
          <w:p w:rsidR="00424A52" w:rsidRPr="00731A92" w:rsidRDefault="00424A52" w:rsidP="00E44F9B">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7 </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21.43</w:t>
            </w:r>
          </w:p>
        </w:tc>
      </w:tr>
      <w:tr w:rsidR="00424A52" w:rsidRPr="00B75D34" w:rsidTr="00D60381">
        <w:trPr>
          <w:trHeight w:val="20"/>
          <w:jc w:val="center"/>
        </w:trPr>
        <w:tc>
          <w:tcPr>
            <w:tcW w:w="6045" w:type="dxa"/>
            <w:vAlign w:val="center"/>
          </w:tcPr>
          <w:p w:rsidR="00424A52" w:rsidRPr="00B75D34" w:rsidRDefault="00424A52" w:rsidP="00E44F9B">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21.75</w:t>
            </w:r>
          </w:p>
        </w:tc>
      </w:tr>
      <w:tr w:rsidR="00424A52" w:rsidRPr="00B75D34" w:rsidTr="00D60381">
        <w:trPr>
          <w:trHeight w:val="20"/>
          <w:jc w:val="center"/>
        </w:trPr>
        <w:tc>
          <w:tcPr>
            <w:tcW w:w="6045" w:type="dxa"/>
            <w:vAlign w:val="center"/>
          </w:tcPr>
          <w:p w:rsidR="00424A52" w:rsidRPr="00731A92" w:rsidRDefault="00424A52" w:rsidP="00E44F9B">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2592" w:type="dxa"/>
            <w:vAlign w:val="center"/>
          </w:tcPr>
          <w:p w:rsidR="00424A52" w:rsidRPr="00B75D34" w:rsidRDefault="00424A52" w:rsidP="00E44F9B">
            <w:pPr>
              <w:spacing w:before="160" w:line="240" w:lineRule="auto"/>
              <w:jc w:val="center"/>
              <w:rPr>
                <w:rFonts w:ascii="Times New Roman" w:hAnsi="Times New Roman"/>
                <w:bCs/>
                <w:sz w:val="24"/>
                <w:szCs w:val="24"/>
              </w:rPr>
            </w:pPr>
            <w:r w:rsidRPr="00B75D34">
              <w:rPr>
                <w:rFonts w:ascii="Times New Roman" w:hAnsi="Times New Roman"/>
                <w:bCs/>
                <w:sz w:val="24"/>
                <w:szCs w:val="24"/>
              </w:rPr>
              <w:t>20.81</w:t>
            </w:r>
          </w:p>
        </w:tc>
      </w:tr>
      <w:tr w:rsidR="00424A52" w:rsidRPr="00B75D34" w:rsidTr="00D60381">
        <w:trPr>
          <w:trHeight w:val="20"/>
          <w:jc w:val="center"/>
        </w:trPr>
        <w:tc>
          <w:tcPr>
            <w:tcW w:w="6045" w:type="dxa"/>
            <w:vAlign w:val="center"/>
          </w:tcPr>
          <w:p w:rsidR="00424A52" w:rsidRPr="00B75D34" w:rsidRDefault="00424A52" w:rsidP="00E44F9B">
            <w:pPr>
              <w:spacing w:before="160" w:line="240" w:lineRule="auto"/>
              <w:rPr>
                <w:rFonts w:ascii="Times New Roman" w:hAnsi="Times New Roman"/>
                <w:b/>
                <w:sz w:val="24"/>
                <w:szCs w:val="24"/>
              </w:rPr>
            </w:pPr>
            <w:r w:rsidRPr="00B75D34">
              <w:rPr>
                <w:rFonts w:ascii="Times New Roman" w:hAnsi="Times New Roman"/>
                <w:b/>
                <w:sz w:val="24"/>
                <w:szCs w:val="24"/>
              </w:rPr>
              <w:t>S.Em.±</w:t>
            </w:r>
          </w:p>
        </w:tc>
        <w:tc>
          <w:tcPr>
            <w:tcW w:w="2592"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0.29</w:t>
            </w:r>
          </w:p>
        </w:tc>
      </w:tr>
      <w:tr w:rsidR="00424A52" w:rsidRPr="00B75D34" w:rsidTr="00D60381">
        <w:trPr>
          <w:trHeight w:val="20"/>
          <w:jc w:val="center"/>
        </w:trPr>
        <w:tc>
          <w:tcPr>
            <w:tcW w:w="6045" w:type="dxa"/>
            <w:vAlign w:val="center"/>
          </w:tcPr>
          <w:p w:rsidR="00424A52" w:rsidRPr="00B75D34" w:rsidRDefault="00424A52" w:rsidP="00E44F9B">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2592" w:type="dxa"/>
            <w:vAlign w:val="center"/>
          </w:tcPr>
          <w:p w:rsidR="00424A52" w:rsidRPr="00B75D34" w:rsidRDefault="00424A52" w:rsidP="00E44F9B">
            <w:pPr>
              <w:spacing w:before="160" w:line="240" w:lineRule="auto"/>
              <w:jc w:val="center"/>
              <w:rPr>
                <w:rFonts w:ascii="Times New Roman" w:hAnsi="Times New Roman"/>
                <w:b/>
                <w:sz w:val="24"/>
                <w:szCs w:val="24"/>
              </w:rPr>
            </w:pPr>
            <w:r w:rsidRPr="00B75D34">
              <w:rPr>
                <w:rFonts w:ascii="Times New Roman" w:hAnsi="Times New Roman"/>
                <w:b/>
                <w:sz w:val="24"/>
                <w:szCs w:val="24"/>
              </w:rPr>
              <w:t>0.86</w:t>
            </w:r>
          </w:p>
        </w:tc>
      </w:tr>
    </w:tbl>
    <w:p w:rsidR="00D60381" w:rsidRPr="00B75D34" w:rsidRDefault="00D60381" w:rsidP="00D60381">
      <w:pPr>
        <w:spacing w:before="240" w:after="240" w:line="360" w:lineRule="auto"/>
        <w:ind w:right="34"/>
        <w:jc w:val="both"/>
        <w:rPr>
          <w:rFonts w:ascii="Times New Roman" w:hAnsi="Times New Roman"/>
          <w:sz w:val="24"/>
          <w:szCs w:val="24"/>
        </w:rPr>
      </w:pPr>
      <w:r w:rsidRPr="00B75D34">
        <w:rPr>
          <w:rFonts w:ascii="Times New Roman" w:hAnsi="Times New Roman"/>
          <w:sz w:val="24"/>
          <w:szCs w:val="24"/>
        </w:rPr>
        <w:t>*RDF (Recommended dose of fertilizers) is common to all treatments.</w:t>
      </w:r>
    </w:p>
    <w:p w:rsidR="00424A52" w:rsidRDefault="00424A52" w:rsidP="004D2BBA">
      <w:pPr>
        <w:pStyle w:val="BodyText"/>
        <w:spacing w:before="240" w:after="240" w:line="360" w:lineRule="auto"/>
        <w:ind w:right="34"/>
        <w:jc w:val="both"/>
        <w:rPr>
          <w:spacing w:val="-1"/>
        </w:rPr>
      </w:pPr>
    </w:p>
    <w:p w:rsidR="00BD0EF8" w:rsidRDefault="00BD0EF8" w:rsidP="004D2BBA">
      <w:pPr>
        <w:pStyle w:val="BodyText"/>
        <w:spacing w:before="240" w:after="240" w:line="360" w:lineRule="auto"/>
        <w:ind w:right="34"/>
        <w:jc w:val="both"/>
        <w:rPr>
          <w:spacing w:val="-1"/>
        </w:rPr>
      </w:pPr>
    </w:p>
    <w:p w:rsidR="00BD0EF8" w:rsidRDefault="00BD0EF8" w:rsidP="004D2BBA">
      <w:pPr>
        <w:pStyle w:val="BodyText"/>
        <w:spacing w:before="240" w:after="240" w:line="360" w:lineRule="auto"/>
        <w:ind w:right="34"/>
        <w:jc w:val="both"/>
        <w:rPr>
          <w:spacing w:val="-1"/>
        </w:rPr>
      </w:pPr>
    </w:p>
    <w:p w:rsidR="00BD0EF8" w:rsidRDefault="00BD0EF8" w:rsidP="004D2BBA">
      <w:pPr>
        <w:pStyle w:val="BodyText"/>
        <w:spacing w:before="240" w:after="240" w:line="360" w:lineRule="auto"/>
        <w:ind w:right="34"/>
        <w:jc w:val="both"/>
        <w:rPr>
          <w:spacing w:val="-1"/>
        </w:rPr>
      </w:pPr>
    </w:p>
    <w:p w:rsidR="00BD0EF8" w:rsidRPr="00BD0EF8" w:rsidRDefault="00C72FB4" w:rsidP="00BD0EF8">
      <w:pPr>
        <w:spacing w:line="240" w:lineRule="auto"/>
        <w:ind w:left="900" w:hanging="900"/>
        <w:jc w:val="both"/>
        <w:rPr>
          <w:rFonts w:ascii="Times New Roman" w:hAnsi="Times New Roman"/>
          <w:b/>
          <w:sz w:val="24"/>
          <w:szCs w:val="24"/>
        </w:rPr>
      </w:pPr>
      <w:r>
        <w:rPr>
          <w:rFonts w:ascii="Times New Roman" w:hAnsi="Times New Roman"/>
          <w:b/>
          <w:sz w:val="24"/>
          <w:szCs w:val="24"/>
        </w:rPr>
        <w:lastRenderedPageBreak/>
        <w:t>Tabl</w:t>
      </w:r>
      <w:r w:rsidR="00BD0EF8">
        <w:rPr>
          <w:rFonts w:ascii="Times New Roman" w:hAnsi="Times New Roman"/>
          <w:b/>
          <w:sz w:val="24"/>
          <w:szCs w:val="24"/>
        </w:rPr>
        <w:t>3</w:t>
      </w:r>
      <w:r>
        <w:rPr>
          <w:rFonts w:ascii="Times New Roman" w:hAnsi="Times New Roman"/>
          <w:b/>
          <w:sz w:val="24"/>
          <w:szCs w:val="24"/>
        </w:rPr>
        <w:t>.</w:t>
      </w:r>
      <w:r w:rsidR="00BD0EF8" w:rsidRPr="00B75D34">
        <w:rPr>
          <w:rFonts w:ascii="Times New Roman" w:hAnsi="Times New Roman"/>
          <w:b/>
          <w:sz w:val="24"/>
          <w:szCs w:val="24"/>
        </w:rPr>
        <w:t>Influence of different micronutrients and biofe</w:t>
      </w:r>
      <w:r>
        <w:rPr>
          <w:rFonts w:ascii="Times New Roman" w:hAnsi="Times New Roman"/>
          <w:b/>
          <w:sz w:val="24"/>
          <w:szCs w:val="24"/>
        </w:rPr>
        <w:t xml:space="preserve">rtilizers on grain yield, haulm </w:t>
      </w:r>
      <w:r w:rsidR="00BD0EF8" w:rsidRPr="00B75D34">
        <w:rPr>
          <w:rFonts w:ascii="Times New Roman" w:hAnsi="Times New Roman"/>
          <w:b/>
          <w:sz w:val="24"/>
          <w:szCs w:val="24"/>
        </w:rPr>
        <w:t>yield and harvest index of chickpea</w:t>
      </w: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33"/>
        <w:gridCol w:w="1463"/>
        <w:gridCol w:w="1609"/>
        <w:gridCol w:w="1334"/>
      </w:tblGrid>
      <w:tr w:rsidR="00BD0EF8" w:rsidRPr="00B75D34" w:rsidTr="00B331D2">
        <w:trPr>
          <w:trHeight w:val="20"/>
          <w:jc w:val="center"/>
        </w:trPr>
        <w:tc>
          <w:tcPr>
            <w:tcW w:w="4377" w:type="dxa"/>
            <w:vAlign w:val="center"/>
          </w:tcPr>
          <w:p w:rsidR="00BD0EF8" w:rsidRPr="00B75D34" w:rsidRDefault="00BD0EF8" w:rsidP="00B331D2">
            <w:pPr>
              <w:tabs>
                <w:tab w:val="right" w:pos="3474"/>
              </w:tabs>
              <w:spacing w:before="120" w:after="120" w:line="240" w:lineRule="auto"/>
              <w:jc w:val="center"/>
              <w:rPr>
                <w:rFonts w:ascii="Times New Roman" w:hAnsi="Times New Roman"/>
                <w:b/>
                <w:sz w:val="24"/>
                <w:szCs w:val="24"/>
              </w:rPr>
            </w:pPr>
            <w:r w:rsidRPr="00B75D34">
              <w:rPr>
                <w:rFonts w:ascii="Times New Roman" w:hAnsi="Times New Roman"/>
                <w:b/>
                <w:sz w:val="24"/>
                <w:szCs w:val="24"/>
              </w:rPr>
              <w:t>Treatments</w:t>
            </w:r>
          </w:p>
        </w:tc>
        <w:tc>
          <w:tcPr>
            <w:tcW w:w="1413" w:type="dxa"/>
            <w:vAlign w:val="center"/>
          </w:tcPr>
          <w:p w:rsidR="00BD0EF8" w:rsidRPr="00B75D34" w:rsidRDefault="00BD0EF8" w:rsidP="00B331D2">
            <w:pPr>
              <w:pStyle w:val="NormalWeb"/>
              <w:spacing w:before="120" w:beforeAutospacing="0" w:after="120" w:afterAutospacing="0"/>
              <w:jc w:val="center"/>
              <w:rPr>
                <w:b/>
              </w:rPr>
            </w:pPr>
            <w:r w:rsidRPr="00B75D34">
              <w:rPr>
                <w:b/>
                <w:kern w:val="24"/>
              </w:rPr>
              <w:t>Grain yield</w:t>
            </w:r>
          </w:p>
          <w:p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554" w:type="dxa"/>
            <w:vAlign w:val="center"/>
          </w:tcPr>
          <w:p w:rsidR="00BD0EF8" w:rsidRPr="00B75D34" w:rsidRDefault="00BD0EF8" w:rsidP="00B331D2">
            <w:pPr>
              <w:pStyle w:val="NormalWeb"/>
              <w:spacing w:before="120" w:beforeAutospacing="0" w:after="120" w:afterAutospacing="0"/>
              <w:jc w:val="center"/>
              <w:rPr>
                <w:b/>
              </w:rPr>
            </w:pPr>
            <w:r w:rsidRPr="00B75D34">
              <w:rPr>
                <w:b/>
                <w:kern w:val="24"/>
              </w:rPr>
              <w:t>Haulm yield</w:t>
            </w:r>
          </w:p>
          <w:p w:rsidR="00BD0EF8" w:rsidRPr="00B75D34" w:rsidRDefault="00BD0EF8" w:rsidP="00B331D2">
            <w:pPr>
              <w:pStyle w:val="NormalWeb"/>
              <w:spacing w:before="120" w:beforeAutospacing="0" w:after="120" w:afterAutospacing="0"/>
              <w:jc w:val="center"/>
              <w:rPr>
                <w:b/>
              </w:rPr>
            </w:pPr>
            <w:r w:rsidRPr="00B75D34">
              <w:rPr>
                <w:b/>
                <w:kern w:val="24"/>
              </w:rPr>
              <w:t>(kg ha</w:t>
            </w:r>
            <w:r w:rsidRPr="00B75D34">
              <w:rPr>
                <w:b/>
                <w:kern w:val="24"/>
                <w:vertAlign w:val="superscript"/>
              </w:rPr>
              <w:t>-1</w:t>
            </w:r>
            <w:r w:rsidRPr="00B75D34">
              <w:rPr>
                <w:b/>
                <w:kern w:val="24"/>
              </w:rPr>
              <w:t>)</w:t>
            </w:r>
          </w:p>
        </w:tc>
        <w:tc>
          <w:tcPr>
            <w:tcW w:w="1288" w:type="dxa"/>
            <w:vAlign w:val="center"/>
          </w:tcPr>
          <w:p w:rsidR="00BD0EF8" w:rsidRPr="00B75D34" w:rsidRDefault="00BD0EF8" w:rsidP="00B331D2">
            <w:pPr>
              <w:pStyle w:val="NormalWeb"/>
              <w:spacing w:before="120" w:beforeAutospacing="0" w:after="120" w:afterAutospacing="0"/>
              <w:jc w:val="center"/>
              <w:rPr>
                <w:b/>
              </w:rPr>
            </w:pPr>
            <w:r w:rsidRPr="00B75D34">
              <w:rPr>
                <w:b/>
                <w:kern w:val="24"/>
              </w:rPr>
              <w:t>Harvest index</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pt-BR"/>
              </w:rPr>
            </w:pPr>
            <w:r w:rsidRPr="00B75D34">
              <w:rPr>
                <w:rFonts w:ascii="Times New Roman" w:hAnsi="Times New Roman"/>
                <w:sz w:val="24"/>
                <w:szCs w:val="24"/>
                <w:lang w:val="pt-BR"/>
              </w:rPr>
              <w:t>T</w:t>
            </w:r>
            <w:r w:rsidRPr="00B75D34">
              <w:rPr>
                <w:rFonts w:ascii="Times New Roman" w:eastAsia="MS Mincho" w:hAnsi="MS Mincho" w:cs="MS Mincho"/>
                <w:sz w:val="24"/>
                <w:szCs w:val="24"/>
                <w:lang w:val="pt-BR"/>
              </w:rPr>
              <w:t>₁</w:t>
            </w:r>
            <w:r w:rsidRPr="00B75D34">
              <w:rPr>
                <w:rFonts w:ascii="Times New Roman" w:hAnsi="Times New Roman"/>
                <w:sz w:val="24"/>
                <w:szCs w:val="24"/>
                <w:lang w:val="pt-BR"/>
              </w:rPr>
              <w:t xml:space="preserve"> -RDF (10: 25: 0 kg N: P</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w:t>
            </w:r>
            <w:r w:rsidRPr="00B75D34">
              <w:rPr>
                <w:rFonts w:ascii="Times New Roman" w:hAnsi="Times New Roman"/>
                <w:sz w:val="24"/>
                <w:szCs w:val="24"/>
                <w:vertAlign w:val="subscript"/>
                <w:lang w:val="pt-BR"/>
              </w:rPr>
              <w:t>5</w:t>
            </w:r>
            <w:r w:rsidRPr="00B75D34">
              <w:rPr>
                <w:rFonts w:ascii="Times New Roman" w:hAnsi="Times New Roman"/>
                <w:sz w:val="24"/>
                <w:szCs w:val="24"/>
                <w:lang w:val="pt-BR"/>
              </w:rPr>
              <w:t>: K</w:t>
            </w:r>
            <w:r w:rsidRPr="00B75D34">
              <w:rPr>
                <w:rFonts w:ascii="Times New Roman" w:hAnsi="Times New Roman"/>
                <w:sz w:val="24"/>
                <w:szCs w:val="24"/>
                <w:vertAlign w:val="subscript"/>
                <w:lang w:val="pt-BR"/>
              </w:rPr>
              <w:t>2</w:t>
            </w:r>
            <w:r w:rsidRPr="00B75D34">
              <w:rPr>
                <w:rFonts w:ascii="Times New Roman" w:hAnsi="Times New Roman"/>
                <w:sz w:val="24"/>
                <w:szCs w:val="24"/>
                <w:lang w:val="pt-BR"/>
              </w:rPr>
              <w:t>O ha</w:t>
            </w:r>
            <w:r w:rsidRPr="00B75D34">
              <w:rPr>
                <w:rFonts w:ascii="Times New Roman" w:hAnsi="Times New Roman"/>
                <w:sz w:val="24"/>
                <w:szCs w:val="24"/>
                <w:vertAlign w:val="superscript"/>
                <w:lang w:val="pt-BR"/>
              </w:rPr>
              <w:t>-1</w:t>
            </w:r>
            <w:r w:rsidRPr="00B75D34">
              <w:rPr>
                <w:rFonts w:ascii="Times New Roman" w:hAnsi="Times New Roman"/>
                <w:sz w:val="24"/>
                <w:szCs w:val="24"/>
                <w:lang w:val="pt-BR"/>
              </w:rPr>
              <w:t>)</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1088</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1058</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iCs/>
                <w:sz w:val="24"/>
                <w:szCs w:val="24"/>
              </w:rPr>
            </w:pPr>
            <w:r w:rsidRPr="00B75D34">
              <w:rPr>
                <w:rFonts w:ascii="Times New Roman" w:hAnsi="Times New Roman"/>
                <w:iCs/>
                <w:sz w:val="24"/>
                <w:szCs w:val="24"/>
              </w:rPr>
              <w:t>T</w:t>
            </w:r>
            <w:r w:rsidRPr="00B75D34">
              <w:rPr>
                <w:rFonts w:ascii="Times New Roman" w:eastAsia="MS Mincho" w:hAnsi="MS Mincho" w:cs="MS Mincho"/>
                <w:iCs/>
                <w:sz w:val="24"/>
                <w:szCs w:val="24"/>
              </w:rPr>
              <w:t>₂</w:t>
            </w:r>
            <w:r w:rsidRPr="00B75D34">
              <w:rPr>
                <w:rFonts w:ascii="Times New Roman" w:hAnsi="Times New Roman"/>
                <w:iCs/>
                <w:sz w:val="24"/>
                <w:szCs w:val="24"/>
              </w:rPr>
              <w:t xml:space="preserve"> -</w:t>
            </w:r>
            <w:r w:rsidRPr="00B75D34">
              <w:rPr>
                <w:rFonts w:ascii="Times New Roman" w:hAnsi="Times New Roman"/>
                <w:i/>
                <w:iCs/>
                <w:sz w:val="24"/>
                <w:szCs w:val="24"/>
              </w:rPr>
              <w:t>Rhizobium</w:t>
            </w:r>
            <w:r w:rsidRPr="00B75D34">
              <w:rPr>
                <w:rFonts w:ascii="Times New Roman" w:hAnsi="Times New Roman"/>
                <w:sz w:val="24"/>
                <w:szCs w:val="24"/>
              </w:rPr>
              <w:t xml:space="preserve"> + PSB (</w:t>
            </w:r>
            <w:r>
              <w:rPr>
                <w:rFonts w:ascii="Times New Roman" w:hAnsi="Times New Roman"/>
                <w:sz w:val="24"/>
                <w:szCs w:val="24"/>
              </w:rPr>
              <w:t xml:space="preserve">@ </w:t>
            </w:r>
            <w:r w:rsidRPr="00B75D34">
              <w:rPr>
                <w:rFonts w:ascii="Times New Roman" w:hAnsi="Times New Roman"/>
                <w:sz w:val="24"/>
                <w:szCs w:val="24"/>
              </w:rPr>
              <w:t>1250 g ha</w:t>
            </w:r>
            <w:r w:rsidRPr="00B75D34">
              <w:rPr>
                <w:rFonts w:ascii="Times New Roman" w:hAnsi="Times New Roman"/>
                <w:sz w:val="24"/>
                <w:szCs w:val="24"/>
                <w:vertAlign w:val="superscript"/>
              </w:rPr>
              <w:t>-1</w:t>
            </w:r>
            <w:r w:rsidRPr="00B75D34">
              <w:rPr>
                <w:rFonts w:ascii="Times New Roman" w:hAnsi="Times New Roman"/>
                <w:sz w:val="24"/>
                <w:szCs w:val="24"/>
              </w:rPr>
              <w:t>)</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1216</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1137</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0.51</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₃</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Fe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1291</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1162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eastAsia="MS Mincho" w:hAnsi="MS Mincho" w:cs="MS Mincho"/>
                <w:sz w:val="24"/>
                <w:szCs w:val="24"/>
                <w:lang w:val="de-DE"/>
              </w:rPr>
              <w:t>₄</w:t>
            </w:r>
            <w:r w:rsidRPr="00B75D34">
              <w:rPr>
                <w:rFonts w:ascii="Times New Roman" w:hAnsi="Times New Roman"/>
                <w:sz w:val="24"/>
                <w:szCs w:val="24"/>
                <w:lang w:val="de-DE"/>
              </w:rPr>
              <w:t xml:space="preserve"> -T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 </w:t>
            </w:r>
            <w:r>
              <w:rPr>
                <w:rFonts w:ascii="Times New Roman" w:hAnsi="Times New Roman"/>
                <w:sz w:val="24"/>
                <w:szCs w:val="24"/>
                <w:lang w:val="de-DE"/>
              </w:rPr>
              <w:t>Zn SO</w:t>
            </w:r>
            <w:r w:rsidRPr="00B75D34">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B75D34">
              <w:rPr>
                <w:rFonts w:ascii="Times New Roman" w:hAnsi="Times New Roman"/>
                <w:sz w:val="24"/>
                <w:szCs w:val="24"/>
                <w:lang w:val="de-DE"/>
              </w:rPr>
              <w:t>10 kg ha</w:t>
            </w:r>
            <w:r w:rsidRPr="00B75D34">
              <w:rPr>
                <w:rFonts w:ascii="Times New Roman" w:hAnsi="Times New Roman"/>
                <w:sz w:val="24"/>
                <w:szCs w:val="24"/>
                <w:vertAlign w:val="superscript"/>
                <w:lang w:val="de-D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1280</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1152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0.52</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vertAlign w:val="subscript"/>
                <w:lang w:val="sv-SE"/>
              </w:rPr>
            </w:pPr>
            <w:r w:rsidRPr="00B75D34">
              <w:rPr>
                <w:rFonts w:ascii="Times New Roman" w:hAnsi="Times New Roman"/>
                <w:sz w:val="24"/>
                <w:szCs w:val="24"/>
                <w:lang w:val="sv-SE"/>
              </w:rPr>
              <w:t>T</w:t>
            </w:r>
            <w:r w:rsidRPr="00B75D34">
              <w:rPr>
                <w:rFonts w:ascii="Times New Roman" w:eastAsia="MS Mincho" w:hAnsi="MS Mincho" w:cs="MS Mincho"/>
                <w:sz w:val="24"/>
                <w:szCs w:val="24"/>
                <w:lang w:val="sv-SE"/>
              </w:rPr>
              <w:t>₅</w:t>
            </w:r>
            <w:r w:rsidRPr="00B75D34">
              <w:rPr>
                <w:rFonts w:ascii="Times New Roman" w:hAnsi="Times New Roman"/>
                <w:sz w:val="24"/>
                <w:szCs w:val="24"/>
                <w:lang w:val="sv-SE"/>
              </w:rPr>
              <w:t>-T</w:t>
            </w:r>
            <w:r w:rsidRPr="00B75D34">
              <w:rPr>
                <w:rFonts w:ascii="Times New Roman" w:hAnsi="Times New Roman"/>
                <w:sz w:val="24"/>
                <w:szCs w:val="24"/>
                <w:vertAlign w:val="subscript"/>
                <w:lang w:val="sv-SE"/>
              </w:rPr>
              <w:t xml:space="preserve">2 </w:t>
            </w:r>
            <w:r w:rsidRPr="00B75D34">
              <w:rPr>
                <w:rFonts w:ascii="Times New Roman" w:hAnsi="Times New Roman"/>
                <w:sz w:val="24"/>
                <w:szCs w:val="24"/>
                <w:lang w:val="sv-SE"/>
              </w:rPr>
              <w:t xml:space="preserve">+Borax </w:t>
            </w:r>
            <w:r>
              <w:rPr>
                <w:rFonts w:ascii="Times New Roman" w:hAnsi="Times New Roman"/>
                <w:sz w:val="24"/>
                <w:szCs w:val="24"/>
                <w:lang w:val="sv-SE"/>
              </w:rPr>
              <w:t xml:space="preserve">@ </w:t>
            </w:r>
            <w:r w:rsidRPr="00B75D34">
              <w:rPr>
                <w:rFonts w:ascii="Times New Roman" w:hAnsi="Times New Roman"/>
                <w:sz w:val="24"/>
                <w:szCs w:val="24"/>
                <w:lang w:val="sv-SE"/>
              </w:rPr>
              <w:t>10 kg ha</w:t>
            </w:r>
            <w:r w:rsidRPr="00B75D34">
              <w:rPr>
                <w:rFonts w:ascii="Times New Roman" w:hAnsi="Times New Roman"/>
                <w:sz w:val="24"/>
                <w:szCs w:val="24"/>
                <w:vertAlign w:val="superscript"/>
                <w:lang w:val="sv-S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1200</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1112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0.50</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lang w:val="de-DE"/>
              </w:rPr>
            </w:pP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6 </w:t>
            </w:r>
            <w:r w:rsidRPr="00B75D34">
              <w:rPr>
                <w:rFonts w:ascii="Times New Roman" w:hAnsi="Times New Roman"/>
                <w:sz w:val="24"/>
                <w:szCs w:val="24"/>
                <w:lang w:val="de-DE"/>
              </w:rPr>
              <w:t>-T</w:t>
            </w:r>
            <w:r w:rsidRPr="00B75D34">
              <w:rPr>
                <w:rFonts w:ascii="Times New Roman" w:hAnsi="Times New Roman"/>
                <w:sz w:val="24"/>
                <w:szCs w:val="24"/>
                <w:vertAlign w:val="subscript"/>
                <w:lang w:val="de-DE"/>
              </w:rPr>
              <w:t xml:space="preserve">2 </w:t>
            </w:r>
            <w:r w:rsidRPr="00B75D34">
              <w:rPr>
                <w:rFonts w:ascii="Times New Roman" w:hAnsi="Times New Roman"/>
                <w:sz w:val="24"/>
                <w:szCs w:val="24"/>
                <w:lang w:val="de-DE"/>
              </w:rPr>
              <w:t xml:space="preserve">+Sodium molybdate </w:t>
            </w:r>
            <w:r>
              <w:rPr>
                <w:rFonts w:ascii="Times New Roman" w:hAnsi="Times New Roman"/>
                <w:sz w:val="24"/>
                <w:szCs w:val="24"/>
                <w:lang w:val="de-DE"/>
              </w:rPr>
              <w:t xml:space="preserve">@ </w:t>
            </w:r>
            <w:r w:rsidRPr="00B75D34">
              <w:rPr>
                <w:rFonts w:ascii="Times New Roman" w:hAnsi="Times New Roman"/>
                <w:sz w:val="24"/>
                <w:szCs w:val="24"/>
                <w:lang w:val="de-DE"/>
              </w:rPr>
              <w:t>1.0 g kg</w:t>
            </w:r>
            <w:r w:rsidRPr="00B75D34">
              <w:rPr>
                <w:rFonts w:ascii="Times New Roman" w:hAnsi="Times New Roman"/>
                <w:sz w:val="24"/>
                <w:szCs w:val="24"/>
                <w:vertAlign w:val="superscript"/>
                <w:lang w:val="de-DE"/>
              </w:rPr>
              <w:t xml:space="preserve">-1  </w:t>
            </w:r>
            <w:r w:rsidRPr="00B75D34">
              <w:rPr>
                <w:rFonts w:ascii="Times New Roman" w:hAnsi="Times New Roman"/>
                <w:sz w:val="24"/>
                <w:szCs w:val="24"/>
                <w:lang w:val="de-DE"/>
              </w:rPr>
              <w:t>seeds</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1347</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1176</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rsidTr="00B331D2">
        <w:trPr>
          <w:trHeight w:val="20"/>
          <w:jc w:val="center"/>
        </w:trPr>
        <w:tc>
          <w:tcPr>
            <w:tcW w:w="4377" w:type="dxa"/>
            <w:vAlign w:val="center"/>
          </w:tcPr>
          <w:p w:rsidR="00BD0EF8" w:rsidRPr="00731A92" w:rsidRDefault="00BD0EF8" w:rsidP="00B331D2">
            <w:pPr>
              <w:spacing w:before="200" w:line="240" w:lineRule="auto"/>
              <w:ind w:right="34"/>
              <w:rPr>
                <w:rFonts w:ascii="Times New Roman" w:hAnsi="Times New Roman"/>
                <w:sz w:val="24"/>
                <w:szCs w:val="24"/>
                <w:lang w:val="de-DE"/>
              </w:rPr>
            </w:pP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7</w:t>
            </w:r>
            <w:r w:rsidRPr="00731A92">
              <w:rPr>
                <w:rFonts w:ascii="Times New Roman" w:hAnsi="Times New Roman"/>
                <w:sz w:val="24"/>
                <w:szCs w:val="24"/>
                <w:lang w:val="de-DE"/>
              </w:rPr>
              <w:t>-T</w:t>
            </w:r>
            <w:r w:rsidRPr="00731A92">
              <w:rPr>
                <w:rFonts w:ascii="Times New Roman" w:hAnsi="Times New Roman"/>
                <w:sz w:val="24"/>
                <w:szCs w:val="24"/>
                <w:vertAlign w:val="subscript"/>
                <w:lang w:val="de-DE"/>
              </w:rPr>
              <w:t xml:space="preserve">2 </w:t>
            </w:r>
            <w:r w:rsidRPr="00731A92">
              <w:rPr>
                <w:rFonts w:ascii="Times New Roman" w:hAnsi="Times New Roman"/>
                <w:sz w:val="24"/>
                <w:szCs w:val="24"/>
                <w:lang w:val="de-DE"/>
              </w:rPr>
              <w:t>+Fe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+Zn SO</w:t>
            </w:r>
            <w:r w:rsidRPr="00731A92">
              <w:rPr>
                <w:rFonts w:ascii="Times New Roman" w:hAnsi="Times New Roman"/>
                <w:sz w:val="24"/>
                <w:szCs w:val="24"/>
                <w:vertAlign w:val="subscript"/>
                <w:lang w:val="de-DE"/>
              </w:rPr>
              <w:t xml:space="preserve">4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r w:rsidRPr="00731A92">
              <w:rPr>
                <w:rFonts w:ascii="Times New Roman" w:hAnsi="Times New Roman"/>
                <w:sz w:val="24"/>
                <w:szCs w:val="24"/>
                <w:lang w:val="de-DE"/>
              </w:rPr>
              <w:t xml:space="preserve">+ Borax </w:t>
            </w:r>
            <w:r>
              <w:rPr>
                <w:rFonts w:ascii="Times New Roman" w:hAnsi="Times New Roman"/>
                <w:sz w:val="24"/>
                <w:szCs w:val="24"/>
                <w:lang w:val="de-DE"/>
              </w:rPr>
              <w:t xml:space="preserve">@ </w:t>
            </w:r>
            <w:r w:rsidRPr="00731A92">
              <w:rPr>
                <w:rFonts w:ascii="Times New Roman" w:hAnsi="Times New Roman"/>
                <w:sz w:val="24"/>
                <w:szCs w:val="24"/>
                <w:lang w:val="de-DE"/>
              </w:rPr>
              <w:t>10 kg ha</w:t>
            </w:r>
            <w:r w:rsidRPr="00731A92">
              <w:rPr>
                <w:rFonts w:ascii="Times New Roman" w:hAnsi="Times New Roman"/>
                <w:sz w:val="24"/>
                <w:szCs w:val="24"/>
                <w:vertAlign w:val="superscript"/>
                <w:lang w:val="de-DE"/>
              </w:rPr>
              <w:t xml:space="preserve">-1  </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1450</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1212</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rsidTr="00B331D2">
        <w:trPr>
          <w:trHeight w:val="20"/>
          <w:jc w:val="center"/>
        </w:trPr>
        <w:tc>
          <w:tcPr>
            <w:tcW w:w="4377" w:type="dxa"/>
            <w:vAlign w:val="center"/>
          </w:tcPr>
          <w:p w:rsidR="00BD0EF8" w:rsidRPr="00B75D34" w:rsidRDefault="00BD0EF8" w:rsidP="00B331D2">
            <w:pPr>
              <w:spacing w:before="200" w:line="240" w:lineRule="auto"/>
              <w:ind w:right="34"/>
              <w:rPr>
                <w:rFonts w:ascii="Times New Roman" w:hAnsi="Times New Roman"/>
                <w:sz w:val="24"/>
                <w:szCs w:val="24"/>
              </w:rPr>
            </w:pPr>
            <w:r w:rsidRPr="00B75D34">
              <w:rPr>
                <w:rFonts w:ascii="Times New Roman" w:hAnsi="Times New Roman"/>
                <w:sz w:val="24"/>
                <w:szCs w:val="24"/>
              </w:rPr>
              <w:t>T</w:t>
            </w:r>
            <w:r w:rsidRPr="00B75D34">
              <w:rPr>
                <w:rFonts w:ascii="Times New Roman" w:hAnsi="Times New Roman"/>
                <w:sz w:val="24"/>
                <w:szCs w:val="24"/>
                <w:vertAlign w:val="subscript"/>
              </w:rPr>
              <w:t>8</w:t>
            </w:r>
            <w:r w:rsidRPr="00B75D34">
              <w:rPr>
                <w:rFonts w:ascii="Times New Roman" w:hAnsi="Times New Roman"/>
                <w:sz w:val="24"/>
                <w:szCs w:val="24"/>
              </w:rPr>
              <w:t>-T</w:t>
            </w:r>
            <w:r w:rsidRPr="00B75D34">
              <w:rPr>
                <w:rFonts w:ascii="Times New Roman" w:hAnsi="Times New Roman"/>
                <w:sz w:val="24"/>
                <w:szCs w:val="24"/>
                <w:vertAlign w:val="subscript"/>
              </w:rPr>
              <w:t xml:space="preserve">2 </w:t>
            </w:r>
            <w:r w:rsidRPr="00B75D34">
              <w:rPr>
                <w:rFonts w:ascii="Times New Roman" w:hAnsi="Times New Roman"/>
                <w:sz w:val="24"/>
                <w:szCs w:val="24"/>
              </w:rPr>
              <w:t>+</w:t>
            </w:r>
            <w:r>
              <w:rPr>
                <w:rFonts w:ascii="Times New Roman" w:hAnsi="Times New Roman"/>
                <w:sz w:val="24"/>
                <w:szCs w:val="24"/>
              </w:rPr>
              <w:t>Fe SO</w:t>
            </w:r>
            <w:r w:rsidRPr="00B75D34">
              <w:rPr>
                <w:rFonts w:ascii="Times New Roman" w:hAnsi="Times New Roman"/>
                <w:sz w:val="24"/>
                <w:szCs w:val="24"/>
                <w:vertAlign w:val="subscript"/>
              </w:rPr>
              <w:t xml:space="preserve">4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w:t>
            </w:r>
            <w:r>
              <w:rPr>
                <w:rFonts w:ascii="Times New Roman" w:hAnsi="Times New Roman"/>
                <w:sz w:val="24"/>
                <w:szCs w:val="24"/>
              </w:rPr>
              <w:t>Zn SO</w:t>
            </w:r>
            <w:r w:rsidRPr="00B75D34">
              <w:rPr>
                <w:rFonts w:ascii="Times New Roman" w:hAnsi="Times New Roman"/>
                <w:sz w:val="24"/>
                <w:szCs w:val="24"/>
                <w:vertAlign w:val="subscript"/>
              </w:rPr>
              <w:t>4</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+Borax </w:t>
            </w:r>
            <w:r>
              <w:rPr>
                <w:rFonts w:ascii="Times New Roman" w:hAnsi="Times New Roman"/>
                <w:sz w:val="24"/>
                <w:szCs w:val="24"/>
              </w:rPr>
              <w:t xml:space="preserve">@ </w:t>
            </w:r>
            <w:r w:rsidRPr="00B75D34">
              <w:rPr>
                <w:rFonts w:ascii="Times New Roman" w:hAnsi="Times New Roman"/>
                <w:sz w:val="24"/>
                <w:szCs w:val="24"/>
              </w:rPr>
              <w:t>10 kg ha</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 Sodium molybdate </w:t>
            </w:r>
            <w:r>
              <w:rPr>
                <w:rFonts w:ascii="Times New Roman" w:hAnsi="Times New Roman"/>
                <w:sz w:val="24"/>
                <w:szCs w:val="24"/>
              </w:rPr>
              <w:t xml:space="preserve">@ </w:t>
            </w:r>
            <w:r w:rsidRPr="00B75D34">
              <w:rPr>
                <w:rFonts w:ascii="Times New Roman" w:hAnsi="Times New Roman"/>
                <w:sz w:val="24"/>
                <w:szCs w:val="24"/>
              </w:rPr>
              <w:t>1.0 g kg</w:t>
            </w:r>
            <w:r w:rsidRPr="00B75D34">
              <w:rPr>
                <w:rFonts w:ascii="Times New Roman" w:hAnsi="Times New Roman"/>
                <w:sz w:val="24"/>
                <w:szCs w:val="24"/>
                <w:vertAlign w:val="superscript"/>
              </w:rPr>
              <w:t xml:space="preserve">-1 </w:t>
            </w:r>
            <w:r w:rsidRPr="00B75D34">
              <w:rPr>
                <w:rFonts w:ascii="Times New Roman" w:hAnsi="Times New Roman"/>
                <w:sz w:val="24"/>
                <w:szCs w:val="24"/>
              </w:rPr>
              <w:t xml:space="preserve"> seeds</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1591</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1350</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0.54</w:t>
            </w:r>
          </w:p>
        </w:tc>
      </w:tr>
      <w:tr w:rsidR="00BD0EF8" w:rsidRPr="00B75D34" w:rsidTr="00B331D2">
        <w:trPr>
          <w:trHeight w:val="20"/>
          <w:jc w:val="center"/>
        </w:trPr>
        <w:tc>
          <w:tcPr>
            <w:tcW w:w="4377" w:type="dxa"/>
            <w:vAlign w:val="center"/>
          </w:tcPr>
          <w:p w:rsidR="00BD0EF8" w:rsidRPr="00731A92" w:rsidRDefault="00BD0EF8" w:rsidP="00B331D2">
            <w:pPr>
              <w:spacing w:before="200" w:line="240" w:lineRule="auto"/>
              <w:ind w:right="34"/>
              <w:rPr>
                <w:rFonts w:ascii="Times New Roman" w:hAnsi="Times New Roman"/>
                <w:sz w:val="24"/>
                <w:szCs w:val="24"/>
                <w:vertAlign w:val="subscript"/>
                <w:lang w:val="sv-SE"/>
              </w:rPr>
            </w:pPr>
            <w:r w:rsidRPr="00731A92">
              <w:rPr>
                <w:rFonts w:ascii="Times New Roman" w:hAnsi="Times New Roman"/>
                <w:sz w:val="24"/>
                <w:szCs w:val="24"/>
                <w:lang w:val="sv-SE"/>
              </w:rPr>
              <w:t>T</w:t>
            </w:r>
            <w:r w:rsidRPr="00731A92">
              <w:rPr>
                <w:rFonts w:ascii="Times New Roman" w:hAnsi="Times New Roman"/>
                <w:sz w:val="24"/>
                <w:szCs w:val="24"/>
                <w:vertAlign w:val="subscript"/>
                <w:lang w:val="sv-SE"/>
              </w:rPr>
              <w:t>9</w:t>
            </w:r>
            <w:r w:rsidRPr="00731A92">
              <w:rPr>
                <w:rFonts w:ascii="Times New Roman" w:hAnsi="Times New Roman"/>
                <w:sz w:val="24"/>
                <w:szCs w:val="24"/>
                <w:lang w:val="sv-SE"/>
              </w:rPr>
              <w:t>- Fe SO</w:t>
            </w:r>
            <w:r w:rsidRPr="00731A92">
              <w:rPr>
                <w:rFonts w:ascii="Times New Roman" w:hAnsi="Times New Roman"/>
                <w:sz w:val="24"/>
                <w:szCs w:val="24"/>
                <w:vertAlign w:val="subscript"/>
                <w:lang w:val="sv-SE"/>
              </w:rPr>
              <w:t>4</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Zn SO</w:t>
            </w:r>
            <w:r w:rsidRPr="00731A92">
              <w:rPr>
                <w:rFonts w:ascii="Times New Roman" w:hAnsi="Times New Roman"/>
                <w:sz w:val="24"/>
                <w:szCs w:val="24"/>
                <w:vertAlign w:val="subscript"/>
                <w:lang w:val="sv-SE"/>
              </w:rPr>
              <w:t>4</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Borax </w:t>
            </w:r>
            <w:r>
              <w:rPr>
                <w:rFonts w:ascii="Times New Roman" w:hAnsi="Times New Roman"/>
                <w:sz w:val="24"/>
                <w:szCs w:val="24"/>
                <w:lang w:val="sv-SE"/>
              </w:rPr>
              <w:t xml:space="preserve">@ </w:t>
            </w:r>
            <w:r w:rsidRPr="00731A92">
              <w:rPr>
                <w:rFonts w:ascii="Times New Roman" w:hAnsi="Times New Roman"/>
                <w:sz w:val="24"/>
                <w:szCs w:val="24"/>
                <w:lang w:val="sv-SE"/>
              </w:rPr>
              <w:t>10 kg ha</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 Sodium molybdate </w:t>
            </w:r>
            <w:r>
              <w:rPr>
                <w:rFonts w:ascii="Times New Roman" w:hAnsi="Times New Roman"/>
                <w:sz w:val="24"/>
                <w:szCs w:val="24"/>
                <w:lang w:val="sv-SE"/>
              </w:rPr>
              <w:t xml:space="preserve">@ </w:t>
            </w:r>
            <w:r w:rsidRPr="00731A92">
              <w:rPr>
                <w:rFonts w:ascii="Times New Roman" w:hAnsi="Times New Roman"/>
                <w:sz w:val="24"/>
                <w:szCs w:val="24"/>
                <w:lang w:val="sv-SE"/>
              </w:rPr>
              <w:t>1.0 g kg</w:t>
            </w:r>
            <w:r w:rsidRPr="00731A92">
              <w:rPr>
                <w:rFonts w:ascii="Times New Roman" w:hAnsi="Times New Roman"/>
                <w:sz w:val="24"/>
                <w:szCs w:val="24"/>
                <w:vertAlign w:val="superscript"/>
                <w:lang w:val="sv-SE"/>
              </w:rPr>
              <w:t xml:space="preserve">-1 </w:t>
            </w:r>
            <w:r w:rsidRPr="00731A92">
              <w:rPr>
                <w:rFonts w:ascii="Times New Roman" w:hAnsi="Times New Roman"/>
                <w:sz w:val="24"/>
                <w:szCs w:val="24"/>
                <w:lang w:val="sv-SE"/>
              </w:rPr>
              <w:t xml:space="preserve"> seeds</w:t>
            </w:r>
          </w:p>
        </w:tc>
        <w:tc>
          <w:tcPr>
            <w:tcW w:w="1413" w:type="dxa"/>
            <w:vAlign w:val="center"/>
          </w:tcPr>
          <w:p w:rsidR="00BD0EF8" w:rsidRPr="00B75D34" w:rsidRDefault="00BD0EF8" w:rsidP="00B331D2">
            <w:pPr>
              <w:pStyle w:val="NormalWeb"/>
              <w:spacing w:before="160" w:beforeAutospacing="0" w:after="160" w:afterAutospacing="0"/>
              <w:jc w:val="center"/>
            </w:pPr>
            <w:r w:rsidRPr="00B75D34">
              <w:rPr>
                <w:kern w:val="24"/>
              </w:rPr>
              <w:t>1361</w:t>
            </w:r>
          </w:p>
        </w:tc>
        <w:tc>
          <w:tcPr>
            <w:tcW w:w="1554" w:type="dxa"/>
            <w:vAlign w:val="center"/>
          </w:tcPr>
          <w:p w:rsidR="00BD0EF8" w:rsidRPr="00B75D34" w:rsidRDefault="00BD0EF8" w:rsidP="00B331D2">
            <w:pPr>
              <w:pStyle w:val="NormalWeb"/>
              <w:spacing w:before="160" w:beforeAutospacing="0" w:after="160" w:afterAutospacing="0"/>
              <w:jc w:val="center"/>
            </w:pPr>
            <w:r w:rsidRPr="00B75D34">
              <w:rPr>
                <w:kern w:val="24"/>
              </w:rPr>
              <w:t>1188</w:t>
            </w:r>
          </w:p>
        </w:tc>
        <w:tc>
          <w:tcPr>
            <w:tcW w:w="1288" w:type="dxa"/>
            <w:vAlign w:val="center"/>
          </w:tcPr>
          <w:p w:rsidR="00BD0EF8" w:rsidRPr="00B75D34" w:rsidRDefault="00BD0EF8" w:rsidP="00B331D2">
            <w:pPr>
              <w:pStyle w:val="NormalWeb"/>
              <w:spacing w:before="160" w:beforeAutospacing="0" w:after="160" w:afterAutospacing="0"/>
              <w:jc w:val="center"/>
            </w:pPr>
            <w:r w:rsidRPr="00B75D34">
              <w:rPr>
                <w:kern w:val="24"/>
              </w:rPr>
              <w:t>0.53</w:t>
            </w:r>
          </w:p>
        </w:tc>
      </w:tr>
      <w:tr w:rsidR="00BD0EF8" w:rsidRPr="00B75D34" w:rsidTr="00B331D2">
        <w:trPr>
          <w:trHeight w:val="20"/>
          <w:jc w:val="center"/>
        </w:trPr>
        <w:tc>
          <w:tcPr>
            <w:tcW w:w="4377" w:type="dxa"/>
            <w:vAlign w:val="center"/>
          </w:tcPr>
          <w:p w:rsidR="00BD0EF8" w:rsidRPr="00B75D34" w:rsidRDefault="00BD0EF8" w:rsidP="00B331D2">
            <w:pPr>
              <w:spacing w:before="160" w:line="240" w:lineRule="auto"/>
              <w:rPr>
                <w:rFonts w:ascii="Times New Roman" w:hAnsi="Times New Roman"/>
                <w:b/>
                <w:sz w:val="24"/>
                <w:szCs w:val="24"/>
              </w:rPr>
            </w:pPr>
            <w:r w:rsidRPr="00B75D34">
              <w:rPr>
                <w:rFonts w:ascii="Times New Roman" w:hAnsi="Times New Roman"/>
                <w:b/>
                <w:sz w:val="24"/>
                <w:szCs w:val="24"/>
              </w:rPr>
              <w:t>S.Em.±</w:t>
            </w:r>
          </w:p>
        </w:tc>
        <w:tc>
          <w:tcPr>
            <w:tcW w:w="1413"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48.45</w:t>
            </w:r>
          </w:p>
        </w:tc>
        <w:tc>
          <w:tcPr>
            <w:tcW w:w="1554"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45.86</w:t>
            </w:r>
          </w:p>
        </w:tc>
        <w:tc>
          <w:tcPr>
            <w:tcW w:w="1288"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0.03</w:t>
            </w:r>
          </w:p>
        </w:tc>
      </w:tr>
      <w:tr w:rsidR="00BD0EF8" w:rsidRPr="00B75D34" w:rsidTr="00B331D2">
        <w:trPr>
          <w:trHeight w:val="20"/>
          <w:jc w:val="center"/>
        </w:trPr>
        <w:tc>
          <w:tcPr>
            <w:tcW w:w="4377" w:type="dxa"/>
            <w:vAlign w:val="center"/>
          </w:tcPr>
          <w:p w:rsidR="00BD0EF8" w:rsidRPr="00B75D34" w:rsidRDefault="00BD0EF8" w:rsidP="00B331D2">
            <w:pPr>
              <w:spacing w:before="160" w:line="240" w:lineRule="auto"/>
              <w:rPr>
                <w:rFonts w:ascii="Times New Roman" w:hAnsi="Times New Roman"/>
                <w:b/>
                <w:sz w:val="24"/>
                <w:szCs w:val="24"/>
              </w:rPr>
            </w:pPr>
            <w:r w:rsidRPr="00B75D34">
              <w:rPr>
                <w:rFonts w:ascii="Times New Roman" w:hAnsi="Times New Roman"/>
                <w:b/>
                <w:sz w:val="24"/>
                <w:szCs w:val="24"/>
              </w:rPr>
              <w:t>C. D. (</w:t>
            </w:r>
            <w:r w:rsidRPr="00B75D34">
              <w:rPr>
                <w:rFonts w:ascii="Times New Roman" w:hAnsi="Times New Roman"/>
                <w:b/>
                <w:i/>
                <w:sz w:val="24"/>
                <w:szCs w:val="24"/>
              </w:rPr>
              <w:t>P</w:t>
            </w:r>
            <w:r w:rsidRPr="00B75D34">
              <w:rPr>
                <w:rFonts w:ascii="Times New Roman" w:hAnsi="Times New Roman"/>
                <w:b/>
                <w:sz w:val="24"/>
                <w:szCs w:val="24"/>
              </w:rPr>
              <w:t xml:space="preserve"> = 0.05)</w:t>
            </w:r>
          </w:p>
        </w:tc>
        <w:tc>
          <w:tcPr>
            <w:tcW w:w="1413"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145.27</w:t>
            </w:r>
          </w:p>
        </w:tc>
        <w:tc>
          <w:tcPr>
            <w:tcW w:w="1554"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137.50</w:t>
            </w:r>
          </w:p>
        </w:tc>
        <w:tc>
          <w:tcPr>
            <w:tcW w:w="1288" w:type="dxa"/>
            <w:vAlign w:val="center"/>
          </w:tcPr>
          <w:p w:rsidR="00BD0EF8" w:rsidRPr="00B75D34" w:rsidRDefault="00BD0EF8" w:rsidP="00B331D2">
            <w:pPr>
              <w:pStyle w:val="NormalWeb"/>
              <w:spacing w:before="160" w:beforeAutospacing="0" w:after="160" w:afterAutospacing="0"/>
              <w:jc w:val="center"/>
              <w:rPr>
                <w:b/>
              </w:rPr>
            </w:pPr>
            <w:r w:rsidRPr="00B75D34">
              <w:rPr>
                <w:b/>
                <w:kern w:val="24"/>
              </w:rPr>
              <w:t>NS</w:t>
            </w:r>
          </w:p>
        </w:tc>
      </w:tr>
    </w:tbl>
    <w:p w:rsidR="00BD0EF8" w:rsidRPr="00B75D34" w:rsidRDefault="00BD0EF8" w:rsidP="00BD0EF8">
      <w:pPr>
        <w:spacing w:after="0" w:line="240" w:lineRule="auto"/>
        <w:rPr>
          <w:rFonts w:ascii="Times New Roman" w:hAnsi="Times New Roman"/>
          <w:sz w:val="24"/>
          <w:szCs w:val="24"/>
        </w:rPr>
      </w:pPr>
    </w:p>
    <w:p w:rsidR="00BD0EF8" w:rsidRPr="004D2BBA" w:rsidRDefault="00BD0EF8" w:rsidP="00BD0EF8">
      <w:pPr>
        <w:pStyle w:val="BodyText"/>
        <w:spacing w:before="240" w:after="240" w:line="360" w:lineRule="auto"/>
        <w:ind w:right="34"/>
        <w:jc w:val="both"/>
        <w:rPr>
          <w:spacing w:val="-1"/>
        </w:rPr>
        <w:sectPr w:rsidR="00BD0EF8" w:rsidRPr="004D2BBA" w:rsidSect="00BD0EF8">
          <w:pgSz w:w="11906" w:h="16838"/>
          <w:pgMar w:top="1699" w:right="1106" w:bottom="1411" w:left="1987" w:header="850" w:footer="706" w:gutter="0"/>
          <w:cols w:space="708"/>
          <w:docGrid w:linePitch="360"/>
        </w:sectPr>
      </w:pPr>
      <w:r w:rsidRPr="00B75D34">
        <w:t>*RDF (Reommended dose of fertilizers) is common to all treatments</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BA7713">
        <w:rPr>
          <w:rFonts w:ascii="Times New Roman" w:eastAsia="Calibri" w:hAnsi="Times New Roman"/>
          <w:noProof/>
          <w:sz w:val="24"/>
          <w:szCs w:val="24"/>
        </w:rPr>
        <w:lastRenderedPageBreak/>
        <w:drawing>
          <wp:anchor distT="0" distB="0" distL="114300" distR="114300" simplePos="0" relativeHeight="251675648" behindDoc="0" locked="0" layoutInCell="1" allowOverlap="1">
            <wp:simplePos x="0" y="0"/>
            <wp:positionH relativeFrom="column">
              <wp:posOffset>381000</wp:posOffset>
            </wp:positionH>
            <wp:positionV relativeFrom="paragraph">
              <wp:posOffset>-48260</wp:posOffset>
            </wp:positionV>
            <wp:extent cx="4385310" cy="1839595"/>
            <wp:effectExtent l="19050" t="0" r="15240" b="8255"/>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Times New Roman" w:eastAsia="Calibri" w:hAnsi="Times New Roman"/>
          <w:sz w:val="24"/>
          <w:szCs w:val="24"/>
          <w:lang w:val="en-IN"/>
        </w:rPr>
        <w:br w:type="textWrapping" w:clear="all"/>
        <w:t xml:space="preserve">                                                  Fig. 1.</w:t>
      </w:r>
      <w:r w:rsidR="00866189" w:rsidRPr="00866189">
        <w:rPr>
          <w:rFonts w:ascii="Times New Roman" w:eastAsia="Calibri" w:hAnsi="Times New Roman"/>
          <w:sz w:val="24"/>
          <w:szCs w:val="24"/>
          <w:lang w:val="en-IN"/>
        </w:rPr>
        <w:t>Nitrogen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9642F7">
        <w:rPr>
          <w:rFonts w:ascii="Times New Roman" w:eastAsia="Calibri" w:hAnsi="Times New Roman"/>
          <w:noProof/>
          <w:sz w:val="24"/>
          <w:szCs w:val="24"/>
        </w:rPr>
        <w:drawing>
          <wp:inline distT="0" distB="0" distL="0" distR="0">
            <wp:extent cx="4391108" cy="1828800"/>
            <wp:effectExtent l="19050" t="0" r="2849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2</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Phosphorous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1A3026">
        <w:rPr>
          <w:rFonts w:ascii="Times New Roman" w:eastAsia="Calibri" w:hAnsi="Times New Roman"/>
          <w:noProof/>
          <w:sz w:val="24"/>
          <w:szCs w:val="24"/>
        </w:rPr>
        <w:drawing>
          <wp:inline distT="0" distB="0" distL="0" distR="0">
            <wp:extent cx="4306459" cy="2011680"/>
            <wp:effectExtent l="19050" t="0" r="17891" b="762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Pr>
          <w:rFonts w:ascii="Times New Roman" w:eastAsia="Calibri" w:hAnsi="Times New Roman"/>
          <w:sz w:val="24"/>
          <w:szCs w:val="24"/>
          <w:lang w:val="en-IN"/>
        </w:rPr>
        <w:t xml:space="preserve">                                                 Fig. 3.</w:t>
      </w:r>
      <w:r w:rsidR="00866189" w:rsidRPr="00866189">
        <w:rPr>
          <w:rFonts w:ascii="Times New Roman" w:eastAsia="Calibri" w:hAnsi="Times New Roman"/>
          <w:sz w:val="24"/>
          <w:szCs w:val="24"/>
          <w:lang w:val="en-IN"/>
        </w:rPr>
        <w:t>Potassium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micronutrients and biofertilizers on nitrogen content (Fig. 1),    phosphorous content (Fig. 2) and potassium content (Fig. 3)</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rPr>
        <w:lastRenderedPageBreak/>
        <w:drawing>
          <wp:inline distT="0" distB="0" distL="0" distR="0">
            <wp:extent cx="4338264" cy="2329732"/>
            <wp:effectExtent l="19050" t="0" r="24186"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4.</w:t>
      </w:r>
      <w:r w:rsidR="00866189" w:rsidRPr="00866189">
        <w:rPr>
          <w:rFonts w:ascii="Times New Roman" w:eastAsia="Calibri" w:hAnsi="Times New Roman"/>
          <w:sz w:val="24"/>
          <w:szCs w:val="24"/>
          <w:lang w:val="en-IN"/>
        </w:rPr>
        <w:t>Sulphur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686BD9">
        <w:rPr>
          <w:rFonts w:ascii="Times New Roman" w:eastAsia="Calibri" w:hAnsi="Times New Roman"/>
          <w:noProof/>
          <w:sz w:val="24"/>
          <w:szCs w:val="24"/>
        </w:rPr>
        <w:drawing>
          <wp:inline distT="0" distB="0" distL="0" distR="0">
            <wp:extent cx="4337988" cy="2043486"/>
            <wp:effectExtent l="19050" t="0" r="24462" b="0"/>
            <wp:docPr id="1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D2061" w:rsidRDefault="003D2061" w:rsidP="003D2061">
      <w:pPr>
        <w:spacing w:before="240" w:after="240" w:line="372" w:lineRule="auto"/>
        <w:ind w:firstLine="567"/>
        <w:jc w:val="center"/>
        <w:rPr>
          <w:rFonts w:ascii="Times New Roman" w:eastAsia="Calibri" w:hAnsi="Times New Roman"/>
          <w:sz w:val="24"/>
          <w:szCs w:val="24"/>
          <w:lang w:val="en-IN"/>
        </w:rPr>
      </w:pPr>
      <w:r>
        <w:rPr>
          <w:rFonts w:ascii="Times New Roman" w:eastAsia="Calibri" w:hAnsi="Times New Roman"/>
          <w:sz w:val="24"/>
          <w:szCs w:val="24"/>
          <w:lang w:val="en-IN"/>
        </w:rPr>
        <w:t>Fig. 5.</w:t>
      </w:r>
      <w:r w:rsidR="00866189" w:rsidRPr="00866189">
        <w:rPr>
          <w:rFonts w:ascii="Times New Roman" w:eastAsia="Calibri" w:hAnsi="Times New Roman"/>
          <w:sz w:val="24"/>
          <w:szCs w:val="24"/>
          <w:lang w:val="en-IN"/>
        </w:rPr>
        <w:t>Iron content</w:t>
      </w:r>
    </w:p>
    <w:p w:rsidR="003D2061" w:rsidRDefault="003D2061" w:rsidP="003D2061">
      <w:pPr>
        <w:spacing w:before="240" w:after="240" w:line="372" w:lineRule="auto"/>
        <w:ind w:firstLine="567"/>
        <w:jc w:val="both"/>
        <w:rPr>
          <w:rFonts w:ascii="Times New Roman" w:eastAsia="Calibri" w:hAnsi="Times New Roman"/>
          <w:sz w:val="24"/>
          <w:szCs w:val="24"/>
          <w:lang w:val="en-IN"/>
        </w:rPr>
      </w:pPr>
      <w:r w:rsidRPr="007069C0">
        <w:rPr>
          <w:rFonts w:ascii="Times New Roman" w:eastAsia="Calibri" w:hAnsi="Times New Roman"/>
          <w:noProof/>
          <w:sz w:val="24"/>
          <w:szCs w:val="24"/>
        </w:rPr>
        <w:drawing>
          <wp:inline distT="0" distB="0" distL="0" distR="0">
            <wp:extent cx="4337988" cy="1924216"/>
            <wp:effectExtent l="19050" t="0" r="24462" b="0"/>
            <wp:docPr id="1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D2061" w:rsidRDefault="003D2061" w:rsidP="003D2061">
      <w:pPr>
        <w:spacing w:before="240" w:after="240" w:line="372" w:lineRule="auto"/>
        <w:rPr>
          <w:rFonts w:ascii="Times New Roman" w:eastAsia="Calibri" w:hAnsi="Times New Roman"/>
          <w:sz w:val="24"/>
          <w:szCs w:val="24"/>
          <w:lang w:val="en-IN"/>
        </w:rPr>
      </w:pPr>
      <w:r>
        <w:rPr>
          <w:rFonts w:ascii="Times New Roman" w:eastAsia="Calibri" w:hAnsi="Times New Roman"/>
          <w:sz w:val="24"/>
          <w:szCs w:val="24"/>
          <w:lang w:val="en-IN"/>
        </w:rPr>
        <w:t xml:space="preserve">                                                                 Fig.6</w:t>
      </w:r>
      <w:r w:rsidR="00866189">
        <w:rPr>
          <w:rFonts w:ascii="Times New Roman" w:eastAsia="Calibri" w:hAnsi="Times New Roman"/>
          <w:sz w:val="24"/>
          <w:szCs w:val="24"/>
          <w:lang w:val="en-IN"/>
        </w:rPr>
        <w:t xml:space="preserve">. </w:t>
      </w:r>
      <w:r w:rsidR="00866189" w:rsidRPr="00866189">
        <w:rPr>
          <w:rFonts w:ascii="Times New Roman" w:eastAsia="Calibri" w:hAnsi="Times New Roman"/>
          <w:sz w:val="24"/>
          <w:szCs w:val="24"/>
          <w:lang w:val="en-IN"/>
        </w:rPr>
        <w:t>Zinc content</w:t>
      </w:r>
    </w:p>
    <w:p w:rsidR="003D2061" w:rsidRDefault="003D2061" w:rsidP="003D2061">
      <w:pPr>
        <w:spacing w:before="240" w:after="240" w:line="372" w:lineRule="auto"/>
        <w:jc w:val="both"/>
        <w:rPr>
          <w:rFonts w:ascii="Times New Roman" w:eastAsia="Calibri" w:hAnsi="Times New Roman"/>
          <w:sz w:val="24"/>
          <w:szCs w:val="24"/>
          <w:lang w:val="en-IN"/>
        </w:rPr>
      </w:pPr>
      <w:r w:rsidRPr="007069C0">
        <w:rPr>
          <w:rFonts w:ascii="Times New Roman" w:hAnsi="Times New Roman"/>
          <w:sz w:val="24"/>
          <w:szCs w:val="24"/>
        </w:rPr>
        <w:t>Influence of different micronutrient</w:t>
      </w:r>
      <w:r>
        <w:rPr>
          <w:rFonts w:ascii="Times New Roman" w:hAnsi="Times New Roman"/>
          <w:sz w:val="24"/>
          <w:szCs w:val="24"/>
        </w:rPr>
        <w:t>s and biofertilizers on sulphur content (Fig.4), iron content (Fig. 5) and zinc content (Fig. 6</w:t>
      </w:r>
      <w:r w:rsidRPr="007069C0">
        <w:rPr>
          <w:rFonts w:ascii="Times New Roman" w:hAnsi="Times New Roman"/>
          <w:sz w:val="24"/>
          <w:szCs w:val="24"/>
        </w:rPr>
        <w:t>)</w:t>
      </w:r>
    </w:p>
    <w:p w:rsidR="003D2061" w:rsidRPr="00843A68" w:rsidRDefault="003D2061" w:rsidP="003D2061">
      <w:pPr>
        <w:spacing w:before="240" w:after="240" w:line="372" w:lineRule="auto"/>
        <w:rPr>
          <w:rFonts w:ascii="Times New Roman" w:eastAsia="Calibri" w:hAnsi="Times New Roman"/>
          <w:sz w:val="24"/>
          <w:szCs w:val="24"/>
          <w:lang w:val="en-IN"/>
        </w:rPr>
        <w:sectPr w:rsidR="003D2061" w:rsidRPr="00843A68" w:rsidSect="00C917DF">
          <w:pgSz w:w="11907" w:h="16840"/>
          <w:pgMar w:top="1135" w:right="1440" w:bottom="1440" w:left="1440" w:header="720" w:footer="720" w:gutter="0"/>
          <w:cols w:space="720"/>
          <w:docGrid w:linePitch="360"/>
        </w:sectPr>
      </w:pPr>
    </w:p>
    <w:tbl>
      <w:tblPr>
        <w:tblW w:w="8208" w:type="dxa"/>
        <w:tblInd w:w="108" w:type="dxa"/>
        <w:tblLook w:val="04A0"/>
      </w:tblPr>
      <w:tblGrid>
        <w:gridCol w:w="1176"/>
        <w:gridCol w:w="1176"/>
        <w:gridCol w:w="976"/>
        <w:gridCol w:w="976"/>
        <w:gridCol w:w="976"/>
        <w:gridCol w:w="976"/>
        <w:gridCol w:w="976"/>
        <w:gridCol w:w="976"/>
      </w:tblGrid>
      <w:tr w:rsidR="003D2061" w:rsidRPr="002049F2" w:rsidTr="00E54028">
        <w:trPr>
          <w:trHeight w:val="288"/>
        </w:trPr>
        <w:tc>
          <w:tcPr>
            <w:tcW w:w="1176" w:type="dxa"/>
            <w:tcBorders>
              <w:top w:val="nil"/>
              <w:left w:val="nil"/>
              <w:bottom w:val="nil"/>
              <w:right w:val="nil"/>
            </w:tcBorders>
            <w:shd w:val="clear" w:color="auto" w:fill="auto"/>
            <w:noWrap/>
            <w:vAlign w:val="bottom"/>
            <w:hideMark/>
          </w:tcPr>
          <w:p w:rsidR="003D2061" w:rsidRPr="002049F2" w:rsidRDefault="003D2061" w:rsidP="00E54028">
            <w:pPr>
              <w:spacing w:after="160" w:line="259" w:lineRule="auto"/>
              <w:rPr>
                <w:rFonts w:cs="Calibri"/>
                <w:color w:val="000000"/>
              </w:rPr>
            </w:pPr>
          </w:p>
        </w:tc>
        <w:tc>
          <w:tcPr>
            <w:tcW w:w="11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c>
          <w:tcPr>
            <w:tcW w:w="976" w:type="dxa"/>
            <w:tcBorders>
              <w:top w:val="nil"/>
              <w:left w:val="nil"/>
              <w:bottom w:val="nil"/>
              <w:right w:val="nil"/>
            </w:tcBorders>
            <w:shd w:val="clear" w:color="auto" w:fill="auto"/>
            <w:noWrap/>
            <w:vAlign w:val="bottom"/>
            <w:hideMark/>
          </w:tcPr>
          <w:p w:rsidR="003D2061" w:rsidRPr="002049F2" w:rsidRDefault="003D2061" w:rsidP="00E54028">
            <w:pPr>
              <w:spacing w:after="0" w:line="240" w:lineRule="auto"/>
              <w:rPr>
                <w:rFonts w:cs="Calibri"/>
                <w:color w:val="000000"/>
              </w:rPr>
            </w:pPr>
          </w:p>
        </w:tc>
      </w:tr>
    </w:tbl>
    <w:p w:rsidR="003D2061" w:rsidRPr="00843A68" w:rsidRDefault="003D2061" w:rsidP="003D2061">
      <w:pPr>
        <w:spacing w:after="0" w:line="240" w:lineRule="auto"/>
        <w:rPr>
          <w:rFonts w:ascii="Times New Roman" w:hAnsi="Times New Roman"/>
          <w:b/>
          <w:sz w:val="24"/>
          <w:szCs w:val="24"/>
        </w:rPr>
      </w:pPr>
      <w:r w:rsidRPr="00BF3BB1">
        <w:rPr>
          <w:rFonts w:ascii="Times New Roman" w:hAnsi="Times New Roman"/>
          <w:b/>
          <w:noProof/>
          <w:sz w:val="24"/>
          <w:szCs w:val="24"/>
        </w:rPr>
        <w:drawing>
          <wp:inline distT="0" distB="0" distL="0" distR="0">
            <wp:extent cx="4290557" cy="2639833"/>
            <wp:effectExtent l="19050" t="0" r="14743" b="8117"/>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D2061" w:rsidRPr="00843A68" w:rsidRDefault="003D2061" w:rsidP="003D2061">
      <w:pPr>
        <w:spacing w:after="0" w:line="240" w:lineRule="auto"/>
        <w:rPr>
          <w:rFonts w:ascii="Times New Roman" w:hAnsi="Times New Roman"/>
          <w:b/>
          <w:sz w:val="24"/>
          <w:szCs w:val="24"/>
        </w:rPr>
      </w:pPr>
    </w:p>
    <w:p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Fig.7</w:t>
      </w:r>
      <w:r w:rsidR="00866189">
        <w:rPr>
          <w:rFonts w:ascii="Times New Roman" w:hAnsi="Times New Roman"/>
          <w:b/>
          <w:sz w:val="24"/>
          <w:szCs w:val="24"/>
        </w:rPr>
        <w:t xml:space="preserve">. </w:t>
      </w:r>
      <w:r w:rsidR="00866189" w:rsidRPr="00866189">
        <w:rPr>
          <w:rFonts w:ascii="Times New Roman" w:hAnsi="Times New Roman"/>
          <w:b/>
          <w:sz w:val="24"/>
          <w:szCs w:val="24"/>
        </w:rPr>
        <w:t>Manganese content</w:t>
      </w:r>
    </w:p>
    <w:p w:rsidR="003D2061" w:rsidRPr="00843A68" w:rsidRDefault="003D2061" w:rsidP="003D2061">
      <w:pPr>
        <w:spacing w:after="0" w:line="240" w:lineRule="auto"/>
        <w:rPr>
          <w:rFonts w:ascii="Times New Roman" w:hAnsi="Times New Roman"/>
          <w:b/>
          <w:sz w:val="24"/>
          <w:szCs w:val="24"/>
        </w:rPr>
      </w:pPr>
    </w:p>
    <w:p w:rsidR="003D2061" w:rsidRPr="00843A68" w:rsidRDefault="003D2061" w:rsidP="003D2061">
      <w:pPr>
        <w:spacing w:after="0" w:line="240" w:lineRule="auto"/>
        <w:rPr>
          <w:rFonts w:ascii="Times New Roman" w:hAnsi="Times New Roman"/>
          <w:b/>
          <w:sz w:val="24"/>
          <w:szCs w:val="24"/>
        </w:rPr>
      </w:pPr>
      <w:r w:rsidRPr="007069C0">
        <w:rPr>
          <w:rFonts w:ascii="Times New Roman" w:hAnsi="Times New Roman"/>
          <w:b/>
          <w:noProof/>
          <w:sz w:val="24"/>
          <w:szCs w:val="24"/>
        </w:rPr>
        <w:drawing>
          <wp:inline distT="0" distB="0" distL="0" distR="0">
            <wp:extent cx="4291855" cy="2250220"/>
            <wp:effectExtent l="19050" t="0" r="13445" b="0"/>
            <wp:docPr id="1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D2061" w:rsidRPr="00843A68" w:rsidRDefault="003D2061" w:rsidP="003D2061">
      <w:pPr>
        <w:spacing w:after="0" w:line="240" w:lineRule="auto"/>
        <w:rPr>
          <w:rFonts w:ascii="Times New Roman" w:hAnsi="Times New Roman"/>
          <w:b/>
          <w:sz w:val="24"/>
          <w:szCs w:val="24"/>
        </w:rPr>
      </w:pPr>
    </w:p>
    <w:p w:rsidR="003D2061" w:rsidRPr="00843A68" w:rsidRDefault="003D2061" w:rsidP="003D2061">
      <w:pPr>
        <w:spacing w:after="0" w:line="240" w:lineRule="auto"/>
        <w:rPr>
          <w:rFonts w:ascii="Times New Roman" w:hAnsi="Times New Roman"/>
          <w:b/>
          <w:sz w:val="24"/>
          <w:szCs w:val="24"/>
        </w:rPr>
      </w:pPr>
    </w:p>
    <w:p w:rsidR="003D2061" w:rsidRPr="00843A68" w:rsidRDefault="005C2B99" w:rsidP="003D2061">
      <w:pPr>
        <w:spacing w:after="0" w:line="240" w:lineRule="auto"/>
        <w:rPr>
          <w:rFonts w:ascii="Times New Roman" w:hAnsi="Times New Roman"/>
          <w:b/>
          <w:sz w:val="24"/>
          <w:szCs w:val="24"/>
        </w:rPr>
      </w:pPr>
      <w:r>
        <w:rPr>
          <w:rFonts w:ascii="Times New Roman" w:hAnsi="Times New Roman"/>
          <w:b/>
          <w:sz w:val="24"/>
          <w:szCs w:val="24"/>
        </w:rPr>
        <w:t xml:space="preserve">                                                      Fig.8</w:t>
      </w:r>
      <w:r w:rsidR="00866189">
        <w:rPr>
          <w:rFonts w:ascii="Times New Roman" w:hAnsi="Times New Roman"/>
          <w:b/>
          <w:sz w:val="24"/>
          <w:szCs w:val="24"/>
        </w:rPr>
        <w:t xml:space="preserve">. </w:t>
      </w:r>
      <w:r w:rsidR="00866189" w:rsidRPr="00866189">
        <w:rPr>
          <w:rFonts w:ascii="Times New Roman" w:hAnsi="Times New Roman"/>
          <w:b/>
          <w:sz w:val="24"/>
          <w:szCs w:val="24"/>
        </w:rPr>
        <w:t>Copper content</w:t>
      </w:r>
    </w:p>
    <w:p w:rsidR="003D2061" w:rsidRPr="00843A68" w:rsidRDefault="003D2061" w:rsidP="003D2061">
      <w:pPr>
        <w:spacing w:after="0" w:line="240" w:lineRule="auto"/>
        <w:rPr>
          <w:rFonts w:ascii="Times New Roman" w:hAnsi="Times New Roman"/>
          <w:b/>
          <w:sz w:val="24"/>
          <w:szCs w:val="24"/>
        </w:rPr>
      </w:pPr>
    </w:p>
    <w:p w:rsidR="003D2061" w:rsidRPr="005C2B99" w:rsidRDefault="003D2061" w:rsidP="003D2061">
      <w:pPr>
        <w:spacing w:before="240" w:after="240" w:line="372" w:lineRule="auto"/>
        <w:jc w:val="both"/>
      </w:pPr>
      <w:r w:rsidRPr="007069C0">
        <w:rPr>
          <w:rFonts w:ascii="Times New Roman" w:hAnsi="Times New Roman"/>
          <w:sz w:val="24"/>
          <w:szCs w:val="24"/>
        </w:rPr>
        <w:t xml:space="preserve">Influence of different micronutrients and biofertilizers on </w:t>
      </w:r>
      <w:r w:rsidR="005C2B99" w:rsidRPr="005C2B99">
        <w:rPr>
          <w:bCs/>
        </w:rPr>
        <w:t>Manganese</w:t>
      </w:r>
      <w:r w:rsidR="001570F1">
        <w:rPr>
          <w:rFonts w:ascii="Times New Roman" w:hAnsi="Times New Roman"/>
          <w:sz w:val="24"/>
          <w:szCs w:val="24"/>
        </w:rPr>
        <w:t>content (Fig.7),</w:t>
      </w:r>
      <w:r w:rsidR="005C2B99">
        <w:rPr>
          <w:rFonts w:ascii="Times New Roman" w:hAnsi="Times New Roman"/>
          <w:sz w:val="24"/>
          <w:szCs w:val="24"/>
        </w:rPr>
        <w:t>and Copper content (Fig. 8</w:t>
      </w:r>
      <w:r w:rsidRPr="007069C0">
        <w:rPr>
          <w:rFonts w:ascii="Times New Roman" w:hAnsi="Times New Roman"/>
          <w:sz w:val="24"/>
          <w:szCs w:val="24"/>
        </w:rPr>
        <w:t>)</w:t>
      </w:r>
      <w:r w:rsidR="005C2B99">
        <w:rPr>
          <w:rFonts w:ascii="Times New Roman" w:hAnsi="Times New Roman"/>
          <w:sz w:val="24"/>
          <w:szCs w:val="24"/>
        </w:rPr>
        <w:t>.</w:t>
      </w:r>
    </w:p>
    <w:p w:rsidR="000C6955" w:rsidRPr="005C2B99" w:rsidRDefault="000C6955" w:rsidP="000C6955">
      <w:pPr>
        <w:pStyle w:val="Heading2"/>
        <w:rPr>
          <w:rFonts w:ascii="Times New Roman" w:hAnsi="Times New Roman" w:cs="Times New Roman"/>
          <w:color w:val="auto"/>
          <w:sz w:val="24"/>
          <w:szCs w:val="24"/>
        </w:rPr>
      </w:pPr>
      <w:r w:rsidRPr="005C2B99">
        <w:rPr>
          <w:rFonts w:ascii="Times New Roman" w:hAnsi="Times New Roman" w:cs="Times New Roman"/>
          <w:color w:val="auto"/>
          <w:sz w:val="24"/>
          <w:szCs w:val="24"/>
        </w:rPr>
        <w:t xml:space="preserve">Conclusion </w:t>
      </w:r>
    </w:p>
    <w:p w:rsidR="003D2061" w:rsidRPr="00843A68" w:rsidRDefault="000C6955" w:rsidP="00C72FB4">
      <w:pPr>
        <w:spacing w:after="0" w:line="360" w:lineRule="auto"/>
        <w:jc w:val="both"/>
        <w:rPr>
          <w:rFonts w:ascii="Times New Roman" w:hAnsi="Times New Roman"/>
          <w:b/>
          <w:sz w:val="24"/>
          <w:szCs w:val="24"/>
        </w:rPr>
      </w:pPr>
      <w:r w:rsidRPr="006E3416">
        <w:rPr>
          <w:rFonts w:ascii="Times New Roman" w:hAnsi="Times New Roman"/>
          <w:sz w:val="24"/>
          <w:szCs w:val="24"/>
        </w:rPr>
        <w:t>The study revealed that application of RDF(10:25:00: N: P2 O5 :K2 O kg ha</w:t>
      </w:r>
      <w:r w:rsidRPr="001570F1">
        <w:rPr>
          <w:rFonts w:ascii="Times New Roman" w:hAnsi="Times New Roman"/>
          <w:sz w:val="24"/>
          <w:szCs w:val="24"/>
          <w:vertAlign w:val="superscript"/>
        </w:rPr>
        <w:t>-1</w:t>
      </w:r>
      <w:r w:rsidRPr="006E3416">
        <w:rPr>
          <w:rFonts w:ascii="Times New Roman" w:hAnsi="Times New Roman"/>
          <w:sz w:val="24"/>
          <w:szCs w:val="24"/>
        </w:rPr>
        <w:t>) + Rhizobium + PSB (@ 1250 g ha</w:t>
      </w:r>
      <w:r w:rsidRPr="001570F1">
        <w:rPr>
          <w:rFonts w:ascii="Times New Roman" w:hAnsi="Times New Roman"/>
          <w:sz w:val="24"/>
          <w:szCs w:val="24"/>
          <w:vertAlign w:val="superscript"/>
        </w:rPr>
        <w:t>-1</w:t>
      </w:r>
      <w:r w:rsidRPr="006E3416">
        <w:rPr>
          <w:rFonts w:ascii="Times New Roman" w:hAnsi="Times New Roman"/>
          <w:sz w:val="24"/>
          <w:szCs w:val="24"/>
        </w:rPr>
        <w:t>) + FeSO</w:t>
      </w:r>
      <w:r w:rsidRPr="001570F1">
        <w:rPr>
          <w:rFonts w:ascii="Times New Roman" w:hAnsi="Times New Roman"/>
          <w:sz w:val="24"/>
          <w:szCs w:val="24"/>
          <w:vertAlign w:val="subscript"/>
        </w:rPr>
        <w:t>4</w:t>
      </w:r>
      <w:r w:rsidRPr="006E3416">
        <w:rPr>
          <w:rFonts w:ascii="Times New Roman" w:hAnsi="Times New Roman"/>
          <w:sz w:val="24"/>
          <w:szCs w:val="24"/>
        </w:rPr>
        <w:t xml:space="preserve">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+ZnSO4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+Borax @ 10 kg ha</w:t>
      </w:r>
      <w:r w:rsidRPr="001570F1">
        <w:rPr>
          <w:rFonts w:ascii="Times New Roman" w:hAnsi="Times New Roman"/>
          <w:sz w:val="24"/>
          <w:szCs w:val="24"/>
          <w:vertAlign w:val="superscript"/>
        </w:rPr>
        <w:t>-1</w:t>
      </w:r>
      <w:r w:rsidRPr="006E3416">
        <w:rPr>
          <w:rFonts w:ascii="Times New Roman" w:hAnsi="Times New Roman"/>
          <w:sz w:val="24"/>
          <w:szCs w:val="24"/>
        </w:rPr>
        <w:t xml:space="preserve"> + Sodium Molybdate @ 1.0 g kg</w:t>
      </w:r>
      <w:r w:rsidRPr="001570F1">
        <w:rPr>
          <w:rFonts w:ascii="Times New Roman" w:hAnsi="Times New Roman"/>
          <w:sz w:val="24"/>
          <w:szCs w:val="24"/>
          <w:vertAlign w:val="superscript"/>
        </w:rPr>
        <w:t>-1</w:t>
      </w:r>
      <w:r w:rsidRPr="006E3416">
        <w:rPr>
          <w:rFonts w:ascii="Times New Roman" w:hAnsi="Times New Roman"/>
          <w:sz w:val="24"/>
          <w:szCs w:val="24"/>
        </w:rPr>
        <w:t xml:space="preserve"> seed, recorded significantly higher </w:t>
      </w:r>
      <w:r w:rsidRPr="006E3416">
        <w:rPr>
          <w:rFonts w:ascii="Times New Roman" w:hAnsi="Times New Roman"/>
          <w:color w:val="000000" w:themeColor="text1"/>
          <w:sz w:val="24"/>
          <w:szCs w:val="24"/>
        </w:rPr>
        <w:t xml:space="preserve">dry matter accumulation, protein content, </w:t>
      </w:r>
      <w:r w:rsidRPr="00777190">
        <w:rPr>
          <w:rFonts w:ascii="Times New Roman" w:hAnsi="Times New Roman"/>
          <w:color w:val="000000" w:themeColor="text1"/>
          <w:sz w:val="24"/>
          <w:szCs w:val="24"/>
        </w:rPr>
        <w:t>nutrient content</w:t>
      </w:r>
      <w:r>
        <w:rPr>
          <w:rFonts w:ascii="Times New Roman" w:hAnsi="Times New Roman"/>
          <w:color w:val="000000" w:themeColor="text1"/>
          <w:sz w:val="24"/>
          <w:szCs w:val="24"/>
        </w:rPr>
        <w:t>an</w:t>
      </w:r>
      <w:r w:rsidRPr="00777190">
        <w:rPr>
          <w:rFonts w:ascii="Times New Roman" w:hAnsi="Times New Roman"/>
          <w:color w:val="000000" w:themeColor="text1"/>
          <w:sz w:val="24"/>
          <w:szCs w:val="24"/>
        </w:rPr>
        <w:t>dyield in chickpea</w:t>
      </w:r>
      <w:r w:rsidRPr="006E3416">
        <w:rPr>
          <w:rFonts w:ascii="Times New Roman" w:hAnsi="Times New Roman"/>
          <w:sz w:val="24"/>
          <w:szCs w:val="24"/>
        </w:rPr>
        <w:t xml:space="preserve"> crop in vertisols</w:t>
      </w:r>
      <w:r w:rsidR="00C72FB4">
        <w:rPr>
          <w:rFonts w:ascii="Times New Roman" w:hAnsi="Times New Roman"/>
          <w:sz w:val="24"/>
          <w:szCs w:val="24"/>
        </w:rPr>
        <w:t>.</w:t>
      </w:r>
    </w:p>
    <w:p w:rsidR="003D2061" w:rsidRPr="00843A68" w:rsidRDefault="003D2061" w:rsidP="003D2061">
      <w:pPr>
        <w:spacing w:before="240" w:after="240" w:line="360" w:lineRule="auto"/>
        <w:ind w:firstLine="720"/>
        <w:jc w:val="both"/>
        <w:rPr>
          <w:rFonts w:ascii="Times New Roman" w:hAnsi="Times New Roman"/>
          <w:sz w:val="24"/>
          <w:szCs w:val="24"/>
        </w:rPr>
        <w:sectPr w:rsidR="003D2061" w:rsidRPr="00843A68" w:rsidSect="007069C0">
          <w:pgSz w:w="11907" w:h="16840"/>
          <w:pgMar w:top="1440" w:right="1440" w:bottom="1440" w:left="1440" w:header="709" w:footer="709" w:gutter="0"/>
          <w:cols w:space="708"/>
          <w:docGrid w:linePitch="360"/>
        </w:sectPr>
      </w:pPr>
    </w:p>
    <w:p w:rsidR="004830F5" w:rsidRDefault="003D2061" w:rsidP="000C6955">
      <w:pPr>
        <w:pStyle w:val="Heading2"/>
        <w:jc w:val="both"/>
        <w:rPr>
          <w:rFonts w:ascii="Times New Roman" w:hAnsi="Times New Roman" w:cs="Times New Roman"/>
          <w:color w:val="000000" w:themeColor="text1"/>
        </w:rPr>
      </w:pPr>
      <w:r w:rsidRPr="006E3416">
        <w:rPr>
          <w:rFonts w:ascii="Times New Roman" w:hAnsi="Times New Roman" w:cs="Times New Roman"/>
          <w:b w:val="0"/>
          <w:color w:val="auto"/>
          <w:sz w:val="24"/>
          <w:szCs w:val="24"/>
        </w:rPr>
        <w:lastRenderedPageBreak/>
        <w:t>.</w:t>
      </w:r>
    </w:p>
    <w:p w:rsidR="004830F5" w:rsidRDefault="003F0E02" w:rsidP="004830F5">
      <w:pPr>
        <w:pStyle w:val="Heading2"/>
        <w:rPr>
          <w:rFonts w:ascii="Times New Roman" w:hAnsi="Times New Roman" w:cs="Times New Roman"/>
          <w:color w:val="000000" w:themeColor="text1"/>
        </w:rPr>
      </w:pPr>
      <w:r w:rsidRPr="00843A68">
        <w:rPr>
          <w:rFonts w:ascii="Times New Roman" w:hAnsi="Times New Roman" w:cs="Times New Roman"/>
          <w:color w:val="000000" w:themeColor="text1"/>
        </w:rPr>
        <w:t>REFERENCES</w:t>
      </w:r>
    </w:p>
    <w:p w:rsidR="00777190" w:rsidRPr="00D95FC6" w:rsidRDefault="00777190" w:rsidP="00D95FC6">
      <w:pPr>
        <w:spacing w:before="240" w:after="240" w:line="360" w:lineRule="auto"/>
        <w:ind w:left="1134" w:hanging="1100"/>
        <w:jc w:val="both"/>
        <w:rPr>
          <w:rFonts w:ascii="Times New Roman" w:hAnsi="Times New Roman"/>
          <w:sz w:val="24"/>
          <w:szCs w:val="24"/>
        </w:rPr>
      </w:pPr>
      <w:r w:rsidRPr="00D95FC6">
        <w:rPr>
          <w:rFonts w:ascii="Times New Roman" w:hAnsi="Times New Roman"/>
          <w:sz w:val="24"/>
          <w:szCs w:val="24"/>
        </w:rPr>
        <w:t>Athokpam, H. S., Chongtham, N., Singh, R. K. K., Singh, N. G. and Singh, N. B. 2009. Effect of nitrogen, phosphorus and potassium on growth, yield and nutrient uptake by blackgram (</w:t>
      </w:r>
      <w:r w:rsidRPr="00D95FC6">
        <w:rPr>
          <w:rFonts w:ascii="Times New Roman" w:hAnsi="Times New Roman"/>
          <w:i/>
          <w:sz w:val="24"/>
          <w:szCs w:val="24"/>
        </w:rPr>
        <w:t>Vigna mungo</w:t>
      </w:r>
      <w:r w:rsidRPr="00D95FC6">
        <w:rPr>
          <w:rFonts w:ascii="Times New Roman" w:hAnsi="Times New Roman"/>
          <w:sz w:val="24"/>
          <w:szCs w:val="24"/>
        </w:rPr>
        <w:t xml:space="preserve"> L.). </w:t>
      </w:r>
      <w:r w:rsidRPr="00D95FC6">
        <w:rPr>
          <w:rFonts w:ascii="Times New Roman" w:hAnsi="Times New Roman"/>
          <w:i/>
          <w:sz w:val="24"/>
          <w:szCs w:val="24"/>
        </w:rPr>
        <w:t>Ecol.Environ</w:t>
      </w:r>
      <w:r w:rsidRPr="00D95FC6">
        <w:rPr>
          <w:rFonts w:ascii="Times New Roman" w:hAnsi="Times New Roman"/>
          <w:sz w:val="24"/>
          <w:szCs w:val="24"/>
        </w:rPr>
        <w:t>, 27: 682-684.</w:t>
      </w:r>
    </w:p>
    <w:p w:rsidR="009B3B55" w:rsidRPr="00D95FC6" w:rsidRDefault="00464ECE" w:rsidP="00D95FC6">
      <w:pPr>
        <w:spacing w:line="360" w:lineRule="auto"/>
        <w:ind w:left="1094" w:hanging="1094"/>
        <w:jc w:val="both"/>
        <w:rPr>
          <w:rFonts w:ascii="Times New Roman" w:hAnsi="Times New Roman"/>
          <w:sz w:val="24"/>
          <w:szCs w:val="24"/>
        </w:rPr>
      </w:pPr>
      <w:r w:rsidRPr="00D95FC6">
        <w:rPr>
          <w:rFonts w:ascii="Times New Roman" w:hAnsi="Times New Roman"/>
          <w:sz w:val="24"/>
          <w:szCs w:val="24"/>
        </w:rPr>
        <w:t>Bera A K, Pramanik K and Panda D, (2013), Response of bioferti</w:t>
      </w:r>
      <w:r w:rsidR="00D95FC6">
        <w:rPr>
          <w:rFonts w:ascii="Times New Roman" w:hAnsi="Times New Roman"/>
          <w:sz w:val="24"/>
          <w:szCs w:val="24"/>
        </w:rPr>
        <w:t>lizers and homobrassinoloids on</w:t>
      </w:r>
      <w:r w:rsidRPr="00D95FC6">
        <w:rPr>
          <w:rFonts w:ascii="Times New Roman" w:hAnsi="Times New Roman"/>
          <w:sz w:val="24"/>
          <w:szCs w:val="24"/>
        </w:rPr>
        <w:t>growth, relative water content and yield of lentil. Journal of Crop and Weed, 9: 84-90.</w:t>
      </w:r>
    </w:p>
    <w:p w:rsidR="00464ECE" w:rsidRPr="00D95FC6" w:rsidRDefault="00464ECE" w:rsidP="00D95FC6">
      <w:pPr>
        <w:spacing w:line="360" w:lineRule="auto"/>
        <w:ind w:left="1094" w:hanging="1094"/>
        <w:jc w:val="both"/>
        <w:rPr>
          <w:rFonts w:ascii="Times New Roman" w:hAnsi="Times New Roman"/>
          <w:sz w:val="24"/>
          <w:szCs w:val="24"/>
        </w:rPr>
      </w:pPr>
      <w:r w:rsidRPr="00D95FC6">
        <w:rPr>
          <w:rFonts w:ascii="Times New Roman" w:hAnsi="Times New Roman"/>
          <w:sz w:val="24"/>
          <w:szCs w:val="24"/>
        </w:rPr>
        <w:t xml:space="preserve">Broadley, M. R., White, P. J., Hammond, J. P., Zelko, I. and Lux, A., 2007, Zinc in plants. </w:t>
      </w:r>
      <w:r w:rsidRPr="00D95FC6">
        <w:rPr>
          <w:rFonts w:ascii="Times New Roman" w:hAnsi="Times New Roman"/>
          <w:i/>
          <w:iCs/>
          <w:sz w:val="24"/>
          <w:szCs w:val="24"/>
        </w:rPr>
        <w:t xml:space="preserve">New Phytol., </w:t>
      </w:r>
      <w:r w:rsidRPr="00D95FC6">
        <w:rPr>
          <w:rFonts w:ascii="Times New Roman" w:hAnsi="Times New Roman"/>
          <w:sz w:val="24"/>
          <w:szCs w:val="24"/>
        </w:rPr>
        <w:t>173(4): 677–702</w:t>
      </w:r>
      <w:r w:rsidR="00D95FC6" w:rsidRPr="00D95FC6">
        <w:rPr>
          <w:rFonts w:ascii="Times New Roman" w:hAnsi="Times New Roman"/>
          <w:sz w:val="24"/>
          <w:szCs w:val="24"/>
        </w:rPr>
        <w:t>.</w:t>
      </w:r>
    </w:p>
    <w:p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Gangwar, S. and Dubey, M., 2012, Effect on N and P uptake by chickpea (</w:t>
      </w:r>
      <w:r w:rsidRPr="00D95FC6">
        <w:rPr>
          <w:i/>
          <w:sz w:val="24"/>
          <w:szCs w:val="24"/>
        </w:rPr>
        <w:t>cicer arietinum</w:t>
      </w:r>
      <w:r w:rsidR="00D95FC6">
        <w:rPr>
          <w:sz w:val="24"/>
          <w:szCs w:val="24"/>
        </w:rPr>
        <w:t xml:space="preserve"> l.) as</w:t>
      </w:r>
      <w:r w:rsidRPr="00D95FC6">
        <w:rPr>
          <w:sz w:val="24"/>
          <w:szCs w:val="24"/>
        </w:rPr>
        <w:t xml:space="preserve">influenced by micronutrients and biofertilizers. </w:t>
      </w:r>
      <w:r w:rsidRPr="00D95FC6">
        <w:rPr>
          <w:i/>
          <w:sz w:val="24"/>
          <w:szCs w:val="24"/>
        </w:rPr>
        <w:t>Leg. Res</w:t>
      </w:r>
      <w:r w:rsidRPr="00D95FC6">
        <w:rPr>
          <w:sz w:val="24"/>
          <w:szCs w:val="24"/>
        </w:rPr>
        <w:t>., 35 (2): 164 – 168.</w:t>
      </w:r>
    </w:p>
    <w:p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Hemn, O. S., 2013, Effect of foliar fertilization of Fe, B and Zn on nutrient concentration and seed protein of cowpea (</w:t>
      </w:r>
      <w:r w:rsidRPr="00D95FC6">
        <w:rPr>
          <w:i/>
          <w:iCs/>
          <w:sz w:val="24"/>
          <w:szCs w:val="24"/>
        </w:rPr>
        <w:t>Vigna unguiculata</w:t>
      </w:r>
      <w:r w:rsidRPr="00D95FC6">
        <w:rPr>
          <w:sz w:val="24"/>
          <w:szCs w:val="24"/>
        </w:rPr>
        <w:t xml:space="preserve">). </w:t>
      </w:r>
      <w:r w:rsidRPr="00D95FC6">
        <w:rPr>
          <w:i/>
          <w:iCs/>
          <w:sz w:val="24"/>
          <w:szCs w:val="24"/>
        </w:rPr>
        <w:t>J. Agri. Vet. Sci</w:t>
      </w:r>
      <w:r w:rsidRPr="00D95FC6">
        <w:rPr>
          <w:sz w:val="24"/>
          <w:szCs w:val="24"/>
        </w:rPr>
        <w:t>., 3 (6): 42-46</w:t>
      </w:r>
      <w:r w:rsidR="00D95FC6" w:rsidRPr="00D95FC6">
        <w:rPr>
          <w:sz w:val="24"/>
          <w:szCs w:val="24"/>
        </w:rPr>
        <w:t>.</w:t>
      </w:r>
    </w:p>
    <w:p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t xml:space="preserve">Hossain, M.A., Quddus, M.A. and Mondol, R.H., 2018, Requirement of zinc for Lentil Mungbean in calcareous and noncalcareous soil. Annual Research Report, 2009-2010. Pulse Research Centre, BARI, Gazipur. </w:t>
      </w:r>
      <w:r w:rsidRPr="00D95FC6">
        <w:rPr>
          <w:i/>
          <w:sz w:val="24"/>
          <w:szCs w:val="24"/>
        </w:rPr>
        <w:t>Int. J. Curr. Microbiol. App. Sci</w:t>
      </w:r>
      <w:r w:rsidR="00D95FC6" w:rsidRPr="00D95FC6">
        <w:rPr>
          <w:i/>
          <w:sz w:val="24"/>
          <w:szCs w:val="24"/>
        </w:rPr>
        <w:t>.,</w:t>
      </w:r>
      <w:r w:rsidRPr="00D95FC6">
        <w:rPr>
          <w:sz w:val="24"/>
          <w:szCs w:val="24"/>
        </w:rPr>
        <w:t xml:space="preserve"> 7(2): 3269-3275</w:t>
      </w:r>
      <w:r w:rsidR="00D95FC6" w:rsidRPr="00D95FC6">
        <w:rPr>
          <w:sz w:val="24"/>
          <w:szCs w:val="24"/>
        </w:rPr>
        <w:t>.</w:t>
      </w:r>
    </w:p>
    <w:p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 xml:space="preserve">Idries, Mohammad and Sandhu, G. R., 1979, Rhizobium inoculation in the mungbean cultivation. </w:t>
      </w:r>
      <w:r w:rsidRPr="00D95FC6">
        <w:rPr>
          <w:i/>
          <w:sz w:val="24"/>
          <w:szCs w:val="24"/>
        </w:rPr>
        <w:t>J. Sci</w:t>
      </w:r>
      <w:r w:rsidRPr="00D95FC6">
        <w:rPr>
          <w:sz w:val="24"/>
          <w:szCs w:val="24"/>
        </w:rPr>
        <w:t>., 31 (3-4): 165-173</w:t>
      </w:r>
      <w:r w:rsidR="00D95FC6" w:rsidRPr="00D95FC6">
        <w:rPr>
          <w:sz w:val="24"/>
          <w:szCs w:val="24"/>
        </w:rPr>
        <w:t>.</w:t>
      </w:r>
    </w:p>
    <w:p w:rsidR="000E690A" w:rsidRPr="00D95FC6" w:rsidRDefault="000E690A" w:rsidP="00D95FC6">
      <w:pPr>
        <w:pStyle w:val="ListParagraph"/>
        <w:spacing w:before="240" w:after="240" w:line="360" w:lineRule="auto"/>
        <w:ind w:left="1100" w:right="0" w:hanging="1100"/>
        <w:rPr>
          <w:sz w:val="24"/>
          <w:szCs w:val="24"/>
        </w:rPr>
      </w:pPr>
      <w:r w:rsidRPr="00D95FC6">
        <w:rPr>
          <w:sz w:val="24"/>
          <w:szCs w:val="24"/>
        </w:rPr>
        <w:t xml:space="preserve">Jagdale, N. G., More, B. B., Kove, B. K. and Patil, P. L.L., 1980, Effect of different dose of rhizobium inoculation on nodulation, dry matter weight, nitrogen content and yield of bangal gram. </w:t>
      </w:r>
      <w:r w:rsidRPr="00D95FC6">
        <w:rPr>
          <w:i/>
          <w:sz w:val="24"/>
          <w:szCs w:val="24"/>
        </w:rPr>
        <w:t>Fill. Pnn. Agric.</w:t>
      </w:r>
      <w:r w:rsidR="00D95FC6" w:rsidRPr="00D95FC6">
        <w:rPr>
          <w:i/>
          <w:sz w:val="24"/>
          <w:szCs w:val="24"/>
        </w:rPr>
        <w:t>,</w:t>
      </w:r>
      <w:r w:rsidRPr="00D95FC6">
        <w:rPr>
          <w:sz w:val="24"/>
          <w:szCs w:val="24"/>
        </w:rPr>
        <w:t xml:space="preserve"> (1) 19:216- 217</w:t>
      </w:r>
      <w:r w:rsidR="00D95FC6" w:rsidRPr="00D95FC6">
        <w:rPr>
          <w:sz w:val="24"/>
          <w:szCs w:val="24"/>
        </w:rPr>
        <w:t>.</w:t>
      </w:r>
    </w:p>
    <w:p w:rsidR="000E690A" w:rsidRPr="00D95FC6" w:rsidRDefault="00D95FC6" w:rsidP="00D95FC6">
      <w:pPr>
        <w:pStyle w:val="Default"/>
        <w:spacing w:before="200" w:after="200" w:line="360" w:lineRule="auto"/>
        <w:ind w:left="1100" w:hanging="1100"/>
        <w:jc w:val="both"/>
        <w:rPr>
          <w:rFonts w:ascii="Times New Roman" w:hAnsi="Times New Roman"/>
          <w:color w:val="auto"/>
        </w:rPr>
      </w:pPr>
      <w:r w:rsidRPr="00D95FC6">
        <w:rPr>
          <w:rFonts w:ascii="Times New Roman" w:hAnsi="Times New Roman"/>
          <w:color w:val="auto"/>
          <w:shd w:val="clear" w:color="auto" w:fill="FFFFFF"/>
        </w:rPr>
        <w:t>Khan, M. S.,</w:t>
      </w:r>
      <w:r w:rsidR="000E690A" w:rsidRPr="00D95FC6">
        <w:rPr>
          <w:rFonts w:ascii="Times New Roman" w:hAnsi="Times New Roman"/>
          <w:color w:val="auto"/>
          <w:shd w:val="clear" w:color="auto" w:fill="FFFFFF"/>
        </w:rPr>
        <w:t xml:space="preserve"> Zaidi, A. and Wani, P. A., 2007, Role of phosphate-solubilizing microorganisms in sustainable agriculture-a Review. </w:t>
      </w:r>
      <w:r w:rsidR="000E690A" w:rsidRPr="00D95FC6">
        <w:rPr>
          <w:rFonts w:ascii="Times New Roman" w:hAnsi="Times New Roman"/>
          <w:i/>
          <w:iCs/>
          <w:color w:val="auto"/>
          <w:shd w:val="clear" w:color="auto" w:fill="FFFFFF"/>
        </w:rPr>
        <w:t>Agron.</w:t>
      </w:r>
      <w:r w:rsidRPr="00D95FC6">
        <w:rPr>
          <w:rFonts w:ascii="Times New Roman" w:hAnsi="Times New Roman"/>
          <w:i/>
          <w:iCs/>
          <w:color w:val="auto"/>
          <w:shd w:val="clear" w:color="auto" w:fill="FFFFFF"/>
        </w:rPr>
        <w:t>,</w:t>
      </w:r>
      <w:r w:rsidR="000E690A" w:rsidRPr="00D95FC6">
        <w:rPr>
          <w:rFonts w:ascii="Times New Roman" w:hAnsi="Times New Roman"/>
          <w:i/>
          <w:iCs/>
          <w:color w:val="auto"/>
          <w:shd w:val="clear" w:color="auto" w:fill="FFFFFF"/>
        </w:rPr>
        <w:t xml:space="preserve"> Sustain. Dev.</w:t>
      </w:r>
      <w:r w:rsidR="000E690A" w:rsidRPr="00D95FC6">
        <w:rPr>
          <w:rFonts w:ascii="Times New Roman" w:hAnsi="Times New Roman"/>
          <w:color w:val="auto"/>
          <w:shd w:val="clear" w:color="auto" w:fill="FFFFFF"/>
        </w:rPr>
        <w:t>, 27(1): 29-43.</w:t>
      </w:r>
    </w:p>
    <w:p w:rsidR="000E690A" w:rsidRPr="00D95FC6" w:rsidRDefault="000E690A" w:rsidP="00D95FC6">
      <w:pPr>
        <w:pStyle w:val="ListParagraph"/>
        <w:spacing w:before="240" w:after="240" w:line="360" w:lineRule="auto"/>
        <w:ind w:left="1100" w:right="0" w:hanging="1100"/>
        <w:rPr>
          <w:i/>
          <w:sz w:val="24"/>
          <w:szCs w:val="24"/>
        </w:rPr>
      </w:pPr>
      <w:r w:rsidRPr="00D95FC6">
        <w:rPr>
          <w:sz w:val="24"/>
          <w:szCs w:val="24"/>
        </w:rPr>
        <w:t xml:space="preserve">Marschner, H. and Marschner’s, 2012, </w:t>
      </w:r>
      <w:r w:rsidRPr="00D95FC6">
        <w:rPr>
          <w:i/>
          <w:sz w:val="24"/>
          <w:szCs w:val="24"/>
        </w:rPr>
        <w:t>Mineral Nutrition of Higher Plants. Third edition. Elsevier Ltd</w:t>
      </w:r>
      <w:r w:rsidR="00D95FC6" w:rsidRPr="00D95FC6">
        <w:rPr>
          <w:i/>
          <w:sz w:val="24"/>
          <w:szCs w:val="24"/>
        </w:rPr>
        <w:t>.</w:t>
      </w:r>
    </w:p>
    <w:p w:rsidR="00777190" w:rsidRPr="00D95FC6" w:rsidRDefault="00777190" w:rsidP="00D95FC6">
      <w:pPr>
        <w:pStyle w:val="ListParagraph"/>
        <w:spacing w:before="240" w:after="240" w:line="360" w:lineRule="auto"/>
        <w:ind w:left="1100" w:right="0" w:hanging="1100"/>
        <w:rPr>
          <w:sz w:val="24"/>
          <w:szCs w:val="24"/>
        </w:rPr>
      </w:pPr>
      <w:r w:rsidRPr="00D95FC6">
        <w:rPr>
          <w:sz w:val="24"/>
          <w:szCs w:val="24"/>
        </w:rPr>
        <w:lastRenderedPageBreak/>
        <w:t xml:space="preserve">Mishra, S. K. and Tiwari, V. N., 2001, Effect of phosphorus, sulphurand  biofertilizer on yield, nodulation and quality of pea. </w:t>
      </w:r>
      <w:r w:rsidRPr="00D95FC6">
        <w:rPr>
          <w:i/>
          <w:sz w:val="24"/>
          <w:szCs w:val="24"/>
        </w:rPr>
        <w:t>Ann. Plant Soil Res</w:t>
      </w:r>
      <w:r w:rsidR="00D95FC6" w:rsidRPr="00D95FC6">
        <w:rPr>
          <w:i/>
          <w:sz w:val="24"/>
          <w:szCs w:val="24"/>
        </w:rPr>
        <w:t>.</w:t>
      </w:r>
      <w:r w:rsidRPr="00D95FC6">
        <w:rPr>
          <w:i/>
          <w:sz w:val="24"/>
          <w:szCs w:val="24"/>
        </w:rPr>
        <w:t xml:space="preserve">, </w:t>
      </w:r>
      <w:r w:rsidRPr="00D95FC6">
        <w:rPr>
          <w:sz w:val="24"/>
          <w:szCs w:val="24"/>
        </w:rPr>
        <w:t>3(2):</w:t>
      </w:r>
      <w:r w:rsidRPr="00B75D34">
        <w:rPr>
          <w:sz w:val="24"/>
          <w:szCs w:val="24"/>
        </w:rPr>
        <w:br/>
      </w:r>
      <w:r w:rsidRPr="00D95FC6">
        <w:rPr>
          <w:sz w:val="24"/>
          <w:szCs w:val="24"/>
        </w:rPr>
        <w:t>2002-2005</w:t>
      </w:r>
      <w:r w:rsidR="00D95FC6" w:rsidRPr="00D95FC6">
        <w:rPr>
          <w:sz w:val="24"/>
          <w:szCs w:val="24"/>
        </w:rPr>
        <w:t>.</w:t>
      </w:r>
    </w:p>
    <w:p w:rsidR="00464ECE" w:rsidRPr="00D95FC6" w:rsidRDefault="00464ECE" w:rsidP="00D95FC6">
      <w:pPr>
        <w:spacing w:line="360" w:lineRule="auto"/>
        <w:ind w:left="1094" w:hanging="1094"/>
        <w:jc w:val="both"/>
        <w:rPr>
          <w:rFonts w:ascii="Times New Roman" w:hAnsi="Times New Roman"/>
          <w:sz w:val="24"/>
          <w:szCs w:val="24"/>
        </w:rPr>
      </w:pPr>
      <w:r w:rsidRPr="00D95FC6">
        <w:rPr>
          <w:rFonts w:ascii="Times New Roman" w:hAnsi="Times New Roman"/>
          <w:sz w:val="24"/>
          <w:szCs w:val="24"/>
        </w:rPr>
        <w:t>Movalia J, Donga S and Parmar K B, 2020, Effect of boron and molybdenum on summer green gram (Vigna radiata L.) (GM-4) under medium black calcareous soils. Proceedings of the National Conference on Innovations in Biological Sciences (NCIBS).</w:t>
      </w:r>
    </w:p>
    <w:p w:rsidR="00464ECE" w:rsidRDefault="00000521" w:rsidP="00D95FC6">
      <w:pPr>
        <w:spacing w:line="360" w:lineRule="auto"/>
        <w:ind w:left="1094" w:hanging="1094"/>
        <w:jc w:val="both"/>
        <w:rPr>
          <w:rFonts w:ascii="Times New Roman" w:hAnsi="Times New Roman"/>
          <w:sz w:val="24"/>
          <w:szCs w:val="24"/>
        </w:rPr>
      </w:pPr>
      <w:r w:rsidRPr="00843A68">
        <w:rPr>
          <w:rFonts w:ascii="Times New Roman" w:hAnsi="Times New Roman"/>
          <w:sz w:val="24"/>
          <w:szCs w:val="24"/>
        </w:rPr>
        <w:t>Mousavi, S. R., Galavi, M. and Rezaei, M., 2012, The interaction of zinc with other elements in plants: a review</w:t>
      </w:r>
      <w:r w:rsidRPr="00843A68">
        <w:rPr>
          <w:rFonts w:ascii="Times New Roman" w:hAnsi="Times New Roman"/>
          <w:i/>
          <w:sz w:val="24"/>
          <w:szCs w:val="24"/>
        </w:rPr>
        <w:t>. Int. J. Agric. crop Sci.,</w:t>
      </w:r>
      <w:r w:rsidRPr="00843A68">
        <w:rPr>
          <w:rFonts w:ascii="Times New Roman" w:hAnsi="Times New Roman"/>
          <w:sz w:val="24"/>
          <w:szCs w:val="24"/>
        </w:rPr>
        <w:t xml:space="preserve"> 4(24): 1881-1884</w:t>
      </w:r>
    </w:p>
    <w:p w:rsidR="000E690A" w:rsidRDefault="000E690A" w:rsidP="00D95FC6">
      <w:pPr>
        <w:spacing w:before="240" w:after="240" w:line="360" w:lineRule="auto"/>
        <w:ind w:left="1100" w:hanging="1100"/>
        <w:jc w:val="both"/>
        <w:rPr>
          <w:rFonts w:ascii="Times New Roman" w:hAnsi="Times New Roman"/>
          <w:sz w:val="24"/>
          <w:szCs w:val="24"/>
        </w:rPr>
      </w:pPr>
      <w:r w:rsidRPr="00843A68">
        <w:rPr>
          <w:rFonts w:ascii="Times New Roman" w:hAnsi="Times New Roman"/>
          <w:sz w:val="24"/>
          <w:szCs w:val="24"/>
        </w:rPr>
        <w:t>Page, A. L., Miller, R. H. and Keeney, D. R., 1982, Methods of Soil Analysis. Part 2- Chemical and Microbiological Properties. 2nd Edition. Agronomy No. 9 Part 2. ASA, SSSA, Madison, Wisconsin, USA Singh, M., Chaudhary, S. R., Sharma, S. R. and Rathore, M. S., 2004, Effect of some micronutrients on content and uptake by chickpea (</w:t>
      </w:r>
      <w:r w:rsidRPr="00843A68">
        <w:rPr>
          <w:rFonts w:ascii="Times New Roman" w:hAnsi="Times New Roman"/>
          <w:i/>
          <w:iCs/>
          <w:sz w:val="24"/>
          <w:szCs w:val="24"/>
        </w:rPr>
        <w:t>Cicerarletinum L.</w:t>
      </w:r>
      <w:r w:rsidRPr="00843A68">
        <w:rPr>
          <w:rFonts w:ascii="Times New Roman" w:hAnsi="Times New Roman"/>
          <w:sz w:val="24"/>
          <w:szCs w:val="24"/>
        </w:rPr>
        <w:t xml:space="preserve">). </w:t>
      </w:r>
      <w:r w:rsidRPr="00843A68">
        <w:rPr>
          <w:rFonts w:ascii="Times New Roman" w:hAnsi="Times New Roman"/>
          <w:i/>
          <w:iCs/>
          <w:sz w:val="24"/>
          <w:szCs w:val="24"/>
        </w:rPr>
        <w:t>Agric. Sci. Digest</w:t>
      </w:r>
      <w:r w:rsidRPr="00843A68">
        <w:rPr>
          <w:rFonts w:ascii="Times New Roman" w:hAnsi="Times New Roman"/>
          <w:sz w:val="24"/>
          <w:szCs w:val="24"/>
        </w:rPr>
        <w:t>, 24(4): 268 - 270.</w:t>
      </w:r>
    </w:p>
    <w:p w:rsidR="00D334C3" w:rsidRDefault="00D334C3" w:rsidP="00D95FC6">
      <w:pPr>
        <w:spacing w:before="240" w:after="240" w:line="360" w:lineRule="auto"/>
        <w:ind w:left="1100" w:hanging="1100"/>
        <w:jc w:val="both"/>
        <w:rPr>
          <w:rFonts w:ascii="Times New Roman" w:hAnsi="Times New Roman"/>
          <w:sz w:val="24"/>
          <w:szCs w:val="24"/>
        </w:rPr>
      </w:pPr>
      <w:r w:rsidRPr="00B75D34">
        <w:rPr>
          <w:rFonts w:ascii="Times New Roman" w:hAnsi="Times New Roman"/>
          <w:sz w:val="24"/>
          <w:szCs w:val="24"/>
        </w:rPr>
        <w:t>Singh, M., Chaudhary, S. R., Sharma, S. R. and Rathore, M. S., 2004, Effect of some micronutrients on content and uptake by chickpea (</w:t>
      </w:r>
      <w:r w:rsidRPr="00B75D34">
        <w:rPr>
          <w:rFonts w:ascii="Times New Roman" w:hAnsi="Times New Roman"/>
          <w:i/>
          <w:iCs/>
          <w:sz w:val="24"/>
          <w:szCs w:val="24"/>
        </w:rPr>
        <w:t>Cicerarletinum L.</w:t>
      </w:r>
      <w:r w:rsidRPr="00B75D34">
        <w:rPr>
          <w:rFonts w:ascii="Times New Roman" w:hAnsi="Times New Roman"/>
          <w:sz w:val="24"/>
          <w:szCs w:val="24"/>
        </w:rPr>
        <w:t>).</w:t>
      </w:r>
      <w:r w:rsidRPr="00B75D34">
        <w:rPr>
          <w:rFonts w:ascii="Times New Roman" w:hAnsi="Times New Roman"/>
          <w:i/>
          <w:iCs/>
          <w:sz w:val="24"/>
          <w:szCs w:val="24"/>
        </w:rPr>
        <w:t>Agric. Sci. Digest</w:t>
      </w:r>
      <w:r w:rsidRPr="00B75D34">
        <w:rPr>
          <w:rFonts w:ascii="Times New Roman" w:hAnsi="Times New Roman"/>
          <w:sz w:val="24"/>
          <w:szCs w:val="24"/>
        </w:rPr>
        <w:t>, 24(4): 268 - 270.</w:t>
      </w:r>
    </w:p>
    <w:p w:rsidR="000E690A" w:rsidRPr="00843A68" w:rsidRDefault="000E690A" w:rsidP="00D95FC6">
      <w:pPr>
        <w:pStyle w:val="BodyText"/>
        <w:spacing w:before="240" w:after="240" w:line="360" w:lineRule="auto"/>
        <w:ind w:left="1100" w:hanging="1100"/>
        <w:jc w:val="both"/>
      </w:pPr>
      <w:smartTag w:uri="urn:schemas-microsoft-com:office:smarttags" w:element="place">
        <w:smartTag w:uri="urn:schemas-microsoft-com:office:smarttags" w:element="City">
          <w:r w:rsidRPr="00843A68">
            <w:t>Sparks</w:t>
          </w:r>
        </w:smartTag>
      </w:smartTag>
      <w:r w:rsidRPr="00843A68">
        <w:t xml:space="preserve">, 1996, Methods of Soil Analysis Part – 3: Chemical Methods. </w:t>
      </w:r>
      <w:r w:rsidRPr="00843A68">
        <w:rPr>
          <w:i/>
        </w:rPr>
        <w:t xml:space="preserve">Soil Sci. Soc. </w:t>
      </w:r>
      <w:r w:rsidRPr="00843A68">
        <w:t xml:space="preserve">Pp: 78-98. </w:t>
      </w:r>
    </w:p>
    <w:p w:rsidR="009B3B55" w:rsidRPr="000E690A" w:rsidRDefault="000E690A" w:rsidP="00D95FC6">
      <w:pPr>
        <w:spacing w:line="360" w:lineRule="auto"/>
        <w:ind w:left="1094" w:hanging="1094"/>
        <w:jc w:val="both"/>
        <w:rPr>
          <w:rFonts w:ascii="Times New Roman" w:hAnsi="Times New Roman"/>
        </w:rPr>
      </w:pPr>
      <w:r w:rsidRPr="00843A68">
        <w:rPr>
          <w:rFonts w:ascii="Times New Roman" w:hAnsi="Times New Roman"/>
        </w:rPr>
        <w:t>Valenciano J B, Boto</w:t>
      </w:r>
      <w:r w:rsidR="00D95FC6">
        <w:rPr>
          <w:rFonts w:ascii="Times New Roman" w:hAnsi="Times New Roman"/>
        </w:rPr>
        <w:t>,</w:t>
      </w:r>
      <w:r w:rsidRPr="00843A68">
        <w:rPr>
          <w:rFonts w:ascii="Times New Roman" w:hAnsi="Times New Roman"/>
        </w:rPr>
        <w:t xml:space="preserve"> J</w:t>
      </w:r>
      <w:r w:rsidR="00D95FC6">
        <w:rPr>
          <w:rFonts w:ascii="Times New Roman" w:hAnsi="Times New Roman"/>
        </w:rPr>
        <w:t>.</w:t>
      </w:r>
      <w:r w:rsidRPr="00843A68">
        <w:rPr>
          <w:rFonts w:ascii="Times New Roman" w:hAnsi="Times New Roman"/>
        </w:rPr>
        <w:t xml:space="preserve"> B</w:t>
      </w:r>
      <w:r w:rsidR="00D95FC6">
        <w:rPr>
          <w:rFonts w:ascii="Times New Roman" w:hAnsi="Times New Roman"/>
        </w:rPr>
        <w:t>.</w:t>
      </w:r>
      <w:r w:rsidRPr="00843A68">
        <w:rPr>
          <w:rFonts w:ascii="Times New Roman" w:hAnsi="Times New Roman"/>
        </w:rPr>
        <w:t xml:space="preserve"> and Marcelo</w:t>
      </w:r>
      <w:r w:rsidR="00D95FC6">
        <w:rPr>
          <w:rFonts w:ascii="Times New Roman" w:hAnsi="Times New Roman"/>
        </w:rPr>
        <w:t>,</w:t>
      </w:r>
      <w:r w:rsidRPr="00843A68">
        <w:rPr>
          <w:rFonts w:ascii="Times New Roman" w:hAnsi="Times New Roman"/>
        </w:rPr>
        <w:t xml:space="preserve"> V</w:t>
      </w:r>
      <w:r w:rsidR="00D95FC6">
        <w:rPr>
          <w:rFonts w:ascii="Times New Roman" w:hAnsi="Times New Roman"/>
        </w:rPr>
        <w:t>.</w:t>
      </w:r>
      <w:r w:rsidRPr="00843A68">
        <w:rPr>
          <w:rFonts w:ascii="Times New Roman" w:hAnsi="Times New Roman"/>
        </w:rPr>
        <w:t>, 2010, Response of chickpea (Cicer arietinum L.) yield to zinc, boron and molybdenum application under pot conditions. Spanish Journal of Agricultural Research, 8(3): 797-807</w:t>
      </w:r>
      <w:r>
        <w:rPr>
          <w:rFonts w:ascii="Times New Roman" w:hAnsi="Times New Roman"/>
        </w:rPr>
        <w:t>.</w:t>
      </w:r>
    </w:p>
    <w:p w:rsidR="009B3B55" w:rsidRPr="00843A68" w:rsidRDefault="009B3B55" w:rsidP="00D95FC6">
      <w:pPr>
        <w:pStyle w:val="Default"/>
        <w:spacing w:before="240" w:after="240" w:line="360" w:lineRule="auto"/>
        <w:ind w:left="1100" w:hanging="1100"/>
        <w:jc w:val="both"/>
        <w:rPr>
          <w:rFonts w:ascii="Times New Roman" w:hAnsi="Times New Roman"/>
          <w:color w:val="auto"/>
        </w:rPr>
      </w:pPr>
      <w:r w:rsidRPr="00843A68">
        <w:rPr>
          <w:rFonts w:ascii="Times New Roman" w:hAnsi="Times New Roman"/>
          <w:color w:val="auto"/>
        </w:rPr>
        <w:t xml:space="preserve">Venkatashwarlu, B., 2008, Role of bio-fertilizers in organic farming: Organic farming in rain fed agriculture: Central institute for dry land agriculture. </w:t>
      </w:r>
      <w:smartTag w:uri="urn:schemas-microsoft-com:office:smarttags" w:element="place">
        <w:smartTag w:uri="urn:schemas-microsoft-com:office:smarttags" w:element="City">
          <w:r w:rsidRPr="00843A68">
            <w:rPr>
              <w:rFonts w:ascii="Times New Roman" w:hAnsi="Times New Roman"/>
              <w:color w:val="auto"/>
            </w:rPr>
            <w:t>Hyderabad</w:t>
          </w:r>
        </w:smartTag>
      </w:smartTag>
      <w:r w:rsidRPr="00843A68">
        <w:rPr>
          <w:rFonts w:ascii="Times New Roman" w:hAnsi="Times New Roman"/>
          <w:color w:val="auto"/>
        </w:rPr>
        <w:t>. 4(8): 85-95.</w:t>
      </w:r>
    </w:p>
    <w:p w:rsidR="00000521" w:rsidRPr="00843A68" w:rsidRDefault="00000521" w:rsidP="00D95FC6">
      <w:pPr>
        <w:pStyle w:val="BodyText"/>
        <w:spacing w:before="240" w:after="240" w:line="360" w:lineRule="auto"/>
        <w:ind w:left="1100" w:hanging="1100"/>
        <w:jc w:val="both"/>
      </w:pPr>
    </w:p>
    <w:p w:rsidR="009B3B55" w:rsidRPr="00843A68" w:rsidRDefault="009B3B55" w:rsidP="00D95FC6">
      <w:pPr>
        <w:spacing w:before="240" w:after="240" w:line="360" w:lineRule="auto"/>
        <w:ind w:left="900" w:hanging="900"/>
        <w:jc w:val="both"/>
        <w:rPr>
          <w:rFonts w:ascii="Times New Roman" w:hAnsi="Times New Roman"/>
          <w:sz w:val="24"/>
          <w:szCs w:val="24"/>
        </w:rPr>
      </w:pPr>
    </w:p>
    <w:p w:rsidR="00000521" w:rsidRPr="00843A68" w:rsidRDefault="00000521" w:rsidP="00704C6F">
      <w:pPr>
        <w:spacing w:before="240" w:after="240" w:line="360" w:lineRule="auto"/>
        <w:ind w:left="900" w:hanging="900"/>
        <w:jc w:val="both"/>
        <w:rPr>
          <w:rFonts w:ascii="Times New Roman" w:hAnsi="Times New Roman"/>
          <w:sz w:val="24"/>
          <w:szCs w:val="24"/>
        </w:rPr>
      </w:pPr>
    </w:p>
    <w:p w:rsidR="005D5E20" w:rsidRPr="00843A68" w:rsidRDefault="005D5E20" w:rsidP="00704C6F">
      <w:pPr>
        <w:spacing w:before="240" w:after="240" w:line="360" w:lineRule="auto"/>
        <w:ind w:left="900" w:hanging="900"/>
        <w:jc w:val="both"/>
        <w:rPr>
          <w:rFonts w:ascii="Times New Roman" w:hAnsi="Times New Roman"/>
          <w:sz w:val="24"/>
          <w:szCs w:val="24"/>
        </w:rPr>
      </w:pPr>
    </w:p>
    <w:p w:rsidR="005D5E20" w:rsidRPr="00843A68" w:rsidRDefault="005D5E20" w:rsidP="00704C6F">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FA5B94" w:rsidRDefault="00FA5B94" w:rsidP="00FA5B94">
      <w:pPr>
        <w:spacing w:before="240" w:after="240" w:line="480" w:lineRule="auto"/>
        <w:ind w:left="900" w:hanging="900"/>
        <w:jc w:val="both"/>
        <w:rPr>
          <w:rFonts w:ascii="Times New Roman" w:hAnsi="Times New Roman"/>
          <w:b/>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FA5B94" w:rsidRDefault="00FA5B94" w:rsidP="00FA5B94">
      <w:pPr>
        <w:spacing w:before="240" w:after="240" w:line="360" w:lineRule="auto"/>
        <w:ind w:left="900" w:hanging="900"/>
        <w:jc w:val="both"/>
        <w:rPr>
          <w:rFonts w:ascii="Times New Roman" w:hAnsi="Times New Roman"/>
          <w:b/>
          <w:sz w:val="24"/>
          <w:szCs w:val="24"/>
        </w:rPr>
      </w:pPr>
    </w:p>
    <w:p w:rsidR="00200D2D" w:rsidRPr="00200D2D" w:rsidRDefault="00200D2D" w:rsidP="00200D2D">
      <w:pPr>
        <w:spacing w:before="240" w:after="240" w:line="360" w:lineRule="auto"/>
        <w:ind w:left="900" w:hanging="900"/>
        <w:jc w:val="both"/>
        <w:rPr>
          <w:rFonts w:ascii="Times New Roman" w:hAnsi="Times New Roman"/>
          <w:b/>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p w:rsidR="00464ECE" w:rsidRPr="00843A68" w:rsidRDefault="00464ECE" w:rsidP="00825DCB">
      <w:pPr>
        <w:spacing w:before="240" w:after="240" w:line="360" w:lineRule="auto"/>
        <w:ind w:left="900" w:hanging="900"/>
        <w:jc w:val="both"/>
        <w:rPr>
          <w:rFonts w:ascii="Times New Roman" w:hAnsi="Times New Roman"/>
          <w:sz w:val="24"/>
          <w:szCs w:val="24"/>
        </w:rPr>
      </w:pPr>
    </w:p>
    <w:sectPr w:rsidR="00464ECE" w:rsidRPr="00843A68" w:rsidSect="003F0E02">
      <w:pgSz w:w="11907" w:h="16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709" w:rsidRDefault="00065709" w:rsidP="00100AEA">
      <w:pPr>
        <w:spacing w:after="0" w:line="240" w:lineRule="auto"/>
      </w:pPr>
      <w:r>
        <w:separator/>
      </w:r>
    </w:p>
  </w:endnote>
  <w:endnote w:type="continuationSeparator" w:id="1">
    <w:p w:rsidR="00065709" w:rsidRDefault="00065709" w:rsidP="00100A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A" w:rsidRDefault="00100A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A" w:rsidRDefault="00100A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A" w:rsidRDefault="00100A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709" w:rsidRDefault="00065709" w:rsidP="00100AEA">
      <w:pPr>
        <w:spacing w:after="0" w:line="240" w:lineRule="auto"/>
      </w:pPr>
      <w:r>
        <w:separator/>
      </w:r>
    </w:p>
  </w:footnote>
  <w:footnote w:type="continuationSeparator" w:id="1">
    <w:p w:rsidR="00065709" w:rsidRDefault="00065709" w:rsidP="00100A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A" w:rsidRDefault="00493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0"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A" w:rsidRDefault="00493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61"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AEA" w:rsidRDefault="00493D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079859"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6236C"/>
    <w:rsid w:val="00000521"/>
    <w:rsid w:val="00013D8A"/>
    <w:rsid w:val="00016FBA"/>
    <w:rsid w:val="0003303B"/>
    <w:rsid w:val="0004086D"/>
    <w:rsid w:val="00040A2E"/>
    <w:rsid w:val="00041C9B"/>
    <w:rsid w:val="000506A6"/>
    <w:rsid w:val="00065709"/>
    <w:rsid w:val="00070AE6"/>
    <w:rsid w:val="00077E57"/>
    <w:rsid w:val="00084EA1"/>
    <w:rsid w:val="000869ED"/>
    <w:rsid w:val="00087582"/>
    <w:rsid w:val="00097AA7"/>
    <w:rsid w:val="000A2A20"/>
    <w:rsid w:val="000A63B4"/>
    <w:rsid w:val="000B55EB"/>
    <w:rsid w:val="000C142D"/>
    <w:rsid w:val="000C318A"/>
    <w:rsid w:val="000C6955"/>
    <w:rsid w:val="000E690A"/>
    <w:rsid w:val="000F3ED9"/>
    <w:rsid w:val="00100AEA"/>
    <w:rsid w:val="00117718"/>
    <w:rsid w:val="00121694"/>
    <w:rsid w:val="00134DB0"/>
    <w:rsid w:val="001371EC"/>
    <w:rsid w:val="00144D9D"/>
    <w:rsid w:val="001570F1"/>
    <w:rsid w:val="00196499"/>
    <w:rsid w:val="001A25DE"/>
    <w:rsid w:val="001B4620"/>
    <w:rsid w:val="001C0924"/>
    <w:rsid w:val="001C5BE6"/>
    <w:rsid w:val="00200D2D"/>
    <w:rsid w:val="00204868"/>
    <w:rsid w:val="0021543E"/>
    <w:rsid w:val="0021782E"/>
    <w:rsid w:val="002325B2"/>
    <w:rsid w:val="00257D29"/>
    <w:rsid w:val="00264B0C"/>
    <w:rsid w:val="00290F66"/>
    <w:rsid w:val="002959A6"/>
    <w:rsid w:val="002B1231"/>
    <w:rsid w:val="002C1106"/>
    <w:rsid w:val="002D6F11"/>
    <w:rsid w:val="002E03D7"/>
    <w:rsid w:val="002E1A14"/>
    <w:rsid w:val="00334A9A"/>
    <w:rsid w:val="003474EB"/>
    <w:rsid w:val="003478F6"/>
    <w:rsid w:val="0035256F"/>
    <w:rsid w:val="0037185C"/>
    <w:rsid w:val="0037285F"/>
    <w:rsid w:val="003A2EED"/>
    <w:rsid w:val="003A48DF"/>
    <w:rsid w:val="003B44DB"/>
    <w:rsid w:val="003B49D4"/>
    <w:rsid w:val="003D2061"/>
    <w:rsid w:val="003E7E09"/>
    <w:rsid w:val="003F0E02"/>
    <w:rsid w:val="00401D58"/>
    <w:rsid w:val="00411841"/>
    <w:rsid w:val="00424A52"/>
    <w:rsid w:val="00432803"/>
    <w:rsid w:val="0044663A"/>
    <w:rsid w:val="004518E5"/>
    <w:rsid w:val="00463CF5"/>
    <w:rsid w:val="00464ECE"/>
    <w:rsid w:val="0048165E"/>
    <w:rsid w:val="004830F5"/>
    <w:rsid w:val="00492010"/>
    <w:rsid w:val="00493D51"/>
    <w:rsid w:val="004C4CB0"/>
    <w:rsid w:val="004C52D5"/>
    <w:rsid w:val="004C77BF"/>
    <w:rsid w:val="004D2BBA"/>
    <w:rsid w:val="004F1B64"/>
    <w:rsid w:val="00515E6C"/>
    <w:rsid w:val="00540650"/>
    <w:rsid w:val="005471D5"/>
    <w:rsid w:val="005607F7"/>
    <w:rsid w:val="005844E8"/>
    <w:rsid w:val="0059548B"/>
    <w:rsid w:val="00595A06"/>
    <w:rsid w:val="005C2B99"/>
    <w:rsid w:val="005C56BC"/>
    <w:rsid w:val="005D5E20"/>
    <w:rsid w:val="00606839"/>
    <w:rsid w:val="006320E2"/>
    <w:rsid w:val="00655571"/>
    <w:rsid w:val="0068496D"/>
    <w:rsid w:val="006929AE"/>
    <w:rsid w:val="006959F1"/>
    <w:rsid w:val="006A3708"/>
    <w:rsid w:val="006A6E1C"/>
    <w:rsid w:val="006C384D"/>
    <w:rsid w:val="006D28D1"/>
    <w:rsid w:val="006E3416"/>
    <w:rsid w:val="00704C6F"/>
    <w:rsid w:val="00704E91"/>
    <w:rsid w:val="007154D3"/>
    <w:rsid w:val="00721385"/>
    <w:rsid w:val="00726858"/>
    <w:rsid w:val="007300E6"/>
    <w:rsid w:val="0073131A"/>
    <w:rsid w:val="007367BD"/>
    <w:rsid w:val="0074230C"/>
    <w:rsid w:val="00746993"/>
    <w:rsid w:val="0076236C"/>
    <w:rsid w:val="00777190"/>
    <w:rsid w:val="007B3EEB"/>
    <w:rsid w:val="007B58CD"/>
    <w:rsid w:val="007C4297"/>
    <w:rsid w:val="007C5FF6"/>
    <w:rsid w:val="007E795C"/>
    <w:rsid w:val="00805F7B"/>
    <w:rsid w:val="00812161"/>
    <w:rsid w:val="00825DCB"/>
    <w:rsid w:val="00843A68"/>
    <w:rsid w:val="0085673B"/>
    <w:rsid w:val="00865166"/>
    <w:rsid w:val="00866189"/>
    <w:rsid w:val="00870B54"/>
    <w:rsid w:val="008B03C6"/>
    <w:rsid w:val="008B1C90"/>
    <w:rsid w:val="008F0306"/>
    <w:rsid w:val="00960C7B"/>
    <w:rsid w:val="00960CF4"/>
    <w:rsid w:val="009615AB"/>
    <w:rsid w:val="009B3B55"/>
    <w:rsid w:val="009D31E1"/>
    <w:rsid w:val="009E4F06"/>
    <w:rsid w:val="00A01B61"/>
    <w:rsid w:val="00A06966"/>
    <w:rsid w:val="00A14039"/>
    <w:rsid w:val="00A141A4"/>
    <w:rsid w:val="00A457DF"/>
    <w:rsid w:val="00A70AE6"/>
    <w:rsid w:val="00A80A15"/>
    <w:rsid w:val="00A866B9"/>
    <w:rsid w:val="00AD3A0B"/>
    <w:rsid w:val="00AE2619"/>
    <w:rsid w:val="00B20B68"/>
    <w:rsid w:val="00B739D0"/>
    <w:rsid w:val="00B865AE"/>
    <w:rsid w:val="00BD0EF8"/>
    <w:rsid w:val="00C04552"/>
    <w:rsid w:val="00C4426C"/>
    <w:rsid w:val="00C72FB4"/>
    <w:rsid w:val="00CA3E56"/>
    <w:rsid w:val="00CA7060"/>
    <w:rsid w:val="00CB71D3"/>
    <w:rsid w:val="00CE0CB0"/>
    <w:rsid w:val="00D01402"/>
    <w:rsid w:val="00D25145"/>
    <w:rsid w:val="00D25353"/>
    <w:rsid w:val="00D30594"/>
    <w:rsid w:val="00D334C3"/>
    <w:rsid w:val="00D53A43"/>
    <w:rsid w:val="00D60381"/>
    <w:rsid w:val="00D630F0"/>
    <w:rsid w:val="00D772E1"/>
    <w:rsid w:val="00D95FC6"/>
    <w:rsid w:val="00DC18C3"/>
    <w:rsid w:val="00DC6A78"/>
    <w:rsid w:val="00DE0D96"/>
    <w:rsid w:val="00DF0939"/>
    <w:rsid w:val="00E03DAF"/>
    <w:rsid w:val="00E1365F"/>
    <w:rsid w:val="00E158AB"/>
    <w:rsid w:val="00E44F38"/>
    <w:rsid w:val="00E50C58"/>
    <w:rsid w:val="00E63119"/>
    <w:rsid w:val="00E63D34"/>
    <w:rsid w:val="00E843EE"/>
    <w:rsid w:val="00EB74F8"/>
    <w:rsid w:val="00EC51E4"/>
    <w:rsid w:val="00EE6FCA"/>
    <w:rsid w:val="00F144AE"/>
    <w:rsid w:val="00F15924"/>
    <w:rsid w:val="00F30FB3"/>
    <w:rsid w:val="00F41411"/>
    <w:rsid w:val="00FA5B94"/>
    <w:rsid w:val="00FC4234"/>
    <w:rsid w:val="00FC44E2"/>
    <w:rsid w:val="00FC748A"/>
    <w:rsid w:val="00FE0EA5"/>
    <w:rsid w:val="00FE158C"/>
    <w:rsid w:val="00FE60CE"/>
    <w:rsid w:val="00FE6B3A"/>
    <w:rsid w:val="00FF67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55"/>
    <w:pPr>
      <w:spacing w:after="200" w:line="276" w:lineRule="auto"/>
    </w:pPr>
    <w:rPr>
      <w:rFonts w:ascii="Calibri" w:eastAsia="Times New Roman" w:hAnsi="Calibri" w:cs="Times New Roman"/>
      <w:szCs w:val="22"/>
      <w:lang w:val="en-US" w:bidi="ar-SA"/>
    </w:rPr>
  </w:style>
  <w:style w:type="paragraph" w:styleId="Heading1">
    <w:name w:val="heading 1"/>
    <w:basedOn w:val="Normal"/>
    <w:link w:val="Heading1Char"/>
    <w:uiPriority w:val="1"/>
    <w:qFormat/>
    <w:rsid w:val="0076236C"/>
    <w:pPr>
      <w:widowControl w:val="0"/>
      <w:autoSpaceDE w:val="0"/>
      <w:autoSpaceDN w:val="0"/>
      <w:spacing w:after="0" w:line="240" w:lineRule="auto"/>
      <w:ind w:left="794" w:right="635"/>
      <w:jc w:val="center"/>
      <w:outlineLvl w:val="0"/>
    </w:pPr>
    <w:rPr>
      <w:rFonts w:ascii="Times New Roman" w:hAnsi="Times New Roman"/>
      <w:b/>
      <w:bCs/>
      <w:sz w:val="28"/>
      <w:szCs w:val="28"/>
    </w:rPr>
  </w:style>
  <w:style w:type="paragraph" w:styleId="Heading2">
    <w:name w:val="heading 2"/>
    <w:basedOn w:val="Normal"/>
    <w:next w:val="Normal"/>
    <w:link w:val="Heading2Char"/>
    <w:uiPriority w:val="9"/>
    <w:unhideWhenUsed/>
    <w:qFormat/>
    <w:rsid w:val="0035256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unhideWhenUsed/>
    <w:qFormat/>
    <w:rsid w:val="00CB71D3"/>
    <w:pPr>
      <w:spacing w:before="200" w:after="0"/>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iPriority w:val="9"/>
    <w:unhideWhenUsed/>
    <w:qFormat/>
    <w:rsid w:val="00CB71D3"/>
    <w:pPr>
      <w:spacing w:before="200" w:after="0"/>
      <w:outlineLvl w:val="4"/>
    </w:pPr>
    <w:rPr>
      <w:rFonts w:asciiTheme="majorHAnsi" w:eastAsiaTheme="majorEastAsia" w:hAnsiTheme="majorHAnsi" w:cstheme="majorBidi"/>
      <w:b/>
      <w:b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236C"/>
    <w:rPr>
      <w:rFonts w:ascii="Times New Roman" w:eastAsia="Times New Roman" w:hAnsi="Times New Roman" w:cs="Times New Roman"/>
      <w:b/>
      <w:bCs/>
      <w:sz w:val="28"/>
      <w:szCs w:val="28"/>
      <w:lang w:val="en-US" w:bidi="ar-SA"/>
    </w:rPr>
  </w:style>
  <w:style w:type="paragraph" w:styleId="NormalWeb">
    <w:name w:val="Normal (Web)"/>
    <w:basedOn w:val="Normal"/>
    <w:uiPriority w:val="99"/>
    <w:unhideWhenUsed/>
    <w:rsid w:val="0076236C"/>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qFormat/>
    <w:rsid w:val="00A141A4"/>
    <w:pPr>
      <w:widowControl w:val="0"/>
      <w:autoSpaceDE w:val="0"/>
      <w:autoSpaceDN w:val="0"/>
      <w:spacing w:after="0" w:line="240" w:lineRule="auto"/>
    </w:pPr>
    <w:rPr>
      <w:rFonts w:ascii="Times New Roman" w:hAnsi="Times New Roman"/>
      <w:sz w:val="24"/>
      <w:szCs w:val="24"/>
    </w:rPr>
  </w:style>
  <w:style w:type="character" w:customStyle="1" w:styleId="BodyTextChar">
    <w:name w:val="Body Text Char"/>
    <w:basedOn w:val="DefaultParagraphFont"/>
    <w:link w:val="BodyText"/>
    <w:rsid w:val="00A141A4"/>
    <w:rPr>
      <w:rFonts w:ascii="Times New Roman" w:eastAsia="Times New Roman" w:hAnsi="Times New Roman" w:cs="Times New Roman"/>
      <w:sz w:val="24"/>
      <w:szCs w:val="24"/>
      <w:lang w:val="en-US" w:bidi="ar-SA"/>
    </w:rPr>
  </w:style>
  <w:style w:type="character" w:customStyle="1" w:styleId="Heading2Char">
    <w:name w:val="Heading 2 Char"/>
    <w:basedOn w:val="DefaultParagraphFont"/>
    <w:link w:val="Heading2"/>
    <w:uiPriority w:val="9"/>
    <w:rsid w:val="0035256F"/>
    <w:rPr>
      <w:rFonts w:asciiTheme="majorHAnsi" w:eastAsiaTheme="majorEastAsia" w:hAnsiTheme="majorHAnsi" w:cstheme="majorBidi"/>
      <w:b/>
      <w:bCs/>
      <w:color w:val="4472C4" w:themeColor="accent1"/>
      <w:sz w:val="26"/>
      <w:szCs w:val="26"/>
      <w:lang w:val="en-US" w:bidi="ar-SA"/>
    </w:rPr>
  </w:style>
  <w:style w:type="paragraph" w:styleId="ListParagraph">
    <w:name w:val="List Paragraph"/>
    <w:basedOn w:val="Normal"/>
    <w:qFormat/>
    <w:rsid w:val="00704E91"/>
    <w:pPr>
      <w:widowControl w:val="0"/>
      <w:autoSpaceDE w:val="0"/>
      <w:autoSpaceDN w:val="0"/>
      <w:spacing w:after="0" w:line="240" w:lineRule="auto"/>
      <w:ind w:left="950" w:right="552" w:hanging="272"/>
      <w:jc w:val="both"/>
    </w:pPr>
    <w:rPr>
      <w:rFonts w:ascii="Times New Roman" w:hAnsi="Times New Roman"/>
    </w:rPr>
  </w:style>
  <w:style w:type="paragraph" w:customStyle="1" w:styleId="TableParagraph">
    <w:name w:val="Table Paragraph"/>
    <w:basedOn w:val="Normal"/>
    <w:uiPriority w:val="1"/>
    <w:qFormat/>
    <w:rsid w:val="007B3EEB"/>
    <w:pPr>
      <w:widowControl w:val="0"/>
      <w:autoSpaceDE w:val="0"/>
      <w:autoSpaceDN w:val="0"/>
      <w:spacing w:before="20" w:after="0" w:line="240" w:lineRule="auto"/>
      <w:ind w:left="54"/>
      <w:jc w:val="center"/>
    </w:pPr>
    <w:rPr>
      <w:rFonts w:ascii="Times New Roman" w:hAnsi="Times New Roman"/>
    </w:rPr>
  </w:style>
  <w:style w:type="table" w:styleId="TableGrid">
    <w:name w:val="Table Grid"/>
    <w:basedOn w:val="TableNormal"/>
    <w:uiPriority w:val="39"/>
    <w:rsid w:val="00CA70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1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C9B"/>
    <w:rPr>
      <w:rFonts w:ascii="Tahoma" w:eastAsia="Times New Roman" w:hAnsi="Tahoma" w:cs="Tahoma"/>
      <w:sz w:val="16"/>
      <w:szCs w:val="16"/>
      <w:lang w:val="en-US" w:bidi="ar-SA"/>
    </w:rPr>
  </w:style>
  <w:style w:type="character" w:customStyle="1" w:styleId="Heading5Char">
    <w:name w:val="Heading 5 Char"/>
    <w:basedOn w:val="DefaultParagraphFont"/>
    <w:link w:val="Heading5"/>
    <w:uiPriority w:val="9"/>
    <w:rsid w:val="00CB71D3"/>
    <w:rPr>
      <w:rFonts w:asciiTheme="majorHAnsi" w:eastAsiaTheme="majorEastAsia" w:hAnsiTheme="majorHAnsi" w:cstheme="majorBidi"/>
      <w:b/>
      <w:bCs/>
      <w:color w:val="7F7F7F" w:themeColor="text1" w:themeTint="80"/>
      <w:szCs w:val="22"/>
      <w:lang w:val="en-US" w:bidi="en-US"/>
    </w:rPr>
  </w:style>
  <w:style w:type="character" w:customStyle="1" w:styleId="Heading4Char">
    <w:name w:val="Heading 4 Char"/>
    <w:basedOn w:val="DefaultParagraphFont"/>
    <w:link w:val="Heading4"/>
    <w:uiPriority w:val="9"/>
    <w:rsid w:val="00CB71D3"/>
    <w:rPr>
      <w:rFonts w:asciiTheme="majorHAnsi" w:eastAsiaTheme="majorEastAsia" w:hAnsiTheme="majorHAnsi" w:cstheme="majorBidi"/>
      <w:b/>
      <w:bCs/>
      <w:i/>
      <w:iCs/>
      <w:szCs w:val="22"/>
      <w:lang w:val="en-US" w:bidi="en-US"/>
    </w:rPr>
  </w:style>
  <w:style w:type="paragraph" w:customStyle="1" w:styleId="Default">
    <w:name w:val="Default"/>
    <w:uiPriority w:val="99"/>
    <w:rsid w:val="009B3B55"/>
    <w:pPr>
      <w:autoSpaceDE w:val="0"/>
      <w:autoSpaceDN w:val="0"/>
      <w:adjustRightInd w:val="0"/>
      <w:spacing w:after="0" w:line="240" w:lineRule="auto"/>
    </w:pPr>
    <w:rPr>
      <w:rFonts w:ascii="Calibri" w:eastAsia="Calibri" w:hAnsi="Calibri" w:cs="Times New Roman"/>
      <w:color w:val="000000"/>
      <w:sz w:val="24"/>
      <w:szCs w:val="24"/>
      <w:lang w:val="en-US" w:bidi="ar-SA"/>
    </w:rPr>
  </w:style>
  <w:style w:type="character" w:styleId="Hyperlink">
    <w:name w:val="Hyperlink"/>
    <w:basedOn w:val="DefaultParagraphFont"/>
    <w:uiPriority w:val="99"/>
    <w:unhideWhenUsed/>
    <w:rsid w:val="00FA5B94"/>
    <w:rPr>
      <w:color w:val="0563C1" w:themeColor="hyperlink"/>
      <w:u w:val="single"/>
    </w:rPr>
  </w:style>
  <w:style w:type="paragraph" w:styleId="Header">
    <w:name w:val="header"/>
    <w:basedOn w:val="Normal"/>
    <w:link w:val="HeaderChar"/>
    <w:uiPriority w:val="99"/>
    <w:unhideWhenUsed/>
    <w:rsid w:val="00100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EA"/>
    <w:rPr>
      <w:rFonts w:ascii="Calibri" w:eastAsia="Times New Roman" w:hAnsi="Calibri" w:cs="Times New Roman"/>
      <w:szCs w:val="22"/>
      <w:lang w:val="en-US" w:bidi="ar-SA"/>
    </w:rPr>
  </w:style>
  <w:style w:type="paragraph" w:styleId="Footer">
    <w:name w:val="footer"/>
    <w:basedOn w:val="Normal"/>
    <w:link w:val="FooterChar"/>
    <w:uiPriority w:val="99"/>
    <w:unhideWhenUsed/>
    <w:rsid w:val="00100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EA"/>
    <w:rPr>
      <w:rFonts w:ascii="Calibri" w:eastAsia="Times New Roman" w:hAnsi="Calibri" w:cs="Times New Roman"/>
      <w:szCs w:val="22"/>
      <w:lang w:val="en-US" w:bidi="ar-SA"/>
    </w:rPr>
  </w:style>
</w:styles>
</file>

<file path=word/webSettings.xml><?xml version="1.0" encoding="utf-8"?>
<w:webSettings xmlns:r="http://schemas.openxmlformats.org/officeDocument/2006/relationships" xmlns:w="http://schemas.openxmlformats.org/wordprocessingml/2006/main">
  <w:divs>
    <w:div w:id="201603037">
      <w:bodyDiv w:val="1"/>
      <w:marLeft w:val="0"/>
      <w:marRight w:val="0"/>
      <w:marTop w:val="0"/>
      <w:marBottom w:val="0"/>
      <w:divBdr>
        <w:top w:val="none" w:sz="0" w:space="0" w:color="auto"/>
        <w:left w:val="none" w:sz="0" w:space="0" w:color="auto"/>
        <w:bottom w:val="none" w:sz="0" w:space="0" w:color="auto"/>
        <w:right w:val="none" w:sz="0" w:space="0" w:color="auto"/>
      </w:divBdr>
    </w:div>
    <w:div w:id="214197228">
      <w:bodyDiv w:val="1"/>
      <w:marLeft w:val="0"/>
      <w:marRight w:val="0"/>
      <w:marTop w:val="0"/>
      <w:marBottom w:val="0"/>
      <w:divBdr>
        <w:top w:val="none" w:sz="0" w:space="0" w:color="auto"/>
        <w:left w:val="none" w:sz="0" w:space="0" w:color="auto"/>
        <w:bottom w:val="none" w:sz="0" w:space="0" w:color="auto"/>
        <w:right w:val="none" w:sz="0" w:space="0" w:color="auto"/>
      </w:divBdr>
    </w:div>
    <w:div w:id="273876320">
      <w:bodyDiv w:val="1"/>
      <w:marLeft w:val="0"/>
      <w:marRight w:val="0"/>
      <w:marTop w:val="0"/>
      <w:marBottom w:val="0"/>
      <w:divBdr>
        <w:top w:val="none" w:sz="0" w:space="0" w:color="auto"/>
        <w:left w:val="none" w:sz="0" w:space="0" w:color="auto"/>
        <w:bottom w:val="none" w:sz="0" w:space="0" w:color="auto"/>
        <w:right w:val="none" w:sz="0" w:space="0" w:color="auto"/>
      </w:divBdr>
    </w:div>
    <w:div w:id="456870363">
      <w:bodyDiv w:val="1"/>
      <w:marLeft w:val="0"/>
      <w:marRight w:val="0"/>
      <w:marTop w:val="0"/>
      <w:marBottom w:val="0"/>
      <w:divBdr>
        <w:top w:val="none" w:sz="0" w:space="0" w:color="auto"/>
        <w:left w:val="none" w:sz="0" w:space="0" w:color="auto"/>
        <w:bottom w:val="none" w:sz="0" w:space="0" w:color="auto"/>
        <w:right w:val="none" w:sz="0" w:space="0" w:color="auto"/>
      </w:divBdr>
    </w:div>
    <w:div w:id="524516585">
      <w:bodyDiv w:val="1"/>
      <w:marLeft w:val="0"/>
      <w:marRight w:val="0"/>
      <w:marTop w:val="0"/>
      <w:marBottom w:val="0"/>
      <w:divBdr>
        <w:top w:val="none" w:sz="0" w:space="0" w:color="auto"/>
        <w:left w:val="none" w:sz="0" w:space="0" w:color="auto"/>
        <w:bottom w:val="none" w:sz="0" w:space="0" w:color="auto"/>
        <w:right w:val="none" w:sz="0" w:space="0" w:color="auto"/>
      </w:divBdr>
    </w:div>
    <w:div w:id="633410306">
      <w:bodyDiv w:val="1"/>
      <w:marLeft w:val="0"/>
      <w:marRight w:val="0"/>
      <w:marTop w:val="0"/>
      <w:marBottom w:val="0"/>
      <w:divBdr>
        <w:top w:val="none" w:sz="0" w:space="0" w:color="auto"/>
        <w:left w:val="none" w:sz="0" w:space="0" w:color="auto"/>
        <w:bottom w:val="none" w:sz="0" w:space="0" w:color="auto"/>
        <w:right w:val="none" w:sz="0" w:space="0" w:color="auto"/>
      </w:divBdr>
    </w:div>
    <w:div w:id="693191002">
      <w:bodyDiv w:val="1"/>
      <w:marLeft w:val="0"/>
      <w:marRight w:val="0"/>
      <w:marTop w:val="0"/>
      <w:marBottom w:val="0"/>
      <w:divBdr>
        <w:top w:val="none" w:sz="0" w:space="0" w:color="auto"/>
        <w:left w:val="none" w:sz="0" w:space="0" w:color="auto"/>
        <w:bottom w:val="none" w:sz="0" w:space="0" w:color="auto"/>
        <w:right w:val="none" w:sz="0" w:space="0" w:color="auto"/>
      </w:divBdr>
      <w:divsChild>
        <w:div w:id="1969630085">
          <w:blockQuote w:val="1"/>
          <w:marLeft w:val="516"/>
          <w:marRight w:val="720"/>
          <w:marTop w:val="100"/>
          <w:marBottom w:val="100"/>
          <w:divBdr>
            <w:top w:val="none" w:sz="0" w:space="0" w:color="auto"/>
            <w:left w:val="none" w:sz="0" w:space="0" w:color="auto"/>
            <w:bottom w:val="none" w:sz="0" w:space="0" w:color="auto"/>
            <w:right w:val="none" w:sz="0" w:space="0" w:color="auto"/>
          </w:divBdr>
        </w:div>
      </w:divsChild>
    </w:div>
    <w:div w:id="788399602">
      <w:bodyDiv w:val="1"/>
      <w:marLeft w:val="0"/>
      <w:marRight w:val="0"/>
      <w:marTop w:val="0"/>
      <w:marBottom w:val="0"/>
      <w:divBdr>
        <w:top w:val="none" w:sz="0" w:space="0" w:color="auto"/>
        <w:left w:val="none" w:sz="0" w:space="0" w:color="auto"/>
        <w:bottom w:val="none" w:sz="0" w:space="0" w:color="auto"/>
        <w:right w:val="none" w:sz="0" w:space="0" w:color="auto"/>
      </w:divBdr>
    </w:div>
    <w:div w:id="910119912">
      <w:bodyDiv w:val="1"/>
      <w:marLeft w:val="0"/>
      <w:marRight w:val="0"/>
      <w:marTop w:val="0"/>
      <w:marBottom w:val="0"/>
      <w:divBdr>
        <w:top w:val="none" w:sz="0" w:space="0" w:color="auto"/>
        <w:left w:val="none" w:sz="0" w:space="0" w:color="auto"/>
        <w:bottom w:val="none" w:sz="0" w:space="0" w:color="auto"/>
        <w:right w:val="none" w:sz="0" w:space="0" w:color="auto"/>
      </w:divBdr>
    </w:div>
    <w:div w:id="1183395580">
      <w:bodyDiv w:val="1"/>
      <w:marLeft w:val="0"/>
      <w:marRight w:val="0"/>
      <w:marTop w:val="0"/>
      <w:marBottom w:val="0"/>
      <w:divBdr>
        <w:top w:val="none" w:sz="0" w:space="0" w:color="auto"/>
        <w:left w:val="none" w:sz="0" w:space="0" w:color="auto"/>
        <w:bottom w:val="none" w:sz="0" w:space="0" w:color="auto"/>
        <w:right w:val="none" w:sz="0" w:space="0" w:color="auto"/>
      </w:divBdr>
    </w:div>
    <w:div w:id="1191576223">
      <w:bodyDiv w:val="1"/>
      <w:marLeft w:val="0"/>
      <w:marRight w:val="0"/>
      <w:marTop w:val="0"/>
      <w:marBottom w:val="0"/>
      <w:divBdr>
        <w:top w:val="none" w:sz="0" w:space="0" w:color="auto"/>
        <w:left w:val="none" w:sz="0" w:space="0" w:color="auto"/>
        <w:bottom w:val="none" w:sz="0" w:space="0" w:color="auto"/>
        <w:right w:val="none" w:sz="0" w:space="0" w:color="auto"/>
      </w:divBdr>
    </w:div>
    <w:div w:id="1217084538">
      <w:bodyDiv w:val="1"/>
      <w:marLeft w:val="0"/>
      <w:marRight w:val="0"/>
      <w:marTop w:val="0"/>
      <w:marBottom w:val="0"/>
      <w:divBdr>
        <w:top w:val="none" w:sz="0" w:space="0" w:color="auto"/>
        <w:left w:val="none" w:sz="0" w:space="0" w:color="auto"/>
        <w:bottom w:val="none" w:sz="0" w:space="0" w:color="auto"/>
        <w:right w:val="none" w:sz="0" w:space="0" w:color="auto"/>
      </w:divBdr>
    </w:div>
    <w:div w:id="1371372507">
      <w:bodyDiv w:val="1"/>
      <w:marLeft w:val="0"/>
      <w:marRight w:val="0"/>
      <w:marTop w:val="0"/>
      <w:marBottom w:val="0"/>
      <w:divBdr>
        <w:top w:val="none" w:sz="0" w:space="0" w:color="auto"/>
        <w:left w:val="none" w:sz="0" w:space="0" w:color="auto"/>
        <w:bottom w:val="none" w:sz="0" w:space="0" w:color="auto"/>
        <w:right w:val="none" w:sz="0" w:space="0" w:color="auto"/>
      </w:divBdr>
    </w:div>
    <w:div w:id="1624269560">
      <w:bodyDiv w:val="1"/>
      <w:marLeft w:val="0"/>
      <w:marRight w:val="0"/>
      <w:marTop w:val="0"/>
      <w:marBottom w:val="0"/>
      <w:divBdr>
        <w:top w:val="none" w:sz="0" w:space="0" w:color="auto"/>
        <w:left w:val="none" w:sz="0" w:space="0" w:color="auto"/>
        <w:bottom w:val="none" w:sz="0" w:space="0" w:color="auto"/>
        <w:right w:val="none" w:sz="0" w:space="0" w:color="auto"/>
      </w:divBdr>
    </w:div>
    <w:div w:id="1648433490">
      <w:bodyDiv w:val="1"/>
      <w:marLeft w:val="0"/>
      <w:marRight w:val="0"/>
      <w:marTop w:val="0"/>
      <w:marBottom w:val="0"/>
      <w:divBdr>
        <w:top w:val="none" w:sz="0" w:space="0" w:color="auto"/>
        <w:left w:val="none" w:sz="0" w:space="0" w:color="auto"/>
        <w:bottom w:val="none" w:sz="0" w:space="0" w:color="auto"/>
        <w:right w:val="none" w:sz="0" w:space="0" w:color="auto"/>
      </w:divBdr>
    </w:div>
    <w:div w:id="1710372017">
      <w:bodyDiv w:val="1"/>
      <w:marLeft w:val="0"/>
      <w:marRight w:val="0"/>
      <w:marTop w:val="0"/>
      <w:marBottom w:val="0"/>
      <w:divBdr>
        <w:top w:val="none" w:sz="0" w:space="0" w:color="auto"/>
        <w:left w:val="none" w:sz="0" w:space="0" w:color="auto"/>
        <w:bottom w:val="none" w:sz="0" w:space="0" w:color="auto"/>
        <w:right w:val="none" w:sz="0" w:space="0" w:color="auto"/>
      </w:divBdr>
    </w:div>
    <w:div w:id="1810591267">
      <w:bodyDiv w:val="1"/>
      <w:marLeft w:val="0"/>
      <w:marRight w:val="0"/>
      <w:marTop w:val="0"/>
      <w:marBottom w:val="0"/>
      <w:divBdr>
        <w:top w:val="none" w:sz="0" w:space="0" w:color="auto"/>
        <w:left w:val="none" w:sz="0" w:space="0" w:color="auto"/>
        <w:bottom w:val="none" w:sz="0" w:space="0" w:color="auto"/>
        <w:right w:val="none" w:sz="0" w:space="0" w:color="auto"/>
      </w:divBdr>
    </w:div>
    <w:div w:id="1981419634">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
    <w:div w:id="2004354643">
      <w:bodyDiv w:val="1"/>
      <w:marLeft w:val="0"/>
      <w:marRight w:val="0"/>
      <w:marTop w:val="0"/>
      <w:marBottom w:val="0"/>
      <w:divBdr>
        <w:top w:val="none" w:sz="0" w:space="0" w:color="auto"/>
        <w:left w:val="none" w:sz="0" w:space="0" w:color="auto"/>
        <w:bottom w:val="none" w:sz="0" w:space="0" w:color="auto"/>
        <w:right w:val="none" w:sz="0" w:space="0" w:color="auto"/>
      </w:divBdr>
    </w:div>
    <w:div w:id="2069573478">
      <w:bodyDiv w:val="1"/>
      <w:marLeft w:val="0"/>
      <w:marRight w:val="0"/>
      <w:marTop w:val="0"/>
      <w:marBottom w:val="0"/>
      <w:divBdr>
        <w:top w:val="none" w:sz="0" w:space="0" w:color="auto"/>
        <w:left w:val="none" w:sz="0" w:space="0" w:color="auto"/>
        <w:bottom w:val="none" w:sz="0" w:space="0" w:color="auto"/>
        <w:right w:val="none" w:sz="0" w:space="0" w:color="auto"/>
      </w:divBdr>
    </w:div>
    <w:div w:id="21344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nutrient%20conten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latin typeface="Times New Roman" pitchFamily="18" charset="0"/>
                <a:cs typeface="Times New Roman" pitchFamily="18" charset="0"/>
              </a:rPr>
              <a:t>Nitrogen</a:t>
            </a:r>
          </a:p>
        </c:rich>
      </c:tx>
      <c:layout>
        <c:manualLayout>
          <c:xMode val="edge"/>
          <c:yMode val="edge"/>
          <c:x val="0.36190266841644936"/>
          <c:y val="3.7037037037037181E-2"/>
        </c:manualLayout>
      </c:layout>
    </c:title>
    <c:plotArea>
      <c:layout>
        <c:manualLayout>
          <c:layoutTarget val="inner"/>
          <c:xMode val="edge"/>
          <c:yMode val="edge"/>
          <c:x val="0.14909733158355276"/>
          <c:y val="0.19432888597258688"/>
          <c:w val="0.65543044619422575"/>
          <c:h val="0.54881525226013694"/>
        </c:manualLayout>
      </c:layout>
      <c:lineChart>
        <c:grouping val="standard"/>
        <c:ser>
          <c:idx val="0"/>
          <c:order val="0"/>
          <c:tx>
            <c:strRef>
              <c:f>Sheet2!$C$3:$C$5</c:f>
              <c:strCache>
                <c:ptCount val="1"/>
                <c:pt idx="0">
                  <c:v>Seed</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Sheet2!$C$6:$C$14</c:f>
              <c:numCache>
                <c:formatCode>General</c:formatCode>
                <c:ptCount val="9"/>
                <c:pt idx="0">
                  <c:v>3</c:v>
                </c:pt>
                <c:pt idx="1">
                  <c:v>3.14</c:v>
                </c:pt>
                <c:pt idx="2">
                  <c:v>3.23</c:v>
                </c:pt>
                <c:pt idx="3">
                  <c:v>3.17</c:v>
                </c:pt>
                <c:pt idx="4">
                  <c:v>3.03</c:v>
                </c:pt>
                <c:pt idx="5">
                  <c:v>3.3299999999999987</c:v>
                </c:pt>
                <c:pt idx="6">
                  <c:v>3.4299999999999997</c:v>
                </c:pt>
                <c:pt idx="7">
                  <c:v>3.48</c:v>
                </c:pt>
                <c:pt idx="8">
                  <c:v>3.3299999999999987</c:v>
                </c:pt>
              </c:numCache>
            </c:numRef>
          </c:val>
          <c:extLst xmlns:c16r2="http://schemas.microsoft.com/office/drawing/2015/06/chart">
            <c:ext xmlns:c16="http://schemas.microsoft.com/office/drawing/2014/chart" uri="{C3380CC4-5D6E-409C-BE32-E72D297353CC}">
              <c16:uniqueId val="{00000000-4803-48FC-8EC3-BD637E8A698E}"/>
            </c:ext>
          </c:extLst>
        </c:ser>
        <c:ser>
          <c:idx val="1"/>
          <c:order val="1"/>
          <c:tx>
            <c:strRef>
              <c:f>Sheet2!$D$3:$D$5</c:f>
              <c:strCache>
                <c:ptCount val="1"/>
                <c:pt idx="0">
                  <c:v>Straw</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Sheet2!$D$6:$D$14</c:f>
              <c:numCache>
                <c:formatCode>General</c:formatCode>
                <c:ptCount val="9"/>
                <c:pt idx="0">
                  <c:v>0.83000000000000063</c:v>
                </c:pt>
                <c:pt idx="1">
                  <c:v>0.85000000000000064</c:v>
                </c:pt>
                <c:pt idx="2">
                  <c:v>0.86000000000000065</c:v>
                </c:pt>
                <c:pt idx="3">
                  <c:v>0.85000000000000064</c:v>
                </c:pt>
                <c:pt idx="4">
                  <c:v>0.84000000000000064</c:v>
                </c:pt>
                <c:pt idx="5">
                  <c:v>0.86000000000000065</c:v>
                </c:pt>
                <c:pt idx="6">
                  <c:v>0.91</c:v>
                </c:pt>
                <c:pt idx="7">
                  <c:v>0.98</c:v>
                </c:pt>
                <c:pt idx="8">
                  <c:v>0.87000000000000155</c:v>
                </c:pt>
              </c:numCache>
            </c:numRef>
          </c:val>
          <c:extLst xmlns:c16r2="http://schemas.microsoft.com/office/drawing/2015/06/chart">
            <c:ext xmlns:c16="http://schemas.microsoft.com/office/drawing/2014/chart" uri="{C3380CC4-5D6E-409C-BE32-E72D297353CC}">
              <c16:uniqueId val="{00000001-4803-48FC-8EC3-BD637E8A698E}"/>
            </c:ext>
          </c:extLst>
        </c:ser>
        <c:ser>
          <c:idx val="2"/>
          <c:order val="2"/>
          <c:tx>
            <c:strRef>
              <c:f>Sheet2!$E$3:$E$5</c:f>
              <c:strCache>
                <c:ptCount val="1"/>
                <c:pt idx="0">
                  <c:v>Total</c:v>
                </c:pt>
              </c:strCache>
            </c:strRef>
          </c:tx>
          <c:cat>
            <c:strRef>
              <c:f>Sheet2!$B$6:$B$14</c:f>
              <c:strCache>
                <c:ptCount val="9"/>
                <c:pt idx="0">
                  <c:v>T1</c:v>
                </c:pt>
                <c:pt idx="1">
                  <c:v>T2</c:v>
                </c:pt>
                <c:pt idx="2">
                  <c:v>T3</c:v>
                </c:pt>
                <c:pt idx="3">
                  <c:v>T4</c:v>
                </c:pt>
                <c:pt idx="4">
                  <c:v>T5</c:v>
                </c:pt>
                <c:pt idx="5">
                  <c:v>T6</c:v>
                </c:pt>
                <c:pt idx="6">
                  <c:v>T7</c:v>
                </c:pt>
                <c:pt idx="7">
                  <c:v>T8</c:v>
                </c:pt>
                <c:pt idx="8">
                  <c:v>T9</c:v>
                </c:pt>
              </c:strCache>
            </c:strRef>
          </c:cat>
          <c:val>
            <c:numRef>
              <c:f>Sheet2!$E$6:$E$14</c:f>
              <c:numCache>
                <c:formatCode>General</c:formatCode>
                <c:ptCount val="9"/>
                <c:pt idx="0">
                  <c:v>3.8299999999999987</c:v>
                </c:pt>
                <c:pt idx="1">
                  <c:v>3.9899999999999998</c:v>
                </c:pt>
                <c:pt idx="2">
                  <c:v>4.09</c:v>
                </c:pt>
                <c:pt idx="3">
                  <c:v>4.0199999999999996</c:v>
                </c:pt>
                <c:pt idx="4">
                  <c:v>3.8699999999999997</c:v>
                </c:pt>
                <c:pt idx="5">
                  <c:v>4.1899999999999995</c:v>
                </c:pt>
                <c:pt idx="6">
                  <c:v>4.34</c:v>
                </c:pt>
                <c:pt idx="7">
                  <c:v>4.46</c:v>
                </c:pt>
                <c:pt idx="8">
                  <c:v>4.2</c:v>
                </c:pt>
              </c:numCache>
            </c:numRef>
          </c:val>
          <c:extLst xmlns:c16r2="http://schemas.microsoft.com/office/drawing/2015/06/chart">
            <c:ext xmlns:c16="http://schemas.microsoft.com/office/drawing/2014/chart" uri="{C3380CC4-5D6E-409C-BE32-E72D297353CC}">
              <c16:uniqueId val="{00000002-4803-48FC-8EC3-BD637E8A698E}"/>
            </c:ext>
          </c:extLst>
        </c:ser>
        <c:marker val="1"/>
        <c:axId val="173431424"/>
        <c:axId val="173433600"/>
      </c:lineChart>
      <c:catAx>
        <c:axId val="173431424"/>
        <c:scaling>
          <c:orientation val="minMax"/>
        </c:scaling>
        <c:axPos val="b"/>
        <c:title>
          <c:tx>
            <c:rich>
              <a:bodyPr/>
              <a:lstStyle/>
              <a:p>
                <a:pPr>
                  <a:defRPr/>
                </a:pPr>
                <a:r>
                  <a:rPr lang="en-US" sz="1050">
                    <a:latin typeface="Times New Roman" pitchFamily="18" charset="0"/>
                    <a:cs typeface="Times New Roman" pitchFamily="18" charset="0"/>
                  </a:rPr>
                  <a:t>Treatments</a:t>
                </a:r>
              </a:p>
            </c:rich>
          </c:tx>
          <c:layout>
            <c:manualLayout>
              <c:xMode val="edge"/>
              <c:yMode val="edge"/>
              <c:x val="0.41878682721323274"/>
              <c:y val="0.87105946638783216"/>
            </c:manualLayout>
          </c:layout>
        </c:title>
        <c:numFmt formatCode="General" sourceLinked="0"/>
        <c:majorTickMark val="none"/>
        <c:tickLblPos val="nextTo"/>
        <c:txPr>
          <a:bodyPr/>
          <a:lstStyle/>
          <a:p>
            <a:pPr>
              <a:defRPr b="1">
                <a:solidFill>
                  <a:srgbClr val="FF0000"/>
                </a:solidFill>
              </a:defRPr>
            </a:pPr>
            <a:endParaRPr lang="en-US"/>
          </a:p>
        </c:txPr>
        <c:crossAx val="173433600"/>
        <c:crosses val="autoZero"/>
        <c:auto val="1"/>
        <c:lblAlgn val="ctr"/>
        <c:lblOffset val="100"/>
      </c:catAx>
      <c:valAx>
        <c:axId val="173433600"/>
        <c:scaling>
          <c:orientation val="minMax"/>
        </c:scaling>
        <c:axPos val="l"/>
        <c:majorGridlines/>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1.5650127433199823E-2"/>
              <c:y val="0.19432898534662665"/>
            </c:manualLayout>
          </c:layout>
        </c:title>
        <c:numFmt formatCode="General" sourceLinked="1"/>
        <c:majorTickMark val="none"/>
        <c:tickLblPos val="nextTo"/>
        <c:txPr>
          <a:bodyPr/>
          <a:lstStyle/>
          <a:p>
            <a:pPr>
              <a:defRPr b="0">
                <a:solidFill>
                  <a:srgbClr val="0070C0"/>
                </a:solidFill>
                <a:latin typeface="Times New Roman" pitchFamily="18" charset="0"/>
                <a:cs typeface="Times New Roman" pitchFamily="18" charset="0"/>
              </a:defRPr>
            </a:pPr>
            <a:endParaRPr lang="en-US"/>
          </a:p>
        </c:txPr>
        <c:crossAx val="173431424"/>
        <c:crosses val="autoZero"/>
        <c:crossBetween val="between"/>
      </c:valAx>
    </c:plotArea>
    <c:legend>
      <c:legendPos val="r"/>
      <c:layout>
        <c:manualLayout>
          <c:xMode val="edge"/>
          <c:yMode val="edge"/>
          <c:x val="0.80738272819376256"/>
          <c:y val="0.34246442665844434"/>
          <c:w val="0.14825000000000021"/>
          <c:h val="0.25115157480314959"/>
        </c:manualLayout>
      </c:layout>
    </c:legend>
    <c:plotVisOnly val="1"/>
    <c:dispBlanksAs val="gap"/>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400"/>
            </a:pPr>
            <a:r>
              <a:rPr lang="en-US" sz="1400">
                <a:latin typeface="Times New Roman" pitchFamily="18" charset="0"/>
                <a:cs typeface="Times New Roman" pitchFamily="18" charset="0"/>
              </a:rPr>
              <a:t>Phosphorous</a:t>
            </a:r>
          </a:p>
        </c:rich>
      </c:tx>
      <c:layout>
        <c:manualLayout>
          <c:xMode val="edge"/>
          <c:yMode val="edge"/>
          <c:x val="0.38127302859693024"/>
          <c:y val="0"/>
        </c:manualLayout>
      </c:layout>
      <c:overlay val="1"/>
    </c:title>
    <c:plotArea>
      <c:layout>
        <c:manualLayout>
          <c:layoutTarget val="inner"/>
          <c:xMode val="edge"/>
          <c:yMode val="edge"/>
          <c:x val="0.15539107611548594"/>
          <c:y val="0.13473388743073791"/>
          <c:w val="0.66858114610673669"/>
          <c:h val="0.60378062117235343"/>
        </c:manualLayout>
      </c:layout>
      <c:lineChart>
        <c:grouping val="standard"/>
        <c:ser>
          <c:idx val="0"/>
          <c:order val="0"/>
          <c:tx>
            <c:strRef>
              <c:f>Sheet2!$G$25</c:f>
              <c:strCache>
                <c:ptCount val="1"/>
                <c:pt idx="0">
                  <c:v>Seed</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Sheet2!$G$26:$G$34</c:f>
              <c:numCache>
                <c:formatCode>General</c:formatCode>
                <c:ptCount val="9"/>
                <c:pt idx="0">
                  <c:v>0.22</c:v>
                </c:pt>
                <c:pt idx="1">
                  <c:v>0.24000000000000021</c:v>
                </c:pt>
                <c:pt idx="2">
                  <c:v>0.26</c:v>
                </c:pt>
                <c:pt idx="3">
                  <c:v>0.25</c:v>
                </c:pt>
                <c:pt idx="4">
                  <c:v>0.23</c:v>
                </c:pt>
                <c:pt idx="5">
                  <c:v>0.27</c:v>
                </c:pt>
                <c:pt idx="6">
                  <c:v>0.29000000000000031</c:v>
                </c:pt>
                <c:pt idx="7">
                  <c:v>0.30000000000000032</c:v>
                </c:pt>
                <c:pt idx="8">
                  <c:v>0.28000000000000008</c:v>
                </c:pt>
              </c:numCache>
            </c:numRef>
          </c:val>
          <c:extLst xmlns:c16r2="http://schemas.microsoft.com/office/drawing/2015/06/chart">
            <c:ext xmlns:c16="http://schemas.microsoft.com/office/drawing/2014/chart" uri="{C3380CC4-5D6E-409C-BE32-E72D297353CC}">
              <c16:uniqueId val="{00000000-3EA6-4607-9075-2E8A6AC685AA}"/>
            </c:ext>
          </c:extLst>
        </c:ser>
        <c:ser>
          <c:idx val="1"/>
          <c:order val="1"/>
          <c:tx>
            <c:strRef>
              <c:f>Sheet2!$H$25</c:f>
              <c:strCache>
                <c:ptCount val="1"/>
                <c:pt idx="0">
                  <c:v>Straw</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Sheet2!$H$26:$H$34</c:f>
              <c:numCache>
                <c:formatCode>General</c:formatCode>
                <c:ptCount val="9"/>
                <c:pt idx="0">
                  <c:v>0.2</c:v>
                </c:pt>
                <c:pt idx="1">
                  <c:v>0.22</c:v>
                </c:pt>
                <c:pt idx="2">
                  <c:v>0.24000000000000021</c:v>
                </c:pt>
                <c:pt idx="3">
                  <c:v>0.22</c:v>
                </c:pt>
                <c:pt idx="4">
                  <c:v>0.21000000000000021</c:v>
                </c:pt>
                <c:pt idx="5">
                  <c:v>0.24000000000000021</c:v>
                </c:pt>
                <c:pt idx="6">
                  <c:v>0.25</c:v>
                </c:pt>
                <c:pt idx="7">
                  <c:v>0.26</c:v>
                </c:pt>
                <c:pt idx="8">
                  <c:v>0.25</c:v>
                </c:pt>
              </c:numCache>
            </c:numRef>
          </c:val>
          <c:extLst xmlns:c16r2="http://schemas.microsoft.com/office/drawing/2015/06/chart">
            <c:ext xmlns:c16="http://schemas.microsoft.com/office/drawing/2014/chart" uri="{C3380CC4-5D6E-409C-BE32-E72D297353CC}">
              <c16:uniqueId val="{00000001-3EA6-4607-9075-2E8A6AC685AA}"/>
            </c:ext>
          </c:extLst>
        </c:ser>
        <c:ser>
          <c:idx val="2"/>
          <c:order val="2"/>
          <c:tx>
            <c:strRef>
              <c:f>Sheet2!$I$25</c:f>
              <c:strCache>
                <c:ptCount val="1"/>
                <c:pt idx="0">
                  <c:v>Total</c:v>
                </c:pt>
              </c:strCache>
            </c:strRef>
          </c:tx>
          <c:cat>
            <c:strRef>
              <c:f>Sheet2!$F$26:$F$34</c:f>
              <c:strCache>
                <c:ptCount val="9"/>
                <c:pt idx="0">
                  <c:v>T1</c:v>
                </c:pt>
                <c:pt idx="1">
                  <c:v>T2</c:v>
                </c:pt>
                <c:pt idx="2">
                  <c:v>T3</c:v>
                </c:pt>
                <c:pt idx="3">
                  <c:v>T4</c:v>
                </c:pt>
                <c:pt idx="4">
                  <c:v>T5</c:v>
                </c:pt>
                <c:pt idx="5">
                  <c:v>T6</c:v>
                </c:pt>
                <c:pt idx="6">
                  <c:v>T7</c:v>
                </c:pt>
                <c:pt idx="7">
                  <c:v>T8</c:v>
                </c:pt>
                <c:pt idx="8">
                  <c:v>T9</c:v>
                </c:pt>
              </c:strCache>
            </c:strRef>
          </c:cat>
          <c:val>
            <c:numRef>
              <c:f>Sheet2!$I$26:$I$34</c:f>
              <c:numCache>
                <c:formatCode>General</c:formatCode>
                <c:ptCount val="9"/>
                <c:pt idx="0">
                  <c:v>0.42000000000000032</c:v>
                </c:pt>
                <c:pt idx="1">
                  <c:v>0.46</c:v>
                </c:pt>
                <c:pt idx="2">
                  <c:v>0.5</c:v>
                </c:pt>
                <c:pt idx="3">
                  <c:v>0.47000000000000008</c:v>
                </c:pt>
                <c:pt idx="4">
                  <c:v>0.44</c:v>
                </c:pt>
                <c:pt idx="5">
                  <c:v>0.51</c:v>
                </c:pt>
                <c:pt idx="6">
                  <c:v>0.54</c:v>
                </c:pt>
                <c:pt idx="7">
                  <c:v>0.56000000000000005</c:v>
                </c:pt>
                <c:pt idx="8">
                  <c:v>0.53</c:v>
                </c:pt>
              </c:numCache>
            </c:numRef>
          </c:val>
          <c:extLst xmlns:c16r2="http://schemas.microsoft.com/office/drawing/2015/06/chart">
            <c:ext xmlns:c16="http://schemas.microsoft.com/office/drawing/2014/chart" uri="{C3380CC4-5D6E-409C-BE32-E72D297353CC}">
              <c16:uniqueId val="{00000002-3EA6-4607-9075-2E8A6AC685AA}"/>
            </c:ext>
          </c:extLst>
        </c:ser>
        <c:marker val="1"/>
        <c:axId val="173427328"/>
        <c:axId val="177529600"/>
      </c:lineChart>
      <c:catAx>
        <c:axId val="173427328"/>
        <c:scaling>
          <c:orientation val="minMax"/>
        </c:scaling>
        <c:axPos val="b"/>
        <c:title>
          <c:tx>
            <c:rich>
              <a:bodyPr/>
              <a:lstStyle/>
              <a:p>
                <a:pPr>
                  <a:defRPr/>
                </a:pPr>
                <a:r>
                  <a:rPr lang="en-US" sz="1050">
                    <a:latin typeface="Times New Roman" pitchFamily="18" charset="0"/>
                    <a:cs typeface="Times New Roman" pitchFamily="18" charset="0"/>
                  </a:rPr>
                  <a:t>Treatments</a:t>
                </a:r>
              </a:p>
            </c:rich>
          </c:tx>
        </c:title>
        <c:numFmt formatCode="General" sourceLinked="0"/>
        <c:tickLblPos val="nextTo"/>
        <c:txPr>
          <a:bodyPr/>
          <a:lstStyle/>
          <a:p>
            <a:pPr>
              <a:defRPr b="1">
                <a:solidFill>
                  <a:srgbClr val="FF0000"/>
                </a:solidFill>
              </a:defRPr>
            </a:pPr>
            <a:endParaRPr lang="en-US"/>
          </a:p>
        </c:txPr>
        <c:crossAx val="177529600"/>
        <c:crosses val="autoZero"/>
        <c:auto val="1"/>
        <c:lblAlgn val="ctr"/>
        <c:lblOffset val="100"/>
      </c:catAx>
      <c:valAx>
        <c:axId val="177529600"/>
        <c:scaling>
          <c:orientation val="minMax"/>
        </c:scaling>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layout>
            <c:manualLayout>
              <c:xMode val="edge"/>
              <c:yMode val="edge"/>
              <c:x val="3.5541557305336834E-2"/>
              <c:y val="0.22462197433654069"/>
            </c:manualLayout>
          </c:layout>
        </c:title>
        <c:numFmt formatCode="General" sourceLinked="1"/>
        <c:tickLblPos val="nextTo"/>
        <c:txPr>
          <a:bodyPr/>
          <a:lstStyle/>
          <a:p>
            <a:pPr>
              <a:defRPr>
                <a:solidFill>
                  <a:srgbClr val="0070C0"/>
                </a:solidFill>
              </a:defRPr>
            </a:pPr>
            <a:endParaRPr lang="en-US"/>
          </a:p>
        </c:txPr>
        <c:crossAx val="173427328"/>
        <c:crosses val="autoZero"/>
        <c:crossBetween val="between"/>
      </c:valAx>
    </c:plotArea>
    <c:legend>
      <c:legendPos val="r"/>
    </c:legend>
    <c:plotVisOnly val="1"/>
    <c:dispBlanksAs val="gap"/>
  </c:chart>
  <c:spPr>
    <a:ln>
      <a:solidFill>
        <a:sysClr val="windowText" lastClr="00000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400">
                <a:latin typeface="Times New Roman" pitchFamily="18" charset="0"/>
                <a:cs typeface="Times New Roman" pitchFamily="18" charset="0"/>
              </a:rPr>
              <a:t>Potassium</a:t>
            </a:r>
          </a:p>
        </c:rich>
      </c:tx>
      <c:layout>
        <c:manualLayout>
          <c:xMode val="edge"/>
          <c:yMode val="edge"/>
          <c:x val="0.39572906650220135"/>
          <c:y val="3.1986697685516673E-2"/>
        </c:manualLayout>
      </c:layout>
      <c:overlay val="1"/>
    </c:title>
    <c:plotArea>
      <c:layout>
        <c:manualLayout>
          <c:layoutTarget val="inner"/>
          <c:xMode val="edge"/>
          <c:yMode val="edge"/>
          <c:x val="0.14983552055993021"/>
          <c:y val="0.14399314668999796"/>
          <c:w val="0.65469225721785074"/>
          <c:h val="0.6222991396908768"/>
        </c:manualLayout>
      </c:layout>
      <c:lineChart>
        <c:grouping val="standard"/>
        <c:ser>
          <c:idx val="0"/>
          <c:order val="0"/>
          <c:tx>
            <c:strRef>
              <c:f>Sheet2!$E$38</c:f>
              <c:strCache>
                <c:ptCount val="1"/>
                <c:pt idx="0">
                  <c:v>Seed</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Sheet2!$E$39:$E$47</c:f>
              <c:numCache>
                <c:formatCode>General</c:formatCode>
                <c:ptCount val="9"/>
                <c:pt idx="0">
                  <c:v>0.49000000000000032</c:v>
                </c:pt>
                <c:pt idx="1">
                  <c:v>0.53</c:v>
                </c:pt>
                <c:pt idx="2">
                  <c:v>0.55000000000000004</c:v>
                </c:pt>
                <c:pt idx="3">
                  <c:v>0.54</c:v>
                </c:pt>
                <c:pt idx="4">
                  <c:v>0.52</c:v>
                </c:pt>
                <c:pt idx="5">
                  <c:v>0.56000000000000005</c:v>
                </c:pt>
                <c:pt idx="6">
                  <c:v>0.58000000000000007</c:v>
                </c:pt>
                <c:pt idx="7">
                  <c:v>0.59</c:v>
                </c:pt>
                <c:pt idx="8">
                  <c:v>0.56999999999999995</c:v>
                </c:pt>
              </c:numCache>
            </c:numRef>
          </c:val>
          <c:extLst xmlns:c16r2="http://schemas.microsoft.com/office/drawing/2015/06/chart">
            <c:ext xmlns:c16="http://schemas.microsoft.com/office/drawing/2014/chart" uri="{C3380CC4-5D6E-409C-BE32-E72D297353CC}">
              <c16:uniqueId val="{00000000-F8E5-446B-8067-D7E5131BDF9F}"/>
            </c:ext>
          </c:extLst>
        </c:ser>
        <c:ser>
          <c:idx val="1"/>
          <c:order val="1"/>
          <c:tx>
            <c:strRef>
              <c:f>Sheet2!$F$38</c:f>
              <c:strCache>
                <c:ptCount val="1"/>
                <c:pt idx="0">
                  <c:v>Straw</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Sheet2!$F$39:$F$47</c:f>
              <c:numCache>
                <c:formatCode>General</c:formatCode>
                <c:ptCount val="9"/>
                <c:pt idx="0">
                  <c:v>0.84000000000000064</c:v>
                </c:pt>
                <c:pt idx="1">
                  <c:v>0.9</c:v>
                </c:pt>
                <c:pt idx="2">
                  <c:v>0.93</c:v>
                </c:pt>
                <c:pt idx="3">
                  <c:v>0.92</c:v>
                </c:pt>
                <c:pt idx="4">
                  <c:v>0.89</c:v>
                </c:pt>
                <c:pt idx="5">
                  <c:v>0.94000000000000061</c:v>
                </c:pt>
                <c:pt idx="6">
                  <c:v>0.96000000000000063</c:v>
                </c:pt>
                <c:pt idx="7">
                  <c:v>0.97000000000000064</c:v>
                </c:pt>
                <c:pt idx="8">
                  <c:v>0.95000000000000062</c:v>
                </c:pt>
              </c:numCache>
            </c:numRef>
          </c:val>
          <c:extLst xmlns:c16r2="http://schemas.microsoft.com/office/drawing/2015/06/chart">
            <c:ext xmlns:c16="http://schemas.microsoft.com/office/drawing/2014/chart" uri="{C3380CC4-5D6E-409C-BE32-E72D297353CC}">
              <c16:uniqueId val="{00000001-F8E5-446B-8067-D7E5131BDF9F}"/>
            </c:ext>
          </c:extLst>
        </c:ser>
        <c:ser>
          <c:idx val="2"/>
          <c:order val="2"/>
          <c:tx>
            <c:strRef>
              <c:f>Sheet2!$G$38</c:f>
              <c:strCache>
                <c:ptCount val="1"/>
                <c:pt idx="0">
                  <c:v>Total</c:v>
                </c:pt>
              </c:strCache>
            </c:strRef>
          </c:tx>
          <c:cat>
            <c:strRef>
              <c:f>Sheet2!$D$39:$D$47</c:f>
              <c:strCache>
                <c:ptCount val="9"/>
                <c:pt idx="0">
                  <c:v>T1</c:v>
                </c:pt>
                <c:pt idx="1">
                  <c:v>T2</c:v>
                </c:pt>
                <c:pt idx="2">
                  <c:v>T3</c:v>
                </c:pt>
                <c:pt idx="3">
                  <c:v>T4</c:v>
                </c:pt>
                <c:pt idx="4">
                  <c:v>T5</c:v>
                </c:pt>
                <c:pt idx="5">
                  <c:v>T6</c:v>
                </c:pt>
                <c:pt idx="6">
                  <c:v>T7</c:v>
                </c:pt>
                <c:pt idx="7">
                  <c:v>T8</c:v>
                </c:pt>
                <c:pt idx="8">
                  <c:v>T9</c:v>
                </c:pt>
              </c:strCache>
            </c:strRef>
          </c:cat>
          <c:val>
            <c:numRef>
              <c:f>Sheet2!$G$39:$G$47</c:f>
              <c:numCache>
                <c:formatCode>General</c:formatCode>
                <c:ptCount val="9"/>
                <c:pt idx="0">
                  <c:v>1.33</c:v>
                </c:pt>
                <c:pt idx="1">
                  <c:v>1.43</c:v>
                </c:pt>
                <c:pt idx="2">
                  <c:v>1.48</c:v>
                </c:pt>
                <c:pt idx="3">
                  <c:v>1.46</c:v>
                </c:pt>
                <c:pt idx="4">
                  <c:v>1.41</c:v>
                </c:pt>
                <c:pt idx="5">
                  <c:v>1.5</c:v>
                </c:pt>
                <c:pt idx="6">
                  <c:v>1.54</c:v>
                </c:pt>
                <c:pt idx="7">
                  <c:v>1.56</c:v>
                </c:pt>
                <c:pt idx="8">
                  <c:v>1.52</c:v>
                </c:pt>
              </c:numCache>
            </c:numRef>
          </c:val>
          <c:extLst xmlns:c16r2="http://schemas.microsoft.com/office/drawing/2015/06/chart">
            <c:ext xmlns:c16="http://schemas.microsoft.com/office/drawing/2014/chart" uri="{C3380CC4-5D6E-409C-BE32-E72D297353CC}">
              <c16:uniqueId val="{00000002-F8E5-446B-8067-D7E5131BDF9F}"/>
            </c:ext>
          </c:extLst>
        </c:ser>
        <c:marker val="1"/>
        <c:axId val="138096000"/>
        <c:axId val="138102272"/>
      </c:lineChart>
      <c:catAx>
        <c:axId val="138096000"/>
        <c:scaling>
          <c:orientation val="minMax"/>
        </c:scaling>
        <c:axPos val="b"/>
        <c:title>
          <c:tx>
            <c:rich>
              <a:bodyPr/>
              <a:lstStyle/>
              <a:p>
                <a:pPr>
                  <a:defRPr/>
                </a:pPr>
                <a:r>
                  <a:rPr lang="en-US" sz="1050">
                    <a:latin typeface="Times New Roman" pitchFamily="18" charset="0"/>
                    <a:cs typeface="Times New Roman" pitchFamily="18" charset="0"/>
                  </a:rPr>
                  <a:t>Treatments</a:t>
                </a:r>
              </a:p>
            </c:rich>
          </c:tx>
        </c:title>
        <c:numFmt formatCode="General" sourceLinked="0"/>
        <c:tickLblPos val="nextTo"/>
        <c:txPr>
          <a:bodyPr/>
          <a:lstStyle/>
          <a:p>
            <a:pPr>
              <a:defRPr b="1">
                <a:solidFill>
                  <a:srgbClr val="FF0000"/>
                </a:solidFill>
              </a:defRPr>
            </a:pPr>
            <a:endParaRPr lang="en-US"/>
          </a:p>
        </c:txPr>
        <c:crossAx val="138102272"/>
        <c:crosses val="autoZero"/>
        <c:auto val="1"/>
        <c:lblAlgn val="ctr"/>
        <c:lblOffset val="100"/>
      </c:catAx>
      <c:valAx>
        <c:axId val="138102272"/>
        <c:scaling>
          <c:orientation val="minMax"/>
        </c:scaling>
        <c:axPos val="l"/>
        <c:majorGridlines/>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Nutrient</a:t>
                </a:r>
                <a:r>
                  <a:rPr lang="en-US" baseline="0">
                    <a:latin typeface="Times New Roman" pitchFamily="18" charset="0"/>
                    <a:cs typeface="Times New Roman" pitchFamily="18" charset="0"/>
                  </a:rPr>
                  <a:t> content (%)</a:t>
                </a:r>
                <a:endParaRPr lang="en-US">
                  <a:latin typeface="Times New Roman" pitchFamily="18" charset="0"/>
                  <a:cs typeface="Times New Roman" pitchFamily="18" charset="0"/>
                </a:endParaRPr>
              </a:p>
            </c:rich>
          </c:tx>
        </c:title>
        <c:numFmt formatCode="General" sourceLinked="1"/>
        <c:tickLblPos val="nextTo"/>
        <c:txPr>
          <a:bodyPr/>
          <a:lstStyle/>
          <a:p>
            <a:pPr>
              <a:defRPr>
                <a:solidFill>
                  <a:srgbClr val="0070C0"/>
                </a:solidFill>
              </a:defRPr>
            </a:pPr>
            <a:endParaRPr lang="en-US"/>
          </a:p>
        </c:txPr>
        <c:crossAx val="138096000"/>
        <c:crosses val="autoZero"/>
        <c:crossBetween val="between"/>
      </c:valAx>
    </c:plotArea>
    <c:legend>
      <c:legendPos val="r"/>
    </c:legend>
    <c:plotVisOnly val="1"/>
    <c:dispBlanksAs val="gap"/>
  </c:chart>
  <c:spPr>
    <a:ln>
      <a:solidFill>
        <a:sysClr val="windowText" lastClr="000000"/>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a:pPr>
            <a:r>
              <a:rPr lang="en-US" sz="1050"/>
              <a:t>Sulphur</a:t>
            </a:r>
          </a:p>
        </c:rich>
      </c:tx>
      <c:layout>
        <c:manualLayout>
          <c:xMode val="edge"/>
          <c:yMode val="edge"/>
          <c:x val="0.424752622367225"/>
          <c:y val="2.5943384181685406E-2"/>
        </c:manualLayout>
      </c:layout>
      <c:overlay val="1"/>
    </c:title>
    <c:plotArea>
      <c:layout>
        <c:manualLayout>
          <c:layoutTarget val="inner"/>
          <c:xMode val="edge"/>
          <c:yMode val="edge"/>
          <c:x val="0.13563082682466887"/>
          <c:y val="0.10809743409035584"/>
          <c:w val="0.6842876921374047"/>
          <c:h val="0.66718961992261261"/>
        </c:manualLayout>
      </c:layout>
      <c:lineChart>
        <c:grouping val="stacked"/>
        <c:ser>
          <c:idx val="0"/>
          <c:order val="0"/>
          <c:tx>
            <c:strRef>
              <c:f>Sheet2!$D$50</c:f>
              <c:strCache>
                <c:ptCount val="1"/>
                <c:pt idx="0">
                  <c:v>Seed</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Sheet2!$D$51:$D$59</c:f>
              <c:numCache>
                <c:formatCode>General</c:formatCode>
                <c:ptCount val="9"/>
                <c:pt idx="0">
                  <c:v>0.35000000000000031</c:v>
                </c:pt>
                <c:pt idx="1">
                  <c:v>0.37000000000000038</c:v>
                </c:pt>
                <c:pt idx="2">
                  <c:v>0.39000000000000073</c:v>
                </c:pt>
                <c:pt idx="3">
                  <c:v>0.38000000000000073</c:v>
                </c:pt>
                <c:pt idx="4">
                  <c:v>0.36000000000000032</c:v>
                </c:pt>
                <c:pt idx="5">
                  <c:v>0.4</c:v>
                </c:pt>
                <c:pt idx="6">
                  <c:v>0.43000000000000038</c:v>
                </c:pt>
                <c:pt idx="7">
                  <c:v>0.44</c:v>
                </c:pt>
                <c:pt idx="8">
                  <c:v>0.42000000000000032</c:v>
                </c:pt>
              </c:numCache>
            </c:numRef>
          </c:val>
          <c:extLst xmlns:c16r2="http://schemas.microsoft.com/office/drawing/2015/06/chart">
            <c:ext xmlns:c16="http://schemas.microsoft.com/office/drawing/2014/chart" uri="{C3380CC4-5D6E-409C-BE32-E72D297353CC}">
              <c16:uniqueId val="{00000000-8E35-4AF5-8F2C-39F90458098B}"/>
            </c:ext>
          </c:extLst>
        </c:ser>
        <c:ser>
          <c:idx val="1"/>
          <c:order val="1"/>
          <c:tx>
            <c:strRef>
              <c:f>Sheet2!$E$50</c:f>
              <c:strCache>
                <c:ptCount val="1"/>
                <c:pt idx="0">
                  <c:v>Straw</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Sheet2!$E$51:$E$59</c:f>
              <c:numCache>
                <c:formatCode>General</c:formatCode>
                <c:ptCount val="9"/>
                <c:pt idx="0">
                  <c:v>0.2</c:v>
                </c:pt>
                <c:pt idx="1">
                  <c:v>0.23</c:v>
                </c:pt>
                <c:pt idx="2">
                  <c:v>0.25</c:v>
                </c:pt>
                <c:pt idx="3">
                  <c:v>0.24000000000000021</c:v>
                </c:pt>
                <c:pt idx="4">
                  <c:v>0.22</c:v>
                </c:pt>
                <c:pt idx="5">
                  <c:v>0.26</c:v>
                </c:pt>
                <c:pt idx="6">
                  <c:v>0.28000000000000008</c:v>
                </c:pt>
                <c:pt idx="7">
                  <c:v>0.30000000000000032</c:v>
                </c:pt>
                <c:pt idx="8">
                  <c:v>0.27</c:v>
                </c:pt>
              </c:numCache>
            </c:numRef>
          </c:val>
          <c:extLst xmlns:c16r2="http://schemas.microsoft.com/office/drawing/2015/06/chart">
            <c:ext xmlns:c16="http://schemas.microsoft.com/office/drawing/2014/chart" uri="{C3380CC4-5D6E-409C-BE32-E72D297353CC}">
              <c16:uniqueId val="{00000001-8E35-4AF5-8F2C-39F90458098B}"/>
            </c:ext>
          </c:extLst>
        </c:ser>
        <c:ser>
          <c:idx val="2"/>
          <c:order val="2"/>
          <c:tx>
            <c:strRef>
              <c:f>Sheet2!$F$50</c:f>
              <c:strCache>
                <c:ptCount val="1"/>
                <c:pt idx="0">
                  <c:v>Total</c:v>
                </c:pt>
              </c:strCache>
            </c:strRef>
          </c:tx>
          <c:cat>
            <c:strRef>
              <c:f>Sheet2!$C$51:$C$59</c:f>
              <c:strCache>
                <c:ptCount val="9"/>
                <c:pt idx="0">
                  <c:v>T1</c:v>
                </c:pt>
                <c:pt idx="1">
                  <c:v>T2</c:v>
                </c:pt>
                <c:pt idx="2">
                  <c:v>T3</c:v>
                </c:pt>
                <c:pt idx="3">
                  <c:v>T4</c:v>
                </c:pt>
                <c:pt idx="4">
                  <c:v>T5</c:v>
                </c:pt>
                <c:pt idx="5">
                  <c:v>T6</c:v>
                </c:pt>
                <c:pt idx="6">
                  <c:v>T7</c:v>
                </c:pt>
                <c:pt idx="7">
                  <c:v>T8</c:v>
                </c:pt>
                <c:pt idx="8">
                  <c:v>T9</c:v>
                </c:pt>
              </c:strCache>
            </c:strRef>
          </c:cat>
          <c:val>
            <c:numRef>
              <c:f>Sheet2!$F$51:$F$59</c:f>
              <c:numCache>
                <c:formatCode>General</c:formatCode>
                <c:ptCount val="9"/>
                <c:pt idx="0">
                  <c:v>0.55000000000000004</c:v>
                </c:pt>
                <c:pt idx="1">
                  <c:v>0.60000000000000064</c:v>
                </c:pt>
                <c:pt idx="2">
                  <c:v>0.64000000000000146</c:v>
                </c:pt>
                <c:pt idx="3">
                  <c:v>0.62000000000000133</c:v>
                </c:pt>
                <c:pt idx="4">
                  <c:v>0.58000000000000007</c:v>
                </c:pt>
                <c:pt idx="5">
                  <c:v>0.66000000000000181</c:v>
                </c:pt>
                <c:pt idx="6">
                  <c:v>0.71000000000000063</c:v>
                </c:pt>
                <c:pt idx="7">
                  <c:v>0.74000000000000132</c:v>
                </c:pt>
                <c:pt idx="8">
                  <c:v>0.69000000000000061</c:v>
                </c:pt>
              </c:numCache>
            </c:numRef>
          </c:val>
          <c:extLst xmlns:c16r2="http://schemas.microsoft.com/office/drawing/2015/06/chart">
            <c:ext xmlns:c16="http://schemas.microsoft.com/office/drawing/2014/chart" uri="{C3380CC4-5D6E-409C-BE32-E72D297353CC}">
              <c16:uniqueId val="{00000002-8E35-4AF5-8F2C-39F90458098B}"/>
            </c:ext>
          </c:extLst>
        </c:ser>
        <c:marker val="1"/>
        <c:axId val="138121600"/>
        <c:axId val="138123520"/>
      </c:lineChart>
      <c:catAx>
        <c:axId val="138121600"/>
        <c:scaling>
          <c:orientation val="minMax"/>
        </c:scaling>
        <c:axPos val="b"/>
        <c:title>
          <c:tx>
            <c:rich>
              <a:bodyPr/>
              <a:lstStyle/>
              <a:p>
                <a:pPr>
                  <a:defRPr/>
                </a:pPr>
                <a:r>
                  <a:rPr lang="en-US"/>
                  <a:t>Treatments</a:t>
                </a:r>
              </a:p>
            </c:rich>
          </c:tx>
        </c:title>
        <c:numFmt formatCode="General" sourceLinked="0"/>
        <c:tickLblPos val="nextTo"/>
        <c:crossAx val="138123520"/>
        <c:crosses val="autoZero"/>
        <c:auto val="1"/>
        <c:lblAlgn val="ctr"/>
        <c:lblOffset val="100"/>
      </c:catAx>
      <c:valAx>
        <c:axId val="138123520"/>
        <c:scaling>
          <c:orientation val="minMax"/>
        </c:scaling>
        <c:axPos val="l"/>
        <c:majorGridlines/>
        <c:title>
          <c:tx>
            <c:rich>
              <a:bodyPr rot="-5400000" vert="horz"/>
              <a:lstStyle/>
              <a:p>
                <a:pPr>
                  <a:defRPr/>
                </a:pPr>
                <a:r>
                  <a:rPr lang="en-US"/>
                  <a:t>Nutrient content (%)</a:t>
                </a:r>
              </a:p>
            </c:rich>
          </c:tx>
        </c:title>
        <c:numFmt formatCode="General" sourceLinked="1"/>
        <c:tickLblPos val="nextTo"/>
        <c:crossAx val="138121600"/>
        <c:crosses val="autoZero"/>
        <c:crossBetween val="between"/>
      </c:valAx>
    </c:plotArea>
    <c:legend>
      <c:legendPos val="r"/>
    </c:legend>
    <c:plotVisOnly val="1"/>
    <c:dispBlanksAs val="zero"/>
  </c:chart>
  <c:txPr>
    <a:bodyPr/>
    <a:lstStyle/>
    <a:p>
      <a:pPr>
        <a:defRPr>
          <a:latin typeface="Times New Roman" pitchFamily="18" charset="0"/>
          <a:cs typeface="Times New Roman" pitchFamily="18"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a:pPr>
            <a:r>
              <a:rPr lang="en-US" sz="1050"/>
              <a:t>Iron</a:t>
            </a:r>
          </a:p>
        </c:rich>
      </c:tx>
      <c:layout>
        <c:manualLayout>
          <c:xMode val="edge"/>
          <c:yMode val="edge"/>
          <c:x val="0.45514823640109503"/>
          <c:y val="3.2069951213271081E-2"/>
        </c:manualLayout>
      </c:layout>
      <c:overlay val="1"/>
    </c:title>
    <c:plotArea>
      <c:layout>
        <c:manualLayout>
          <c:layoutTarget val="inner"/>
          <c:xMode val="edge"/>
          <c:yMode val="edge"/>
          <c:x val="0.1485393208664097"/>
          <c:y val="0.1341727636048978"/>
          <c:w val="0.66475785429183243"/>
          <c:h val="0.57959829229614268"/>
        </c:manualLayout>
      </c:layout>
      <c:lineChart>
        <c:grouping val="stacked"/>
        <c:ser>
          <c:idx val="0"/>
          <c:order val="0"/>
          <c:tx>
            <c:strRef>
              <c:f>Sheet2!$C$64</c:f>
              <c:strCache>
                <c:ptCount val="1"/>
                <c:pt idx="0">
                  <c:v>Seed</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Sheet2!$C$65:$C$73</c:f>
              <c:numCache>
                <c:formatCode>General</c:formatCode>
                <c:ptCount val="9"/>
                <c:pt idx="0">
                  <c:v>63.01</c:v>
                </c:pt>
                <c:pt idx="1">
                  <c:v>64.33</c:v>
                </c:pt>
                <c:pt idx="2">
                  <c:v>66.209999999999994</c:v>
                </c:pt>
                <c:pt idx="3">
                  <c:v>65.31</c:v>
                </c:pt>
                <c:pt idx="4">
                  <c:v>64.169999999999987</c:v>
                </c:pt>
                <c:pt idx="5">
                  <c:v>66.239999999999995</c:v>
                </c:pt>
                <c:pt idx="6">
                  <c:v>66.84</c:v>
                </c:pt>
                <c:pt idx="7">
                  <c:v>69.940000000000026</c:v>
                </c:pt>
                <c:pt idx="8">
                  <c:v>66.31</c:v>
                </c:pt>
              </c:numCache>
            </c:numRef>
          </c:val>
          <c:extLst xmlns:c16r2="http://schemas.microsoft.com/office/drawing/2015/06/chart">
            <c:ext xmlns:c16="http://schemas.microsoft.com/office/drawing/2014/chart" uri="{C3380CC4-5D6E-409C-BE32-E72D297353CC}">
              <c16:uniqueId val="{00000000-E7E6-4FD2-845D-069A64BE0CF9}"/>
            </c:ext>
          </c:extLst>
        </c:ser>
        <c:ser>
          <c:idx val="1"/>
          <c:order val="1"/>
          <c:tx>
            <c:strRef>
              <c:f>Sheet2!$D$64</c:f>
              <c:strCache>
                <c:ptCount val="1"/>
                <c:pt idx="0">
                  <c:v>Straw</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Sheet2!$D$65:$D$73</c:f>
              <c:numCache>
                <c:formatCode>General</c:formatCode>
                <c:ptCount val="9"/>
                <c:pt idx="0">
                  <c:v>18.479999999999986</c:v>
                </c:pt>
                <c:pt idx="1">
                  <c:v>20.3</c:v>
                </c:pt>
                <c:pt idx="2">
                  <c:v>24.64</c:v>
                </c:pt>
                <c:pt idx="3">
                  <c:v>23.07</c:v>
                </c:pt>
                <c:pt idx="4">
                  <c:v>18.91</c:v>
                </c:pt>
                <c:pt idx="5">
                  <c:v>25.57</c:v>
                </c:pt>
                <c:pt idx="6">
                  <c:v>32.6</c:v>
                </c:pt>
                <c:pt idx="7">
                  <c:v>45.09</c:v>
                </c:pt>
                <c:pt idx="8">
                  <c:v>31.57</c:v>
                </c:pt>
              </c:numCache>
            </c:numRef>
          </c:val>
          <c:extLst xmlns:c16r2="http://schemas.microsoft.com/office/drawing/2015/06/chart">
            <c:ext xmlns:c16="http://schemas.microsoft.com/office/drawing/2014/chart" uri="{C3380CC4-5D6E-409C-BE32-E72D297353CC}">
              <c16:uniqueId val="{00000001-E7E6-4FD2-845D-069A64BE0CF9}"/>
            </c:ext>
          </c:extLst>
        </c:ser>
        <c:ser>
          <c:idx val="2"/>
          <c:order val="2"/>
          <c:tx>
            <c:strRef>
              <c:f>Sheet2!$E$64</c:f>
              <c:strCache>
                <c:ptCount val="1"/>
                <c:pt idx="0">
                  <c:v>Total</c:v>
                </c:pt>
              </c:strCache>
            </c:strRef>
          </c:tx>
          <c:cat>
            <c:strRef>
              <c:f>Sheet2!$B$65:$B$73</c:f>
              <c:strCache>
                <c:ptCount val="9"/>
                <c:pt idx="0">
                  <c:v>T1</c:v>
                </c:pt>
                <c:pt idx="1">
                  <c:v>T2</c:v>
                </c:pt>
                <c:pt idx="2">
                  <c:v>T3</c:v>
                </c:pt>
                <c:pt idx="3">
                  <c:v>T4</c:v>
                </c:pt>
                <c:pt idx="4">
                  <c:v>T5</c:v>
                </c:pt>
                <c:pt idx="5">
                  <c:v>T6</c:v>
                </c:pt>
                <c:pt idx="6">
                  <c:v>T7</c:v>
                </c:pt>
                <c:pt idx="7">
                  <c:v>T8</c:v>
                </c:pt>
                <c:pt idx="8">
                  <c:v>T9</c:v>
                </c:pt>
              </c:strCache>
            </c:strRef>
          </c:cat>
          <c:val>
            <c:numRef>
              <c:f>Sheet2!$E$65:$E$73</c:f>
              <c:numCache>
                <c:formatCode>General</c:formatCode>
                <c:ptCount val="9"/>
                <c:pt idx="0">
                  <c:v>81.489999999999995</c:v>
                </c:pt>
                <c:pt idx="1">
                  <c:v>84.63</c:v>
                </c:pt>
                <c:pt idx="2">
                  <c:v>90.85</c:v>
                </c:pt>
                <c:pt idx="3">
                  <c:v>88.38</c:v>
                </c:pt>
                <c:pt idx="4">
                  <c:v>83.08</c:v>
                </c:pt>
                <c:pt idx="5">
                  <c:v>91.81</c:v>
                </c:pt>
                <c:pt idx="6">
                  <c:v>99.440000000000026</c:v>
                </c:pt>
                <c:pt idx="7">
                  <c:v>115.03</c:v>
                </c:pt>
                <c:pt idx="8">
                  <c:v>97.88</c:v>
                </c:pt>
              </c:numCache>
            </c:numRef>
          </c:val>
          <c:extLst xmlns:c16r2="http://schemas.microsoft.com/office/drawing/2015/06/chart">
            <c:ext xmlns:c16="http://schemas.microsoft.com/office/drawing/2014/chart" uri="{C3380CC4-5D6E-409C-BE32-E72D297353CC}">
              <c16:uniqueId val="{00000002-E7E6-4FD2-845D-069A64BE0CF9}"/>
            </c:ext>
          </c:extLst>
        </c:ser>
        <c:marker val="1"/>
        <c:axId val="88293376"/>
        <c:axId val="88295296"/>
      </c:lineChart>
      <c:catAx>
        <c:axId val="88293376"/>
        <c:scaling>
          <c:orientation val="minMax"/>
        </c:scaling>
        <c:axPos val="b"/>
        <c:title>
          <c:tx>
            <c:rich>
              <a:bodyPr/>
              <a:lstStyle/>
              <a:p>
                <a:pPr>
                  <a:defRPr/>
                </a:pPr>
                <a:r>
                  <a:rPr lang="en-US" sz="1050" b="1" i="0" baseline="0">
                    <a:latin typeface="Times New Roman" pitchFamily="18" charset="0"/>
                    <a:cs typeface="Times New Roman" pitchFamily="18" charset="0"/>
                  </a:rPr>
                  <a:t>Treatments</a:t>
                </a:r>
              </a:p>
            </c:rich>
          </c:tx>
        </c:title>
        <c:numFmt formatCode="General" sourceLinked="0"/>
        <c:tickLblPos val="nextTo"/>
        <c:crossAx val="88295296"/>
        <c:crosses val="autoZero"/>
        <c:auto val="1"/>
        <c:lblAlgn val="ctr"/>
        <c:lblOffset val="100"/>
      </c:catAx>
      <c:valAx>
        <c:axId val="88295296"/>
        <c:scaling>
          <c:orientation val="minMax"/>
        </c:scaling>
        <c:axPos val="l"/>
        <c:majorGridlines/>
        <c:title>
          <c:tx>
            <c:rich>
              <a:bodyPr rot="-5400000" vert="horz"/>
              <a:lstStyle/>
              <a:p>
                <a:pPr>
                  <a:defRPr sz="1000">
                    <a:latin typeface="Times New Roman" pitchFamily="18" charset="0"/>
                    <a:cs typeface="Times New Roman" pitchFamily="18" charset="0"/>
                  </a:defRPr>
                </a:pPr>
                <a:r>
                  <a:rPr lang="en-US" sz="1000" b="1" i="0" baseline="0">
                    <a:latin typeface="Times New Roman" pitchFamily="18" charset="0"/>
                    <a:cs typeface="Times New Roman" pitchFamily="18" charset="0"/>
                  </a:rPr>
                  <a:t>Nutrient content (ppm)</a:t>
                </a:r>
                <a:endParaRPr lang="en-US" sz="1000">
                  <a:latin typeface="Times New Roman" pitchFamily="18" charset="0"/>
                  <a:cs typeface="Times New Roman" pitchFamily="18" charset="0"/>
                </a:endParaRPr>
              </a:p>
            </c:rich>
          </c:tx>
          <c:layout>
            <c:manualLayout>
              <c:xMode val="edge"/>
              <c:yMode val="edge"/>
              <c:x val="3.4491071805355891E-2"/>
              <c:y val="0.19810560020470849"/>
            </c:manualLayout>
          </c:layout>
        </c:title>
        <c:numFmt formatCode="General" sourceLinked="1"/>
        <c:tickLblPos val="nextTo"/>
        <c:crossAx val="88293376"/>
        <c:crosses val="autoZero"/>
        <c:crossBetween val="between"/>
      </c:valAx>
    </c:plotArea>
    <c:legend>
      <c:legendPos val="r"/>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latin typeface="Times New Roman" pitchFamily="18" charset="0"/>
                <a:cs typeface="Times New Roman" pitchFamily="18" charset="0"/>
              </a:rPr>
              <a:t>Zinc</a:t>
            </a:r>
          </a:p>
        </c:rich>
      </c:tx>
      <c:layout>
        <c:manualLayout>
          <c:xMode val="edge"/>
          <c:yMode val="edge"/>
          <c:x val="0.44918569051185858"/>
          <c:y val="2.9193201064379608E-2"/>
        </c:manualLayout>
      </c:layout>
      <c:overlay val="1"/>
    </c:title>
    <c:plotArea>
      <c:layout>
        <c:manualLayout>
          <c:layoutTarget val="inner"/>
          <c:xMode val="edge"/>
          <c:yMode val="edge"/>
          <c:x val="0.15781687451578896"/>
          <c:y val="0.12321002002607648"/>
          <c:w val="0.64581832819258655"/>
          <c:h val="0.5991575807617231"/>
        </c:manualLayout>
      </c:layout>
      <c:lineChart>
        <c:grouping val="stacked"/>
        <c:ser>
          <c:idx val="0"/>
          <c:order val="0"/>
          <c:tx>
            <c:strRef>
              <c:f>Sheet2!$B$77</c:f>
              <c:strCache>
                <c:ptCount val="1"/>
                <c:pt idx="0">
                  <c:v>Seed</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Sheet2!$B$78:$B$86</c:f>
              <c:numCache>
                <c:formatCode>General</c:formatCode>
                <c:ptCount val="9"/>
                <c:pt idx="0">
                  <c:v>22.21</c:v>
                </c:pt>
                <c:pt idx="1">
                  <c:v>23.759999999999987</c:v>
                </c:pt>
                <c:pt idx="2">
                  <c:v>25.22</c:v>
                </c:pt>
                <c:pt idx="3">
                  <c:v>24.259999999999987</c:v>
                </c:pt>
                <c:pt idx="4">
                  <c:v>22.459999999999987</c:v>
                </c:pt>
                <c:pt idx="5">
                  <c:v>25.06</c:v>
                </c:pt>
                <c:pt idx="6">
                  <c:v>27.650000000000031</c:v>
                </c:pt>
                <c:pt idx="7">
                  <c:v>28.459999999999987</c:v>
                </c:pt>
                <c:pt idx="8">
                  <c:v>25.87</c:v>
                </c:pt>
              </c:numCache>
            </c:numRef>
          </c:val>
          <c:extLst xmlns:c16r2="http://schemas.microsoft.com/office/drawing/2015/06/chart">
            <c:ext xmlns:c16="http://schemas.microsoft.com/office/drawing/2014/chart" uri="{C3380CC4-5D6E-409C-BE32-E72D297353CC}">
              <c16:uniqueId val="{00000000-5422-41B0-9315-453B5C528F1D}"/>
            </c:ext>
          </c:extLst>
        </c:ser>
        <c:ser>
          <c:idx val="1"/>
          <c:order val="1"/>
          <c:tx>
            <c:strRef>
              <c:f>Sheet2!$C$77</c:f>
              <c:strCache>
                <c:ptCount val="1"/>
                <c:pt idx="0">
                  <c:v>Straw</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Sheet2!$C$78:$C$86</c:f>
              <c:numCache>
                <c:formatCode>General</c:formatCode>
                <c:ptCount val="9"/>
                <c:pt idx="0">
                  <c:v>16.64</c:v>
                </c:pt>
                <c:pt idx="1">
                  <c:v>17.420000000000002</c:v>
                </c:pt>
                <c:pt idx="2">
                  <c:v>17.62</c:v>
                </c:pt>
                <c:pt idx="3">
                  <c:v>17.510000000000005</c:v>
                </c:pt>
                <c:pt idx="4">
                  <c:v>16.91</c:v>
                </c:pt>
                <c:pt idx="5">
                  <c:v>17.66</c:v>
                </c:pt>
                <c:pt idx="6">
                  <c:v>17.88</c:v>
                </c:pt>
                <c:pt idx="7">
                  <c:v>18.57</c:v>
                </c:pt>
                <c:pt idx="8">
                  <c:v>17.71</c:v>
                </c:pt>
              </c:numCache>
            </c:numRef>
          </c:val>
          <c:extLst xmlns:c16r2="http://schemas.microsoft.com/office/drawing/2015/06/chart">
            <c:ext xmlns:c16="http://schemas.microsoft.com/office/drawing/2014/chart" uri="{C3380CC4-5D6E-409C-BE32-E72D297353CC}">
              <c16:uniqueId val="{00000001-5422-41B0-9315-453B5C528F1D}"/>
            </c:ext>
          </c:extLst>
        </c:ser>
        <c:ser>
          <c:idx val="2"/>
          <c:order val="2"/>
          <c:tx>
            <c:strRef>
              <c:f>Sheet2!$D$77</c:f>
              <c:strCache>
                <c:ptCount val="1"/>
                <c:pt idx="0">
                  <c:v>Total</c:v>
                </c:pt>
              </c:strCache>
            </c:strRef>
          </c:tx>
          <c:cat>
            <c:strRef>
              <c:f>Sheet2!$A$78:$A$86</c:f>
              <c:strCache>
                <c:ptCount val="9"/>
                <c:pt idx="0">
                  <c:v>T1</c:v>
                </c:pt>
                <c:pt idx="1">
                  <c:v>T2</c:v>
                </c:pt>
                <c:pt idx="2">
                  <c:v>T3</c:v>
                </c:pt>
                <c:pt idx="3">
                  <c:v>T4</c:v>
                </c:pt>
                <c:pt idx="4">
                  <c:v>T5</c:v>
                </c:pt>
                <c:pt idx="5">
                  <c:v>T6</c:v>
                </c:pt>
                <c:pt idx="6">
                  <c:v>T7</c:v>
                </c:pt>
                <c:pt idx="7">
                  <c:v>T8</c:v>
                </c:pt>
                <c:pt idx="8">
                  <c:v>T9</c:v>
                </c:pt>
              </c:strCache>
            </c:strRef>
          </c:cat>
          <c:val>
            <c:numRef>
              <c:f>Sheet2!$D$78:$D$86</c:f>
              <c:numCache>
                <c:formatCode>General</c:formatCode>
                <c:ptCount val="9"/>
                <c:pt idx="0">
                  <c:v>38.85</c:v>
                </c:pt>
                <c:pt idx="1">
                  <c:v>41.18</c:v>
                </c:pt>
                <c:pt idx="2">
                  <c:v>42.84</c:v>
                </c:pt>
                <c:pt idx="3">
                  <c:v>41.77</c:v>
                </c:pt>
                <c:pt idx="4">
                  <c:v>39.370000000000005</c:v>
                </c:pt>
                <c:pt idx="5">
                  <c:v>42.720000000000013</c:v>
                </c:pt>
                <c:pt idx="6">
                  <c:v>45.53</c:v>
                </c:pt>
                <c:pt idx="7">
                  <c:v>47.03</c:v>
                </c:pt>
                <c:pt idx="8">
                  <c:v>43.58</c:v>
                </c:pt>
              </c:numCache>
            </c:numRef>
          </c:val>
          <c:extLst xmlns:c16r2="http://schemas.microsoft.com/office/drawing/2015/06/chart">
            <c:ext xmlns:c16="http://schemas.microsoft.com/office/drawing/2014/chart" uri="{C3380CC4-5D6E-409C-BE32-E72D297353CC}">
              <c16:uniqueId val="{00000002-5422-41B0-9315-453B5C528F1D}"/>
            </c:ext>
          </c:extLst>
        </c:ser>
        <c:marker val="1"/>
        <c:axId val="61412096"/>
        <c:axId val="61414016"/>
      </c:lineChart>
      <c:catAx>
        <c:axId val="61412096"/>
        <c:scaling>
          <c:orientation val="minMax"/>
        </c:scaling>
        <c:axPos val="b"/>
        <c:title>
          <c:tx>
            <c:rich>
              <a:bodyPr/>
              <a:lstStyle/>
              <a:p>
                <a:pPr>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title>
        <c:numFmt formatCode="General" sourceLinked="0"/>
        <c:tickLblPos val="nextTo"/>
        <c:crossAx val="61414016"/>
        <c:crosses val="autoZero"/>
        <c:auto val="1"/>
        <c:lblAlgn val="ctr"/>
        <c:lblOffset val="100"/>
      </c:catAx>
      <c:valAx>
        <c:axId val="61414016"/>
        <c:scaling>
          <c:orientation val="minMax"/>
        </c:scaling>
        <c:axPos val="l"/>
        <c:majorGridlines/>
        <c:title>
          <c:tx>
            <c:rich>
              <a:bodyPr rot="-5400000" vert="horz"/>
              <a:lstStyle/>
              <a:p>
                <a:pPr>
                  <a:defRPr/>
                </a:pPr>
                <a:r>
                  <a:rPr lang="en-US" sz="1050" b="1" i="0" baseline="0">
                    <a:latin typeface="Times New Roman" pitchFamily="18" charset="0"/>
                    <a:cs typeface="Times New Roman" pitchFamily="18" charset="0"/>
                  </a:rPr>
                  <a:t>Nutrient content</a:t>
                </a:r>
                <a:r>
                  <a:rPr lang="en-US" sz="1000" b="1" i="0" baseline="0">
                    <a:latin typeface="Times New Roman" pitchFamily="18" charset="0"/>
                    <a:cs typeface="Times New Roman" pitchFamily="18" charset="0"/>
                  </a:rPr>
                  <a:t> (ppm)</a:t>
                </a:r>
              </a:p>
            </c:rich>
          </c:tx>
          <c:layout>
            <c:manualLayout>
              <c:xMode val="edge"/>
              <c:yMode val="edge"/>
              <c:x val="2.5114156254435568E-2"/>
              <c:y val="7.6500898323068972E-2"/>
            </c:manualLayout>
          </c:layout>
        </c:title>
        <c:numFmt formatCode="General" sourceLinked="1"/>
        <c:tickLblPos val="nextTo"/>
        <c:crossAx val="61412096"/>
        <c:crosses val="autoZero"/>
        <c:crossBetween val="between"/>
      </c:valAx>
    </c:plotArea>
    <c:legend>
      <c:legendPos val="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50"/>
            </a:pPr>
            <a:r>
              <a:rPr lang="en-US" sz="1050">
                <a:latin typeface="Times New Roman" pitchFamily="18" charset="0"/>
                <a:cs typeface="Times New Roman" pitchFamily="18" charset="0"/>
              </a:rPr>
              <a:t>Manganese</a:t>
            </a:r>
            <a:r>
              <a:rPr lang="en-US" sz="1050"/>
              <a:t> </a:t>
            </a:r>
          </a:p>
        </c:rich>
      </c:tx>
      <c:layout>
        <c:manualLayout>
          <c:xMode val="edge"/>
          <c:yMode val="edge"/>
          <c:x val="0.40452077865266972"/>
          <c:y val="2.7777777777777912E-2"/>
        </c:manualLayout>
      </c:layout>
      <c:overlay val="1"/>
    </c:title>
    <c:plotArea>
      <c:layout>
        <c:manualLayout>
          <c:layoutTarget val="inner"/>
          <c:xMode val="edge"/>
          <c:yMode val="edge"/>
          <c:x val="0.15709951881014891"/>
          <c:y val="0.11158573928258994"/>
          <c:w val="0.64742825896762901"/>
          <c:h val="0.64049358413531643"/>
        </c:manualLayout>
      </c:layout>
      <c:lineChart>
        <c:grouping val="stacked"/>
        <c:ser>
          <c:idx val="0"/>
          <c:order val="0"/>
          <c:tx>
            <c:strRef>
              <c:f>Sheet2!$B$90</c:f>
              <c:strCache>
                <c:ptCount val="1"/>
                <c:pt idx="0">
                  <c:v>Seed</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Sheet2!$B$91:$B$99</c:f>
              <c:numCache>
                <c:formatCode>General</c:formatCode>
                <c:ptCount val="9"/>
                <c:pt idx="0">
                  <c:v>22.4</c:v>
                </c:pt>
                <c:pt idx="1">
                  <c:v>24.4</c:v>
                </c:pt>
                <c:pt idx="2">
                  <c:v>26.630000000000031</c:v>
                </c:pt>
                <c:pt idx="3">
                  <c:v>25.73</c:v>
                </c:pt>
                <c:pt idx="4">
                  <c:v>23.7</c:v>
                </c:pt>
                <c:pt idx="5">
                  <c:v>26.93</c:v>
                </c:pt>
                <c:pt idx="6">
                  <c:v>27.4</c:v>
                </c:pt>
                <c:pt idx="7">
                  <c:v>28.8</c:v>
                </c:pt>
                <c:pt idx="8">
                  <c:v>27.17</c:v>
                </c:pt>
              </c:numCache>
            </c:numRef>
          </c:val>
          <c:extLst xmlns:c16r2="http://schemas.microsoft.com/office/drawing/2015/06/chart">
            <c:ext xmlns:c16="http://schemas.microsoft.com/office/drawing/2014/chart" uri="{C3380CC4-5D6E-409C-BE32-E72D297353CC}">
              <c16:uniqueId val="{00000000-DCB4-42B3-89D7-44AB0D2E5105}"/>
            </c:ext>
          </c:extLst>
        </c:ser>
        <c:ser>
          <c:idx val="1"/>
          <c:order val="1"/>
          <c:tx>
            <c:strRef>
              <c:f>Sheet2!$C$90</c:f>
              <c:strCache>
                <c:ptCount val="1"/>
                <c:pt idx="0">
                  <c:v>Straw</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Sheet2!$C$91:$C$99</c:f>
              <c:numCache>
                <c:formatCode>General</c:formatCode>
                <c:ptCount val="9"/>
                <c:pt idx="0">
                  <c:v>45.34</c:v>
                </c:pt>
                <c:pt idx="1">
                  <c:v>45.59</c:v>
                </c:pt>
                <c:pt idx="2">
                  <c:v>46.2</c:v>
                </c:pt>
                <c:pt idx="3">
                  <c:v>46.1</c:v>
                </c:pt>
                <c:pt idx="4">
                  <c:v>45.57</c:v>
                </c:pt>
                <c:pt idx="5">
                  <c:v>46.54</c:v>
                </c:pt>
                <c:pt idx="6">
                  <c:v>46.63</c:v>
                </c:pt>
                <c:pt idx="7">
                  <c:v>47.93</c:v>
                </c:pt>
                <c:pt idx="8">
                  <c:v>46.53</c:v>
                </c:pt>
              </c:numCache>
            </c:numRef>
          </c:val>
          <c:extLst xmlns:c16r2="http://schemas.microsoft.com/office/drawing/2015/06/chart">
            <c:ext xmlns:c16="http://schemas.microsoft.com/office/drawing/2014/chart" uri="{C3380CC4-5D6E-409C-BE32-E72D297353CC}">
              <c16:uniqueId val="{00000001-DCB4-42B3-89D7-44AB0D2E5105}"/>
            </c:ext>
          </c:extLst>
        </c:ser>
        <c:ser>
          <c:idx val="2"/>
          <c:order val="2"/>
          <c:tx>
            <c:strRef>
              <c:f>Sheet2!$D$90</c:f>
              <c:strCache>
                <c:ptCount val="1"/>
                <c:pt idx="0">
                  <c:v>Total</c:v>
                </c:pt>
              </c:strCache>
            </c:strRef>
          </c:tx>
          <c:cat>
            <c:strRef>
              <c:f>Sheet2!$A$91:$A$99</c:f>
              <c:strCache>
                <c:ptCount val="9"/>
                <c:pt idx="0">
                  <c:v>T1</c:v>
                </c:pt>
                <c:pt idx="1">
                  <c:v>T2</c:v>
                </c:pt>
                <c:pt idx="2">
                  <c:v>T3</c:v>
                </c:pt>
                <c:pt idx="3">
                  <c:v>T4</c:v>
                </c:pt>
                <c:pt idx="4">
                  <c:v>T5</c:v>
                </c:pt>
                <c:pt idx="5">
                  <c:v>T6</c:v>
                </c:pt>
                <c:pt idx="6">
                  <c:v>T7</c:v>
                </c:pt>
                <c:pt idx="7">
                  <c:v>T8</c:v>
                </c:pt>
                <c:pt idx="8">
                  <c:v>T9</c:v>
                </c:pt>
              </c:strCache>
            </c:strRef>
          </c:cat>
          <c:val>
            <c:numRef>
              <c:f>Sheet2!$D$91:$D$99</c:f>
              <c:numCache>
                <c:formatCode>General</c:formatCode>
                <c:ptCount val="9"/>
                <c:pt idx="0">
                  <c:v>67.739999999999995</c:v>
                </c:pt>
                <c:pt idx="1">
                  <c:v>69.989999999999995</c:v>
                </c:pt>
                <c:pt idx="2">
                  <c:v>72.83</c:v>
                </c:pt>
                <c:pt idx="3">
                  <c:v>71.83</c:v>
                </c:pt>
                <c:pt idx="4">
                  <c:v>69.27</c:v>
                </c:pt>
                <c:pt idx="5">
                  <c:v>73.47</c:v>
                </c:pt>
                <c:pt idx="6">
                  <c:v>74.03</c:v>
                </c:pt>
                <c:pt idx="7">
                  <c:v>76.73</c:v>
                </c:pt>
                <c:pt idx="8">
                  <c:v>73.7</c:v>
                </c:pt>
              </c:numCache>
            </c:numRef>
          </c:val>
          <c:extLst xmlns:c16r2="http://schemas.microsoft.com/office/drawing/2015/06/chart">
            <c:ext xmlns:c16="http://schemas.microsoft.com/office/drawing/2014/chart" uri="{C3380CC4-5D6E-409C-BE32-E72D297353CC}">
              <c16:uniqueId val="{00000002-DCB4-42B3-89D7-44AB0D2E5105}"/>
            </c:ext>
          </c:extLst>
        </c:ser>
        <c:marker val="1"/>
        <c:axId val="61449728"/>
        <c:axId val="61451648"/>
      </c:lineChart>
      <c:catAx>
        <c:axId val="61449728"/>
        <c:scaling>
          <c:orientation val="minMax"/>
        </c:scaling>
        <c:axPos val="b"/>
        <c:title>
          <c:tx>
            <c:rich>
              <a:bodyPr/>
              <a:lstStyle/>
              <a:p>
                <a:pPr>
                  <a:defRPr/>
                </a:pPr>
                <a:r>
                  <a:rPr lang="en-US" sz="1050" b="1" i="0" baseline="0">
                    <a:latin typeface="Times New Roman" pitchFamily="18" charset="0"/>
                    <a:cs typeface="Times New Roman" pitchFamily="18" charset="0"/>
                  </a:rPr>
                  <a:t>Treatments</a:t>
                </a:r>
              </a:p>
            </c:rich>
          </c:tx>
        </c:title>
        <c:numFmt formatCode="General" sourceLinked="0"/>
        <c:tickLblPos val="nextTo"/>
        <c:crossAx val="61451648"/>
        <c:crosses val="autoZero"/>
        <c:auto val="1"/>
        <c:lblAlgn val="ctr"/>
        <c:lblOffset val="100"/>
      </c:catAx>
      <c:valAx>
        <c:axId val="61451648"/>
        <c:scaling>
          <c:orientation val="minMax"/>
        </c:scaling>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050">
                  <a:latin typeface="Times New Roman" pitchFamily="18" charset="0"/>
                  <a:cs typeface="Times New Roman" pitchFamily="18" charset="0"/>
                </a:endParaRPr>
              </a:p>
            </c:rich>
          </c:tx>
        </c:title>
        <c:numFmt formatCode="General" sourceLinked="1"/>
        <c:tickLblPos val="nextTo"/>
        <c:crossAx val="61449728"/>
        <c:crosses val="autoZero"/>
        <c:crossBetween val="between"/>
      </c:valAx>
    </c:plotArea>
    <c:legend>
      <c:legendPos val="r"/>
    </c:legend>
    <c:plotVisOnly val="1"/>
    <c:dispBlanksAs val="zero"/>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050">
                <a:latin typeface="Times New Roman" pitchFamily="18" charset="0"/>
                <a:cs typeface="Times New Roman" pitchFamily="18" charset="0"/>
              </a:rPr>
              <a:t>Copper</a:t>
            </a:r>
          </a:p>
        </c:rich>
      </c:tx>
      <c:layout>
        <c:manualLayout>
          <c:xMode val="edge"/>
          <c:yMode val="edge"/>
          <c:x val="0.43078477690288908"/>
          <c:y val="2.7777777777777964E-2"/>
        </c:manualLayout>
      </c:layout>
      <c:overlay val="1"/>
    </c:title>
    <c:plotArea>
      <c:layout>
        <c:manualLayout>
          <c:layoutTarget val="inner"/>
          <c:xMode val="edge"/>
          <c:yMode val="edge"/>
          <c:x val="0.15709951881014891"/>
          <c:y val="0.10232648002333065"/>
          <c:w val="0.64742825896762901"/>
          <c:h val="0.64975284339458017"/>
        </c:manualLayout>
      </c:layout>
      <c:lineChart>
        <c:grouping val="stacked"/>
        <c:ser>
          <c:idx val="0"/>
          <c:order val="0"/>
          <c:tx>
            <c:strRef>
              <c:f>Sheet2!$B$106</c:f>
              <c:strCache>
                <c:ptCount val="1"/>
                <c:pt idx="0">
                  <c:v>Seed</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Sheet2!$B$107:$B$115</c:f>
              <c:numCache>
                <c:formatCode>General</c:formatCode>
                <c:ptCount val="9"/>
                <c:pt idx="0">
                  <c:v>25.650000000000031</c:v>
                </c:pt>
                <c:pt idx="1">
                  <c:v>25.87</c:v>
                </c:pt>
                <c:pt idx="2">
                  <c:v>26.259999999999987</c:v>
                </c:pt>
                <c:pt idx="3">
                  <c:v>26.02</c:v>
                </c:pt>
                <c:pt idx="4">
                  <c:v>25.74</c:v>
                </c:pt>
                <c:pt idx="5">
                  <c:v>26.330000000000005</c:v>
                </c:pt>
                <c:pt idx="6">
                  <c:v>26.459999999999987</c:v>
                </c:pt>
                <c:pt idx="7">
                  <c:v>27.419999999999987</c:v>
                </c:pt>
                <c:pt idx="8">
                  <c:v>26.39</c:v>
                </c:pt>
              </c:numCache>
            </c:numRef>
          </c:val>
          <c:extLst xmlns:c16r2="http://schemas.microsoft.com/office/drawing/2015/06/chart">
            <c:ext xmlns:c16="http://schemas.microsoft.com/office/drawing/2014/chart" uri="{C3380CC4-5D6E-409C-BE32-E72D297353CC}">
              <c16:uniqueId val="{00000000-00F0-415B-A318-60A7A8B70BF9}"/>
            </c:ext>
          </c:extLst>
        </c:ser>
        <c:ser>
          <c:idx val="1"/>
          <c:order val="1"/>
          <c:tx>
            <c:strRef>
              <c:f>Sheet2!$C$106</c:f>
              <c:strCache>
                <c:ptCount val="1"/>
                <c:pt idx="0">
                  <c:v>Straw</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Sheet2!$C$107:$C$115</c:f>
              <c:numCache>
                <c:formatCode>General</c:formatCode>
                <c:ptCount val="9"/>
                <c:pt idx="0">
                  <c:v>35.630000000000003</c:v>
                </c:pt>
                <c:pt idx="1">
                  <c:v>35.83</c:v>
                </c:pt>
                <c:pt idx="2">
                  <c:v>36.160000000000011</c:v>
                </c:pt>
                <c:pt idx="3">
                  <c:v>35.950000000000003</c:v>
                </c:pt>
                <c:pt idx="4">
                  <c:v>35.800000000000004</c:v>
                </c:pt>
                <c:pt idx="5">
                  <c:v>36.480000000000004</c:v>
                </c:pt>
                <c:pt idx="6">
                  <c:v>37.33</c:v>
                </c:pt>
                <c:pt idx="7">
                  <c:v>38.800000000000004</c:v>
                </c:pt>
                <c:pt idx="8">
                  <c:v>37.07</c:v>
                </c:pt>
              </c:numCache>
            </c:numRef>
          </c:val>
          <c:extLst xmlns:c16r2="http://schemas.microsoft.com/office/drawing/2015/06/chart">
            <c:ext xmlns:c16="http://schemas.microsoft.com/office/drawing/2014/chart" uri="{C3380CC4-5D6E-409C-BE32-E72D297353CC}">
              <c16:uniqueId val="{00000001-00F0-415B-A318-60A7A8B70BF9}"/>
            </c:ext>
          </c:extLst>
        </c:ser>
        <c:ser>
          <c:idx val="2"/>
          <c:order val="2"/>
          <c:tx>
            <c:strRef>
              <c:f>Sheet2!$D$106</c:f>
              <c:strCache>
                <c:ptCount val="1"/>
                <c:pt idx="0">
                  <c:v>Total</c:v>
                </c:pt>
              </c:strCache>
            </c:strRef>
          </c:tx>
          <c:cat>
            <c:strRef>
              <c:f>Sheet2!$A$107:$A$115</c:f>
              <c:strCache>
                <c:ptCount val="9"/>
                <c:pt idx="0">
                  <c:v>T1</c:v>
                </c:pt>
                <c:pt idx="1">
                  <c:v>T2</c:v>
                </c:pt>
                <c:pt idx="2">
                  <c:v>T3</c:v>
                </c:pt>
                <c:pt idx="3">
                  <c:v>T4</c:v>
                </c:pt>
                <c:pt idx="4">
                  <c:v>T5</c:v>
                </c:pt>
                <c:pt idx="5">
                  <c:v>T6</c:v>
                </c:pt>
                <c:pt idx="6">
                  <c:v>T7</c:v>
                </c:pt>
                <c:pt idx="7">
                  <c:v>T8</c:v>
                </c:pt>
                <c:pt idx="8">
                  <c:v>T9</c:v>
                </c:pt>
              </c:strCache>
            </c:strRef>
          </c:cat>
          <c:val>
            <c:numRef>
              <c:f>Sheet2!$D$107:$D$115</c:f>
              <c:numCache>
                <c:formatCode>General</c:formatCode>
                <c:ptCount val="9"/>
                <c:pt idx="0">
                  <c:v>61.28</c:v>
                </c:pt>
                <c:pt idx="1">
                  <c:v>61.7</c:v>
                </c:pt>
                <c:pt idx="2">
                  <c:v>62.42</c:v>
                </c:pt>
                <c:pt idx="3">
                  <c:v>61.97</c:v>
                </c:pt>
                <c:pt idx="4">
                  <c:v>61.54</c:v>
                </c:pt>
                <c:pt idx="5">
                  <c:v>62.81</c:v>
                </c:pt>
                <c:pt idx="6">
                  <c:v>63.790000000000013</c:v>
                </c:pt>
                <c:pt idx="7">
                  <c:v>66.22</c:v>
                </c:pt>
                <c:pt idx="8">
                  <c:v>63.46</c:v>
                </c:pt>
              </c:numCache>
            </c:numRef>
          </c:val>
          <c:extLst xmlns:c16r2="http://schemas.microsoft.com/office/drawing/2015/06/chart">
            <c:ext xmlns:c16="http://schemas.microsoft.com/office/drawing/2014/chart" uri="{C3380CC4-5D6E-409C-BE32-E72D297353CC}">
              <c16:uniqueId val="{00000002-00F0-415B-A318-60A7A8B70BF9}"/>
            </c:ext>
          </c:extLst>
        </c:ser>
        <c:marker val="1"/>
        <c:axId val="96356608"/>
        <c:axId val="96366976"/>
      </c:lineChart>
      <c:catAx>
        <c:axId val="96356608"/>
        <c:scaling>
          <c:orientation val="minMax"/>
        </c:scaling>
        <c:axPos val="b"/>
        <c:title>
          <c:tx>
            <c:rich>
              <a:bodyPr/>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Treatments</a:t>
                </a:r>
                <a:endParaRPr lang="en-US" sz="1050">
                  <a:latin typeface="Times New Roman" pitchFamily="18" charset="0"/>
                  <a:cs typeface="Times New Roman" pitchFamily="18" charset="0"/>
                </a:endParaRPr>
              </a:p>
            </c:rich>
          </c:tx>
        </c:title>
        <c:numFmt formatCode="General" sourceLinked="0"/>
        <c:tickLblPos val="nextTo"/>
        <c:crossAx val="96366976"/>
        <c:crosses val="autoZero"/>
        <c:auto val="1"/>
        <c:lblAlgn val="ctr"/>
        <c:lblOffset val="100"/>
      </c:catAx>
      <c:valAx>
        <c:axId val="96366976"/>
        <c:scaling>
          <c:orientation val="minMax"/>
        </c:scaling>
        <c:axPos val="l"/>
        <c:majorGridlines/>
        <c:title>
          <c:tx>
            <c:rich>
              <a:bodyPr rot="-5400000" vert="horz"/>
              <a:lstStyle/>
              <a:p>
                <a:pPr>
                  <a:defRPr>
                    <a:latin typeface="Times New Roman" pitchFamily="18" charset="0"/>
                    <a:cs typeface="Times New Roman" pitchFamily="18" charset="0"/>
                  </a:defRPr>
                </a:pPr>
                <a:r>
                  <a:rPr lang="en-US" sz="1050" b="1" i="0" baseline="0">
                    <a:latin typeface="Times New Roman" pitchFamily="18" charset="0"/>
                    <a:cs typeface="Times New Roman" pitchFamily="18" charset="0"/>
                  </a:rPr>
                  <a:t>Nutrient content (ppm)</a:t>
                </a:r>
                <a:endParaRPr lang="en-US" sz="1800" b="1" i="0" baseline="0">
                  <a:latin typeface="Times New Roman" pitchFamily="18" charset="0"/>
                  <a:cs typeface="Times New Roman" pitchFamily="18" charset="0"/>
                </a:endParaRPr>
              </a:p>
            </c:rich>
          </c:tx>
          <c:layout>
            <c:manualLayout>
              <c:xMode val="edge"/>
              <c:yMode val="edge"/>
              <c:x val="3.888888888888889E-2"/>
              <c:y val="0.13483012540099154"/>
            </c:manualLayout>
          </c:layout>
        </c:title>
        <c:numFmt formatCode="General" sourceLinked="1"/>
        <c:tickLblPos val="nextTo"/>
        <c:crossAx val="96356608"/>
        <c:crosses val="autoZero"/>
        <c:crossBetween val="between"/>
      </c:valAx>
    </c:plotArea>
    <c:legend>
      <c:legendPos val="r"/>
    </c:legend>
    <c:plotVisOnly val="1"/>
    <c:dispBlanksAs val="zero"/>
  </c:chart>
  <c:externalData r:id="rId1"/>
</c:chartSpace>
</file>

<file path=word/theme/theme1.xml><?xml version="1.0" encoding="utf-8"?>
<a:theme xmlns:a="http://schemas.openxmlformats.org/drawingml/2006/main" name="Office थीम">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28654-162A-4BE4-B973-27957131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18</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120</cp:revision>
  <dcterms:created xsi:type="dcterms:W3CDTF">2022-02-24T09:16:00Z</dcterms:created>
  <dcterms:modified xsi:type="dcterms:W3CDTF">2025-07-18T13:42:00Z</dcterms:modified>
</cp:coreProperties>
</file>