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022F2" w14:textId="0EFAA1EC" w:rsidR="00B04B44" w:rsidRPr="00B04B44" w:rsidRDefault="00B04B44" w:rsidP="00B04B44">
      <w:pPr>
        <w:spacing w:line="240" w:lineRule="auto"/>
        <w:rPr>
          <w:rFonts w:ascii="Times New Roman" w:hAnsi="Times New Roman" w:cs="Times New Roman"/>
          <w:b/>
          <w:sz w:val="24"/>
          <w:szCs w:val="24"/>
          <w:u w:val="single"/>
        </w:rPr>
      </w:pPr>
      <w:r w:rsidRPr="00B04B44">
        <w:rPr>
          <w:rFonts w:ascii="Times New Roman" w:hAnsi="Times New Roman" w:cs="Times New Roman"/>
          <w:b/>
          <w:sz w:val="24"/>
          <w:szCs w:val="24"/>
          <w:u w:val="single"/>
        </w:rPr>
        <w:t>Original Research Article</w:t>
      </w:r>
    </w:p>
    <w:p w14:paraId="6426A3F3" w14:textId="41CC4D0B" w:rsidR="00BE3968" w:rsidRDefault="00520526" w:rsidP="00BE39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Onion growth</w:t>
      </w:r>
      <w:r w:rsidR="00BE3968">
        <w:rPr>
          <w:rFonts w:ascii="Times New Roman" w:hAnsi="Times New Roman" w:cs="Times New Roman"/>
          <w:b/>
          <w:sz w:val="24"/>
          <w:szCs w:val="24"/>
        </w:rPr>
        <w:t xml:space="preserve">, </w:t>
      </w:r>
      <w:r w:rsidR="0069742C">
        <w:rPr>
          <w:rFonts w:ascii="Times New Roman" w:hAnsi="Times New Roman" w:cs="Times New Roman"/>
          <w:b/>
          <w:sz w:val="24"/>
          <w:szCs w:val="24"/>
        </w:rPr>
        <w:t xml:space="preserve">seed </w:t>
      </w:r>
      <w:r w:rsidR="00BE3968">
        <w:rPr>
          <w:rFonts w:ascii="Times New Roman" w:hAnsi="Times New Roman" w:cs="Times New Roman"/>
          <w:b/>
          <w:sz w:val="24"/>
          <w:szCs w:val="24"/>
        </w:rPr>
        <w:t xml:space="preserve">yield and seed quality in response to different nitrogen sources in mid hill of Himachal Pradesh </w:t>
      </w:r>
    </w:p>
    <w:p w14:paraId="7CD3954F" w14:textId="77777777" w:rsidR="00520526" w:rsidRDefault="00520526" w:rsidP="004253A6">
      <w:pPr>
        <w:spacing w:line="240" w:lineRule="auto"/>
        <w:jc w:val="center"/>
        <w:rPr>
          <w:rFonts w:ascii="Times New Roman" w:hAnsi="Times New Roman" w:cs="Times New Roman"/>
          <w:b/>
          <w:sz w:val="24"/>
          <w:szCs w:val="24"/>
        </w:rPr>
      </w:pPr>
    </w:p>
    <w:p w14:paraId="24218D01" w14:textId="77777777" w:rsidR="00EE1C16" w:rsidRDefault="00EE1C16" w:rsidP="004253A6">
      <w:pPr>
        <w:spacing w:line="240" w:lineRule="auto"/>
        <w:jc w:val="center"/>
        <w:rPr>
          <w:rStyle w:val="Hyperlink"/>
          <w:rFonts w:ascii="Times New Roman" w:hAnsi="Times New Roman" w:cs="Times New Roman"/>
          <w:b/>
          <w:color w:val="auto"/>
          <w:sz w:val="24"/>
          <w:szCs w:val="24"/>
          <w:u w:val="none"/>
        </w:rPr>
      </w:pPr>
      <w:r w:rsidRPr="00EE1C16">
        <w:rPr>
          <w:rStyle w:val="Hyperlink"/>
          <w:rFonts w:ascii="Times New Roman" w:hAnsi="Times New Roman" w:cs="Times New Roman"/>
          <w:b/>
          <w:color w:val="auto"/>
          <w:sz w:val="24"/>
          <w:szCs w:val="24"/>
          <w:u w:val="none"/>
        </w:rPr>
        <w:t>ABSTRACT</w:t>
      </w:r>
    </w:p>
    <w:p w14:paraId="362B2293" w14:textId="30829426" w:rsidR="00B10625" w:rsidRDefault="009241D5" w:rsidP="007F6542">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9241D5">
        <w:rPr>
          <w:rFonts w:ascii="Times New Roman" w:eastAsia="Times New Roman" w:hAnsi="Times New Roman" w:cs="Times New Roman"/>
          <w:noProof w:val="0"/>
          <w:color w:val="FF0000"/>
          <w:sz w:val="24"/>
          <w:szCs w:val="24"/>
          <w:lang w:eastAsia="en-IN"/>
        </w:rPr>
        <w:t>Some positive words about onion production in India</w:t>
      </w:r>
      <w:r>
        <w:rPr>
          <w:rFonts w:ascii="Times New Roman" w:eastAsia="Times New Roman" w:hAnsi="Times New Roman" w:cs="Times New Roman"/>
          <w:noProof w:val="0"/>
          <w:sz w:val="24"/>
          <w:szCs w:val="24"/>
          <w:lang w:eastAsia="en-IN"/>
        </w:rPr>
        <w:t xml:space="preserve">. </w:t>
      </w:r>
      <w:r w:rsidR="00B10625" w:rsidRPr="00B10625">
        <w:rPr>
          <w:rFonts w:ascii="Times New Roman" w:eastAsia="Times New Roman" w:hAnsi="Times New Roman" w:cs="Times New Roman"/>
          <w:noProof w:val="0"/>
          <w:sz w:val="24"/>
          <w:szCs w:val="24"/>
          <w:lang w:eastAsia="en-IN"/>
        </w:rPr>
        <w:t>India’s onion productivity lags behind countries lik</w:t>
      </w:r>
      <w:r w:rsidR="0021610F">
        <w:rPr>
          <w:rFonts w:ascii="Times New Roman" w:eastAsia="Times New Roman" w:hAnsi="Times New Roman" w:cs="Times New Roman"/>
          <w:noProof w:val="0"/>
          <w:sz w:val="24"/>
          <w:szCs w:val="24"/>
          <w:lang w:eastAsia="en-IN"/>
        </w:rPr>
        <w:t>e the Republic of Korea, Guyana</w:t>
      </w:r>
      <w:r w:rsidR="00B10625" w:rsidRPr="00B10625">
        <w:rPr>
          <w:rFonts w:ascii="Times New Roman" w:eastAsia="Times New Roman" w:hAnsi="Times New Roman" w:cs="Times New Roman"/>
          <w:noProof w:val="0"/>
          <w:sz w:val="24"/>
          <w:szCs w:val="24"/>
          <w:lang w:eastAsia="en-IN"/>
        </w:rPr>
        <w:t xml:space="preserve"> and the USA. To improve seed yield and quality</w:t>
      </w:r>
      <w:r w:rsidR="0021610F">
        <w:rPr>
          <w:rFonts w:ascii="Times New Roman" w:eastAsia="Times New Roman" w:hAnsi="Times New Roman" w:cs="Times New Roman"/>
          <w:noProof w:val="0"/>
          <w:sz w:val="24"/>
          <w:szCs w:val="24"/>
          <w:lang w:eastAsia="en-IN"/>
        </w:rPr>
        <w:t>, a study was conducted in 2020-</w:t>
      </w:r>
      <w:r w:rsidR="00B10625" w:rsidRPr="00B10625">
        <w:rPr>
          <w:rFonts w:ascii="Times New Roman" w:eastAsia="Times New Roman" w:hAnsi="Times New Roman" w:cs="Times New Roman"/>
          <w:noProof w:val="0"/>
          <w:sz w:val="24"/>
          <w:szCs w:val="24"/>
          <w:lang w:eastAsia="en-IN"/>
        </w:rPr>
        <w:t xml:space="preserve">2021 at Dr YS Parmar University of Horticulture and Forestry, </w:t>
      </w:r>
      <w:proofErr w:type="spellStart"/>
      <w:r w:rsidR="00B10625" w:rsidRPr="00B10625">
        <w:rPr>
          <w:rFonts w:ascii="Times New Roman" w:eastAsia="Times New Roman" w:hAnsi="Times New Roman" w:cs="Times New Roman"/>
          <w:noProof w:val="0"/>
          <w:sz w:val="24"/>
          <w:szCs w:val="24"/>
          <w:lang w:eastAsia="en-IN"/>
        </w:rPr>
        <w:t>Nauni</w:t>
      </w:r>
      <w:proofErr w:type="spellEnd"/>
      <w:r w:rsidR="00B10625" w:rsidRPr="00B10625">
        <w:rPr>
          <w:rFonts w:ascii="Times New Roman" w:eastAsia="Times New Roman" w:hAnsi="Times New Roman" w:cs="Times New Roman"/>
          <w:noProof w:val="0"/>
          <w:sz w:val="24"/>
          <w:szCs w:val="24"/>
          <w:lang w:eastAsia="en-IN"/>
        </w:rPr>
        <w:t xml:space="preserve">, </w:t>
      </w:r>
      <w:proofErr w:type="spellStart"/>
      <w:r w:rsidR="00B10625" w:rsidRPr="00B10625">
        <w:rPr>
          <w:rFonts w:ascii="Times New Roman" w:eastAsia="Times New Roman" w:hAnsi="Times New Roman" w:cs="Times New Roman"/>
          <w:noProof w:val="0"/>
          <w:sz w:val="24"/>
          <w:szCs w:val="24"/>
          <w:lang w:eastAsia="en-IN"/>
        </w:rPr>
        <w:t>Solan</w:t>
      </w:r>
      <w:proofErr w:type="spellEnd"/>
      <w:r w:rsidR="00B10625" w:rsidRPr="00B10625">
        <w:rPr>
          <w:rFonts w:ascii="Times New Roman" w:eastAsia="Times New Roman" w:hAnsi="Times New Roman" w:cs="Times New Roman"/>
          <w:noProof w:val="0"/>
          <w:sz w:val="24"/>
          <w:szCs w:val="24"/>
          <w:lang w:eastAsia="en-IN"/>
        </w:rPr>
        <w:t xml:space="preserve"> (HP), using nine treatments with varyi</w:t>
      </w:r>
      <w:r w:rsidR="0021610F">
        <w:rPr>
          <w:rFonts w:ascii="Times New Roman" w:eastAsia="Times New Roman" w:hAnsi="Times New Roman" w:cs="Times New Roman"/>
          <w:noProof w:val="0"/>
          <w:sz w:val="24"/>
          <w:szCs w:val="24"/>
          <w:lang w:eastAsia="en-IN"/>
        </w:rPr>
        <w:t xml:space="preserve">ng nitrogen sources (CAN, urea and </w:t>
      </w:r>
      <w:r w:rsidR="00B10625" w:rsidRPr="00B10625">
        <w:rPr>
          <w:rFonts w:ascii="Times New Roman" w:eastAsia="Times New Roman" w:hAnsi="Times New Roman" w:cs="Times New Roman"/>
          <w:noProof w:val="0"/>
          <w:sz w:val="24"/>
          <w:szCs w:val="24"/>
          <w:lang w:eastAsia="en-IN"/>
        </w:rPr>
        <w:t>calcium nitrate) in RCBD with three replications.</w:t>
      </w:r>
      <w:r w:rsidR="00B10625">
        <w:rPr>
          <w:rFonts w:ascii="Times New Roman" w:eastAsia="Times New Roman" w:hAnsi="Times New Roman" w:cs="Times New Roman"/>
          <w:noProof w:val="0"/>
          <w:sz w:val="24"/>
          <w:szCs w:val="24"/>
          <w:lang w:eastAsia="en-IN"/>
        </w:rPr>
        <w:t xml:space="preserve"> </w:t>
      </w:r>
      <w:r w:rsidR="00B10625" w:rsidRPr="00B10625">
        <w:rPr>
          <w:rFonts w:ascii="Times New Roman" w:eastAsia="Times New Roman" w:hAnsi="Times New Roman" w:cs="Times New Roman"/>
          <w:noProof w:val="0"/>
          <w:sz w:val="24"/>
          <w:szCs w:val="24"/>
          <w:lang w:eastAsia="en-IN"/>
        </w:rPr>
        <w:t>Treatment</w:t>
      </w:r>
      <w:r w:rsidR="0021610F">
        <w:rPr>
          <w:rFonts w:ascii="Times New Roman" w:eastAsia="Times New Roman" w:hAnsi="Times New Roman" w:cs="Times New Roman"/>
          <w:noProof w:val="0"/>
          <w:sz w:val="24"/>
          <w:szCs w:val="24"/>
          <w:lang w:eastAsia="en-IN"/>
        </w:rPr>
        <w:t xml:space="preserve"> T</w:t>
      </w:r>
      <w:r w:rsidR="007353FF">
        <w:rPr>
          <w:rFonts w:ascii="Times New Roman" w:eastAsia="Times New Roman" w:hAnsi="Times New Roman" w:cs="Times New Roman"/>
          <w:noProof w:val="0"/>
          <w:sz w:val="24"/>
          <w:szCs w:val="24"/>
          <w:lang w:eastAsia="en-IN"/>
        </w:rPr>
        <w:t>rt</w:t>
      </w:r>
      <w:r w:rsidR="0021610F" w:rsidRPr="0021610F">
        <w:rPr>
          <w:rFonts w:ascii="Times New Roman" w:eastAsia="Times New Roman" w:hAnsi="Times New Roman" w:cs="Times New Roman"/>
          <w:noProof w:val="0"/>
          <w:sz w:val="24"/>
          <w:szCs w:val="24"/>
          <w:vertAlign w:val="subscript"/>
          <w:lang w:eastAsia="en-IN"/>
        </w:rPr>
        <w:t>1</w:t>
      </w:r>
      <w:r w:rsidR="00B10625" w:rsidRP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in which </w:t>
      </w:r>
      <w:r w:rsidR="00B10625" w:rsidRPr="00B10625">
        <w:rPr>
          <w:rFonts w:ascii="Times New Roman" w:eastAsia="Times New Roman" w:hAnsi="Times New Roman" w:cs="Times New Roman"/>
          <w:noProof w:val="0"/>
          <w:sz w:val="24"/>
          <w:szCs w:val="24"/>
          <w:lang w:eastAsia="en-IN"/>
        </w:rPr>
        <w:t xml:space="preserve">100% N </w:t>
      </w:r>
      <w:r w:rsidR="0021610F">
        <w:rPr>
          <w:rFonts w:ascii="Times New Roman" w:eastAsia="Times New Roman" w:hAnsi="Times New Roman" w:cs="Times New Roman"/>
          <w:noProof w:val="0"/>
          <w:sz w:val="24"/>
          <w:szCs w:val="24"/>
          <w:lang w:eastAsia="en-IN"/>
        </w:rPr>
        <w:t>was applied as CAN</w:t>
      </w:r>
      <w:r w:rsidR="00B10625" w:rsidRPr="00B10625">
        <w:rPr>
          <w:rFonts w:ascii="Times New Roman" w:eastAsia="Times New Roman" w:hAnsi="Times New Roman" w:cs="Times New Roman"/>
          <w:noProof w:val="0"/>
          <w:sz w:val="24"/>
          <w:szCs w:val="24"/>
          <w:lang w:eastAsia="en-IN"/>
        </w:rPr>
        <w:t xml:space="preserve"> showed superior vegetative growth, early bolting (91.33 days), highest umbel size (7.43 cm), seeds per umbel (1143.80), and seed quality traits such as germin</w:t>
      </w:r>
      <w:r w:rsidR="0021610F">
        <w:rPr>
          <w:rFonts w:ascii="Times New Roman" w:eastAsia="Times New Roman" w:hAnsi="Times New Roman" w:cs="Times New Roman"/>
          <w:noProof w:val="0"/>
          <w:sz w:val="24"/>
          <w:szCs w:val="24"/>
          <w:lang w:eastAsia="en-IN"/>
        </w:rPr>
        <w:t>ation (91.50%), seedling vigour</w:t>
      </w:r>
      <w:r w:rsidR="00B10625" w:rsidRPr="00B10625">
        <w:rPr>
          <w:rFonts w:ascii="Times New Roman" w:eastAsia="Times New Roman" w:hAnsi="Times New Roman" w:cs="Times New Roman"/>
          <w:noProof w:val="0"/>
          <w:sz w:val="24"/>
          <w:szCs w:val="24"/>
          <w:lang w:eastAsia="en-IN"/>
        </w:rPr>
        <w:t xml:space="preserve"> and lowest electrical conductivity (0.109 </w:t>
      </w:r>
      <w:proofErr w:type="spellStart"/>
      <w:r w:rsidR="00B10625" w:rsidRPr="00B10625">
        <w:rPr>
          <w:rFonts w:ascii="Times New Roman" w:eastAsia="Times New Roman" w:hAnsi="Times New Roman" w:cs="Times New Roman"/>
          <w:noProof w:val="0"/>
          <w:sz w:val="24"/>
          <w:szCs w:val="24"/>
          <w:lang w:eastAsia="en-IN"/>
        </w:rPr>
        <w:t>dS</w:t>
      </w:r>
      <w:proofErr w:type="spellEnd"/>
      <w:r w:rsidR="00B10625" w:rsidRPr="00B10625">
        <w:rPr>
          <w:rFonts w:ascii="Times New Roman" w:eastAsia="Times New Roman" w:hAnsi="Times New Roman" w:cs="Times New Roman"/>
          <w:noProof w:val="0"/>
          <w:sz w:val="24"/>
          <w:szCs w:val="24"/>
          <w:lang w:eastAsia="en-IN"/>
        </w:rPr>
        <w:t xml:space="preserve"> m⁻¹). </w:t>
      </w:r>
      <w:r w:rsidR="0021610F">
        <w:rPr>
          <w:rFonts w:ascii="Times New Roman" w:eastAsia="Times New Roman" w:hAnsi="Times New Roman" w:cs="Times New Roman"/>
          <w:noProof w:val="0"/>
          <w:sz w:val="24"/>
          <w:szCs w:val="24"/>
          <w:lang w:eastAsia="en-IN"/>
        </w:rPr>
        <w:t xml:space="preserve">However, </w:t>
      </w:r>
      <w:r w:rsidR="00B10625" w:rsidRPr="00B10625">
        <w:rPr>
          <w:rFonts w:ascii="Times New Roman" w:eastAsia="Times New Roman" w:hAnsi="Times New Roman" w:cs="Times New Roman"/>
          <w:noProof w:val="0"/>
          <w:sz w:val="24"/>
          <w:szCs w:val="24"/>
          <w:lang w:eastAsia="en-IN"/>
        </w:rPr>
        <w:t>T</w:t>
      </w:r>
      <w:r w:rsidR="0021610F">
        <w:rPr>
          <w:rFonts w:ascii="Times New Roman" w:eastAsia="Times New Roman" w:hAnsi="Times New Roman" w:cs="Times New Roman"/>
          <w:noProof w:val="0"/>
          <w:sz w:val="24"/>
          <w:szCs w:val="24"/>
          <w:lang w:eastAsia="en-IN"/>
        </w:rPr>
        <w:t>reatment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vertAlign w:val="subscript"/>
          <w:lang w:eastAsia="en-IN"/>
        </w:rPr>
        <w:t xml:space="preserve">5 </w:t>
      </w:r>
      <w:r w:rsidR="00B10625" w:rsidRPr="00B10625">
        <w:rPr>
          <w:rFonts w:ascii="Times New Roman" w:eastAsia="Times New Roman" w:hAnsi="Times New Roman" w:cs="Times New Roman"/>
          <w:noProof w:val="0"/>
          <w:sz w:val="24"/>
          <w:szCs w:val="24"/>
          <w:lang w:eastAsia="en-IN"/>
        </w:rPr>
        <w:t>(75% CAN + 25% calcium nitrate) excelled in leaf length and seed yield (766.52 kg ha⁻¹). Both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lang w:eastAsia="en-IN"/>
        </w:rPr>
        <w:t>1 and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lang w:eastAsia="en-IN"/>
        </w:rPr>
        <w:t>5 showed high nitrogen use efficiency and residual soil nitrogen.</w:t>
      </w:r>
      <w:r w:rsid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Moreover, </w:t>
      </w:r>
      <w:r w:rsidR="00B10625" w:rsidRPr="00B10625">
        <w:rPr>
          <w:rFonts w:ascii="Times New Roman" w:eastAsia="Times New Roman" w:hAnsi="Times New Roman" w:cs="Times New Roman"/>
          <w:noProof w:val="0"/>
          <w:sz w:val="24"/>
          <w:szCs w:val="24"/>
          <w:lang w:eastAsia="en-IN"/>
        </w:rPr>
        <w:t>T</w:t>
      </w:r>
      <w:r w:rsidR="00B10625" w:rsidRPr="00B10625">
        <w:rPr>
          <w:rFonts w:ascii="Times New Roman" w:eastAsia="Times New Roman" w:hAnsi="Times New Roman" w:cs="Times New Roman"/>
          <w:noProof w:val="0"/>
          <w:sz w:val="24"/>
          <w:szCs w:val="24"/>
          <w:vertAlign w:val="subscript"/>
          <w:lang w:eastAsia="en-IN"/>
        </w:rPr>
        <w:t>1</w:t>
      </w:r>
      <w:r w:rsidR="00B10625" w:rsidRPr="00B10625">
        <w:rPr>
          <w:rFonts w:ascii="Times New Roman" w:eastAsia="Times New Roman" w:hAnsi="Times New Roman" w:cs="Times New Roman"/>
          <w:noProof w:val="0"/>
          <w:sz w:val="24"/>
          <w:szCs w:val="24"/>
          <w:lang w:eastAsia="en-IN"/>
        </w:rPr>
        <w:t xml:space="preserve"> recorded the highest benefit-cost ratio (3.53), making it the most effective nitrogen source for enhancing onion seed yield and quality under mid-hill conditions of Himachal Pradesh.</w:t>
      </w:r>
    </w:p>
    <w:p w14:paraId="2FDA389F" w14:textId="77777777" w:rsidR="007F6542" w:rsidRPr="007F6542" w:rsidRDefault="007F6542" w:rsidP="007F6542">
      <w:pPr>
        <w:spacing w:before="100" w:beforeAutospacing="1" w:after="100" w:afterAutospacing="1" w:line="240" w:lineRule="auto"/>
        <w:jc w:val="both"/>
        <w:rPr>
          <w:rStyle w:val="Hyperlink"/>
          <w:rFonts w:ascii="Times New Roman" w:eastAsia="Times New Roman" w:hAnsi="Times New Roman" w:cs="Times New Roman"/>
          <w:noProof w:val="0"/>
          <w:color w:val="auto"/>
          <w:sz w:val="24"/>
          <w:szCs w:val="24"/>
          <w:u w:val="none"/>
          <w:lang w:eastAsia="en-IN"/>
        </w:rPr>
      </w:pPr>
      <w:r w:rsidRPr="007F6542">
        <w:rPr>
          <w:rFonts w:ascii="Times New Roman" w:eastAsia="Times New Roman" w:hAnsi="Times New Roman" w:cs="Times New Roman"/>
          <w:b/>
          <w:noProof w:val="0"/>
          <w:sz w:val="24"/>
          <w:szCs w:val="24"/>
          <w:lang w:eastAsia="en-IN"/>
        </w:rPr>
        <w:t>Key words</w:t>
      </w:r>
      <w:r w:rsidRPr="007F6542">
        <w:rPr>
          <w:rFonts w:ascii="Times New Roman" w:eastAsia="Times New Roman" w:hAnsi="Times New Roman" w:cs="Times New Roman"/>
          <w:noProof w:val="0"/>
          <w:sz w:val="24"/>
          <w:szCs w:val="24"/>
          <w:lang w:eastAsia="en-IN"/>
        </w:rPr>
        <w:t>: CAN, Productivity, Nitrogen use efficiency, Urea</w:t>
      </w:r>
    </w:p>
    <w:p w14:paraId="61BAEFB8" w14:textId="77777777" w:rsidR="003F3008" w:rsidRDefault="003F3008" w:rsidP="004A7822">
      <w:pPr>
        <w:spacing w:line="240" w:lineRule="auto"/>
        <w:rPr>
          <w:rFonts w:ascii="Times New Roman" w:hAnsi="Times New Roman" w:cs="Times New Roman"/>
          <w:b/>
          <w:sz w:val="24"/>
          <w:szCs w:val="24"/>
        </w:rPr>
      </w:pPr>
    </w:p>
    <w:p w14:paraId="5B8B5C61" w14:textId="77777777" w:rsidR="006B0B8E" w:rsidRPr="00720A38" w:rsidRDefault="006B0B8E"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Introduction</w:t>
      </w:r>
    </w:p>
    <w:p w14:paraId="0C63DCB8" w14:textId="77777777" w:rsidR="006B0B8E" w:rsidRPr="00720A38" w:rsidRDefault="006B0B8E"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The genus </w:t>
      </w:r>
      <w:r w:rsidRPr="00720A38">
        <w:rPr>
          <w:rFonts w:ascii="Times New Roman" w:hAnsi="Times New Roman" w:cs="Times New Roman"/>
          <w:i/>
          <w:sz w:val="24"/>
          <w:szCs w:val="24"/>
        </w:rPr>
        <w:t>Allium</w:t>
      </w:r>
      <w:r w:rsidRPr="00720A38">
        <w:rPr>
          <w:rFonts w:ascii="Times New Roman" w:hAnsi="Times New Roman" w:cs="Times New Roman"/>
          <w:sz w:val="24"/>
          <w:szCs w:val="24"/>
        </w:rPr>
        <w:t xml:space="preserve"> is highly prevalent among monocotyledonous plants, comprising over 800 species </w:t>
      </w:r>
      <w:r w:rsidRPr="00451BE3">
        <w:rPr>
          <w:rFonts w:ascii="Times New Roman" w:hAnsi="Times New Roman" w:cs="Times New Roman"/>
          <w:sz w:val="24"/>
          <w:szCs w:val="24"/>
        </w:rPr>
        <w:t>(Fu et al., 2019; Huo et al., 2019).</w:t>
      </w:r>
      <w:r w:rsidRPr="00720A38">
        <w:rPr>
          <w:rFonts w:ascii="Times New Roman" w:hAnsi="Times New Roman" w:cs="Times New Roman"/>
          <w:sz w:val="24"/>
          <w:szCs w:val="24"/>
        </w:rPr>
        <w:t xml:space="preserve"> Of these, </w:t>
      </w:r>
      <w:r w:rsidRPr="00720A38">
        <w:rPr>
          <w:rFonts w:ascii="Times New Roman" w:hAnsi="Times New Roman" w:cs="Times New Roman"/>
          <w:i/>
          <w:sz w:val="24"/>
          <w:szCs w:val="24"/>
        </w:rPr>
        <w:t>Allium cepa</w:t>
      </w:r>
      <w:r w:rsidRPr="00720A38">
        <w:rPr>
          <w:rFonts w:ascii="Times New Roman" w:hAnsi="Times New Roman" w:cs="Times New Roman"/>
          <w:sz w:val="24"/>
          <w:szCs w:val="24"/>
        </w:rPr>
        <w:t xml:space="preserve"> L. is the most extensively grown and consumed </w:t>
      </w:r>
      <w:r w:rsidRPr="00451BE3">
        <w:rPr>
          <w:rFonts w:ascii="Times New Roman" w:hAnsi="Times New Roman" w:cs="Times New Roman"/>
          <w:sz w:val="24"/>
          <w:szCs w:val="24"/>
        </w:rPr>
        <w:t>(Kiani et al., 2023</w:t>
      </w:r>
      <w:r w:rsidR="00473C2D" w:rsidRPr="00451BE3">
        <w:rPr>
          <w:rFonts w:ascii="Times New Roman" w:hAnsi="Times New Roman" w:cs="Times New Roman"/>
          <w:sz w:val="24"/>
          <w:szCs w:val="24"/>
        </w:rPr>
        <w:t>;  Nissa et al., 2024</w:t>
      </w:r>
      <w:r w:rsidRPr="00451BE3">
        <w:rPr>
          <w:rFonts w:ascii="Times New Roman" w:hAnsi="Times New Roman" w:cs="Times New Roman"/>
          <w:sz w:val="24"/>
          <w:szCs w:val="24"/>
        </w:rPr>
        <w:t>).</w:t>
      </w:r>
      <w:r w:rsidRPr="00720A38">
        <w:rPr>
          <w:rFonts w:ascii="Times New Roman" w:hAnsi="Times New Roman" w:cs="Times New Roman"/>
          <w:sz w:val="24"/>
          <w:szCs w:val="24"/>
        </w:rPr>
        <w:t xml:space="preserve"> Globally, it ranks as the second most produced vegetable, following tomato </w:t>
      </w:r>
      <w:r w:rsidRPr="00451BE3">
        <w:rPr>
          <w:rFonts w:ascii="Times New Roman" w:hAnsi="Times New Roman" w:cs="Times New Roman"/>
          <w:sz w:val="24"/>
          <w:szCs w:val="24"/>
        </w:rPr>
        <w:t>(FAO, 2022).</w:t>
      </w:r>
      <w:r w:rsidR="00473C2D" w:rsidRPr="00720A38">
        <w:rPr>
          <w:rFonts w:ascii="Times New Roman" w:hAnsi="Times New Roman" w:cs="Times New Roman"/>
          <w:sz w:val="24"/>
          <w:szCs w:val="24"/>
        </w:rPr>
        <w:t xml:space="preserve">  Onion is a highly nutritious vegetable offering several health benefits, including better cardiovascular health, increased bone mineral density, and improved regulation of blood sugar levels (</w:t>
      </w:r>
      <w:r w:rsidR="00473C2D" w:rsidRPr="00451BE3">
        <w:rPr>
          <w:rFonts w:ascii="Times New Roman" w:hAnsi="Times New Roman" w:cs="Times New Roman"/>
          <w:sz w:val="24"/>
          <w:szCs w:val="24"/>
        </w:rPr>
        <w:t>Esakki et al., 2024)</w:t>
      </w:r>
      <w:r w:rsidR="00720A38" w:rsidRPr="00451BE3">
        <w:rPr>
          <w:rFonts w:ascii="Times New Roman" w:hAnsi="Times New Roman" w:cs="Times New Roman"/>
          <w:sz w:val="24"/>
          <w:szCs w:val="24"/>
        </w:rPr>
        <w:t xml:space="preserve"> .</w:t>
      </w:r>
      <w:r w:rsidR="00720A38" w:rsidRPr="00720A38">
        <w:rPr>
          <w:rFonts w:ascii="Times New Roman" w:hAnsi="Times New Roman" w:cs="Times New Roman"/>
          <w:sz w:val="24"/>
          <w:szCs w:val="24"/>
        </w:rPr>
        <w:t xml:space="preserve"> </w:t>
      </w:r>
      <w:r w:rsidR="00645BD1" w:rsidRPr="00720A38">
        <w:rPr>
          <w:rFonts w:ascii="Times New Roman" w:hAnsi="Times New Roman" w:cs="Times New Roman"/>
          <w:sz w:val="24"/>
          <w:szCs w:val="24"/>
        </w:rPr>
        <w:t>Onion is a major source of flavonoids, and regular intake of these compounds has been associated with a lower risk of diabetes, cancer, and cardiovascular diseases.</w:t>
      </w:r>
    </w:p>
    <w:p w14:paraId="6E172C66" w14:textId="77777777" w:rsidR="00720A38" w:rsidRPr="00451BE3" w:rsidRDefault="00451BE3" w:rsidP="0097021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India's o</w:t>
      </w:r>
      <w:r w:rsidR="00720A38" w:rsidRPr="00720A38">
        <w:rPr>
          <w:rFonts w:ascii="Times New Roman" w:hAnsi="Times New Roman" w:cs="Times New Roman"/>
          <w:sz w:val="24"/>
          <w:szCs w:val="24"/>
        </w:rPr>
        <w:t>nion productivity (16.32 t/ha) is considerably lower when compared to countries like the Republic of Korea (67.6</w:t>
      </w:r>
      <w:r w:rsidR="00B10625">
        <w:rPr>
          <w:rFonts w:ascii="Times New Roman" w:hAnsi="Times New Roman" w:cs="Times New Roman"/>
          <w:sz w:val="24"/>
          <w:szCs w:val="24"/>
        </w:rPr>
        <w:t xml:space="preserve">9 t/ha), Guyana (64.34 t/ha) </w:t>
      </w:r>
      <w:r w:rsidR="00720A38" w:rsidRPr="00720A38">
        <w:rPr>
          <w:rFonts w:ascii="Times New Roman" w:hAnsi="Times New Roman" w:cs="Times New Roman"/>
          <w:sz w:val="24"/>
          <w:szCs w:val="24"/>
        </w:rPr>
        <w:t xml:space="preserve">and the United States of America (56.70 t/ha) </w:t>
      </w:r>
      <w:r w:rsidR="00720A38" w:rsidRPr="00451BE3">
        <w:rPr>
          <w:rFonts w:ascii="Times New Roman" w:hAnsi="Times New Roman" w:cs="Times New Roman"/>
          <w:sz w:val="24"/>
          <w:szCs w:val="24"/>
        </w:rPr>
        <w:t>(FAO, 2022).</w:t>
      </w:r>
      <w:r w:rsidR="00720A38" w:rsidRPr="00720A38">
        <w:rPr>
          <w:rFonts w:ascii="Times New Roman" w:hAnsi="Times New Roman" w:cs="Times New Roman"/>
          <w:sz w:val="24"/>
          <w:szCs w:val="24"/>
        </w:rPr>
        <w:t xml:space="preserve"> 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w:t>
      </w:r>
      <w:r w:rsidR="00720A38" w:rsidRPr="00451BE3">
        <w:rPr>
          <w:rFonts w:ascii="Times New Roman" w:hAnsi="Times New Roman" w:cs="Times New Roman"/>
          <w:sz w:val="24"/>
          <w:szCs w:val="24"/>
        </w:rPr>
        <w:t xml:space="preserve">productivity (Yallamale and Tomar 2019). </w:t>
      </w:r>
    </w:p>
    <w:p w14:paraId="0A0F2FAE" w14:textId="77777777" w:rsidR="00DD321E" w:rsidRPr="00451BE3" w:rsidRDefault="00DD321E" w:rsidP="00970218">
      <w:pPr>
        <w:spacing w:line="240" w:lineRule="auto"/>
        <w:ind w:firstLine="720"/>
        <w:jc w:val="both"/>
        <w:rPr>
          <w:rFonts w:ascii="Times New Roman" w:hAnsi="Times New Roman" w:cs="Times New Roman"/>
          <w:sz w:val="24"/>
          <w:szCs w:val="24"/>
        </w:rPr>
      </w:pPr>
      <w:r w:rsidRPr="00DD321E">
        <w:rPr>
          <w:rFonts w:ascii="Times New Roman" w:hAnsi="Times New Roman" w:cs="Times New Roman"/>
          <w:sz w:val="24"/>
          <w:szCs w:val="24"/>
        </w:rPr>
        <w:t>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Achieving a good onion yield requires the application of optimal fertilizer levels, the use of suitable varieties, and the implementation of proper agronomic practices tailored to the specific environmental conditions.</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 xml:space="preserve">A highly effective way to boost </w:t>
      </w:r>
      <w:r w:rsidR="007E2E9A" w:rsidRPr="007E2E9A">
        <w:rPr>
          <w:rFonts w:ascii="Times New Roman" w:hAnsi="Times New Roman" w:cs="Times New Roman"/>
          <w:sz w:val="24"/>
          <w:szCs w:val="24"/>
        </w:rPr>
        <w:lastRenderedPageBreak/>
        <w:t xml:space="preserve">onion yields is through the careful and proper application of fertilizers, especially nitrogen. Notably, optimizing fertilizer use not only improves crop productivity but also enhances </w:t>
      </w:r>
      <w:r w:rsidR="007E2E9A">
        <w:rPr>
          <w:rFonts w:ascii="Times New Roman" w:hAnsi="Times New Roman" w:cs="Times New Roman"/>
          <w:sz w:val="24"/>
          <w:szCs w:val="24"/>
        </w:rPr>
        <w:t xml:space="preserve">the plant's nutritional quality </w:t>
      </w:r>
      <w:r w:rsidR="007E2E9A" w:rsidRPr="00451BE3">
        <w:rPr>
          <w:rFonts w:ascii="Times New Roman" w:hAnsi="Times New Roman" w:cs="Times New Roman"/>
          <w:sz w:val="24"/>
          <w:szCs w:val="24"/>
        </w:rPr>
        <w:t>(Ghosh et al. 2022).</w:t>
      </w:r>
    </w:p>
    <w:p w14:paraId="03A4EBF9" w14:textId="77777777" w:rsidR="007E2E9A" w:rsidRPr="007E2E9A" w:rsidRDefault="007E2E9A" w:rsidP="00970218">
      <w:pPr>
        <w:spacing w:line="240" w:lineRule="auto"/>
        <w:ind w:firstLine="720"/>
        <w:jc w:val="both"/>
        <w:rPr>
          <w:rFonts w:ascii="Times New Roman" w:hAnsi="Times New Roman" w:cs="Times New Roman"/>
          <w:sz w:val="24"/>
          <w:szCs w:val="24"/>
        </w:rPr>
      </w:pPr>
      <w:r w:rsidRPr="007E2E9A">
        <w:rPr>
          <w:rFonts w:ascii="Times New Roman" w:hAnsi="Times New Roman" w:cs="Times New Roman"/>
          <w:sz w:val="24"/>
          <w:szCs w:val="24"/>
        </w:rPr>
        <w:t>Various nitrogen fertilizers can be used to supply nitrogen to crops. With Nangal C</w:t>
      </w:r>
      <w:r w:rsidR="006C4CB0">
        <w:rPr>
          <w:rFonts w:ascii="Times New Roman" w:hAnsi="Times New Roman" w:cs="Times New Roman"/>
          <w:sz w:val="24"/>
          <w:szCs w:val="24"/>
        </w:rPr>
        <w:t>alcium ammonium nitrogen (CAN)</w:t>
      </w:r>
      <w:r w:rsidR="009E2936">
        <w:rPr>
          <w:rFonts w:ascii="Times New Roman" w:hAnsi="Times New Roman" w:cs="Times New Roman"/>
          <w:sz w:val="24"/>
          <w:szCs w:val="24"/>
        </w:rPr>
        <w:t xml:space="preserve"> </w:t>
      </w:r>
      <w:r w:rsidRPr="007E2E9A">
        <w:rPr>
          <w:rFonts w:ascii="Times New Roman" w:hAnsi="Times New Roman" w:cs="Times New Roman"/>
          <w:sz w:val="24"/>
          <w:szCs w:val="24"/>
        </w:rPr>
        <w:t xml:space="preserve"> no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w:t>
      </w:r>
      <w:r>
        <w:rPr>
          <w:rFonts w:ascii="Times New Roman" w:hAnsi="Times New Roman" w:cs="Times New Roman"/>
          <w:sz w:val="24"/>
          <w:szCs w:val="24"/>
        </w:rPr>
        <w:t xml:space="preserve">  Therefore the present research was conducted to standarizes the optium nitrogen source for onion and study its effect on growth, seed yield, seed quality parameters. </w:t>
      </w:r>
    </w:p>
    <w:p w14:paraId="68FD670D" w14:textId="77777777" w:rsidR="00801741" w:rsidRPr="00720A38" w:rsidRDefault="0023795C"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Materials and Methods</w:t>
      </w:r>
    </w:p>
    <w:p w14:paraId="5C675562" w14:textId="77777777" w:rsidR="003F1240" w:rsidRPr="00720A38" w:rsidRDefault="003F1240"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Experimental  Details</w:t>
      </w:r>
    </w:p>
    <w:p w14:paraId="03436D84" w14:textId="77777777" w:rsidR="00906CC9" w:rsidRPr="00720A38" w:rsidRDefault="006754FF"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current field and lab experiment was carried out at Dr. Yashwant Singh Parmar University of Horticulture and Forestry's Department of Seed Science and Technology in Nauni, Solan, India. The field experiment was carried out at Pandah Research Farm, which is located in the mid-hill region of Himachal Pradesh, India, at a height of 1250 feet above mean sea level, with latitudes of 35.50</w:t>
      </w:r>
      <w:r w:rsidRPr="00720A38">
        <w:rPr>
          <w:rFonts w:ascii="Times New Roman" w:hAnsi="Times New Roman" w:cs="Times New Roman"/>
          <w:sz w:val="24"/>
          <w:szCs w:val="24"/>
          <w:vertAlign w:val="superscript"/>
        </w:rPr>
        <w:t>o</w:t>
      </w:r>
      <w:r w:rsidRPr="00720A38">
        <w:rPr>
          <w:rFonts w:ascii="Times New Roman" w:hAnsi="Times New Roman" w:cs="Times New Roman"/>
          <w:sz w:val="24"/>
          <w:szCs w:val="24"/>
        </w:rPr>
        <w:t xml:space="preserve"> N and longitudes of 77.80</w:t>
      </w:r>
      <w:r w:rsidRPr="00720A38">
        <w:rPr>
          <w:rFonts w:ascii="Times New Roman" w:hAnsi="Times New Roman" w:cs="Times New Roman"/>
          <w:sz w:val="24"/>
          <w:szCs w:val="24"/>
          <w:vertAlign w:val="superscript"/>
        </w:rPr>
        <w:t>o</w:t>
      </w:r>
      <w:r w:rsidR="00C56A23" w:rsidRPr="00720A38">
        <w:rPr>
          <w:rFonts w:ascii="Times New Roman" w:hAnsi="Times New Roman" w:cs="Times New Roman"/>
          <w:sz w:val="24"/>
          <w:szCs w:val="24"/>
          <w:vertAlign w:val="superscript"/>
        </w:rPr>
        <w:t xml:space="preserve"> </w:t>
      </w:r>
      <w:r w:rsidR="00C56A23" w:rsidRPr="00720A38">
        <w:rPr>
          <w:rFonts w:ascii="Times New Roman" w:hAnsi="Times New Roman" w:cs="Times New Roman"/>
          <w:sz w:val="24"/>
          <w:szCs w:val="24"/>
        </w:rPr>
        <w:t>E</w:t>
      </w:r>
      <w:r w:rsidRPr="00720A38">
        <w:rPr>
          <w:rFonts w:ascii="Times New Roman" w:hAnsi="Times New Roman" w:cs="Times New Roman"/>
          <w:sz w:val="24"/>
          <w:szCs w:val="24"/>
        </w:rPr>
        <w:t>. The experimental farm's soil was a loam to clay loan with an electrical conductivity of 0.094 dSm-1 and a pH of 5.75.  Mean</w:t>
      </w:r>
      <w:r w:rsidR="008D1AC5" w:rsidRPr="00720A38">
        <w:rPr>
          <w:rFonts w:ascii="Times New Roman" w:hAnsi="Times New Roman" w:cs="Times New Roman"/>
          <w:sz w:val="24"/>
          <w:szCs w:val="24"/>
        </w:rPr>
        <w:t xml:space="preserve"> temperature, rainfall  and relative humidity recievied during cropping seasson were  26.15</w:t>
      </w:r>
      <w:r w:rsidR="008D1AC5" w:rsidRPr="00720A38">
        <w:rPr>
          <w:rFonts w:ascii="Times New Roman" w:hAnsi="Times New Roman" w:cs="Times New Roman"/>
          <w:sz w:val="24"/>
          <w:szCs w:val="24"/>
          <w:vertAlign w:val="superscript"/>
        </w:rPr>
        <w:t>0</w:t>
      </w:r>
      <w:r w:rsidR="00EE1C16">
        <w:rPr>
          <w:rFonts w:ascii="Times New Roman" w:hAnsi="Times New Roman" w:cs="Times New Roman"/>
          <w:sz w:val="24"/>
          <w:szCs w:val="24"/>
        </w:rPr>
        <w:t>C,</w:t>
      </w:r>
      <w:r w:rsidR="002E64BB" w:rsidRPr="00720A38">
        <w:rPr>
          <w:rFonts w:ascii="Times New Roman" w:hAnsi="Times New Roman" w:cs="Times New Roman"/>
          <w:sz w:val="24"/>
          <w:szCs w:val="24"/>
        </w:rPr>
        <w:t xml:space="preserve"> 58.95 mm and 53.12 (Fig 1)</w:t>
      </w:r>
    </w:p>
    <w:p w14:paraId="4CCD1D6B" w14:textId="77777777" w:rsidR="008D1AC5" w:rsidRPr="00720A38" w:rsidRDefault="008D1AC5" w:rsidP="004A7822">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 xml:space="preserve">Onion variety </w:t>
      </w:r>
      <w:r w:rsidRPr="00720A38">
        <w:rPr>
          <w:rFonts w:ascii="Times New Roman" w:hAnsi="Times New Roman" w:cs="Times New Roman"/>
          <w:i/>
          <w:sz w:val="24"/>
          <w:szCs w:val="24"/>
        </w:rPr>
        <w:t xml:space="preserve">Palam Lohit </w:t>
      </w:r>
      <w:r w:rsidRPr="00720A38">
        <w:rPr>
          <w:rFonts w:ascii="Times New Roman" w:hAnsi="Times New Roman" w:cs="Times New Roman"/>
          <w:sz w:val="24"/>
          <w:szCs w:val="24"/>
        </w:rPr>
        <w:t xml:space="preserve">was used in experiment.  Field experiment was  conducted </w:t>
      </w:r>
      <w:r w:rsidR="003F1240" w:rsidRPr="00720A38">
        <w:rPr>
          <w:rFonts w:ascii="Times New Roman" w:hAnsi="Times New Roman" w:cs="Times New Roman"/>
          <w:sz w:val="24"/>
          <w:szCs w:val="24"/>
        </w:rPr>
        <w:t xml:space="preserve">during Rabi 2020-21 seasin </w:t>
      </w:r>
      <w:r w:rsidRPr="00720A38">
        <w:rPr>
          <w:rFonts w:ascii="Times New Roman" w:hAnsi="Times New Roman" w:cs="Times New Roman"/>
          <w:sz w:val="24"/>
          <w:szCs w:val="24"/>
        </w:rPr>
        <w:t xml:space="preserve">with 9 treatments with 3 replications  and design of experiment was randomized completely block design. Plot size was 2.1 × 1.65 m  with spacing of 45 × 45 cm and number of plants per plot was 20 and total number of plots were 27. Treatment used in experiments were Trt 1-  100%N, Trt2- 100%N through urea, Trt3- 100%N through calcium nitrate, Trt4-  75% N through CAN + 25% N through urea, Trt5 - 75% N through CAN + 25% N through calcium nitrate, Trt6- </w:t>
      </w:r>
      <w:r w:rsidRPr="00720A38">
        <w:rPr>
          <w:rFonts w:ascii="Times New Roman" w:hAnsi="Times New Roman" w:cs="Times New Roman"/>
          <w:sz w:val="24"/>
          <w:szCs w:val="24"/>
          <w:shd w:val="clear" w:color="auto" w:fill="FFFFFF"/>
        </w:rPr>
        <w:t xml:space="preserve">50 % N through CAN + 25 % N through urea + 25 % N through calcium nitrate, Trt7- 50 % N through CAN + 50 % N through urea, Trt8- 50 % N through CAN + 50 % N through calcium nitrate and Trt9- control. </w:t>
      </w:r>
    </w:p>
    <w:p w14:paraId="73EE821D" w14:textId="77777777" w:rsidR="003F1240" w:rsidRPr="00720A38" w:rsidRDefault="00970218" w:rsidP="00970218">
      <w:pPr>
        <w:spacing w:line="240" w:lineRule="auto"/>
        <w:rPr>
          <w:rFonts w:ascii="Times New Roman" w:hAnsi="Times New Roman" w:cs="Times New Roman"/>
          <w:b/>
          <w:sz w:val="24"/>
          <w:szCs w:val="24"/>
        </w:rPr>
      </w:pPr>
      <w:r>
        <w:rPr>
          <w:rFonts w:ascii="Times New Roman" w:hAnsi="Times New Roman" w:cs="Times New Roman"/>
          <w:b/>
          <w:sz w:val="24"/>
          <w:szCs w:val="24"/>
        </w:rPr>
        <w:t>Sowing, cultural operations and h</w:t>
      </w:r>
      <w:r w:rsidR="003F1240" w:rsidRPr="00720A38">
        <w:rPr>
          <w:rFonts w:ascii="Times New Roman" w:hAnsi="Times New Roman" w:cs="Times New Roman"/>
          <w:b/>
          <w:sz w:val="24"/>
          <w:szCs w:val="24"/>
        </w:rPr>
        <w:t>arvesting</w:t>
      </w:r>
    </w:p>
    <w:p w14:paraId="20028720" w14:textId="77777777" w:rsidR="008B1A69" w:rsidRPr="00720A38" w:rsidRDefault="003F1240"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soil was prepared into a fine tilth by performing one deep ploughing, followed by three successive harrowings. All residues from the previous crop and any weeds were cleared from the experimental plot. Finally, the land surface was evened out using a plank.</w:t>
      </w:r>
      <w:r w:rsidR="00DB7F35" w:rsidRPr="00720A38">
        <w:rPr>
          <w:rFonts w:ascii="Times New Roman" w:hAnsi="Times New Roman" w:cs="Times New Roman"/>
          <w:sz w:val="24"/>
          <w:szCs w:val="24"/>
        </w:rPr>
        <w:t xml:space="preserve">  Medium-sized bulbs (approximately 2.5 cm in diameter) of the P</w:t>
      </w:r>
      <w:r w:rsidR="00970218">
        <w:rPr>
          <w:rFonts w:ascii="Times New Roman" w:hAnsi="Times New Roman" w:cs="Times New Roman"/>
          <w:sz w:val="24"/>
          <w:szCs w:val="24"/>
        </w:rPr>
        <w:t xml:space="preserve">alam Lohit onion variety - </w:t>
      </w:r>
      <w:r w:rsidR="00DB7F35" w:rsidRPr="00720A38">
        <w:rPr>
          <w:rFonts w:ascii="Times New Roman" w:hAnsi="Times New Roman" w:cs="Times New Roman"/>
          <w:sz w:val="24"/>
          <w:szCs w:val="24"/>
        </w:rPr>
        <w:t>harvested the previous year and stored in the Department</w:t>
      </w:r>
      <w:r w:rsidR="00970218">
        <w:rPr>
          <w:rFonts w:ascii="Times New Roman" w:hAnsi="Times New Roman" w:cs="Times New Roman"/>
          <w:sz w:val="24"/>
          <w:szCs w:val="24"/>
        </w:rPr>
        <w:t xml:space="preserve"> of Seed Science and Technology - </w:t>
      </w:r>
      <w:r w:rsidR="00DB7F35" w:rsidRPr="00720A38">
        <w:rPr>
          <w:rFonts w:ascii="Times New Roman" w:hAnsi="Times New Roman" w:cs="Times New Roman"/>
          <w:sz w:val="24"/>
          <w:szCs w:val="24"/>
        </w:rPr>
        <w:t>served as planting material. On 28 October 2020, they were manually planted at 45 cm × 45 cm spacing. Immediately after planting, irrigation was applied.</w:t>
      </w:r>
      <w:r w:rsidR="005B0727" w:rsidRPr="00720A38">
        <w:rPr>
          <w:rFonts w:ascii="Times New Roman" w:hAnsi="Times New Roman" w:cs="Times New Roman"/>
          <w:sz w:val="24"/>
          <w:szCs w:val="24"/>
        </w:rPr>
        <w:t xml:space="preserve">  Farmyard manure was applied at a full rate of 250 q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along with 475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of superphosphate and 100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 xml:space="preserve">¹ of muriate of potash, all incorporated at the time of bulb planting. Nitrogen fertilizer was then added according to the treatment plan, divided into three separate applications throughout the growth period. </w:t>
      </w:r>
    </w:p>
    <w:p w14:paraId="1C06A261" w14:textId="77777777" w:rsidR="003F1240" w:rsidRDefault="005B0727"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lastRenderedPageBreak/>
        <w:t>The experimental plots were inspected regularly in the early mornings to monitor onion growth, development, and identify any emerging issues. Throughout the entire cultivation period, four manual weedings were performed, followed by earthing up. Irrigation was applied to the plots whenever needed. Standard agronomic practices were employed consistently to ensure a healthy and well-established seed crop.</w:t>
      </w:r>
      <w:r w:rsidR="00604ED3" w:rsidRPr="00720A38">
        <w:rPr>
          <w:rStyle w:val="PlaceholderText"/>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Once the seed capsules turned black and about 25–30% of the black seeds were visible on the umbels, each umbel was carefully cut with a 5–7 cm section of flower stalk attached. Harvesting was done in stages, and the umbels were air-dried in the sun. The seeds were then released by gently beating and rubbing the umbels by hand. Following threshing, the seeds were cleaned and sun-dried for three to four days until moisture content dropped below 8</w:t>
      </w:r>
      <w:r w:rsidR="00970218">
        <w:rPr>
          <w:rStyle w:val="relative"/>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w:t>
      </w:r>
      <w:r w:rsidR="00970218">
        <w:rPr>
          <w:rStyle w:val="relative"/>
          <w:rFonts w:ascii="Times New Roman" w:hAnsi="Times New Roman" w:cs="Times New Roman"/>
          <w:sz w:val="24"/>
          <w:szCs w:val="24"/>
        </w:rPr>
        <w:t>.</w:t>
      </w:r>
    </w:p>
    <w:p w14:paraId="45902F37"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477031DD"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3635BFCE" w14:textId="77777777" w:rsidR="00EE1C16" w:rsidRDefault="00EE1C16" w:rsidP="00970218">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lang w:val="en-US"/>
        </w:rPr>
        <w:drawing>
          <wp:inline distT="0" distB="0" distL="0" distR="0" wp14:anchorId="21DDD91B" wp14:editId="56DEA97D">
            <wp:extent cx="4933950" cy="2737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5928" cy="2739012"/>
                    </a:xfrm>
                    <a:prstGeom prst="rect">
                      <a:avLst/>
                    </a:prstGeom>
                    <a:noFill/>
                  </pic:spPr>
                </pic:pic>
              </a:graphicData>
            </a:graphic>
          </wp:inline>
        </w:drawing>
      </w:r>
    </w:p>
    <w:p w14:paraId="470C177B" w14:textId="77777777" w:rsidR="00EE1C16" w:rsidRPr="00EE1C16" w:rsidRDefault="00EE1C16" w:rsidP="00EE1C16">
      <w:pPr>
        <w:spacing w:before="480" w:after="240" w:line="240" w:lineRule="auto"/>
        <w:jc w:val="center"/>
        <w:rPr>
          <w:rFonts w:ascii="Times New Roman" w:hAnsi="Times New Roman"/>
          <w:b/>
          <w:sz w:val="24"/>
          <w:szCs w:val="24"/>
        </w:rPr>
      </w:pPr>
      <w:r w:rsidRPr="00EE1C16">
        <w:rPr>
          <w:rStyle w:val="relative"/>
          <w:rFonts w:ascii="Times New Roman" w:hAnsi="Times New Roman" w:cs="Times New Roman"/>
          <w:b/>
          <w:sz w:val="24"/>
          <w:szCs w:val="24"/>
        </w:rPr>
        <w:t xml:space="preserve">Figure 1: </w:t>
      </w:r>
      <w:r w:rsidRPr="00EE1C16">
        <w:rPr>
          <w:rFonts w:ascii="Times New Roman" w:hAnsi="Times New Roman"/>
          <w:b/>
          <w:sz w:val="24"/>
          <w:szCs w:val="24"/>
        </w:rPr>
        <w:t>Mean monthly meteorological data for the year 2020-2021</w:t>
      </w:r>
    </w:p>
    <w:p w14:paraId="35ED94C3" w14:textId="77777777" w:rsidR="00EE1C16" w:rsidRPr="00720A38" w:rsidRDefault="00EE1C16" w:rsidP="00970218">
      <w:pPr>
        <w:spacing w:line="240" w:lineRule="auto"/>
        <w:ind w:firstLine="720"/>
        <w:jc w:val="both"/>
        <w:rPr>
          <w:rStyle w:val="relative"/>
          <w:rFonts w:ascii="Times New Roman" w:hAnsi="Times New Roman" w:cs="Times New Roman"/>
          <w:sz w:val="24"/>
          <w:szCs w:val="24"/>
        </w:rPr>
      </w:pPr>
    </w:p>
    <w:p w14:paraId="7670D6D3" w14:textId="77777777" w:rsidR="0089559F" w:rsidRPr="00720A38" w:rsidRDefault="0089559F" w:rsidP="00970218">
      <w:pPr>
        <w:spacing w:line="240" w:lineRule="auto"/>
        <w:rPr>
          <w:rStyle w:val="relative"/>
          <w:rFonts w:ascii="Times New Roman" w:hAnsi="Times New Roman" w:cs="Times New Roman"/>
          <w:b/>
          <w:sz w:val="24"/>
          <w:szCs w:val="24"/>
        </w:rPr>
      </w:pPr>
      <w:r w:rsidRPr="00720A38">
        <w:rPr>
          <w:rStyle w:val="relative"/>
          <w:rFonts w:ascii="Times New Roman" w:hAnsi="Times New Roman" w:cs="Times New Roman"/>
          <w:b/>
          <w:sz w:val="24"/>
          <w:szCs w:val="24"/>
        </w:rPr>
        <w:t>Parameters recorded</w:t>
      </w:r>
    </w:p>
    <w:p w14:paraId="61EE629F" w14:textId="586D1B42" w:rsidR="0089559F" w:rsidRPr="00720A38" w:rsidRDefault="005040B8"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Field parameters, seed quality and soil parameters were recorded during the experiment. Field parameters included number of leaves per plant, leaf length (cm), days to 50%</w:t>
      </w:r>
      <w:r w:rsidR="00970218">
        <w:rPr>
          <w:rStyle w:val="relative"/>
          <w:rFonts w:ascii="Times New Roman" w:hAnsi="Times New Roman" w:cs="Times New Roman"/>
          <w:sz w:val="24"/>
          <w:szCs w:val="24"/>
        </w:rPr>
        <w:t xml:space="preserve"> </w:t>
      </w:r>
      <w:r w:rsidRPr="00720A38">
        <w:rPr>
          <w:rStyle w:val="relative"/>
          <w:rFonts w:ascii="Times New Roman" w:hAnsi="Times New Roman" w:cs="Times New Roman"/>
          <w:sz w:val="24"/>
          <w:szCs w:val="24"/>
        </w:rPr>
        <w:t xml:space="preserve">bolting,  number of bolters per plant, umbel diameter(mm), number of umbels per plant, </w:t>
      </w:r>
      <w:r w:rsidR="009241D5" w:rsidRPr="009241D5">
        <w:rPr>
          <w:rStyle w:val="relative"/>
          <w:rFonts w:ascii="Times New Roman" w:hAnsi="Times New Roman" w:cs="Times New Roman"/>
          <w:color w:val="FF0000"/>
          <w:sz w:val="24"/>
          <w:szCs w:val="24"/>
        </w:rPr>
        <w:t>number of umbellets/umbel, 1000 seed weight</w:t>
      </w:r>
      <w:r w:rsidR="009241D5">
        <w:rPr>
          <w:rStyle w:val="relative"/>
          <w:rFonts w:ascii="Times New Roman" w:hAnsi="Times New Roman" w:cs="Times New Roman"/>
          <w:color w:val="FF0000"/>
          <w:sz w:val="24"/>
          <w:szCs w:val="24"/>
        </w:rPr>
        <w:t xml:space="preserve"> (added if possible</w:t>
      </w:r>
      <w:r w:rsidR="009241D5" w:rsidRPr="009241D5">
        <w:rPr>
          <w:rStyle w:val="relative"/>
          <w:rFonts w:ascii="Times New Roman" w:hAnsi="Times New Roman" w:cs="Times New Roman"/>
          <w:color w:val="FF0000"/>
          <w:sz w:val="24"/>
          <w:szCs w:val="24"/>
        </w:rPr>
        <w:t>,</w:t>
      </w:r>
      <w:r w:rsidR="009241D5">
        <w:rPr>
          <w:rStyle w:val="relative"/>
          <w:rFonts w:ascii="Times New Roman" w:hAnsi="Times New Roman" w:cs="Times New Roman"/>
          <w:color w:val="FF0000"/>
          <w:sz w:val="24"/>
          <w:szCs w:val="24"/>
        </w:rPr>
        <w:t>)</w:t>
      </w:r>
      <w:bookmarkStart w:id="0" w:name="_GoBack"/>
      <w:bookmarkEnd w:id="0"/>
      <w:r w:rsidR="009241D5">
        <w:rPr>
          <w:rStyle w:val="relative"/>
          <w:rFonts w:ascii="Times New Roman" w:hAnsi="Times New Roman" w:cs="Times New Roman"/>
          <w:sz w:val="24"/>
          <w:szCs w:val="24"/>
        </w:rPr>
        <w:t xml:space="preserve"> </w:t>
      </w:r>
      <w:r w:rsidRPr="00720A38">
        <w:rPr>
          <w:rStyle w:val="relative"/>
          <w:rFonts w:ascii="Times New Roman" w:hAnsi="Times New Roman" w:cs="Times New Roman"/>
          <w:sz w:val="24"/>
          <w:szCs w:val="24"/>
        </w:rPr>
        <w:t>number of seeds per umbel, seed yield/plot/ha(kg/ha) were recorded at their respective stages.</w:t>
      </w:r>
    </w:p>
    <w:p w14:paraId="114A6547" w14:textId="77777777" w:rsidR="005040B8" w:rsidRPr="00720A38" w:rsidRDefault="005040B8"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Ten plants were sel</w:t>
      </w:r>
      <w:r w:rsidR="00970218">
        <w:rPr>
          <w:rFonts w:ascii="Times New Roman" w:hAnsi="Times New Roman" w:cs="Times New Roman"/>
          <w:sz w:val="24"/>
          <w:szCs w:val="24"/>
        </w:rPr>
        <w:t xml:space="preserve">ected at random, and at 30, 60 </w:t>
      </w:r>
      <w:r w:rsidRPr="00720A38">
        <w:rPr>
          <w:rFonts w:ascii="Times New Roman" w:hAnsi="Times New Roman" w:cs="Times New Roman"/>
          <w:sz w:val="24"/>
          <w:szCs w:val="24"/>
        </w:rPr>
        <w:t xml:space="preserve">and 90 days after bulb planting, the total number of leaves </w:t>
      </w:r>
      <w:r w:rsidR="00F24F45" w:rsidRPr="00720A38">
        <w:rPr>
          <w:rFonts w:ascii="Times New Roman" w:hAnsi="Times New Roman" w:cs="Times New Roman"/>
          <w:sz w:val="24"/>
          <w:szCs w:val="24"/>
        </w:rPr>
        <w:t xml:space="preserve"> and leaf length  from bulb neck to longest leaf </w:t>
      </w:r>
      <w:r w:rsidRPr="00720A38">
        <w:rPr>
          <w:rFonts w:ascii="Times New Roman" w:hAnsi="Times New Roman" w:cs="Times New Roman"/>
          <w:sz w:val="24"/>
          <w:szCs w:val="24"/>
        </w:rPr>
        <w:t xml:space="preserve">on each plant was recorded. The average leaf count </w:t>
      </w:r>
      <w:r w:rsidR="00F24F45" w:rsidRPr="00720A38">
        <w:rPr>
          <w:rFonts w:ascii="Times New Roman" w:hAnsi="Times New Roman" w:cs="Times New Roman"/>
          <w:sz w:val="24"/>
          <w:szCs w:val="24"/>
        </w:rPr>
        <w:t xml:space="preserve"> and lef length </w:t>
      </w:r>
      <w:r w:rsidRPr="00720A38">
        <w:rPr>
          <w:rFonts w:ascii="Times New Roman" w:hAnsi="Times New Roman" w:cs="Times New Roman"/>
          <w:sz w:val="24"/>
          <w:szCs w:val="24"/>
        </w:rPr>
        <w:t xml:space="preserve">across these ten plants was then calculated for each of the three sampling dates. </w:t>
      </w:r>
      <w:r w:rsidR="00F4113A" w:rsidRPr="00720A38">
        <w:rPr>
          <w:rFonts w:ascii="Times New Roman" w:hAnsi="Times New Roman" w:cs="Times New Roman"/>
          <w:sz w:val="24"/>
          <w:szCs w:val="24"/>
        </w:rPr>
        <w:t>The number of days from planting until 50 % of the flower stalks had emerged was recorded for each replicate within each treatment group.</w:t>
      </w:r>
      <w:r w:rsidR="00F4113A" w:rsidRPr="00720A38">
        <w:rPr>
          <w:rFonts w:ascii="Times New Roman" w:hAnsi="Times New Roman" w:cs="Times New Roman"/>
          <w:sz w:val="24"/>
          <w:szCs w:val="24"/>
          <w:shd w:val="clear" w:color="auto" w:fill="FFFFFF"/>
        </w:rPr>
        <w:t xml:space="preserve"> The number of bolters per plant was counted from the 10 randomly selected plants in each replication. Mean number per plant was then workout. The  size  of  umbel  was  </w:t>
      </w:r>
      <w:r w:rsidR="00BA3AB4" w:rsidRPr="00720A38">
        <w:rPr>
          <w:rFonts w:ascii="Times New Roman" w:hAnsi="Times New Roman" w:cs="Times New Roman"/>
          <w:sz w:val="24"/>
          <w:szCs w:val="24"/>
          <w:shd w:val="clear" w:color="auto" w:fill="FFFFFF"/>
        </w:rPr>
        <w:t xml:space="preserve">measured  with  the  help  of  </w:t>
      </w:r>
      <w:r w:rsidR="00BA3AB4" w:rsidRPr="00720A38">
        <w:rPr>
          <w:rFonts w:ascii="Times New Roman" w:hAnsi="Times New Roman" w:cs="Times New Roman"/>
          <w:sz w:val="24"/>
          <w:szCs w:val="24"/>
          <w:shd w:val="clear" w:color="auto" w:fill="FFFFFF"/>
        </w:rPr>
        <w:lastRenderedPageBreak/>
        <w:t>v</w:t>
      </w:r>
      <w:r w:rsidR="00F4113A" w:rsidRPr="00720A38">
        <w:rPr>
          <w:rFonts w:ascii="Times New Roman" w:hAnsi="Times New Roman" w:cs="Times New Roman"/>
          <w:sz w:val="24"/>
          <w:szCs w:val="24"/>
          <w:shd w:val="clear" w:color="auto" w:fill="FFFFFF"/>
        </w:rPr>
        <w:t xml:space="preserve">ernier  Calipers  from  the  25 randomly selected umbels in each replication at the time of harvesting. </w:t>
      </w:r>
      <w:r w:rsidR="00F4113A" w:rsidRPr="00720A38">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for calculating seed yield/ha - </w:t>
      </w:r>
    </w:p>
    <w:p w14:paraId="6E1BFD67" w14:textId="77777777" w:rsidR="00F4113A" w:rsidRPr="00720A38" w:rsidRDefault="00F4113A" w:rsidP="00970218">
      <w:pPr>
        <w:tabs>
          <w:tab w:val="left" w:pos="6975"/>
        </w:tabs>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Seed yield per ha (kg) =  </w:t>
      </w:r>
      <w:r w:rsidRPr="00720A38">
        <w:rPr>
          <w:rFonts w:ascii="Times New Roman" w:hAnsi="Times New Roman" w:cs="Times New Roman"/>
          <w:sz w:val="24"/>
          <w:szCs w:val="24"/>
          <w:u w:val="single"/>
          <w:shd w:val="clear" w:color="auto" w:fill="FFFFFF"/>
        </w:rPr>
        <w:t>Seed yield plot</w:t>
      </w:r>
      <w:r w:rsidRPr="00720A38">
        <w:rPr>
          <w:rFonts w:ascii="Times New Roman" w:hAnsi="Times New Roman" w:cs="Times New Roman"/>
          <w:sz w:val="24"/>
          <w:szCs w:val="24"/>
          <w:u w:val="single"/>
          <w:shd w:val="clear" w:color="auto" w:fill="FFFFFF"/>
          <w:vertAlign w:val="superscript"/>
        </w:rPr>
        <w:t>-1</w:t>
      </w:r>
      <w:r w:rsidRPr="00720A38">
        <w:rPr>
          <w:rFonts w:ascii="Times New Roman" w:hAnsi="Times New Roman" w:cs="Times New Roman"/>
          <w:sz w:val="24"/>
          <w:szCs w:val="24"/>
          <w:u w:val="single"/>
          <w:shd w:val="clear" w:color="auto" w:fill="FFFFFF"/>
        </w:rPr>
        <w:t xml:space="preserve"> (g) x 8000 </w:t>
      </w:r>
      <w:r w:rsidRPr="00720A38">
        <w:rPr>
          <w:rFonts w:ascii="Times New Roman" w:hAnsi="Times New Roman" w:cs="Times New Roman"/>
          <w:sz w:val="24"/>
          <w:szCs w:val="24"/>
          <w:shd w:val="clear" w:color="auto" w:fill="FFFFFF"/>
        </w:rPr>
        <w:t xml:space="preserve">         </w:t>
      </w:r>
      <w:r w:rsidR="000B48D1" w:rsidRPr="00720A38">
        <w:rPr>
          <w:rFonts w:ascii="Times New Roman" w:hAnsi="Times New Roman" w:cs="Times New Roman"/>
          <w:sz w:val="24"/>
          <w:szCs w:val="24"/>
          <w:shd w:val="clear" w:color="auto" w:fill="FFFFFF"/>
        </w:rPr>
        <w:tab/>
      </w:r>
    </w:p>
    <w:p w14:paraId="42D5437E" w14:textId="77777777" w:rsidR="00F4113A" w:rsidRPr="00720A38" w:rsidRDefault="00F4113A"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Size of plot (m2) × 1000</w:t>
      </w:r>
    </w:p>
    <w:p w14:paraId="0A8B01FB" w14:textId="77777777" w:rsidR="000B48D1" w:rsidRPr="00720A38" w:rsidRDefault="000B48D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11D7BF6C" w14:textId="77777777" w:rsidR="00873591" w:rsidRPr="00720A38" w:rsidRDefault="00873591" w:rsidP="00970218">
      <w:pPr>
        <w:spacing w:line="240" w:lineRule="auto"/>
        <w:jc w:val="both"/>
        <w:rPr>
          <w:rFonts w:ascii="Times New Roman" w:hAnsi="Times New Roman" w:cs="Times New Roman"/>
          <w:sz w:val="24"/>
          <w:szCs w:val="24"/>
        </w:rPr>
      </w:pPr>
      <w:r w:rsidRPr="00720A38">
        <w:rPr>
          <w:rFonts w:ascii="Times New Roman" w:hAnsi="Times New Roman" w:cs="Times New Roman"/>
          <w:sz w:val="24"/>
          <w:szCs w:val="24"/>
        </w:rPr>
        <w:t xml:space="preserve">Seed quality parameters such as 1000 seed weight, germination (%),  seedling length (cm), &amp; dry weight (g), seed vigour index-I &amp; II, speed of germination were also observed. </w:t>
      </w:r>
      <w:r w:rsidR="00970218">
        <w:rPr>
          <w:rFonts w:ascii="Times New Roman" w:hAnsi="Times New Roman" w:cs="Times New Roman"/>
          <w:sz w:val="24"/>
          <w:szCs w:val="24"/>
        </w:rPr>
        <w:t xml:space="preserve"> </w:t>
      </w:r>
      <w:r w:rsidRPr="00720A38">
        <w:rPr>
          <w:rFonts w:ascii="Times New Roman" w:hAnsi="Times New Roman" w:cs="Times New Roman"/>
          <w:sz w:val="24"/>
          <w:szCs w:val="24"/>
        </w:rPr>
        <w:t xml:space="preserve">For 1000 seed weight a random sample of 1,000 dried seeds was taken from each replication within each treatment. These seeds were weighed using an electronic balance, and the weight was recorded in gram. Germination (%) was recored by using method of ISTA (1985). Formula used were: </w:t>
      </w:r>
    </w:p>
    <w:p w14:paraId="1CD73F6B" w14:textId="77777777" w:rsidR="000745B6"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Germination (%) =         </w:t>
      </w:r>
      <w:r w:rsidRPr="00720A38">
        <w:rPr>
          <w:rFonts w:ascii="Times New Roman" w:hAnsi="Times New Roman" w:cs="Times New Roman"/>
          <w:sz w:val="24"/>
          <w:szCs w:val="24"/>
          <w:u w:val="single"/>
          <w:shd w:val="clear" w:color="auto" w:fill="FFFFFF"/>
        </w:rPr>
        <w:t>Number of normal seedlings</w:t>
      </w:r>
      <w:r w:rsidRPr="00720A38">
        <w:rPr>
          <w:rFonts w:ascii="Times New Roman" w:hAnsi="Times New Roman" w:cs="Times New Roman"/>
          <w:sz w:val="24"/>
          <w:szCs w:val="24"/>
          <w:shd w:val="clear" w:color="auto" w:fill="FFFFFF"/>
        </w:rPr>
        <w:t xml:space="preserve">   × 100   </w:t>
      </w:r>
    </w:p>
    <w:p w14:paraId="08A8B3A8" w14:textId="77777777" w:rsidR="00873591"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0745B6" w:rsidRPr="00720A38">
        <w:rPr>
          <w:rFonts w:ascii="Times New Roman" w:hAnsi="Times New Roman" w:cs="Times New Roman"/>
          <w:sz w:val="24"/>
          <w:szCs w:val="24"/>
          <w:shd w:val="clear" w:color="auto" w:fill="FFFFFF"/>
        </w:rPr>
        <w:t xml:space="preserve">       Total number of seeds planted </w:t>
      </w:r>
    </w:p>
    <w:p w14:paraId="4B00E7F5" w14:textId="77777777" w:rsidR="00873591" w:rsidRPr="00720A38" w:rsidRDefault="005B7414"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Twelve days after the onset of germination, seedling length was measured using th</w:t>
      </w:r>
      <w:r w:rsidR="00F21B2A" w:rsidRPr="00720A38">
        <w:rPr>
          <w:rFonts w:ascii="Times New Roman" w:hAnsi="Times New Roman" w:cs="Times New Roman"/>
          <w:sz w:val="24"/>
          <w:szCs w:val="24"/>
        </w:rPr>
        <w:t xml:space="preserve">e paper roll </w:t>
      </w:r>
      <w:r w:rsidRPr="00720A38">
        <w:rPr>
          <w:rFonts w:ascii="Times New Roman" w:hAnsi="Times New Roman" w:cs="Times New Roman"/>
          <w:sz w:val="24"/>
          <w:szCs w:val="24"/>
        </w:rPr>
        <w:t>method. Ten healthy seedlin</w:t>
      </w:r>
      <w:r w:rsidR="005072D3" w:rsidRPr="00720A38">
        <w:rPr>
          <w:rFonts w:ascii="Times New Roman" w:hAnsi="Times New Roman" w:cs="Times New Roman"/>
          <w:sz w:val="24"/>
          <w:szCs w:val="24"/>
        </w:rPr>
        <w:t>gs were randomly selected from e</w:t>
      </w:r>
      <w:r w:rsidRPr="00720A38">
        <w:rPr>
          <w:rFonts w:ascii="Times New Roman" w:hAnsi="Times New Roman" w:cs="Times New Roman"/>
          <w:sz w:val="24"/>
          <w:szCs w:val="24"/>
        </w:rPr>
        <w:t>ach replication, a</w:t>
      </w:r>
      <w:r w:rsidR="00334787" w:rsidRPr="00720A38">
        <w:rPr>
          <w:rFonts w:ascii="Times New Roman" w:hAnsi="Times New Roman" w:cs="Times New Roman"/>
          <w:sz w:val="24"/>
          <w:szCs w:val="24"/>
        </w:rPr>
        <w:t xml:space="preserve">nd each seedling’s total length </w:t>
      </w:r>
      <w:r w:rsidRPr="00720A38">
        <w:rPr>
          <w:rFonts w:ascii="Times New Roman" w:hAnsi="Times New Roman" w:cs="Times New Roman"/>
          <w:sz w:val="24"/>
          <w:szCs w:val="24"/>
        </w:rPr>
        <w:t>from the tip of the primary leaf</w:t>
      </w:r>
      <w:r w:rsidR="00334787" w:rsidRPr="00720A38">
        <w:rPr>
          <w:rFonts w:ascii="Times New Roman" w:hAnsi="Times New Roman" w:cs="Times New Roman"/>
          <w:sz w:val="24"/>
          <w:szCs w:val="24"/>
        </w:rPr>
        <w:t xml:space="preserve"> to the tip of the primary root </w:t>
      </w:r>
      <w:r w:rsidRPr="00720A38">
        <w:rPr>
          <w:rFonts w:ascii="Times New Roman" w:hAnsi="Times New Roman" w:cs="Times New Roman"/>
          <w:sz w:val="24"/>
          <w:szCs w:val="24"/>
        </w:rPr>
        <w:t>was measured with a scale. The mean length was then calculated and expressed in centimeters</w:t>
      </w:r>
      <w:r w:rsidR="002B5BCE" w:rsidRPr="00720A38">
        <w:rPr>
          <w:rFonts w:ascii="Times New Roman" w:hAnsi="Times New Roman" w:cs="Times New Roman"/>
          <w:sz w:val="24"/>
          <w:szCs w:val="24"/>
        </w:rPr>
        <w:t xml:space="preserve"> and for seedling dry weight </w:t>
      </w:r>
      <w:r w:rsidR="002B5BCE" w:rsidRPr="00720A38">
        <w:rPr>
          <w:rStyle w:val="relative"/>
          <w:rFonts w:ascii="Times New Roman" w:hAnsi="Times New Roman" w:cs="Times New Roman"/>
          <w:sz w:val="24"/>
          <w:szCs w:val="24"/>
        </w:rPr>
        <w:t xml:space="preserve">10 of the seedlings previously selected for measuring length were also used.  These seedlings were dried in a hot-air oven at 80 °C for 48 hours, weighed on an electronic balance, and the mean dry weight was expressed in milligrams. </w:t>
      </w:r>
      <w:r w:rsidR="005072D3" w:rsidRPr="00720A38">
        <w:rPr>
          <w:rStyle w:val="relative"/>
          <w:rFonts w:ascii="Times New Roman" w:hAnsi="Times New Roman" w:cs="Times New Roman"/>
          <w:sz w:val="24"/>
          <w:szCs w:val="24"/>
        </w:rPr>
        <w:t>Seed vigour index- I and II were caluclted using the formula given byAbudul Baki and Anderson (1973):</w:t>
      </w:r>
    </w:p>
    <w:p w14:paraId="7CCF771E"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 I = Germination (%) × seedling length (cm)</w:t>
      </w:r>
    </w:p>
    <w:p w14:paraId="3E19C74A"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index-II =  Germination (%)×  seedling dry weight(mg)</w:t>
      </w:r>
    </w:p>
    <w:p w14:paraId="7DFF326D" w14:textId="77777777" w:rsidR="005072D3" w:rsidRPr="00720A38" w:rsidRDefault="000745B6"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Speed of germination was calculated using formula given by Maguire (1962):</w:t>
      </w:r>
    </w:p>
    <w:p w14:paraId="423E89EA" w14:textId="77777777" w:rsidR="000745B6" w:rsidRPr="00720A38" w:rsidRDefault="000745B6" w:rsidP="00970218">
      <w:pPr>
        <w:spacing w:line="240" w:lineRule="auto"/>
        <w:ind w:firstLine="720"/>
        <w:jc w:val="both"/>
        <w:rPr>
          <w:rFonts w:ascii="Times New Roman" w:eastAsiaTheme="minorEastAsia" w:hAnsi="Times New Roman" w:cs="Times New Roman"/>
          <w:sz w:val="24"/>
          <w:szCs w:val="24"/>
        </w:rPr>
      </w:pPr>
      <w:r w:rsidRPr="00720A38">
        <w:rPr>
          <w:rFonts w:ascii="Times New Roman" w:hAnsi="Times New Roman" w:cs="Times New Roman"/>
          <w:sz w:val="24"/>
          <w:szCs w:val="24"/>
        </w:rPr>
        <w:t xml:space="preserve">Speed of germination: </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Cambria Math" w:cs="Times New Roman"/>
                <w:sz w:val="24"/>
                <w:szCs w:val="24"/>
              </w:rPr>
              <m:t>Y</m:t>
            </m:r>
            <m:r>
              <w:rPr>
                <w:rFonts w:ascii="Cambria Math" w:hAnsi="Times New Roman" w:cs="Times New Roman"/>
                <w:sz w:val="24"/>
                <w:szCs w:val="24"/>
              </w:rPr>
              <m:t>1</m:t>
            </m:r>
          </m:den>
        </m:f>
      </m:oMath>
      <w:r w:rsidRPr="00720A38">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Y</m:t>
            </m:r>
            <m:r>
              <w:rPr>
                <w:rFonts w:ascii="Cambria Math" w:eastAsiaTheme="minorEastAsia" w:hAnsi="Times New Roman" w:cs="Times New Roman"/>
                <w:sz w:val="24"/>
                <w:szCs w:val="24"/>
              </w:rPr>
              <m:t>2</m:t>
            </m:r>
          </m:den>
        </m:f>
      </m:oMath>
      <w:r w:rsidR="009F3C74" w:rsidRPr="00720A38">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Xn</m:t>
            </m:r>
          </m:num>
          <m:den>
            <m:r>
              <w:rPr>
                <w:rFonts w:ascii="Cambria Math" w:eastAsiaTheme="minorEastAsia" w:hAnsi="Cambria Math" w:cs="Times New Roman"/>
                <w:sz w:val="24"/>
                <w:szCs w:val="24"/>
              </w:rPr>
              <m:t>Yn</m:t>
            </m:r>
          </m:den>
        </m:f>
      </m:oMath>
    </w:p>
    <w:p w14:paraId="743DBBAF" w14:textId="77777777" w:rsidR="009F3C74" w:rsidRPr="00720A38" w:rsidRDefault="009F3C74"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X1, X2,Xn , are number of seeds germianted on first, second and nth day while Y1,Y2,Yn are  number of days from first sowing to nth days.</w:t>
      </w:r>
    </w:p>
    <w:p w14:paraId="7F561511" w14:textId="77777777" w:rsidR="0091329F" w:rsidRPr="00720A38" w:rsidRDefault="0091329F"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 xml:space="preserve"> </w:t>
      </w:r>
    </w:p>
    <w:p w14:paraId="24732DFB" w14:textId="77777777" w:rsidR="0091329F" w:rsidRPr="00720A38" w:rsidRDefault="0091329F"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eastAsiaTheme="minorEastAsia" w:hAnsi="Times New Roman" w:cs="Times New Roman"/>
          <w:sz w:val="24"/>
          <w:szCs w:val="24"/>
        </w:rPr>
        <w:t>Soil samples were also analysed for nitrogen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using  alakline permagnate method (</w:t>
      </w:r>
      <w:r w:rsidRPr="00720A38">
        <w:rPr>
          <w:rFonts w:ascii="Times New Roman" w:hAnsi="Times New Roman" w:cs="Times New Roman"/>
          <w:sz w:val="24"/>
          <w:szCs w:val="24"/>
          <w:shd w:val="clear" w:color="auto" w:fill="FFFFFF"/>
        </w:rPr>
        <w:t>Subbiah and Asija, 1956)</w:t>
      </w:r>
      <w:r w:rsidRPr="00720A38">
        <w:rPr>
          <w:rFonts w:ascii="Times New Roman" w:eastAsiaTheme="minorEastAsia" w:hAnsi="Times New Roman" w:cs="Times New Roman"/>
          <w:sz w:val="24"/>
          <w:szCs w:val="24"/>
        </w:rPr>
        <w:t xml:space="preserve"> and nitrogen use efficiencey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and caluclated using formula (</w:t>
      </w:r>
      <w:r w:rsidRPr="00720A38">
        <w:rPr>
          <w:rFonts w:ascii="Times New Roman" w:hAnsi="Times New Roman" w:cs="Times New Roman"/>
          <w:sz w:val="24"/>
          <w:szCs w:val="24"/>
          <w:shd w:val="clear" w:color="auto" w:fill="FFFFFF"/>
        </w:rPr>
        <w:t>Fageria and Baligar 2003):</w:t>
      </w:r>
    </w:p>
    <w:p w14:paraId="71B7B2F3" w14:textId="77777777" w:rsidR="000579A1" w:rsidRPr="00720A38" w:rsidRDefault="001900FD"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lastRenderedPageBreak/>
        <w:t xml:space="preserve">  </w:t>
      </w:r>
      <w:r w:rsidR="0091329F" w:rsidRPr="00720A38">
        <w:rPr>
          <w:rFonts w:ascii="Times New Roman" w:hAnsi="Times New Roman" w:cs="Times New Roman"/>
          <w:sz w:val="24"/>
          <w:szCs w:val="24"/>
          <w:shd w:val="clear" w:color="auto" w:fill="FFFFFF"/>
        </w:rPr>
        <w:t xml:space="preserve">NUE </w:t>
      </w:r>
      <w:r w:rsidRPr="00720A38">
        <w:rPr>
          <w:rFonts w:ascii="Times New Roman" w:hAnsi="Times New Roman" w:cs="Times New Roman"/>
          <w:sz w:val="24"/>
          <w:szCs w:val="24"/>
          <w:shd w:val="clear" w:color="auto" w:fill="FFFFFF"/>
        </w:rPr>
        <w:t xml:space="preserve">  =           </w:t>
      </w:r>
      <m:oMath>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t</m:t>
            </m:r>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e</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fertilized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d>
              <m:dPr>
                <m:ctrlPr>
                  <w:rPr>
                    <w:rFonts w:ascii="Cambria Math" w:hAnsi="Times New Roman" w:cs="Times New Roman"/>
                    <w:i/>
                    <w:sz w:val="24"/>
                    <w:szCs w:val="24"/>
                    <w:shd w:val="clear" w:color="auto" w:fill="FFFFFF"/>
                  </w:rPr>
                </m:ctrlPr>
              </m:dPr>
              <m:e>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e>
            </m:d>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control</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num>
          <m:den>
            <m:r>
              <w:rPr>
                <w:rFonts w:ascii="Cambria Math" w:hAnsi="Cambria Math" w:cs="Times New Roman"/>
                <w:sz w:val="24"/>
                <w:szCs w:val="24"/>
                <w:shd w:val="clear" w:color="auto" w:fill="FFFFFF"/>
              </w:rPr>
              <m:t>Qunatity</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of</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nitrogen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applied</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den>
        </m:f>
      </m:oMath>
      <w:r w:rsidRPr="00720A38">
        <w:rPr>
          <w:rFonts w:ascii="Times New Roman" w:hAnsi="Times New Roman" w:cs="Times New Roman"/>
          <w:sz w:val="24"/>
          <w:szCs w:val="24"/>
          <w:shd w:val="clear" w:color="auto" w:fill="FFFFFF"/>
        </w:rPr>
        <w:t xml:space="preserve">     </w:t>
      </w:r>
    </w:p>
    <w:p w14:paraId="2F58FA08" w14:textId="77777777" w:rsidR="00377AF6" w:rsidRPr="00720A38" w:rsidRDefault="00377AF6" w:rsidP="00970218">
      <w:pPr>
        <w:spacing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Stastical Analysis</w:t>
      </w:r>
    </w:p>
    <w:p w14:paraId="037CD203" w14:textId="77777777" w:rsidR="0091329F" w:rsidRPr="00720A38" w:rsidRDefault="000579A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The data were analyzed following the statistical methods outlined by Gomez and Gomez (1984) for both the Randomized Complete Block Design (RCBD) and the Completely Randomized Design (CRD).</w:t>
      </w:r>
      <w:r w:rsidR="001900FD" w:rsidRPr="00720A38">
        <w:rPr>
          <w:rFonts w:ascii="Times New Roman" w:hAnsi="Times New Roman" w:cs="Times New Roman"/>
          <w:sz w:val="24"/>
          <w:szCs w:val="24"/>
          <w:shd w:val="clear" w:color="auto" w:fill="FFFFFF"/>
        </w:rPr>
        <w:t xml:space="preserve">   </w:t>
      </w:r>
    </w:p>
    <w:p w14:paraId="66916D0B" w14:textId="77777777" w:rsidR="00574351" w:rsidRPr="00720A38" w:rsidRDefault="00574351" w:rsidP="00970218">
      <w:pPr>
        <w:spacing w:line="240" w:lineRule="auto"/>
        <w:jc w:val="both"/>
        <w:rPr>
          <w:rFonts w:ascii="Times New Roman" w:hAnsi="Times New Roman" w:cs="Times New Roman"/>
          <w:sz w:val="24"/>
          <w:szCs w:val="24"/>
          <w:shd w:val="clear" w:color="auto" w:fill="FFFFFF"/>
        </w:rPr>
      </w:pPr>
    </w:p>
    <w:p w14:paraId="7411226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Results and Discussion</w:t>
      </w:r>
    </w:p>
    <w:p w14:paraId="50628AD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 xml:space="preserve"> Growth and</w:t>
      </w:r>
      <w:r w:rsidR="00E62DB6" w:rsidRPr="00720A38">
        <w:rPr>
          <w:rFonts w:ascii="Times New Roman" w:hAnsi="Times New Roman" w:cs="Times New Roman"/>
          <w:b/>
          <w:sz w:val="24"/>
          <w:szCs w:val="24"/>
          <w:shd w:val="clear" w:color="auto" w:fill="FFFFFF"/>
        </w:rPr>
        <w:t xml:space="preserve">  Seed</w:t>
      </w:r>
      <w:r w:rsidRPr="00720A38">
        <w:rPr>
          <w:rFonts w:ascii="Times New Roman" w:hAnsi="Times New Roman" w:cs="Times New Roman"/>
          <w:b/>
          <w:sz w:val="24"/>
          <w:szCs w:val="24"/>
          <w:shd w:val="clear" w:color="auto" w:fill="FFFFFF"/>
        </w:rPr>
        <w:t xml:space="preserve"> Yield Parameters</w:t>
      </w:r>
    </w:p>
    <w:p w14:paraId="6F75FCE6" w14:textId="77777777" w:rsidR="00574351" w:rsidRPr="00720A38" w:rsidRDefault="0057435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the number of leaves influenced by various nitrogen sources is</w:t>
      </w:r>
      <w:r w:rsidR="00906CC9">
        <w:rPr>
          <w:rFonts w:ascii="Times New Roman" w:hAnsi="Times New Roman" w:cs="Times New Roman"/>
          <w:sz w:val="24"/>
          <w:szCs w:val="24"/>
        </w:rPr>
        <w:t xml:space="preserve"> summarized in Fig 2</w:t>
      </w:r>
      <w:r w:rsidRPr="00720A38">
        <w:rPr>
          <w:rFonts w:ascii="Times New Roman" w:hAnsi="Times New Roman" w:cs="Times New Roman"/>
          <w:sz w:val="24"/>
          <w:szCs w:val="24"/>
        </w:rPr>
        <w:t xml:space="preserve"> At 30 days after field emergence, the highest number of leaves per plant (23.43) was recorded in treatment Trt1 (100% nitrogen applied through CAN),</w:t>
      </w:r>
      <w:r w:rsidR="006E3BFB" w:rsidRPr="00720A38">
        <w:rPr>
          <w:rFonts w:ascii="Times New Roman" w:hAnsi="Times New Roman" w:cs="Times New Roman"/>
          <w:sz w:val="24"/>
          <w:szCs w:val="24"/>
        </w:rPr>
        <w:t xml:space="preserve"> i</w:t>
      </w:r>
      <w:r w:rsidRPr="00720A38">
        <w:rPr>
          <w:rFonts w:ascii="Times New Roman" w:hAnsi="Times New Roman" w:cs="Times New Roman"/>
          <w:sz w:val="24"/>
          <w:szCs w:val="24"/>
        </w:rPr>
        <w:t>n contrast, the lowest number of leaves (16.50)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 At 60 days, the maximum leaf count (33.10) was found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8 (50% N through CAN + 50% N through calcium nitrate),</w:t>
      </w:r>
      <w:r w:rsidR="006E3BFB" w:rsidRPr="00720A38">
        <w:rPr>
          <w:rFonts w:ascii="Times New Roman" w:hAnsi="Times New Roman" w:cs="Times New Roman"/>
          <w:sz w:val="24"/>
          <w:szCs w:val="24"/>
        </w:rPr>
        <w:t xml:space="preserve">  and t</w:t>
      </w:r>
      <w:r w:rsidRPr="00720A38">
        <w:rPr>
          <w:rFonts w:ascii="Times New Roman" w:hAnsi="Times New Roman" w:cs="Times New Roman"/>
          <w:sz w:val="24"/>
          <w:szCs w:val="24"/>
        </w:rPr>
        <w:t>he minimum number of leaves at this stage (24.76) was again recorded in the control treatment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At 90 days after emergence,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1 (100% N through CAN) produced the highest number of leaves (37.16</w:t>
      </w:r>
      <w:r w:rsidR="006E3BFB" w:rsidRPr="00720A38">
        <w:rPr>
          <w:rFonts w:ascii="Times New Roman" w:hAnsi="Times New Roman" w:cs="Times New Roman"/>
          <w:sz w:val="24"/>
          <w:szCs w:val="24"/>
        </w:rPr>
        <w:t xml:space="preserve">, </w:t>
      </w:r>
      <w:r w:rsidRPr="00720A38">
        <w:rPr>
          <w:rFonts w:ascii="Times New Roman" w:hAnsi="Times New Roman" w:cs="Times New Roman"/>
          <w:sz w:val="24"/>
          <w:szCs w:val="24"/>
        </w:rPr>
        <w:t>while the lowest count (26.76)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w:t>
      </w:r>
      <w:r w:rsidR="006E3BFB" w:rsidRPr="00720A38">
        <w:rPr>
          <w:rFonts w:ascii="Times New Roman" w:hAnsi="Times New Roman" w:cs="Times New Roman"/>
          <w:sz w:val="24"/>
          <w:szCs w:val="24"/>
        </w:rPr>
        <w:t xml:space="preserve">. </w:t>
      </w:r>
    </w:p>
    <w:p w14:paraId="1C7401BD" w14:textId="77777777" w:rsidR="00906CC9" w:rsidRPr="00720A38" w:rsidRDefault="006E3BFB" w:rsidP="00936D97">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Nitrogen fertilization promotes vegetative growth and increases leaf number by enhancing the plant's absorption and assimilation processes (Aminifard et al., 2012). Nitrogen, being a key component of chlorophyll and other compounds, supports vigorous growth. Higher leaf numbers in CAN-treated plants may be attributed to better nitrogen availability, boosting dry matter accumulation in leaves.</w:t>
      </w:r>
      <w:r w:rsidR="00786014" w:rsidRPr="00720A38">
        <w:rPr>
          <w:rFonts w:ascii="Times New Roman" w:hAnsi="Times New Roman" w:cs="Times New Roman"/>
          <w:sz w:val="24"/>
          <w:szCs w:val="24"/>
        </w:rPr>
        <w:t xml:space="preserve"> </w:t>
      </w:r>
      <w:r w:rsidRPr="00720A38">
        <w:rPr>
          <w:rFonts w:ascii="Times New Roman" w:hAnsi="Times New Roman" w:cs="Times New Roman"/>
          <w:sz w:val="24"/>
          <w:szCs w:val="24"/>
        </w:rPr>
        <w:t xml:space="preserve">Marzi et al. (2020) reported that applying nitrogen at a rate of 200 kg/ha resulted </w:t>
      </w:r>
      <w:r w:rsidR="00936D97">
        <w:rPr>
          <w:rFonts w:ascii="Times New Roman" w:hAnsi="Times New Roman" w:cs="Times New Roman"/>
          <w:sz w:val="24"/>
          <w:szCs w:val="24"/>
        </w:rPr>
        <w:t>in the maximum number of leaves.</w:t>
      </w:r>
    </w:p>
    <w:p w14:paraId="29735EA4" w14:textId="77777777" w:rsidR="00786014" w:rsidRDefault="00786014"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leaf length as affected by various nitr</w:t>
      </w:r>
      <w:r w:rsidR="00A12699">
        <w:rPr>
          <w:rFonts w:ascii="Times New Roman" w:hAnsi="Times New Roman" w:cs="Times New Roman"/>
          <w:sz w:val="24"/>
          <w:szCs w:val="24"/>
        </w:rPr>
        <w:t>ogen sources, presented in Fig3</w:t>
      </w:r>
      <w:r w:rsidRPr="00720A38">
        <w:rPr>
          <w:rFonts w:ascii="Times New Roman" w:hAnsi="Times New Roman" w:cs="Times New Roman"/>
          <w:sz w:val="24"/>
          <w:szCs w:val="24"/>
        </w:rPr>
        <w:t xml:space="preserve">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w:t>
      </w:r>
      <w:r w:rsidR="00272C7A" w:rsidRPr="00720A38">
        <w:rPr>
          <w:rFonts w:ascii="Times New Roman" w:hAnsi="Times New Roman" w:cs="Times New Roman"/>
          <w:sz w:val="24"/>
          <w:szCs w:val="24"/>
        </w:rPr>
        <w:t>rt</w:t>
      </w:r>
      <w:r w:rsidRPr="00720A38">
        <w:rPr>
          <w:rFonts w:ascii="Times New Roman" w:hAnsi="Times New Roman" w:cs="Times New Roman"/>
          <w:sz w:val="24"/>
          <w:szCs w:val="24"/>
        </w:rPr>
        <w:t>9.</w:t>
      </w:r>
      <w:r w:rsidR="00AA446B" w:rsidRPr="00720A38">
        <w:rPr>
          <w:rFonts w:ascii="Times New Roman" w:hAnsi="Times New Roman" w:cs="Times New Roman"/>
          <w:sz w:val="24"/>
          <w:szCs w:val="24"/>
        </w:rPr>
        <w:t xml:space="preserve"> Treatments with a higher proportion of CAN resulted in superior vegetative growth, likely due to greater nitrogen uptake and assimilation by the plants, along with reduced leaching losses compared to other nitrogen fertilizers.</w:t>
      </w:r>
    </w:p>
    <w:p w14:paraId="4A028F25" w14:textId="77777777" w:rsidR="00936D97" w:rsidRDefault="00936D97" w:rsidP="00936D97">
      <w:pPr>
        <w:spacing w:line="240" w:lineRule="auto"/>
        <w:ind w:firstLine="720"/>
        <w:rPr>
          <w:rFonts w:ascii="Times New Roman" w:hAnsi="Times New Roman" w:cs="Times New Roman"/>
          <w:b/>
          <w:sz w:val="24"/>
          <w:szCs w:val="24"/>
          <w:lang w:val="en-GB"/>
        </w:rPr>
      </w:pPr>
    </w:p>
    <w:p w14:paraId="5F3A68EA" w14:textId="77777777" w:rsidR="00936D97" w:rsidRDefault="00936D97" w:rsidP="00936D97">
      <w:pPr>
        <w:spacing w:line="240" w:lineRule="auto"/>
        <w:ind w:firstLine="720"/>
        <w:rPr>
          <w:rFonts w:ascii="Times New Roman" w:hAnsi="Times New Roman" w:cs="Times New Roman"/>
          <w:b/>
          <w:sz w:val="24"/>
          <w:szCs w:val="24"/>
          <w:lang w:val="en-GB"/>
        </w:rPr>
      </w:pPr>
      <w:r>
        <w:rPr>
          <w:lang w:val="en-US"/>
        </w:rPr>
        <w:lastRenderedPageBreak/>
        <w:drawing>
          <wp:inline distT="0" distB="0" distL="0" distR="0" wp14:anchorId="37190198" wp14:editId="555EEE3F">
            <wp:extent cx="4585047" cy="336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949" cy="3369832"/>
                    </a:xfrm>
                    <a:prstGeom prst="rect">
                      <a:avLst/>
                    </a:prstGeom>
                    <a:noFill/>
                  </pic:spPr>
                </pic:pic>
              </a:graphicData>
            </a:graphic>
          </wp:inline>
        </w:drawing>
      </w:r>
    </w:p>
    <w:p w14:paraId="5ED7B71E" w14:textId="77777777" w:rsidR="00936D97" w:rsidRDefault="00936D97" w:rsidP="007353FF">
      <w:pPr>
        <w:spacing w:line="240" w:lineRule="auto"/>
        <w:ind w:firstLine="720"/>
        <w:jc w:val="center"/>
        <w:rPr>
          <w:rFonts w:ascii="Times New Roman" w:hAnsi="Times New Roman" w:cs="Times New Roman"/>
          <w:b/>
          <w:sz w:val="24"/>
          <w:szCs w:val="24"/>
          <w:lang w:val="en-GB"/>
        </w:rPr>
      </w:pPr>
      <w:r>
        <w:rPr>
          <w:rFonts w:ascii="Times New Roman" w:hAnsi="Times New Roman" w:cs="Times New Roman"/>
          <w:b/>
          <w:sz w:val="24"/>
          <w:szCs w:val="24"/>
          <w:lang w:val="en-GB"/>
        </w:rPr>
        <w:t>Fig 2</w:t>
      </w:r>
      <w:r w:rsidRPr="00123278">
        <w:rPr>
          <w:rFonts w:ascii="Times New Roman" w:hAnsi="Times New Roman" w:cs="Times New Roman"/>
          <w:b/>
          <w:sz w:val="24"/>
          <w:szCs w:val="24"/>
          <w:lang w:val="en-GB"/>
        </w:rPr>
        <w:t>. Effect of different nitrogen fertilizers on number of leaves per plant</w:t>
      </w:r>
      <w:r>
        <w:rPr>
          <w:rFonts w:ascii="Times New Roman" w:hAnsi="Times New Roman" w:cs="Times New Roman"/>
          <w:b/>
          <w:sz w:val="24"/>
          <w:szCs w:val="24"/>
          <w:lang w:val="en-GB"/>
        </w:rPr>
        <w:t xml:space="preserve"> in onion</w:t>
      </w:r>
    </w:p>
    <w:p w14:paraId="1498D923" w14:textId="77777777" w:rsidR="00936D97" w:rsidRDefault="00936D97" w:rsidP="00936D97">
      <w:pPr>
        <w:spacing w:line="240" w:lineRule="auto"/>
        <w:ind w:firstLine="720"/>
        <w:rPr>
          <w:rFonts w:ascii="Times New Roman" w:hAnsi="Times New Roman" w:cs="Times New Roman"/>
          <w:sz w:val="24"/>
          <w:szCs w:val="24"/>
        </w:rPr>
      </w:pPr>
      <w:r>
        <w:rPr>
          <w:lang w:val="en-US"/>
        </w:rPr>
        <w:drawing>
          <wp:inline distT="0" distB="0" distL="0" distR="0" wp14:anchorId="35E6D269" wp14:editId="7322D2B8">
            <wp:extent cx="4521200" cy="3325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325008"/>
                    </a:xfrm>
                    <a:prstGeom prst="rect">
                      <a:avLst/>
                    </a:prstGeom>
                    <a:noFill/>
                  </pic:spPr>
                </pic:pic>
              </a:graphicData>
            </a:graphic>
          </wp:inline>
        </w:drawing>
      </w:r>
    </w:p>
    <w:p w14:paraId="46CEC205" w14:textId="7CAEF837" w:rsidR="00A12699" w:rsidRDefault="00A12699" w:rsidP="00970218">
      <w:pPr>
        <w:spacing w:line="240" w:lineRule="auto"/>
        <w:ind w:firstLine="720"/>
        <w:rPr>
          <w:rFonts w:ascii="Times New Roman" w:hAnsi="Times New Roman" w:cs="Times New Roman"/>
          <w:b/>
          <w:sz w:val="24"/>
          <w:szCs w:val="24"/>
          <w:lang w:val="en-GB"/>
        </w:rPr>
      </w:pPr>
      <w:r>
        <w:rPr>
          <w:rFonts w:ascii="Times New Roman" w:hAnsi="Times New Roman" w:cs="Times New Roman"/>
          <w:b/>
          <w:sz w:val="24"/>
          <w:szCs w:val="24"/>
          <w:lang w:val="en-GB"/>
        </w:rPr>
        <w:t>Fig 3</w:t>
      </w:r>
      <w:r w:rsidRPr="00123278">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leaf length (cm)  in onion</w:t>
      </w:r>
    </w:p>
    <w:p w14:paraId="5F75459F" w14:textId="113F5110" w:rsidR="009241D5" w:rsidRPr="009241D5" w:rsidRDefault="009241D5" w:rsidP="00970218">
      <w:pPr>
        <w:spacing w:line="240" w:lineRule="auto"/>
        <w:ind w:firstLine="720"/>
        <w:rPr>
          <w:rFonts w:ascii="Times New Roman" w:hAnsi="Times New Roman" w:cs="Times New Roman"/>
          <w:color w:val="FF0000"/>
          <w:sz w:val="24"/>
          <w:szCs w:val="24"/>
        </w:rPr>
      </w:pPr>
      <w:r w:rsidRPr="009241D5">
        <w:rPr>
          <w:rFonts w:ascii="Times New Roman" w:hAnsi="Times New Roman" w:cs="Times New Roman"/>
          <w:b/>
          <w:color w:val="FF0000"/>
          <w:sz w:val="24"/>
          <w:szCs w:val="24"/>
          <w:lang w:val="en-GB"/>
        </w:rPr>
        <w:t>I think bar graph is more easy to explain data</w:t>
      </w:r>
    </w:p>
    <w:p w14:paraId="04F61D66" w14:textId="77777777" w:rsidR="00D006EC" w:rsidRPr="00720A38" w:rsidRDefault="00D006EC"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highest number of bolters per plant (8.63) was observed in treatment Trt1, which was statistically similar to Trt3 (8.13) and Trt5 (8.53). In contrast, the lowest number of bolters per plant (5.83) was recorded in the control treatment (Trt</w:t>
      </w:r>
      <w:r w:rsidR="00A12699">
        <w:rPr>
          <w:rFonts w:ascii="Times New Roman" w:hAnsi="Times New Roman" w:cs="Times New Roman"/>
          <w:sz w:val="24"/>
          <w:szCs w:val="24"/>
        </w:rPr>
        <w:t xml:space="preserve">9) (Table 1). </w:t>
      </w:r>
    </w:p>
    <w:p w14:paraId="70D294E3" w14:textId="77777777" w:rsidR="004F1421" w:rsidRPr="00720A38" w:rsidRDefault="004F142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lastRenderedPageBreak/>
        <w:t>CAN provides nitrogen in two forms and has minimal leaching losses compared to other nitrogen sources (Sommer and Jensen, 1994). A sufficient nitrogen supply also enhances the uptake of other nutrients like phosphorus, which is crucial for flowering (Brady and Weil, 2002). This may explain why plots receiving CAN alone or in combination had better nitrogen and phosphorus availability, resulting in a higher number of bolters per plant. Antille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14:paraId="59A6C991" w14:textId="77777777" w:rsidR="00A80D6C" w:rsidRPr="0024302B" w:rsidRDefault="00A80D6C" w:rsidP="00970218">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A80D6C">
        <w:rPr>
          <w:rFonts w:ascii="Times New Roman" w:eastAsia="Times New Roman" w:hAnsi="Times New Roman" w:cs="Times New Roman"/>
          <w:noProof w:val="0"/>
          <w:sz w:val="24"/>
          <w:szCs w:val="24"/>
          <w:lang w:eastAsia="en-IN"/>
        </w:rPr>
        <w:t>The shortest time to re</w:t>
      </w:r>
      <w:r w:rsidRPr="00720A38">
        <w:rPr>
          <w:rFonts w:ascii="Times New Roman" w:eastAsia="Times New Roman" w:hAnsi="Times New Roman" w:cs="Times New Roman"/>
          <w:noProof w:val="0"/>
          <w:sz w:val="24"/>
          <w:szCs w:val="24"/>
          <w:lang w:eastAsia="en-IN"/>
        </w:rPr>
        <w:t>ach 50%</w:t>
      </w:r>
      <w:r w:rsidRPr="00A80D6C">
        <w:rPr>
          <w:rFonts w:ascii="Times New Roman" w:eastAsia="Times New Roman" w:hAnsi="Times New Roman" w:cs="Times New Roman"/>
          <w:noProof w:val="0"/>
          <w:sz w:val="24"/>
          <w:szCs w:val="24"/>
          <w:lang w:eastAsia="en-IN"/>
        </w:rPr>
        <w:t xml:space="preserve"> bolting (91.33 days) was recorded in treatment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1, which was statistically comparable to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2 (92.33 days) and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5 (93.33 days). In contrast, th</w:t>
      </w:r>
      <w:r w:rsidRPr="00720A38">
        <w:rPr>
          <w:rFonts w:ascii="Times New Roman" w:eastAsia="Times New Roman" w:hAnsi="Times New Roman" w:cs="Times New Roman"/>
          <w:noProof w:val="0"/>
          <w:sz w:val="24"/>
          <w:szCs w:val="24"/>
          <w:lang w:eastAsia="en-IN"/>
        </w:rPr>
        <w:t>e longest duration to 50%</w:t>
      </w:r>
      <w:r w:rsidRPr="00A80D6C">
        <w:rPr>
          <w:rFonts w:ascii="Times New Roman" w:eastAsia="Times New Roman" w:hAnsi="Times New Roman" w:cs="Times New Roman"/>
          <w:noProof w:val="0"/>
          <w:sz w:val="24"/>
          <w:szCs w:val="24"/>
          <w:lang w:eastAsia="en-IN"/>
        </w:rPr>
        <w:t xml:space="preserve"> bolting (102.67 days) was observed in the control treatment (T</w:t>
      </w:r>
      <w:r w:rsidRPr="00720A38">
        <w:rPr>
          <w:rFonts w:ascii="Times New Roman" w:eastAsia="Times New Roman" w:hAnsi="Times New Roman" w:cs="Times New Roman"/>
          <w:noProof w:val="0"/>
          <w:sz w:val="24"/>
          <w:szCs w:val="24"/>
          <w:lang w:eastAsia="en-IN"/>
        </w:rPr>
        <w:t>rt</w:t>
      </w:r>
      <w:r w:rsidR="00CE128B" w:rsidRPr="00720A38">
        <w:rPr>
          <w:rFonts w:ascii="Times New Roman" w:eastAsia="Times New Roman" w:hAnsi="Times New Roman" w:cs="Times New Roman"/>
          <w:noProof w:val="0"/>
          <w:sz w:val="24"/>
          <w:szCs w:val="24"/>
          <w:lang w:eastAsia="en-IN"/>
        </w:rPr>
        <w:t>9) while largest umbel size (7.34 cm) was recorded in treatment Trt</w:t>
      </w:r>
      <w:proofErr w:type="gramStart"/>
      <w:r w:rsidR="00CE128B" w:rsidRPr="00720A38">
        <w:rPr>
          <w:rFonts w:ascii="Times New Roman" w:eastAsia="Times New Roman" w:hAnsi="Times New Roman" w:cs="Times New Roman"/>
          <w:noProof w:val="0"/>
          <w:sz w:val="24"/>
          <w:szCs w:val="24"/>
          <w:lang w:eastAsia="en-IN"/>
        </w:rPr>
        <w:t>1 ,</w:t>
      </w:r>
      <w:proofErr w:type="gramEnd"/>
      <w:r w:rsidR="00CE128B" w:rsidRPr="00720A38">
        <w:rPr>
          <w:rFonts w:ascii="Times New Roman" w:eastAsia="Times New Roman" w:hAnsi="Times New Roman" w:cs="Times New Roman"/>
          <w:noProof w:val="0"/>
          <w:sz w:val="24"/>
          <w:szCs w:val="24"/>
          <w:lang w:eastAsia="en-IN"/>
        </w:rPr>
        <w:t xml:space="preserve"> showing statistical similarity with Trt3 (6.90 cm), Trt5 (7.10 cm), and Trt8 (7.12 cm). In contrast, the smallest umbel size (5.83 cm) was observed in the control treatment (Trt9).</w:t>
      </w:r>
      <w:r w:rsidR="00D63245" w:rsidRPr="00720A38">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(Malagoli et al., 2005).</w:t>
      </w:r>
    </w:p>
    <w:p w14:paraId="6E8F9850" w14:textId="77777777" w:rsidR="00325238" w:rsidRPr="00720A38" w:rsidRDefault="002A0D20"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rPr>
        <w:t>The seed count per umbel is an important yield-determining characteristic in onion (Yalamalle et al., 2019)</w:t>
      </w:r>
      <w:r w:rsidR="00F70924" w:rsidRPr="00720A38">
        <w:rPr>
          <w:rFonts w:ascii="Times New Roman" w:hAnsi="Times New Roman" w:cs="Times New Roman"/>
          <w:sz w:val="24"/>
          <w:szCs w:val="24"/>
        </w:rPr>
        <w:t>. The highest number of seeds per umbel (1134.80) was recorded in treatment Trt1 , which was statistically similar to Trt3 (1101.66) and Trt5 (1079.30). In contrast, the lowest seed count per umbel (686.80) was noted in the control treatment (Trt9).</w:t>
      </w:r>
      <w:r w:rsidR="004F7912" w:rsidRPr="00720A38">
        <w:rPr>
          <w:rFonts w:ascii="Times New Roman" w:hAnsi="Times New Roman" w:cs="Times New Roman"/>
          <w:sz w:val="24"/>
          <w:szCs w:val="24"/>
        </w:rPr>
        <w:t xml:space="preserve">  Plants supplied with nitrogen through CAN produced a higher number of seeds per umbel, likely due to the superior umbel quality observed in CAN-treated plants compared to those receiving other nitrogen fertilizers.</w:t>
      </w:r>
      <w:r w:rsidR="00325238" w:rsidRPr="00720A38">
        <w:rPr>
          <w:rFonts w:ascii="Times New Roman" w:hAnsi="Times New Roman" w:cs="Times New Roman"/>
          <w:sz w:val="24"/>
          <w:szCs w:val="24"/>
        </w:rPr>
        <w:t xml:space="preserve"> </w:t>
      </w:r>
      <w:r w:rsidR="00325238" w:rsidRPr="00720A38">
        <w:rPr>
          <w:rFonts w:ascii="Times New Roman" w:eastAsia="Calibri" w:hAnsi="Times New Roman" w:cs="Times New Roman"/>
          <w:sz w:val="24"/>
          <w:szCs w:val="24"/>
          <w:lang w:eastAsia="en-IN"/>
        </w:rPr>
        <w:t>Jain (2001) in Afric</w:t>
      </w:r>
      <w:r w:rsidR="00325238" w:rsidRPr="00720A38">
        <w:rPr>
          <w:rFonts w:ascii="Times New Roman" w:hAnsi="Times New Roman" w:cs="Times New Roman"/>
          <w:sz w:val="24"/>
          <w:szCs w:val="24"/>
          <w:lang w:eastAsia="en-IN"/>
        </w:rPr>
        <w:t xml:space="preserve">an marigold reported similar results. </w:t>
      </w:r>
    </w:p>
    <w:p w14:paraId="15D330B2" w14:textId="77777777" w:rsidR="00B66306" w:rsidRPr="00720A38" w:rsidRDefault="00B66306"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w:t>
      </w:r>
      <w:r w:rsidR="00747245" w:rsidRPr="00720A38">
        <w:rPr>
          <w:rFonts w:ascii="Times New Roman" w:hAnsi="Times New Roman" w:cs="Times New Roman"/>
          <w:sz w:val="24"/>
          <w:szCs w:val="24"/>
          <w:lang w:eastAsia="en-IN"/>
        </w:rPr>
        <w:t xml:space="preserve">  </w:t>
      </w:r>
      <w:r w:rsidR="00747245" w:rsidRPr="00720A38">
        <w:rPr>
          <w:rFonts w:ascii="Times New Roman" w:hAnsi="Times New Roman" w:cs="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(Geissele</w:t>
      </w:r>
      <w:r w:rsidR="001C2EA8" w:rsidRPr="00720A38">
        <w:rPr>
          <w:rFonts w:ascii="Times New Roman" w:hAnsi="Times New Roman" w:cs="Times New Roman"/>
          <w:sz w:val="24"/>
          <w:szCs w:val="24"/>
        </w:rPr>
        <w:t>r et al., 2022; Qi et al., 2023</w:t>
      </w:r>
      <w:r w:rsidR="00747245" w:rsidRPr="00720A38">
        <w:rPr>
          <w:rFonts w:ascii="Times New Roman" w:hAnsi="Times New Roman" w:cs="Times New Roman"/>
          <w:sz w:val="24"/>
          <w:szCs w:val="24"/>
        </w:rPr>
        <w:t>)</w:t>
      </w:r>
    </w:p>
    <w:p w14:paraId="61FFEB43" w14:textId="77777777" w:rsidR="00747245" w:rsidRPr="00720A38" w:rsidRDefault="00747245" w:rsidP="0024302B">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Plants receiving nitrogen through CAN produced the highest seed yields compared to other nitrogen sources. This may be due to the greater number of bolters or umbels, larger umbel size, and increased seed count per umbel, all of which contributed to higher overall seed production.</w:t>
      </w:r>
      <w:r w:rsidR="0024302B">
        <w:rPr>
          <w:rFonts w:ascii="Times New Roman" w:hAnsi="Times New Roman" w:cs="Times New Roman"/>
          <w:sz w:val="24"/>
          <w:szCs w:val="24"/>
          <w:lang w:eastAsia="en-IN"/>
        </w:rPr>
        <w:t xml:space="preserve"> </w:t>
      </w:r>
      <w:r w:rsidRPr="00720A38">
        <w:rPr>
          <w:rFonts w:ascii="Times New Roman" w:hAnsi="Times New Roman" w:cs="Times New Roman"/>
          <w:sz w:val="24"/>
          <w:szCs w:val="24"/>
          <w:lang w:eastAsia="en-IN"/>
        </w:rPr>
        <w:t>Hossain et al. (2017) reported that applying 114 kg of nitrogen resulted in the highest seed yield per plant (4.21 g), whereas the lowest yield (3.20 g) was obtained with 57 kg of nitrogen. Similarly, Debashis et al. (2017) found that a nitrogen dose of 175 kg/ha produced the maximum number of seeds per plant.</w:t>
      </w:r>
    </w:p>
    <w:p w14:paraId="31F157EF" w14:textId="77777777" w:rsidR="0024302B" w:rsidRDefault="0024302B" w:rsidP="004A7822">
      <w:pPr>
        <w:spacing w:after="120" w:line="240" w:lineRule="auto"/>
        <w:ind w:firstLine="720"/>
        <w:jc w:val="both"/>
        <w:rPr>
          <w:rFonts w:ascii="Times New Roman" w:hAnsi="Times New Roman" w:cs="Times New Roman"/>
          <w:sz w:val="24"/>
          <w:szCs w:val="24"/>
          <w:lang w:eastAsia="en-IN"/>
        </w:rPr>
      </w:pPr>
    </w:p>
    <w:p w14:paraId="12C74990" w14:textId="77777777" w:rsidR="00EE1C16" w:rsidRPr="00720A38" w:rsidRDefault="00EE1C16" w:rsidP="00EE1C16">
      <w:pPr>
        <w:spacing w:after="120" w:line="240" w:lineRule="auto"/>
        <w:jc w:val="both"/>
        <w:rPr>
          <w:rFonts w:ascii="Times New Roman" w:hAnsi="Times New Roman" w:cs="Times New Roman"/>
          <w:b/>
          <w:sz w:val="24"/>
          <w:szCs w:val="24"/>
          <w:lang w:eastAsia="en-IN"/>
        </w:rPr>
      </w:pPr>
      <w:r w:rsidRPr="00720A38">
        <w:rPr>
          <w:rFonts w:ascii="Times New Roman" w:hAnsi="Times New Roman" w:cs="Times New Roman"/>
          <w:b/>
          <w:sz w:val="24"/>
          <w:szCs w:val="24"/>
          <w:lang w:eastAsia="en-IN"/>
        </w:rPr>
        <w:t>Seed Quality Parameters</w:t>
      </w:r>
    </w:p>
    <w:p w14:paraId="025DD5B5" w14:textId="77777777" w:rsidR="00EE1C16" w:rsidRPr="00720A38" w:rsidRDefault="00EE1C16" w:rsidP="00EE1C16">
      <w:pPr>
        <w:spacing w:after="120"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Onion seeds generally have poor storability, as their viability tends to decline more rapidly than that of many other vegetable crops (Taylor, 2020). Balanced nutrition during crop </w:t>
      </w:r>
      <w:r w:rsidRPr="00720A38">
        <w:rPr>
          <w:rFonts w:ascii="Times New Roman" w:hAnsi="Times New Roman" w:cs="Times New Roman"/>
          <w:sz w:val="24"/>
          <w:szCs w:val="24"/>
        </w:rPr>
        <w:lastRenderedPageBreak/>
        <w:t>growth, particularly adequate nitrogen supply, is a major factor affecting seed storability and vigour. Nitrogen is vital for healthy plant development, improved photosynthesis, and the production of proteins and enzymes necessary for seed formation. Sufficient nitrogen enhances seed vigour by promoting efficient nutrient absorption, resulting in robust seedlings with better germination potential (Girase  et al., 2025). Maximum seed germination  (</w:t>
      </w:r>
      <w:r w:rsidRPr="00720A38">
        <w:rPr>
          <w:rFonts w:ascii="Times New Roman" w:eastAsia="Calibri" w:hAnsi="Times New Roman" w:cs="Times New Roman"/>
          <w:color w:val="000000"/>
          <w:sz w:val="24"/>
          <w:szCs w:val="24"/>
        </w:rPr>
        <w:t>91.50 %</w:t>
      </w:r>
      <w:r w:rsidRPr="00720A38">
        <w:rPr>
          <w:rFonts w:ascii="Times New Roman" w:hAnsi="Times New Roman" w:cs="Times New Roman"/>
          <w:sz w:val="24"/>
          <w:szCs w:val="24"/>
        </w:rPr>
        <w:t>), seedling length (</w:t>
      </w:r>
      <w:r w:rsidRPr="00720A38">
        <w:rPr>
          <w:rFonts w:ascii="Times New Roman" w:eastAsia="Calibri" w:hAnsi="Times New Roman" w:cs="Times New Roman"/>
          <w:sz w:val="24"/>
          <w:szCs w:val="24"/>
        </w:rPr>
        <w:t>17.13 cm</w:t>
      </w:r>
      <w:r w:rsidRPr="00720A38">
        <w:rPr>
          <w:rFonts w:ascii="Times New Roman" w:hAnsi="Times New Roman" w:cs="Times New Roman"/>
          <w:sz w:val="24"/>
          <w:szCs w:val="24"/>
        </w:rPr>
        <w:t>), seedling dry weight (</w:t>
      </w:r>
      <w:r w:rsidRPr="00720A38">
        <w:rPr>
          <w:rFonts w:ascii="Times New Roman" w:eastAsia="Calibri" w:hAnsi="Times New Roman" w:cs="Times New Roman"/>
          <w:sz w:val="24"/>
          <w:szCs w:val="24"/>
        </w:rPr>
        <w:t>23.30</w:t>
      </w:r>
      <w:r w:rsidRPr="00720A38">
        <w:rPr>
          <w:rFonts w:ascii="Times New Roman" w:hAnsi="Times New Roman" w:cs="Times New Roman"/>
          <w:sz w:val="24"/>
          <w:szCs w:val="24"/>
        </w:rPr>
        <w:t xml:space="preserve"> mg), seed vigour index-I &amp; II (</w:t>
      </w:r>
      <w:r w:rsidRPr="00720A38">
        <w:rPr>
          <w:rFonts w:ascii="Times New Roman" w:eastAsia="Calibri" w:hAnsi="Times New Roman" w:cs="Times New Roman"/>
          <w:sz w:val="24"/>
          <w:szCs w:val="24"/>
        </w:rPr>
        <w:t>1567.78</w:t>
      </w:r>
      <w:r w:rsidRPr="00720A38">
        <w:rPr>
          <w:rFonts w:ascii="Times New Roman" w:hAnsi="Times New Roman" w:cs="Times New Roman"/>
          <w:sz w:val="24"/>
          <w:szCs w:val="24"/>
        </w:rPr>
        <w:t xml:space="preserve"> &amp;</w:t>
      </w:r>
      <w:r w:rsidRPr="00720A38">
        <w:rPr>
          <w:rFonts w:ascii="Times New Roman" w:eastAsia="Calibri" w:hAnsi="Times New Roman" w:cs="Times New Roman"/>
          <w:sz w:val="24"/>
          <w:szCs w:val="24"/>
        </w:rPr>
        <w:t>2132.02</w:t>
      </w:r>
      <w:r w:rsidRPr="00720A38">
        <w:rPr>
          <w:rFonts w:ascii="Times New Roman" w:hAnsi="Times New Roman" w:cs="Times New Roman"/>
          <w:sz w:val="24"/>
          <w:szCs w:val="24"/>
        </w:rPr>
        <w:t>), and 1000 seed weight (</w:t>
      </w:r>
      <w:r w:rsidRPr="00720A38">
        <w:rPr>
          <w:rFonts w:ascii="Times New Roman" w:eastAsia="Calibri" w:hAnsi="Times New Roman" w:cs="Times New Roman"/>
          <w:sz w:val="24"/>
          <w:szCs w:val="24"/>
        </w:rPr>
        <w:t>3.90 g</w:t>
      </w:r>
      <w:r w:rsidRPr="00720A38">
        <w:rPr>
          <w:rFonts w:ascii="Times New Roman" w:hAnsi="Times New Roman" w:cs="Times New Roman"/>
          <w:sz w:val="24"/>
          <w:szCs w:val="24"/>
        </w:rPr>
        <w:t>) were recorded in Trt1-1(</w:t>
      </w:r>
      <w:r w:rsidRPr="00720A38">
        <w:rPr>
          <w:rFonts w:ascii="Times New Roman" w:eastAsia="Calibri" w:hAnsi="Times New Roman" w:cs="Times New Roman"/>
          <w:sz w:val="24"/>
          <w:szCs w:val="24"/>
        </w:rPr>
        <w:t>100 %</w:t>
      </w:r>
      <w:r w:rsidRPr="00720A38">
        <w:rPr>
          <w:rFonts w:ascii="Times New Roman" w:hAnsi="Times New Roman" w:cs="Times New Roman"/>
          <w:sz w:val="24"/>
          <w:szCs w:val="24"/>
        </w:rPr>
        <w:t xml:space="preserve"> N through CAN)  as compared to control, while speed of germination (8.00) highest in Trt-5 (</w:t>
      </w:r>
      <w:r w:rsidRPr="00720A38">
        <w:rPr>
          <w:rFonts w:ascii="Times New Roman" w:eastAsia="Calibri" w:hAnsi="Times New Roman" w:cs="Times New Roman"/>
          <w:sz w:val="24"/>
          <w:szCs w:val="24"/>
          <w:lang w:eastAsia="en-IN"/>
        </w:rPr>
        <w:t>75 % CAN + 25 % calcium nitrate</w:t>
      </w:r>
      <w:r w:rsidRPr="00720A38">
        <w:rPr>
          <w:rFonts w:ascii="Times New Roman" w:hAnsi="Times New Roman" w:cs="Times New Roman"/>
          <w:sz w:val="24"/>
          <w:szCs w:val="24"/>
        </w:rPr>
        <w:t>)</w:t>
      </w:r>
      <w:r>
        <w:rPr>
          <w:rFonts w:ascii="Times New Roman" w:hAnsi="Times New Roman" w:cs="Times New Roman"/>
          <w:sz w:val="24"/>
          <w:szCs w:val="24"/>
        </w:rPr>
        <w:t xml:space="preserve"> (Table 2)</w:t>
      </w:r>
      <w:r w:rsidRPr="00720A38">
        <w:rPr>
          <w:rFonts w:ascii="Times New Roman" w:hAnsi="Times New Roman" w:cs="Times New Roman"/>
          <w:sz w:val="24"/>
          <w:szCs w:val="24"/>
        </w:rPr>
        <w:t xml:space="preserve"> Nitrogen fertilization boosts seed quality and storability by enhancing germination, seedling development, and overall vigour. These benefits are linked to improved nutrient availabili</w:t>
      </w:r>
      <w:r>
        <w:rPr>
          <w:rFonts w:ascii="Times New Roman" w:hAnsi="Times New Roman" w:cs="Times New Roman"/>
          <w:sz w:val="24"/>
          <w:szCs w:val="24"/>
        </w:rPr>
        <w:t xml:space="preserve">ty and higher tocopherol levels- </w:t>
      </w:r>
      <w:r w:rsidRPr="00720A38">
        <w:rPr>
          <w:rFonts w:ascii="Times New Roman" w:hAnsi="Times New Roman" w:cs="Times New Roman"/>
          <w:sz w:val="24"/>
          <w:szCs w:val="24"/>
        </w:rPr>
        <w:t xml:space="preserve">antioxidants that safeguard seeds from oxidative damage, preserve membrane integrity, and promote efficient metabolic activity (Girase et al. 2025). Similar results were reported by Girase et al. (2025) in onion when nitrogen @100kg/ha was applied. </w:t>
      </w:r>
    </w:p>
    <w:p w14:paraId="64DC43AA" w14:textId="77777777" w:rsidR="00EE1C16" w:rsidRDefault="00EE1C16" w:rsidP="004A7822">
      <w:pPr>
        <w:spacing w:after="120" w:line="240" w:lineRule="auto"/>
        <w:ind w:firstLine="720"/>
        <w:jc w:val="both"/>
        <w:rPr>
          <w:rFonts w:ascii="Times New Roman" w:hAnsi="Times New Roman" w:cs="Times New Roman"/>
          <w:sz w:val="24"/>
          <w:szCs w:val="24"/>
          <w:lang w:eastAsia="en-IN"/>
        </w:rPr>
      </w:pPr>
    </w:p>
    <w:p w14:paraId="711CB277" w14:textId="77777777" w:rsidR="00084614" w:rsidRPr="00720A38" w:rsidRDefault="00084614" w:rsidP="00084614">
      <w:pPr>
        <w:spacing w:after="120"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Soil Parameters</w:t>
      </w:r>
    </w:p>
    <w:p w14:paraId="74F76AAD" w14:textId="77777777" w:rsidR="00084614" w:rsidRPr="00390C4E" w:rsidRDefault="00084614" w:rsidP="00084614">
      <w:pPr>
        <w:spacing w:after="120" w:line="240" w:lineRule="auto"/>
        <w:jc w:val="both"/>
        <w:rPr>
          <w:rFonts w:ascii="Times New Roman" w:hAnsi="Times New Roman" w:cs="Times New Roman"/>
          <w:sz w:val="24"/>
          <w:szCs w:val="24"/>
        </w:rPr>
      </w:pPr>
      <w:r w:rsidRPr="00720A38">
        <w:rPr>
          <w:rFonts w:ascii="Times New Roman" w:hAnsi="Times New Roman" w:cs="Times New Roman"/>
          <w:b/>
          <w:sz w:val="24"/>
          <w:szCs w:val="24"/>
        </w:rPr>
        <w:tab/>
      </w:r>
      <w:r w:rsidRPr="00720A38">
        <w:rPr>
          <w:rFonts w:ascii="Times New Roman" w:hAnsi="Times New Roman" w:cs="Times New Roman"/>
          <w:sz w:val="24"/>
          <w:szCs w:val="24"/>
        </w:rPr>
        <w:t xml:space="preserve">Intital avilable nitrogen in soil was </w:t>
      </w:r>
      <w:r w:rsidRPr="00720A38">
        <w:rPr>
          <w:rFonts w:ascii="Times New Roman" w:eastAsia="Calibri" w:hAnsi="Times New Roman" w:cs="Times New Roman"/>
          <w:sz w:val="24"/>
          <w:szCs w:val="24"/>
        </w:rPr>
        <w:t>265.6 kg ha</w:t>
      </w:r>
      <w:r w:rsidRPr="00720A38">
        <w:rPr>
          <w:rFonts w:ascii="Times New Roman" w:eastAsia="Calibri" w:hAnsi="Times New Roman" w:cs="Times New Roman"/>
          <w:sz w:val="24"/>
          <w:szCs w:val="24"/>
          <w:vertAlign w:val="superscript"/>
        </w:rPr>
        <w:t>-1</w:t>
      </w:r>
      <w:r w:rsidRPr="00720A38">
        <w:rPr>
          <w:rFonts w:ascii="Times New Roman" w:hAnsi="Times New Roman" w:cs="Times New Roman"/>
          <w:sz w:val="24"/>
          <w:szCs w:val="24"/>
          <w:vertAlign w:val="superscript"/>
        </w:rPr>
        <w:t xml:space="preserve"> </w:t>
      </w:r>
      <w:r w:rsidRPr="00720A38">
        <w:rPr>
          <w:rFonts w:ascii="Times New Roman" w:hAnsi="Times New Roman" w:cs="Times New Roman"/>
          <w:sz w:val="24"/>
          <w:szCs w:val="24"/>
        </w:rPr>
        <w:t>.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w:t>
      </w:r>
      <w:r>
        <w:rPr>
          <w:rFonts w:ascii="Times New Roman" w:hAnsi="Times New Roman" w:cs="Times New Roman"/>
          <w:sz w:val="24"/>
          <w:szCs w:val="24"/>
        </w:rPr>
        <w:t>9) (Fig4)</w:t>
      </w:r>
      <w:r w:rsidRPr="00720A38">
        <w:rPr>
          <w:rFonts w:ascii="Times New Roman" w:hAnsi="Times New Roman" w:cs="Times New Roman"/>
          <w:sz w:val="24"/>
          <w:szCs w:val="24"/>
        </w:rPr>
        <w:t xml:space="preserve">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sidRPr="00720A38">
        <w:rPr>
          <w:rFonts w:ascii="Times New Roman" w:eastAsia="Times New Roman" w:hAnsi="Times New Roman" w:cs="Times New Roman"/>
          <w:noProof w:val="0"/>
          <w:sz w:val="24"/>
          <w:szCs w:val="24"/>
          <w:lang w:eastAsia="en-IN"/>
        </w:rPr>
        <w:t xml:space="preserve">Similarly </w:t>
      </w:r>
      <w:r w:rsidRPr="00390C4E">
        <w:rPr>
          <w:rFonts w:ascii="Times New Roman" w:eastAsia="Times New Roman" w:hAnsi="Times New Roman" w:cs="Times New Roman"/>
          <w:noProof w:val="0"/>
          <w:sz w:val="24"/>
          <w:szCs w:val="24"/>
          <w:lang w:eastAsia="en-IN"/>
        </w:rPr>
        <w:t xml:space="preserve"> highest nitrogen use efficiency (0.643 kg/kg) was recorded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5 (75% N through CAN + 25% N through calcium nitrate), which was statistically comparable to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1 (0.637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3 (0.627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6 (0.523 kg/kg), and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8 (0.640 kg/kg)</w:t>
      </w:r>
      <w:r>
        <w:rPr>
          <w:rFonts w:ascii="Times New Roman" w:eastAsia="Times New Roman" w:hAnsi="Times New Roman" w:cs="Times New Roman"/>
          <w:noProof w:val="0"/>
          <w:sz w:val="24"/>
          <w:szCs w:val="24"/>
          <w:lang w:eastAsia="en-IN"/>
        </w:rPr>
        <w:t xml:space="preserve"> (Fig 5)</w:t>
      </w:r>
      <w:r w:rsidRPr="00390C4E">
        <w:rPr>
          <w:rFonts w:ascii="Times New Roman" w:eastAsia="Times New Roman" w:hAnsi="Times New Roman" w:cs="Times New Roman"/>
          <w:noProof w:val="0"/>
          <w:sz w:val="24"/>
          <w:szCs w:val="24"/>
          <w:lang w:eastAsia="en-IN"/>
        </w:rPr>
        <w:t>. In contrast, the lowest nitrogen use efficiency (0.227 kg/kg) was observed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7 (50% N through CAN + 50% N through urea).</w:t>
      </w:r>
      <w:r w:rsidRPr="00720A38">
        <w:rPr>
          <w:rFonts w:ascii="Times New Roman" w:eastAsia="Times New Roman" w:hAnsi="Times New Roman" w:cs="Times New Roman"/>
          <w:noProof w:val="0"/>
          <w:sz w:val="24"/>
          <w:szCs w:val="24"/>
          <w:lang w:eastAsia="en-IN"/>
        </w:rPr>
        <w:t xml:space="preserve"> </w:t>
      </w:r>
      <w:r w:rsidRPr="00720A38">
        <w:rPr>
          <w:rFonts w:ascii="Times New Roman" w:hAnsi="Times New Roman" w:cs="Times New Roman"/>
          <w:sz w:val="24"/>
          <w:szCs w:val="24"/>
        </w:rPr>
        <w:t>Higher nitrogen use efficiency in plots treated with CAN may be attributed to greater nitrogen availability for plant uptake.</w:t>
      </w:r>
    </w:p>
    <w:p w14:paraId="52C45AD2" w14:textId="77777777" w:rsidR="00084614" w:rsidRPr="00720A38" w:rsidRDefault="00084614" w:rsidP="00084614">
      <w:pPr>
        <w:spacing w:after="120" w:line="240" w:lineRule="auto"/>
        <w:jc w:val="both"/>
        <w:rPr>
          <w:rFonts w:ascii="Times New Roman" w:hAnsi="Times New Roman" w:cs="Times New Roman"/>
          <w:sz w:val="24"/>
          <w:szCs w:val="24"/>
        </w:rPr>
      </w:pPr>
    </w:p>
    <w:p w14:paraId="51DCFA63" w14:textId="77777777" w:rsidR="00084614" w:rsidRPr="00720A38" w:rsidRDefault="00084614" w:rsidP="00084614">
      <w:pPr>
        <w:spacing w:after="120" w:line="240" w:lineRule="auto"/>
        <w:jc w:val="both"/>
        <w:rPr>
          <w:rFonts w:ascii="Times New Roman" w:eastAsia="Calibri" w:hAnsi="Times New Roman" w:cs="Times New Roman"/>
          <w:b/>
          <w:sz w:val="24"/>
          <w:szCs w:val="24"/>
          <w:lang w:eastAsia="en-IN"/>
        </w:rPr>
      </w:pPr>
      <w:r w:rsidRPr="00720A38">
        <w:rPr>
          <w:rFonts w:ascii="Times New Roman" w:hAnsi="Times New Roman" w:cs="Times New Roman"/>
          <w:b/>
          <w:sz w:val="24"/>
          <w:szCs w:val="24"/>
          <w:lang w:eastAsia="en-IN"/>
        </w:rPr>
        <w:t>Economics</w:t>
      </w:r>
    </w:p>
    <w:p w14:paraId="257E8879" w14:textId="77777777" w:rsidR="00084614" w:rsidRDefault="00084614" w:rsidP="00084614">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economic analysis of different nitrogen source treatments, as shown in Table 3, revealed that treatment Trt1  generated the highest net returns (</w:t>
      </w:r>
      <w:r w:rsidRPr="00720A38">
        <w:rPr>
          <w:rFonts w:ascii="Times New Roman" w:hAnsi="Times New Roman" w:cs="Times New Roman"/>
          <w:sz w:val="24"/>
          <w:szCs w:val="24"/>
          <w:lang w:val="en-GB"/>
        </w:rPr>
        <w:t>2,030.75 USD</w:t>
      </w:r>
      <w:r w:rsidRPr="00720A38">
        <w:rPr>
          <w:rFonts w:ascii="Times New Roman" w:hAnsi="Times New Roman" w:cs="Times New Roman"/>
          <w:sz w:val="24"/>
          <w:szCs w:val="24"/>
        </w:rPr>
        <w:t>), followed by T5 (</w:t>
      </w:r>
      <w:r w:rsidRPr="00720A38">
        <w:rPr>
          <w:rFonts w:ascii="Times New Roman" w:hAnsi="Times New Roman" w:cs="Times New Roman"/>
          <w:sz w:val="24"/>
          <w:szCs w:val="24"/>
          <w:lang w:val="en-GB"/>
        </w:rPr>
        <w:t>2,148.21</w:t>
      </w:r>
      <w:r w:rsidRPr="00720A38">
        <w:rPr>
          <w:rFonts w:ascii="Times New Roman" w:hAnsi="Times New Roman" w:cs="Times New Roman"/>
          <w:sz w:val="24"/>
          <w:szCs w:val="24"/>
        </w:rPr>
        <w:t>). Trt1 also recorded the highest benefit-cost (B:C) ratio of 3.53, with Trt5 close behind at 3.29. In contrast, the lowest net returns (</w:t>
      </w:r>
      <w:r w:rsidRPr="00720A38">
        <w:rPr>
          <w:rFonts w:ascii="Times New Roman" w:hAnsi="Times New Roman" w:cs="Times New Roman"/>
          <w:sz w:val="24"/>
          <w:szCs w:val="24"/>
          <w:lang w:val="en-GB"/>
        </w:rPr>
        <w:t>1,832.56</w:t>
      </w:r>
      <w:r w:rsidRPr="00720A38">
        <w:rPr>
          <w:rFonts w:ascii="Times New Roman" w:hAnsi="Times New Roman" w:cs="Times New Roman"/>
          <w:sz w:val="24"/>
          <w:szCs w:val="24"/>
        </w:rPr>
        <w:t>) and B:C ratio (2.31) were observed in the control treatment (Trt9).</w:t>
      </w:r>
      <w:r>
        <w:rPr>
          <w:rFonts w:ascii="Times New Roman" w:hAnsi="Times New Roman" w:cs="Times New Roman"/>
          <w:sz w:val="24"/>
          <w:szCs w:val="24"/>
        </w:rPr>
        <w:t>(Table 3).</w:t>
      </w:r>
    </w:p>
    <w:p w14:paraId="02466200" w14:textId="77777777" w:rsidR="00084614" w:rsidRDefault="00084614" w:rsidP="00084614">
      <w:pPr>
        <w:spacing w:line="240" w:lineRule="auto"/>
        <w:ind w:firstLine="720"/>
        <w:rPr>
          <w:rFonts w:ascii="Times New Roman" w:hAnsi="Times New Roman" w:cs="Times New Roman"/>
          <w:sz w:val="24"/>
          <w:szCs w:val="24"/>
        </w:rPr>
      </w:pPr>
    </w:p>
    <w:p w14:paraId="612A5DE2" w14:textId="77777777" w:rsidR="00084614" w:rsidRDefault="00084614" w:rsidP="00084614">
      <w:pPr>
        <w:spacing w:line="240" w:lineRule="auto"/>
        <w:ind w:firstLine="720"/>
        <w:rPr>
          <w:rFonts w:ascii="Times New Roman" w:hAnsi="Times New Roman" w:cs="Times New Roman"/>
          <w:sz w:val="24"/>
          <w:szCs w:val="24"/>
        </w:rPr>
      </w:pPr>
    </w:p>
    <w:p w14:paraId="316096AC" w14:textId="77777777" w:rsidR="00084614" w:rsidRDefault="00084614" w:rsidP="00084614">
      <w:pPr>
        <w:spacing w:line="240" w:lineRule="auto"/>
        <w:ind w:firstLine="720"/>
        <w:rPr>
          <w:rFonts w:ascii="Times New Roman" w:hAnsi="Times New Roman" w:cs="Times New Roman"/>
          <w:sz w:val="24"/>
          <w:szCs w:val="24"/>
        </w:rPr>
      </w:pPr>
    </w:p>
    <w:p w14:paraId="618120B8" w14:textId="77777777" w:rsidR="00084614" w:rsidRDefault="00084614" w:rsidP="004A7822">
      <w:pPr>
        <w:spacing w:after="120" w:line="240" w:lineRule="auto"/>
        <w:ind w:firstLine="720"/>
        <w:jc w:val="both"/>
        <w:rPr>
          <w:rFonts w:ascii="Times New Roman" w:hAnsi="Times New Roman" w:cs="Times New Roman"/>
          <w:sz w:val="24"/>
          <w:szCs w:val="24"/>
          <w:lang w:eastAsia="en-IN"/>
        </w:rPr>
        <w:sectPr w:rsidR="00084614" w:rsidSect="008017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pPr w:leftFromText="180" w:rightFromText="180" w:vertAnchor="page" w:horzAnchor="margin" w:tblpXSpec="center" w:tblpY="1651"/>
        <w:tblW w:w="1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363"/>
        <w:gridCol w:w="1825"/>
        <w:gridCol w:w="1825"/>
        <w:gridCol w:w="1672"/>
        <w:gridCol w:w="1369"/>
        <w:gridCol w:w="1369"/>
        <w:gridCol w:w="1369"/>
      </w:tblGrid>
      <w:tr w:rsidR="0024302B" w:rsidRPr="0006139A" w14:paraId="52DDD008" w14:textId="77777777" w:rsidTr="00DE1D6A">
        <w:trPr>
          <w:trHeight w:val="1268"/>
        </w:trPr>
        <w:tc>
          <w:tcPr>
            <w:tcW w:w="3510" w:type="dxa"/>
          </w:tcPr>
          <w:p w14:paraId="31D123B0" w14:textId="77777777" w:rsidR="0024302B" w:rsidRPr="0006139A" w:rsidRDefault="0024302B" w:rsidP="00DE1D6A">
            <w:pPr>
              <w:spacing w:before="40" w:after="0" w:line="240" w:lineRule="auto"/>
              <w:jc w:val="center"/>
              <w:rPr>
                <w:rFonts w:ascii="Times New Roman" w:hAnsi="Times New Roman"/>
                <w:b/>
                <w:sz w:val="24"/>
                <w:szCs w:val="24"/>
              </w:rPr>
            </w:pPr>
            <w:r w:rsidRPr="0006139A">
              <w:rPr>
                <w:rFonts w:ascii="Times New Roman" w:hAnsi="Times New Roman"/>
                <w:b/>
                <w:sz w:val="24"/>
                <w:szCs w:val="24"/>
              </w:rPr>
              <w:lastRenderedPageBreak/>
              <w:t>Treatments</w:t>
            </w:r>
          </w:p>
        </w:tc>
        <w:tc>
          <w:tcPr>
            <w:tcW w:w="1363" w:type="dxa"/>
          </w:tcPr>
          <w:p w14:paraId="3F52DF8B"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Number of bolters per plant</w:t>
            </w:r>
          </w:p>
        </w:tc>
        <w:tc>
          <w:tcPr>
            <w:tcW w:w="1825" w:type="dxa"/>
          </w:tcPr>
          <w:p w14:paraId="6956B1B5" w14:textId="77777777" w:rsidR="0024302B"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 xml:space="preserve">Days to 50 % </w:t>
            </w:r>
          </w:p>
          <w:p w14:paraId="3DEC614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bolting</w:t>
            </w:r>
          </w:p>
        </w:tc>
        <w:tc>
          <w:tcPr>
            <w:tcW w:w="1825" w:type="dxa"/>
          </w:tcPr>
          <w:p w14:paraId="305C58DA" w14:textId="77777777" w:rsidR="0024302B"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 xml:space="preserve">Size of umbel </w:t>
            </w:r>
          </w:p>
          <w:p w14:paraId="61C9734B"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(cm)</w:t>
            </w:r>
          </w:p>
        </w:tc>
        <w:tc>
          <w:tcPr>
            <w:tcW w:w="1672" w:type="dxa"/>
          </w:tcPr>
          <w:p w14:paraId="0858E4C2"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Number of seeds per umbel</w:t>
            </w:r>
          </w:p>
        </w:tc>
        <w:tc>
          <w:tcPr>
            <w:tcW w:w="1369" w:type="dxa"/>
          </w:tcPr>
          <w:p w14:paraId="554C9827"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w:t>
            </w:r>
            <w:r w:rsidRPr="00FB2927">
              <w:rPr>
                <w:rFonts w:ascii="Times New Roman" w:hAnsi="Times New Roman"/>
                <w:b/>
                <w:sz w:val="24"/>
                <w:szCs w:val="24"/>
              </w:rPr>
              <w:t xml:space="preserve">er plant </w:t>
            </w:r>
          </w:p>
          <w:p w14:paraId="7675FA6A"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(g)</w:t>
            </w:r>
          </w:p>
        </w:tc>
        <w:tc>
          <w:tcPr>
            <w:tcW w:w="1369" w:type="dxa"/>
          </w:tcPr>
          <w:p w14:paraId="2714A414"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plot </w:t>
            </w:r>
          </w:p>
          <w:p w14:paraId="5DE75893"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(kg)</w:t>
            </w:r>
          </w:p>
        </w:tc>
        <w:tc>
          <w:tcPr>
            <w:tcW w:w="1369" w:type="dxa"/>
          </w:tcPr>
          <w:p w14:paraId="0F3DD9EB"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hectare</w:t>
            </w:r>
            <w:r>
              <w:rPr>
                <w:rFonts w:ascii="Times New Roman" w:hAnsi="Times New Roman"/>
                <w:b/>
                <w:sz w:val="24"/>
                <w:szCs w:val="24"/>
              </w:rPr>
              <w:t xml:space="preserve"> </w:t>
            </w:r>
            <w:r w:rsidRPr="00FB2927">
              <w:rPr>
                <w:rFonts w:ascii="Times New Roman" w:hAnsi="Times New Roman"/>
                <w:b/>
                <w:sz w:val="24"/>
                <w:szCs w:val="24"/>
              </w:rPr>
              <w:t>(kg)</w:t>
            </w:r>
          </w:p>
        </w:tc>
      </w:tr>
      <w:tr w:rsidR="0024302B" w:rsidRPr="0006139A" w14:paraId="0547D89F" w14:textId="77777777" w:rsidTr="00DE1D6A">
        <w:trPr>
          <w:trHeight w:val="374"/>
        </w:trPr>
        <w:tc>
          <w:tcPr>
            <w:tcW w:w="3510" w:type="dxa"/>
          </w:tcPr>
          <w:p w14:paraId="22829D92"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363" w:type="dxa"/>
            <w:vAlign w:val="center"/>
          </w:tcPr>
          <w:p w14:paraId="07E3BBA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8.63</w:t>
            </w:r>
          </w:p>
        </w:tc>
        <w:tc>
          <w:tcPr>
            <w:tcW w:w="1825" w:type="dxa"/>
            <w:vAlign w:val="center"/>
          </w:tcPr>
          <w:p w14:paraId="46A22EA3"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91.33</w:t>
            </w:r>
          </w:p>
        </w:tc>
        <w:tc>
          <w:tcPr>
            <w:tcW w:w="1825" w:type="dxa"/>
            <w:vAlign w:val="center"/>
          </w:tcPr>
          <w:p w14:paraId="56E3F58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7.34</w:t>
            </w:r>
          </w:p>
        </w:tc>
        <w:tc>
          <w:tcPr>
            <w:tcW w:w="1672" w:type="dxa"/>
            <w:vAlign w:val="center"/>
          </w:tcPr>
          <w:p w14:paraId="025060B2"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1134.80</w:t>
            </w:r>
          </w:p>
        </w:tc>
        <w:tc>
          <w:tcPr>
            <w:tcW w:w="1369" w:type="dxa"/>
            <w:vAlign w:val="center"/>
          </w:tcPr>
          <w:p w14:paraId="609A35C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16.55</w:t>
            </w:r>
          </w:p>
        </w:tc>
        <w:tc>
          <w:tcPr>
            <w:tcW w:w="1369" w:type="dxa"/>
            <w:vAlign w:val="center"/>
          </w:tcPr>
          <w:p w14:paraId="170EC89A"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0.331</w:t>
            </w:r>
          </w:p>
        </w:tc>
        <w:tc>
          <w:tcPr>
            <w:tcW w:w="1369" w:type="dxa"/>
            <w:vAlign w:val="center"/>
          </w:tcPr>
          <w:p w14:paraId="2D327F3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764.21</w:t>
            </w:r>
          </w:p>
        </w:tc>
      </w:tr>
      <w:tr w:rsidR="0024302B" w:rsidRPr="0006139A" w14:paraId="5FD22830" w14:textId="77777777" w:rsidTr="00DE1D6A">
        <w:trPr>
          <w:trHeight w:val="374"/>
        </w:trPr>
        <w:tc>
          <w:tcPr>
            <w:tcW w:w="3510" w:type="dxa"/>
          </w:tcPr>
          <w:p w14:paraId="304E0B9A"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363" w:type="dxa"/>
            <w:vAlign w:val="center"/>
          </w:tcPr>
          <w:p w14:paraId="3D1FE37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7.70</w:t>
            </w:r>
          </w:p>
        </w:tc>
        <w:tc>
          <w:tcPr>
            <w:tcW w:w="1825" w:type="dxa"/>
            <w:vAlign w:val="center"/>
          </w:tcPr>
          <w:p w14:paraId="0B673CBB"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92.33</w:t>
            </w:r>
          </w:p>
        </w:tc>
        <w:tc>
          <w:tcPr>
            <w:tcW w:w="1825" w:type="dxa"/>
            <w:vAlign w:val="center"/>
          </w:tcPr>
          <w:p w14:paraId="12919140"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6.82</w:t>
            </w:r>
          </w:p>
        </w:tc>
        <w:tc>
          <w:tcPr>
            <w:tcW w:w="1672" w:type="dxa"/>
            <w:vAlign w:val="center"/>
          </w:tcPr>
          <w:p w14:paraId="757E0A6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975.43</w:t>
            </w:r>
          </w:p>
        </w:tc>
        <w:tc>
          <w:tcPr>
            <w:tcW w:w="1369" w:type="dxa"/>
            <w:vAlign w:val="center"/>
          </w:tcPr>
          <w:p w14:paraId="7F612C0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14.15</w:t>
            </w:r>
          </w:p>
        </w:tc>
        <w:tc>
          <w:tcPr>
            <w:tcW w:w="1369" w:type="dxa"/>
            <w:vAlign w:val="center"/>
          </w:tcPr>
          <w:p w14:paraId="4DE35EC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0.283</w:t>
            </w:r>
          </w:p>
        </w:tc>
        <w:tc>
          <w:tcPr>
            <w:tcW w:w="1369" w:type="dxa"/>
            <w:vAlign w:val="center"/>
          </w:tcPr>
          <w:p w14:paraId="26B744A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653.39</w:t>
            </w:r>
          </w:p>
        </w:tc>
      </w:tr>
      <w:tr w:rsidR="0024302B" w:rsidRPr="0006139A" w14:paraId="31FE5530" w14:textId="77777777" w:rsidTr="00DE1D6A">
        <w:trPr>
          <w:trHeight w:val="364"/>
        </w:trPr>
        <w:tc>
          <w:tcPr>
            <w:tcW w:w="3510" w:type="dxa"/>
          </w:tcPr>
          <w:p w14:paraId="1C5CB200"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363" w:type="dxa"/>
            <w:vAlign w:val="center"/>
          </w:tcPr>
          <w:p w14:paraId="2B25677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8.13</w:t>
            </w:r>
          </w:p>
        </w:tc>
        <w:tc>
          <w:tcPr>
            <w:tcW w:w="1825" w:type="dxa"/>
            <w:vAlign w:val="center"/>
          </w:tcPr>
          <w:p w14:paraId="54FE31C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97.66</w:t>
            </w:r>
          </w:p>
        </w:tc>
        <w:tc>
          <w:tcPr>
            <w:tcW w:w="1825" w:type="dxa"/>
            <w:vAlign w:val="center"/>
          </w:tcPr>
          <w:p w14:paraId="36C9071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6.90</w:t>
            </w:r>
          </w:p>
        </w:tc>
        <w:tc>
          <w:tcPr>
            <w:tcW w:w="1672" w:type="dxa"/>
            <w:vAlign w:val="center"/>
          </w:tcPr>
          <w:p w14:paraId="592309F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1101.66</w:t>
            </w:r>
          </w:p>
        </w:tc>
        <w:tc>
          <w:tcPr>
            <w:tcW w:w="1369" w:type="dxa"/>
            <w:vAlign w:val="center"/>
          </w:tcPr>
          <w:p w14:paraId="3041996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14.96</w:t>
            </w:r>
          </w:p>
        </w:tc>
        <w:tc>
          <w:tcPr>
            <w:tcW w:w="1369" w:type="dxa"/>
            <w:vAlign w:val="center"/>
          </w:tcPr>
          <w:p w14:paraId="5FA5D98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0.299</w:t>
            </w:r>
          </w:p>
        </w:tc>
        <w:tc>
          <w:tcPr>
            <w:tcW w:w="1369" w:type="dxa"/>
            <w:vAlign w:val="center"/>
          </w:tcPr>
          <w:p w14:paraId="78961DB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758.05</w:t>
            </w:r>
          </w:p>
        </w:tc>
      </w:tr>
      <w:tr w:rsidR="0024302B" w:rsidRPr="0006139A" w14:paraId="51853698" w14:textId="77777777" w:rsidTr="00DE1D6A">
        <w:trPr>
          <w:trHeight w:val="655"/>
        </w:trPr>
        <w:tc>
          <w:tcPr>
            <w:tcW w:w="3510" w:type="dxa"/>
          </w:tcPr>
          <w:p w14:paraId="0516E157" w14:textId="77777777" w:rsidR="0024302B" w:rsidRPr="000F40DB" w:rsidRDefault="0024302B" w:rsidP="00DE1D6A">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363" w:type="dxa"/>
            <w:vAlign w:val="center"/>
          </w:tcPr>
          <w:p w14:paraId="59CF845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7.43</w:t>
            </w:r>
          </w:p>
        </w:tc>
        <w:tc>
          <w:tcPr>
            <w:tcW w:w="1825" w:type="dxa"/>
            <w:vAlign w:val="center"/>
          </w:tcPr>
          <w:p w14:paraId="09151796"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99.33</w:t>
            </w:r>
          </w:p>
        </w:tc>
        <w:tc>
          <w:tcPr>
            <w:tcW w:w="1825" w:type="dxa"/>
            <w:vAlign w:val="center"/>
          </w:tcPr>
          <w:p w14:paraId="0936936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6.29</w:t>
            </w:r>
          </w:p>
        </w:tc>
        <w:tc>
          <w:tcPr>
            <w:tcW w:w="1672" w:type="dxa"/>
            <w:vAlign w:val="center"/>
          </w:tcPr>
          <w:p w14:paraId="0DC0F1C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819.56</w:t>
            </w:r>
          </w:p>
        </w:tc>
        <w:tc>
          <w:tcPr>
            <w:tcW w:w="1369" w:type="dxa"/>
            <w:vAlign w:val="center"/>
          </w:tcPr>
          <w:p w14:paraId="3E08AE6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13.63</w:t>
            </w:r>
          </w:p>
        </w:tc>
        <w:tc>
          <w:tcPr>
            <w:tcW w:w="1369" w:type="dxa"/>
            <w:vAlign w:val="center"/>
          </w:tcPr>
          <w:p w14:paraId="6E1734A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0.273</w:t>
            </w:r>
          </w:p>
        </w:tc>
        <w:tc>
          <w:tcPr>
            <w:tcW w:w="1369" w:type="dxa"/>
            <w:vAlign w:val="center"/>
          </w:tcPr>
          <w:p w14:paraId="0B4AD976"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629.53</w:t>
            </w:r>
          </w:p>
        </w:tc>
      </w:tr>
      <w:tr w:rsidR="0024302B" w:rsidRPr="0006139A" w14:paraId="24503DEC" w14:textId="77777777" w:rsidTr="00DE1D6A">
        <w:trPr>
          <w:trHeight w:val="665"/>
        </w:trPr>
        <w:tc>
          <w:tcPr>
            <w:tcW w:w="3510" w:type="dxa"/>
          </w:tcPr>
          <w:p w14:paraId="7E8C3DEE" w14:textId="77777777" w:rsidR="0024302B" w:rsidRPr="000F40DB" w:rsidRDefault="0024302B" w:rsidP="00DE1D6A">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363" w:type="dxa"/>
            <w:vAlign w:val="center"/>
          </w:tcPr>
          <w:p w14:paraId="6530D60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8.53</w:t>
            </w:r>
          </w:p>
        </w:tc>
        <w:tc>
          <w:tcPr>
            <w:tcW w:w="1825" w:type="dxa"/>
            <w:vAlign w:val="center"/>
          </w:tcPr>
          <w:p w14:paraId="1D90EE5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93.33</w:t>
            </w:r>
          </w:p>
        </w:tc>
        <w:tc>
          <w:tcPr>
            <w:tcW w:w="1825" w:type="dxa"/>
            <w:vAlign w:val="center"/>
          </w:tcPr>
          <w:p w14:paraId="5C155BB9"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7.10</w:t>
            </w:r>
          </w:p>
        </w:tc>
        <w:tc>
          <w:tcPr>
            <w:tcW w:w="1672" w:type="dxa"/>
            <w:vAlign w:val="center"/>
          </w:tcPr>
          <w:p w14:paraId="3A6C9E4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1079.30</w:t>
            </w:r>
          </w:p>
        </w:tc>
        <w:tc>
          <w:tcPr>
            <w:tcW w:w="1369" w:type="dxa"/>
            <w:vAlign w:val="center"/>
          </w:tcPr>
          <w:p w14:paraId="7401BE7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16.60</w:t>
            </w:r>
          </w:p>
        </w:tc>
        <w:tc>
          <w:tcPr>
            <w:tcW w:w="1369" w:type="dxa"/>
            <w:vAlign w:val="center"/>
          </w:tcPr>
          <w:p w14:paraId="01F5F5C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0.332</w:t>
            </w:r>
          </w:p>
        </w:tc>
        <w:tc>
          <w:tcPr>
            <w:tcW w:w="1369" w:type="dxa"/>
            <w:vAlign w:val="center"/>
          </w:tcPr>
          <w:p w14:paraId="53E21BC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766.52</w:t>
            </w:r>
          </w:p>
        </w:tc>
      </w:tr>
      <w:tr w:rsidR="0024302B" w:rsidRPr="0006139A" w14:paraId="2F6CA7CD" w14:textId="77777777" w:rsidTr="00DE1D6A">
        <w:trPr>
          <w:trHeight w:val="935"/>
        </w:trPr>
        <w:tc>
          <w:tcPr>
            <w:tcW w:w="3510" w:type="dxa"/>
          </w:tcPr>
          <w:p w14:paraId="356439B0"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363" w:type="dxa"/>
            <w:vAlign w:val="center"/>
          </w:tcPr>
          <w:p w14:paraId="6105DC3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7.83</w:t>
            </w:r>
          </w:p>
        </w:tc>
        <w:tc>
          <w:tcPr>
            <w:tcW w:w="1825" w:type="dxa"/>
            <w:vAlign w:val="center"/>
          </w:tcPr>
          <w:p w14:paraId="38DD3A0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96.66</w:t>
            </w:r>
          </w:p>
        </w:tc>
        <w:tc>
          <w:tcPr>
            <w:tcW w:w="1825" w:type="dxa"/>
            <w:vAlign w:val="center"/>
          </w:tcPr>
          <w:p w14:paraId="1A085D3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6.64</w:t>
            </w:r>
          </w:p>
        </w:tc>
        <w:tc>
          <w:tcPr>
            <w:tcW w:w="1672" w:type="dxa"/>
            <w:vAlign w:val="center"/>
          </w:tcPr>
          <w:p w14:paraId="4DEDAB3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860.93</w:t>
            </w:r>
          </w:p>
        </w:tc>
        <w:tc>
          <w:tcPr>
            <w:tcW w:w="1369" w:type="dxa"/>
            <w:vAlign w:val="center"/>
          </w:tcPr>
          <w:p w14:paraId="31CDACA7"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13.86</w:t>
            </w:r>
          </w:p>
        </w:tc>
        <w:tc>
          <w:tcPr>
            <w:tcW w:w="1369" w:type="dxa"/>
            <w:vAlign w:val="center"/>
          </w:tcPr>
          <w:p w14:paraId="3A65567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0.277</w:t>
            </w:r>
          </w:p>
        </w:tc>
        <w:tc>
          <w:tcPr>
            <w:tcW w:w="1369" w:type="dxa"/>
            <w:vAlign w:val="center"/>
          </w:tcPr>
          <w:p w14:paraId="5CB1E35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711.11</w:t>
            </w:r>
          </w:p>
        </w:tc>
      </w:tr>
      <w:tr w:rsidR="0024302B" w:rsidRPr="0006139A" w14:paraId="24E60059" w14:textId="77777777" w:rsidTr="00DE1D6A">
        <w:trPr>
          <w:trHeight w:val="665"/>
        </w:trPr>
        <w:tc>
          <w:tcPr>
            <w:tcW w:w="3510" w:type="dxa"/>
          </w:tcPr>
          <w:p w14:paraId="766E39B6"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363" w:type="dxa"/>
            <w:vAlign w:val="center"/>
          </w:tcPr>
          <w:p w14:paraId="7DA8FDF0"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7.56</w:t>
            </w:r>
          </w:p>
        </w:tc>
        <w:tc>
          <w:tcPr>
            <w:tcW w:w="1825" w:type="dxa"/>
            <w:vAlign w:val="center"/>
          </w:tcPr>
          <w:p w14:paraId="5722E5E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97.33</w:t>
            </w:r>
          </w:p>
        </w:tc>
        <w:tc>
          <w:tcPr>
            <w:tcW w:w="1825" w:type="dxa"/>
            <w:vAlign w:val="center"/>
          </w:tcPr>
          <w:p w14:paraId="70DBE48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6.78</w:t>
            </w:r>
          </w:p>
        </w:tc>
        <w:tc>
          <w:tcPr>
            <w:tcW w:w="1672" w:type="dxa"/>
            <w:vAlign w:val="center"/>
          </w:tcPr>
          <w:p w14:paraId="3EDA0B2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946.93</w:t>
            </w:r>
          </w:p>
        </w:tc>
        <w:tc>
          <w:tcPr>
            <w:tcW w:w="1369" w:type="dxa"/>
            <w:vAlign w:val="center"/>
          </w:tcPr>
          <w:p w14:paraId="4DEB567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12.83</w:t>
            </w:r>
          </w:p>
        </w:tc>
        <w:tc>
          <w:tcPr>
            <w:tcW w:w="1369" w:type="dxa"/>
            <w:vAlign w:val="center"/>
          </w:tcPr>
          <w:p w14:paraId="58604DD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0.257</w:t>
            </w:r>
          </w:p>
        </w:tc>
        <w:tc>
          <w:tcPr>
            <w:tcW w:w="1369" w:type="dxa"/>
            <w:vAlign w:val="center"/>
          </w:tcPr>
          <w:p w14:paraId="01975008"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592.59</w:t>
            </w:r>
          </w:p>
        </w:tc>
      </w:tr>
      <w:tr w:rsidR="0024302B" w:rsidRPr="0006139A" w14:paraId="517F3D74" w14:textId="77777777" w:rsidTr="00DE1D6A">
        <w:trPr>
          <w:trHeight w:val="655"/>
        </w:trPr>
        <w:tc>
          <w:tcPr>
            <w:tcW w:w="3510" w:type="dxa"/>
          </w:tcPr>
          <w:p w14:paraId="26A82E13"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363" w:type="dxa"/>
            <w:vAlign w:val="center"/>
          </w:tcPr>
          <w:p w14:paraId="1CFC68C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7.73</w:t>
            </w:r>
          </w:p>
        </w:tc>
        <w:tc>
          <w:tcPr>
            <w:tcW w:w="1825" w:type="dxa"/>
            <w:vAlign w:val="center"/>
          </w:tcPr>
          <w:p w14:paraId="1A4C82A2"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98.00</w:t>
            </w:r>
          </w:p>
        </w:tc>
        <w:tc>
          <w:tcPr>
            <w:tcW w:w="1825" w:type="dxa"/>
            <w:vAlign w:val="center"/>
          </w:tcPr>
          <w:p w14:paraId="043C450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7.12</w:t>
            </w:r>
          </w:p>
        </w:tc>
        <w:tc>
          <w:tcPr>
            <w:tcW w:w="1672" w:type="dxa"/>
            <w:vAlign w:val="center"/>
          </w:tcPr>
          <w:p w14:paraId="172FDF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982.00</w:t>
            </w:r>
          </w:p>
        </w:tc>
        <w:tc>
          <w:tcPr>
            <w:tcW w:w="1369" w:type="dxa"/>
            <w:vAlign w:val="center"/>
          </w:tcPr>
          <w:p w14:paraId="229AAF8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15.46</w:t>
            </w:r>
          </w:p>
        </w:tc>
        <w:tc>
          <w:tcPr>
            <w:tcW w:w="1369" w:type="dxa"/>
            <w:vAlign w:val="center"/>
          </w:tcPr>
          <w:p w14:paraId="234B965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0.309</w:t>
            </w:r>
          </w:p>
        </w:tc>
        <w:tc>
          <w:tcPr>
            <w:tcW w:w="1369" w:type="dxa"/>
            <w:vAlign w:val="center"/>
          </w:tcPr>
          <w:p w14:paraId="25D402E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762.68</w:t>
            </w:r>
          </w:p>
        </w:tc>
      </w:tr>
      <w:tr w:rsidR="0024302B" w:rsidRPr="0006139A" w14:paraId="3552BA28" w14:textId="77777777" w:rsidTr="00DE1D6A">
        <w:trPr>
          <w:trHeight w:val="364"/>
        </w:trPr>
        <w:tc>
          <w:tcPr>
            <w:tcW w:w="3510" w:type="dxa"/>
          </w:tcPr>
          <w:p w14:paraId="196566D1" w14:textId="77777777" w:rsidR="0024302B" w:rsidRPr="000F40DB" w:rsidRDefault="0024302B" w:rsidP="00DE1D6A">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363" w:type="dxa"/>
            <w:vAlign w:val="center"/>
          </w:tcPr>
          <w:p w14:paraId="62262FB9"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5.83</w:t>
            </w:r>
          </w:p>
        </w:tc>
        <w:tc>
          <w:tcPr>
            <w:tcW w:w="1825" w:type="dxa"/>
            <w:vAlign w:val="center"/>
          </w:tcPr>
          <w:p w14:paraId="6E01B73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102.67</w:t>
            </w:r>
          </w:p>
        </w:tc>
        <w:tc>
          <w:tcPr>
            <w:tcW w:w="1825" w:type="dxa"/>
            <w:vAlign w:val="center"/>
          </w:tcPr>
          <w:p w14:paraId="52DE2E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5.83</w:t>
            </w:r>
          </w:p>
        </w:tc>
        <w:tc>
          <w:tcPr>
            <w:tcW w:w="1672" w:type="dxa"/>
            <w:vAlign w:val="center"/>
          </w:tcPr>
          <w:p w14:paraId="30A78155"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686.80</w:t>
            </w:r>
          </w:p>
        </w:tc>
        <w:tc>
          <w:tcPr>
            <w:tcW w:w="1369" w:type="dxa"/>
            <w:vAlign w:val="center"/>
          </w:tcPr>
          <w:p w14:paraId="2519782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10.93</w:t>
            </w:r>
          </w:p>
        </w:tc>
        <w:tc>
          <w:tcPr>
            <w:tcW w:w="1369" w:type="dxa"/>
            <w:vAlign w:val="center"/>
          </w:tcPr>
          <w:p w14:paraId="5D22C3E2"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0.219</w:t>
            </w:r>
          </w:p>
        </w:tc>
        <w:tc>
          <w:tcPr>
            <w:tcW w:w="1369" w:type="dxa"/>
            <w:vAlign w:val="center"/>
          </w:tcPr>
          <w:p w14:paraId="19C1A7E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504.86</w:t>
            </w:r>
          </w:p>
        </w:tc>
      </w:tr>
      <w:tr w:rsidR="0024302B" w:rsidRPr="0006139A" w14:paraId="4B9875BB" w14:textId="77777777" w:rsidTr="00DE1D6A">
        <w:trPr>
          <w:trHeight w:val="374"/>
        </w:trPr>
        <w:tc>
          <w:tcPr>
            <w:tcW w:w="3510" w:type="dxa"/>
          </w:tcPr>
          <w:p w14:paraId="41BC72B0" w14:textId="77777777" w:rsidR="0024302B" w:rsidRPr="0006139A" w:rsidRDefault="0024302B" w:rsidP="00DE1D6A">
            <w:pPr>
              <w:spacing w:before="40" w:after="0" w:line="240" w:lineRule="auto"/>
              <w:rPr>
                <w:rFonts w:ascii="Times New Roman" w:hAnsi="Times New Roman"/>
                <w:b/>
                <w:sz w:val="24"/>
                <w:szCs w:val="24"/>
              </w:rPr>
            </w:pPr>
            <w:r w:rsidRPr="0006139A">
              <w:rPr>
                <w:rFonts w:ascii="Times New Roman" w:hAnsi="Times New Roman"/>
                <w:b/>
                <w:sz w:val="24"/>
                <w:szCs w:val="24"/>
              </w:rPr>
              <w:t>Mean</w:t>
            </w:r>
          </w:p>
        </w:tc>
        <w:tc>
          <w:tcPr>
            <w:tcW w:w="1363" w:type="dxa"/>
          </w:tcPr>
          <w:p w14:paraId="7588A1D3"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7.71</w:t>
            </w:r>
          </w:p>
        </w:tc>
        <w:tc>
          <w:tcPr>
            <w:tcW w:w="1825" w:type="dxa"/>
          </w:tcPr>
          <w:p w14:paraId="15B51E5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97.18</w:t>
            </w:r>
          </w:p>
        </w:tc>
        <w:tc>
          <w:tcPr>
            <w:tcW w:w="1825" w:type="dxa"/>
          </w:tcPr>
          <w:p w14:paraId="60594DF6"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6.75</w:t>
            </w:r>
          </w:p>
        </w:tc>
        <w:tc>
          <w:tcPr>
            <w:tcW w:w="1672" w:type="dxa"/>
          </w:tcPr>
          <w:p w14:paraId="5D10C137"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954.15</w:t>
            </w:r>
          </w:p>
        </w:tc>
        <w:tc>
          <w:tcPr>
            <w:tcW w:w="1369" w:type="dxa"/>
          </w:tcPr>
          <w:p w14:paraId="66D13591"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14.33</w:t>
            </w:r>
          </w:p>
        </w:tc>
        <w:tc>
          <w:tcPr>
            <w:tcW w:w="1369" w:type="dxa"/>
          </w:tcPr>
          <w:p w14:paraId="0300ECAC"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0.286</w:t>
            </w:r>
          </w:p>
        </w:tc>
        <w:tc>
          <w:tcPr>
            <w:tcW w:w="1369" w:type="dxa"/>
          </w:tcPr>
          <w:p w14:paraId="558432AA"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682.54</w:t>
            </w:r>
          </w:p>
        </w:tc>
      </w:tr>
      <w:tr w:rsidR="0024302B" w:rsidRPr="0006139A" w14:paraId="4DBA3666" w14:textId="77777777" w:rsidTr="00DE1D6A">
        <w:trPr>
          <w:trHeight w:val="374"/>
        </w:trPr>
        <w:tc>
          <w:tcPr>
            <w:tcW w:w="3510" w:type="dxa"/>
          </w:tcPr>
          <w:p w14:paraId="32E96CD6" w14:textId="77777777" w:rsidR="0024302B" w:rsidRPr="0006139A" w:rsidRDefault="0024302B" w:rsidP="00DE1D6A">
            <w:pPr>
              <w:spacing w:before="40" w:after="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363" w:type="dxa"/>
          </w:tcPr>
          <w:p w14:paraId="400128C8"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0.65</w:t>
            </w:r>
          </w:p>
        </w:tc>
        <w:tc>
          <w:tcPr>
            <w:tcW w:w="1825" w:type="dxa"/>
          </w:tcPr>
          <w:p w14:paraId="07864EBC"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4.94</w:t>
            </w:r>
          </w:p>
        </w:tc>
        <w:tc>
          <w:tcPr>
            <w:tcW w:w="1825" w:type="dxa"/>
          </w:tcPr>
          <w:p w14:paraId="4687401D"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0.45</w:t>
            </w:r>
          </w:p>
        </w:tc>
        <w:tc>
          <w:tcPr>
            <w:tcW w:w="1672" w:type="dxa"/>
          </w:tcPr>
          <w:p w14:paraId="4DB36CC1"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127.71</w:t>
            </w:r>
          </w:p>
        </w:tc>
        <w:tc>
          <w:tcPr>
            <w:tcW w:w="1369" w:type="dxa"/>
          </w:tcPr>
          <w:p w14:paraId="7760083E"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1.54</w:t>
            </w:r>
          </w:p>
        </w:tc>
        <w:tc>
          <w:tcPr>
            <w:tcW w:w="1369" w:type="dxa"/>
          </w:tcPr>
          <w:p w14:paraId="3A293473"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0.031</w:t>
            </w:r>
          </w:p>
        </w:tc>
        <w:tc>
          <w:tcPr>
            <w:tcW w:w="1369" w:type="dxa"/>
          </w:tcPr>
          <w:p w14:paraId="59CDF844"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93.93</w:t>
            </w:r>
          </w:p>
        </w:tc>
      </w:tr>
    </w:tbl>
    <w:p w14:paraId="7BC5BDE5" w14:textId="77777777" w:rsidR="0024302B" w:rsidRDefault="0024302B" w:rsidP="00FA3849">
      <w:pPr>
        <w:spacing w:after="120" w:line="240" w:lineRule="auto"/>
        <w:jc w:val="both"/>
        <w:rPr>
          <w:rFonts w:ascii="Times New Roman" w:hAnsi="Times New Roman" w:cs="Times New Roman"/>
          <w:b/>
          <w:sz w:val="24"/>
          <w:szCs w:val="24"/>
          <w:lang w:eastAsia="en-IN"/>
        </w:rPr>
      </w:pPr>
    </w:p>
    <w:p w14:paraId="6C12E809" w14:textId="77777777" w:rsidR="0024302B" w:rsidRDefault="00FA3849" w:rsidP="004A7822">
      <w:pPr>
        <w:spacing w:after="120" w:line="240" w:lineRule="auto"/>
        <w:ind w:firstLine="720"/>
        <w:jc w:val="both"/>
        <w:rPr>
          <w:rFonts w:ascii="Times New Roman" w:hAnsi="Times New Roman" w:cs="Times New Roman"/>
          <w:b/>
          <w:sz w:val="24"/>
          <w:szCs w:val="24"/>
          <w:lang w:eastAsia="en-IN"/>
        </w:rPr>
      </w:pPr>
      <w:r>
        <w:rPr>
          <w:rFonts w:ascii="Times New Roman" w:hAnsi="Times New Roman" w:cs="Times New Roman"/>
          <w:b/>
          <w:sz w:val="24"/>
          <w:szCs w:val="24"/>
          <w:lang w:val="en-GB"/>
        </w:rPr>
        <w:t xml:space="preserve">                Table 1</w:t>
      </w:r>
      <w:r w:rsidRPr="00123278">
        <w:rPr>
          <w:rFonts w:ascii="Times New Roman" w:hAnsi="Times New Roman" w:cs="Times New Roman"/>
          <w:b/>
          <w:sz w:val="24"/>
          <w:szCs w:val="24"/>
          <w:lang w:val="en-GB"/>
        </w:rPr>
        <w:t xml:space="preserve">  Effect of different nitrogen fertilizers on various growth and yield parameters</w:t>
      </w:r>
      <w:r>
        <w:rPr>
          <w:rFonts w:ascii="Times New Roman" w:hAnsi="Times New Roman" w:cs="Times New Roman"/>
          <w:b/>
          <w:sz w:val="24"/>
          <w:szCs w:val="24"/>
          <w:lang w:val="en-GB"/>
        </w:rPr>
        <w:t xml:space="preserve"> in onion</w:t>
      </w:r>
    </w:p>
    <w:p w14:paraId="2C5C860D" w14:textId="77777777" w:rsidR="0024302B" w:rsidRDefault="0024302B" w:rsidP="00035C65">
      <w:pPr>
        <w:spacing w:after="120" w:line="240" w:lineRule="auto"/>
        <w:jc w:val="both"/>
        <w:rPr>
          <w:rFonts w:ascii="Times New Roman" w:hAnsi="Times New Roman" w:cs="Times New Roman"/>
          <w:b/>
          <w:sz w:val="24"/>
          <w:szCs w:val="24"/>
          <w:lang w:eastAsia="en-IN"/>
        </w:rPr>
        <w:sectPr w:rsidR="0024302B" w:rsidSect="0024302B">
          <w:pgSz w:w="16838" w:h="11906" w:orient="landscape"/>
          <w:pgMar w:top="1440" w:right="1440" w:bottom="1440" w:left="1440" w:header="709" w:footer="709" w:gutter="0"/>
          <w:cols w:space="708"/>
          <w:docGrid w:linePitch="360"/>
        </w:sectPr>
      </w:pPr>
    </w:p>
    <w:tbl>
      <w:tblPr>
        <w:tblpPr w:leftFromText="180" w:rightFromText="180" w:vertAnchor="page" w:horzAnchor="margin" w:tblpXSpec="center" w:tblpY="1651"/>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1561"/>
        <w:gridCol w:w="1616"/>
        <w:gridCol w:w="1610"/>
        <w:gridCol w:w="1472"/>
        <w:gridCol w:w="1221"/>
        <w:gridCol w:w="1164"/>
        <w:gridCol w:w="1164"/>
      </w:tblGrid>
      <w:tr w:rsidR="00084614" w:rsidRPr="00FB2927" w14:paraId="274A948F" w14:textId="77777777" w:rsidTr="00751B58">
        <w:trPr>
          <w:trHeight w:val="1103"/>
        </w:trPr>
        <w:tc>
          <w:tcPr>
            <w:tcW w:w="2633" w:type="dxa"/>
          </w:tcPr>
          <w:p w14:paraId="748F6009" w14:textId="77777777" w:rsidR="00084614" w:rsidRPr="0006139A" w:rsidRDefault="00084614" w:rsidP="00751B58">
            <w:pPr>
              <w:spacing w:before="40" w:after="40" w:line="240" w:lineRule="auto"/>
              <w:jc w:val="center"/>
              <w:rPr>
                <w:rFonts w:ascii="Times New Roman" w:hAnsi="Times New Roman"/>
                <w:b/>
                <w:sz w:val="24"/>
                <w:szCs w:val="24"/>
              </w:rPr>
            </w:pPr>
            <w:r w:rsidRPr="0006139A">
              <w:rPr>
                <w:rFonts w:ascii="Times New Roman" w:hAnsi="Times New Roman"/>
                <w:b/>
                <w:sz w:val="24"/>
                <w:szCs w:val="24"/>
              </w:rPr>
              <w:lastRenderedPageBreak/>
              <w:t>Treatments</w:t>
            </w:r>
          </w:p>
        </w:tc>
        <w:tc>
          <w:tcPr>
            <w:tcW w:w="1561" w:type="dxa"/>
          </w:tcPr>
          <w:p w14:paraId="3B6425C4" w14:textId="77777777" w:rsidR="00084614" w:rsidRPr="0019600C" w:rsidRDefault="00084614" w:rsidP="00751B58">
            <w:pPr>
              <w:spacing w:before="40" w:after="40" w:line="240" w:lineRule="auto"/>
              <w:ind w:left="-108" w:right="-119"/>
              <w:jc w:val="center"/>
              <w:rPr>
                <w:rFonts w:ascii="Times New Roman" w:hAnsi="Times New Roman"/>
                <w:b/>
                <w:sz w:val="24"/>
                <w:szCs w:val="24"/>
              </w:rPr>
            </w:pPr>
            <w:r w:rsidRPr="0019600C">
              <w:rPr>
                <w:rFonts w:ascii="Times New Roman" w:hAnsi="Times New Roman"/>
                <w:b/>
                <w:sz w:val="24"/>
                <w:szCs w:val="24"/>
              </w:rPr>
              <w:t>1000 seed weight (g)</w:t>
            </w:r>
          </w:p>
        </w:tc>
        <w:tc>
          <w:tcPr>
            <w:tcW w:w="1616" w:type="dxa"/>
          </w:tcPr>
          <w:p w14:paraId="0C09AAA5"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Germination (%)</w:t>
            </w:r>
          </w:p>
        </w:tc>
        <w:tc>
          <w:tcPr>
            <w:tcW w:w="1610" w:type="dxa"/>
          </w:tcPr>
          <w:p w14:paraId="69E438A2"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Speed of germination</w:t>
            </w:r>
          </w:p>
        </w:tc>
        <w:tc>
          <w:tcPr>
            <w:tcW w:w="1472" w:type="dxa"/>
          </w:tcPr>
          <w:p w14:paraId="735D7DA2"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length (cm)</w:t>
            </w:r>
          </w:p>
        </w:tc>
        <w:tc>
          <w:tcPr>
            <w:tcW w:w="1221" w:type="dxa"/>
          </w:tcPr>
          <w:p w14:paraId="64A9A76F"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dry weight (mg)</w:t>
            </w:r>
          </w:p>
        </w:tc>
        <w:tc>
          <w:tcPr>
            <w:tcW w:w="1164" w:type="dxa"/>
          </w:tcPr>
          <w:p w14:paraId="5B8949A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w:t>
            </w:r>
          </w:p>
        </w:tc>
        <w:tc>
          <w:tcPr>
            <w:tcW w:w="1164" w:type="dxa"/>
          </w:tcPr>
          <w:p w14:paraId="3CDA8C7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Index-II</w:t>
            </w:r>
          </w:p>
        </w:tc>
      </w:tr>
      <w:tr w:rsidR="00084614" w:rsidRPr="00314A07" w14:paraId="262CD885" w14:textId="77777777" w:rsidTr="00751B58">
        <w:trPr>
          <w:trHeight w:val="321"/>
        </w:trPr>
        <w:tc>
          <w:tcPr>
            <w:tcW w:w="2633" w:type="dxa"/>
          </w:tcPr>
          <w:p w14:paraId="7331ECB1"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561" w:type="dxa"/>
            <w:vAlign w:val="center"/>
          </w:tcPr>
          <w:p w14:paraId="5D522BB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3.90</w:t>
            </w:r>
          </w:p>
        </w:tc>
        <w:tc>
          <w:tcPr>
            <w:tcW w:w="1616" w:type="dxa"/>
            <w:vAlign w:val="bottom"/>
          </w:tcPr>
          <w:p w14:paraId="346447ED"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91.50 (9.61)</w:t>
            </w:r>
          </w:p>
        </w:tc>
        <w:tc>
          <w:tcPr>
            <w:tcW w:w="1610" w:type="dxa"/>
            <w:vAlign w:val="center"/>
          </w:tcPr>
          <w:p w14:paraId="06282246"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7.97</w:t>
            </w:r>
          </w:p>
        </w:tc>
        <w:tc>
          <w:tcPr>
            <w:tcW w:w="1472" w:type="dxa"/>
            <w:vAlign w:val="center"/>
          </w:tcPr>
          <w:p w14:paraId="4CB77C5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17.13</w:t>
            </w:r>
          </w:p>
        </w:tc>
        <w:tc>
          <w:tcPr>
            <w:tcW w:w="1221" w:type="dxa"/>
            <w:vAlign w:val="center"/>
          </w:tcPr>
          <w:p w14:paraId="362B110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23.30</w:t>
            </w:r>
          </w:p>
        </w:tc>
        <w:tc>
          <w:tcPr>
            <w:tcW w:w="1164" w:type="dxa"/>
            <w:vAlign w:val="center"/>
          </w:tcPr>
          <w:p w14:paraId="2D39A63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1567.78</w:t>
            </w:r>
          </w:p>
        </w:tc>
        <w:tc>
          <w:tcPr>
            <w:tcW w:w="1164" w:type="dxa"/>
            <w:vAlign w:val="center"/>
          </w:tcPr>
          <w:p w14:paraId="17AB6ACC"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2132.02</w:t>
            </w:r>
          </w:p>
        </w:tc>
      </w:tr>
      <w:tr w:rsidR="00084614" w:rsidRPr="00314A07" w14:paraId="2BB13A69" w14:textId="77777777" w:rsidTr="00751B58">
        <w:trPr>
          <w:trHeight w:val="321"/>
        </w:trPr>
        <w:tc>
          <w:tcPr>
            <w:tcW w:w="2633" w:type="dxa"/>
          </w:tcPr>
          <w:p w14:paraId="217B39F0"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561" w:type="dxa"/>
            <w:vAlign w:val="center"/>
          </w:tcPr>
          <w:p w14:paraId="0F6A7AF1"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3.72</w:t>
            </w:r>
          </w:p>
        </w:tc>
        <w:tc>
          <w:tcPr>
            <w:tcW w:w="1616" w:type="dxa"/>
            <w:vAlign w:val="bottom"/>
          </w:tcPr>
          <w:p w14:paraId="02FB1F5C"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88.25 (9.44)</w:t>
            </w:r>
          </w:p>
        </w:tc>
        <w:tc>
          <w:tcPr>
            <w:tcW w:w="1610" w:type="dxa"/>
            <w:vAlign w:val="center"/>
          </w:tcPr>
          <w:p w14:paraId="76EEBB8C"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6.63</w:t>
            </w:r>
          </w:p>
        </w:tc>
        <w:tc>
          <w:tcPr>
            <w:tcW w:w="1472" w:type="dxa"/>
            <w:vAlign w:val="center"/>
          </w:tcPr>
          <w:p w14:paraId="3F9DF3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14.15</w:t>
            </w:r>
          </w:p>
        </w:tc>
        <w:tc>
          <w:tcPr>
            <w:tcW w:w="1221" w:type="dxa"/>
            <w:vAlign w:val="center"/>
          </w:tcPr>
          <w:p w14:paraId="299C1F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22.45</w:t>
            </w:r>
          </w:p>
        </w:tc>
        <w:tc>
          <w:tcPr>
            <w:tcW w:w="1164" w:type="dxa"/>
            <w:vAlign w:val="center"/>
          </w:tcPr>
          <w:p w14:paraId="657A17C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1248.94</w:t>
            </w:r>
          </w:p>
        </w:tc>
        <w:tc>
          <w:tcPr>
            <w:tcW w:w="1164" w:type="dxa"/>
            <w:vAlign w:val="center"/>
          </w:tcPr>
          <w:p w14:paraId="17EE4A9D"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1981.17</w:t>
            </w:r>
          </w:p>
        </w:tc>
      </w:tr>
      <w:tr w:rsidR="00084614" w:rsidRPr="00314A07" w14:paraId="5A480A88" w14:textId="77777777" w:rsidTr="00751B58">
        <w:trPr>
          <w:trHeight w:val="586"/>
        </w:trPr>
        <w:tc>
          <w:tcPr>
            <w:tcW w:w="2633" w:type="dxa"/>
          </w:tcPr>
          <w:p w14:paraId="491A8BA9"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561" w:type="dxa"/>
            <w:vAlign w:val="center"/>
          </w:tcPr>
          <w:p w14:paraId="1A6CB11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3.75</w:t>
            </w:r>
          </w:p>
        </w:tc>
        <w:tc>
          <w:tcPr>
            <w:tcW w:w="1616" w:type="dxa"/>
            <w:vAlign w:val="bottom"/>
          </w:tcPr>
          <w:p w14:paraId="56D32310"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90.00 (9.53)</w:t>
            </w:r>
          </w:p>
        </w:tc>
        <w:tc>
          <w:tcPr>
            <w:tcW w:w="1610" w:type="dxa"/>
            <w:vAlign w:val="center"/>
          </w:tcPr>
          <w:p w14:paraId="7CF4F6D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6.93</w:t>
            </w:r>
          </w:p>
        </w:tc>
        <w:tc>
          <w:tcPr>
            <w:tcW w:w="1472" w:type="dxa"/>
            <w:vAlign w:val="center"/>
          </w:tcPr>
          <w:p w14:paraId="5CAFD5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15.86</w:t>
            </w:r>
          </w:p>
        </w:tc>
        <w:tc>
          <w:tcPr>
            <w:tcW w:w="1221" w:type="dxa"/>
            <w:vAlign w:val="center"/>
          </w:tcPr>
          <w:p w14:paraId="60AFBEB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22.57</w:t>
            </w:r>
          </w:p>
        </w:tc>
        <w:tc>
          <w:tcPr>
            <w:tcW w:w="1164" w:type="dxa"/>
            <w:vAlign w:val="center"/>
          </w:tcPr>
          <w:p w14:paraId="513555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1427.17</w:t>
            </w:r>
          </w:p>
        </w:tc>
        <w:tc>
          <w:tcPr>
            <w:tcW w:w="1164" w:type="dxa"/>
            <w:vAlign w:val="center"/>
          </w:tcPr>
          <w:p w14:paraId="0617CE0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2031.70</w:t>
            </w:r>
          </w:p>
        </w:tc>
      </w:tr>
      <w:tr w:rsidR="00084614" w:rsidRPr="00314A07" w14:paraId="763EAEA7" w14:textId="77777777" w:rsidTr="00751B58">
        <w:trPr>
          <w:trHeight w:val="586"/>
        </w:trPr>
        <w:tc>
          <w:tcPr>
            <w:tcW w:w="2633" w:type="dxa"/>
          </w:tcPr>
          <w:p w14:paraId="18C8E664"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561" w:type="dxa"/>
            <w:vAlign w:val="center"/>
          </w:tcPr>
          <w:p w14:paraId="6E3B3BC7"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3.61</w:t>
            </w:r>
          </w:p>
        </w:tc>
        <w:tc>
          <w:tcPr>
            <w:tcW w:w="1616" w:type="dxa"/>
            <w:vAlign w:val="bottom"/>
          </w:tcPr>
          <w:p w14:paraId="71713CFF"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85.25 (9.28)</w:t>
            </w:r>
          </w:p>
        </w:tc>
        <w:tc>
          <w:tcPr>
            <w:tcW w:w="1610" w:type="dxa"/>
            <w:vAlign w:val="center"/>
          </w:tcPr>
          <w:p w14:paraId="203DFEA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7.46</w:t>
            </w:r>
          </w:p>
        </w:tc>
        <w:tc>
          <w:tcPr>
            <w:tcW w:w="1472" w:type="dxa"/>
            <w:vAlign w:val="center"/>
          </w:tcPr>
          <w:p w14:paraId="055ECB19"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14.37</w:t>
            </w:r>
          </w:p>
        </w:tc>
        <w:tc>
          <w:tcPr>
            <w:tcW w:w="1221" w:type="dxa"/>
            <w:vAlign w:val="center"/>
          </w:tcPr>
          <w:p w14:paraId="20A238A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21.70</w:t>
            </w:r>
          </w:p>
        </w:tc>
        <w:tc>
          <w:tcPr>
            <w:tcW w:w="1164" w:type="dxa"/>
            <w:vAlign w:val="center"/>
          </w:tcPr>
          <w:p w14:paraId="0A6520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1225.46</w:t>
            </w:r>
          </w:p>
        </w:tc>
        <w:tc>
          <w:tcPr>
            <w:tcW w:w="1164" w:type="dxa"/>
            <w:vAlign w:val="center"/>
          </w:tcPr>
          <w:p w14:paraId="649654C3"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1849.87</w:t>
            </w:r>
          </w:p>
        </w:tc>
      </w:tr>
      <w:tr w:rsidR="00084614" w:rsidRPr="00314A07" w14:paraId="20DECFC5" w14:textId="77777777" w:rsidTr="00751B58">
        <w:trPr>
          <w:trHeight w:val="586"/>
        </w:trPr>
        <w:tc>
          <w:tcPr>
            <w:tcW w:w="2633" w:type="dxa"/>
          </w:tcPr>
          <w:p w14:paraId="5DBF397F"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561" w:type="dxa"/>
            <w:vAlign w:val="center"/>
          </w:tcPr>
          <w:p w14:paraId="0C0DAE8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3.88</w:t>
            </w:r>
          </w:p>
        </w:tc>
        <w:tc>
          <w:tcPr>
            <w:tcW w:w="1616" w:type="dxa"/>
            <w:vAlign w:val="bottom"/>
          </w:tcPr>
          <w:p w14:paraId="03EC5DE3"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90.75 (9.57)</w:t>
            </w:r>
          </w:p>
        </w:tc>
        <w:tc>
          <w:tcPr>
            <w:tcW w:w="1610" w:type="dxa"/>
            <w:vAlign w:val="center"/>
          </w:tcPr>
          <w:p w14:paraId="1DDA8AD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8.00</w:t>
            </w:r>
          </w:p>
        </w:tc>
        <w:tc>
          <w:tcPr>
            <w:tcW w:w="1472" w:type="dxa"/>
            <w:vAlign w:val="center"/>
          </w:tcPr>
          <w:p w14:paraId="640CDE26"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16.50</w:t>
            </w:r>
          </w:p>
        </w:tc>
        <w:tc>
          <w:tcPr>
            <w:tcW w:w="1221" w:type="dxa"/>
            <w:vAlign w:val="center"/>
          </w:tcPr>
          <w:p w14:paraId="5CB350AA"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23.27</w:t>
            </w:r>
          </w:p>
        </w:tc>
        <w:tc>
          <w:tcPr>
            <w:tcW w:w="1164" w:type="dxa"/>
            <w:vAlign w:val="center"/>
          </w:tcPr>
          <w:p w14:paraId="662A631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1498.23</w:t>
            </w:r>
          </w:p>
        </w:tc>
        <w:tc>
          <w:tcPr>
            <w:tcW w:w="1164" w:type="dxa"/>
            <w:vAlign w:val="center"/>
          </w:tcPr>
          <w:p w14:paraId="0327972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2112.17</w:t>
            </w:r>
          </w:p>
        </w:tc>
      </w:tr>
      <w:tr w:rsidR="00084614" w:rsidRPr="00314A07" w14:paraId="6B86F07B" w14:textId="77777777" w:rsidTr="00751B58">
        <w:trPr>
          <w:trHeight w:val="838"/>
        </w:trPr>
        <w:tc>
          <w:tcPr>
            <w:tcW w:w="2633" w:type="dxa"/>
          </w:tcPr>
          <w:p w14:paraId="1ED5842C"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561" w:type="dxa"/>
            <w:vAlign w:val="center"/>
          </w:tcPr>
          <w:p w14:paraId="003C610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3.62</w:t>
            </w:r>
          </w:p>
        </w:tc>
        <w:tc>
          <w:tcPr>
            <w:tcW w:w="1616" w:type="dxa"/>
            <w:vAlign w:val="bottom"/>
          </w:tcPr>
          <w:p w14:paraId="2763299A"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82.00 (9.11)</w:t>
            </w:r>
          </w:p>
        </w:tc>
        <w:tc>
          <w:tcPr>
            <w:tcW w:w="1610" w:type="dxa"/>
            <w:vAlign w:val="center"/>
          </w:tcPr>
          <w:p w14:paraId="223FCD8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6.79</w:t>
            </w:r>
          </w:p>
        </w:tc>
        <w:tc>
          <w:tcPr>
            <w:tcW w:w="1472" w:type="dxa"/>
            <w:vAlign w:val="center"/>
          </w:tcPr>
          <w:p w14:paraId="04BD1222"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14.61</w:t>
            </w:r>
          </w:p>
        </w:tc>
        <w:tc>
          <w:tcPr>
            <w:tcW w:w="1221" w:type="dxa"/>
            <w:vAlign w:val="center"/>
          </w:tcPr>
          <w:p w14:paraId="646D648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19.67</w:t>
            </w:r>
          </w:p>
        </w:tc>
        <w:tc>
          <w:tcPr>
            <w:tcW w:w="1164" w:type="dxa"/>
            <w:vAlign w:val="center"/>
          </w:tcPr>
          <w:p w14:paraId="53B5DE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1198.73</w:t>
            </w:r>
          </w:p>
        </w:tc>
        <w:tc>
          <w:tcPr>
            <w:tcW w:w="1164" w:type="dxa"/>
            <w:vAlign w:val="center"/>
          </w:tcPr>
          <w:p w14:paraId="031F86E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1613.27</w:t>
            </w:r>
          </w:p>
        </w:tc>
      </w:tr>
      <w:tr w:rsidR="00084614" w:rsidRPr="00314A07" w14:paraId="6AFAD7AB" w14:textId="77777777" w:rsidTr="00751B58">
        <w:trPr>
          <w:trHeight w:val="586"/>
        </w:trPr>
        <w:tc>
          <w:tcPr>
            <w:tcW w:w="2633" w:type="dxa"/>
          </w:tcPr>
          <w:p w14:paraId="32C4911A"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561" w:type="dxa"/>
            <w:vAlign w:val="center"/>
          </w:tcPr>
          <w:p w14:paraId="39FF6AF0"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3.63</w:t>
            </w:r>
          </w:p>
        </w:tc>
        <w:tc>
          <w:tcPr>
            <w:tcW w:w="1616" w:type="dxa"/>
            <w:vAlign w:val="bottom"/>
          </w:tcPr>
          <w:p w14:paraId="16B64086"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83.50 (9.19)</w:t>
            </w:r>
          </w:p>
        </w:tc>
        <w:tc>
          <w:tcPr>
            <w:tcW w:w="1610" w:type="dxa"/>
            <w:vAlign w:val="center"/>
          </w:tcPr>
          <w:p w14:paraId="68D6052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6.45</w:t>
            </w:r>
          </w:p>
        </w:tc>
        <w:tc>
          <w:tcPr>
            <w:tcW w:w="1472" w:type="dxa"/>
            <w:vAlign w:val="center"/>
          </w:tcPr>
          <w:p w14:paraId="7590BD6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14.11</w:t>
            </w:r>
          </w:p>
        </w:tc>
        <w:tc>
          <w:tcPr>
            <w:tcW w:w="1221" w:type="dxa"/>
            <w:vAlign w:val="center"/>
          </w:tcPr>
          <w:p w14:paraId="4CBDF0A7"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21.07</w:t>
            </w:r>
          </w:p>
        </w:tc>
        <w:tc>
          <w:tcPr>
            <w:tcW w:w="1164" w:type="dxa"/>
            <w:vAlign w:val="center"/>
          </w:tcPr>
          <w:p w14:paraId="2DC61C59"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1178.19</w:t>
            </w:r>
          </w:p>
        </w:tc>
        <w:tc>
          <w:tcPr>
            <w:tcW w:w="1164" w:type="dxa"/>
            <w:vAlign w:val="center"/>
          </w:tcPr>
          <w:p w14:paraId="243A4878"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1759.70</w:t>
            </w:r>
          </w:p>
        </w:tc>
      </w:tr>
      <w:tr w:rsidR="00084614" w:rsidRPr="00314A07" w14:paraId="06706C46" w14:textId="77777777" w:rsidTr="00751B58">
        <w:trPr>
          <w:trHeight w:val="586"/>
        </w:trPr>
        <w:tc>
          <w:tcPr>
            <w:tcW w:w="2633" w:type="dxa"/>
          </w:tcPr>
          <w:p w14:paraId="34309E2D"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561" w:type="dxa"/>
            <w:vAlign w:val="center"/>
          </w:tcPr>
          <w:p w14:paraId="4831032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3.73</w:t>
            </w:r>
          </w:p>
        </w:tc>
        <w:tc>
          <w:tcPr>
            <w:tcW w:w="1616" w:type="dxa"/>
            <w:vAlign w:val="bottom"/>
          </w:tcPr>
          <w:p w14:paraId="1B520094"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89.75 (9.52)</w:t>
            </w:r>
          </w:p>
        </w:tc>
        <w:tc>
          <w:tcPr>
            <w:tcW w:w="1610" w:type="dxa"/>
            <w:vAlign w:val="center"/>
          </w:tcPr>
          <w:p w14:paraId="33ECDD5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7.02</w:t>
            </w:r>
          </w:p>
        </w:tc>
        <w:tc>
          <w:tcPr>
            <w:tcW w:w="1472" w:type="dxa"/>
            <w:vAlign w:val="center"/>
          </w:tcPr>
          <w:p w14:paraId="20F45FEC"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15.46</w:t>
            </w:r>
          </w:p>
        </w:tc>
        <w:tc>
          <w:tcPr>
            <w:tcW w:w="1221" w:type="dxa"/>
            <w:vAlign w:val="center"/>
          </w:tcPr>
          <w:p w14:paraId="5A10AA3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22.87</w:t>
            </w:r>
          </w:p>
        </w:tc>
        <w:tc>
          <w:tcPr>
            <w:tcW w:w="1164" w:type="dxa"/>
            <w:vAlign w:val="center"/>
          </w:tcPr>
          <w:p w14:paraId="4C5FC744"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1388.22</w:t>
            </w:r>
          </w:p>
        </w:tc>
        <w:tc>
          <w:tcPr>
            <w:tcW w:w="1164" w:type="dxa"/>
            <w:vAlign w:val="center"/>
          </w:tcPr>
          <w:p w14:paraId="116C6521"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2053.02</w:t>
            </w:r>
          </w:p>
        </w:tc>
      </w:tr>
      <w:tr w:rsidR="00084614" w:rsidRPr="00314A07" w14:paraId="5885A320" w14:textId="77777777" w:rsidTr="00751B58">
        <w:trPr>
          <w:trHeight w:val="321"/>
        </w:trPr>
        <w:tc>
          <w:tcPr>
            <w:tcW w:w="2633" w:type="dxa"/>
          </w:tcPr>
          <w:p w14:paraId="21F65F45"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561" w:type="dxa"/>
            <w:vAlign w:val="center"/>
          </w:tcPr>
          <w:p w14:paraId="03B1A97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3.37</w:t>
            </w:r>
          </w:p>
        </w:tc>
        <w:tc>
          <w:tcPr>
            <w:tcW w:w="1616" w:type="dxa"/>
            <w:vAlign w:val="bottom"/>
          </w:tcPr>
          <w:p w14:paraId="51C00EEE"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80.25 (9.01)</w:t>
            </w:r>
          </w:p>
        </w:tc>
        <w:tc>
          <w:tcPr>
            <w:tcW w:w="1610" w:type="dxa"/>
            <w:vAlign w:val="center"/>
          </w:tcPr>
          <w:p w14:paraId="5009973A"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6.52</w:t>
            </w:r>
          </w:p>
        </w:tc>
        <w:tc>
          <w:tcPr>
            <w:tcW w:w="1472" w:type="dxa"/>
            <w:vAlign w:val="center"/>
          </w:tcPr>
          <w:p w14:paraId="1AFB72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10.50</w:t>
            </w:r>
          </w:p>
        </w:tc>
        <w:tc>
          <w:tcPr>
            <w:tcW w:w="1221" w:type="dxa"/>
            <w:vAlign w:val="center"/>
          </w:tcPr>
          <w:p w14:paraId="3B7596D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18.37</w:t>
            </w:r>
          </w:p>
        </w:tc>
        <w:tc>
          <w:tcPr>
            <w:tcW w:w="1164" w:type="dxa"/>
            <w:vAlign w:val="center"/>
          </w:tcPr>
          <w:p w14:paraId="29278ECB"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842.90</w:t>
            </w:r>
          </w:p>
        </w:tc>
        <w:tc>
          <w:tcPr>
            <w:tcW w:w="1164" w:type="dxa"/>
            <w:vAlign w:val="center"/>
          </w:tcPr>
          <w:p w14:paraId="6D9DC46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1474.55</w:t>
            </w:r>
          </w:p>
        </w:tc>
      </w:tr>
      <w:tr w:rsidR="00084614" w:rsidRPr="00314A07" w14:paraId="0C443443" w14:textId="77777777" w:rsidTr="00751B58">
        <w:trPr>
          <w:trHeight w:val="321"/>
        </w:trPr>
        <w:tc>
          <w:tcPr>
            <w:tcW w:w="2633" w:type="dxa"/>
          </w:tcPr>
          <w:p w14:paraId="19CFE383" w14:textId="77777777" w:rsidR="00084614" w:rsidRPr="0006139A" w:rsidRDefault="00084614" w:rsidP="00751B58">
            <w:pPr>
              <w:spacing w:before="40" w:after="40" w:line="240" w:lineRule="auto"/>
              <w:rPr>
                <w:rFonts w:ascii="Times New Roman" w:hAnsi="Times New Roman"/>
                <w:b/>
                <w:sz w:val="24"/>
                <w:szCs w:val="24"/>
              </w:rPr>
            </w:pPr>
            <w:r w:rsidRPr="0006139A">
              <w:rPr>
                <w:rFonts w:ascii="Times New Roman" w:hAnsi="Times New Roman"/>
                <w:b/>
                <w:sz w:val="24"/>
                <w:szCs w:val="24"/>
              </w:rPr>
              <w:t>Mean</w:t>
            </w:r>
          </w:p>
        </w:tc>
        <w:tc>
          <w:tcPr>
            <w:tcW w:w="1561" w:type="dxa"/>
          </w:tcPr>
          <w:p w14:paraId="5757C6BF"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3.69</w:t>
            </w:r>
          </w:p>
        </w:tc>
        <w:tc>
          <w:tcPr>
            <w:tcW w:w="1616" w:type="dxa"/>
          </w:tcPr>
          <w:p w14:paraId="5D706307"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86.80</w:t>
            </w:r>
          </w:p>
        </w:tc>
        <w:tc>
          <w:tcPr>
            <w:tcW w:w="1610" w:type="dxa"/>
          </w:tcPr>
          <w:p w14:paraId="3B93F4FC"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7.08</w:t>
            </w:r>
          </w:p>
        </w:tc>
        <w:tc>
          <w:tcPr>
            <w:tcW w:w="1472" w:type="dxa"/>
          </w:tcPr>
          <w:p w14:paraId="362A4189"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14.74</w:t>
            </w:r>
          </w:p>
        </w:tc>
        <w:tc>
          <w:tcPr>
            <w:tcW w:w="1221" w:type="dxa"/>
          </w:tcPr>
          <w:p w14:paraId="0E210462"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21.69</w:t>
            </w:r>
          </w:p>
        </w:tc>
        <w:tc>
          <w:tcPr>
            <w:tcW w:w="1164" w:type="dxa"/>
          </w:tcPr>
          <w:p w14:paraId="23B1CE63"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1286.18</w:t>
            </w:r>
          </w:p>
        </w:tc>
        <w:tc>
          <w:tcPr>
            <w:tcW w:w="1164" w:type="dxa"/>
          </w:tcPr>
          <w:p w14:paraId="77477AF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1889.71</w:t>
            </w:r>
          </w:p>
        </w:tc>
      </w:tr>
      <w:tr w:rsidR="00084614" w:rsidRPr="00314A07" w14:paraId="4593323C" w14:textId="77777777" w:rsidTr="00751B58">
        <w:trPr>
          <w:trHeight w:val="335"/>
        </w:trPr>
        <w:tc>
          <w:tcPr>
            <w:tcW w:w="2633" w:type="dxa"/>
          </w:tcPr>
          <w:p w14:paraId="2F95B78C" w14:textId="77777777" w:rsidR="00084614" w:rsidRPr="0006139A" w:rsidRDefault="00084614" w:rsidP="00751B58">
            <w:pPr>
              <w:spacing w:before="40" w:after="4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561" w:type="dxa"/>
          </w:tcPr>
          <w:p w14:paraId="1DAF3B18"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0.16</w:t>
            </w:r>
          </w:p>
        </w:tc>
        <w:tc>
          <w:tcPr>
            <w:tcW w:w="1616" w:type="dxa"/>
          </w:tcPr>
          <w:p w14:paraId="667ADB43"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0.05</w:t>
            </w:r>
          </w:p>
        </w:tc>
        <w:tc>
          <w:tcPr>
            <w:tcW w:w="1610" w:type="dxa"/>
          </w:tcPr>
          <w:p w14:paraId="123A877D"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0.78</w:t>
            </w:r>
          </w:p>
        </w:tc>
        <w:tc>
          <w:tcPr>
            <w:tcW w:w="1472" w:type="dxa"/>
          </w:tcPr>
          <w:p w14:paraId="6A6C7A55"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0.78</w:t>
            </w:r>
          </w:p>
        </w:tc>
        <w:tc>
          <w:tcPr>
            <w:tcW w:w="1221" w:type="dxa"/>
          </w:tcPr>
          <w:p w14:paraId="5E9E0A5C"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0.23</w:t>
            </w:r>
          </w:p>
        </w:tc>
        <w:tc>
          <w:tcPr>
            <w:tcW w:w="1164" w:type="dxa"/>
          </w:tcPr>
          <w:p w14:paraId="70005272"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70.78</w:t>
            </w:r>
          </w:p>
        </w:tc>
        <w:tc>
          <w:tcPr>
            <w:tcW w:w="1164" w:type="dxa"/>
          </w:tcPr>
          <w:p w14:paraId="5767D64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23.04</w:t>
            </w:r>
          </w:p>
        </w:tc>
      </w:tr>
    </w:tbl>
    <w:p w14:paraId="3AFB1199" w14:textId="77777777" w:rsidR="00084614" w:rsidRDefault="00084614" w:rsidP="00084614">
      <w:pPr>
        <w:spacing w:line="240" w:lineRule="auto"/>
        <w:rPr>
          <w:rFonts w:ascii="Times New Roman" w:hAnsi="Times New Roman" w:cs="Times New Roman"/>
          <w:b/>
          <w:sz w:val="24"/>
          <w:szCs w:val="24"/>
          <w:lang w:val="en-GB"/>
        </w:rPr>
        <w:sectPr w:rsidR="00084614" w:rsidSect="00084614">
          <w:pgSz w:w="16838" w:h="11906" w:orient="landscape"/>
          <w:pgMar w:top="1440" w:right="1440" w:bottom="1440" w:left="1440" w:header="709" w:footer="709" w:gutter="0"/>
          <w:cols w:space="708"/>
          <w:docGrid w:linePitch="360"/>
        </w:sectPr>
      </w:pPr>
      <w:r>
        <w:rPr>
          <w:rFonts w:ascii="Times New Roman" w:hAnsi="Times New Roman" w:cs="Times New Roman"/>
          <w:b/>
          <w:sz w:val="24"/>
          <w:szCs w:val="24"/>
          <w:lang w:val="en-GB"/>
        </w:rPr>
        <w:t>Table 2</w:t>
      </w:r>
      <w:r w:rsidRPr="00123278">
        <w:rPr>
          <w:rFonts w:ascii="Times New Roman" w:hAnsi="Times New Roman" w:cs="Times New Roman"/>
          <w:b/>
          <w:sz w:val="24"/>
          <w:szCs w:val="24"/>
          <w:lang w:val="en-GB"/>
        </w:rPr>
        <w:t xml:space="preserve">  Effect of different nitrogen fertilizers on various </w:t>
      </w:r>
      <w:r>
        <w:rPr>
          <w:rFonts w:ascii="Times New Roman" w:hAnsi="Times New Roman" w:cs="Times New Roman"/>
          <w:b/>
          <w:sz w:val="24"/>
          <w:szCs w:val="24"/>
          <w:lang w:val="en-GB"/>
        </w:rPr>
        <w:t>seed quality parameters of harvested onion seed</w:t>
      </w:r>
    </w:p>
    <w:tbl>
      <w:tblPr>
        <w:tblpPr w:leftFromText="180" w:rightFromText="180" w:horzAnchor="margin" w:tblpXSpec="center" w:tblpY="280"/>
        <w:tblW w:w="8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9"/>
        <w:gridCol w:w="1280"/>
        <w:gridCol w:w="996"/>
        <w:gridCol w:w="996"/>
        <w:gridCol w:w="918"/>
      </w:tblGrid>
      <w:tr w:rsidR="00084614" w:rsidRPr="000F40DB" w14:paraId="059D8211" w14:textId="77777777" w:rsidTr="00751B58">
        <w:tc>
          <w:tcPr>
            <w:tcW w:w="4109" w:type="dxa"/>
          </w:tcPr>
          <w:p w14:paraId="4CDEE057" w14:textId="77777777" w:rsidR="00084614" w:rsidRPr="000F40DB" w:rsidRDefault="00084614" w:rsidP="00751B58">
            <w:pPr>
              <w:spacing w:before="40" w:after="40" w:line="240" w:lineRule="auto"/>
              <w:jc w:val="center"/>
              <w:rPr>
                <w:rFonts w:ascii="Times New Roman" w:hAnsi="Times New Roman"/>
                <w:b/>
                <w:sz w:val="24"/>
                <w:szCs w:val="24"/>
              </w:rPr>
            </w:pPr>
            <w:r w:rsidRPr="000F40DB">
              <w:rPr>
                <w:rFonts w:ascii="Times New Roman" w:hAnsi="Times New Roman"/>
                <w:b/>
                <w:sz w:val="24"/>
                <w:szCs w:val="24"/>
              </w:rPr>
              <w:lastRenderedPageBreak/>
              <w:t>Treatments</w:t>
            </w:r>
          </w:p>
        </w:tc>
        <w:tc>
          <w:tcPr>
            <w:tcW w:w="1280" w:type="dxa"/>
          </w:tcPr>
          <w:p w14:paraId="1D514791" w14:textId="77777777" w:rsidR="00084614" w:rsidRPr="008A7C80" w:rsidRDefault="00084614" w:rsidP="00751B58">
            <w:pPr>
              <w:jc w:val="center"/>
              <w:rPr>
                <w:rFonts w:ascii="Times New Roman" w:hAnsi="Times New Roman" w:cs="Times New Roman"/>
                <w:b/>
                <w:vanish/>
              </w:rPr>
            </w:pPr>
            <w:r w:rsidRPr="008A7C80">
              <w:rPr>
                <w:rFonts w:ascii="Times New Roman" w:hAnsi="Times New Roman" w:cs="Times New Roman"/>
                <w:b/>
                <w:lang w:val="en-GB"/>
              </w:rPr>
              <w:t>Cost of Cultivation (USD)</w:t>
            </w:r>
          </w:p>
        </w:tc>
        <w:tc>
          <w:tcPr>
            <w:tcW w:w="996" w:type="dxa"/>
          </w:tcPr>
          <w:p w14:paraId="523356F9"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Gross Return (USD)</w:t>
            </w:r>
          </w:p>
        </w:tc>
        <w:tc>
          <w:tcPr>
            <w:tcW w:w="996" w:type="dxa"/>
          </w:tcPr>
          <w:p w14:paraId="169C6B5F"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Net Return (USD)</w:t>
            </w:r>
          </w:p>
        </w:tc>
        <w:tc>
          <w:tcPr>
            <w:tcW w:w="918" w:type="dxa"/>
          </w:tcPr>
          <w:p w14:paraId="09CFD7FC" w14:textId="77777777" w:rsidR="00084614" w:rsidRPr="008A7C80" w:rsidRDefault="00084614" w:rsidP="00751B58">
            <w:pPr>
              <w:jc w:val="center"/>
              <w:rPr>
                <w:rFonts w:ascii="Times New Roman" w:hAnsi="Times New Roman" w:cs="Times New Roman"/>
                <w:b/>
              </w:rPr>
            </w:pPr>
            <w:r w:rsidRPr="008A7C80">
              <w:rPr>
                <w:rFonts w:ascii="Times New Roman" w:hAnsi="Times New Roman" w:cs="Times New Roman"/>
                <w:b/>
                <w:lang w:val="en-GB"/>
              </w:rPr>
              <w:t>B:C Ratio</w:t>
            </w:r>
          </w:p>
        </w:tc>
      </w:tr>
      <w:tr w:rsidR="00084614" w:rsidRPr="000F40DB" w14:paraId="7BB54A01" w14:textId="77777777" w:rsidTr="00751B58">
        <w:tc>
          <w:tcPr>
            <w:tcW w:w="4109" w:type="dxa"/>
          </w:tcPr>
          <w:p w14:paraId="06937D67"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280" w:type="dxa"/>
          </w:tcPr>
          <w:p w14:paraId="633E86D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70C90A8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6BA5BDF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5076E17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6EFDCFB5" w14:textId="77777777" w:rsidTr="00751B58">
        <w:tc>
          <w:tcPr>
            <w:tcW w:w="4109" w:type="dxa"/>
          </w:tcPr>
          <w:p w14:paraId="74E50125"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280" w:type="dxa"/>
          </w:tcPr>
          <w:p w14:paraId="1069E12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48EF609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225A8A3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0675C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r w:rsidR="00084614" w:rsidRPr="000F40DB" w14:paraId="0F4E34BF" w14:textId="77777777" w:rsidTr="00751B58">
        <w:tc>
          <w:tcPr>
            <w:tcW w:w="4109" w:type="dxa"/>
          </w:tcPr>
          <w:p w14:paraId="1A16367C"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280" w:type="dxa"/>
          </w:tcPr>
          <w:p w14:paraId="613503E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2,501.84</w:t>
            </w:r>
          </w:p>
        </w:tc>
        <w:tc>
          <w:tcPr>
            <w:tcW w:w="996" w:type="dxa"/>
          </w:tcPr>
          <w:p w14:paraId="49E341A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2E5A9F3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6,629.37</w:t>
            </w:r>
          </w:p>
        </w:tc>
        <w:tc>
          <w:tcPr>
            <w:tcW w:w="918" w:type="dxa"/>
          </w:tcPr>
          <w:p w14:paraId="659B3BB3"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2.65</w:t>
            </w:r>
          </w:p>
        </w:tc>
      </w:tr>
      <w:tr w:rsidR="00084614" w:rsidRPr="000F40DB" w14:paraId="22575435" w14:textId="77777777" w:rsidTr="00751B58">
        <w:tc>
          <w:tcPr>
            <w:tcW w:w="4109" w:type="dxa"/>
          </w:tcPr>
          <w:p w14:paraId="464A3A62"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280" w:type="dxa"/>
          </w:tcPr>
          <w:p w14:paraId="28AEA7E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1,996.75</w:t>
            </w:r>
          </w:p>
        </w:tc>
        <w:tc>
          <w:tcPr>
            <w:tcW w:w="996" w:type="dxa"/>
          </w:tcPr>
          <w:p w14:paraId="4F6B3A4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7,582.29</w:t>
            </w:r>
          </w:p>
        </w:tc>
        <w:tc>
          <w:tcPr>
            <w:tcW w:w="996" w:type="dxa"/>
          </w:tcPr>
          <w:p w14:paraId="5FA6AF7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5,585.54</w:t>
            </w:r>
          </w:p>
        </w:tc>
        <w:tc>
          <w:tcPr>
            <w:tcW w:w="918" w:type="dxa"/>
          </w:tcPr>
          <w:p w14:paraId="18A58E7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2.79</w:t>
            </w:r>
          </w:p>
        </w:tc>
      </w:tr>
      <w:tr w:rsidR="00084614" w:rsidRPr="000F40DB" w14:paraId="47310634" w14:textId="77777777" w:rsidTr="00751B58">
        <w:tc>
          <w:tcPr>
            <w:tcW w:w="4109" w:type="dxa"/>
          </w:tcPr>
          <w:p w14:paraId="0B463B17" w14:textId="77777777" w:rsidR="00084614" w:rsidRPr="000F40DB" w:rsidRDefault="00084614" w:rsidP="00751B58">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280" w:type="dxa"/>
          </w:tcPr>
          <w:p w14:paraId="20559FE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2,148.21</w:t>
            </w:r>
          </w:p>
        </w:tc>
        <w:tc>
          <w:tcPr>
            <w:tcW w:w="996" w:type="dxa"/>
          </w:tcPr>
          <w:p w14:paraId="0FE4EDE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9,234.22</w:t>
            </w:r>
          </w:p>
        </w:tc>
        <w:tc>
          <w:tcPr>
            <w:tcW w:w="996" w:type="dxa"/>
          </w:tcPr>
          <w:p w14:paraId="5C87E0E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7,086.01</w:t>
            </w:r>
          </w:p>
        </w:tc>
        <w:tc>
          <w:tcPr>
            <w:tcW w:w="918" w:type="dxa"/>
          </w:tcPr>
          <w:p w14:paraId="63CCE9C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3.29</w:t>
            </w:r>
          </w:p>
        </w:tc>
      </w:tr>
      <w:tr w:rsidR="00084614" w:rsidRPr="000F40DB" w14:paraId="272AFA1C" w14:textId="77777777" w:rsidTr="00751B58">
        <w:tc>
          <w:tcPr>
            <w:tcW w:w="4109" w:type="dxa"/>
          </w:tcPr>
          <w:p w14:paraId="3EC7D85A"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280" w:type="dxa"/>
          </w:tcPr>
          <w:p w14:paraId="13C3B7E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2,113.01</w:t>
            </w:r>
          </w:p>
        </w:tc>
        <w:tc>
          <w:tcPr>
            <w:tcW w:w="996" w:type="dxa"/>
          </w:tcPr>
          <w:p w14:paraId="5673167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1832F076"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6,450.97</w:t>
            </w:r>
          </w:p>
        </w:tc>
        <w:tc>
          <w:tcPr>
            <w:tcW w:w="918" w:type="dxa"/>
          </w:tcPr>
          <w:p w14:paraId="753FAF0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5D7398D7" w14:textId="77777777" w:rsidTr="00751B58">
        <w:tc>
          <w:tcPr>
            <w:tcW w:w="4109" w:type="dxa"/>
          </w:tcPr>
          <w:p w14:paraId="36C9D82B"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280" w:type="dxa"/>
          </w:tcPr>
          <w:p w14:paraId="7876B4D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1,961.54</w:t>
            </w:r>
          </w:p>
        </w:tc>
        <w:tc>
          <w:tcPr>
            <w:tcW w:w="996" w:type="dxa"/>
          </w:tcPr>
          <w:p w14:paraId="7D04D0C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7,137.23</w:t>
            </w:r>
          </w:p>
        </w:tc>
        <w:tc>
          <w:tcPr>
            <w:tcW w:w="996" w:type="dxa"/>
          </w:tcPr>
          <w:p w14:paraId="3CC979E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5,175.69</w:t>
            </w:r>
          </w:p>
        </w:tc>
        <w:tc>
          <w:tcPr>
            <w:tcW w:w="918" w:type="dxa"/>
          </w:tcPr>
          <w:p w14:paraId="18570550"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2.63</w:t>
            </w:r>
          </w:p>
        </w:tc>
      </w:tr>
      <w:tr w:rsidR="00084614" w:rsidRPr="000F40DB" w14:paraId="70423EC1" w14:textId="77777777" w:rsidTr="00751B58">
        <w:tc>
          <w:tcPr>
            <w:tcW w:w="4109" w:type="dxa"/>
          </w:tcPr>
          <w:p w14:paraId="36BB5496"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280" w:type="dxa"/>
          </w:tcPr>
          <w:p w14:paraId="4BA8C83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2,266.89</w:t>
            </w:r>
          </w:p>
        </w:tc>
        <w:tc>
          <w:tcPr>
            <w:tcW w:w="996" w:type="dxa"/>
          </w:tcPr>
          <w:p w14:paraId="2516025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8,601.08</w:t>
            </w:r>
          </w:p>
        </w:tc>
        <w:tc>
          <w:tcPr>
            <w:tcW w:w="996" w:type="dxa"/>
          </w:tcPr>
          <w:p w14:paraId="58653A1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6,334.19</w:t>
            </w:r>
          </w:p>
        </w:tc>
        <w:tc>
          <w:tcPr>
            <w:tcW w:w="918" w:type="dxa"/>
          </w:tcPr>
          <w:p w14:paraId="3E7381A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7BED9808" w14:textId="77777777" w:rsidTr="00751B58">
        <w:tc>
          <w:tcPr>
            <w:tcW w:w="4109" w:type="dxa"/>
          </w:tcPr>
          <w:p w14:paraId="386E76D0" w14:textId="77777777" w:rsidR="00084614" w:rsidRPr="000F40DB" w:rsidRDefault="00084614" w:rsidP="00751B58">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280" w:type="dxa"/>
          </w:tcPr>
          <w:p w14:paraId="00D0D76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1,832.56</w:t>
            </w:r>
          </w:p>
        </w:tc>
        <w:tc>
          <w:tcPr>
            <w:tcW w:w="996" w:type="dxa"/>
          </w:tcPr>
          <w:p w14:paraId="66E4CCC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6,082.17</w:t>
            </w:r>
          </w:p>
        </w:tc>
        <w:tc>
          <w:tcPr>
            <w:tcW w:w="996" w:type="dxa"/>
          </w:tcPr>
          <w:p w14:paraId="7290F53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4,249.61</w:t>
            </w:r>
          </w:p>
        </w:tc>
        <w:tc>
          <w:tcPr>
            <w:tcW w:w="918" w:type="dxa"/>
          </w:tcPr>
          <w:p w14:paraId="3E1D0FA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2.31</w:t>
            </w:r>
          </w:p>
        </w:tc>
      </w:tr>
      <w:tr w:rsidR="00084614" w:rsidRPr="000F40DB" w14:paraId="77AECD7C" w14:textId="77777777" w:rsidTr="00751B58">
        <w:tc>
          <w:tcPr>
            <w:tcW w:w="4109" w:type="dxa"/>
          </w:tcPr>
          <w:p w14:paraId="64EE7778" w14:textId="77777777" w:rsidR="00084614" w:rsidRPr="000F40DB" w:rsidRDefault="00084614" w:rsidP="00751B58">
            <w:pPr>
              <w:spacing w:before="40" w:after="40" w:line="240" w:lineRule="auto"/>
              <w:jc w:val="both"/>
              <w:rPr>
                <w:rFonts w:ascii="Times New Roman" w:hAnsi="Times New Roman"/>
                <w:b/>
                <w:sz w:val="24"/>
                <w:szCs w:val="24"/>
              </w:rPr>
            </w:pPr>
            <w:r w:rsidRPr="000F40DB">
              <w:rPr>
                <w:rFonts w:ascii="Times New Roman" w:hAnsi="Times New Roman"/>
                <w:b/>
                <w:sz w:val="24"/>
                <w:szCs w:val="24"/>
              </w:rPr>
              <w:t>Mean</w:t>
            </w:r>
          </w:p>
        </w:tc>
        <w:tc>
          <w:tcPr>
            <w:tcW w:w="1280" w:type="dxa"/>
          </w:tcPr>
          <w:p w14:paraId="2B6A2D8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236091D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4AC6E49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4B3CD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5D784BBF" w14:textId="77777777" w:rsidTr="00751B58">
        <w:tc>
          <w:tcPr>
            <w:tcW w:w="4109" w:type="dxa"/>
          </w:tcPr>
          <w:p w14:paraId="080E1778" w14:textId="77777777" w:rsidR="00084614" w:rsidRPr="000F40DB" w:rsidRDefault="00084614" w:rsidP="00751B58">
            <w:pPr>
              <w:spacing w:before="40" w:after="40" w:line="240" w:lineRule="auto"/>
              <w:jc w:val="both"/>
              <w:rPr>
                <w:rFonts w:ascii="Times New Roman" w:hAnsi="Times New Roman"/>
                <w:sz w:val="24"/>
                <w:szCs w:val="24"/>
                <w:vertAlign w:val="subscript"/>
              </w:rPr>
            </w:pPr>
            <w:r w:rsidRPr="000F40DB">
              <w:rPr>
                <w:rFonts w:ascii="Times New Roman" w:hAnsi="Times New Roman"/>
                <w:b/>
                <w:sz w:val="24"/>
                <w:szCs w:val="24"/>
              </w:rPr>
              <w:t>CD</w:t>
            </w:r>
            <w:r w:rsidRPr="000F40DB">
              <w:rPr>
                <w:rFonts w:ascii="Times New Roman" w:hAnsi="Times New Roman"/>
                <w:sz w:val="24"/>
                <w:szCs w:val="24"/>
                <w:vertAlign w:val="subscript"/>
              </w:rPr>
              <w:t>0.05</w:t>
            </w:r>
          </w:p>
        </w:tc>
        <w:tc>
          <w:tcPr>
            <w:tcW w:w="1280" w:type="dxa"/>
          </w:tcPr>
          <w:p w14:paraId="1FA70F04"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66F7DDA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4E000BC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72D12B5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bl>
    <w:p w14:paraId="6AFEBF91" w14:textId="77777777" w:rsidR="00084614" w:rsidRDefault="00084614" w:rsidP="00084614">
      <w:pPr>
        <w:rPr>
          <w:b/>
          <w:lang w:val="en-GB"/>
        </w:rPr>
      </w:pPr>
    </w:p>
    <w:p w14:paraId="4A080E11" w14:textId="77777777" w:rsidR="00084614" w:rsidRDefault="00084614" w:rsidP="00084614">
      <w:pPr>
        <w:jc w:val="center"/>
        <w:rPr>
          <w:rFonts w:ascii="Times New Roman" w:hAnsi="Times New Roman" w:cs="Times New Roman"/>
          <w:b/>
          <w:sz w:val="24"/>
          <w:szCs w:val="24"/>
          <w:lang w:val="en-GB"/>
        </w:rPr>
      </w:pPr>
      <w:r>
        <w:rPr>
          <w:rFonts w:ascii="Times New Roman" w:hAnsi="Times New Roman" w:cs="Times New Roman"/>
          <w:b/>
          <w:sz w:val="24"/>
          <w:szCs w:val="24"/>
          <w:lang w:val="en-GB"/>
        </w:rPr>
        <w:t>Table 3</w:t>
      </w:r>
      <w:r w:rsidRPr="00123278">
        <w:rPr>
          <w:rFonts w:ascii="Times New Roman" w:hAnsi="Times New Roman" w:cs="Times New Roman"/>
          <w:b/>
          <w:sz w:val="24"/>
          <w:szCs w:val="24"/>
          <w:lang w:val="en-GB"/>
        </w:rPr>
        <w:t xml:space="preserve">  Effect of different nitrogen fertilizers on </w:t>
      </w:r>
      <w:r>
        <w:rPr>
          <w:rFonts w:ascii="Times New Roman" w:hAnsi="Times New Roman" w:cs="Times New Roman"/>
          <w:b/>
          <w:sz w:val="24"/>
          <w:szCs w:val="24"/>
          <w:lang w:val="en-GB"/>
        </w:rPr>
        <w:t>economics of seed production in onion</w:t>
      </w:r>
    </w:p>
    <w:p w14:paraId="32108DB3" w14:textId="77777777" w:rsidR="00084614" w:rsidRDefault="00084614" w:rsidP="00084614">
      <w:pPr>
        <w:jc w:val="center"/>
        <w:rPr>
          <w:rFonts w:ascii="Times New Roman" w:hAnsi="Times New Roman" w:cs="Times New Roman"/>
          <w:b/>
          <w:sz w:val="24"/>
          <w:szCs w:val="24"/>
          <w:lang w:val="en-GB"/>
        </w:rPr>
      </w:pPr>
    </w:p>
    <w:p w14:paraId="4018D89B" w14:textId="77777777" w:rsidR="00DE1D6A" w:rsidRDefault="00DE1D6A" w:rsidP="00084614">
      <w:pPr>
        <w:spacing w:line="240" w:lineRule="auto"/>
        <w:rPr>
          <w:rFonts w:ascii="Times New Roman" w:hAnsi="Times New Roman" w:cs="Times New Roman"/>
          <w:sz w:val="24"/>
          <w:szCs w:val="24"/>
        </w:rPr>
        <w:sectPr w:rsidR="00DE1D6A" w:rsidSect="00084614">
          <w:pgSz w:w="11906" w:h="16838"/>
          <w:pgMar w:top="1440" w:right="1440" w:bottom="1440" w:left="1440" w:header="709" w:footer="709" w:gutter="0"/>
          <w:cols w:space="708"/>
          <w:docGrid w:linePitch="360"/>
        </w:sectPr>
      </w:pPr>
    </w:p>
    <w:p w14:paraId="143A7E37" w14:textId="77777777" w:rsidR="00DE1D6A" w:rsidRDefault="00084614" w:rsidP="00084614">
      <w:pPr>
        <w:rPr>
          <w:lang w:val="en-GB"/>
        </w:rPr>
      </w:pPr>
      <w:r w:rsidRPr="00460793">
        <w:rPr>
          <w:rFonts w:ascii="Times New Roman" w:hAnsi="Times New Roman" w:cs="Times New Roman"/>
          <w:sz w:val="24"/>
          <w:szCs w:val="24"/>
          <w:lang w:val="en-US"/>
        </w:rPr>
        <w:lastRenderedPageBreak/>
        <w:drawing>
          <wp:inline distT="0" distB="0" distL="0" distR="0" wp14:anchorId="19FACF1D" wp14:editId="45E83F29">
            <wp:extent cx="4978400" cy="3206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08B789" w14:textId="77777777" w:rsidR="00084614" w:rsidRDefault="00084614" w:rsidP="00084614">
      <w:pPr>
        <w:rPr>
          <w:lang w:val="en-GB"/>
        </w:rPr>
      </w:pPr>
    </w:p>
    <w:p w14:paraId="2075B50C" w14:textId="77777777" w:rsidR="00084614" w:rsidRPr="00460793" w:rsidRDefault="00084614" w:rsidP="00084614">
      <w:pPr>
        <w:rPr>
          <w:rFonts w:ascii="Times New Roman" w:hAnsi="Times New Roman" w:cs="Times New Roman"/>
          <w:b/>
          <w:sz w:val="24"/>
          <w:szCs w:val="24"/>
          <w:lang w:val="en-GB"/>
        </w:rPr>
      </w:pPr>
      <w:r w:rsidRPr="00460793">
        <w:rPr>
          <w:rFonts w:ascii="Times New Roman" w:hAnsi="Times New Roman" w:cs="Times New Roman"/>
          <w:b/>
          <w:sz w:val="24"/>
          <w:szCs w:val="24"/>
        </w:rPr>
        <w:t xml:space="preserve">Fig 4. </w:t>
      </w:r>
      <w:r w:rsidRPr="00460793">
        <w:rPr>
          <w:rFonts w:ascii="Times New Roman" w:hAnsi="Times New Roman" w:cs="Times New Roman"/>
          <w:b/>
          <w:sz w:val="24"/>
          <w:szCs w:val="24"/>
          <w:lang w:val="en-GB"/>
        </w:rPr>
        <w:t>Effect of different nitrogen fertilizers on  available nitrogen after harvest of crop (kg/ha)</w:t>
      </w:r>
    </w:p>
    <w:p w14:paraId="5EAF62A0" w14:textId="77777777" w:rsidR="00084614" w:rsidRDefault="00084614" w:rsidP="00084614">
      <w:pPr>
        <w:spacing w:line="240" w:lineRule="auto"/>
        <w:ind w:firstLine="720"/>
        <w:rPr>
          <w:rFonts w:ascii="Times New Roman" w:hAnsi="Times New Roman" w:cs="Times New Roman"/>
          <w:sz w:val="24"/>
          <w:szCs w:val="24"/>
        </w:rPr>
      </w:pPr>
      <w:r w:rsidRPr="00460793">
        <w:rPr>
          <w:rFonts w:ascii="Times New Roman" w:hAnsi="Times New Roman" w:cs="Times New Roman"/>
          <w:sz w:val="24"/>
          <w:szCs w:val="24"/>
          <w:lang w:val="en-US"/>
        </w:rPr>
        <w:drawing>
          <wp:inline distT="0" distB="0" distL="0" distR="0" wp14:anchorId="79CBE780" wp14:editId="1E7D1103">
            <wp:extent cx="5187950" cy="33655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678917" w14:textId="77777777" w:rsidR="00084614" w:rsidRPr="00B05199" w:rsidRDefault="00084614" w:rsidP="0008461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Fig 5</w:t>
      </w:r>
      <w:r w:rsidRPr="00B05199">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nitrogen use efficiency</w:t>
      </w:r>
    </w:p>
    <w:p w14:paraId="6402FF96" w14:textId="77777777" w:rsidR="00084614" w:rsidRDefault="00084614" w:rsidP="00084614">
      <w:pPr>
        <w:spacing w:line="240" w:lineRule="auto"/>
        <w:ind w:firstLine="720"/>
        <w:rPr>
          <w:rFonts w:ascii="Times New Roman" w:hAnsi="Times New Roman" w:cs="Times New Roman"/>
          <w:sz w:val="24"/>
          <w:szCs w:val="24"/>
        </w:rPr>
      </w:pPr>
    </w:p>
    <w:p w14:paraId="6213FB3A" w14:textId="77777777" w:rsidR="00084614" w:rsidRDefault="00084614" w:rsidP="00084614">
      <w:pPr>
        <w:rPr>
          <w:lang w:val="en-GB"/>
        </w:rPr>
        <w:sectPr w:rsidR="00084614" w:rsidSect="00084614">
          <w:pgSz w:w="11906" w:h="16838"/>
          <w:pgMar w:top="1440" w:right="1440" w:bottom="1440" w:left="1440" w:header="708" w:footer="708" w:gutter="0"/>
          <w:cols w:space="708"/>
          <w:docGrid w:linePitch="360"/>
        </w:sectPr>
      </w:pPr>
    </w:p>
    <w:p w14:paraId="3399C2D4" w14:textId="77777777" w:rsidR="00812C3D" w:rsidRDefault="00812C3D" w:rsidP="00084614">
      <w:pPr>
        <w:spacing w:line="240" w:lineRule="auto"/>
        <w:rPr>
          <w:rFonts w:ascii="Times New Roman" w:hAnsi="Times New Roman" w:cs="Times New Roman"/>
          <w:b/>
          <w:sz w:val="24"/>
          <w:szCs w:val="24"/>
        </w:rPr>
      </w:pPr>
    </w:p>
    <w:p w14:paraId="2CD401EE" w14:textId="77777777" w:rsidR="003F3008" w:rsidRDefault="003F3008"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5C5AC2CE" w14:textId="77777777" w:rsidR="003F3008" w:rsidRDefault="003F3008" w:rsidP="00970218">
      <w:pPr>
        <w:spacing w:line="240" w:lineRule="auto"/>
        <w:ind w:firstLine="720"/>
        <w:jc w:val="both"/>
        <w:rPr>
          <w:rFonts w:ascii="Times New Roman" w:hAnsi="Times New Roman" w:cs="Times New Roman"/>
          <w:sz w:val="24"/>
          <w:szCs w:val="24"/>
        </w:rPr>
      </w:pPr>
      <w:r w:rsidRPr="003F3008">
        <w:rPr>
          <w:rFonts w:ascii="Times New Roman" w:hAnsi="Times New Roman" w:cs="Times New Roman"/>
          <w:sz w:val="24"/>
          <w:szCs w:val="24"/>
        </w:rPr>
        <w:t>It was concluded that treatment Trt1 (100% N through CAN) performed best in terms of plant growth, seed yield, seed q</w:t>
      </w:r>
      <w:r w:rsidR="00B2459D">
        <w:rPr>
          <w:rFonts w:ascii="Times New Roman" w:hAnsi="Times New Roman" w:cs="Times New Roman"/>
          <w:sz w:val="24"/>
          <w:szCs w:val="24"/>
        </w:rPr>
        <w:t>uality, nitrogen use efficiency</w:t>
      </w:r>
      <w:r w:rsidRPr="003F3008">
        <w:rPr>
          <w:rFonts w:ascii="Times New Roman" w:hAnsi="Times New Roman" w:cs="Times New Roman"/>
          <w:sz w:val="24"/>
          <w:szCs w:val="24"/>
        </w:rPr>
        <w:t xml:space="preserve"> and benefit-cost ratio. Therefore, it appears to be a more effective nitrogen source for promoting healthy growth and higher seed yield in onion under the mid-hill conditions of Himachal Pradesh and may be recommended following multi-location trials.</w:t>
      </w:r>
    </w:p>
    <w:p w14:paraId="0E8004EF" w14:textId="77777777" w:rsidR="00DB5FC0" w:rsidRDefault="00DB5FC0" w:rsidP="00970218">
      <w:pPr>
        <w:spacing w:line="240" w:lineRule="auto"/>
        <w:ind w:firstLine="720"/>
        <w:jc w:val="both"/>
        <w:rPr>
          <w:rFonts w:ascii="Times New Roman" w:hAnsi="Times New Roman" w:cs="Times New Roman"/>
          <w:sz w:val="24"/>
          <w:szCs w:val="24"/>
        </w:rPr>
      </w:pPr>
    </w:p>
    <w:p w14:paraId="62D72DAD" w14:textId="77777777" w:rsidR="00DB5FC0" w:rsidRPr="00DB5FC0" w:rsidRDefault="00DB5FC0" w:rsidP="00DB5FC0">
      <w:pPr>
        <w:jc w:val="both"/>
        <w:outlineLvl w:val="0"/>
        <w:rPr>
          <w:rFonts w:ascii="Arial" w:eastAsiaTheme="minorEastAsia" w:hAnsi="Arial" w:cs="Arial"/>
          <w:noProof w:val="0"/>
          <w:lang w:val="en-GB" w:eastAsia="en-GB"/>
        </w:rPr>
      </w:pPr>
      <w:r w:rsidRPr="00DB5FC0">
        <w:rPr>
          <w:rFonts w:ascii="Arial" w:eastAsiaTheme="minorEastAsia" w:hAnsi="Arial" w:cs="Arial"/>
          <w:b/>
          <w:bCs/>
          <w:noProof w:val="0"/>
          <w:lang w:val="en-GB" w:eastAsia="en-GB"/>
        </w:rPr>
        <w:t>COMPETING INTERESTS DISCLAIMER:</w:t>
      </w:r>
    </w:p>
    <w:p w14:paraId="74003856" w14:textId="77777777" w:rsidR="00DB5FC0" w:rsidRPr="00DB5FC0" w:rsidRDefault="00DB5FC0" w:rsidP="00DB5FC0">
      <w:pPr>
        <w:rPr>
          <w:rFonts w:eastAsiaTheme="minorEastAsia"/>
          <w:noProof w:val="0"/>
          <w:lang w:val="en-GB" w:eastAsia="en-GB"/>
        </w:rPr>
      </w:pPr>
      <w:r w:rsidRPr="00DB5FC0">
        <w:rPr>
          <w:rFonts w:eastAsiaTheme="minorEastAsia"/>
          <w:noProof w:val="0"/>
          <w:lang w:val="en-GB" w:eastAsia="en-GB"/>
        </w:rPr>
        <w:t>Authors have declared that they have no known competing financial interests OR non-financial interests OR personal relationships that could have appeared to influence the work reported in this paper.</w:t>
      </w:r>
    </w:p>
    <w:p w14:paraId="111DAFC5" w14:textId="77777777" w:rsidR="00DB5FC0" w:rsidRDefault="00DB5FC0" w:rsidP="00970218">
      <w:pPr>
        <w:spacing w:line="240" w:lineRule="auto"/>
        <w:ind w:firstLine="720"/>
        <w:jc w:val="both"/>
        <w:rPr>
          <w:rFonts w:ascii="Times New Roman" w:hAnsi="Times New Roman" w:cs="Times New Roman"/>
          <w:sz w:val="24"/>
          <w:szCs w:val="24"/>
        </w:rPr>
      </w:pPr>
    </w:p>
    <w:p w14:paraId="20F02D48" w14:textId="77777777" w:rsidR="00464DC9" w:rsidRDefault="00464DC9" w:rsidP="004A7822">
      <w:pPr>
        <w:spacing w:line="240" w:lineRule="auto"/>
        <w:ind w:firstLine="720"/>
        <w:rPr>
          <w:rFonts w:ascii="Times New Roman" w:hAnsi="Times New Roman" w:cs="Times New Roman"/>
          <w:b/>
          <w:sz w:val="24"/>
          <w:szCs w:val="24"/>
        </w:rPr>
      </w:pPr>
    </w:p>
    <w:p w14:paraId="3905F1D5" w14:textId="77777777" w:rsidR="001E7D82" w:rsidRDefault="001E7D82"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References :</w:t>
      </w:r>
    </w:p>
    <w:p w14:paraId="341B4794" w14:textId="77777777" w:rsidR="00150F8C" w:rsidRPr="00150F8C" w:rsidRDefault="00150F8C" w:rsidP="004A7822">
      <w:pPr>
        <w:spacing w:line="240" w:lineRule="auto"/>
        <w:ind w:firstLine="720"/>
        <w:rPr>
          <w:rFonts w:ascii="Times New Roman" w:hAnsi="Times New Roman" w:cs="Times New Roman"/>
          <w:b/>
          <w:sz w:val="24"/>
          <w:szCs w:val="24"/>
        </w:rPr>
      </w:pPr>
    </w:p>
    <w:p w14:paraId="1595D262"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Aminifard M</w:t>
      </w:r>
      <w:r w:rsidR="00150F8C" w:rsidRPr="00150F8C">
        <w:rPr>
          <w:rFonts w:ascii="Times New Roman" w:hAnsi="Times New Roman" w:cs="Times New Roman"/>
          <w:sz w:val="24"/>
          <w:szCs w:val="24"/>
        </w:rPr>
        <w:t xml:space="preserve">H, Aroiee H, Nemati H, Azizi M and Khayyat M. 2012. Effect of nitrogen fertilizer on vegetative and reproductive growth of pepper plants under field conditions. </w:t>
      </w:r>
      <w:r w:rsidR="00150F8C" w:rsidRPr="00150F8C">
        <w:rPr>
          <w:rFonts w:ascii="Times New Roman" w:hAnsi="Times New Roman" w:cs="Times New Roman"/>
          <w:i/>
          <w:sz w:val="24"/>
          <w:szCs w:val="24"/>
        </w:rPr>
        <w:t>Journal of</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i/>
          <w:sz w:val="24"/>
          <w:szCs w:val="24"/>
        </w:rPr>
        <w:t>Plant Nutrition</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35</w:t>
      </w:r>
      <w:r w:rsidR="00150F8C" w:rsidRPr="00150F8C">
        <w:rPr>
          <w:rFonts w:ascii="Times New Roman" w:hAnsi="Times New Roman" w:cs="Times New Roman"/>
          <w:sz w:val="24"/>
          <w:szCs w:val="24"/>
        </w:rPr>
        <w:t xml:space="preserve">:235-242. </w:t>
      </w:r>
    </w:p>
    <w:p w14:paraId="2FB4B65F"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Antille DL, Hoekstra NJ and Lalor ST</w:t>
      </w:r>
      <w:r w:rsidR="00150F8C" w:rsidRPr="00150F8C">
        <w:rPr>
          <w:rFonts w:ascii="Times New Roman" w:hAnsi="Times New Roman" w:cs="Times New Roman"/>
          <w:sz w:val="24"/>
          <w:szCs w:val="24"/>
        </w:rPr>
        <w:t xml:space="preserve">J. 2015. Field-scale evaluation of calcium ammonium nitrate, urea and urea treated with N-(N-Butyl) thiophosphosphoric triamide applied to grassland in Ireland. </w:t>
      </w:r>
      <w:r w:rsidR="00150F8C" w:rsidRPr="00150F8C">
        <w:rPr>
          <w:rFonts w:ascii="Times New Roman" w:hAnsi="Times New Roman" w:cs="Times New Roman"/>
          <w:i/>
          <w:sz w:val="24"/>
          <w:szCs w:val="24"/>
        </w:rPr>
        <w:t>Communication in Soil Science and Plant Analysis</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46</w:t>
      </w:r>
      <w:r w:rsidR="00150F8C" w:rsidRPr="00150F8C">
        <w:rPr>
          <w:rFonts w:ascii="Times New Roman" w:hAnsi="Times New Roman" w:cs="Times New Roman"/>
          <w:sz w:val="24"/>
          <w:szCs w:val="24"/>
        </w:rPr>
        <w:t>:1345-1361.</w:t>
      </w:r>
    </w:p>
    <w:p w14:paraId="42C519E7"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Brady NC and Weil R</w:t>
      </w:r>
      <w:r w:rsidR="00150F8C" w:rsidRPr="00150F8C">
        <w:rPr>
          <w:rFonts w:ascii="Times New Roman" w:hAnsi="Times New Roman" w:cs="Times New Roman"/>
          <w:sz w:val="24"/>
          <w:szCs w:val="24"/>
        </w:rPr>
        <w:t xml:space="preserve">R. 2002. </w:t>
      </w:r>
      <w:r w:rsidR="00150F8C" w:rsidRPr="00150F8C">
        <w:rPr>
          <w:rFonts w:ascii="Times New Roman" w:hAnsi="Times New Roman" w:cs="Times New Roman"/>
          <w:i/>
          <w:sz w:val="24"/>
          <w:szCs w:val="24"/>
        </w:rPr>
        <w:t>The nature and properties of soils</w:t>
      </w:r>
      <w:r w:rsidR="00150F8C" w:rsidRPr="00150F8C">
        <w:rPr>
          <w:rFonts w:ascii="Times New Roman" w:hAnsi="Times New Roman" w:cs="Times New Roman"/>
          <w:sz w:val="24"/>
          <w:szCs w:val="24"/>
        </w:rPr>
        <w:t>, 13</w:t>
      </w:r>
      <w:r w:rsidR="00150F8C" w:rsidRPr="00150F8C">
        <w:rPr>
          <w:rFonts w:ascii="Times New Roman" w:hAnsi="Times New Roman" w:cs="Times New Roman"/>
          <w:sz w:val="24"/>
          <w:szCs w:val="24"/>
          <w:vertAlign w:val="superscript"/>
        </w:rPr>
        <w:t>th</w:t>
      </w:r>
      <w:r w:rsidR="00150F8C" w:rsidRPr="00150F8C">
        <w:rPr>
          <w:rFonts w:ascii="Times New Roman" w:hAnsi="Times New Roman" w:cs="Times New Roman"/>
          <w:sz w:val="24"/>
          <w:szCs w:val="24"/>
        </w:rPr>
        <w:t xml:space="preserve"> ed. Delhi, India: Pearson Education Asia. 960p.</w:t>
      </w:r>
    </w:p>
    <w:p w14:paraId="1E7F8006"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Debashis</w:t>
      </w:r>
      <w:r w:rsidR="00464DC9">
        <w:rPr>
          <w:rFonts w:ascii="Times New Roman" w:hAnsi="Times New Roman" w:cs="Times New Roman"/>
          <w:color w:val="222222"/>
          <w:sz w:val="24"/>
          <w:szCs w:val="24"/>
          <w:shd w:val="clear" w:color="auto" w:fill="FFFFFF"/>
        </w:rPr>
        <w:t xml:space="preserve"> M, Maity TK and Basu AK.</w:t>
      </w:r>
      <w:r w:rsidRPr="00150F8C">
        <w:rPr>
          <w:rFonts w:ascii="Times New Roman" w:hAnsi="Times New Roman" w:cs="Times New Roman"/>
          <w:color w:val="222222"/>
          <w:sz w:val="24"/>
          <w:szCs w:val="24"/>
          <w:shd w:val="clear" w:color="auto" w:fill="FFFFFF"/>
        </w:rPr>
        <w:t xml:space="preserve"> 2017. Response of quality seed production of onion (Allium Cepa L.) to different levels of nitrogen and potassium application. </w:t>
      </w:r>
      <w:r w:rsidRPr="00150F8C">
        <w:rPr>
          <w:rFonts w:ascii="Times New Roman" w:hAnsi="Times New Roman" w:cs="Times New Roman"/>
          <w:i/>
          <w:iCs/>
          <w:color w:val="222222"/>
          <w:sz w:val="24"/>
          <w:szCs w:val="24"/>
          <w:shd w:val="clear" w:color="auto" w:fill="FFFFFF"/>
        </w:rPr>
        <w:t>Research Journal of Chemical and Environmental Sciences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5</w:t>
      </w:r>
      <w:r w:rsidR="00464DC9">
        <w:rPr>
          <w:rFonts w:ascii="Times New Roman" w:hAnsi="Times New Roman" w:cs="Times New Roman"/>
          <w:color w:val="222222"/>
          <w:sz w:val="24"/>
          <w:szCs w:val="24"/>
          <w:shd w:val="clear" w:color="auto" w:fill="FFFFFF"/>
        </w:rPr>
        <w:t>(2):</w:t>
      </w:r>
      <w:r w:rsidRPr="00150F8C">
        <w:rPr>
          <w:rFonts w:ascii="Times New Roman" w:hAnsi="Times New Roman" w:cs="Times New Roman"/>
          <w:color w:val="222222"/>
          <w:sz w:val="24"/>
          <w:szCs w:val="24"/>
          <w:shd w:val="clear" w:color="auto" w:fill="FFFFFF"/>
        </w:rPr>
        <w:t>38-45.</w:t>
      </w:r>
    </w:p>
    <w:p w14:paraId="1C5F1623"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FAOSTAT</w:t>
      </w:r>
      <w:r>
        <w:rPr>
          <w:rFonts w:ascii="Times New Roman" w:hAnsi="Times New Roman" w:cs="Times New Roman"/>
          <w:color w:val="222222"/>
          <w:sz w:val="24"/>
          <w:szCs w:val="24"/>
          <w:shd w:val="clear" w:color="auto" w:fill="FFFFFF"/>
        </w:rPr>
        <w:t>. 2022. R</w:t>
      </w:r>
      <w:r w:rsidRPr="00150F8C">
        <w:rPr>
          <w:rFonts w:ascii="Times New Roman" w:hAnsi="Times New Roman" w:cs="Times New Roman"/>
          <w:color w:val="222222"/>
          <w:sz w:val="24"/>
          <w:szCs w:val="24"/>
          <w:shd w:val="clear" w:color="auto" w:fill="FFFFFF"/>
        </w:rPr>
        <w:t>eference database of cropland nutrient budgets an</w:t>
      </w:r>
      <w:r>
        <w:rPr>
          <w:rFonts w:ascii="Times New Roman" w:hAnsi="Times New Roman" w:cs="Times New Roman"/>
          <w:color w:val="222222"/>
          <w:sz w:val="24"/>
          <w:szCs w:val="24"/>
          <w:shd w:val="clear" w:color="auto" w:fill="FFFFFF"/>
        </w:rPr>
        <w:t>d nutrient use efficiency</w:t>
      </w:r>
      <w:r w:rsidRPr="00150F8C">
        <w:rPr>
          <w:rFonts w:ascii="Times New Roman" w:hAnsi="Times New Roman" w:cs="Times New Roman"/>
          <w:color w:val="222222"/>
          <w:sz w:val="24"/>
          <w:szCs w:val="24"/>
          <w:shd w:val="clear" w:color="auto" w:fill="FFFFFF"/>
        </w:rPr>
        <w:t>: nitrogen, phosphorus and potassium. </w:t>
      </w:r>
      <w:r w:rsidRPr="00150F8C">
        <w:rPr>
          <w:rFonts w:ascii="Times New Roman" w:hAnsi="Times New Roman" w:cs="Times New Roman"/>
          <w:i/>
          <w:iCs/>
          <w:color w:val="222222"/>
          <w:sz w:val="24"/>
          <w:szCs w:val="24"/>
          <w:shd w:val="clear" w:color="auto" w:fill="FFFFFF"/>
        </w:rPr>
        <w:t>Earth System Science Data</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525-541.</w:t>
      </w:r>
    </w:p>
    <w:p w14:paraId="06E0F9C9"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Qiu Z and Li L. 2019. </w:t>
      </w:r>
      <w:r w:rsidRPr="00150F8C">
        <w:rPr>
          <w:rFonts w:ascii="Times New Roman" w:hAnsi="Times New Roman" w:cs="Times New Roman"/>
          <w:color w:val="222222"/>
          <w:sz w:val="24"/>
          <w:szCs w:val="24"/>
          <w:shd w:val="clear" w:color="auto" w:fill="FFFFFF"/>
        </w:rPr>
        <w:t>Identification and characterization of abundant repetitive sequences in Allium cepa. </w:t>
      </w:r>
      <w:r w:rsidRPr="00150F8C">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16756.</w:t>
      </w:r>
    </w:p>
    <w:p w14:paraId="7FDB48EA"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Geisseler D, Ortiz RS and Diaz J.</w:t>
      </w:r>
      <w:r w:rsidRPr="00150F8C">
        <w:rPr>
          <w:rFonts w:ascii="Times New Roman" w:hAnsi="Times New Roman" w:cs="Times New Roman"/>
          <w:color w:val="222222"/>
          <w:sz w:val="24"/>
          <w:szCs w:val="24"/>
          <w:shd w:val="clear" w:color="auto" w:fill="FFFFFF"/>
        </w:rPr>
        <w:t xml:space="preserve"> 2022. Nitrogen nutrition and fertilization of onions (</w:t>
      </w:r>
      <w:r w:rsidRPr="00150F8C">
        <w:rPr>
          <w:rFonts w:ascii="Times New Roman" w:hAnsi="Times New Roman" w:cs="Times New Roman"/>
          <w:i/>
          <w:color w:val="222222"/>
          <w:sz w:val="24"/>
          <w:szCs w:val="24"/>
          <w:shd w:val="clear" w:color="auto" w:fill="FFFFFF"/>
        </w:rPr>
        <w:t>Allium cepa</w:t>
      </w:r>
      <w:r>
        <w:rPr>
          <w:rFonts w:ascii="Times New Roman" w:hAnsi="Times New Roman" w:cs="Times New Roman"/>
          <w:color w:val="222222"/>
          <w:sz w:val="24"/>
          <w:szCs w:val="24"/>
          <w:shd w:val="clear" w:color="auto" w:fill="FFFFFF"/>
        </w:rPr>
        <w:t xml:space="preserve"> L.)-</w:t>
      </w:r>
      <w:r w:rsidRPr="00150F8C">
        <w:rPr>
          <w:rFonts w:ascii="Times New Roman" w:hAnsi="Times New Roman" w:cs="Times New Roman"/>
          <w:color w:val="222222"/>
          <w:sz w:val="24"/>
          <w:szCs w:val="24"/>
          <w:shd w:val="clear" w:color="auto" w:fill="FFFFFF"/>
        </w:rPr>
        <w:t>A literature review.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29(1)</w:t>
      </w:r>
      <w:r w:rsidRPr="00150F8C">
        <w:rPr>
          <w:rFonts w:ascii="Times New Roman" w:hAnsi="Times New Roman" w:cs="Times New Roman"/>
          <w:color w:val="222222"/>
          <w:sz w:val="24"/>
          <w:szCs w:val="24"/>
          <w:shd w:val="clear" w:color="auto" w:fill="FFFFFF"/>
        </w:rPr>
        <w:t>:110591.</w:t>
      </w:r>
    </w:p>
    <w:p w14:paraId="1A89425B"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Ghosh S, Zhang</w:t>
      </w:r>
      <w:r w:rsidRPr="00150F8C">
        <w:rPr>
          <w:rFonts w:ascii="Times New Roman" w:hAnsi="Times New Roman" w:cs="Times New Roman"/>
          <w:color w:val="222222"/>
          <w:sz w:val="24"/>
          <w:szCs w:val="24"/>
          <w:shd w:val="clear" w:color="auto" w:fill="FFFFFF"/>
        </w:rPr>
        <w:t xml:space="preserve"> S, Azam</w:t>
      </w:r>
      <w:r>
        <w:rPr>
          <w:rFonts w:ascii="Times New Roman" w:hAnsi="Times New Roman" w:cs="Times New Roman"/>
          <w:color w:val="222222"/>
          <w:sz w:val="24"/>
          <w:szCs w:val="24"/>
          <w:shd w:val="clear" w:color="auto" w:fill="FFFFFF"/>
        </w:rPr>
        <w:t xml:space="preserve"> M, Gebregziabher BS, Abdelghany AM, Shaibu AS, Qi J, Feng Y, Agyenim-Boateng KG, Liu Y and Feng H.</w:t>
      </w:r>
      <w:r w:rsidRPr="00150F8C">
        <w:rPr>
          <w:rFonts w:ascii="Times New Roman" w:hAnsi="Times New Roman" w:cs="Times New Roman"/>
          <w:color w:val="222222"/>
          <w:sz w:val="24"/>
          <w:szCs w:val="24"/>
          <w:shd w:val="clear" w:color="auto" w:fill="FFFFFF"/>
        </w:rPr>
        <w:t xml:space="preserve"> 2022. Natural variation of seed tocopherol </w:t>
      </w:r>
      <w:r w:rsidRPr="00150F8C">
        <w:rPr>
          <w:rFonts w:ascii="Times New Roman" w:hAnsi="Times New Roman" w:cs="Times New Roman"/>
          <w:color w:val="222222"/>
          <w:sz w:val="24"/>
          <w:szCs w:val="24"/>
          <w:shd w:val="clear" w:color="auto" w:fill="FFFFFF"/>
        </w:rPr>
        <w:lastRenderedPageBreak/>
        <w:t>composition in diverse world soybean accessions from maturity group 0 to VI grown in China. </w:t>
      </w:r>
      <w:r w:rsidRPr="00150F8C">
        <w:rPr>
          <w:rFonts w:ascii="Times New Roman" w:hAnsi="Times New Roman" w:cs="Times New Roman"/>
          <w:i/>
          <w:iCs/>
          <w:color w:val="222222"/>
          <w:sz w:val="24"/>
          <w:szCs w:val="24"/>
          <w:shd w:val="clear" w:color="auto" w:fill="FFFFFF"/>
        </w:rPr>
        <w:t>Plants</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11</w:t>
      </w:r>
      <w:r w:rsidRPr="00150F8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206.</w:t>
      </w:r>
    </w:p>
    <w:p w14:paraId="1EC34E97"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Girase IP, Rai PK, Sahi VP, Thangasamy A, Ahammed TS and Yalamalle VR.</w:t>
      </w:r>
      <w:r w:rsidRPr="00150F8C">
        <w:rPr>
          <w:rFonts w:ascii="Times New Roman" w:hAnsi="Times New Roman" w:cs="Times New Roman"/>
          <w:color w:val="222222"/>
          <w:sz w:val="24"/>
          <w:szCs w:val="24"/>
          <w:shd w:val="clear" w:color="auto" w:fill="FFFFFF"/>
        </w:rPr>
        <w:t xml:space="preserve"> 2025. Nitrogen enhances se</w:t>
      </w:r>
      <w:r>
        <w:rPr>
          <w:rFonts w:ascii="Times New Roman" w:hAnsi="Times New Roman" w:cs="Times New Roman"/>
          <w:color w:val="222222"/>
          <w:sz w:val="24"/>
          <w:szCs w:val="24"/>
          <w:shd w:val="clear" w:color="auto" w:fill="FFFFFF"/>
        </w:rPr>
        <w:t>ed oil, tocopherols, seed yield</w:t>
      </w:r>
      <w:r w:rsidRPr="00150F8C">
        <w:rPr>
          <w:rFonts w:ascii="Times New Roman" w:hAnsi="Times New Roman" w:cs="Times New Roman"/>
          <w:color w:val="222222"/>
          <w:sz w:val="24"/>
          <w:szCs w:val="24"/>
          <w:shd w:val="clear" w:color="auto" w:fill="FFFFFF"/>
        </w:rPr>
        <w:t xml:space="preserve"> and seed quality in onion.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349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color w:val="222222"/>
          <w:sz w:val="24"/>
          <w:szCs w:val="24"/>
          <w:shd w:val="clear" w:color="auto" w:fill="FFFFFF"/>
        </w:rPr>
        <w:t>114225.</w:t>
      </w:r>
    </w:p>
    <w:p w14:paraId="45AAACCE"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Hossain MM, Khatun K, Haq</w:t>
      </w:r>
      <w:r w:rsidRPr="00150F8C">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E, Ahmed M and Shefat-Al-Maruf M.</w:t>
      </w:r>
      <w:r w:rsidRPr="00150F8C">
        <w:rPr>
          <w:rFonts w:ascii="Times New Roman" w:hAnsi="Times New Roman" w:cs="Times New Roman"/>
          <w:color w:val="222222"/>
          <w:sz w:val="24"/>
          <w:szCs w:val="24"/>
          <w:shd w:val="clear" w:color="auto" w:fill="FFFFFF"/>
        </w:rPr>
        <w:t xml:space="preserve"> 2017. Macro and micro nutritional effect on seed yield of onion. </w:t>
      </w:r>
      <w:r w:rsidRPr="00150F8C">
        <w:rPr>
          <w:rFonts w:ascii="Times New Roman" w:hAnsi="Times New Roman" w:cs="Times New Roman"/>
          <w:i/>
          <w:iCs/>
          <w:color w:val="222222"/>
          <w:sz w:val="24"/>
          <w:szCs w:val="24"/>
          <w:shd w:val="clear" w:color="auto" w:fill="FFFFFF"/>
        </w:rPr>
        <w:t>Advances in Research</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12</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1-9.</w:t>
      </w:r>
    </w:p>
    <w:p w14:paraId="3FB42C49"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Huo Y, Gao L, Liu B, Yang Y, Kong S, Sun Y, Yang Y and Wu X.</w:t>
      </w:r>
      <w:r w:rsidRPr="00150F8C">
        <w:rPr>
          <w:rFonts w:ascii="Times New Roman" w:hAnsi="Times New Roman" w:cs="Times New Roman"/>
          <w:color w:val="222222"/>
          <w:sz w:val="24"/>
          <w:szCs w:val="24"/>
          <w:shd w:val="clear" w:color="auto" w:fill="FFFFFF"/>
        </w:rPr>
        <w:t xml:space="preserve"> 2019. Complete chloroplast genome sequences of four Allium species: comparative and phylogenetic analyses. </w:t>
      </w:r>
      <w:r w:rsidRPr="00150F8C">
        <w:rPr>
          <w:rFonts w:ascii="Times New Roman" w:hAnsi="Times New Roman" w:cs="Times New Roman"/>
          <w:i/>
          <w:iCs/>
          <w:color w:val="222222"/>
          <w:sz w:val="24"/>
          <w:szCs w:val="24"/>
          <w:shd w:val="clear" w:color="auto" w:fill="FFFFFF"/>
        </w:rPr>
        <w:t>Scientific reports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12250.</w:t>
      </w:r>
    </w:p>
    <w:p w14:paraId="7E13B100" w14:textId="77777777" w:rsidR="00464DC9"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Kiani Z, Mashayekhi K</w:t>
      </w:r>
      <w:r w:rsidRPr="00150F8C">
        <w:rPr>
          <w:rFonts w:ascii="Times New Roman" w:hAnsi="Times New Roman" w:cs="Times New Roman"/>
          <w:color w:val="222222"/>
          <w:sz w:val="24"/>
          <w:szCs w:val="24"/>
          <w:shd w:val="clear" w:color="auto" w:fill="FFFFFF"/>
        </w:rPr>
        <w:t>, Golubkina</w:t>
      </w:r>
      <w:r>
        <w:rPr>
          <w:rFonts w:ascii="Times New Roman" w:hAnsi="Times New Roman" w:cs="Times New Roman"/>
          <w:color w:val="222222"/>
          <w:sz w:val="24"/>
          <w:szCs w:val="24"/>
          <w:shd w:val="clear" w:color="auto" w:fill="FFFFFF"/>
        </w:rPr>
        <w:t xml:space="preserve"> N, Mousavizadeh SJ, Nezhad KZ and Caruso G.</w:t>
      </w:r>
      <w:r w:rsidRPr="00150F8C">
        <w:rPr>
          <w:rFonts w:ascii="Times New Roman" w:hAnsi="Times New Roman" w:cs="Times New Roman"/>
          <w:color w:val="222222"/>
          <w:sz w:val="24"/>
          <w:szCs w:val="24"/>
          <w:shd w:val="clear" w:color="auto" w:fill="FFFFFF"/>
        </w:rPr>
        <w:t xml:space="preserve"> 2023. Agronomic, physiological, genetic and phytochemical characteristics of onion varieties influenced by daylength requirements. </w:t>
      </w:r>
      <w:r w:rsidRPr="00150F8C">
        <w:rPr>
          <w:rFonts w:ascii="Times New Roman" w:hAnsi="Times New Roman" w:cs="Times New Roman"/>
          <w:i/>
          <w:iCs/>
          <w:color w:val="222222"/>
          <w:sz w:val="24"/>
          <w:szCs w:val="24"/>
          <w:shd w:val="clear" w:color="auto" w:fill="FFFFFF"/>
        </w:rPr>
        <w:t>Agriculture</w:t>
      </w:r>
      <w:r w:rsidR="00464DC9">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13</w:t>
      </w:r>
      <w:r w:rsidR="00464DC9">
        <w:rPr>
          <w:rFonts w:ascii="Times New Roman" w:hAnsi="Times New Roman" w:cs="Times New Roman"/>
          <w:color w:val="222222"/>
          <w:sz w:val="24"/>
          <w:szCs w:val="24"/>
          <w:shd w:val="clear" w:color="auto" w:fill="FFFFFF"/>
        </w:rPr>
        <w:t>(3):697.</w:t>
      </w:r>
    </w:p>
    <w:p w14:paraId="547A4DF3"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M</w:t>
      </w:r>
      <w:r w:rsidR="00150F8C" w:rsidRPr="00150F8C">
        <w:rPr>
          <w:rFonts w:ascii="Times New Roman" w:hAnsi="Times New Roman" w:cs="Times New Roman"/>
          <w:sz w:val="24"/>
          <w:szCs w:val="24"/>
        </w:rPr>
        <w:t>alagoli P, Laine P, Rossato L and Ourry A. 2005. Dynamics of nitrogen uptake and mobilization in field-grown winter oilseed rape (</w:t>
      </w:r>
      <w:r w:rsidR="00150F8C" w:rsidRPr="00150F8C">
        <w:rPr>
          <w:rFonts w:ascii="Times New Roman" w:hAnsi="Times New Roman" w:cs="Times New Roman"/>
          <w:i/>
          <w:sz w:val="24"/>
          <w:szCs w:val="24"/>
        </w:rPr>
        <w:t>Brassica napus</w:t>
      </w:r>
      <w:r w:rsidR="00150F8C" w:rsidRPr="00150F8C">
        <w:rPr>
          <w:rFonts w:ascii="Times New Roman" w:hAnsi="Times New Roman" w:cs="Times New Roman"/>
          <w:sz w:val="24"/>
          <w:szCs w:val="24"/>
        </w:rPr>
        <w:t xml:space="preserve">) from stem extension to harvest. II. AN </w:t>
      </w:r>
      <w:r w:rsidR="00150F8C" w:rsidRPr="00150F8C">
        <w:rPr>
          <w:rFonts w:ascii="Times New Roman" w:hAnsi="Times New Roman" w:cs="Times New Roman"/>
          <w:sz w:val="24"/>
          <w:szCs w:val="24"/>
          <w:vertAlign w:val="superscript"/>
        </w:rPr>
        <w:t>15</w:t>
      </w:r>
      <w:r w:rsidR="00150F8C" w:rsidRPr="00150F8C">
        <w:rPr>
          <w:rFonts w:ascii="Times New Roman" w:hAnsi="Times New Roman" w:cs="Times New Roman"/>
          <w:sz w:val="24"/>
          <w:szCs w:val="24"/>
        </w:rPr>
        <w:t xml:space="preserve">N-labelling-based simulation model of N partitioning between vegetative and reproductive tissues. </w:t>
      </w:r>
      <w:r w:rsidR="00150F8C" w:rsidRPr="00150F8C">
        <w:rPr>
          <w:rFonts w:ascii="Times New Roman" w:hAnsi="Times New Roman" w:cs="Times New Roman"/>
          <w:i/>
          <w:sz w:val="24"/>
          <w:szCs w:val="24"/>
        </w:rPr>
        <w:t>Annals of Botany</w:t>
      </w:r>
      <w:r w:rsidR="00150F8C" w:rsidRPr="00150F8C">
        <w:rPr>
          <w:rFonts w:ascii="Times New Roman" w:hAnsi="Times New Roman" w:cs="Times New Roman"/>
          <w:sz w:val="24"/>
          <w:szCs w:val="24"/>
        </w:rPr>
        <w:t xml:space="preserve"> </w:t>
      </w:r>
      <w:r w:rsidR="00150F8C" w:rsidRPr="00464DC9">
        <w:rPr>
          <w:rFonts w:ascii="Times New Roman" w:hAnsi="Times New Roman" w:cs="Times New Roman"/>
          <w:sz w:val="24"/>
          <w:szCs w:val="24"/>
        </w:rPr>
        <w:t>95:</w:t>
      </w:r>
      <w:r w:rsidR="00150F8C" w:rsidRPr="00150F8C">
        <w:rPr>
          <w:rFonts w:ascii="Times New Roman" w:hAnsi="Times New Roman" w:cs="Times New Roman"/>
          <w:sz w:val="24"/>
          <w:szCs w:val="24"/>
        </w:rPr>
        <w:t>1187-1198.</w:t>
      </w:r>
    </w:p>
    <w:p w14:paraId="730D5457"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Marzi M, Shahbazi K, Kharazi N and Rezaei M.</w:t>
      </w:r>
      <w:r w:rsidR="00150F8C" w:rsidRPr="00150F8C">
        <w:rPr>
          <w:rFonts w:ascii="Times New Roman" w:hAnsi="Times New Roman" w:cs="Times New Roman"/>
          <w:color w:val="222222"/>
          <w:sz w:val="24"/>
          <w:szCs w:val="24"/>
          <w:shd w:val="clear" w:color="auto" w:fill="FFFFFF"/>
        </w:rPr>
        <w:t xml:space="preserve"> 2020. The influence of organic amendment source on carbon and nitrogen mineralization in different soils. </w:t>
      </w:r>
      <w:r w:rsidR="00150F8C" w:rsidRPr="00150F8C">
        <w:rPr>
          <w:rFonts w:ascii="Times New Roman" w:hAnsi="Times New Roman" w:cs="Times New Roman"/>
          <w:i/>
          <w:iCs/>
          <w:color w:val="222222"/>
          <w:sz w:val="24"/>
          <w:szCs w:val="24"/>
          <w:shd w:val="clear" w:color="auto" w:fill="FFFFFF"/>
        </w:rPr>
        <w:t>Journal of Soil Science and Plant Nutrition</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20</w:t>
      </w:r>
      <w:r w:rsidRPr="00464DC9">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177-191.</w:t>
      </w:r>
    </w:p>
    <w:p w14:paraId="6169917A"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Nissa K, Sharma R, Bharat NK and Thakur A.</w:t>
      </w:r>
      <w:r w:rsidR="00150F8C" w:rsidRPr="00150F8C">
        <w:rPr>
          <w:rFonts w:ascii="Times New Roman" w:hAnsi="Times New Roman" w:cs="Times New Roman"/>
          <w:color w:val="222222"/>
          <w:sz w:val="24"/>
          <w:szCs w:val="24"/>
          <w:shd w:val="clear" w:color="auto" w:fill="FFFFFF"/>
        </w:rPr>
        <w:t xml:space="preserve"> 2024. Effect of ZnSO4 Priming on Storability, Seed Quality and Bulb Yield in Onion under mild hills conditions of north-western Himalayas. </w:t>
      </w:r>
      <w:r w:rsidR="00150F8C" w:rsidRPr="00150F8C">
        <w:rPr>
          <w:rFonts w:ascii="Times New Roman" w:hAnsi="Times New Roman" w:cs="Times New Roman"/>
          <w:i/>
          <w:iCs/>
          <w:color w:val="222222"/>
          <w:sz w:val="24"/>
          <w:szCs w:val="24"/>
          <w:shd w:val="clear" w:color="auto" w:fill="FFFFFF"/>
        </w:rPr>
        <w:t>International Journal of Plant &amp; Soil Science</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36</w:t>
      </w:r>
      <w:r w:rsidRPr="00464DC9">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817-825.</w:t>
      </w:r>
    </w:p>
    <w:p w14:paraId="29FEE989"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Qi J, Li M, Wang L, Hu Y, Liu W, Long Z, Zhou Z, Yin P and Zhou M.</w:t>
      </w:r>
      <w:r w:rsidR="00150F8C" w:rsidRPr="00150F8C">
        <w:rPr>
          <w:rFonts w:ascii="Times New Roman" w:hAnsi="Times New Roman" w:cs="Times New Roman"/>
          <w:color w:val="222222"/>
          <w:sz w:val="24"/>
          <w:szCs w:val="24"/>
          <w:shd w:val="clear" w:color="auto" w:fill="FFFFFF"/>
        </w:rPr>
        <w:t xml:space="preserve"> 2023. National and subnational trends </w:t>
      </w:r>
      <w:r>
        <w:rPr>
          <w:rFonts w:ascii="Times New Roman" w:hAnsi="Times New Roman" w:cs="Times New Roman"/>
          <w:color w:val="222222"/>
          <w:sz w:val="24"/>
          <w:szCs w:val="24"/>
          <w:shd w:val="clear" w:color="auto" w:fill="FFFFFF"/>
        </w:rPr>
        <w:t>in cancer burden in China, 2005-</w:t>
      </w:r>
      <w:r w:rsidR="00150F8C" w:rsidRPr="00150F8C">
        <w:rPr>
          <w:rFonts w:ascii="Times New Roman" w:hAnsi="Times New Roman" w:cs="Times New Roman"/>
          <w:color w:val="222222"/>
          <w:sz w:val="24"/>
          <w:szCs w:val="24"/>
          <w:shd w:val="clear" w:color="auto" w:fill="FFFFFF"/>
        </w:rPr>
        <w:t>20: an analysis of national mortality surveillance data. </w:t>
      </w:r>
      <w:r w:rsidR="00150F8C" w:rsidRPr="00150F8C">
        <w:rPr>
          <w:rFonts w:ascii="Times New Roman" w:hAnsi="Times New Roman" w:cs="Times New Roman"/>
          <w:i/>
          <w:iCs/>
          <w:color w:val="222222"/>
          <w:sz w:val="24"/>
          <w:szCs w:val="24"/>
          <w:shd w:val="clear" w:color="auto" w:fill="FFFFFF"/>
        </w:rPr>
        <w:t>The Lancet Public Health</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w:t>
      </w:r>
      <w:r w:rsidRPr="00464DC9">
        <w:rPr>
          <w:rFonts w:ascii="Times New Roman" w:hAnsi="Times New Roman" w:cs="Times New Roman"/>
          <w:color w:val="222222"/>
          <w:sz w:val="24"/>
          <w:szCs w:val="24"/>
          <w:shd w:val="clear" w:color="auto" w:fill="FFFFFF"/>
        </w:rPr>
        <w:t>(12):</w:t>
      </w:r>
      <w:r w:rsidR="00150F8C" w:rsidRPr="00150F8C">
        <w:rPr>
          <w:rFonts w:ascii="Times New Roman" w:hAnsi="Times New Roman" w:cs="Times New Roman"/>
          <w:color w:val="222222"/>
          <w:sz w:val="24"/>
          <w:szCs w:val="24"/>
          <w:shd w:val="clear" w:color="auto" w:fill="FFFFFF"/>
        </w:rPr>
        <w:t>943-e955.</w:t>
      </w:r>
    </w:p>
    <w:p w14:paraId="3351FC0B" w14:textId="77777777" w:rsidR="00150F8C" w:rsidRPr="00150F8C" w:rsidRDefault="00150F8C" w:rsidP="00EE1C16">
      <w:pPr>
        <w:spacing w:after="240" w:line="240" w:lineRule="auto"/>
        <w:ind w:left="270" w:hanging="270"/>
        <w:jc w:val="both"/>
        <w:rPr>
          <w:rFonts w:ascii="Times New Roman" w:hAnsi="Times New Roman" w:cs="Times New Roman"/>
          <w:sz w:val="24"/>
          <w:szCs w:val="24"/>
        </w:rPr>
      </w:pPr>
      <w:r w:rsidRPr="00150F8C">
        <w:rPr>
          <w:rFonts w:ascii="Times New Roman" w:hAnsi="Times New Roman" w:cs="Times New Roman"/>
          <w:sz w:val="24"/>
          <w:szCs w:val="24"/>
        </w:rPr>
        <w:t xml:space="preserve">Sommer S G and Jensen C. 1994. Ammonia volatilization from urea and ammonical fertilizers surface applied to winter wheat and grassland. </w:t>
      </w:r>
      <w:r w:rsidRPr="00150F8C">
        <w:rPr>
          <w:rFonts w:ascii="Times New Roman" w:hAnsi="Times New Roman" w:cs="Times New Roman"/>
          <w:i/>
          <w:sz w:val="24"/>
          <w:szCs w:val="24"/>
        </w:rPr>
        <w:t>Springer</w:t>
      </w:r>
      <w:r w:rsidRPr="00150F8C">
        <w:rPr>
          <w:rFonts w:ascii="Times New Roman" w:hAnsi="Times New Roman" w:cs="Times New Roman"/>
          <w:sz w:val="24"/>
          <w:szCs w:val="24"/>
        </w:rPr>
        <w:t xml:space="preserve"> </w:t>
      </w:r>
      <w:r w:rsidRPr="00150F8C">
        <w:rPr>
          <w:rFonts w:ascii="Times New Roman" w:hAnsi="Times New Roman" w:cs="Times New Roman"/>
          <w:b/>
          <w:sz w:val="24"/>
          <w:szCs w:val="24"/>
        </w:rPr>
        <w:t>37</w:t>
      </w:r>
      <w:r w:rsidRPr="00150F8C">
        <w:rPr>
          <w:rFonts w:ascii="Times New Roman" w:hAnsi="Times New Roman" w:cs="Times New Roman"/>
          <w:sz w:val="24"/>
          <w:szCs w:val="24"/>
        </w:rPr>
        <w:t>:85-92.</w:t>
      </w:r>
    </w:p>
    <w:p w14:paraId="6B3F1294"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w:t>
      </w:r>
      <w:r w:rsidR="00150F8C" w:rsidRPr="00150F8C">
        <w:rPr>
          <w:rFonts w:ascii="Times New Roman" w:hAnsi="Times New Roman" w:cs="Times New Roman"/>
          <w:color w:val="222222"/>
          <w:sz w:val="24"/>
          <w:szCs w:val="24"/>
          <w:shd w:val="clear" w:color="auto" w:fill="FFFFFF"/>
        </w:rPr>
        <w:t xml:space="preserve"> 2020. Seed storage, germination, quality, and enhancements. In </w:t>
      </w:r>
      <w:r w:rsidR="00150F8C" w:rsidRPr="00150F8C">
        <w:rPr>
          <w:rFonts w:ascii="Times New Roman" w:hAnsi="Times New Roman" w:cs="Times New Roman"/>
          <w:i/>
          <w:iCs/>
          <w:color w:val="222222"/>
          <w:sz w:val="24"/>
          <w:szCs w:val="24"/>
          <w:shd w:val="clear" w:color="auto" w:fill="FFFFFF"/>
        </w:rPr>
        <w:t>The physiology of vegetable crops</w:t>
      </w:r>
      <w:r w:rsidR="00150F8C" w:rsidRPr="00150F8C">
        <w:rPr>
          <w:rFonts w:ascii="Times New Roman" w:hAnsi="Times New Roman" w:cs="Times New Roman"/>
          <w:color w:val="222222"/>
          <w:sz w:val="24"/>
          <w:szCs w:val="24"/>
          <w:shd w:val="clear" w:color="auto" w:fill="FFFFFF"/>
        </w:rPr>
        <w:t> (pp. 1-30). Wallingford UK: CABI.</w:t>
      </w:r>
    </w:p>
    <w:p w14:paraId="6DB896C6"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and Tomar BS.</w:t>
      </w:r>
      <w:r w:rsidR="00150F8C" w:rsidRPr="00150F8C">
        <w:rPr>
          <w:rFonts w:ascii="Times New Roman" w:hAnsi="Times New Roman" w:cs="Times New Roman"/>
          <w:color w:val="222222"/>
          <w:sz w:val="24"/>
          <w:szCs w:val="24"/>
          <w:shd w:val="clear" w:color="auto" w:fill="FFFFFF"/>
        </w:rPr>
        <w:t xml:space="preserve"> 2019. Effect of scape regulation on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sidR="00150F8C" w:rsidRPr="00150F8C">
        <w:rPr>
          <w:rFonts w:ascii="Times New Roman" w:hAnsi="Times New Roman" w:cs="Times New Roman"/>
          <w:i/>
          <w:iCs/>
          <w:color w:val="222222"/>
          <w:sz w:val="24"/>
          <w:szCs w:val="24"/>
          <w:shd w:val="clear" w:color="auto" w:fill="FFFFFF"/>
        </w:rPr>
        <w:t>The Indian Journal of Agricultural Sciences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00150F8C" w:rsidRPr="00150F8C">
        <w:rPr>
          <w:rFonts w:ascii="Times New Roman" w:hAnsi="Times New Roman" w:cs="Times New Roman"/>
          <w:color w:val="222222"/>
          <w:sz w:val="24"/>
          <w:szCs w:val="24"/>
          <w:shd w:val="clear" w:color="auto" w:fill="FFFFFF"/>
        </w:rPr>
        <w:t>56-59.</w:t>
      </w:r>
    </w:p>
    <w:p w14:paraId="5D7D100E"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Tomar BS, Kumar A and Ahammed ST.</w:t>
      </w:r>
      <w:r w:rsidR="00150F8C" w:rsidRPr="00150F8C">
        <w:rPr>
          <w:rFonts w:ascii="Times New Roman" w:hAnsi="Times New Roman" w:cs="Times New Roman"/>
          <w:color w:val="222222"/>
          <w:sz w:val="24"/>
          <w:szCs w:val="24"/>
          <w:shd w:val="clear" w:color="auto" w:fill="FFFFFF"/>
        </w:rPr>
        <w:t xml:space="preserve"> 2019. Polymer coating for higher pesticide use efficiency,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Indian Journal of Agricultural </w:t>
      </w:r>
      <w:r w:rsidR="00150F8C" w:rsidRPr="00150F8C">
        <w:rPr>
          <w:rFonts w:ascii="Times New Roman" w:hAnsi="Times New Roman" w:cs="Times New Roman"/>
          <w:i/>
          <w:iCs/>
          <w:color w:val="222222"/>
          <w:sz w:val="24"/>
          <w:szCs w:val="24"/>
          <w:shd w:val="clear" w:color="auto" w:fill="FFFFFF"/>
        </w:rPr>
        <w:t xml:space="preserve"> Sci</w:t>
      </w:r>
      <w:r>
        <w:rPr>
          <w:rFonts w:ascii="Times New Roman" w:hAnsi="Times New Roman" w:cs="Times New Roman"/>
          <w:color w:val="222222"/>
          <w:sz w:val="24"/>
          <w:szCs w:val="24"/>
          <w:shd w:val="clear" w:color="auto" w:fill="FFFFFF"/>
        </w:rPr>
        <w:t>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1195-1199.</w:t>
      </w:r>
    </w:p>
    <w:sectPr w:rsidR="00150F8C" w:rsidRPr="00150F8C" w:rsidSect="00DE1D6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F54B" w14:textId="77777777" w:rsidR="00854870" w:rsidRDefault="00854870" w:rsidP="00B818D5">
      <w:pPr>
        <w:spacing w:after="0" w:line="240" w:lineRule="auto"/>
      </w:pPr>
      <w:r>
        <w:separator/>
      </w:r>
    </w:p>
  </w:endnote>
  <w:endnote w:type="continuationSeparator" w:id="0">
    <w:p w14:paraId="36B4C608" w14:textId="77777777" w:rsidR="00854870" w:rsidRDefault="00854870" w:rsidP="00B8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D5A1" w14:textId="77777777" w:rsidR="00B818D5" w:rsidRDefault="00B818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F8BD" w14:textId="77777777" w:rsidR="00B818D5" w:rsidRDefault="00B818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0EE4" w14:textId="77777777" w:rsidR="00B818D5" w:rsidRDefault="00B81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419F" w14:textId="77777777" w:rsidR="00854870" w:rsidRDefault="00854870" w:rsidP="00B818D5">
      <w:pPr>
        <w:spacing w:after="0" w:line="240" w:lineRule="auto"/>
      </w:pPr>
      <w:r>
        <w:separator/>
      </w:r>
    </w:p>
  </w:footnote>
  <w:footnote w:type="continuationSeparator" w:id="0">
    <w:p w14:paraId="0C3FFA6E" w14:textId="77777777" w:rsidR="00854870" w:rsidRDefault="00854870" w:rsidP="00B8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C07D" w14:textId="6A82B823" w:rsidR="00B818D5" w:rsidRDefault="00854870">
    <w:pPr>
      <w:pStyle w:val="Header"/>
    </w:pPr>
    <w:r>
      <w:pict w14:anchorId="178F2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5444" w14:textId="189FDC4B" w:rsidR="00B818D5" w:rsidRDefault="00854870">
    <w:pPr>
      <w:pStyle w:val="Header"/>
    </w:pPr>
    <w:r>
      <w:pict w14:anchorId="51467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E1CF" w14:textId="69744D59" w:rsidR="00B818D5" w:rsidRDefault="00854870">
    <w:pPr>
      <w:pStyle w:val="Header"/>
    </w:pPr>
    <w:r>
      <w:pict w14:anchorId="029D5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5C"/>
    <w:rsid w:val="00035C65"/>
    <w:rsid w:val="000579A1"/>
    <w:rsid w:val="000745B6"/>
    <w:rsid w:val="00084614"/>
    <w:rsid w:val="000A0267"/>
    <w:rsid w:val="000B48D1"/>
    <w:rsid w:val="00136EB8"/>
    <w:rsid w:val="00150F8C"/>
    <w:rsid w:val="00155003"/>
    <w:rsid w:val="00170CCA"/>
    <w:rsid w:val="001900FD"/>
    <w:rsid w:val="001C2EA8"/>
    <w:rsid w:val="001C6298"/>
    <w:rsid w:val="001E7D82"/>
    <w:rsid w:val="0021610F"/>
    <w:rsid w:val="002318A2"/>
    <w:rsid w:val="0023795C"/>
    <w:rsid w:val="0024302B"/>
    <w:rsid w:val="00272C7A"/>
    <w:rsid w:val="002912C8"/>
    <w:rsid w:val="002A0D20"/>
    <w:rsid w:val="002B4724"/>
    <w:rsid w:val="002B5BCE"/>
    <w:rsid w:val="002E64BB"/>
    <w:rsid w:val="00325238"/>
    <w:rsid w:val="00334787"/>
    <w:rsid w:val="003605FE"/>
    <w:rsid w:val="00377AF6"/>
    <w:rsid w:val="00390C4E"/>
    <w:rsid w:val="003A6F64"/>
    <w:rsid w:val="003B1B08"/>
    <w:rsid w:val="003B22DA"/>
    <w:rsid w:val="003C5881"/>
    <w:rsid w:val="003F1240"/>
    <w:rsid w:val="003F3008"/>
    <w:rsid w:val="003F6D41"/>
    <w:rsid w:val="004253A6"/>
    <w:rsid w:val="00437B5D"/>
    <w:rsid w:val="00451BE3"/>
    <w:rsid w:val="0045238A"/>
    <w:rsid w:val="00460793"/>
    <w:rsid w:val="00464DC9"/>
    <w:rsid w:val="00473C2D"/>
    <w:rsid w:val="004A7822"/>
    <w:rsid w:val="004B790E"/>
    <w:rsid w:val="004C5381"/>
    <w:rsid w:val="004F1421"/>
    <w:rsid w:val="004F7912"/>
    <w:rsid w:val="005040B8"/>
    <w:rsid w:val="005072D3"/>
    <w:rsid w:val="00515680"/>
    <w:rsid w:val="00520526"/>
    <w:rsid w:val="00574351"/>
    <w:rsid w:val="005B0727"/>
    <w:rsid w:val="005B7414"/>
    <w:rsid w:val="005D2C59"/>
    <w:rsid w:val="00604ED3"/>
    <w:rsid w:val="006161D4"/>
    <w:rsid w:val="00645BD1"/>
    <w:rsid w:val="006754FF"/>
    <w:rsid w:val="0069742C"/>
    <w:rsid w:val="006A1BFB"/>
    <w:rsid w:val="006B0B8E"/>
    <w:rsid w:val="006C4CB0"/>
    <w:rsid w:val="006E3BFB"/>
    <w:rsid w:val="0070521A"/>
    <w:rsid w:val="00720A38"/>
    <w:rsid w:val="007353FF"/>
    <w:rsid w:val="00747245"/>
    <w:rsid w:val="00773E29"/>
    <w:rsid w:val="00777F37"/>
    <w:rsid w:val="00786014"/>
    <w:rsid w:val="007A0150"/>
    <w:rsid w:val="007C136C"/>
    <w:rsid w:val="007E2E9A"/>
    <w:rsid w:val="007F6542"/>
    <w:rsid w:val="00801741"/>
    <w:rsid w:val="00812C3D"/>
    <w:rsid w:val="00845D53"/>
    <w:rsid w:val="00854870"/>
    <w:rsid w:val="00873591"/>
    <w:rsid w:val="0089559F"/>
    <w:rsid w:val="008B1A69"/>
    <w:rsid w:val="008C20E3"/>
    <w:rsid w:val="008C2F8B"/>
    <w:rsid w:val="008D1AC5"/>
    <w:rsid w:val="00906CC9"/>
    <w:rsid w:val="0091329F"/>
    <w:rsid w:val="009241D5"/>
    <w:rsid w:val="00936D97"/>
    <w:rsid w:val="00953C2B"/>
    <w:rsid w:val="00970218"/>
    <w:rsid w:val="00980C64"/>
    <w:rsid w:val="009E2936"/>
    <w:rsid w:val="009F3C74"/>
    <w:rsid w:val="00A12699"/>
    <w:rsid w:val="00A328D8"/>
    <w:rsid w:val="00A80D6C"/>
    <w:rsid w:val="00AA446B"/>
    <w:rsid w:val="00AA7867"/>
    <w:rsid w:val="00AC4B48"/>
    <w:rsid w:val="00B04B44"/>
    <w:rsid w:val="00B10625"/>
    <w:rsid w:val="00B2459D"/>
    <w:rsid w:val="00B66306"/>
    <w:rsid w:val="00B818D5"/>
    <w:rsid w:val="00BA3AB4"/>
    <w:rsid w:val="00BE3968"/>
    <w:rsid w:val="00C56A23"/>
    <w:rsid w:val="00CD7044"/>
    <w:rsid w:val="00CE128B"/>
    <w:rsid w:val="00CF0A4A"/>
    <w:rsid w:val="00CF5F6D"/>
    <w:rsid w:val="00D006EC"/>
    <w:rsid w:val="00D0351F"/>
    <w:rsid w:val="00D63245"/>
    <w:rsid w:val="00DB5FC0"/>
    <w:rsid w:val="00DB7F35"/>
    <w:rsid w:val="00DD321E"/>
    <w:rsid w:val="00DD4AF4"/>
    <w:rsid w:val="00DE1D6A"/>
    <w:rsid w:val="00DF0C69"/>
    <w:rsid w:val="00E06B6F"/>
    <w:rsid w:val="00E16242"/>
    <w:rsid w:val="00E343FB"/>
    <w:rsid w:val="00E56A1F"/>
    <w:rsid w:val="00E62DB6"/>
    <w:rsid w:val="00E75987"/>
    <w:rsid w:val="00EB62E5"/>
    <w:rsid w:val="00EE1C16"/>
    <w:rsid w:val="00EE3060"/>
    <w:rsid w:val="00F21B2A"/>
    <w:rsid w:val="00F24F45"/>
    <w:rsid w:val="00F315EE"/>
    <w:rsid w:val="00F4113A"/>
    <w:rsid w:val="00F5119A"/>
    <w:rsid w:val="00F520EB"/>
    <w:rsid w:val="00F70924"/>
    <w:rsid w:val="00F71209"/>
    <w:rsid w:val="00FA3849"/>
    <w:rsid w:val="00FC2604"/>
    <w:rsid w:val="00FE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D22693"/>
  <w15:docId w15:val="{5FB456AF-AFE9-1944-88D9-3F5311E6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AC5"/>
    <w:rPr>
      <w:color w:val="808080"/>
    </w:rPr>
  </w:style>
  <w:style w:type="paragraph" w:styleId="BalloonText">
    <w:name w:val="Balloon Text"/>
    <w:basedOn w:val="Normal"/>
    <w:link w:val="BalloonTextChar"/>
    <w:uiPriority w:val="99"/>
    <w:semiHidden/>
    <w:unhideWhenUsed/>
    <w:rsid w:val="008D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AC5"/>
    <w:rPr>
      <w:rFonts w:ascii="Tahoma" w:hAnsi="Tahoma" w:cs="Tahoma"/>
      <w:noProof/>
      <w:sz w:val="16"/>
      <w:szCs w:val="16"/>
    </w:rPr>
  </w:style>
  <w:style w:type="character" w:customStyle="1" w:styleId="relative">
    <w:name w:val="relative"/>
    <w:basedOn w:val="DefaultParagraphFont"/>
    <w:rsid w:val="00604ED3"/>
  </w:style>
  <w:style w:type="paragraph" w:styleId="NormalWeb">
    <w:name w:val="Normal (Web)"/>
    <w:basedOn w:val="Normal"/>
    <w:uiPriority w:val="99"/>
    <w:semiHidden/>
    <w:unhideWhenUsed/>
    <w:rsid w:val="00A80D6C"/>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customStyle="1" w:styleId="sr-only">
    <w:name w:val="sr-only"/>
    <w:basedOn w:val="DefaultParagraphFont"/>
    <w:rsid w:val="00A80D6C"/>
  </w:style>
  <w:style w:type="paragraph" w:styleId="NoSpacing">
    <w:name w:val="No Spacing"/>
    <w:uiPriority w:val="1"/>
    <w:qFormat/>
    <w:rsid w:val="0024302B"/>
    <w:pPr>
      <w:spacing w:after="0" w:line="240" w:lineRule="auto"/>
      <w:jc w:val="both"/>
    </w:pPr>
    <w:rPr>
      <w:rFonts w:ascii="Calibri" w:eastAsia="Calibri" w:hAnsi="Calibri" w:cs="SimSun"/>
    </w:rPr>
  </w:style>
  <w:style w:type="character" w:styleId="Hyperlink">
    <w:name w:val="Hyperlink"/>
    <w:basedOn w:val="DefaultParagraphFont"/>
    <w:uiPriority w:val="99"/>
    <w:unhideWhenUsed/>
    <w:rsid w:val="004253A6"/>
    <w:rPr>
      <w:color w:val="0000FF" w:themeColor="hyperlink"/>
      <w:u w:val="single"/>
    </w:rPr>
  </w:style>
  <w:style w:type="character" w:customStyle="1" w:styleId="UnresolvedMention">
    <w:name w:val="Unresolved Mention"/>
    <w:basedOn w:val="DefaultParagraphFont"/>
    <w:uiPriority w:val="99"/>
    <w:semiHidden/>
    <w:unhideWhenUsed/>
    <w:rsid w:val="00D0351F"/>
    <w:rPr>
      <w:color w:val="605E5C"/>
      <w:shd w:val="clear" w:color="auto" w:fill="E1DFDD"/>
    </w:rPr>
  </w:style>
  <w:style w:type="paragraph" w:styleId="ListParagraph">
    <w:name w:val="List Paragraph"/>
    <w:basedOn w:val="Normal"/>
    <w:uiPriority w:val="34"/>
    <w:qFormat/>
    <w:rsid w:val="00DB5FC0"/>
    <w:pPr>
      <w:ind w:left="720"/>
      <w:contextualSpacing/>
    </w:pPr>
  </w:style>
  <w:style w:type="paragraph" w:styleId="Header">
    <w:name w:val="header"/>
    <w:basedOn w:val="Normal"/>
    <w:link w:val="HeaderChar"/>
    <w:uiPriority w:val="99"/>
    <w:unhideWhenUsed/>
    <w:rsid w:val="00B8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D5"/>
    <w:rPr>
      <w:noProof/>
    </w:rPr>
  </w:style>
  <w:style w:type="paragraph" w:styleId="Footer">
    <w:name w:val="footer"/>
    <w:basedOn w:val="Normal"/>
    <w:link w:val="FooterChar"/>
    <w:uiPriority w:val="99"/>
    <w:unhideWhenUsed/>
    <w:rsid w:val="00B8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D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5944">
      <w:bodyDiv w:val="1"/>
      <w:marLeft w:val="0"/>
      <w:marRight w:val="0"/>
      <w:marTop w:val="0"/>
      <w:marBottom w:val="0"/>
      <w:divBdr>
        <w:top w:val="none" w:sz="0" w:space="0" w:color="auto"/>
        <w:left w:val="none" w:sz="0" w:space="0" w:color="auto"/>
        <w:bottom w:val="none" w:sz="0" w:space="0" w:color="auto"/>
        <w:right w:val="none" w:sz="0" w:space="0" w:color="auto"/>
      </w:divBdr>
    </w:div>
    <w:div w:id="1260408453">
      <w:bodyDiv w:val="1"/>
      <w:marLeft w:val="0"/>
      <w:marRight w:val="0"/>
      <w:marTop w:val="0"/>
      <w:marBottom w:val="0"/>
      <w:divBdr>
        <w:top w:val="none" w:sz="0" w:space="0" w:color="auto"/>
        <w:left w:val="none" w:sz="0" w:space="0" w:color="auto"/>
        <w:bottom w:val="none" w:sz="0" w:space="0" w:color="auto"/>
        <w:right w:val="none" w:sz="0" w:space="0" w:color="auto"/>
      </w:divBdr>
      <w:divsChild>
        <w:div w:id="2051224515">
          <w:marLeft w:val="0"/>
          <w:marRight w:val="0"/>
          <w:marTop w:val="0"/>
          <w:marBottom w:val="0"/>
          <w:divBdr>
            <w:top w:val="none" w:sz="0" w:space="0" w:color="auto"/>
            <w:left w:val="none" w:sz="0" w:space="0" w:color="auto"/>
            <w:bottom w:val="none" w:sz="0" w:space="0" w:color="auto"/>
            <w:right w:val="none" w:sz="0" w:space="0" w:color="auto"/>
          </w:divBdr>
          <w:divsChild>
            <w:div w:id="479269268">
              <w:marLeft w:val="0"/>
              <w:marRight w:val="0"/>
              <w:marTop w:val="0"/>
              <w:marBottom w:val="0"/>
              <w:divBdr>
                <w:top w:val="none" w:sz="0" w:space="0" w:color="auto"/>
                <w:left w:val="none" w:sz="0" w:space="0" w:color="auto"/>
                <w:bottom w:val="none" w:sz="0" w:space="0" w:color="auto"/>
                <w:right w:val="none" w:sz="0" w:space="0" w:color="auto"/>
              </w:divBdr>
              <w:divsChild>
                <w:div w:id="1904635185">
                  <w:marLeft w:val="0"/>
                  <w:marRight w:val="0"/>
                  <w:marTop w:val="0"/>
                  <w:marBottom w:val="0"/>
                  <w:divBdr>
                    <w:top w:val="none" w:sz="0" w:space="0" w:color="auto"/>
                    <w:left w:val="none" w:sz="0" w:space="0" w:color="auto"/>
                    <w:bottom w:val="none" w:sz="0" w:space="0" w:color="auto"/>
                    <w:right w:val="none" w:sz="0" w:space="0" w:color="auto"/>
                  </w:divBdr>
                  <w:divsChild>
                    <w:div w:id="180822150">
                      <w:marLeft w:val="0"/>
                      <w:marRight w:val="0"/>
                      <w:marTop w:val="0"/>
                      <w:marBottom w:val="0"/>
                      <w:divBdr>
                        <w:top w:val="none" w:sz="0" w:space="0" w:color="auto"/>
                        <w:left w:val="none" w:sz="0" w:space="0" w:color="auto"/>
                        <w:bottom w:val="none" w:sz="0" w:space="0" w:color="auto"/>
                        <w:right w:val="none" w:sz="0" w:space="0" w:color="auto"/>
                      </w:divBdr>
                      <w:divsChild>
                        <w:div w:id="2033601932">
                          <w:marLeft w:val="0"/>
                          <w:marRight w:val="0"/>
                          <w:marTop w:val="0"/>
                          <w:marBottom w:val="0"/>
                          <w:divBdr>
                            <w:top w:val="none" w:sz="0" w:space="0" w:color="auto"/>
                            <w:left w:val="none" w:sz="0" w:space="0" w:color="auto"/>
                            <w:bottom w:val="none" w:sz="0" w:space="0" w:color="auto"/>
                            <w:right w:val="none" w:sz="0" w:space="0" w:color="auto"/>
                          </w:divBdr>
                          <w:divsChild>
                            <w:div w:id="2058817096">
                              <w:marLeft w:val="0"/>
                              <w:marRight w:val="0"/>
                              <w:marTop w:val="0"/>
                              <w:marBottom w:val="0"/>
                              <w:divBdr>
                                <w:top w:val="none" w:sz="0" w:space="0" w:color="auto"/>
                                <w:left w:val="none" w:sz="0" w:space="0" w:color="auto"/>
                                <w:bottom w:val="none" w:sz="0" w:space="0" w:color="auto"/>
                                <w:right w:val="none" w:sz="0" w:space="0" w:color="auto"/>
                              </w:divBdr>
                              <w:divsChild>
                                <w:div w:id="1526599991">
                                  <w:marLeft w:val="0"/>
                                  <w:marRight w:val="0"/>
                                  <w:marTop w:val="0"/>
                                  <w:marBottom w:val="0"/>
                                  <w:divBdr>
                                    <w:top w:val="none" w:sz="0" w:space="0" w:color="auto"/>
                                    <w:left w:val="none" w:sz="0" w:space="0" w:color="auto"/>
                                    <w:bottom w:val="none" w:sz="0" w:space="0" w:color="auto"/>
                                    <w:right w:val="none" w:sz="0" w:space="0" w:color="auto"/>
                                  </w:divBdr>
                                  <w:divsChild>
                                    <w:div w:id="18492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9820">
                      <w:marLeft w:val="0"/>
                      <w:marRight w:val="0"/>
                      <w:marTop w:val="0"/>
                      <w:marBottom w:val="0"/>
                      <w:divBdr>
                        <w:top w:val="none" w:sz="0" w:space="0" w:color="auto"/>
                        <w:left w:val="none" w:sz="0" w:space="0" w:color="auto"/>
                        <w:bottom w:val="none" w:sz="0" w:space="0" w:color="auto"/>
                        <w:right w:val="none" w:sz="0" w:space="0" w:color="auto"/>
                      </w:divBdr>
                      <w:divsChild>
                        <w:div w:id="9791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03689">
      <w:bodyDiv w:val="1"/>
      <w:marLeft w:val="0"/>
      <w:marRight w:val="0"/>
      <w:marTop w:val="0"/>
      <w:marBottom w:val="0"/>
      <w:divBdr>
        <w:top w:val="none" w:sz="0" w:space="0" w:color="auto"/>
        <w:left w:val="none" w:sz="0" w:space="0" w:color="auto"/>
        <w:bottom w:val="none" w:sz="0" w:space="0" w:color="auto"/>
        <w:right w:val="none" w:sz="0" w:space="0" w:color="auto"/>
      </w:divBdr>
      <w:divsChild>
        <w:div w:id="1889225289">
          <w:marLeft w:val="0"/>
          <w:marRight w:val="0"/>
          <w:marTop w:val="0"/>
          <w:marBottom w:val="0"/>
          <w:divBdr>
            <w:top w:val="none" w:sz="0" w:space="0" w:color="auto"/>
            <w:left w:val="none" w:sz="0" w:space="0" w:color="auto"/>
            <w:bottom w:val="none" w:sz="0" w:space="0" w:color="auto"/>
            <w:right w:val="none" w:sz="0" w:space="0" w:color="auto"/>
          </w:divBdr>
          <w:divsChild>
            <w:div w:id="10422576">
              <w:marLeft w:val="0"/>
              <w:marRight w:val="0"/>
              <w:marTop w:val="0"/>
              <w:marBottom w:val="0"/>
              <w:divBdr>
                <w:top w:val="none" w:sz="0" w:space="0" w:color="auto"/>
                <w:left w:val="none" w:sz="0" w:space="0" w:color="auto"/>
                <w:bottom w:val="none" w:sz="0" w:space="0" w:color="auto"/>
                <w:right w:val="none" w:sz="0" w:space="0" w:color="auto"/>
              </w:divBdr>
              <w:divsChild>
                <w:div w:id="577902093">
                  <w:marLeft w:val="0"/>
                  <w:marRight w:val="0"/>
                  <w:marTop w:val="0"/>
                  <w:marBottom w:val="0"/>
                  <w:divBdr>
                    <w:top w:val="none" w:sz="0" w:space="0" w:color="auto"/>
                    <w:left w:val="none" w:sz="0" w:space="0" w:color="auto"/>
                    <w:bottom w:val="none" w:sz="0" w:space="0" w:color="auto"/>
                    <w:right w:val="none" w:sz="0" w:space="0" w:color="auto"/>
                  </w:divBdr>
                  <w:divsChild>
                    <w:div w:id="1153377036">
                      <w:marLeft w:val="0"/>
                      <w:marRight w:val="0"/>
                      <w:marTop w:val="0"/>
                      <w:marBottom w:val="0"/>
                      <w:divBdr>
                        <w:top w:val="none" w:sz="0" w:space="0" w:color="auto"/>
                        <w:left w:val="none" w:sz="0" w:space="0" w:color="auto"/>
                        <w:bottom w:val="none" w:sz="0" w:space="0" w:color="auto"/>
                        <w:right w:val="none" w:sz="0" w:space="0" w:color="auto"/>
                      </w:divBdr>
                      <w:divsChild>
                        <w:div w:id="2082751788">
                          <w:marLeft w:val="0"/>
                          <w:marRight w:val="0"/>
                          <w:marTop w:val="0"/>
                          <w:marBottom w:val="0"/>
                          <w:divBdr>
                            <w:top w:val="none" w:sz="0" w:space="0" w:color="auto"/>
                            <w:left w:val="none" w:sz="0" w:space="0" w:color="auto"/>
                            <w:bottom w:val="none" w:sz="0" w:space="0" w:color="auto"/>
                            <w:right w:val="none" w:sz="0" w:space="0" w:color="auto"/>
                          </w:divBdr>
                          <w:divsChild>
                            <w:div w:id="905997710">
                              <w:marLeft w:val="0"/>
                              <w:marRight w:val="0"/>
                              <w:marTop w:val="0"/>
                              <w:marBottom w:val="0"/>
                              <w:divBdr>
                                <w:top w:val="none" w:sz="0" w:space="0" w:color="auto"/>
                                <w:left w:val="none" w:sz="0" w:space="0" w:color="auto"/>
                                <w:bottom w:val="none" w:sz="0" w:space="0" w:color="auto"/>
                                <w:right w:val="none" w:sz="0" w:space="0" w:color="auto"/>
                              </w:divBdr>
                              <w:divsChild>
                                <w:div w:id="586156621">
                                  <w:marLeft w:val="0"/>
                                  <w:marRight w:val="0"/>
                                  <w:marTop w:val="0"/>
                                  <w:marBottom w:val="0"/>
                                  <w:divBdr>
                                    <w:top w:val="none" w:sz="0" w:space="0" w:color="auto"/>
                                    <w:left w:val="none" w:sz="0" w:space="0" w:color="auto"/>
                                    <w:bottom w:val="none" w:sz="0" w:space="0" w:color="auto"/>
                                    <w:right w:val="none" w:sz="0" w:space="0" w:color="auto"/>
                                  </w:divBdr>
                                  <w:divsChild>
                                    <w:div w:id="2426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2266">
                      <w:marLeft w:val="0"/>
                      <w:marRight w:val="0"/>
                      <w:marTop w:val="0"/>
                      <w:marBottom w:val="0"/>
                      <w:divBdr>
                        <w:top w:val="none" w:sz="0" w:space="0" w:color="auto"/>
                        <w:left w:val="none" w:sz="0" w:space="0" w:color="auto"/>
                        <w:bottom w:val="none" w:sz="0" w:space="0" w:color="auto"/>
                        <w:right w:val="none" w:sz="0" w:space="0" w:color="auto"/>
                      </w:divBdr>
                      <w:divsChild>
                        <w:div w:id="584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5303">
      <w:bodyDiv w:val="1"/>
      <w:marLeft w:val="0"/>
      <w:marRight w:val="0"/>
      <w:marTop w:val="0"/>
      <w:marBottom w:val="0"/>
      <w:divBdr>
        <w:top w:val="none" w:sz="0" w:space="0" w:color="auto"/>
        <w:left w:val="none" w:sz="0" w:space="0" w:color="auto"/>
        <w:bottom w:val="none" w:sz="0" w:space="0" w:color="auto"/>
        <w:right w:val="none" w:sz="0" w:space="0" w:color="auto"/>
      </w:divBdr>
      <w:divsChild>
        <w:div w:id="1830486987">
          <w:marLeft w:val="0"/>
          <w:marRight w:val="0"/>
          <w:marTop w:val="0"/>
          <w:marBottom w:val="0"/>
          <w:divBdr>
            <w:top w:val="none" w:sz="0" w:space="0" w:color="auto"/>
            <w:left w:val="none" w:sz="0" w:space="0" w:color="auto"/>
            <w:bottom w:val="none" w:sz="0" w:space="0" w:color="auto"/>
            <w:right w:val="none" w:sz="0" w:space="0" w:color="auto"/>
          </w:divBdr>
          <w:divsChild>
            <w:div w:id="566918723">
              <w:marLeft w:val="0"/>
              <w:marRight w:val="0"/>
              <w:marTop w:val="0"/>
              <w:marBottom w:val="0"/>
              <w:divBdr>
                <w:top w:val="none" w:sz="0" w:space="0" w:color="auto"/>
                <w:left w:val="none" w:sz="0" w:space="0" w:color="auto"/>
                <w:bottom w:val="none" w:sz="0" w:space="0" w:color="auto"/>
                <w:right w:val="none" w:sz="0" w:space="0" w:color="auto"/>
              </w:divBdr>
              <w:divsChild>
                <w:div w:id="1483279075">
                  <w:marLeft w:val="0"/>
                  <w:marRight w:val="0"/>
                  <w:marTop w:val="0"/>
                  <w:marBottom w:val="0"/>
                  <w:divBdr>
                    <w:top w:val="none" w:sz="0" w:space="0" w:color="auto"/>
                    <w:left w:val="none" w:sz="0" w:space="0" w:color="auto"/>
                    <w:bottom w:val="none" w:sz="0" w:space="0" w:color="auto"/>
                    <w:right w:val="none" w:sz="0" w:space="0" w:color="auto"/>
                  </w:divBdr>
                  <w:divsChild>
                    <w:div w:id="1554582134">
                      <w:marLeft w:val="0"/>
                      <w:marRight w:val="0"/>
                      <w:marTop w:val="0"/>
                      <w:marBottom w:val="0"/>
                      <w:divBdr>
                        <w:top w:val="none" w:sz="0" w:space="0" w:color="auto"/>
                        <w:left w:val="none" w:sz="0" w:space="0" w:color="auto"/>
                        <w:bottom w:val="none" w:sz="0" w:space="0" w:color="auto"/>
                        <w:right w:val="none" w:sz="0" w:space="0" w:color="auto"/>
                      </w:divBdr>
                      <w:divsChild>
                        <w:div w:id="436172424">
                          <w:marLeft w:val="0"/>
                          <w:marRight w:val="0"/>
                          <w:marTop w:val="0"/>
                          <w:marBottom w:val="0"/>
                          <w:divBdr>
                            <w:top w:val="none" w:sz="0" w:space="0" w:color="auto"/>
                            <w:left w:val="none" w:sz="0" w:space="0" w:color="auto"/>
                            <w:bottom w:val="none" w:sz="0" w:space="0" w:color="auto"/>
                            <w:right w:val="none" w:sz="0" w:space="0" w:color="auto"/>
                          </w:divBdr>
                          <w:divsChild>
                            <w:div w:id="1461192038">
                              <w:marLeft w:val="0"/>
                              <w:marRight w:val="0"/>
                              <w:marTop w:val="0"/>
                              <w:marBottom w:val="0"/>
                              <w:divBdr>
                                <w:top w:val="none" w:sz="0" w:space="0" w:color="auto"/>
                                <w:left w:val="none" w:sz="0" w:space="0" w:color="auto"/>
                                <w:bottom w:val="none" w:sz="0" w:space="0" w:color="auto"/>
                                <w:right w:val="none" w:sz="0" w:space="0" w:color="auto"/>
                              </w:divBdr>
                              <w:divsChild>
                                <w:div w:id="235287705">
                                  <w:marLeft w:val="0"/>
                                  <w:marRight w:val="0"/>
                                  <w:marTop w:val="0"/>
                                  <w:marBottom w:val="0"/>
                                  <w:divBdr>
                                    <w:top w:val="none" w:sz="0" w:space="0" w:color="auto"/>
                                    <w:left w:val="none" w:sz="0" w:space="0" w:color="auto"/>
                                    <w:bottom w:val="none" w:sz="0" w:space="0" w:color="auto"/>
                                    <w:right w:val="none" w:sz="0" w:space="0" w:color="auto"/>
                                  </w:divBdr>
                                  <w:divsChild>
                                    <w:div w:id="1306281222">
                                      <w:marLeft w:val="0"/>
                                      <w:marRight w:val="0"/>
                                      <w:marTop w:val="0"/>
                                      <w:marBottom w:val="0"/>
                                      <w:divBdr>
                                        <w:top w:val="none" w:sz="0" w:space="0" w:color="auto"/>
                                        <w:left w:val="none" w:sz="0" w:space="0" w:color="auto"/>
                                        <w:bottom w:val="none" w:sz="0" w:space="0" w:color="auto"/>
                                        <w:right w:val="none" w:sz="0" w:space="0" w:color="auto"/>
                                      </w:divBdr>
                                      <w:divsChild>
                                        <w:div w:id="1704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2216">
          <w:marLeft w:val="0"/>
          <w:marRight w:val="0"/>
          <w:marTop w:val="0"/>
          <w:marBottom w:val="0"/>
          <w:divBdr>
            <w:top w:val="none" w:sz="0" w:space="0" w:color="auto"/>
            <w:left w:val="none" w:sz="0" w:space="0" w:color="auto"/>
            <w:bottom w:val="none" w:sz="0" w:space="0" w:color="auto"/>
            <w:right w:val="none" w:sz="0" w:space="0" w:color="auto"/>
          </w:divBdr>
          <w:divsChild>
            <w:div w:id="1061518115">
              <w:marLeft w:val="0"/>
              <w:marRight w:val="0"/>
              <w:marTop w:val="0"/>
              <w:marBottom w:val="0"/>
              <w:divBdr>
                <w:top w:val="none" w:sz="0" w:space="0" w:color="auto"/>
                <w:left w:val="none" w:sz="0" w:space="0" w:color="auto"/>
                <w:bottom w:val="none" w:sz="0" w:space="0" w:color="auto"/>
                <w:right w:val="none" w:sz="0" w:space="0" w:color="auto"/>
              </w:divBdr>
              <w:divsChild>
                <w:div w:id="699664009">
                  <w:marLeft w:val="0"/>
                  <w:marRight w:val="0"/>
                  <w:marTop w:val="0"/>
                  <w:marBottom w:val="0"/>
                  <w:divBdr>
                    <w:top w:val="none" w:sz="0" w:space="0" w:color="auto"/>
                    <w:left w:val="none" w:sz="0" w:space="0" w:color="auto"/>
                    <w:bottom w:val="none" w:sz="0" w:space="0" w:color="auto"/>
                    <w:right w:val="none" w:sz="0" w:space="0" w:color="auto"/>
                  </w:divBdr>
                  <w:divsChild>
                    <w:div w:id="2130119682">
                      <w:marLeft w:val="0"/>
                      <w:marRight w:val="0"/>
                      <w:marTop w:val="0"/>
                      <w:marBottom w:val="0"/>
                      <w:divBdr>
                        <w:top w:val="none" w:sz="0" w:space="0" w:color="auto"/>
                        <w:left w:val="none" w:sz="0" w:space="0" w:color="auto"/>
                        <w:bottom w:val="none" w:sz="0" w:space="0" w:color="auto"/>
                        <w:right w:val="none" w:sz="0" w:space="0" w:color="auto"/>
                      </w:divBdr>
                      <w:divsChild>
                        <w:div w:id="1530754818">
                          <w:marLeft w:val="0"/>
                          <w:marRight w:val="0"/>
                          <w:marTop w:val="0"/>
                          <w:marBottom w:val="0"/>
                          <w:divBdr>
                            <w:top w:val="none" w:sz="0" w:space="0" w:color="auto"/>
                            <w:left w:val="none" w:sz="0" w:space="0" w:color="auto"/>
                            <w:bottom w:val="none" w:sz="0" w:space="0" w:color="auto"/>
                            <w:right w:val="none" w:sz="0" w:space="0" w:color="auto"/>
                          </w:divBdr>
                          <w:divsChild>
                            <w:div w:id="316033715">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sChild>
                                    <w:div w:id="480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77554">
                          <w:marLeft w:val="0"/>
                          <w:marRight w:val="0"/>
                          <w:marTop w:val="0"/>
                          <w:marBottom w:val="0"/>
                          <w:divBdr>
                            <w:top w:val="none" w:sz="0" w:space="0" w:color="auto"/>
                            <w:left w:val="none" w:sz="0" w:space="0" w:color="auto"/>
                            <w:bottom w:val="none" w:sz="0" w:space="0" w:color="auto"/>
                            <w:right w:val="none" w:sz="0" w:space="0" w:color="auto"/>
                          </w:divBdr>
                          <w:divsChild>
                            <w:div w:id="1064645711">
                              <w:marLeft w:val="0"/>
                              <w:marRight w:val="0"/>
                              <w:marTop w:val="0"/>
                              <w:marBottom w:val="0"/>
                              <w:divBdr>
                                <w:top w:val="none" w:sz="0" w:space="0" w:color="auto"/>
                                <w:left w:val="none" w:sz="0" w:space="0" w:color="auto"/>
                                <w:bottom w:val="none" w:sz="0" w:space="0" w:color="auto"/>
                                <w:right w:val="none" w:sz="0" w:space="0" w:color="auto"/>
                              </w:divBdr>
                              <w:divsChild>
                                <w:div w:id="814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6861">
          <w:marLeft w:val="0"/>
          <w:marRight w:val="0"/>
          <w:marTop w:val="0"/>
          <w:marBottom w:val="0"/>
          <w:divBdr>
            <w:top w:val="none" w:sz="0" w:space="0" w:color="auto"/>
            <w:left w:val="none" w:sz="0" w:space="0" w:color="auto"/>
            <w:bottom w:val="none" w:sz="0" w:space="0" w:color="auto"/>
            <w:right w:val="none" w:sz="0" w:space="0" w:color="auto"/>
          </w:divBdr>
          <w:divsChild>
            <w:div w:id="329407688">
              <w:marLeft w:val="0"/>
              <w:marRight w:val="0"/>
              <w:marTop w:val="0"/>
              <w:marBottom w:val="0"/>
              <w:divBdr>
                <w:top w:val="none" w:sz="0" w:space="0" w:color="auto"/>
                <w:left w:val="none" w:sz="0" w:space="0" w:color="auto"/>
                <w:bottom w:val="none" w:sz="0" w:space="0" w:color="auto"/>
                <w:right w:val="none" w:sz="0" w:space="0" w:color="auto"/>
              </w:divBdr>
              <w:divsChild>
                <w:div w:id="757949114">
                  <w:marLeft w:val="0"/>
                  <w:marRight w:val="0"/>
                  <w:marTop w:val="0"/>
                  <w:marBottom w:val="0"/>
                  <w:divBdr>
                    <w:top w:val="none" w:sz="0" w:space="0" w:color="auto"/>
                    <w:left w:val="none" w:sz="0" w:space="0" w:color="auto"/>
                    <w:bottom w:val="none" w:sz="0" w:space="0" w:color="auto"/>
                    <w:right w:val="none" w:sz="0" w:space="0" w:color="auto"/>
                  </w:divBdr>
                  <w:divsChild>
                    <w:div w:id="1024792889">
                      <w:marLeft w:val="0"/>
                      <w:marRight w:val="0"/>
                      <w:marTop w:val="0"/>
                      <w:marBottom w:val="0"/>
                      <w:divBdr>
                        <w:top w:val="none" w:sz="0" w:space="0" w:color="auto"/>
                        <w:left w:val="none" w:sz="0" w:space="0" w:color="auto"/>
                        <w:bottom w:val="none" w:sz="0" w:space="0" w:color="auto"/>
                        <w:right w:val="none" w:sz="0" w:space="0" w:color="auto"/>
                      </w:divBdr>
                      <w:divsChild>
                        <w:div w:id="224612015">
                          <w:marLeft w:val="0"/>
                          <w:marRight w:val="0"/>
                          <w:marTop w:val="0"/>
                          <w:marBottom w:val="0"/>
                          <w:divBdr>
                            <w:top w:val="none" w:sz="0" w:space="0" w:color="auto"/>
                            <w:left w:val="none" w:sz="0" w:space="0" w:color="auto"/>
                            <w:bottom w:val="none" w:sz="0" w:space="0" w:color="auto"/>
                            <w:right w:val="none" w:sz="0" w:space="0" w:color="auto"/>
                          </w:divBdr>
                          <w:divsChild>
                            <w:div w:id="2076123989">
                              <w:marLeft w:val="0"/>
                              <w:marRight w:val="0"/>
                              <w:marTop w:val="0"/>
                              <w:marBottom w:val="0"/>
                              <w:divBdr>
                                <w:top w:val="none" w:sz="0" w:space="0" w:color="auto"/>
                                <w:left w:val="none" w:sz="0" w:space="0" w:color="auto"/>
                                <w:bottom w:val="none" w:sz="0" w:space="0" w:color="auto"/>
                                <w:right w:val="none" w:sz="0" w:space="0" w:color="auto"/>
                              </w:divBdr>
                              <w:divsChild>
                                <w:div w:id="672295149">
                                  <w:marLeft w:val="0"/>
                                  <w:marRight w:val="0"/>
                                  <w:marTop w:val="0"/>
                                  <w:marBottom w:val="0"/>
                                  <w:divBdr>
                                    <w:top w:val="none" w:sz="0" w:space="0" w:color="auto"/>
                                    <w:left w:val="none" w:sz="0" w:space="0" w:color="auto"/>
                                    <w:bottom w:val="none" w:sz="0" w:space="0" w:color="auto"/>
                                    <w:right w:val="none" w:sz="0" w:space="0" w:color="auto"/>
                                  </w:divBdr>
                                  <w:divsChild>
                                    <w:div w:id="1103724277">
                                      <w:marLeft w:val="0"/>
                                      <w:marRight w:val="0"/>
                                      <w:marTop w:val="0"/>
                                      <w:marBottom w:val="0"/>
                                      <w:divBdr>
                                        <w:top w:val="none" w:sz="0" w:space="0" w:color="auto"/>
                                        <w:left w:val="none" w:sz="0" w:space="0" w:color="auto"/>
                                        <w:bottom w:val="none" w:sz="0" w:space="0" w:color="auto"/>
                                        <w:right w:val="none" w:sz="0" w:space="0" w:color="auto"/>
                                      </w:divBdr>
                                      <w:divsChild>
                                        <w:div w:id="47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133215">
          <w:marLeft w:val="0"/>
          <w:marRight w:val="0"/>
          <w:marTop w:val="0"/>
          <w:marBottom w:val="0"/>
          <w:divBdr>
            <w:top w:val="none" w:sz="0" w:space="0" w:color="auto"/>
            <w:left w:val="none" w:sz="0" w:space="0" w:color="auto"/>
            <w:bottom w:val="none" w:sz="0" w:space="0" w:color="auto"/>
            <w:right w:val="none" w:sz="0" w:space="0" w:color="auto"/>
          </w:divBdr>
          <w:divsChild>
            <w:div w:id="1375929731">
              <w:marLeft w:val="0"/>
              <w:marRight w:val="0"/>
              <w:marTop w:val="0"/>
              <w:marBottom w:val="0"/>
              <w:divBdr>
                <w:top w:val="none" w:sz="0" w:space="0" w:color="auto"/>
                <w:left w:val="none" w:sz="0" w:space="0" w:color="auto"/>
                <w:bottom w:val="none" w:sz="0" w:space="0" w:color="auto"/>
                <w:right w:val="none" w:sz="0" w:space="0" w:color="auto"/>
              </w:divBdr>
              <w:divsChild>
                <w:div w:id="1090276343">
                  <w:marLeft w:val="0"/>
                  <w:marRight w:val="0"/>
                  <w:marTop w:val="0"/>
                  <w:marBottom w:val="0"/>
                  <w:divBdr>
                    <w:top w:val="none" w:sz="0" w:space="0" w:color="auto"/>
                    <w:left w:val="none" w:sz="0" w:space="0" w:color="auto"/>
                    <w:bottom w:val="none" w:sz="0" w:space="0" w:color="auto"/>
                    <w:right w:val="none" w:sz="0" w:space="0" w:color="auto"/>
                  </w:divBdr>
                  <w:divsChild>
                    <w:div w:id="1288707112">
                      <w:marLeft w:val="0"/>
                      <w:marRight w:val="0"/>
                      <w:marTop w:val="0"/>
                      <w:marBottom w:val="0"/>
                      <w:divBdr>
                        <w:top w:val="none" w:sz="0" w:space="0" w:color="auto"/>
                        <w:left w:val="none" w:sz="0" w:space="0" w:color="auto"/>
                        <w:bottom w:val="none" w:sz="0" w:space="0" w:color="auto"/>
                        <w:right w:val="none" w:sz="0" w:space="0" w:color="auto"/>
                      </w:divBdr>
                      <w:divsChild>
                        <w:div w:id="300307223">
                          <w:marLeft w:val="0"/>
                          <w:marRight w:val="0"/>
                          <w:marTop w:val="0"/>
                          <w:marBottom w:val="0"/>
                          <w:divBdr>
                            <w:top w:val="none" w:sz="0" w:space="0" w:color="auto"/>
                            <w:left w:val="none" w:sz="0" w:space="0" w:color="auto"/>
                            <w:bottom w:val="none" w:sz="0" w:space="0" w:color="auto"/>
                            <w:right w:val="none" w:sz="0" w:space="0" w:color="auto"/>
                          </w:divBdr>
                          <w:divsChild>
                            <w:div w:id="1663387376">
                              <w:marLeft w:val="0"/>
                              <w:marRight w:val="0"/>
                              <w:marTop w:val="0"/>
                              <w:marBottom w:val="0"/>
                              <w:divBdr>
                                <w:top w:val="none" w:sz="0" w:space="0" w:color="auto"/>
                                <w:left w:val="none" w:sz="0" w:space="0" w:color="auto"/>
                                <w:bottom w:val="none" w:sz="0" w:space="0" w:color="auto"/>
                                <w:right w:val="none" w:sz="0" w:space="0" w:color="auto"/>
                              </w:divBdr>
                              <w:divsChild>
                                <w:div w:id="270630159">
                                  <w:marLeft w:val="0"/>
                                  <w:marRight w:val="0"/>
                                  <w:marTop w:val="0"/>
                                  <w:marBottom w:val="0"/>
                                  <w:divBdr>
                                    <w:top w:val="none" w:sz="0" w:space="0" w:color="auto"/>
                                    <w:left w:val="none" w:sz="0" w:space="0" w:color="auto"/>
                                    <w:bottom w:val="none" w:sz="0" w:space="0" w:color="auto"/>
                                    <w:right w:val="none" w:sz="0" w:space="0" w:color="auto"/>
                                  </w:divBdr>
                                  <w:divsChild>
                                    <w:div w:id="16756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 available  (kg/ ha)</a:t>
            </a:r>
          </a:p>
        </c:rich>
      </c:tx>
      <c:overlay val="0"/>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0"/>
          <c:order val="0"/>
          <c:tx>
            <c:strRef>
              <c:f>Sheet1!$B$36:$B$37</c:f>
              <c:strCache>
                <c:ptCount val="1"/>
                <c:pt idx="0">
                  <c:v>N available  (kg ha-1)</c:v>
                </c:pt>
              </c:strCache>
            </c:strRef>
          </c:tx>
          <c:spPr>
            <a:ln w="28575">
              <a:noFill/>
            </a:ln>
          </c:spPr>
          <c:marker>
            <c:symbol val="circle"/>
            <c:size val="7"/>
            <c:spPr>
              <a:solidFill>
                <a:schemeClr val="accent2">
                  <a:lumMod val="60000"/>
                  <a:lumOff val="40000"/>
                </a:schemeClr>
              </a:solidFill>
            </c:spPr>
          </c:marker>
          <c:dLbls>
            <c:spPr>
              <a:noFill/>
              <a:ln>
                <a:solidFill>
                  <a:schemeClr val="bg1">
                    <a:lumMod val="95000"/>
                  </a:schemeClr>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Sheet1!$B$38:$B$46</c:f>
              <c:numCache>
                <c:formatCode>General</c:formatCode>
                <c:ptCount val="9"/>
                <c:pt idx="0">
                  <c:v>286.2</c:v>
                </c:pt>
                <c:pt idx="1">
                  <c:v>266.45999999999992</c:v>
                </c:pt>
                <c:pt idx="2">
                  <c:v>281.22999999999996</c:v>
                </c:pt>
                <c:pt idx="3">
                  <c:v>269.7</c:v>
                </c:pt>
                <c:pt idx="4">
                  <c:v>283.39999999999992</c:v>
                </c:pt>
                <c:pt idx="5">
                  <c:v>274.10000000000002</c:v>
                </c:pt>
                <c:pt idx="6">
                  <c:v>269.60000000000002</c:v>
                </c:pt>
                <c:pt idx="7">
                  <c:v>280.33</c:v>
                </c:pt>
                <c:pt idx="8">
                  <c:v>261.42999999999995</c:v>
                </c:pt>
              </c:numCache>
            </c:numRef>
          </c:yVal>
          <c:smooth val="0"/>
          <c:extLst>
            <c:ext xmlns:c16="http://schemas.microsoft.com/office/drawing/2014/chart" uri="{C3380CC4-5D6E-409C-BE32-E72D297353CC}">
              <c16:uniqueId val="{00000000-9764-6446-88AD-97FB9A0EDD34}"/>
            </c:ext>
          </c:extLst>
        </c:ser>
        <c:dLbls>
          <c:showLegendKey val="0"/>
          <c:showVal val="0"/>
          <c:showCatName val="0"/>
          <c:showSerName val="0"/>
          <c:showPercent val="0"/>
          <c:showBubbleSize val="0"/>
        </c:dLbls>
        <c:axId val="234178816"/>
        <c:axId val="234179968"/>
      </c:scatterChart>
      <c:valAx>
        <c:axId val="234178816"/>
        <c:scaling>
          <c:orientation val="minMax"/>
          <c:max val="10"/>
          <c:min val="0"/>
        </c:scaling>
        <c:delete val="0"/>
        <c:axPos val="b"/>
        <c:majorGridlines/>
        <c:majorTickMark val="out"/>
        <c:minorTickMark val="none"/>
        <c:tickLblPos val="nextTo"/>
        <c:crossAx val="234179968"/>
        <c:crosses val="autoZero"/>
        <c:crossBetween val="midCat"/>
        <c:majorUnit val="1"/>
        <c:minorUnit val="1"/>
      </c:valAx>
      <c:valAx>
        <c:axId val="234179968"/>
        <c:scaling>
          <c:orientation val="minMax"/>
        </c:scaling>
        <c:delete val="0"/>
        <c:axPos val="l"/>
        <c:numFmt formatCode="General" sourceLinked="1"/>
        <c:majorTickMark val="out"/>
        <c:minorTickMark val="none"/>
        <c:tickLblPos val="nextTo"/>
        <c:crossAx val="23417881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Nitrogen use efficiency (kg/ kg)</a:t>
            </a:r>
          </a:p>
        </c:rich>
      </c:tx>
      <c:overlay val="1"/>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1"/>
          <c:order val="0"/>
          <c:spPr>
            <a:ln w="28575">
              <a:noFill/>
            </a:ln>
          </c:spPr>
          <c:marker>
            <c:symbol val="diamond"/>
            <c:size val="7"/>
            <c:spPr>
              <a:solidFill>
                <a:schemeClr val="accent6"/>
              </a:solidFill>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Sheet1!$C$38:$C$46</c:f>
              <c:numCache>
                <c:formatCode>General</c:formatCode>
                <c:ptCount val="9"/>
                <c:pt idx="0">
                  <c:v>0.63700000000000012</c:v>
                </c:pt>
                <c:pt idx="1">
                  <c:v>0.38700000000000007</c:v>
                </c:pt>
                <c:pt idx="2">
                  <c:v>0.62700000000000011</c:v>
                </c:pt>
                <c:pt idx="3">
                  <c:v>0.32000000000000006</c:v>
                </c:pt>
                <c:pt idx="4">
                  <c:v>0.64300000000000013</c:v>
                </c:pt>
                <c:pt idx="5">
                  <c:v>0.52300000000000002</c:v>
                </c:pt>
                <c:pt idx="6">
                  <c:v>0.22700000000000001</c:v>
                </c:pt>
                <c:pt idx="7">
                  <c:v>0.64000000000000012</c:v>
                </c:pt>
                <c:pt idx="8">
                  <c:v>0</c:v>
                </c:pt>
              </c:numCache>
            </c:numRef>
          </c:yVal>
          <c:smooth val="0"/>
          <c:extLst>
            <c:ext xmlns:c16="http://schemas.microsoft.com/office/drawing/2014/chart" uri="{C3380CC4-5D6E-409C-BE32-E72D297353CC}">
              <c16:uniqueId val="{00000000-CEED-3E46-80E9-58D36AAC5A0D}"/>
            </c:ext>
          </c:extLst>
        </c:ser>
        <c:dLbls>
          <c:showLegendKey val="0"/>
          <c:showVal val="0"/>
          <c:showCatName val="0"/>
          <c:showSerName val="0"/>
          <c:showPercent val="0"/>
          <c:showBubbleSize val="0"/>
        </c:dLbls>
        <c:axId val="234180544"/>
        <c:axId val="234181120"/>
      </c:scatterChart>
      <c:valAx>
        <c:axId val="234180544"/>
        <c:scaling>
          <c:orientation val="minMax"/>
          <c:max val="10"/>
          <c:min val="0"/>
        </c:scaling>
        <c:delete val="0"/>
        <c:axPos val="b"/>
        <c:majorGridlines/>
        <c:majorTickMark val="out"/>
        <c:minorTickMark val="none"/>
        <c:tickLblPos val="nextTo"/>
        <c:crossAx val="234181120"/>
        <c:crosses val="autoZero"/>
        <c:crossBetween val="midCat"/>
        <c:majorUnit val="1"/>
        <c:minorUnit val="1"/>
      </c:valAx>
      <c:valAx>
        <c:axId val="234181120"/>
        <c:scaling>
          <c:orientation val="minMax"/>
        </c:scaling>
        <c:delete val="0"/>
        <c:axPos val="l"/>
        <c:numFmt formatCode="General" sourceLinked="1"/>
        <c:majorTickMark val="out"/>
        <c:minorTickMark val="none"/>
        <c:tickLblPos val="nextTo"/>
        <c:crossAx val="234180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5DA4-49BA-40B3-93BB-34D50AA7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pc park</cp:lastModifiedBy>
  <cp:revision>8</cp:revision>
  <dcterms:created xsi:type="dcterms:W3CDTF">2025-07-16T17:29:00Z</dcterms:created>
  <dcterms:modified xsi:type="dcterms:W3CDTF">2025-07-22T07:18:00Z</dcterms:modified>
</cp:coreProperties>
</file>