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8B" w:rsidRPr="00C019BF" w:rsidRDefault="00FD1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D188B" w:rsidRPr="00C019BF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FD188B" w:rsidRPr="00C019BF" w:rsidRDefault="00FD188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D188B" w:rsidRPr="00C019BF">
        <w:trPr>
          <w:trHeight w:val="290"/>
        </w:trPr>
        <w:tc>
          <w:tcPr>
            <w:tcW w:w="5167" w:type="dxa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8B" w:rsidRPr="00C019BF" w:rsidRDefault="00C9539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016BC1" w:rsidRPr="00C019BF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Medical and Pharmaceutical Case Reports</w:t>
              </w:r>
            </w:hyperlink>
            <w:r w:rsidR="00016BC1" w:rsidRPr="00C019BF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D188B" w:rsidRPr="00C019BF">
        <w:trPr>
          <w:trHeight w:val="290"/>
        </w:trPr>
        <w:tc>
          <w:tcPr>
            <w:tcW w:w="5167" w:type="dxa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Ms_IJMPCR_142833</w:t>
            </w:r>
          </w:p>
        </w:tc>
      </w:tr>
      <w:tr w:rsidR="00FD188B" w:rsidRPr="00C019BF">
        <w:trPr>
          <w:trHeight w:val="650"/>
        </w:trPr>
        <w:tc>
          <w:tcPr>
            <w:tcW w:w="5167" w:type="dxa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Kikuchi-Fujimoto disease revealing lupus nephritis</w:t>
            </w:r>
          </w:p>
        </w:tc>
      </w:tr>
      <w:tr w:rsidR="00FD188B" w:rsidRPr="00C019BF">
        <w:trPr>
          <w:trHeight w:val="332"/>
        </w:trPr>
        <w:tc>
          <w:tcPr>
            <w:tcW w:w="5167" w:type="dxa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88B" w:rsidRPr="00C019BF" w:rsidRDefault="0001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:rsidR="00FD188B" w:rsidRPr="00C019BF" w:rsidRDefault="00FD1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FD188B" w:rsidRPr="00C019BF" w:rsidRDefault="00FD1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pPr w:leftFromText="180" w:rightFromText="180" w:vertAnchor="text" w:horzAnchor="margin" w:tblpY="358"/>
        <w:tblW w:w="21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A63FC" w:rsidRPr="00C019BF" w:rsidTr="00C019BF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21dlje48ze0h" w:colFirst="0" w:colLast="0"/>
            <w:bookmarkEnd w:id="0"/>
            <w:r w:rsidRPr="00C019BF">
              <w:rPr>
                <w:rFonts w:ascii="Arial" w:eastAsia="Times New Roman" w:hAnsi="Arial" w:cs="Arial"/>
                <w:highlight w:val="yellow"/>
              </w:rPr>
              <w:t>PART  1:</w:t>
            </w:r>
            <w:r w:rsidRPr="00C019BF">
              <w:rPr>
                <w:rFonts w:ascii="Arial" w:eastAsia="Times New Roman" w:hAnsi="Arial" w:cs="Arial"/>
              </w:rPr>
              <w:t xml:space="preserve"> Comments</w:t>
            </w:r>
          </w:p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3FC" w:rsidRPr="00C019BF" w:rsidTr="00C019BF">
        <w:tc>
          <w:tcPr>
            <w:tcW w:w="5351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019BF">
              <w:rPr>
                <w:rFonts w:ascii="Arial" w:eastAsia="Times New Roman" w:hAnsi="Arial" w:cs="Arial"/>
              </w:rPr>
              <w:t>Reviewer’s comment</w:t>
            </w:r>
          </w:p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A63FC" w:rsidRPr="00C019BF" w:rsidRDefault="002A63FC" w:rsidP="00C019B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019BF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1264"/>
        </w:trPr>
        <w:tc>
          <w:tcPr>
            <w:tcW w:w="5351" w:type="dxa"/>
          </w:tcPr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This case report draws attention towards a relatively overlooked medical condition, the </w:t>
            </w:r>
            <w:proofErr w:type="spellStart"/>
            <w:r w:rsidRPr="00C019BF">
              <w:rPr>
                <w:rFonts w:ascii="Arial" w:hAnsi="Arial" w:cs="Arial"/>
                <w:sz w:val="20"/>
                <w:szCs w:val="20"/>
              </w:rPr>
              <w:t>KFD,whch</w:t>
            </w:r>
            <w:proofErr w:type="spellEnd"/>
            <w:r w:rsidRPr="00C019BF">
              <w:rPr>
                <w:rFonts w:ascii="Arial" w:hAnsi="Arial" w:cs="Arial"/>
                <w:sz w:val="20"/>
                <w:szCs w:val="20"/>
              </w:rPr>
              <w:t xml:space="preserve"> is most often a diagnosis of exclusion, requiring a careful physical examination and a long battery of investigations . It also highlights the previously reported association with SLE . As such, it portrays the importance   of further investigating this </w:t>
            </w:r>
            <w:proofErr w:type="spellStart"/>
            <w:r w:rsidRPr="00C019BF">
              <w:rPr>
                <w:rFonts w:ascii="Arial" w:hAnsi="Arial" w:cs="Arial"/>
                <w:sz w:val="20"/>
                <w:szCs w:val="20"/>
              </w:rPr>
              <w:t>self limiting</w:t>
            </w:r>
            <w:proofErr w:type="spellEnd"/>
            <w:r w:rsidRPr="00C019BF">
              <w:rPr>
                <w:rFonts w:ascii="Arial" w:hAnsi="Arial" w:cs="Arial"/>
                <w:sz w:val="20"/>
                <w:szCs w:val="20"/>
              </w:rPr>
              <w:t xml:space="preserve"> disease in order to not miss a more debilitating disease, the </w:t>
            </w:r>
            <w:proofErr w:type="spellStart"/>
            <w:r w:rsidRPr="00C019BF">
              <w:rPr>
                <w:rFonts w:ascii="Arial" w:hAnsi="Arial" w:cs="Arial"/>
                <w:sz w:val="20"/>
                <w:szCs w:val="20"/>
              </w:rPr>
              <w:t>SLE,and</w:t>
            </w:r>
            <w:proofErr w:type="spellEnd"/>
            <w:r w:rsidRPr="00C019BF">
              <w:rPr>
                <w:rFonts w:ascii="Arial" w:hAnsi="Arial" w:cs="Arial"/>
                <w:sz w:val="20"/>
                <w:szCs w:val="20"/>
              </w:rPr>
              <w:t xml:space="preserve"> its </w:t>
            </w:r>
            <w:proofErr w:type="spellStart"/>
            <w:r w:rsidRPr="00C019BF">
              <w:rPr>
                <w:rFonts w:ascii="Arial" w:hAnsi="Arial" w:cs="Arial"/>
                <w:sz w:val="20"/>
                <w:szCs w:val="20"/>
              </w:rPr>
              <w:t>complications.Also</w:t>
            </w:r>
            <w:proofErr w:type="spellEnd"/>
            <w:r w:rsidRPr="00C019BF">
              <w:rPr>
                <w:rFonts w:ascii="Arial" w:hAnsi="Arial" w:cs="Arial"/>
                <w:sz w:val="20"/>
                <w:szCs w:val="20"/>
              </w:rPr>
              <w:t xml:space="preserve">, it points towards nephropathy in </w:t>
            </w:r>
            <w:proofErr w:type="spellStart"/>
            <w:r w:rsidRPr="00C019BF">
              <w:rPr>
                <w:rFonts w:ascii="Arial" w:hAnsi="Arial" w:cs="Arial"/>
                <w:sz w:val="20"/>
                <w:szCs w:val="20"/>
              </w:rPr>
              <w:t>SLE,which</w:t>
            </w:r>
            <w:proofErr w:type="spellEnd"/>
            <w:r w:rsidRPr="00C019BF">
              <w:rPr>
                <w:rFonts w:ascii="Arial" w:hAnsi="Arial" w:cs="Arial"/>
                <w:sz w:val="20"/>
                <w:szCs w:val="20"/>
              </w:rPr>
              <w:t xml:space="preserve"> may  not essentially be associated with skin/joint involvement.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1262"/>
        </w:trPr>
        <w:tc>
          <w:tcPr>
            <w:tcW w:w="5351" w:type="dxa"/>
          </w:tcPr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Yes.. It directly exposes the core diagnosis 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1262"/>
        </w:trPr>
        <w:tc>
          <w:tcPr>
            <w:tcW w:w="5351" w:type="dxa"/>
          </w:tcPr>
          <w:p w:rsidR="002A63FC" w:rsidRPr="00C019BF" w:rsidRDefault="002A63FC" w:rsidP="00C019B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019BF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>Yes, it is comprehensive.</w:t>
            </w:r>
          </w:p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704"/>
        </w:trPr>
        <w:tc>
          <w:tcPr>
            <w:tcW w:w="5351" w:type="dxa"/>
          </w:tcPr>
          <w:p w:rsidR="002A63FC" w:rsidRPr="00C019BF" w:rsidRDefault="002A63FC" w:rsidP="00C019B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C019BF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2A63FC" w:rsidRPr="00C019BF" w:rsidRDefault="002A63FC" w:rsidP="00C0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       Yes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703"/>
        </w:trPr>
        <w:tc>
          <w:tcPr>
            <w:tcW w:w="5351" w:type="dxa"/>
          </w:tcPr>
          <w:p w:rsidR="002A63FC" w:rsidRPr="00C019BF" w:rsidRDefault="002A63FC" w:rsidP="00C019B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A63FC" w:rsidRPr="00C019BF" w:rsidRDefault="002A63FC" w:rsidP="00C0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       Yes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A63FC" w:rsidRPr="00C019BF" w:rsidTr="00C019BF">
        <w:trPr>
          <w:trHeight w:val="386"/>
        </w:trPr>
        <w:tc>
          <w:tcPr>
            <w:tcW w:w="5351" w:type="dxa"/>
          </w:tcPr>
          <w:p w:rsidR="002A63FC" w:rsidRPr="00C019BF" w:rsidRDefault="002A63FC" w:rsidP="00C019B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019BF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         Yes, but at a couple of areas, restructuring of sentences may make it more robust and interesting.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3FC" w:rsidRPr="00C019BF" w:rsidTr="00C019BF">
        <w:trPr>
          <w:trHeight w:val="1178"/>
        </w:trPr>
        <w:tc>
          <w:tcPr>
            <w:tcW w:w="5351" w:type="dxa"/>
          </w:tcPr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C019BF">
              <w:rPr>
                <w:rFonts w:ascii="Arial" w:eastAsia="Times New Roman" w:hAnsi="Arial" w:cs="Arial"/>
                <w:u w:val="single"/>
              </w:rPr>
              <w:t>Optional/General</w:t>
            </w:r>
            <w:r w:rsidRPr="00C019BF">
              <w:rPr>
                <w:rFonts w:ascii="Arial" w:eastAsia="Times New Roman" w:hAnsi="Arial" w:cs="Arial"/>
              </w:rPr>
              <w:t xml:space="preserve"> </w:t>
            </w:r>
            <w:r w:rsidRPr="00C019BF">
              <w:rPr>
                <w:rFonts w:ascii="Arial" w:eastAsia="Times New Roman" w:hAnsi="Arial" w:cs="Arial"/>
                <w:b w:val="0"/>
              </w:rPr>
              <w:t>comments</w:t>
            </w:r>
          </w:p>
          <w:p w:rsidR="002A63FC" w:rsidRPr="00C019BF" w:rsidRDefault="002A63FC" w:rsidP="00C019B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2A63FC" w:rsidRPr="00C019BF" w:rsidRDefault="002A63FC" w:rsidP="00C0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9BF">
              <w:rPr>
                <w:rFonts w:ascii="Arial" w:hAnsi="Arial" w:cs="Arial"/>
                <w:sz w:val="20"/>
                <w:szCs w:val="20"/>
              </w:rPr>
              <w:t xml:space="preserve">     May consider not to quote all the investigations and material regarding evaluation under both investigations section and also in the case unfolding section, to avoid duplication .</w:t>
            </w:r>
          </w:p>
        </w:tc>
        <w:tc>
          <w:tcPr>
            <w:tcW w:w="6442" w:type="dxa"/>
          </w:tcPr>
          <w:p w:rsidR="002A63FC" w:rsidRPr="00C019BF" w:rsidRDefault="002A63FC" w:rsidP="00C01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88B" w:rsidRPr="00C019BF" w:rsidRDefault="002A63FC">
      <w:pPr>
        <w:rPr>
          <w:rFonts w:ascii="Arial" w:hAnsi="Arial" w:cs="Arial"/>
          <w:sz w:val="20"/>
          <w:szCs w:val="20"/>
        </w:rPr>
      </w:pPr>
      <w:r w:rsidRPr="00C019BF">
        <w:rPr>
          <w:rFonts w:ascii="Arial" w:hAnsi="Arial" w:cs="Arial"/>
          <w:sz w:val="20"/>
          <w:szCs w:val="20"/>
        </w:rPr>
        <w:t xml:space="preserve"> </w:t>
      </w:r>
      <w:r w:rsidR="00016BC1" w:rsidRPr="00C019BF">
        <w:rPr>
          <w:rFonts w:ascii="Arial" w:hAnsi="Arial" w:cs="Arial"/>
          <w:sz w:val="20"/>
          <w:szCs w:val="20"/>
        </w:rPr>
        <w:br w:type="page"/>
      </w:r>
    </w:p>
    <w:p w:rsidR="00FD188B" w:rsidRPr="00C019BF" w:rsidRDefault="00FD188B" w:rsidP="00C019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1" w:name="_GoBack"/>
      <w:bookmarkEnd w:id="1"/>
    </w:p>
    <w:p w:rsidR="00FD188B" w:rsidRPr="00C019BF" w:rsidRDefault="00FD188B" w:rsidP="00C019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D188B" w:rsidRPr="00C019BF" w:rsidRDefault="00FD188B" w:rsidP="00C019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D188B" w:rsidRPr="00C019BF" w:rsidRDefault="00FD188B" w:rsidP="00C019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76B3A" w:rsidRPr="00C019BF" w:rsidTr="00C76B3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bookmarkStart w:id="3" w:name="_Hlk156057704"/>
            <w:r w:rsidRPr="00C019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C019BF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76B3A" w:rsidRPr="00C019BF" w:rsidTr="00C76B3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B3A" w:rsidRPr="00C019BF" w:rsidRDefault="00C76B3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C019B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3A" w:rsidRPr="00C019BF" w:rsidRDefault="00C76B3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19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19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6B3A" w:rsidRPr="00C019BF" w:rsidRDefault="00C76B3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C76B3A" w:rsidRPr="00C019BF" w:rsidTr="00C76B3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019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C019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76B3A" w:rsidRPr="00C019BF" w:rsidRDefault="00C76B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:rsidR="00C019BF" w:rsidRPr="00C019BF" w:rsidRDefault="00C019BF" w:rsidP="00C019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019BF" w:rsidRPr="00C019BF" w:rsidRDefault="00C019BF" w:rsidP="00C019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19BF">
        <w:rPr>
          <w:rFonts w:ascii="Arial" w:hAnsi="Arial" w:cs="Arial"/>
          <w:b/>
          <w:u w:val="single"/>
        </w:rPr>
        <w:t>Reviewer details:</w:t>
      </w:r>
    </w:p>
    <w:p w:rsidR="00C019BF" w:rsidRPr="00C019BF" w:rsidRDefault="00C019BF" w:rsidP="00C019B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019BF" w:rsidRPr="00C019BF" w:rsidRDefault="00C019BF" w:rsidP="00C019BF">
      <w:pPr>
        <w:rPr>
          <w:rFonts w:ascii="Arial" w:hAnsi="Arial" w:cs="Arial"/>
          <w:sz w:val="20"/>
          <w:szCs w:val="20"/>
        </w:rPr>
      </w:pPr>
      <w:r w:rsidRPr="00C019BF">
        <w:rPr>
          <w:rFonts w:ascii="Arial" w:hAnsi="Arial" w:cs="Arial"/>
          <w:color w:val="000000"/>
          <w:sz w:val="20"/>
          <w:szCs w:val="20"/>
        </w:rPr>
        <w:t xml:space="preserve">Mahesh </w:t>
      </w:r>
      <w:proofErr w:type="spellStart"/>
      <w:r w:rsidRPr="00C019BF">
        <w:rPr>
          <w:rFonts w:ascii="Arial" w:hAnsi="Arial" w:cs="Arial"/>
          <w:color w:val="000000"/>
          <w:sz w:val="20"/>
          <w:szCs w:val="20"/>
        </w:rPr>
        <w:t>Vidavaluru</w:t>
      </w:r>
      <w:proofErr w:type="spellEnd"/>
      <w:r w:rsidRPr="00C019BF">
        <w:rPr>
          <w:rFonts w:ascii="Arial" w:hAnsi="Arial" w:cs="Arial"/>
          <w:color w:val="000000"/>
          <w:sz w:val="20"/>
          <w:szCs w:val="20"/>
        </w:rPr>
        <w:t>, Narayana Medical College and Hospital (under Dr NTRUHS), India</w:t>
      </w:r>
      <w:r w:rsidRPr="00C019BF">
        <w:rPr>
          <w:rFonts w:ascii="Arial" w:hAnsi="Arial" w:cs="Arial"/>
          <w:color w:val="000000"/>
          <w:sz w:val="20"/>
          <w:szCs w:val="20"/>
        </w:rPr>
        <w:br/>
      </w:r>
    </w:p>
    <w:p w:rsidR="00C76B3A" w:rsidRPr="00C019BF" w:rsidRDefault="00C76B3A" w:rsidP="00C76B3A">
      <w:pPr>
        <w:rPr>
          <w:rFonts w:ascii="Arial" w:hAnsi="Arial" w:cs="Arial"/>
          <w:sz w:val="20"/>
          <w:szCs w:val="20"/>
          <w:lang w:val="en-US"/>
        </w:rPr>
      </w:pPr>
    </w:p>
    <w:p w:rsidR="00C76B3A" w:rsidRPr="00C019BF" w:rsidRDefault="00C76B3A" w:rsidP="00C76B3A">
      <w:pPr>
        <w:rPr>
          <w:rFonts w:ascii="Arial" w:hAnsi="Arial" w:cs="Arial"/>
          <w:sz w:val="20"/>
          <w:szCs w:val="20"/>
        </w:rPr>
      </w:pPr>
    </w:p>
    <w:p w:rsidR="00C76B3A" w:rsidRPr="00C019BF" w:rsidRDefault="00C76B3A" w:rsidP="00C76B3A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:rsidR="00C76B3A" w:rsidRPr="00C019BF" w:rsidRDefault="00C76B3A" w:rsidP="00C76B3A">
      <w:pPr>
        <w:rPr>
          <w:rFonts w:ascii="Arial" w:hAnsi="Arial" w:cs="Arial"/>
          <w:sz w:val="20"/>
          <w:szCs w:val="20"/>
          <w:lang w:val="en-US"/>
        </w:rPr>
      </w:pPr>
    </w:p>
    <w:p w:rsidR="00FD188B" w:rsidRPr="00C019BF" w:rsidRDefault="00FD1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FD188B" w:rsidRPr="00C019BF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392" w:rsidRDefault="00C95392">
      <w:r>
        <w:separator/>
      </w:r>
    </w:p>
  </w:endnote>
  <w:endnote w:type="continuationSeparator" w:id="0">
    <w:p w:rsidR="00C95392" w:rsidRDefault="00C9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88B" w:rsidRDefault="00016BC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392" w:rsidRDefault="00C95392">
      <w:r>
        <w:separator/>
      </w:r>
    </w:p>
  </w:footnote>
  <w:footnote w:type="continuationSeparator" w:id="0">
    <w:p w:rsidR="00C95392" w:rsidRDefault="00C9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88B" w:rsidRDefault="00FD188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FD188B" w:rsidRDefault="00016BC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8B"/>
    <w:rsid w:val="00016BC1"/>
    <w:rsid w:val="002A63FC"/>
    <w:rsid w:val="00554735"/>
    <w:rsid w:val="007976E3"/>
    <w:rsid w:val="00C019BF"/>
    <w:rsid w:val="00C76B3A"/>
    <w:rsid w:val="00C95392"/>
    <w:rsid w:val="00E23416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0045"/>
  <w15:docId w15:val="{6A94F9FA-7B52-44FC-A717-88B30C17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976E3"/>
    <w:rPr>
      <w:color w:val="0000FF"/>
      <w:u w:val="single"/>
    </w:rPr>
  </w:style>
  <w:style w:type="paragraph" w:customStyle="1" w:styleId="Affiliation">
    <w:name w:val="Affiliation"/>
    <w:basedOn w:val="Normal"/>
    <w:rsid w:val="00C019BF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mpcr.com/index.php/IJMP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2025-08-20T08:44:00Z</dcterms:created>
  <dcterms:modified xsi:type="dcterms:W3CDTF">2025-08-26T07:14:00Z</dcterms:modified>
</cp:coreProperties>
</file>