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0BF959" w14:textId="3A1CFA95" w:rsidR="00B43974" w:rsidRPr="00542C74" w:rsidRDefault="006D29B2" w:rsidP="00542C74">
      <w:pPr>
        <w:spacing w:line="240" w:lineRule="auto"/>
        <w:ind w:left="0"/>
        <w:jc w:val="right"/>
        <w:rPr>
          <w:rFonts w:ascii="Arial" w:hAnsi="Arial" w:cs="Arial"/>
          <w:b/>
          <w:i/>
          <w:sz w:val="32"/>
          <w:szCs w:val="32"/>
          <w:u w:val="single"/>
          <w:lang w:val="en-US"/>
        </w:rPr>
      </w:pPr>
      <w:r w:rsidRPr="00542C74">
        <w:rPr>
          <w:rFonts w:ascii="Arial" w:hAnsi="Arial" w:cs="Arial"/>
          <w:b/>
          <w:i/>
          <w:sz w:val="32"/>
          <w:szCs w:val="32"/>
          <w:u w:val="single"/>
          <w:lang w:val="en-US"/>
        </w:rPr>
        <w:t>Review Article</w:t>
      </w:r>
    </w:p>
    <w:p w14:paraId="7E291AB1" w14:textId="458C9873" w:rsidR="00AE2573" w:rsidRDefault="00542C74" w:rsidP="00542C74">
      <w:pPr>
        <w:spacing w:line="240" w:lineRule="auto"/>
        <w:ind w:left="0"/>
        <w:jc w:val="right"/>
        <w:rPr>
          <w:rFonts w:ascii="Arial" w:hAnsi="Arial" w:cs="Arial"/>
          <w:b/>
          <w:sz w:val="32"/>
          <w:szCs w:val="32"/>
          <w:lang w:val="en-US"/>
        </w:rPr>
      </w:pPr>
      <w:commentRangeStart w:id="0"/>
      <w:r w:rsidRPr="00542C74">
        <w:rPr>
          <w:rFonts w:ascii="Arial" w:hAnsi="Arial" w:cs="Arial"/>
          <w:b/>
          <w:sz w:val="32"/>
          <w:szCs w:val="32"/>
          <w:lang w:val="en-US"/>
        </w:rPr>
        <w:t>Nitrogen Fertilizers and Climate Change: A Comprehensive Review of Greenhouse Gas Emissions and Sustainable Management</w:t>
      </w:r>
    </w:p>
    <w:p w14:paraId="1F5977A8" w14:textId="77777777" w:rsidR="00542C74" w:rsidRPr="00542C74" w:rsidRDefault="00542C74" w:rsidP="00542C74">
      <w:pPr>
        <w:pStyle w:val="NoSpacing"/>
        <w:rPr>
          <w:lang w:val="en-US"/>
        </w:rPr>
      </w:pPr>
    </w:p>
    <w:p w14:paraId="5A632621" w14:textId="0DB2B280" w:rsidR="001B7B19" w:rsidRDefault="001B7B19" w:rsidP="00E33FEA">
      <w:pPr>
        <w:pStyle w:val="NoSpacing"/>
        <w:rPr>
          <w:lang w:val="en-US"/>
        </w:rPr>
      </w:pPr>
    </w:p>
    <w:p w14:paraId="1B7682B0" w14:textId="77777777" w:rsidR="00437969" w:rsidRPr="003C010C" w:rsidRDefault="00437969" w:rsidP="00E33FEA">
      <w:pPr>
        <w:pStyle w:val="NoSpacing"/>
        <w:rPr>
          <w:lang w:val="en-US"/>
        </w:rPr>
      </w:pPr>
    </w:p>
    <w:p w14:paraId="1DC5E595" w14:textId="77777777" w:rsidR="005C7F12" w:rsidRPr="00542C74" w:rsidRDefault="005C7F12" w:rsidP="00542C74">
      <w:pPr>
        <w:spacing w:before="100" w:beforeAutospacing="1" w:after="100" w:afterAutospacing="1" w:line="240" w:lineRule="auto"/>
        <w:ind w:left="0"/>
        <w:jc w:val="center"/>
        <w:rPr>
          <w:rFonts w:ascii="Arial" w:eastAsia="Times New Roman" w:hAnsi="Arial" w:cs="Arial"/>
          <w:b/>
          <w:bCs/>
          <w:sz w:val="24"/>
          <w:szCs w:val="20"/>
          <w:lang w:eastAsia="en-IN"/>
        </w:rPr>
      </w:pPr>
      <w:r w:rsidRPr="00542C74">
        <w:rPr>
          <w:rFonts w:ascii="Arial" w:eastAsia="Times New Roman" w:hAnsi="Arial" w:cs="Arial"/>
          <w:b/>
          <w:bCs/>
          <w:sz w:val="24"/>
          <w:szCs w:val="20"/>
          <w:lang w:eastAsia="en-IN"/>
        </w:rPr>
        <w:t>ABSTRACT</w:t>
      </w:r>
    </w:p>
    <w:p w14:paraId="0165428E" w14:textId="527A55D9" w:rsidR="005C7F12" w:rsidRPr="00542C74" w:rsidRDefault="005C7F12" w:rsidP="00542C74">
      <w:pPr>
        <w:pStyle w:val="NoSpacing"/>
        <w:ind w:left="0"/>
        <w:rPr>
          <w:rFonts w:ascii="Arial" w:hAnsi="Arial" w:cs="Arial"/>
          <w:sz w:val="20"/>
          <w:szCs w:val="20"/>
          <w:lang w:eastAsia="en-IN"/>
        </w:rPr>
      </w:pPr>
      <w:r w:rsidRPr="00542C74">
        <w:rPr>
          <w:rFonts w:ascii="Arial" w:hAnsi="Arial" w:cs="Arial"/>
          <w:sz w:val="20"/>
          <w:szCs w:val="20"/>
          <w:lang w:eastAsia="en-IN"/>
        </w:rPr>
        <w:t>Greenhouse gases (GHGs) such as carbon dioxide (CO</w:t>
      </w:r>
      <w:r w:rsidRPr="00542C74">
        <w:rPr>
          <w:rFonts w:ascii="Cambria Math" w:hAnsi="Cambria Math" w:cs="Cambria Math"/>
          <w:sz w:val="20"/>
          <w:szCs w:val="20"/>
          <w:lang w:eastAsia="en-IN"/>
        </w:rPr>
        <w:t>₂</w:t>
      </w:r>
      <w:r w:rsidRPr="00542C74">
        <w:rPr>
          <w:rFonts w:ascii="Arial" w:hAnsi="Arial" w:cs="Arial"/>
          <w:sz w:val="20"/>
          <w:szCs w:val="20"/>
          <w:lang w:eastAsia="en-IN"/>
        </w:rPr>
        <w:t>), methane (CH</w:t>
      </w:r>
      <w:r w:rsidRPr="00542C74">
        <w:rPr>
          <w:rFonts w:ascii="Cambria Math" w:hAnsi="Cambria Math" w:cs="Cambria Math"/>
          <w:sz w:val="20"/>
          <w:szCs w:val="20"/>
          <w:lang w:eastAsia="en-IN"/>
        </w:rPr>
        <w:t>₄</w:t>
      </w:r>
      <w:r w:rsidRPr="00542C74">
        <w:rPr>
          <w:rFonts w:ascii="Arial" w:hAnsi="Arial" w:cs="Arial"/>
          <w:sz w:val="20"/>
          <w:szCs w:val="20"/>
          <w:lang w:eastAsia="en-IN"/>
        </w:rPr>
        <w:t>), nitrous oxide (N</w:t>
      </w:r>
      <w:r w:rsidRPr="00542C74">
        <w:rPr>
          <w:rFonts w:ascii="Cambria Math" w:hAnsi="Cambria Math" w:cs="Cambria Math"/>
          <w:sz w:val="20"/>
          <w:szCs w:val="20"/>
          <w:lang w:eastAsia="en-IN"/>
        </w:rPr>
        <w:t>₂</w:t>
      </w:r>
      <w:r w:rsidRPr="00542C74">
        <w:rPr>
          <w:rFonts w:ascii="Arial" w:hAnsi="Arial" w:cs="Arial"/>
          <w:sz w:val="20"/>
          <w:szCs w:val="20"/>
          <w:lang w:eastAsia="en-IN"/>
        </w:rPr>
        <w:t>O), water vapor, fluorinated gases and ozone play a pivotal role in global warming by trapping heat in the Earth's atmosphere. Among these, N</w:t>
      </w:r>
      <w:r w:rsidRPr="00542C74">
        <w:rPr>
          <w:rFonts w:ascii="Cambria Math" w:hAnsi="Cambria Math" w:cs="Cambria Math"/>
          <w:sz w:val="20"/>
          <w:szCs w:val="20"/>
          <w:lang w:eastAsia="en-IN"/>
        </w:rPr>
        <w:t>₂</w:t>
      </w:r>
      <w:r w:rsidRPr="00542C74">
        <w:rPr>
          <w:rFonts w:ascii="Arial" w:hAnsi="Arial" w:cs="Arial"/>
          <w:sz w:val="20"/>
          <w:szCs w:val="20"/>
          <w:lang w:eastAsia="en-IN"/>
        </w:rPr>
        <w:t>O is particularly potent, with a global warming potential approximately 273 times that of CO</w:t>
      </w:r>
      <w:r w:rsidRPr="00542C74">
        <w:rPr>
          <w:rFonts w:ascii="Cambria Math" w:hAnsi="Cambria Math" w:cs="Cambria Math"/>
          <w:sz w:val="20"/>
          <w:szCs w:val="20"/>
          <w:lang w:eastAsia="en-IN"/>
        </w:rPr>
        <w:t>₂</w:t>
      </w:r>
      <w:r w:rsidRPr="00542C74">
        <w:rPr>
          <w:rFonts w:ascii="Arial" w:hAnsi="Arial" w:cs="Arial"/>
          <w:sz w:val="20"/>
          <w:szCs w:val="20"/>
          <w:lang w:eastAsia="en-IN"/>
        </w:rPr>
        <w:t xml:space="preserve"> over a 100-year period. Agriculture contributes significantly to anthropogenic GHG emissions, accounting for approximately 12% globally. A substantial portion of these emissions arises from the production and application of synthetic fertilizers, which have been instrumental in boosting global food production. The manufacture of synthetic nitrogen fertilizers is energy-intensive, leading to considerable CO</w:t>
      </w:r>
      <w:r w:rsidRPr="00542C74">
        <w:rPr>
          <w:rFonts w:ascii="Cambria Math" w:hAnsi="Cambria Math" w:cs="Cambria Math"/>
          <w:sz w:val="20"/>
          <w:szCs w:val="20"/>
          <w:lang w:eastAsia="en-IN"/>
        </w:rPr>
        <w:t>₂</w:t>
      </w:r>
      <w:r w:rsidRPr="00542C74">
        <w:rPr>
          <w:rFonts w:ascii="Arial" w:hAnsi="Arial" w:cs="Arial"/>
          <w:sz w:val="20"/>
          <w:szCs w:val="20"/>
          <w:lang w:eastAsia="en-IN"/>
        </w:rPr>
        <w:t xml:space="preserve"> emissions. Upon application, these fertilizers can result in N</w:t>
      </w:r>
      <w:r w:rsidRPr="00542C74">
        <w:rPr>
          <w:rFonts w:ascii="Cambria Math" w:hAnsi="Cambria Math" w:cs="Cambria Math"/>
          <w:sz w:val="20"/>
          <w:szCs w:val="20"/>
          <w:lang w:eastAsia="en-IN"/>
        </w:rPr>
        <w:t>₂</w:t>
      </w:r>
      <w:r w:rsidRPr="00542C74">
        <w:rPr>
          <w:rFonts w:ascii="Arial" w:hAnsi="Arial" w:cs="Arial"/>
          <w:sz w:val="20"/>
          <w:szCs w:val="20"/>
          <w:lang w:eastAsia="en-IN"/>
        </w:rPr>
        <w:t>O emissions due to microbial processes in the soil. Studies estimate that synthetic nitrogen fertilizer use accounts for about 8.3% of farm-gate emissions. Projections suggest that, without intervention, agricultural GHG emissions could reach 8–9 gigatonnes of CO</w:t>
      </w:r>
      <w:r w:rsidRPr="00542C74">
        <w:rPr>
          <w:rFonts w:ascii="Cambria Math" w:hAnsi="Cambria Math" w:cs="Cambria Math"/>
          <w:sz w:val="20"/>
          <w:szCs w:val="20"/>
          <w:lang w:eastAsia="en-IN"/>
        </w:rPr>
        <w:t>₂</w:t>
      </w:r>
      <w:r w:rsidRPr="00542C74">
        <w:rPr>
          <w:rFonts w:ascii="Arial" w:hAnsi="Arial" w:cs="Arial"/>
          <w:sz w:val="20"/>
          <w:szCs w:val="20"/>
          <w:lang w:eastAsia="en-IN"/>
        </w:rPr>
        <w:t>-equivalent per year by 2050. The impact of fertilizer application on GHG emissions is therefore a major environmental concern, demanding targeted policy and agronomic interventions. Overapplication and inefficient nitrogen use not only contribute to climate change but also pose risks to soil and water health. Addressing these challenges requires a balance between maximizing crop yields and minimizing environmental harm. Mitigation strategies include optimizing fertilizer application rates, adopting precision agriculture techniques, and integrating organic fertilizers. Such practices can reduce N</w:t>
      </w:r>
      <w:r w:rsidRPr="00542C74">
        <w:rPr>
          <w:rFonts w:ascii="Cambria Math" w:hAnsi="Cambria Math" w:cs="Cambria Math"/>
          <w:sz w:val="20"/>
          <w:szCs w:val="20"/>
          <w:lang w:eastAsia="en-IN"/>
        </w:rPr>
        <w:t>₂</w:t>
      </w:r>
      <w:r w:rsidRPr="00542C74">
        <w:rPr>
          <w:rFonts w:ascii="Arial" w:hAnsi="Arial" w:cs="Arial"/>
          <w:sz w:val="20"/>
          <w:szCs w:val="20"/>
          <w:lang w:eastAsia="en-IN"/>
        </w:rPr>
        <w:t>O emissions and enhance nitrogen use efficiency. Transitioning to sustainable fertilizer management is crucial for minimizing agriculture's climate impact while ensuring food security.</w:t>
      </w:r>
    </w:p>
    <w:p w14:paraId="3A3C54CD" w14:textId="77777777" w:rsidR="005C7F12" w:rsidRPr="00542C74" w:rsidRDefault="005C7F12" w:rsidP="00542C74">
      <w:pPr>
        <w:pStyle w:val="NoSpacing"/>
        <w:ind w:left="0"/>
        <w:rPr>
          <w:rFonts w:ascii="Arial" w:hAnsi="Arial" w:cs="Arial"/>
          <w:b/>
          <w:bCs/>
          <w:sz w:val="20"/>
          <w:szCs w:val="20"/>
          <w:lang w:eastAsia="en-IN"/>
        </w:rPr>
      </w:pPr>
    </w:p>
    <w:p w14:paraId="56552FA5" w14:textId="1C9626AC" w:rsidR="00115DE3" w:rsidRPr="00542C74" w:rsidRDefault="00115DE3" w:rsidP="00542C74">
      <w:pPr>
        <w:spacing w:line="240" w:lineRule="auto"/>
        <w:ind w:left="0"/>
        <w:rPr>
          <w:rFonts w:ascii="Arial" w:hAnsi="Arial" w:cs="Arial"/>
          <w:i/>
          <w:sz w:val="20"/>
          <w:szCs w:val="20"/>
        </w:rPr>
      </w:pPr>
      <w:r w:rsidRPr="00542C74">
        <w:rPr>
          <w:rFonts w:ascii="Arial" w:eastAsia="Times New Roman" w:hAnsi="Arial" w:cs="Arial"/>
          <w:b/>
          <w:i/>
          <w:sz w:val="20"/>
          <w:szCs w:val="20"/>
          <w:lang w:eastAsia="en-IN"/>
        </w:rPr>
        <w:t xml:space="preserve">Keywords: </w:t>
      </w:r>
      <w:r w:rsidRPr="00542C74">
        <w:rPr>
          <w:rFonts w:ascii="Arial" w:eastAsia="Times New Roman" w:hAnsi="Arial" w:cs="Arial"/>
          <w:i/>
          <w:sz w:val="20"/>
          <w:szCs w:val="20"/>
          <w:lang w:eastAsia="en-IN"/>
        </w:rPr>
        <w:t>Greenhouse gases, global warming, anthropogenic, fertilizers, nitrogen use efficiency, food security</w:t>
      </w:r>
    </w:p>
    <w:commentRangeEnd w:id="0"/>
    <w:p w14:paraId="308B2577" w14:textId="7DC87752" w:rsidR="00115DE3" w:rsidRPr="00542C74" w:rsidRDefault="00623AC4" w:rsidP="00542C74">
      <w:pPr>
        <w:spacing w:line="240" w:lineRule="auto"/>
        <w:ind w:left="0"/>
        <w:rPr>
          <w:rFonts w:ascii="Arial" w:eastAsia="Times New Roman" w:hAnsi="Arial" w:cs="Arial"/>
          <w:b/>
          <w:i/>
          <w:sz w:val="20"/>
          <w:szCs w:val="20"/>
          <w:lang w:eastAsia="en-IN"/>
        </w:rPr>
      </w:pPr>
      <w:r>
        <w:rPr>
          <w:rStyle w:val="CommentReference"/>
        </w:rPr>
        <w:commentReference w:id="0"/>
      </w:r>
    </w:p>
    <w:p w14:paraId="65291FEB" w14:textId="2484A02F" w:rsidR="00115DE3" w:rsidRPr="00542C74" w:rsidRDefault="00115DE3" w:rsidP="00542C74">
      <w:pPr>
        <w:pStyle w:val="ListParagraph"/>
        <w:numPr>
          <w:ilvl w:val="0"/>
          <w:numId w:val="36"/>
        </w:numPr>
        <w:spacing w:before="100" w:beforeAutospacing="1" w:after="100" w:afterAutospacing="1" w:line="240" w:lineRule="auto"/>
        <w:outlineLvl w:val="1"/>
        <w:rPr>
          <w:rFonts w:ascii="Arial" w:eastAsia="Times New Roman" w:hAnsi="Arial" w:cs="Arial"/>
          <w:b/>
          <w:bCs/>
          <w:sz w:val="20"/>
          <w:szCs w:val="20"/>
          <w:lang w:eastAsia="en-IN"/>
        </w:rPr>
      </w:pPr>
      <w:commentRangeStart w:id="1"/>
      <w:r w:rsidRPr="00542C74">
        <w:rPr>
          <w:rFonts w:ascii="Arial" w:eastAsia="Times New Roman" w:hAnsi="Arial" w:cs="Arial"/>
          <w:b/>
          <w:bCs/>
          <w:sz w:val="20"/>
          <w:szCs w:val="20"/>
          <w:lang w:eastAsia="en-IN"/>
        </w:rPr>
        <w:t>INTRODUCTION</w:t>
      </w:r>
    </w:p>
    <w:p w14:paraId="75BA6477" w14:textId="3A55CC54" w:rsidR="00115DE3" w:rsidRPr="00542C74" w:rsidRDefault="00E33FEA" w:rsidP="00542C74">
      <w:pPr>
        <w:spacing w:before="100" w:beforeAutospacing="1" w:after="100" w:afterAutospacing="1" w:line="240" w:lineRule="auto"/>
        <w:ind w:left="0"/>
        <w:outlineLvl w:val="2"/>
        <w:rPr>
          <w:rFonts w:ascii="Arial" w:eastAsia="Times New Roman" w:hAnsi="Arial" w:cs="Arial"/>
          <w:b/>
          <w:bCs/>
          <w:sz w:val="20"/>
          <w:szCs w:val="20"/>
          <w:lang w:eastAsia="en-IN"/>
        </w:rPr>
      </w:pPr>
      <w:r w:rsidRPr="00542C74">
        <w:rPr>
          <w:rFonts w:ascii="Arial" w:eastAsia="Times New Roman" w:hAnsi="Arial" w:cs="Arial"/>
          <w:b/>
          <w:bCs/>
          <w:sz w:val="20"/>
          <w:szCs w:val="20"/>
          <w:lang w:eastAsia="en-IN"/>
        </w:rPr>
        <w:t xml:space="preserve">1.1 </w:t>
      </w:r>
      <w:r w:rsidR="00115DE3" w:rsidRPr="00542C74">
        <w:rPr>
          <w:rFonts w:ascii="Arial" w:eastAsia="Times New Roman" w:hAnsi="Arial" w:cs="Arial"/>
          <w:b/>
          <w:bCs/>
          <w:sz w:val="20"/>
          <w:szCs w:val="20"/>
          <w:lang w:eastAsia="en-IN"/>
        </w:rPr>
        <w:t>Greenhouse Gases and Global Warming</w:t>
      </w:r>
    </w:p>
    <w:p w14:paraId="6F59F032" w14:textId="6C267F67" w:rsidR="00115DE3" w:rsidRPr="00542C74" w:rsidRDefault="00115DE3"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Greenhouse gases (GHGs) are atmospheric constituents that absorb and emit infrared radiation, leading to the greenhouse effect, which warms the Earth's surface. The primary GHGs include water vapor, carbon dioxide (CO</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 methane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nitrous oxide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fluorinated gases, and ozone</w:t>
      </w:r>
      <w:r w:rsidR="00E33FEA" w:rsidRPr="00542C74">
        <w:rPr>
          <w:rFonts w:ascii="Arial" w:eastAsia="Times New Roman" w:hAnsi="Arial" w:cs="Arial"/>
          <w:sz w:val="20"/>
          <w:szCs w:val="20"/>
          <w:lang w:eastAsia="en-IN"/>
        </w:rPr>
        <w:t xml:space="preserve"> (</w:t>
      </w:r>
      <w:r w:rsidR="00E33FEA" w:rsidRPr="00542C74">
        <w:rPr>
          <w:rFonts w:ascii="Arial" w:hAnsi="Arial" w:cs="Arial"/>
          <w:color w:val="222222"/>
          <w:sz w:val="20"/>
          <w:szCs w:val="20"/>
          <w:shd w:val="clear" w:color="auto" w:fill="FFFFFF"/>
        </w:rPr>
        <w:t>Filonchyk et al., 2024)</w:t>
      </w:r>
      <w:r w:rsidRPr="00542C74">
        <w:rPr>
          <w:rFonts w:ascii="Arial" w:eastAsia="Times New Roman" w:hAnsi="Arial" w:cs="Arial"/>
          <w:sz w:val="20"/>
          <w:szCs w:val="20"/>
          <w:lang w:eastAsia="en-IN"/>
        </w:rPr>
        <w:t>. While water vapor is the most abundant, CO</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and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are significant due to their long atmospheric lifetimes and increasing concentrations resulting from human activities. CO</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 xml:space="preserve"> is primarily emitted through fossil fuel combustion and deforestation.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xml:space="preserve"> emissions arise from livestock digestion, rice cultivation, and landfills.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is mainly produced through agricultural activities, especially the use of nitrogen-based fertilizers</w:t>
      </w:r>
      <w:r w:rsidR="00E33FEA" w:rsidRPr="00542C74">
        <w:rPr>
          <w:rFonts w:ascii="Arial" w:eastAsia="Times New Roman" w:hAnsi="Arial" w:cs="Arial"/>
          <w:sz w:val="20"/>
          <w:szCs w:val="20"/>
          <w:lang w:eastAsia="en-IN"/>
        </w:rPr>
        <w:t xml:space="preserve"> (Ma et al., 2024)</w:t>
      </w:r>
      <w:r w:rsidRPr="00542C74">
        <w:rPr>
          <w:rFonts w:ascii="Arial" w:eastAsia="Times New Roman" w:hAnsi="Arial" w:cs="Arial"/>
          <w:sz w:val="20"/>
          <w:szCs w:val="20"/>
          <w:lang w:eastAsia="en-IN"/>
        </w:rPr>
        <w:t>. Fluorinated gases, though present in smaller quantities, have high global warming potentials and are used in industrial applications. Ozone, while beneficial in the stratosphere, acts as a GHG when present at ground level.</w:t>
      </w:r>
    </w:p>
    <w:p w14:paraId="56E4F623" w14:textId="78E2EE74" w:rsidR="00115DE3" w:rsidRPr="00542C74" w:rsidRDefault="00115DE3" w:rsidP="00542C74">
      <w:pPr>
        <w:spacing w:before="100" w:beforeAutospacing="1" w:after="100" w:afterAutospacing="1" w:line="240" w:lineRule="auto"/>
        <w:ind w:left="0" w:firstLine="720"/>
        <w:rPr>
          <w:rFonts w:ascii="Arial" w:eastAsia="Times New Roman" w:hAnsi="Arial" w:cs="Arial"/>
          <w:sz w:val="20"/>
          <w:szCs w:val="20"/>
          <w:lang w:eastAsia="en-IN"/>
        </w:rPr>
      </w:pPr>
      <w:r w:rsidRPr="00542C74">
        <w:rPr>
          <w:rFonts w:ascii="Arial" w:eastAsia="Times New Roman" w:hAnsi="Arial" w:cs="Arial"/>
          <w:sz w:val="20"/>
          <w:szCs w:val="20"/>
          <w:lang w:eastAsia="en-IN"/>
        </w:rPr>
        <w:t>The accumulation of these greenhouse gases in the atmosphere intensifies the natural greenhouse effect, leading to global warming and climate change</w:t>
      </w:r>
      <w:r w:rsidR="00E33FEA" w:rsidRPr="00542C74">
        <w:rPr>
          <w:rFonts w:ascii="Arial" w:eastAsia="Times New Roman" w:hAnsi="Arial" w:cs="Arial"/>
          <w:sz w:val="20"/>
          <w:szCs w:val="20"/>
          <w:lang w:eastAsia="en-IN"/>
        </w:rPr>
        <w:t xml:space="preserve"> (</w:t>
      </w:r>
      <w:r w:rsidR="00E33FEA" w:rsidRPr="00542C74">
        <w:rPr>
          <w:rFonts w:ascii="Arial" w:hAnsi="Arial" w:cs="Arial"/>
          <w:color w:val="222222"/>
          <w:sz w:val="20"/>
          <w:szCs w:val="20"/>
          <w:shd w:val="clear" w:color="auto" w:fill="FFFFFF"/>
        </w:rPr>
        <w:t>Mikhaylov et al., 2020</w:t>
      </w:r>
      <w:r w:rsidR="00E33FEA"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This enhanced warming disrupts climatic systems, contributing to rising global temperatures, altered precipitation patterns, and an increase in the frequency and intensity of extreme weather events such as droughts, floods, and hurricanes. The Intergovernmental Panel on Climate Change (IPCC) has reported that anthropogenic GHG emissions are the dominant cause of observed warming since the mid-20th century</w:t>
      </w:r>
      <w:r w:rsidR="00E33FEA" w:rsidRPr="00542C74">
        <w:rPr>
          <w:rFonts w:ascii="Arial" w:eastAsia="Times New Roman" w:hAnsi="Arial" w:cs="Arial"/>
          <w:sz w:val="20"/>
          <w:szCs w:val="20"/>
          <w:lang w:eastAsia="en-IN"/>
        </w:rPr>
        <w:t xml:space="preserve"> (</w:t>
      </w:r>
      <w:r w:rsidR="00E33FEA" w:rsidRPr="00542C74">
        <w:rPr>
          <w:rFonts w:ascii="Arial" w:hAnsi="Arial" w:cs="Arial"/>
          <w:color w:val="222222"/>
          <w:sz w:val="20"/>
          <w:szCs w:val="20"/>
          <w:shd w:val="clear" w:color="auto" w:fill="FFFFFF"/>
        </w:rPr>
        <w:t>Hegerl et al., 2019</w:t>
      </w:r>
      <w:r w:rsidR="00E33FEA"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Without significant mitigation efforts, continued emissions will </w:t>
      </w:r>
      <w:r w:rsidRPr="00542C74">
        <w:rPr>
          <w:rFonts w:ascii="Arial" w:eastAsia="Times New Roman" w:hAnsi="Arial" w:cs="Arial"/>
          <w:sz w:val="20"/>
          <w:szCs w:val="20"/>
          <w:lang w:eastAsia="en-IN"/>
        </w:rPr>
        <w:lastRenderedPageBreak/>
        <w:t>drive further environmental degradation, sea level rise, loss of biodiversity, and severe socio-economic impacts worldwide.</w:t>
      </w:r>
    </w:p>
    <w:p w14:paraId="31464B9F" w14:textId="59A0EC08" w:rsidR="00115DE3" w:rsidRPr="00542C74" w:rsidRDefault="00E33FEA" w:rsidP="00542C74">
      <w:pPr>
        <w:spacing w:before="100" w:beforeAutospacing="1" w:after="100" w:afterAutospacing="1" w:line="240" w:lineRule="auto"/>
        <w:ind w:left="0"/>
        <w:outlineLvl w:val="2"/>
        <w:rPr>
          <w:rFonts w:ascii="Arial" w:eastAsia="Times New Roman" w:hAnsi="Arial" w:cs="Arial"/>
          <w:b/>
          <w:bCs/>
          <w:sz w:val="20"/>
          <w:szCs w:val="20"/>
          <w:lang w:eastAsia="en-IN"/>
        </w:rPr>
      </w:pPr>
      <w:r w:rsidRPr="00542C74">
        <w:rPr>
          <w:rFonts w:ascii="Arial" w:eastAsia="Times New Roman" w:hAnsi="Arial" w:cs="Arial"/>
          <w:b/>
          <w:bCs/>
          <w:sz w:val="20"/>
          <w:szCs w:val="20"/>
          <w:lang w:eastAsia="en-IN"/>
        </w:rPr>
        <w:t xml:space="preserve">1.2 </w:t>
      </w:r>
      <w:r w:rsidR="00115DE3" w:rsidRPr="00542C74">
        <w:rPr>
          <w:rFonts w:ascii="Arial" w:eastAsia="Times New Roman" w:hAnsi="Arial" w:cs="Arial"/>
          <w:b/>
          <w:bCs/>
          <w:sz w:val="20"/>
          <w:szCs w:val="20"/>
          <w:lang w:eastAsia="en-IN"/>
        </w:rPr>
        <w:t>Agriculture's Contribution to GHG Emissions</w:t>
      </w:r>
    </w:p>
    <w:p w14:paraId="70587E08" w14:textId="65461508" w:rsidR="00115DE3" w:rsidRPr="00542C74" w:rsidRDefault="00115DE3"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Agriculture is a significant source of GHG emissions, contributing approximately 12% of global anthropogenic emissions</w:t>
      </w:r>
      <w:r w:rsidR="00AC1C48" w:rsidRPr="00542C74">
        <w:rPr>
          <w:rFonts w:ascii="Arial" w:eastAsia="Times New Roman" w:hAnsi="Arial" w:cs="Arial"/>
          <w:sz w:val="20"/>
          <w:szCs w:val="20"/>
          <w:lang w:eastAsia="en-IN"/>
        </w:rPr>
        <w:t xml:space="preserve"> </w:t>
      </w:r>
      <w:r w:rsidR="00815673" w:rsidRPr="00542C74">
        <w:rPr>
          <w:rFonts w:ascii="Arial" w:eastAsia="Times New Roman" w:hAnsi="Arial" w:cs="Arial"/>
          <w:sz w:val="20"/>
          <w:szCs w:val="20"/>
          <w:lang w:eastAsia="en-IN"/>
        </w:rPr>
        <w:t>(</w:t>
      </w:r>
      <w:r w:rsidR="00AC1C48" w:rsidRPr="00542C74">
        <w:rPr>
          <w:rFonts w:ascii="Arial" w:eastAsia="Times New Roman" w:hAnsi="Arial" w:cs="Arial"/>
          <w:sz w:val="20"/>
          <w:szCs w:val="20"/>
          <w:lang w:eastAsia="en-IN"/>
        </w:rPr>
        <w:t>Golasa et al., 2021</w:t>
      </w:r>
      <w:r w:rsidR="00815673" w:rsidRPr="00542C74">
        <w:rPr>
          <w:rFonts w:ascii="Arial" w:eastAsia="Times New Roman" w:hAnsi="Arial" w:cs="Arial"/>
          <w:sz w:val="20"/>
          <w:szCs w:val="20"/>
          <w:lang w:eastAsia="en-IN"/>
        </w:rPr>
        <w:t>)</w:t>
      </w:r>
      <w:r w:rsidR="00AC1C48" w:rsidRPr="00542C74">
        <w:rPr>
          <w:rFonts w:ascii="Arial" w:eastAsia="Times New Roman" w:hAnsi="Arial" w:cs="Arial"/>
          <w:sz w:val="20"/>
          <w:szCs w:val="20"/>
          <w:lang w:eastAsia="en-IN"/>
        </w:rPr>
        <w:t>.</w:t>
      </w:r>
      <w:r w:rsidR="00815673" w:rsidRPr="00542C74">
        <w:rPr>
          <w:rFonts w:ascii="Arial" w:eastAsia="Times New Roman" w:hAnsi="Arial" w:cs="Arial"/>
          <w:sz w:val="20"/>
          <w:szCs w:val="20"/>
          <w:lang w:eastAsia="en-IN"/>
        </w:rPr>
        <w:t xml:space="preserve"> </w:t>
      </w:r>
      <w:r w:rsidRPr="00542C74">
        <w:rPr>
          <w:rFonts w:ascii="Arial" w:eastAsia="Times New Roman" w:hAnsi="Arial" w:cs="Arial"/>
          <w:sz w:val="20"/>
          <w:szCs w:val="20"/>
          <w:lang w:eastAsia="en-IN"/>
        </w:rPr>
        <w:t>These emissions stem from various activities, including enteric fermentation in livestock, manure management, rice cultivation, and the use of synthetic fertilizers. The Food and Agriculture Organization (FAO) reported that in 2019, the use of synthetic nitrogen fertilizers accounted for 8.3% of farm-gate emissions. Furthermore, the Intergovernmental Panel on Climate Change (IPCC) projects that, without mitigation, agricultural emissions could reach 8–9 gigatonnes of CO</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-equivalent per year by 2050</w:t>
      </w:r>
      <w:r w:rsidR="00E33FEA" w:rsidRPr="00542C74">
        <w:rPr>
          <w:rFonts w:ascii="Arial" w:eastAsia="Times New Roman" w:hAnsi="Arial" w:cs="Arial"/>
          <w:sz w:val="20"/>
          <w:szCs w:val="20"/>
          <w:lang w:eastAsia="en-IN"/>
        </w:rPr>
        <w:t xml:space="preserve"> (</w:t>
      </w:r>
      <w:r w:rsidR="00E33FEA" w:rsidRPr="00542C74">
        <w:rPr>
          <w:rFonts w:ascii="Arial" w:hAnsi="Arial" w:cs="Arial"/>
          <w:color w:val="222222"/>
          <w:sz w:val="20"/>
          <w:szCs w:val="20"/>
          <w:shd w:val="clear" w:color="auto" w:fill="FFFFFF"/>
        </w:rPr>
        <w:t>Prasad et al., 2020</w:t>
      </w:r>
      <w:r w:rsidR="00E33FEA"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w:t>
      </w:r>
    </w:p>
    <w:p w14:paraId="0C32EF70" w14:textId="26714CAB" w:rsidR="00115DE3" w:rsidRPr="00542C74" w:rsidRDefault="00115DE3" w:rsidP="00542C74">
      <w:pPr>
        <w:spacing w:before="100" w:beforeAutospacing="1" w:after="100" w:afterAutospacing="1" w:line="240" w:lineRule="auto"/>
        <w:ind w:left="0" w:firstLine="720"/>
        <w:rPr>
          <w:rFonts w:ascii="Arial" w:eastAsia="Times New Roman" w:hAnsi="Arial" w:cs="Arial"/>
          <w:sz w:val="20"/>
          <w:szCs w:val="20"/>
          <w:lang w:eastAsia="en-IN"/>
        </w:rPr>
      </w:pPr>
      <w:r w:rsidRPr="00542C74">
        <w:rPr>
          <w:rFonts w:ascii="Arial" w:hAnsi="Arial" w:cs="Arial"/>
          <w:sz w:val="20"/>
          <w:szCs w:val="20"/>
        </w:rPr>
        <w:t>Agricultural GHG emissions are primarily composed of methane (CH</w:t>
      </w:r>
      <w:r w:rsidRPr="00542C74">
        <w:rPr>
          <w:rFonts w:ascii="Cambria Math" w:hAnsi="Cambria Math" w:cs="Cambria Math"/>
          <w:sz w:val="20"/>
          <w:szCs w:val="20"/>
        </w:rPr>
        <w:t>₄</w:t>
      </w:r>
      <w:r w:rsidRPr="00542C74">
        <w:rPr>
          <w:rFonts w:ascii="Arial" w:hAnsi="Arial" w:cs="Arial"/>
          <w:sz w:val="20"/>
          <w:szCs w:val="20"/>
        </w:rPr>
        <w:t>) and nitrous oxide (N</w:t>
      </w:r>
      <w:r w:rsidRPr="00542C74">
        <w:rPr>
          <w:rFonts w:ascii="Cambria Math" w:hAnsi="Cambria Math" w:cs="Cambria Math"/>
          <w:sz w:val="20"/>
          <w:szCs w:val="20"/>
        </w:rPr>
        <w:t>₂</w:t>
      </w:r>
      <w:r w:rsidRPr="00542C74">
        <w:rPr>
          <w:rFonts w:ascii="Arial" w:hAnsi="Arial" w:cs="Arial"/>
          <w:sz w:val="20"/>
          <w:szCs w:val="20"/>
        </w:rPr>
        <w:t>O), both of which have significantly higher global warming potentials than carbon dioxide</w:t>
      </w:r>
      <w:r w:rsidR="00E33FEA" w:rsidRPr="00542C74">
        <w:rPr>
          <w:rFonts w:ascii="Arial" w:hAnsi="Arial" w:cs="Arial"/>
          <w:sz w:val="20"/>
          <w:szCs w:val="20"/>
        </w:rPr>
        <w:t xml:space="preserve"> (</w:t>
      </w:r>
      <w:r w:rsidR="00E33FEA" w:rsidRPr="00542C74">
        <w:rPr>
          <w:rFonts w:ascii="Arial" w:hAnsi="Arial" w:cs="Arial"/>
          <w:color w:val="222222"/>
          <w:sz w:val="20"/>
          <w:szCs w:val="20"/>
          <w:shd w:val="clear" w:color="auto" w:fill="FFFFFF"/>
        </w:rPr>
        <w:t>Rehman et al., 2020</w:t>
      </w:r>
      <w:r w:rsidR="00E33FEA" w:rsidRPr="00542C74">
        <w:rPr>
          <w:rFonts w:ascii="Arial" w:hAnsi="Arial" w:cs="Arial"/>
          <w:sz w:val="20"/>
          <w:szCs w:val="20"/>
        </w:rPr>
        <w:t>)</w:t>
      </w:r>
      <w:r w:rsidRPr="00542C74">
        <w:rPr>
          <w:rFonts w:ascii="Arial" w:hAnsi="Arial" w:cs="Arial"/>
          <w:sz w:val="20"/>
          <w:szCs w:val="20"/>
        </w:rPr>
        <w:t>. Methane is predominantly released through enteric fermentation in ruminants and anaerobic decomposition in flooded rice paddies, while nitrous oxide arises mainly from the microbial transformation of nitrogen in soils treated with synthetic and organic fertilizers. Additionally, land-use changes associated with agricultural expansion</w:t>
      </w:r>
      <w:r w:rsidR="000C2977" w:rsidRPr="00542C74">
        <w:rPr>
          <w:rFonts w:ascii="Arial" w:hAnsi="Arial" w:cs="Arial"/>
          <w:sz w:val="20"/>
          <w:szCs w:val="20"/>
        </w:rPr>
        <w:t xml:space="preserve"> </w:t>
      </w:r>
      <w:r w:rsidRPr="00542C74">
        <w:rPr>
          <w:rFonts w:ascii="Arial" w:hAnsi="Arial" w:cs="Arial"/>
          <w:sz w:val="20"/>
          <w:szCs w:val="20"/>
        </w:rPr>
        <w:t>such as deforestation and peatland drainage contribute considerable amounts of CO</w:t>
      </w:r>
      <w:r w:rsidRPr="00542C74">
        <w:rPr>
          <w:rFonts w:ascii="Cambria Math" w:hAnsi="Cambria Math" w:cs="Cambria Math"/>
          <w:sz w:val="20"/>
          <w:szCs w:val="20"/>
        </w:rPr>
        <w:t>₂</w:t>
      </w:r>
      <w:r w:rsidRPr="00542C74">
        <w:rPr>
          <w:rFonts w:ascii="Arial" w:hAnsi="Arial" w:cs="Arial"/>
          <w:sz w:val="20"/>
          <w:szCs w:val="20"/>
        </w:rPr>
        <w:t>. The intensification of agricultural systems to meet rising food demands further exacerbates emissions, particularly when coupled with inefficient nutrient management practices</w:t>
      </w:r>
      <w:r w:rsidR="00E33FEA" w:rsidRPr="00542C74">
        <w:rPr>
          <w:rFonts w:ascii="Arial" w:hAnsi="Arial" w:cs="Arial"/>
          <w:sz w:val="20"/>
          <w:szCs w:val="20"/>
        </w:rPr>
        <w:t xml:space="preserve"> (</w:t>
      </w:r>
      <w:r w:rsidR="00E33FEA" w:rsidRPr="00542C74">
        <w:rPr>
          <w:rFonts w:ascii="Arial" w:hAnsi="Arial" w:cs="Arial"/>
          <w:color w:val="222222"/>
          <w:sz w:val="20"/>
          <w:szCs w:val="20"/>
          <w:shd w:val="clear" w:color="auto" w:fill="FFFFFF"/>
        </w:rPr>
        <w:t>Purwanto &amp; Alam, 2020</w:t>
      </w:r>
      <w:r w:rsidR="00E33FEA" w:rsidRPr="00542C74">
        <w:rPr>
          <w:rFonts w:ascii="Arial" w:hAnsi="Arial" w:cs="Arial"/>
          <w:sz w:val="20"/>
          <w:szCs w:val="20"/>
        </w:rPr>
        <w:t>)</w:t>
      </w:r>
      <w:r w:rsidRPr="00542C74">
        <w:rPr>
          <w:rFonts w:ascii="Arial" w:hAnsi="Arial" w:cs="Arial"/>
          <w:sz w:val="20"/>
          <w:szCs w:val="20"/>
        </w:rPr>
        <w:t>. Thus, agriculture stands at a critical intersection where food security must be balanced with the urgent need to reduce its climate impact.</w:t>
      </w:r>
    </w:p>
    <w:p w14:paraId="73B1C1BE" w14:textId="6CEF6293" w:rsidR="00115DE3" w:rsidRPr="00542C74" w:rsidRDefault="00E33FEA" w:rsidP="00542C74">
      <w:pPr>
        <w:spacing w:before="100" w:beforeAutospacing="1" w:after="100" w:afterAutospacing="1" w:line="240" w:lineRule="auto"/>
        <w:ind w:left="0"/>
        <w:outlineLvl w:val="2"/>
        <w:rPr>
          <w:rFonts w:ascii="Arial" w:eastAsia="Times New Roman" w:hAnsi="Arial" w:cs="Arial"/>
          <w:b/>
          <w:bCs/>
          <w:sz w:val="20"/>
          <w:szCs w:val="20"/>
          <w:lang w:eastAsia="en-IN"/>
        </w:rPr>
      </w:pPr>
      <w:r w:rsidRPr="00542C74">
        <w:rPr>
          <w:rFonts w:ascii="Arial" w:eastAsia="Times New Roman" w:hAnsi="Arial" w:cs="Arial"/>
          <w:b/>
          <w:bCs/>
          <w:sz w:val="20"/>
          <w:szCs w:val="20"/>
          <w:lang w:eastAsia="en-IN"/>
        </w:rPr>
        <w:t xml:space="preserve">1.3 </w:t>
      </w:r>
      <w:r w:rsidR="00115DE3" w:rsidRPr="00542C74">
        <w:rPr>
          <w:rFonts w:ascii="Arial" w:eastAsia="Times New Roman" w:hAnsi="Arial" w:cs="Arial"/>
          <w:b/>
          <w:bCs/>
          <w:sz w:val="20"/>
          <w:szCs w:val="20"/>
          <w:lang w:eastAsia="en-IN"/>
        </w:rPr>
        <w:t>Role of Synthetic Fertilizers in Food Production</w:t>
      </w:r>
    </w:p>
    <w:p w14:paraId="056299FA" w14:textId="30BDA30D" w:rsidR="00115DE3" w:rsidRPr="00542C74" w:rsidRDefault="00115DE3"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The advent of synthetic fertilizers has revolutionized agriculture, significantly increasing crop yields and supporting global food security. By supplying essential nutrients, particularly nitrogen, phosphorus, and potassium, synthetic fertilizers have enabled intensive farming practices to meet the demands of a growing population</w:t>
      </w:r>
      <w:r w:rsidR="00E33FEA" w:rsidRPr="00542C74">
        <w:rPr>
          <w:rFonts w:ascii="Arial" w:eastAsia="Times New Roman" w:hAnsi="Arial" w:cs="Arial"/>
          <w:sz w:val="20"/>
          <w:szCs w:val="20"/>
          <w:lang w:eastAsia="en-IN"/>
        </w:rPr>
        <w:t xml:space="preserve"> (</w:t>
      </w:r>
      <w:r w:rsidR="00E33FEA" w:rsidRPr="00542C74">
        <w:rPr>
          <w:rFonts w:ascii="Arial" w:hAnsi="Arial" w:cs="Arial"/>
          <w:color w:val="222222"/>
          <w:sz w:val="20"/>
          <w:szCs w:val="20"/>
          <w:shd w:val="clear" w:color="auto" w:fill="FFFFFF"/>
        </w:rPr>
        <w:t>Yahaya et al., 2023</w:t>
      </w:r>
      <w:r w:rsidR="00E33FEA"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However, their production and application have environmental repercussions. The manufacture of synthetic nitrogen fertilizers is energy-intensive, often relying on fossil fuels, leading to substantial CO</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 xml:space="preserve"> emissions. Once applied to fields, these fertilizers can undergo microbial transformations, resulting in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emissions. Given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O's high global warming potential, its release from agricultural soils is a critical concern.</w:t>
      </w:r>
    </w:p>
    <w:p w14:paraId="32B9BA5A" w14:textId="2B00AEC3" w:rsidR="00115DE3" w:rsidRPr="00542C74" w:rsidRDefault="00E33FEA" w:rsidP="00542C74">
      <w:pPr>
        <w:spacing w:before="100" w:beforeAutospacing="1" w:after="100" w:afterAutospacing="1" w:line="240" w:lineRule="auto"/>
        <w:ind w:left="0"/>
        <w:outlineLvl w:val="2"/>
        <w:rPr>
          <w:rFonts w:ascii="Arial" w:eastAsia="Times New Roman" w:hAnsi="Arial" w:cs="Arial"/>
          <w:b/>
          <w:bCs/>
          <w:sz w:val="20"/>
          <w:szCs w:val="20"/>
          <w:lang w:eastAsia="en-IN"/>
        </w:rPr>
      </w:pPr>
      <w:r w:rsidRPr="00542C74">
        <w:rPr>
          <w:rFonts w:ascii="Arial" w:eastAsia="Times New Roman" w:hAnsi="Arial" w:cs="Arial"/>
          <w:b/>
          <w:bCs/>
          <w:sz w:val="20"/>
          <w:szCs w:val="20"/>
          <w:lang w:eastAsia="en-IN"/>
        </w:rPr>
        <w:t xml:space="preserve">1.4 </w:t>
      </w:r>
      <w:r w:rsidR="00115DE3" w:rsidRPr="00542C74">
        <w:rPr>
          <w:rFonts w:ascii="Arial" w:eastAsia="Times New Roman" w:hAnsi="Arial" w:cs="Arial"/>
          <w:b/>
          <w:bCs/>
          <w:sz w:val="20"/>
          <w:szCs w:val="20"/>
          <w:lang w:eastAsia="en-IN"/>
        </w:rPr>
        <w:t>Environmental Impacts of Fertilizer Use</w:t>
      </w:r>
    </w:p>
    <w:p w14:paraId="6BAF41EF" w14:textId="290D3DF4" w:rsidR="005C7F12" w:rsidRPr="00542C74" w:rsidRDefault="00115DE3"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Excessive or inefficient fertilizer application can lead to nutrient runoff, contaminating water bodies and causing eutrophication</w:t>
      </w:r>
      <w:r w:rsidR="00AC1C48" w:rsidRPr="00542C74">
        <w:rPr>
          <w:rFonts w:ascii="Arial" w:eastAsia="Times New Roman" w:hAnsi="Arial" w:cs="Arial"/>
          <w:sz w:val="20"/>
          <w:szCs w:val="20"/>
          <w:lang w:eastAsia="en-IN"/>
        </w:rPr>
        <w:t xml:space="preserve"> (Tiwari &amp; Pal, 2022)</w:t>
      </w:r>
      <w:r w:rsidRPr="00542C74">
        <w:rPr>
          <w:rFonts w:ascii="Arial" w:eastAsia="Times New Roman" w:hAnsi="Arial" w:cs="Arial"/>
          <w:sz w:val="20"/>
          <w:szCs w:val="20"/>
          <w:lang w:eastAsia="en-IN"/>
        </w:rPr>
        <w:t>. Moreover, the volatilization and leaching of nitrogen compounds contribute to air and water pollution. These environmental impacts underscore the need for sustainable fertilizer management practices.</w:t>
      </w:r>
      <w:r w:rsidR="005C7F12" w:rsidRPr="00542C74">
        <w:rPr>
          <w:rFonts w:ascii="Arial" w:eastAsia="Times New Roman" w:hAnsi="Arial" w:cs="Arial"/>
          <w:sz w:val="20"/>
          <w:szCs w:val="20"/>
          <w:lang w:eastAsia="en-IN"/>
        </w:rPr>
        <w:t xml:space="preserve"> Excessive or inefficient application of fertilizers, particularly those rich in nitrogen and phosphorus, has profound environmental consequences. When these nutrients are applied beyond the absorption capacity of plants, they can leach into groundwater or run off into surface waters, leading to nutrient pollution. This influx of nutrients into aquatic systems often results in eutrophication a process characterized by excessive algal growth that depletes oxygen in the water, harming aquatic life and disrupting ecosystems. Nitrogen, due to its high solubility, is particularly prone to leaching. Phosphorus, while less mobile in soil, can attach to eroded soil particles and enter waterways, further contributing to eutrophication</w:t>
      </w:r>
      <w:r w:rsidR="007165E2" w:rsidRPr="00542C74">
        <w:rPr>
          <w:rFonts w:ascii="Arial" w:eastAsia="Times New Roman" w:hAnsi="Arial" w:cs="Arial"/>
          <w:sz w:val="20"/>
          <w:szCs w:val="20"/>
          <w:lang w:eastAsia="en-IN"/>
        </w:rPr>
        <w:t xml:space="preserve"> (</w:t>
      </w:r>
      <w:r w:rsidR="007165E2" w:rsidRPr="00542C74">
        <w:rPr>
          <w:rFonts w:ascii="Arial" w:hAnsi="Arial" w:cs="Arial"/>
          <w:color w:val="222222"/>
          <w:sz w:val="20"/>
          <w:szCs w:val="20"/>
          <w:shd w:val="clear" w:color="auto" w:fill="FFFFFF"/>
        </w:rPr>
        <w:t>Rashmi et al., 2022</w:t>
      </w:r>
      <w:r w:rsidR="007165E2" w:rsidRPr="00542C74">
        <w:rPr>
          <w:rFonts w:ascii="Arial" w:eastAsia="Times New Roman" w:hAnsi="Arial" w:cs="Arial"/>
          <w:sz w:val="20"/>
          <w:szCs w:val="20"/>
          <w:lang w:eastAsia="en-IN"/>
        </w:rPr>
        <w:t>)</w:t>
      </w:r>
      <w:r w:rsidR="005C7F12" w:rsidRPr="00542C74">
        <w:rPr>
          <w:rFonts w:ascii="Arial" w:eastAsia="Times New Roman" w:hAnsi="Arial" w:cs="Arial"/>
          <w:sz w:val="20"/>
          <w:szCs w:val="20"/>
          <w:lang w:eastAsia="en-IN"/>
        </w:rPr>
        <w:t>. Moreover, the volatilization of nitrogen compounds, such as ammonia, into the atmosphere can lead to air pollution and the formation of secondary particulate matter, which has implications for human respiratory health. These airborne nitrogen compounds can also deposit back onto land and water bodies, exacerbating nutrient loading and associated environmental issues</w:t>
      </w:r>
      <w:r w:rsidR="00AC1C48" w:rsidRPr="00542C74">
        <w:rPr>
          <w:rFonts w:ascii="Arial" w:eastAsia="Times New Roman" w:hAnsi="Arial" w:cs="Arial"/>
          <w:sz w:val="20"/>
          <w:szCs w:val="20"/>
          <w:lang w:eastAsia="en-IN"/>
        </w:rPr>
        <w:t xml:space="preserve"> (</w:t>
      </w:r>
      <w:r w:rsidR="00AC1C48" w:rsidRPr="00542C74">
        <w:rPr>
          <w:rFonts w:ascii="Arial" w:hAnsi="Arial" w:cs="Arial"/>
          <w:color w:val="222222"/>
          <w:sz w:val="20"/>
          <w:szCs w:val="20"/>
          <w:shd w:val="clear" w:color="auto" w:fill="FFFFFF"/>
        </w:rPr>
        <w:t>De Vries, 2021)</w:t>
      </w:r>
      <w:r w:rsidR="005C7F12" w:rsidRPr="00542C74">
        <w:rPr>
          <w:rFonts w:ascii="Arial" w:eastAsia="Times New Roman" w:hAnsi="Arial" w:cs="Arial"/>
          <w:sz w:val="20"/>
          <w:szCs w:val="20"/>
          <w:lang w:eastAsia="en-IN"/>
        </w:rPr>
        <w:t>.</w:t>
      </w:r>
      <w:commentRangeEnd w:id="1"/>
      <w:r w:rsidR="00F813A0">
        <w:rPr>
          <w:rStyle w:val="CommentReference"/>
        </w:rPr>
        <w:commentReference w:id="1"/>
      </w:r>
    </w:p>
    <w:p w14:paraId="1E6CEF04" w14:textId="6C6946B5" w:rsidR="00515478" w:rsidRPr="00542C74" w:rsidRDefault="00515478" w:rsidP="00542C74">
      <w:pPr>
        <w:pStyle w:val="ListParagraph"/>
        <w:numPr>
          <w:ilvl w:val="0"/>
          <w:numId w:val="36"/>
        </w:numPr>
        <w:spacing w:before="100" w:beforeAutospacing="1" w:after="100" w:afterAutospacing="1" w:line="240" w:lineRule="auto"/>
        <w:outlineLvl w:val="2"/>
        <w:rPr>
          <w:rFonts w:ascii="Arial" w:eastAsia="Times New Roman" w:hAnsi="Arial" w:cs="Arial"/>
          <w:b/>
          <w:bCs/>
          <w:sz w:val="20"/>
          <w:szCs w:val="20"/>
          <w:lang w:eastAsia="en-IN"/>
        </w:rPr>
      </w:pPr>
      <w:r w:rsidRPr="00542C74">
        <w:rPr>
          <w:rStyle w:val="Strong"/>
          <w:rFonts w:ascii="Arial" w:hAnsi="Arial" w:cs="Arial"/>
          <w:sz w:val="20"/>
          <w:szCs w:val="20"/>
        </w:rPr>
        <w:t>GREENHOUSE GAS EMISSIONS AND THEIR ENVIRONMENTAL IMPACT</w:t>
      </w:r>
    </w:p>
    <w:p w14:paraId="541A2DA4" w14:textId="55C9AC87" w:rsidR="00515478" w:rsidRPr="00542C74" w:rsidRDefault="00515478" w:rsidP="00542C74">
      <w:pPr>
        <w:pStyle w:val="NormalWeb"/>
        <w:jc w:val="both"/>
        <w:rPr>
          <w:rFonts w:ascii="Arial" w:hAnsi="Arial" w:cs="Arial"/>
          <w:sz w:val="20"/>
          <w:szCs w:val="20"/>
        </w:rPr>
      </w:pPr>
      <w:r w:rsidRPr="00542C74">
        <w:rPr>
          <w:rStyle w:val="Strong"/>
          <w:rFonts w:ascii="Arial" w:hAnsi="Arial" w:cs="Arial"/>
          <w:b w:val="0"/>
          <w:sz w:val="20"/>
          <w:szCs w:val="20"/>
        </w:rPr>
        <w:t>Fig. 1</w:t>
      </w:r>
      <w:r w:rsidRPr="00542C74">
        <w:rPr>
          <w:rFonts w:ascii="Arial" w:hAnsi="Arial" w:cs="Arial"/>
          <w:sz w:val="20"/>
          <w:szCs w:val="20"/>
        </w:rPr>
        <w:t xml:space="preserve"> illustrates</w:t>
      </w:r>
      <w:r w:rsidR="00815673" w:rsidRPr="00542C74">
        <w:rPr>
          <w:rFonts w:ascii="Arial" w:hAnsi="Arial" w:cs="Arial"/>
          <w:sz w:val="20"/>
          <w:szCs w:val="20"/>
        </w:rPr>
        <w:t xml:space="preserve"> </w:t>
      </w:r>
      <w:r w:rsidRPr="00542C74">
        <w:rPr>
          <w:rFonts w:ascii="Arial" w:hAnsi="Arial" w:cs="Arial"/>
          <w:sz w:val="20"/>
          <w:szCs w:val="20"/>
        </w:rPr>
        <w:t>the dynamic interactions between natural and anthropogenic sources of greenhouse gases (GHGs), the greenhouse effect, and the resultant environmental consequences on ecosystems and agriculture. Major GHGs such as water vapor (H</w:t>
      </w:r>
      <w:r w:rsidRPr="00542C74">
        <w:rPr>
          <w:rFonts w:ascii="Cambria Math" w:hAnsi="Cambria Math" w:cs="Cambria Math"/>
          <w:sz w:val="20"/>
          <w:szCs w:val="20"/>
        </w:rPr>
        <w:t>₂</w:t>
      </w:r>
      <w:r w:rsidRPr="00542C74">
        <w:rPr>
          <w:rFonts w:ascii="Arial" w:hAnsi="Arial" w:cs="Arial"/>
          <w:sz w:val="20"/>
          <w:szCs w:val="20"/>
        </w:rPr>
        <w:t>O), carbon dioxide (CO</w:t>
      </w:r>
      <w:r w:rsidRPr="00542C74">
        <w:rPr>
          <w:rFonts w:ascii="Cambria Math" w:hAnsi="Cambria Math" w:cs="Cambria Math"/>
          <w:sz w:val="20"/>
          <w:szCs w:val="20"/>
        </w:rPr>
        <w:t>₂</w:t>
      </w:r>
      <w:r w:rsidRPr="00542C74">
        <w:rPr>
          <w:rFonts w:ascii="Arial" w:hAnsi="Arial" w:cs="Arial"/>
          <w:sz w:val="20"/>
          <w:szCs w:val="20"/>
        </w:rPr>
        <w:t>), methane (CH</w:t>
      </w:r>
      <w:r w:rsidRPr="00542C74">
        <w:rPr>
          <w:rFonts w:ascii="Cambria Math" w:hAnsi="Cambria Math" w:cs="Cambria Math"/>
          <w:sz w:val="20"/>
          <w:szCs w:val="20"/>
        </w:rPr>
        <w:t>₄</w:t>
      </w:r>
      <w:r w:rsidRPr="00542C74">
        <w:rPr>
          <w:rFonts w:ascii="Arial" w:hAnsi="Arial" w:cs="Arial"/>
          <w:sz w:val="20"/>
          <w:szCs w:val="20"/>
        </w:rPr>
        <w:t xml:space="preserve">), nitrous </w:t>
      </w:r>
      <w:r w:rsidRPr="00542C74">
        <w:rPr>
          <w:rFonts w:ascii="Arial" w:hAnsi="Arial" w:cs="Arial"/>
          <w:sz w:val="20"/>
          <w:szCs w:val="20"/>
        </w:rPr>
        <w:lastRenderedPageBreak/>
        <w:t>oxide (N</w:t>
      </w:r>
      <w:r w:rsidRPr="00542C74">
        <w:rPr>
          <w:rFonts w:ascii="Cambria Math" w:hAnsi="Cambria Math" w:cs="Cambria Math"/>
          <w:sz w:val="20"/>
          <w:szCs w:val="20"/>
        </w:rPr>
        <w:t>₂</w:t>
      </w:r>
      <w:r w:rsidRPr="00542C74">
        <w:rPr>
          <w:rFonts w:ascii="Arial" w:hAnsi="Arial" w:cs="Arial"/>
          <w:sz w:val="20"/>
          <w:szCs w:val="20"/>
        </w:rPr>
        <w:t>O), and nitric oxide (NO) are released into the atmosphere from both industrial activities and agricultural landscapes, including emissions from livestock and soil management practices.</w:t>
      </w:r>
    </w:p>
    <w:p w14:paraId="56AE23CD" w14:textId="05C496AA" w:rsidR="00515478" w:rsidRPr="00542C74" w:rsidRDefault="00515478" w:rsidP="00542C74">
      <w:pPr>
        <w:pStyle w:val="NoSpacing"/>
        <w:ind w:left="0"/>
        <w:jc w:val="center"/>
        <w:rPr>
          <w:rFonts w:ascii="Arial" w:hAnsi="Arial" w:cs="Arial"/>
          <w:sz w:val="20"/>
          <w:szCs w:val="20"/>
        </w:rPr>
      </w:pPr>
      <w:r w:rsidRPr="00542C74">
        <w:rPr>
          <w:rFonts w:ascii="Arial" w:hAnsi="Arial" w:cs="Arial"/>
          <w:noProof/>
          <w:sz w:val="20"/>
          <w:szCs w:val="20"/>
          <w:lang w:val="en-US"/>
        </w:rPr>
        <w:drawing>
          <wp:inline distT="0" distB="0" distL="0" distR="0" wp14:anchorId="44369830" wp14:editId="161EB77F">
            <wp:extent cx="5359791" cy="2478591"/>
            <wp:effectExtent l="19050" t="19050" r="12700" b="17145"/>
            <wp:docPr id="3" name="Picture 2">
              <a:extLst xmlns:a="http://schemas.openxmlformats.org/drawingml/2006/main">
                <a:ext uri="{FF2B5EF4-FFF2-40B4-BE49-F238E27FC236}">
                  <a16:creationId xmlns:a16="http://schemas.microsoft.com/office/drawing/2014/main" id="{6FA90127-052B-C6FC-5204-361F0F825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FA90127-052B-C6FC-5204-361F0F825E3E}"/>
                        </a:ext>
                      </a:extLst>
                    </pic:cNvPr>
                    <pic:cNvPicPr>
                      <a:picLocks noChangeAspect="1"/>
                    </pic:cNvPicPr>
                  </pic:nvPicPr>
                  <pic:blipFill>
                    <a:blip r:embed="rId9"/>
                    <a:srcRect l="3783" r="3575"/>
                    <a:stretch/>
                  </pic:blipFill>
                  <pic:spPr>
                    <a:xfrm>
                      <a:off x="0" y="0"/>
                      <a:ext cx="5379579" cy="2487742"/>
                    </a:xfrm>
                    <a:prstGeom prst="rect">
                      <a:avLst/>
                    </a:prstGeom>
                    <a:ln w="6350">
                      <a:solidFill>
                        <a:schemeClr val="tx1"/>
                      </a:solidFill>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k:type>
                              <ask:lineSketchNone/>
                            </ask:type>
                          </ask:lineSketchStyleProps>
                        </a:ext>
                      </a:extLst>
                    </a:ln>
                  </pic:spPr>
                </pic:pic>
              </a:graphicData>
            </a:graphic>
          </wp:inline>
        </w:drawing>
      </w:r>
    </w:p>
    <w:p w14:paraId="61D4A769" w14:textId="0030A0BE" w:rsidR="00515478" w:rsidRPr="00542C74" w:rsidRDefault="00515478" w:rsidP="00542C74">
      <w:pPr>
        <w:pStyle w:val="NoSpacing"/>
        <w:ind w:left="0"/>
        <w:jc w:val="center"/>
        <w:rPr>
          <w:rFonts w:ascii="Arial" w:hAnsi="Arial" w:cs="Arial"/>
          <w:b/>
          <w:i/>
          <w:sz w:val="20"/>
          <w:szCs w:val="20"/>
        </w:rPr>
      </w:pPr>
      <w:commentRangeStart w:id="2"/>
      <w:r w:rsidRPr="00542C74">
        <w:rPr>
          <w:rFonts w:ascii="Arial" w:hAnsi="Arial" w:cs="Arial"/>
          <w:b/>
          <w:sz w:val="20"/>
          <w:szCs w:val="20"/>
        </w:rPr>
        <w:t xml:space="preserve">Fig. </w:t>
      </w:r>
      <w:r w:rsidR="009D30E7" w:rsidRPr="00542C74">
        <w:rPr>
          <w:rFonts w:ascii="Arial" w:hAnsi="Arial" w:cs="Arial"/>
          <w:b/>
          <w:sz w:val="20"/>
          <w:szCs w:val="20"/>
        </w:rPr>
        <w:t xml:space="preserve">1: </w:t>
      </w:r>
      <w:r w:rsidR="009D30E7" w:rsidRPr="00542C74">
        <w:rPr>
          <w:rFonts w:ascii="Arial" w:hAnsi="Arial" w:cs="Arial"/>
          <w:i/>
          <w:sz w:val="20"/>
          <w:szCs w:val="20"/>
        </w:rPr>
        <w:t>Greenhouse Gas Emissions, Climate Effects, and Plant Stress Responses</w:t>
      </w:r>
      <w:r w:rsidR="00CB37D3" w:rsidRPr="00542C74">
        <w:rPr>
          <w:rFonts w:ascii="Arial" w:hAnsi="Arial" w:cs="Arial"/>
          <w:sz w:val="20"/>
          <w:szCs w:val="20"/>
        </w:rPr>
        <w:t xml:space="preserve"> (</w:t>
      </w:r>
      <w:r w:rsidR="00CB37D3" w:rsidRPr="00542C74">
        <w:rPr>
          <w:rFonts w:ascii="Arial" w:hAnsi="Arial" w:cs="Arial"/>
          <w:color w:val="222222"/>
          <w:sz w:val="20"/>
          <w:szCs w:val="20"/>
          <w:shd w:val="clear" w:color="auto" w:fill="FFFFFF"/>
        </w:rPr>
        <w:t xml:space="preserve">Cassia </w:t>
      </w:r>
      <w:r w:rsidR="00CB37D3" w:rsidRPr="00542C74">
        <w:rPr>
          <w:rFonts w:ascii="Arial" w:hAnsi="Arial" w:cs="Arial"/>
          <w:i/>
          <w:color w:val="222222"/>
          <w:sz w:val="20"/>
          <w:szCs w:val="20"/>
          <w:shd w:val="clear" w:color="auto" w:fill="FFFFFF"/>
        </w:rPr>
        <w:t>et al.,</w:t>
      </w:r>
      <w:r w:rsidR="00CB37D3" w:rsidRPr="00542C74">
        <w:rPr>
          <w:rFonts w:ascii="Arial" w:hAnsi="Arial" w:cs="Arial"/>
          <w:color w:val="222222"/>
          <w:sz w:val="20"/>
          <w:szCs w:val="20"/>
          <w:shd w:val="clear" w:color="auto" w:fill="FFFFFF"/>
        </w:rPr>
        <w:t xml:space="preserve"> 2018)</w:t>
      </w:r>
      <w:commentRangeEnd w:id="2"/>
      <w:r w:rsidR="00694905">
        <w:rPr>
          <w:rStyle w:val="CommentReference"/>
        </w:rPr>
        <w:commentReference w:id="2"/>
      </w:r>
    </w:p>
    <w:p w14:paraId="0B55C778" w14:textId="6E9A71BA" w:rsidR="00515478" w:rsidRPr="00542C74" w:rsidRDefault="007165E2" w:rsidP="00542C74">
      <w:pPr>
        <w:pStyle w:val="Heading3"/>
        <w:jc w:val="both"/>
        <w:rPr>
          <w:rFonts w:ascii="Arial" w:hAnsi="Arial" w:cs="Arial"/>
          <w:sz w:val="20"/>
          <w:szCs w:val="20"/>
        </w:rPr>
      </w:pPr>
      <w:r w:rsidRPr="00542C74">
        <w:rPr>
          <w:rStyle w:val="Strong"/>
          <w:rFonts w:ascii="Arial" w:hAnsi="Arial" w:cs="Arial"/>
          <w:b/>
          <w:bCs/>
          <w:sz w:val="20"/>
          <w:szCs w:val="20"/>
        </w:rPr>
        <w:t xml:space="preserve">2.1 </w:t>
      </w:r>
      <w:r w:rsidR="00515478" w:rsidRPr="00542C74">
        <w:rPr>
          <w:rStyle w:val="Strong"/>
          <w:rFonts w:ascii="Arial" w:hAnsi="Arial" w:cs="Arial"/>
          <w:b/>
          <w:bCs/>
          <w:sz w:val="20"/>
          <w:szCs w:val="20"/>
        </w:rPr>
        <w:t>Mechanism of the Greenhouse Effect</w:t>
      </w:r>
    </w:p>
    <w:p w14:paraId="4E3B169A" w14:textId="79600C65" w:rsidR="00515478" w:rsidRPr="00542C74" w:rsidRDefault="00515478" w:rsidP="00542C74">
      <w:pPr>
        <w:pStyle w:val="NormalWeb"/>
        <w:jc w:val="both"/>
        <w:rPr>
          <w:rFonts w:ascii="Arial" w:hAnsi="Arial" w:cs="Arial"/>
          <w:sz w:val="20"/>
          <w:szCs w:val="20"/>
        </w:rPr>
      </w:pPr>
      <w:r w:rsidRPr="00542C74">
        <w:rPr>
          <w:rFonts w:ascii="Arial" w:hAnsi="Arial" w:cs="Arial"/>
          <w:sz w:val="20"/>
          <w:szCs w:val="20"/>
        </w:rPr>
        <w:t xml:space="preserve">Incoming solar radiation penetrates the Earth's atmosphere, warming the surface. The Earth, in turn, emits thermal infrared radiation back into the atmosphere. However, GHGs trap some of this outgoing radiation, re-radiating it towards the Earth’s surface and intensifying the </w:t>
      </w:r>
      <w:r w:rsidRPr="00542C74">
        <w:rPr>
          <w:rStyle w:val="Strong"/>
          <w:rFonts w:ascii="Arial" w:hAnsi="Arial" w:cs="Arial"/>
          <w:b w:val="0"/>
          <w:sz w:val="20"/>
          <w:szCs w:val="20"/>
        </w:rPr>
        <w:t>greenhouse effect</w:t>
      </w:r>
      <w:r w:rsidRPr="00542C74">
        <w:rPr>
          <w:rFonts w:ascii="Arial" w:hAnsi="Arial" w:cs="Arial"/>
          <w:sz w:val="20"/>
          <w:szCs w:val="20"/>
        </w:rPr>
        <w:t>. This leads to a rise in global temperatures and triggers shifts in climate patterns.</w:t>
      </w:r>
      <w:r w:rsidR="00100299" w:rsidRPr="00542C74">
        <w:rPr>
          <w:rFonts w:ascii="Arial" w:hAnsi="Arial" w:cs="Arial"/>
          <w:sz w:val="20"/>
          <w:szCs w:val="20"/>
        </w:rPr>
        <w:t xml:space="preserve"> </w:t>
      </w:r>
      <w:r w:rsidRPr="00542C74">
        <w:rPr>
          <w:rFonts w:ascii="Arial" w:hAnsi="Arial" w:cs="Arial"/>
          <w:sz w:val="20"/>
          <w:szCs w:val="20"/>
        </w:rPr>
        <w:t xml:space="preserve">The upper part of </w:t>
      </w:r>
      <w:r w:rsidRPr="00542C74">
        <w:rPr>
          <w:rStyle w:val="Strong"/>
          <w:rFonts w:ascii="Arial" w:hAnsi="Arial" w:cs="Arial"/>
          <w:b w:val="0"/>
          <w:sz w:val="20"/>
          <w:szCs w:val="20"/>
        </w:rPr>
        <w:t>Fig. 1</w:t>
      </w:r>
      <w:r w:rsidRPr="00542C74">
        <w:rPr>
          <w:rFonts w:ascii="Arial" w:hAnsi="Arial" w:cs="Arial"/>
          <w:sz w:val="20"/>
          <w:szCs w:val="20"/>
        </w:rPr>
        <w:t xml:space="preserve"> depicts the formation of ozone (O</w:t>
      </w:r>
      <w:r w:rsidRPr="00542C74">
        <w:rPr>
          <w:rFonts w:ascii="Cambria Math" w:hAnsi="Cambria Math" w:cs="Cambria Math"/>
          <w:sz w:val="20"/>
          <w:szCs w:val="20"/>
        </w:rPr>
        <w:t>₃</w:t>
      </w:r>
      <w:r w:rsidRPr="00542C74">
        <w:rPr>
          <w:rFonts w:ascii="Arial" w:hAnsi="Arial" w:cs="Arial"/>
          <w:sz w:val="20"/>
          <w:szCs w:val="20"/>
        </w:rPr>
        <w:t>) in the stratosphere through the photodissociation of molecular oxygen (O</w:t>
      </w:r>
      <w:r w:rsidRPr="00542C74">
        <w:rPr>
          <w:rFonts w:ascii="Cambria Math" w:hAnsi="Cambria Math" w:cs="Cambria Math"/>
          <w:sz w:val="20"/>
          <w:szCs w:val="20"/>
        </w:rPr>
        <w:t>₂</w:t>
      </w:r>
      <w:r w:rsidRPr="00542C74">
        <w:rPr>
          <w:rFonts w:ascii="Arial" w:hAnsi="Arial" w:cs="Arial"/>
          <w:sz w:val="20"/>
          <w:szCs w:val="20"/>
        </w:rPr>
        <w:t>) under ultraviolet (UV) radiation. This ozone layer acts as a protective shield, absorbing harmful UV rays, but is also impacted by increased GHG emissions.</w:t>
      </w:r>
    </w:p>
    <w:p w14:paraId="10702B10" w14:textId="507ED2A3" w:rsidR="00515478" w:rsidRPr="00542C74" w:rsidRDefault="007165E2" w:rsidP="00542C74">
      <w:pPr>
        <w:pStyle w:val="Heading3"/>
        <w:jc w:val="both"/>
        <w:rPr>
          <w:rFonts w:ascii="Arial" w:hAnsi="Arial" w:cs="Arial"/>
          <w:sz w:val="20"/>
          <w:szCs w:val="20"/>
        </w:rPr>
      </w:pPr>
      <w:r w:rsidRPr="00542C74">
        <w:rPr>
          <w:rStyle w:val="Strong"/>
          <w:rFonts w:ascii="Arial" w:hAnsi="Arial" w:cs="Arial"/>
          <w:b/>
          <w:bCs/>
          <w:sz w:val="20"/>
          <w:szCs w:val="20"/>
        </w:rPr>
        <w:t xml:space="preserve">2.2 </w:t>
      </w:r>
      <w:r w:rsidR="00515478" w:rsidRPr="00542C74">
        <w:rPr>
          <w:rStyle w:val="Strong"/>
          <w:rFonts w:ascii="Arial" w:hAnsi="Arial" w:cs="Arial"/>
          <w:b/>
          <w:bCs/>
          <w:sz w:val="20"/>
          <w:szCs w:val="20"/>
        </w:rPr>
        <w:t>Impact on Plant Physiology</w:t>
      </w:r>
    </w:p>
    <w:p w14:paraId="11A3AA3C" w14:textId="5F8CB3AF" w:rsidR="00515478" w:rsidRPr="00542C74" w:rsidRDefault="00515478" w:rsidP="00542C74">
      <w:pPr>
        <w:pStyle w:val="NormalWeb"/>
        <w:jc w:val="both"/>
        <w:rPr>
          <w:rFonts w:ascii="Arial" w:hAnsi="Arial" w:cs="Arial"/>
          <w:sz w:val="20"/>
          <w:szCs w:val="20"/>
        </w:rPr>
      </w:pPr>
      <w:r w:rsidRPr="00542C74">
        <w:rPr>
          <w:rFonts w:ascii="Arial" w:hAnsi="Arial" w:cs="Arial"/>
          <w:sz w:val="20"/>
          <w:szCs w:val="20"/>
        </w:rPr>
        <w:t xml:space="preserve">On the right side of </w:t>
      </w:r>
      <w:r w:rsidRPr="00542C74">
        <w:rPr>
          <w:rStyle w:val="Strong"/>
          <w:rFonts w:ascii="Arial" w:hAnsi="Arial" w:cs="Arial"/>
          <w:b w:val="0"/>
          <w:sz w:val="20"/>
          <w:szCs w:val="20"/>
        </w:rPr>
        <w:t>Fig. 1</w:t>
      </w:r>
      <w:r w:rsidRPr="00542C74">
        <w:rPr>
          <w:rFonts w:ascii="Arial" w:hAnsi="Arial" w:cs="Arial"/>
          <w:b/>
          <w:sz w:val="20"/>
          <w:szCs w:val="20"/>
        </w:rPr>
        <w:t>,</w:t>
      </w:r>
      <w:r w:rsidRPr="00542C74">
        <w:rPr>
          <w:rFonts w:ascii="Arial" w:hAnsi="Arial" w:cs="Arial"/>
          <w:sz w:val="20"/>
          <w:szCs w:val="20"/>
        </w:rPr>
        <w:t xml:space="preserve"> a schematic of a leaf illustrates the physiological stress induced by elevated CO</w:t>
      </w:r>
      <w:r w:rsidRPr="00542C74">
        <w:rPr>
          <w:rFonts w:ascii="Cambria Math" w:hAnsi="Cambria Math" w:cs="Cambria Math"/>
          <w:sz w:val="20"/>
          <w:szCs w:val="20"/>
        </w:rPr>
        <w:t>₂</w:t>
      </w:r>
      <w:r w:rsidRPr="00542C74">
        <w:rPr>
          <w:rFonts w:ascii="Arial" w:hAnsi="Arial" w:cs="Arial"/>
          <w:sz w:val="20"/>
          <w:szCs w:val="20"/>
        </w:rPr>
        <w:t xml:space="preserve"> and ozone levels. Increased CO</w:t>
      </w:r>
      <w:r w:rsidRPr="00542C74">
        <w:rPr>
          <w:rFonts w:ascii="Cambria Math" w:hAnsi="Cambria Math" w:cs="Cambria Math"/>
          <w:sz w:val="20"/>
          <w:szCs w:val="20"/>
        </w:rPr>
        <w:t>₂</w:t>
      </w:r>
      <w:r w:rsidRPr="00542C74">
        <w:rPr>
          <w:rFonts w:ascii="Arial" w:hAnsi="Arial" w:cs="Arial"/>
          <w:sz w:val="20"/>
          <w:szCs w:val="20"/>
        </w:rPr>
        <w:t xml:space="preserve"> can boost photosynthesis (PS) and stomatal opening (SO) in the short term, but elevated ozone (O</w:t>
      </w:r>
      <w:r w:rsidRPr="00542C74">
        <w:rPr>
          <w:rFonts w:ascii="Cambria Math" w:hAnsi="Cambria Math" w:cs="Cambria Math"/>
          <w:sz w:val="20"/>
          <w:szCs w:val="20"/>
        </w:rPr>
        <w:t>₃</w:t>
      </w:r>
      <w:r w:rsidRPr="00542C74">
        <w:rPr>
          <w:rFonts w:ascii="Arial" w:hAnsi="Arial" w:cs="Arial"/>
          <w:sz w:val="20"/>
          <w:szCs w:val="20"/>
        </w:rPr>
        <w:t>) causes oxidative stress by generating reactive oxygen species (ROS). The presence of ROS disrupts antioxidant systems (AS) and induces nitric oxide (NO) signaling, which can compromise plant growth and resilience</w:t>
      </w:r>
      <w:r w:rsidR="007165E2" w:rsidRPr="00542C74">
        <w:rPr>
          <w:rFonts w:ascii="Arial" w:hAnsi="Arial" w:cs="Arial"/>
          <w:sz w:val="20"/>
          <w:szCs w:val="20"/>
        </w:rPr>
        <w:t xml:space="preserve"> (</w:t>
      </w:r>
      <w:r w:rsidR="007165E2" w:rsidRPr="00542C74">
        <w:rPr>
          <w:rFonts w:ascii="Arial" w:hAnsi="Arial" w:cs="Arial"/>
          <w:color w:val="222222"/>
          <w:sz w:val="20"/>
          <w:szCs w:val="20"/>
          <w:shd w:val="clear" w:color="auto" w:fill="FFFFFF"/>
        </w:rPr>
        <w:t>Wani et al., 2021</w:t>
      </w:r>
      <w:r w:rsidR="007165E2" w:rsidRPr="00542C74">
        <w:rPr>
          <w:rFonts w:ascii="Arial" w:hAnsi="Arial" w:cs="Arial"/>
          <w:sz w:val="20"/>
          <w:szCs w:val="20"/>
        </w:rPr>
        <w:t>)</w:t>
      </w:r>
      <w:r w:rsidRPr="00542C74">
        <w:rPr>
          <w:rFonts w:ascii="Arial" w:hAnsi="Arial" w:cs="Arial"/>
          <w:sz w:val="20"/>
          <w:szCs w:val="20"/>
        </w:rPr>
        <w:t>.</w:t>
      </w:r>
    </w:p>
    <w:p w14:paraId="43B53361" w14:textId="77777777" w:rsidR="00B01A67" w:rsidRPr="00542C74" w:rsidRDefault="00B01A67" w:rsidP="00542C74">
      <w:pPr>
        <w:spacing w:before="100" w:beforeAutospacing="1" w:after="100" w:afterAutospacing="1" w:line="240" w:lineRule="auto"/>
        <w:ind w:left="0"/>
        <w:outlineLvl w:val="2"/>
        <w:rPr>
          <w:rFonts w:ascii="Arial" w:eastAsia="Times New Roman" w:hAnsi="Arial" w:cs="Arial"/>
          <w:b/>
          <w:bCs/>
          <w:sz w:val="20"/>
          <w:szCs w:val="20"/>
          <w:lang w:eastAsia="en-IN"/>
        </w:rPr>
      </w:pPr>
      <w:r w:rsidRPr="00542C74">
        <w:rPr>
          <w:rFonts w:ascii="Arial" w:eastAsia="Times New Roman" w:hAnsi="Arial" w:cs="Arial"/>
          <w:b/>
          <w:bCs/>
          <w:sz w:val="20"/>
          <w:szCs w:val="20"/>
          <w:lang w:eastAsia="en-IN"/>
        </w:rPr>
        <w:t>Global Greenhouse Gas Emissions and Fertilizer Use Trends</w:t>
      </w:r>
    </w:p>
    <w:p w14:paraId="589055E8" w14:textId="09E93210" w:rsidR="00B01A67" w:rsidRPr="00542C74" w:rsidRDefault="00B01A67"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The accelerating trajectory of greenhouse gas (GHG) emissions is a critical concern in the context of global climate change, and the agriculture sector plays a significant role in this trend. The first graph (Graph 1) illustrates </w:t>
      </w:r>
      <w:r w:rsidRPr="00542C74">
        <w:rPr>
          <w:rFonts w:ascii="Arial" w:eastAsia="Times New Roman" w:hAnsi="Arial" w:cs="Arial"/>
          <w:bCs/>
          <w:sz w:val="20"/>
          <w:szCs w:val="20"/>
          <w:lang w:eastAsia="en-IN"/>
        </w:rPr>
        <w:t>global trends in GHG emissions from 2000 to 2023</w:t>
      </w:r>
      <w:r w:rsidRPr="00542C74">
        <w:rPr>
          <w:rFonts w:ascii="Arial" w:eastAsia="Times New Roman" w:hAnsi="Arial" w:cs="Arial"/>
          <w:sz w:val="20"/>
          <w:szCs w:val="20"/>
          <w:lang w:eastAsia="en-IN"/>
        </w:rPr>
        <w:t xml:space="preserve">, highlighting China as the top emitter (13.96 billion tonnes), followed by the United States, India, Russia, and Brazil. China’s steep rise is indicative of rapid industrial and agricultural expansion. While U.S. emissions show a gradual decline owing to energy transitions India’s emissions are rising, largely driven by increased agricultural activity and fertilizer usage. The second set of graphs (Graph 2) explores the </w:t>
      </w:r>
      <w:r w:rsidRPr="00542C74">
        <w:rPr>
          <w:rFonts w:ascii="Arial" w:eastAsia="Times New Roman" w:hAnsi="Arial" w:cs="Arial"/>
          <w:bCs/>
          <w:sz w:val="20"/>
          <w:szCs w:val="20"/>
          <w:lang w:eastAsia="en-IN"/>
        </w:rPr>
        <w:t>relationship between fertilizer application and emissions</w:t>
      </w:r>
      <w:r w:rsidRPr="00542C74">
        <w:rPr>
          <w:rFonts w:ascii="Arial" w:eastAsia="Times New Roman" w:hAnsi="Arial" w:cs="Arial"/>
          <w:sz w:val="20"/>
          <w:szCs w:val="20"/>
          <w:lang w:eastAsia="en-IN"/>
        </w:rPr>
        <w:t>. Fertilizer use per hectare in India has drastically increased since the 1970s, now far exceeding the global average. This rise aligns with spikes in GHG emissions, especially nitrous oxide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which has a global warming potential 273 times that of CO</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 xml:space="preserve">. The excessive use of synthetic nitrogen fertilizers in regions with low nitrogen-use efficiency contributes significantly to these emissions. The third graph (Graph 3) presents </w:t>
      </w:r>
      <w:r w:rsidRPr="00542C74">
        <w:rPr>
          <w:rFonts w:ascii="Arial" w:eastAsia="Times New Roman" w:hAnsi="Arial" w:cs="Arial"/>
          <w:bCs/>
          <w:sz w:val="20"/>
          <w:szCs w:val="20"/>
          <w:lang w:eastAsia="en-IN"/>
        </w:rPr>
        <w:t>historical global GHG emissions from 1850 to 2023</w:t>
      </w:r>
      <w:r w:rsidRPr="00542C74">
        <w:rPr>
          <w:rFonts w:ascii="Arial" w:eastAsia="Times New Roman" w:hAnsi="Arial" w:cs="Arial"/>
          <w:sz w:val="20"/>
          <w:szCs w:val="20"/>
          <w:lang w:eastAsia="en-IN"/>
        </w:rPr>
        <w:t>. A sharp increase post-1950 coincides with the global adoption of industrialized farming practices and synthetic fertilizers during the Green Revolution. This exponential trend reflects the cumulative impact of fossil fuels, deforestation, and intensified agricultural production.</w:t>
      </w:r>
    </w:p>
    <w:p w14:paraId="704BAAF9" w14:textId="786B799B" w:rsidR="00CE71CD" w:rsidRPr="00542C74" w:rsidRDefault="00B01A67" w:rsidP="00542C74">
      <w:pPr>
        <w:pStyle w:val="NoSpacing"/>
        <w:jc w:val="center"/>
        <w:rPr>
          <w:rFonts w:ascii="Arial" w:hAnsi="Arial" w:cs="Arial"/>
          <w:sz w:val="20"/>
          <w:szCs w:val="20"/>
        </w:rPr>
      </w:pPr>
      <w:r w:rsidRPr="00542C74">
        <w:rPr>
          <w:rFonts w:ascii="Arial" w:hAnsi="Arial" w:cs="Arial"/>
          <w:noProof/>
          <w:sz w:val="20"/>
          <w:szCs w:val="20"/>
          <w:lang w:val="en-US"/>
        </w:rPr>
        <w:lastRenderedPageBreak/>
        <w:drawing>
          <wp:inline distT="0" distB="0" distL="0" distR="0" wp14:anchorId="56C7F4E1" wp14:editId="1D2575E5">
            <wp:extent cx="4089400" cy="2886955"/>
            <wp:effectExtent l="19050" t="19050" r="25400" b="27940"/>
            <wp:docPr id="16" name="Picture 15">
              <a:extLst xmlns:a="http://schemas.openxmlformats.org/drawingml/2006/main">
                <a:ext uri="{FF2B5EF4-FFF2-40B4-BE49-F238E27FC236}">
                  <a16:creationId xmlns:a16="http://schemas.microsoft.com/office/drawing/2014/main" id="{694B16C2-D04C-7B17-C3B7-CE283536E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694B16C2-D04C-7B17-C3B7-CE283536E28E}"/>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2274" cy="2888984"/>
                    </a:xfrm>
                    <a:prstGeom prst="rect">
                      <a:avLst/>
                    </a:prstGeom>
                    <a:ln w="3175">
                      <a:solidFill>
                        <a:schemeClr val="tx1"/>
                      </a:solidFill>
                    </a:ln>
                  </pic:spPr>
                </pic:pic>
              </a:graphicData>
            </a:graphic>
          </wp:inline>
        </w:drawing>
      </w:r>
    </w:p>
    <w:p w14:paraId="4E251CEE" w14:textId="2A59D0FA" w:rsidR="00B01A67" w:rsidRPr="00542C74" w:rsidRDefault="00B01A67" w:rsidP="00542C74">
      <w:pPr>
        <w:pStyle w:val="NoSpacing"/>
        <w:jc w:val="center"/>
        <w:rPr>
          <w:rFonts w:ascii="Arial" w:hAnsi="Arial" w:cs="Arial"/>
          <w:sz w:val="20"/>
          <w:szCs w:val="20"/>
        </w:rPr>
      </w:pPr>
      <w:commentRangeStart w:id="3"/>
      <w:r w:rsidRPr="00542C74">
        <w:rPr>
          <w:rFonts w:ascii="Arial" w:hAnsi="Arial" w:cs="Arial"/>
          <w:b/>
          <w:sz w:val="20"/>
          <w:szCs w:val="20"/>
        </w:rPr>
        <w:t>Graph 1:</w:t>
      </w:r>
      <w:r w:rsidRPr="00542C74">
        <w:rPr>
          <w:rFonts w:ascii="Arial" w:hAnsi="Arial" w:cs="Arial"/>
          <w:sz w:val="20"/>
          <w:szCs w:val="20"/>
        </w:rPr>
        <w:t xml:space="preserve"> </w:t>
      </w:r>
      <w:r w:rsidR="005D72E7" w:rsidRPr="00542C74">
        <w:rPr>
          <w:rFonts w:ascii="Arial" w:hAnsi="Arial" w:cs="Arial"/>
          <w:i/>
          <w:sz w:val="20"/>
          <w:szCs w:val="20"/>
        </w:rPr>
        <w:t>Top Global Emitters: Greenhouse Gas Emissions by Country (2000–2023)</w:t>
      </w:r>
    </w:p>
    <w:p w14:paraId="4C8AE025" w14:textId="77777777" w:rsidR="00B01A67" w:rsidRPr="00542C74" w:rsidRDefault="00B01A67" w:rsidP="00542C74">
      <w:pPr>
        <w:pStyle w:val="NoSpacing"/>
        <w:jc w:val="center"/>
        <w:rPr>
          <w:rFonts w:ascii="Arial" w:hAnsi="Arial" w:cs="Arial"/>
          <w:sz w:val="20"/>
          <w:szCs w:val="20"/>
        </w:rPr>
      </w:pPr>
    </w:p>
    <w:p w14:paraId="5FC98515" w14:textId="06C5B88C" w:rsidR="00B01A67" w:rsidRPr="00542C74" w:rsidRDefault="00B01A67" w:rsidP="00542C74">
      <w:pPr>
        <w:pStyle w:val="NoSpacing"/>
        <w:jc w:val="center"/>
        <w:rPr>
          <w:rFonts w:ascii="Arial" w:hAnsi="Arial" w:cs="Arial"/>
          <w:sz w:val="20"/>
          <w:szCs w:val="20"/>
        </w:rPr>
      </w:pPr>
      <w:r w:rsidRPr="00542C74">
        <w:rPr>
          <w:rFonts w:ascii="Arial" w:hAnsi="Arial" w:cs="Arial"/>
          <w:noProof/>
          <w:sz w:val="20"/>
          <w:szCs w:val="20"/>
          <w:lang w:val="en-US"/>
        </w:rPr>
        <w:drawing>
          <wp:inline distT="0" distB="0" distL="0" distR="0" wp14:anchorId="3FD06478" wp14:editId="6C99E61E">
            <wp:extent cx="4076700" cy="4033341"/>
            <wp:effectExtent l="19050" t="19050" r="19050" b="24765"/>
            <wp:docPr id="4" name="Picture 1">
              <a:extLst xmlns:a="http://schemas.openxmlformats.org/drawingml/2006/main">
                <a:ext uri="{FF2B5EF4-FFF2-40B4-BE49-F238E27FC236}">
                  <a16:creationId xmlns:a16="http://schemas.microsoft.com/office/drawing/2014/main" id="{3015773A-9BE9-A4AB-A0D0-A084F8582D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015773A-9BE9-A4AB-A0D0-A084F8582D7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8769" cy="4035388"/>
                    </a:xfrm>
                    <a:prstGeom prst="rect">
                      <a:avLst/>
                    </a:prstGeom>
                    <a:ln w="3175">
                      <a:solidFill>
                        <a:schemeClr val="tx1"/>
                      </a:solidFill>
                    </a:ln>
                  </pic:spPr>
                </pic:pic>
              </a:graphicData>
            </a:graphic>
          </wp:inline>
        </w:drawing>
      </w:r>
    </w:p>
    <w:p w14:paraId="6A4582D0" w14:textId="50E195C7" w:rsidR="00B01A67" w:rsidRPr="00542C74" w:rsidRDefault="00B01A67" w:rsidP="00542C74">
      <w:pPr>
        <w:pStyle w:val="NoSpacing"/>
        <w:jc w:val="center"/>
        <w:rPr>
          <w:rFonts w:ascii="Arial" w:hAnsi="Arial" w:cs="Arial"/>
          <w:sz w:val="20"/>
          <w:szCs w:val="20"/>
        </w:rPr>
      </w:pPr>
      <w:r w:rsidRPr="00542C74">
        <w:rPr>
          <w:rFonts w:ascii="Arial" w:hAnsi="Arial" w:cs="Arial"/>
          <w:b/>
          <w:sz w:val="20"/>
          <w:szCs w:val="20"/>
        </w:rPr>
        <w:t xml:space="preserve">Graph 2: </w:t>
      </w:r>
      <w:r w:rsidR="005D72E7" w:rsidRPr="00542C74">
        <w:rPr>
          <w:rFonts w:ascii="Arial" w:hAnsi="Arial" w:cs="Arial"/>
          <w:i/>
          <w:sz w:val="20"/>
          <w:szCs w:val="20"/>
        </w:rPr>
        <w:t>Rising Fertilizer Use per Hectare: India vs Global Trends (1961–2021)</w:t>
      </w:r>
    </w:p>
    <w:p w14:paraId="47738E93" w14:textId="4900C9C3" w:rsidR="00B01A67" w:rsidRPr="00542C74" w:rsidRDefault="00B01A67" w:rsidP="00542C74">
      <w:pPr>
        <w:pStyle w:val="NoSpacing"/>
        <w:jc w:val="center"/>
        <w:rPr>
          <w:rFonts w:ascii="Arial" w:hAnsi="Arial" w:cs="Arial"/>
          <w:sz w:val="20"/>
          <w:szCs w:val="20"/>
        </w:rPr>
      </w:pPr>
    </w:p>
    <w:p w14:paraId="3E49167B" w14:textId="08274601" w:rsidR="005D72E7" w:rsidRPr="00542C74" w:rsidRDefault="005D72E7" w:rsidP="00542C74">
      <w:pPr>
        <w:pStyle w:val="NoSpacing"/>
        <w:jc w:val="center"/>
        <w:rPr>
          <w:rFonts w:ascii="Arial" w:hAnsi="Arial" w:cs="Arial"/>
          <w:sz w:val="20"/>
          <w:szCs w:val="20"/>
        </w:rPr>
      </w:pPr>
      <w:r w:rsidRPr="00542C74">
        <w:rPr>
          <w:rFonts w:ascii="Arial" w:hAnsi="Arial" w:cs="Arial"/>
          <w:noProof/>
          <w:sz w:val="20"/>
          <w:szCs w:val="20"/>
          <w:lang w:val="en-US"/>
        </w:rPr>
        <w:lastRenderedPageBreak/>
        <w:drawing>
          <wp:inline distT="0" distB="0" distL="0" distR="0" wp14:anchorId="3361D6EC" wp14:editId="7A30EF5B">
            <wp:extent cx="4239845" cy="4400025"/>
            <wp:effectExtent l="19050" t="19050" r="27940" b="19685"/>
            <wp:docPr id="5" name="Picture 4">
              <a:extLst xmlns:a="http://schemas.openxmlformats.org/drawingml/2006/main">
                <a:ext uri="{FF2B5EF4-FFF2-40B4-BE49-F238E27FC236}">
                  <a16:creationId xmlns:a16="http://schemas.microsoft.com/office/drawing/2014/main" id="{8BF7E858-DCFC-2274-D38C-D0095FB13D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BF7E858-DCFC-2274-D38C-D0095FB13D6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3811" cy="4404140"/>
                    </a:xfrm>
                    <a:prstGeom prst="rect">
                      <a:avLst/>
                    </a:prstGeom>
                    <a:ln w="3175">
                      <a:solidFill>
                        <a:schemeClr val="tx1"/>
                      </a:solidFill>
                    </a:ln>
                  </pic:spPr>
                </pic:pic>
              </a:graphicData>
            </a:graphic>
          </wp:inline>
        </w:drawing>
      </w:r>
    </w:p>
    <w:p w14:paraId="65B55AF2" w14:textId="02C59043" w:rsidR="005D72E7" w:rsidRPr="00542C74" w:rsidRDefault="005D72E7" w:rsidP="00542C74">
      <w:pPr>
        <w:pStyle w:val="NoSpacing"/>
        <w:jc w:val="center"/>
        <w:rPr>
          <w:rFonts w:ascii="Arial" w:hAnsi="Arial" w:cs="Arial"/>
          <w:i/>
          <w:sz w:val="20"/>
          <w:szCs w:val="20"/>
        </w:rPr>
      </w:pPr>
      <w:r w:rsidRPr="00542C74">
        <w:rPr>
          <w:rFonts w:ascii="Arial" w:hAnsi="Arial" w:cs="Arial"/>
          <w:b/>
          <w:sz w:val="20"/>
          <w:szCs w:val="20"/>
        </w:rPr>
        <w:t xml:space="preserve">Graph 3: </w:t>
      </w:r>
      <w:r w:rsidRPr="00542C74">
        <w:rPr>
          <w:rFonts w:ascii="Arial" w:hAnsi="Arial" w:cs="Arial"/>
          <w:i/>
          <w:sz w:val="20"/>
          <w:szCs w:val="20"/>
        </w:rPr>
        <w:t>Historical Rise in Global Greenhouse Gas Emissions (1850–2023)</w:t>
      </w:r>
      <w:commentRangeEnd w:id="3"/>
      <w:r w:rsidR="009E0D82">
        <w:rPr>
          <w:rStyle w:val="CommentReference"/>
        </w:rPr>
        <w:commentReference w:id="3"/>
      </w:r>
    </w:p>
    <w:p w14:paraId="703C1F32" w14:textId="4D85BE99" w:rsidR="007B1529" w:rsidRPr="00542C74" w:rsidRDefault="007B1529" w:rsidP="00542C74">
      <w:pPr>
        <w:pStyle w:val="NoSpacing"/>
        <w:jc w:val="center"/>
        <w:rPr>
          <w:rFonts w:ascii="Arial" w:hAnsi="Arial" w:cs="Arial"/>
          <w:sz w:val="20"/>
          <w:szCs w:val="20"/>
        </w:rPr>
      </w:pPr>
    </w:p>
    <w:p w14:paraId="4121EFE4" w14:textId="77777777" w:rsidR="007B1529" w:rsidRPr="00542C74" w:rsidRDefault="007B1529" w:rsidP="00542C74">
      <w:pPr>
        <w:pStyle w:val="Heading3"/>
        <w:jc w:val="both"/>
        <w:rPr>
          <w:rFonts w:ascii="Arial" w:hAnsi="Arial" w:cs="Arial"/>
          <w:sz w:val="20"/>
          <w:szCs w:val="20"/>
        </w:rPr>
      </w:pPr>
      <w:r w:rsidRPr="00542C74">
        <w:rPr>
          <w:rStyle w:val="Strong"/>
          <w:rFonts w:ascii="Arial" w:hAnsi="Arial" w:cs="Arial"/>
          <w:b/>
          <w:bCs/>
          <w:sz w:val="20"/>
          <w:szCs w:val="20"/>
        </w:rPr>
        <w:t>Annual Temperature and Rainfall Trends in India</w:t>
      </w:r>
    </w:p>
    <w:p w14:paraId="36EA728D" w14:textId="2F22F3D3" w:rsidR="007B1529" w:rsidRPr="00542C74" w:rsidRDefault="007B1529" w:rsidP="00542C74">
      <w:pPr>
        <w:pStyle w:val="NormalWeb"/>
        <w:jc w:val="both"/>
        <w:rPr>
          <w:rFonts w:ascii="Arial" w:hAnsi="Arial" w:cs="Arial"/>
          <w:sz w:val="20"/>
          <w:szCs w:val="20"/>
        </w:rPr>
      </w:pPr>
      <w:r w:rsidRPr="00542C74">
        <w:rPr>
          <w:rFonts w:ascii="Arial" w:hAnsi="Arial" w:cs="Arial"/>
          <w:sz w:val="20"/>
          <w:szCs w:val="20"/>
        </w:rPr>
        <w:t xml:space="preserve">This Image 1 illustrates historical and projected trends in temperature and rainfall patterns across India. The </w:t>
      </w:r>
      <w:r w:rsidRPr="00542C74">
        <w:rPr>
          <w:rStyle w:val="Strong"/>
          <w:rFonts w:ascii="Arial" w:hAnsi="Arial" w:cs="Arial"/>
          <w:b w:val="0"/>
          <w:sz w:val="20"/>
          <w:szCs w:val="20"/>
        </w:rPr>
        <w:t>left panel</w:t>
      </w:r>
      <w:r w:rsidRPr="00542C74">
        <w:rPr>
          <w:rFonts w:ascii="Arial" w:hAnsi="Arial" w:cs="Arial"/>
          <w:sz w:val="20"/>
          <w:szCs w:val="20"/>
        </w:rPr>
        <w:t xml:space="preserve"> depicts mean temperature changes from </w:t>
      </w:r>
      <w:r w:rsidRPr="00542C74">
        <w:rPr>
          <w:rStyle w:val="Strong"/>
          <w:rFonts w:ascii="Arial" w:hAnsi="Arial" w:cs="Arial"/>
          <w:b w:val="0"/>
          <w:sz w:val="20"/>
          <w:szCs w:val="20"/>
        </w:rPr>
        <w:t>1951 to 2010</w:t>
      </w:r>
      <w:r w:rsidRPr="00542C74">
        <w:rPr>
          <w:rFonts w:ascii="Arial" w:hAnsi="Arial" w:cs="Arial"/>
          <w:b/>
          <w:sz w:val="20"/>
          <w:szCs w:val="20"/>
        </w:rPr>
        <w:t>,</w:t>
      </w:r>
      <w:r w:rsidRPr="00542C74">
        <w:rPr>
          <w:rFonts w:ascii="Arial" w:hAnsi="Arial" w:cs="Arial"/>
          <w:sz w:val="20"/>
          <w:szCs w:val="20"/>
        </w:rPr>
        <w:t xml:space="preserve"> showing a significant warming trend across central, western, and southern India, with mean annual temperatures increasing by </w:t>
      </w:r>
      <w:r w:rsidRPr="00542C74">
        <w:rPr>
          <w:rStyle w:val="Strong"/>
          <w:rFonts w:ascii="Arial" w:hAnsi="Arial" w:cs="Arial"/>
          <w:b w:val="0"/>
          <w:sz w:val="20"/>
          <w:szCs w:val="20"/>
        </w:rPr>
        <w:t>0.01°C to 0.03°C per year</w:t>
      </w:r>
      <w:r w:rsidRPr="00542C74">
        <w:rPr>
          <w:rFonts w:ascii="Arial" w:hAnsi="Arial" w:cs="Arial"/>
          <w:b/>
          <w:sz w:val="20"/>
          <w:szCs w:val="20"/>
        </w:rPr>
        <w:t>.</w:t>
      </w:r>
      <w:r w:rsidRPr="00542C74">
        <w:rPr>
          <w:rFonts w:ascii="Arial" w:hAnsi="Arial" w:cs="Arial"/>
          <w:sz w:val="20"/>
          <w:szCs w:val="20"/>
        </w:rPr>
        <w:t xml:space="preserve"> Areas shaded in red indicate statistically significant warming trends, while blue regions show cooling or no significant changes. The </w:t>
      </w:r>
      <w:r w:rsidRPr="00542C74">
        <w:rPr>
          <w:rStyle w:val="Strong"/>
          <w:rFonts w:ascii="Arial" w:hAnsi="Arial" w:cs="Arial"/>
          <w:b w:val="0"/>
          <w:sz w:val="20"/>
          <w:szCs w:val="20"/>
        </w:rPr>
        <w:t>right panel</w:t>
      </w:r>
      <w:r w:rsidRPr="00542C74">
        <w:rPr>
          <w:rFonts w:ascii="Arial" w:hAnsi="Arial" w:cs="Arial"/>
          <w:sz w:val="20"/>
          <w:szCs w:val="20"/>
        </w:rPr>
        <w:t xml:space="preserve"> displays </w:t>
      </w:r>
      <w:r w:rsidRPr="00542C74">
        <w:rPr>
          <w:rStyle w:val="Strong"/>
          <w:rFonts w:ascii="Arial" w:hAnsi="Arial" w:cs="Arial"/>
          <w:b w:val="0"/>
          <w:sz w:val="20"/>
          <w:szCs w:val="20"/>
        </w:rPr>
        <w:t>monsoon rainfall trends</w:t>
      </w:r>
      <w:r w:rsidRPr="00542C74">
        <w:rPr>
          <w:rFonts w:ascii="Arial" w:hAnsi="Arial" w:cs="Arial"/>
          <w:sz w:val="20"/>
          <w:szCs w:val="20"/>
        </w:rPr>
        <w:t xml:space="preserve"> over the same period. A general </w:t>
      </w:r>
      <w:r w:rsidRPr="00542C74">
        <w:rPr>
          <w:rStyle w:val="Strong"/>
          <w:rFonts w:ascii="Arial" w:hAnsi="Arial" w:cs="Arial"/>
          <w:b w:val="0"/>
          <w:sz w:val="20"/>
          <w:szCs w:val="20"/>
        </w:rPr>
        <w:t>decline in monsoon rainfall</w:t>
      </w:r>
      <w:r w:rsidRPr="00542C74">
        <w:rPr>
          <w:rFonts w:ascii="Arial" w:hAnsi="Arial" w:cs="Arial"/>
          <w:sz w:val="20"/>
          <w:szCs w:val="20"/>
        </w:rPr>
        <w:t xml:space="preserve"> is observed, particularly in central and eastern India, with some regions experiencing a statistically significant reduction. In contrast, isolated pockets in the north-eastern and southern states exhibit increasing rainfall trends. The </w:t>
      </w:r>
      <w:r w:rsidRPr="00542C74">
        <w:rPr>
          <w:rStyle w:val="Strong"/>
          <w:rFonts w:ascii="Arial" w:hAnsi="Arial" w:cs="Arial"/>
          <w:b w:val="0"/>
          <w:sz w:val="20"/>
          <w:szCs w:val="20"/>
        </w:rPr>
        <w:t>projections for 2070</w:t>
      </w:r>
      <w:r w:rsidRPr="00542C74">
        <w:rPr>
          <w:rFonts w:ascii="Arial" w:hAnsi="Arial" w:cs="Arial"/>
          <w:sz w:val="20"/>
          <w:szCs w:val="20"/>
        </w:rPr>
        <w:t xml:space="preserve"> suggest further temperature increases of </w:t>
      </w:r>
      <w:r w:rsidRPr="00542C74">
        <w:rPr>
          <w:rStyle w:val="Strong"/>
          <w:rFonts w:ascii="Arial" w:hAnsi="Arial" w:cs="Arial"/>
          <w:b w:val="0"/>
          <w:sz w:val="20"/>
          <w:szCs w:val="20"/>
        </w:rPr>
        <w:t>0.4–2.0°C during Kharif</w:t>
      </w:r>
      <w:r w:rsidRPr="00542C74">
        <w:rPr>
          <w:rFonts w:ascii="Arial" w:hAnsi="Arial" w:cs="Arial"/>
          <w:sz w:val="20"/>
          <w:szCs w:val="20"/>
        </w:rPr>
        <w:t xml:space="preserve"> and </w:t>
      </w:r>
      <w:r w:rsidRPr="00542C74">
        <w:rPr>
          <w:rStyle w:val="Strong"/>
          <w:rFonts w:ascii="Arial" w:hAnsi="Arial" w:cs="Arial"/>
          <w:b w:val="0"/>
          <w:sz w:val="20"/>
          <w:szCs w:val="20"/>
        </w:rPr>
        <w:t>1.0–4.5°C during Rabi seasons</w:t>
      </w:r>
      <w:r w:rsidRPr="00542C74">
        <w:rPr>
          <w:rFonts w:ascii="Arial" w:hAnsi="Arial" w:cs="Arial"/>
          <w:b/>
          <w:sz w:val="20"/>
          <w:szCs w:val="20"/>
        </w:rPr>
        <w:t>,</w:t>
      </w:r>
      <w:r w:rsidRPr="00542C74">
        <w:rPr>
          <w:rFonts w:ascii="Arial" w:hAnsi="Arial" w:cs="Arial"/>
          <w:sz w:val="20"/>
          <w:szCs w:val="20"/>
        </w:rPr>
        <w:t xml:space="preserve"> indicating escalating climate impacts. These changes will likely exacerbate heat stress, disrupt cropping cycles, and challenge water availability, emphasizing the urgent need for climate-resilient agricultural strategies.</w:t>
      </w:r>
    </w:p>
    <w:p w14:paraId="1D6C61C8" w14:textId="77777777" w:rsidR="007B1529" w:rsidRPr="00542C74" w:rsidRDefault="007B1529" w:rsidP="00542C74">
      <w:pPr>
        <w:pStyle w:val="NormalWeb"/>
        <w:jc w:val="both"/>
        <w:rPr>
          <w:rFonts w:ascii="Arial" w:hAnsi="Arial" w:cs="Arial"/>
          <w:sz w:val="20"/>
          <w:szCs w:val="20"/>
        </w:rPr>
      </w:pPr>
    </w:p>
    <w:p w14:paraId="39FE401D" w14:textId="12017E75" w:rsidR="005D72E7" w:rsidRPr="00542C74" w:rsidRDefault="007B1529" w:rsidP="00542C74">
      <w:pPr>
        <w:pStyle w:val="NoSpacing"/>
        <w:jc w:val="center"/>
        <w:rPr>
          <w:rFonts w:ascii="Arial" w:hAnsi="Arial" w:cs="Arial"/>
          <w:sz w:val="20"/>
          <w:szCs w:val="20"/>
        </w:rPr>
      </w:pPr>
      <w:r w:rsidRPr="00542C74">
        <w:rPr>
          <w:rFonts w:ascii="Arial" w:hAnsi="Arial" w:cs="Arial"/>
          <w:noProof/>
          <w:sz w:val="20"/>
          <w:szCs w:val="20"/>
          <w:lang w:val="en-US"/>
        </w:rPr>
        <w:lastRenderedPageBreak/>
        <w:drawing>
          <wp:inline distT="0" distB="0" distL="0" distR="0" wp14:anchorId="630768D4" wp14:editId="55A4C144">
            <wp:extent cx="2764790" cy="2019300"/>
            <wp:effectExtent l="0" t="0" r="0" b="0"/>
            <wp:docPr id="11266" name="Picture 2">
              <a:extLst xmlns:a="http://schemas.openxmlformats.org/drawingml/2006/main">
                <a:ext uri="{FF2B5EF4-FFF2-40B4-BE49-F238E27FC236}">
                  <a16:creationId xmlns:a16="http://schemas.microsoft.com/office/drawing/2014/main" id="{A8F3BAA9-5024-42CB-9ACB-C9FA22AB9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a:extLst>
                        <a:ext uri="{FF2B5EF4-FFF2-40B4-BE49-F238E27FC236}">
                          <a16:creationId xmlns:a16="http://schemas.microsoft.com/office/drawing/2014/main" id="{A8F3BAA9-5024-42CB-9ACB-C9FA22AB9633}"/>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4790" cy="2019300"/>
                    </a:xfrm>
                    <a:prstGeom prst="rect">
                      <a:avLst/>
                    </a:prstGeom>
                    <a:noFill/>
                    <a:ln>
                      <a:noFill/>
                    </a:ln>
                  </pic:spPr>
                </pic:pic>
              </a:graphicData>
            </a:graphic>
          </wp:inline>
        </w:drawing>
      </w:r>
      <w:r w:rsidRPr="00542C74">
        <w:rPr>
          <w:rFonts w:ascii="Arial" w:hAnsi="Arial" w:cs="Arial"/>
          <w:noProof/>
          <w:sz w:val="20"/>
          <w:szCs w:val="20"/>
          <w:lang w:val="en-US"/>
        </w:rPr>
        <w:drawing>
          <wp:inline distT="0" distB="0" distL="0" distR="0" wp14:anchorId="62265F03" wp14:editId="1C8B0E39">
            <wp:extent cx="2468880" cy="2016955"/>
            <wp:effectExtent l="0" t="0" r="7620" b="2540"/>
            <wp:docPr id="11268" name="Picture 3">
              <a:extLst xmlns:a="http://schemas.openxmlformats.org/drawingml/2006/main">
                <a:ext uri="{FF2B5EF4-FFF2-40B4-BE49-F238E27FC236}">
                  <a16:creationId xmlns:a16="http://schemas.microsoft.com/office/drawing/2014/main" id="{D4F37808-A340-4401-B3E6-26186DCAB0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3">
                      <a:extLst>
                        <a:ext uri="{FF2B5EF4-FFF2-40B4-BE49-F238E27FC236}">
                          <a16:creationId xmlns:a16="http://schemas.microsoft.com/office/drawing/2014/main" id="{D4F37808-A340-4401-B3E6-26186DCAB01D}"/>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8817" cy="2025073"/>
                    </a:xfrm>
                    <a:prstGeom prst="rect">
                      <a:avLst/>
                    </a:prstGeom>
                    <a:noFill/>
                    <a:ln>
                      <a:noFill/>
                    </a:ln>
                  </pic:spPr>
                </pic:pic>
              </a:graphicData>
            </a:graphic>
          </wp:inline>
        </w:drawing>
      </w:r>
    </w:p>
    <w:p w14:paraId="2BB7DC5D" w14:textId="77777777" w:rsidR="007B1529" w:rsidRPr="00542C74" w:rsidRDefault="007B1529" w:rsidP="00542C74">
      <w:pPr>
        <w:pStyle w:val="NoSpacing"/>
        <w:jc w:val="center"/>
        <w:rPr>
          <w:rFonts w:ascii="Arial" w:hAnsi="Arial" w:cs="Arial"/>
          <w:sz w:val="20"/>
          <w:szCs w:val="20"/>
        </w:rPr>
      </w:pPr>
    </w:p>
    <w:p w14:paraId="5E5D1456" w14:textId="1D2DDD3C" w:rsidR="007B1529" w:rsidRPr="00542C74" w:rsidRDefault="007B1529" w:rsidP="00542C74">
      <w:pPr>
        <w:pStyle w:val="NoSpacing"/>
        <w:jc w:val="center"/>
        <w:rPr>
          <w:rFonts w:ascii="Arial" w:hAnsi="Arial" w:cs="Arial"/>
          <w:i/>
          <w:sz w:val="20"/>
          <w:szCs w:val="20"/>
        </w:rPr>
      </w:pPr>
      <w:commentRangeStart w:id="4"/>
      <w:r w:rsidRPr="00542C74">
        <w:rPr>
          <w:rFonts w:ascii="Arial" w:hAnsi="Arial" w:cs="Arial"/>
          <w:b/>
          <w:sz w:val="20"/>
          <w:szCs w:val="20"/>
        </w:rPr>
        <w:t xml:space="preserve"> </w:t>
      </w:r>
      <w:r w:rsidR="009E5BB2">
        <w:rPr>
          <w:rFonts w:ascii="Arial" w:hAnsi="Arial" w:cs="Arial"/>
          <w:b/>
          <w:sz w:val="20"/>
          <w:szCs w:val="20"/>
        </w:rPr>
        <w:t xml:space="preserve">Picture </w:t>
      </w:r>
      <w:r w:rsidRPr="00542C74">
        <w:rPr>
          <w:rFonts w:ascii="Arial" w:hAnsi="Arial" w:cs="Arial"/>
          <w:b/>
          <w:sz w:val="20"/>
          <w:szCs w:val="20"/>
        </w:rPr>
        <w:t xml:space="preserve">1: </w:t>
      </w:r>
      <w:r w:rsidRPr="00542C74">
        <w:rPr>
          <w:rFonts w:ascii="Arial" w:hAnsi="Arial" w:cs="Arial"/>
          <w:i/>
          <w:sz w:val="20"/>
          <w:szCs w:val="20"/>
        </w:rPr>
        <w:t>Observed and Projected Trends in Temperature and Rainfall Patterns Across India (1951–2070)</w:t>
      </w:r>
    </w:p>
    <w:p w14:paraId="1E4E50E6" w14:textId="3D823CFB" w:rsidR="007B1529" w:rsidRPr="00542C74" w:rsidRDefault="007B1529" w:rsidP="00542C74">
      <w:pPr>
        <w:pStyle w:val="NoSpacing"/>
        <w:jc w:val="center"/>
        <w:rPr>
          <w:rFonts w:ascii="Arial" w:hAnsi="Arial" w:cs="Arial"/>
          <w:b/>
          <w:sz w:val="20"/>
          <w:szCs w:val="20"/>
        </w:rPr>
      </w:pPr>
    </w:p>
    <w:p w14:paraId="64F0BFE4" w14:textId="679AF521" w:rsidR="007B1529" w:rsidRPr="00542C74" w:rsidRDefault="007B1529" w:rsidP="00542C74">
      <w:pPr>
        <w:pStyle w:val="NoSpacing"/>
        <w:jc w:val="center"/>
        <w:rPr>
          <w:rFonts w:ascii="Arial" w:hAnsi="Arial" w:cs="Arial"/>
          <w:b/>
          <w:sz w:val="20"/>
          <w:szCs w:val="20"/>
        </w:rPr>
      </w:pPr>
      <w:r w:rsidRPr="00542C74">
        <w:rPr>
          <w:rFonts w:ascii="Arial" w:hAnsi="Arial" w:cs="Arial"/>
          <w:b/>
          <w:noProof/>
          <w:sz w:val="20"/>
          <w:szCs w:val="20"/>
          <w:lang w:val="en-US"/>
        </w:rPr>
        <w:drawing>
          <wp:inline distT="0" distB="0" distL="0" distR="0" wp14:anchorId="0572BEC6" wp14:editId="6780A47C">
            <wp:extent cx="4406900" cy="1668728"/>
            <wp:effectExtent l="0" t="0" r="0" b="8255"/>
            <wp:docPr id="6" name="Picture 8">
              <a:extLst xmlns:a="http://schemas.openxmlformats.org/drawingml/2006/main">
                <a:ext uri="{FF2B5EF4-FFF2-40B4-BE49-F238E27FC236}">
                  <a16:creationId xmlns:a16="http://schemas.microsoft.com/office/drawing/2014/main" id="{E68A47A9-FB1D-119B-71DB-D563B7E8A8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68A47A9-FB1D-119B-71DB-D563B7E8A8AA}"/>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47364" cy="1684050"/>
                    </a:xfrm>
                    <a:prstGeom prst="rect">
                      <a:avLst/>
                    </a:prstGeom>
                  </pic:spPr>
                </pic:pic>
              </a:graphicData>
            </a:graphic>
          </wp:inline>
        </w:drawing>
      </w:r>
    </w:p>
    <w:p w14:paraId="3EBACF60" w14:textId="4DEA020E" w:rsidR="007B1529" w:rsidRPr="00542C74" w:rsidRDefault="007B1529" w:rsidP="00542C74">
      <w:pPr>
        <w:pStyle w:val="NoSpacing"/>
        <w:jc w:val="center"/>
        <w:rPr>
          <w:rFonts w:ascii="Arial" w:hAnsi="Arial" w:cs="Arial"/>
          <w:b/>
          <w:sz w:val="20"/>
          <w:szCs w:val="20"/>
        </w:rPr>
      </w:pPr>
      <w:r w:rsidRPr="00542C74">
        <w:rPr>
          <w:rFonts w:ascii="Arial" w:hAnsi="Arial" w:cs="Arial"/>
          <w:b/>
          <w:noProof/>
          <w:sz w:val="20"/>
          <w:szCs w:val="20"/>
          <w:lang w:val="en-US"/>
        </w:rPr>
        <w:drawing>
          <wp:inline distT="0" distB="0" distL="0" distR="0" wp14:anchorId="46633BDE" wp14:editId="6CF30D95">
            <wp:extent cx="4406900" cy="1740451"/>
            <wp:effectExtent l="0" t="0" r="0" b="0"/>
            <wp:docPr id="10" name="Picture 9">
              <a:extLst xmlns:a="http://schemas.openxmlformats.org/drawingml/2006/main">
                <a:ext uri="{FF2B5EF4-FFF2-40B4-BE49-F238E27FC236}">
                  <a16:creationId xmlns:a16="http://schemas.microsoft.com/office/drawing/2014/main" id="{4580CF90-C440-F4F5-1A70-F032D6DEDC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580CF90-C440-F4F5-1A70-F032D6DEDC02}"/>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451207" cy="1757950"/>
                    </a:xfrm>
                    <a:prstGeom prst="rect">
                      <a:avLst/>
                    </a:prstGeom>
                  </pic:spPr>
                </pic:pic>
              </a:graphicData>
            </a:graphic>
          </wp:inline>
        </w:drawing>
      </w:r>
    </w:p>
    <w:p w14:paraId="255DB086" w14:textId="7F6F259E" w:rsidR="007B1529" w:rsidRPr="00542C74" w:rsidRDefault="007B1529" w:rsidP="00542C74">
      <w:pPr>
        <w:pStyle w:val="NoSpacing"/>
        <w:jc w:val="center"/>
        <w:rPr>
          <w:rFonts w:ascii="Arial" w:hAnsi="Arial" w:cs="Arial"/>
          <w:b/>
          <w:sz w:val="20"/>
          <w:szCs w:val="20"/>
        </w:rPr>
      </w:pPr>
      <w:r w:rsidRPr="00542C74">
        <w:rPr>
          <w:rFonts w:ascii="Arial" w:hAnsi="Arial" w:cs="Arial"/>
          <w:b/>
          <w:noProof/>
          <w:sz w:val="20"/>
          <w:szCs w:val="20"/>
          <w:lang w:val="en-US"/>
        </w:rPr>
        <w:drawing>
          <wp:inline distT="0" distB="0" distL="0" distR="0" wp14:anchorId="6603141C" wp14:editId="198114CD">
            <wp:extent cx="4400550" cy="1742205"/>
            <wp:effectExtent l="19050" t="19050" r="19050" b="10795"/>
            <wp:docPr id="11" name="Picture 10">
              <a:extLst xmlns:a="http://schemas.openxmlformats.org/drawingml/2006/main">
                <a:ext uri="{FF2B5EF4-FFF2-40B4-BE49-F238E27FC236}">
                  <a16:creationId xmlns:a16="http://schemas.microsoft.com/office/drawing/2014/main" id="{E5DFD000-7B91-A714-0EF4-7DAE4368D7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5DFD000-7B91-A714-0EF4-7DAE4368D746}"/>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427863" cy="1753018"/>
                    </a:xfrm>
                    <a:prstGeom prst="rect">
                      <a:avLst/>
                    </a:prstGeom>
                    <a:ln w="3175">
                      <a:solidFill>
                        <a:schemeClr val="tx1"/>
                      </a:solidFill>
                    </a:ln>
                  </pic:spPr>
                </pic:pic>
              </a:graphicData>
            </a:graphic>
          </wp:inline>
        </w:drawing>
      </w:r>
    </w:p>
    <w:p w14:paraId="252EC808" w14:textId="51534144" w:rsidR="007B1529" w:rsidRPr="00542C74" w:rsidRDefault="009E5BB2" w:rsidP="00542C74">
      <w:pPr>
        <w:pStyle w:val="NoSpacing"/>
        <w:jc w:val="center"/>
        <w:rPr>
          <w:rFonts w:ascii="Arial" w:hAnsi="Arial" w:cs="Arial"/>
          <w:b/>
          <w:sz w:val="20"/>
          <w:szCs w:val="20"/>
        </w:rPr>
      </w:pPr>
      <w:r w:rsidRPr="009E5BB2">
        <w:rPr>
          <w:rFonts w:ascii="Arial" w:hAnsi="Arial" w:cs="Arial"/>
          <w:b/>
          <w:sz w:val="20"/>
          <w:szCs w:val="20"/>
        </w:rPr>
        <w:t xml:space="preserve">Picture </w:t>
      </w:r>
      <w:r>
        <w:rPr>
          <w:rFonts w:ascii="Arial" w:hAnsi="Arial" w:cs="Arial"/>
          <w:b/>
          <w:sz w:val="20"/>
          <w:szCs w:val="20"/>
        </w:rPr>
        <w:t>2</w:t>
      </w:r>
      <w:r w:rsidR="005958AF" w:rsidRPr="00542C74">
        <w:rPr>
          <w:rFonts w:ascii="Arial" w:hAnsi="Arial" w:cs="Arial"/>
          <w:b/>
          <w:sz w:val="20"/>
          <w:szCs w:val="20"/>
        </w:rPr>
        <w:t xml:space="preserve">: </w:t>
      </w:r>
      <w:r w:rsidR="005958AF" w:rsidRPr="00542C74">
        <w:rPr>
          <w:rFonts w:ascii="Arial" w:hAnsi="Arial" w:cs="Arial"/>
          <w:i/>
          <w:sz w:val="20"/>
          <w:szCs w:val="20"/>
        </w:rPr>
        <w:t>Climate Change Trends in Kashmir Valley: Temperature Rise and Precipitation Decline Over 40 Years</w:t>
      </w:r>
      <w:commentRangeEnd w:id="4"/>
      <w:r w:rsidR="001E7B35">
        <w:rPr>
          <w:rStyle w:val="CommentReference"/>
        </w:rPr>
        <w:commentReference w:id="4"/>
      </w:r>
    </w:p>
    <w:p w14:paraId="151A9606" w14:textId="77777777" w:rsidR="00730011" w:rsidRDefault="00730011" w:rsidP="00542C74">
      <w:pPr>
        <w:spacing w:before="100" w:beforeAutospacing="1" w:after="100" w:afterAutospacing="1" w:line="240" w:lineRule="auto"/>
        <w:ind w:left="0"/>
        <w:rPr>
          <w:rFonts w:ascii="Arial" w:eastAsia="Times New Roman" w:hAnsi="Arial" w:cs="Arial"/>
          <w:b/>
          <w:bCs/>
          <w:sz w:val="20"/>
          <w:szCs w:val="20"/>
          <w:lang w:eastAsia="en-IN"/>
        </w:rPr>
      </w:pPr>
    </w:p>
    <w:p w14:paraId="12C31EAD" w14:textId="77777777" w:rsidR="00730011" w:rsidRDefault="00730011" w:rsidP="00542C74">
      <w:pPr>
        <w:spacing w:before="100" w:beforeAutospacing="1" w:after="100" w:afterAutospacing="1" w:line="240" w:lineRule="auto"/>
        <w:ind w:left="0"/>
        <w:rPr>
          <w:rFonts w:ascii="Arial" w:eastAsia="Times New Roman" w:hAnsi="Arial" w:cs="Arial"/>
          <w:b/>
          <w:bCs/>
          <w:sz w:val="20"/>
          <w:szCs w:val="20"/>
          <w:lang w:eastAsia="en-IN"/>
        </w:rPr>
      </w:pPr>
    </w:p>
    <w:p w14:paraId="2A936FEB" w14:textId="37FA2751" w:rsidR="00D86641" w:rsidRPr="00542C74" w:rsidRDefault="00D86641"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lastRenderedPageBreak/>
        <w:t>Change Trends in Kashmir Valley: Temperature Rise and Precipitation Decline Over 40 Years</w:t>
      </w:r>
    </w:p>
    <w:p w14:paraId="32BB4056" w14:textId="0807C143" w:rsidR="00D86641" w:rsidRPr="00542C74" w:rsidRDefault="00D86641"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The analysis of climate change over a 40-year period in the Kashmir Valley reveals significant warming trends and a decline in precipitation. According to the Mann-Kendall trend test, the mean annual maximum temperature has increased at a rate of 0.02°C/year, indicating a persistent warming trend across the region. Similarly, the minimum annual temperature shows a statistically significant rise at a similar rate, reflecting a narrowing of the diurnal temperature range. In contrast, annual precipitation has shown a consistent decreasing trend, with rainfall declining at a rate of approximately 4.50 mm/year. These changes suggest an ongoing shift in the region’s climate, potentially impacting water resources, agriculture, and biodiversity. The findings, based on data presented by Mahdi </w:t>
      </w:r>
      <w:r w:rsidRPr="00542C74">
        <w:rPr>
          <w:rFonts w:ascii="Arial" w:eastAsia="Times New Roman" w:hAnsi="Arial" w:cs="Arial"/>
          <w:i/>
          <w:sz w:val="20"/>
          <w:szCs w:val="20"/>
          <w:lang w:eastAsia="en-IN"/>
        </w:rPr>
        <w:t>et al.</w:t>
      </w:r>
      <w:r w:rsidRPr="00542C74">
        <w:rPr>
          <w:rFonts w:ascii="Arial" w:eastAsia="Times New Roman" w:hAnsi="Arial" w:cs="Arial"/>
          <w:sz w:val="20"/>
          <w:szCs w:val="20"/>
          <w:lang w:eastAsia="en-IN"/>
        </w:rPr>
        <w:t xml:space="preserve"> (2021), emphasize the urgency for localized climate adaptation and water management strategies to mitigate adverse effects in the Kashmir Valley.</w:t>
      </w:r>
    </w:p>
    <w:p w14:paraId="79D07AEB" w14:textId="1CFB9411" w:rsidR="001E42D2" w:rsidRPr="00542C74" w:rsidRDefault="007165E2" w:rsidP="00542C74">
      <w:pPr>
        <w:pStyle w:val="ListParagraph"/>
        <w:numPr>
          <w:ilvl w:val="0"/>
          <w:numId w:val="36"/>
        </w:numPr>
        <w:spacing w:before="100" w:beforeAutospacing="1" w:after="100" w:afterAutospacing="1" w:line="240" w:lineRule="auto"/>
        <w:rPr>
          <w:rFonts w:ascii="Arial" w:eastAsia="Times New Roman" w:hAnsi="Arial" w:cs="Arial"/>
          <w:b/>
          <w:sz w:val="20"/>
          <w:szCs w:val="20"/>
          <w:lang w:eastAsia="en-IN"/>
        </w:rPr>
      </w:pPr>
      <w:r w:rsidRPr="00542C74">
        <w:rPr>
          <w:rFonts w:ascii="Arial" w:eastAsia="Times New Roman" w:hAnsi="Arial" w:cs="Arial"/>
          <w:b/>
          <w:bCs/>
          <w:sz w:val="20"/>
          <w:szCs w:val="20"/>
          <w:lang w:eastAsia="en-IN"/>
        </w:rPr>
        <w:t>TYPES OF ORGANIC FERTILIZERS AND THEIR SOURCES</w:t>
      </w:r>
    </w:p>
    <w:p w14:paraId="0C617727" w14:textId="1C62FAE2" w:rsidR="007165E2" w:rsidRPr="00542C74" w:rsidRDefault="001E42D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Organic fertilizers play a pivotal role in sustainable agriculture by improving soil fertility and promoting healthy crop growth without the environmental downsides of synthetic fertilizers</w:t>
      </w:r>
      <w:r w:rsidR="007165E2" w:rsidRPr="00542C74">
        <w:rPr>
          <w:rFonts w:ascii="Arial" w:eastAsia="Times New Roman" w:hAnsi="Arial" w:cs="Arial"/>
          <w:sz w:val="20"/>
          <w:szCs w:val="20"/>
          <w:lang w:eastAsia="en-IN"/>
        </w:rPr>
        <w:t xml:space="preserve"> (Verma et al., 2019)</w:t>
      </w:r>
      <w:r w:rsidRPr="00542C74">
        <w:rPr>
          <w:rFonts w:ascii="Arial" w:eastAsia="Times New Roman" w:hAnsi="Arial" w:cs="Arial"/>
          <w:sz w:val="20"/>
          <w:szCs w:val="20"/>
          <w:lang w:eastAsia="en-IN"/>
        </w:rPr>
        <w:t>. These fertilizers are primarily categorized based on their source</w:t>
      </w:r>
      <w:r w:rsidR="003B38C6"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animal-based and plant-based</w:t>
      </w:r>
      <w:r w:rsidR="003B38C6"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and both types offer distinct nutritional benefits to plants while enhancing soil structure and microbial activity. Fig. 2 clearly depicts this classification, offering an overview of the most common organic fertilizer types derived from both animal and plant origins.</w:t>
      </w:r>
    </w:p>
    <w:p w14:paraId="3593209B" w14:textId="191D9035" w:rsidR="001E42D2" w:rsidRPr="00542C74" w:rsidRDefault="001E42D2" w:rsidP="00542C74">
      <w:pPr>
        <w:pStyle w:val="NoSpacing"/>
        <w:rPr>
          <w:rFonts w:ascii="Arial" w:eastAsia="Times New Roman" w:hAnsi="Arial" w:cs="Arial"/>
          <w:sz w:val="20"/>
          <w:szCs w:val="20"/>
          <w:lang w:eastAsia="en-IN"/>
        </w:rPr>
      </w:pPr>
      <w:r w:rsidRPr="00542C74">
        <w:rPr>
          <w:rFonts w:ascii="Arial" w:hAnsi="Arial" w:cs="Arial"/>
          <w:noProof/>
          <w:sz w:val="20"/>
          <w:szCs w:val="20"/>
          <w:lang w:val="en-US"/>
        </w:rPr>
        <w:drawing>
          <wp:inline distT="0" distB="0" distL="0" distR="0" wp14:anchorId="6DB4A5ED" wp14:editId="1E320178">
            <wp:extent cx="5370298" cy="2236518"/>
            <wp:effectExtent l="19050" t="19050" r="2095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93" t="20521" r="1650" b="2524"/>
                    <a:stretch/>
                  </pic:blipFill>
                  <pic:spPr bwMode="auto">
                    <a:xfrm>
                      <a:off x="0" y="0"/>
                      <a:ext cx="5449138" cy="226935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856A77C" w14:textId="77777777" w:rsidR="001E42D2" w:rsidRPr="00542C74" w:rsidRDefault="001E42D2" w:rsidP="00542C74">
      <w:pPr>
        <w:pStyle w:val="NoSpacing"/>
        <w:ind w:left="0"/>
        <w:jc w:val="center"/>
        <w:rPr>
          <w:rFonts w:ascii="Arial" w:eastAsia="Times New Roman" w:hAnsi="Arial" w:cs="Arial"/>
          <w:i/>
          <w:sz w:val="20"/>
          <w:szCs w:val="20"/>
          <w:lang w:eastAsia="en-IN"/>
        </w:rPr>
      </w:pPr>
      <w:commentRangeStart w:id="5"/>
      <w:r w:rsidRPr="00542C74">
        <w:rPr>
          <w:rFonts w:ascii="Arial" w:eastAsia="Times New Roman" w:hAnsi="Arial" w:cs="Arial"/>
          <w:b/>
          <w:bCs/>
          <w:sz w:val="20"/>
          <w:szCs w:val="20"/>
          <w:lang w:eastAsia="en-IN"/>
        </w:rPr>
        <w:t xml:space="preserve">Fig. 2: </w:t>
      </w:r>
      <w:r w:rsidRPr="00542C74">
        <w:rPr>
          <w:rFonts w:ascii="Arial" w:eastAsia="Times New Roman" w:hAnsi="Arial" w:cs="Arial"/>
          <w:bCs/>
          <w:i/>
          <w:sz w:val="20"/>
          <w:szCs w:val="20"/>
          <w:lang w:eastAsia="en-IN"/>
        </w:rPr>
        <w:t>Classification of Organic Fertilizers: Animal-Based and Plant-Based Types</w:t>
      </w:r>
      <w:commentRangeEnd w:id="5"/>
      <w:r w:rsidR="00730011">
        <w:rPr>
          <w:rStyle w:val="CommentReference"/>
        </w:rPr>
        <w:commentReference w:id="5"/>
      </w:r>
    </w:p>
    <w:p w14:paraId="1EC62531" w14:textId="50B07C71" w:rsidR="001E42D2" w:rsidRPr="00542C74" w:rsidRDefault="007165E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3.1 </w:t>
      </w:r>
      <w:r w:rsidR="001E42D2" w:rsidRPr="00542C74">
        <w:rPr>
          <w:rFonts w:ascii="Arial" w:eastAsia="Times New Roman" w:hAnsi="Arial" w:cs="Arial"/>
          <w:b/>
          <w:bCs/>
          <w:sz w:val="20"/>
          <w:szCs w:val="20"/>
          <w:lang w:eastAsia="en-IN"/>
        </w:rPr>
        <w:t xml:space="preserve">Animal-Based </w:t>
      </w:r>
      <w:r w:rsidR="005A6831" w:rsidRPr="00542C74">
        <w:rPr>
          <w:rFonts w:ascii="Arial" w:eastAsia="Times New Roman" w:hAnsi="Arial" w:cs="Arial"/>
          <w:b/>
          <w:bCs/>
          <w:sz w:val="20"/>
          <w:szCs w:val="20"/>
          <w:lang w:eastAsia="en-IN"/>
        </w:rPr>
        <w:t>Organic Fertilizers</w:t>
      </w:r>
    </w:p>
    <w:p w14:paraId="328D7E13" w14:textId="3AEEE7DB" w:rsidR="001E42D2" w:rsidRPr="00542C74" w:rsidRDefault="001E42D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As illustrated in Fig. 2, animal-based fertilizers include </w:t>
      </w:r>
      <w:r w:rsidRPr="00542C74">
        <w:rPr>
          <w:rFonts w:ascii="Arial" w:eastAsia="Times New Roman" w:hAnsi="Arial" w:cs="Arial"/>
          <w:bCs/>
          <w:sz w:val="20"/>
          <w:szCs w:val="20"/>
          <w:lang w:eastAsia="en-IN"/>
        </w:rPr>
        <w:t>manure, blood meal, bone meal,</w:t>
      </w:r>
      <w:r w:rsidRPr="00542C74">
        <w:rPr>
          <w:rFonts w:ascii="Arial" w:eastAsia="Times New Roman" w:hAnsi="Arial" w:cs="Arial"/>
          <w:sz w:val="20"/>
          <w:szCs w:val="20"/>
          <w:lang w:eastAsia="en-IN"/>
        </w:rPr>
        <w:t xml:space="preserve"> and </w:t>
      </w:r>
      <w:r w:rsidRPr="00542C74">
        <w:rPr>
          <w:rFonts w:ascii="Arial" w:eastAsia="Times New Roman" w:hAnsi="Arial" w:cs="Arial"/>
          <w:bCs/>
          <w:sz w:val="20"/>
          <w:szCs w:val="20"/>
          <w:lang w:eastAsia="en-IN"/>
        </w:rPr>
        <w:t>fish emulsions</w:t>
      </w:r>
      <w:r w:rsidRPr="00542C74">
        <w:rPr>
          <w:rFonts w:ascii="Arial" w:eastAsia="Times New Roman" w:hAnsi="Arial" w:cs="Arial"/>
          <w:sz w:val="20"/>
          <w:szCs w:val="20"/>
          <w:lang w:eastAsia="en-IN"/>
        </w:rPr>
        <w:t>. These materials are rich in macro- and micronutrients, especially nitrogen, phosphorus, and potassium, which are crucial for vegetative and reproductive growth in crops. Manure, derived from livestock, is widely used for its balanced nutrient profile and its ability to enhance soil organic matter</w:t>
      </w:r>
      <w:r w:rsidR="007165E2" w:rsidRPr="00542C74">
        <w:rPr>
          <w:rFonts w:ascii="Arial" w:eastAsia="Times New Roman" w:hAnsi="Arial" w:cs="Arial"/>
          <w:sz w:val="20"/>
          <w:szCs w:val="20"/>
          <w:lang w:eastAsia="en-IN"/>
        </w:rPr>
        <w:t xml:space="preserve"> (Kumari et al., 2023)</w:t>
      </w:r>
      <w:r w:rsidRPr="00542C74">
        <w:rPr>
          <w:rFonts w:ascii="Arial" w:eastAsia="Times New Roman" w:hAnsi="Arial" w:cs="Arial"/>
          <w:sz w:val="20"/>
          <w:szCs w:val="20"/>
          <w:lang w:eastAsia="en-IN"/>
        </w:rPr>
        <w:t>. Blood meal is a high-nitrogen fertilizer often used for leafy vegetable crops, while bone meal is a potent source of phosphorus, beneficial for root development and flowering</w:t>
      </w:r>
      <w:r w:rsidR="007165E2" w:rsidRPr="00542C74">
        <w:rPr>
          <w:rFonts w:ascii="Arial" w:eastAsia="Times New Roman" w:hAnsi="Arial" w:cs="Arial"/>
          <w:sz w:val="20"/>
          <w:szCs w:val="20"/>
          <w:lang w:eastAsia="en-IN"/>
        </w:rPr>
        <w:t xml:space="preserve"> (</w:t>
      </w:r>
      <w:r w:rsidR="007165E2" w:rsidRPr="00542C74">
        <w:rPr>
          <w:rFonts w:ascii="Arial" w:hAnsi="Arial" w:cs="Arial"/>
          <w:color w:val="222222"/>
          <w:sz w:val="20"/>
          <w:szCs w:val="20"/>
          <w:shd w:val="clear" w:color="auto" w:fill="FFFFFF"/>
        </w:rPr>
        <w:t>Kolambage et al., 2024</w:t>
      </w:r>
      <w:r w:rsidR="007165E2"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Fish emulsions, obtained from processed fish waste, provide a balanced mix of nutrients and are quickly absorbed by plants, making them ideal for foliar applications.</w:t>
      </w:r>
    </w:p>
    <w:p w14:paraId="792A7E5C" w14:textId="1346095D" w:rsidR="001E42D2" w:rsidRPr="00542C74" w:rsidRDefault="007165E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3.2 </w:t>
      </w:r>
      <w:r w:rsidR="001E42D2" w:rsidRPr="00542C74">
        <w:rPr>
          <w:rFonts w:ascii="Arial" w:eastAsia="Times New Roman" w:hAnsi="Arial" w:cs="Arial"/>
          <w:b/>
          <w:bCs/>
          <w:sz w:val="20"/>
          <w:szCs w:val="20"/>
          <w:lang w:eastAsia="en-IN"/>
        </w:rPr>
        <w:t>Plant-Based Organic Fertilizers</w:t>
      </w:r>
    </w:p>
    <w:p w14:paraId="6E3E78FE" w14:textId="5AB50807" w:rsidR="001E42D2" w:rsidRPr="00542C74" w:rsidRDefault="001E42D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The lower part of Fig. 2 highlights the plant-based fertilizer category, which includes </w:t>
      </w:r>
      <w:r w:rsidRPr="00542C74">
        <w:rPr>
          <w:rFonts w:ascii="Arial" w:eastAsia="Times New Roman" w:hAnsi="Arial" w:cs="Arial"/>
          <w:bCs/>
          <w:sz w:val="20"/>
          <w:szCs w:val="20"/>
          <w:lang w:eastAsia="en-IN"/>
        </w:rPr>
        <w:t>compost, green manure, seaweed/kelp,</w:t>
      </w:r>
      <w:r w:rsidRPr="00542C74">
        <w:rPr>
          <w:rFonts w:ascii="Arial" w:eastAsia="Times New Roman" w:hAnsi="Arial" w:cs="Arial"/>
          <w:sz w:val="20"/>
          <w:szCs w:val="20"/>
          <w:lang w:eastAsia="en-IN"/>
        </w:rPr>
        <w:t xml:space="preserve"> and </w:t>
      </w:r>
      <w:r w:rsidRPr="00542C74">
        <w:rPr>
          <w:rFonts w:ascii="Arial" w:eastAsia="Times New Roman" w:hAnsi="Arial" w:cs="Arial"/>
          <w:bCs/>
          <w:sz w:val="20"/>
          <w:szCs w:val="20"/>
          <w:lang w:eastAsia="en-IN"/>
        </w:rPr>
        <w:t>alfalfa meal</w:t>
      </w:r>
      <w:r w:rsidRPr="00542C74">
        <w:rPr>
          <w:rFonts w:ascii="Arial" w:eastAsia="Times New Roman" w:hAnsi="Arial" w:cs="Arial"/>
          <w:sz w:val="20"/>
          <w:szCs w:val="20"/>
          <w:lang w:eastAsia="en-IN"/>
        </w:rPr>
        <w:t>. These inputs are derived from decomposed plant materials or specific crops grown and incorporated into the soil to enrich nutrient content. Compost is made from kitchen scraps, garden waste, and other biodegradable material and is known for its broad spectrum of nutrients and ability to improve soil aeration and water-holding capacity</w:t>
      </w:r>
      <w:r w:rsidR="007165E2" w:rsidRPr="00542C74">
        <w:rPr>
          <w:rFonts w:ascii="Arial" w:eastAsia="Times New Roman" w:hAnsi="Arial" w:cs="Arial"/>
          <w:sz w:val="20"/>
          <w:szCs w:val="20"/>
          <w:lang w:eastAsia="en-IN"/>
        </w:rPr>
        <w:t xml:space="preserve"> (</w:t>
      </w:r>
      <w:r w:rsidR="007165E2" w:rsidRPr="00542C74">
        <w:rPr>
          <w:rFonts w:ascii="Arial" w:hAnsi="Arial" w:cs="Arial"/>
          <w:color w:val="222222"/>
          <w:sz w:val="20"/>
          <w:szCs w:val="20"/>
          <w:shd w:val="clear" w:color="auto" w:fill="FFFFFF"/>
        </w:rPr>
        <w:t>Ayilara et al., 2020</w:t>
      </w:r>
      <w:r w:rsidR="007165E2"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Green manure refers to specific cover crops (like legumes) that are grown and then plowed into the soil to </w:t>
      </w:r>
      <w:r w:rsidRPr="00542C74">
        <w:rPr>
          <w:rFonts w:ascii="Arial" w:eastAsia="Times New Roman" w:hAnsi="Arial" w:cs="Arial"/>
          <w:sz w:val="20"/>
          <w:szCs w:val="20"/>
          <w:lang w:eastAsia="en-IN"/>
        </w:rPr>
        <w:lastRenderedPageBreak/>
        <w:t>enhance nitrogen content and organic matter. Seaweed or kelp extracts are rich in trace elements and plant growth hormones, making them valuable for enhancing plant resistance to stress. Alfalfa meal, made from dried and ground alfalfa plants, serves as a slow-release nitrogen source and contains beneficial growth-stimulating compounds</w:t>
      </w:r>
      <w:r w:rsidR="007165E2" w:rsidRPr="00542C74">
        <w:rPr>
          <w:rFonts w:ascii="Arial" w:eastAsia="Times New Roman" w:hAnsi="Arial" w:cs="Arial"/>
          <w:sz w:val="20"/>
          <w:szCs w:val="20"/>
          <w:lang w:eastAsia="en-IN"/>
        </w:rPr>
        <w:t xml:space="preserve"> (</w:t>
      </w:r>
      <w:r w:rsidR="00276C46" w:rsidRPr="00542C74">
        <w:rPr>
          <w:rFonts w:ascii="Arial" w:eastAsia="Times New Roman" w:hAnsi="Arial" w:cs="Arial"/>
          <w:sz w:val="20"/>
          <w:szCs w:val="20"/>
          <w:lang w:eastAsia="en-IN"/>
        </w:rPr>
        <w:t>Saju et al., 2019</w:t>
      </w:r>
      <w:r w:rsidR="007165E2"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w:t>
      </w:r>
    </w:p>
    <w:p w14:paraId="53A95959" w14:textId="414BE410" w:rsidR="007853DA" w:rsidRPr="00542C74" w:rsidRDefault="007853DA" w:rsidP="00542C74">
      <w:pPr>
        <w:pStyle w:val="ListParagraph"/>
        <w:numPr>
          <w:ilvl w:val="0"/>
          <w:numId w:val="36"/>
        </w:numPr>
        <w:spacing w:before="100" w:beforeAutospacing="1" w:after="100" w:afterAutospacing="1" w:line="240" w:lineRule="auto"/>
        <w:rPr>
          <w:rFonts w:ascii="Arial" w:eastAsia="Times New Roman" w:hAnsi="Arial" w:cs="Arial"/>
          <w:b/>
          <w:sz w:val="20"/>
          <w:szCs w:val="20"/>
          <w:lang w:eastAsia="en-IN"/>
        </w:rPr>
      </w:pPr>
      <w:r w:rsidRPr="00542C74">
        <w:rPr>
          <w:rFonts w:ascii="Arial" w:eastAsia="Times New Roman" w:hAnsi="Arial" w:cs="Arial"/>
          <w:b/>
          <w:bCs/>
          <w:sz w:val="20"/>
          <w:szCs w:val="20"/>
          <w:lang w:eastAsia="en-IN"/>
        </w:rPr>
        <w:t>MAJOR FERTILIZER TYPES AND THEIR NUTRIENT CHARACTERISTICS</w:t>
      </w:r>
    </w:p>
    <w:p w14:paraId="22D58506" w14:textId="1FE8934B" w:rsidR="007853DA" w:rsidRPr="00542C74" w:rsidRDefault="007853DA"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Fertilizers are critical inputs in agriculture, essential for enhancing soil fertility and maximizing crop yield</w:t>
      </w:r>
      <w:r w:rsidR="0066372F" w:rsidRPr="00542C74">
        <w:rPr>
          <w:rFonts w:ascii="Arial" w:eastAsia="Times New Roman" w:hAnsi="Arial" w:cs="Arial"/>
          <w:sz w:val="20"/>
          <w:szCs w:val="20"/>
          <w:lang w:eastAsia="en-IN"/>
        </w:rPr>
        <w:t xml:space="preserve"> (</w:t>
      </w:r>
      <w:r w:rsidR="0066372F" w:rsidRPr="00542C74">
        <w:rPr>
          <w:rFonts w:ascii="Arial" w:hAnsi="Arial" w:cs="Arial"/>
          <w:color w:val="222222"/>
          <w:sz w:val="20"/>
          <w:szCs w:val="20"/>
          <w:shd w:val="clear" w:color="auto" w:fill="FFFFFF"/>
        </w:rPr>
        <w:t>Panhwar et al., 2019)</w:t>
      </w:r>
      <w:r w:rsidRPr="00542C74">
        <w:rPr>
          <w:rFonts w:ascii="Arial" w:eastAsia="Times New Roman" w:hAnsi="Arial" w:cs="Arial"/>
          <w:sz w:val="20"/>
          <w:szCs w:val="20"/>
          <w:lang w:eastAsia="en-IN"/>
        </w:rPr>
        <w:t>. Fig. 3 provides a structured overview of fertilizers categorized based on the primary nutrient they deliver Nitrogen (N), Phosphorus (P), or Potassium (K) and highlights their chemical forms, solubility, and agronomic suitability.</w:t>
      </w:r>
    </w:p>
    <w:p w14:paraId="745CFAE9" w14:textId="77777777" w:rsidR="007853DA" w:rsidRPr="00542C74" w:rsidRDefault="007853DA" w:rsidP="00542C74">
      <w:pPr>
        <w:pStyle w:val="NoSpacing"/>
        <w:ind w:left="-142"/>
        <w:jc w:val="center"/>
        <w:rPr>
          <w:rFonts w:ascii="Arial" w:hAnsi="Arial" w:cs="Arial"/>
          <w:sz w:val="20"/>
          <w:szCs w:val="20"/>
        </w:rPr>
      </w:pPr>
      <w:r w:rsidRPr="00542C74">
        <w:rPr>
          <w:rFonts w:ascii="Arial" w:hAnsi="Arial" w:cs="Arial"/>
          <w:noProof/>
          <w:sz w:val="20"/>
          <w:szCs w:val="20"/>
          <w:lang w:val="en-US"/>
        </w:rPr>
        <w:drawing>
          <wp:inline distT="0" distB="0" distL="0" distR="0" wp14:anchorId="5668A8CB" wp14:editId="799F27FD">
            <wp:extent cx="5245100" cy="2335236"/>
            <wp:effectExtent l="19050" t="19050" r="1270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78" t="23599" r="2574" b="4782"/>
                    <a:stretch/>
                  </pic:blipFill>
                  <pic:spPr bwMode="auto">
                    <a:xfrm>
                      <a:off x="0" y="0"/>
                      <a:ext cx="5249557" cy="233722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E12C4A4" w14:textId="34C5129E" w:rsidR="007853DA" w:rsidRPr="00542C74" w:rsidRDefault="007853DA" w:rsidP="00542C74">
      <w:pPr>
        <w:pStyle w:val="NoSpacing"/>
        <w:ind w:left="-142"/>
        <w:jc w:val="center"/>
        <w:rPr>
          <w:rFonts w:ascii="Arial" w:eastAsia="Times New Roman" w:hAnsi="Arial" w:cs="Arial"/>
          <w:bCs/>
          <w:i/>
          <w:sz w:val="20"/>
          <w:szCs w:val="20"/>
          <w:lang w:eastAsia="en-IN"/>
        </w:rPr>
      </w:pPr>
      <w:commentRangeStart w:id="6"/>
      <w:r w:rsidRPr="00542C74">
        <w:rPr>
          <w:rFonts w:ascii="Arial" w:eastAsia="Times New Roman" w:hAnsi="Arial" w:cs="Arial"/>
          <w:b/>
          <w:bCs/>
          <w:sz w:val="20"/>
          <w:szCs w:val="20"/>
          <w:lang w:eastAsia="en-IN"/>
        </w:rPr>
        <w:t xml:space="preserve">Fig. 3: </w:t>
      </w:r>
      <w:r w:rsidRPr="00542C74">
        <w:rPr>
          <w:rFonts w:ascii="Arial" w:eastAsia="Times New Roman" w:hAnsi="Arial" w:cs="Arial"/>
          <w:bCs/>
          <w:i/>
          <w:sz w:val="20"/>
          <w:szCs w:val="20"/>
          <w:lang w:eastAsia="en-IN"/>
        </w:rPr>
        <w:t>Classification of Fertilizers Based on Primary Nutrients and Solubility</w:t>
      </w:r>
      <w:commentRangeEnd w:id="6"/>
      <w:r w:rsidR="00FA5F43">
        <w:rPr>
          <w:rStyle w:val="CommentReference"/>
        </w:rPr>
        <w:commentReference w:id="6"/>
      </w:r>
    </w:p>
    <w:p w14:paraId="210E9522" w14:textId="3346A367" w:rsidR="007853DA"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4.1 </w:t>
      </w:r>
      <w:r w:rsidR="007853DA" w:rsidRPr="00542C74">
        <w:rPr>
          <w:rFonts w:ascii="Arial" w:eastAsia="Times New Roman" w:hAnsi="Arial" w:cs="Arial"/>
          <w:b/>
          <w:bCs/>
          <w:sz w:val="20"/>
          <w:szCs w:val="20"/>
          <w:lang w:eastAsia="en-IN"/>
        </w:rPr>
        <w:t>Nitrogen Fertilizers</w:t>
      </w:r>
    </w:p>
    <w:p w14:paraId="477BECC1" w14:textId="4F8436DB" w:rsidR="007853DA" w:rsidRPr="00542C74" w:rsidRDefault="007853DA"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Nitrogen is a vital element for vegetative growth and chlorophyll production in plants. Among the various forms, </w:t>
      </w:r>
      <w:r w:rsidRPr="00542C74">
        <w:rPr>
          <w:rFonts w:ascii="Arial" w:eastAsia="Times New Roman" w:hAnsi="Arial" w:cs="Arial"/>
          <w:i/>
          <w:iCs/>
          <w:sz w:val="20"/>
          <w:szCs w:val="20"/>
          <w:lang w:eastAsia="en-IN"/>
        </w:rPr>
        <w:t>urea (NH</w:t>
      </w:r>
      <w:r w:rsidRPr="00542C74">
        <w:rPr>
          <w:rFonts w:ascii="Cambria Math" w:eastAsia="Times New Roman" w:hAnsi="Cambria Math" w:cs="Cambria Math"/>
          <w:i/>
          <w:iCs/>
          <w:sz w:val="20"/>
          <w:szCs w:val="20"/>
          <w:lang w:eastAsia="en-IN"/>
        </w:rPr>
        <w:t>₂</w:t>
      </w:r>
      <w:r w:rsidRPr="00542C74">
        <w:rPr>
          <w:rFonts w:ascii="Arial" w:eastAsia="Times New Roman" w:hAnsi="Arial" w:cs="Arial"/>
          <w:i/>
          <w:iCs/>
          <w:sz w:val="20"/>
          <w:szCs w:val="20"/>
          <w:lang w:eastAsia="en-IN"/>
        </w:rPr>
        <w:t>CONH</w:t>
      </w:r>
      <w:r w:rsidRPr="00542C74">
        <w:rPr>
          <w:rFonts w:ascii="Cambria Math" w:eastAsia="Times New Roman" w:hAnsi="Cambria Math" w:cs="Cambria Math"/>
          <w:i/>
          <w:iCs/>
          <w:sz w:val="20"/>
          <w:szCs w:val="20"/>
          <w:lang w:eastAsia="en-IN"/>
        </w:rPr>
        <w:t>₂</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is the most commonly used synthetic organic fertilizer, containing 46% nitrogen. It has an acidic nature and is rapidly hydrolyzed in the soil to ammonium, making it suitable for a broad range of crops</w:t>
      </w:r>
      <w:r w:rsidR="0066372F" w:rsidRPr="00542C74">
        <w:rPr>
          <w:rFonts w:ascii="Arial" w:eastAsia="Times New Roman" w:hAnsi="Arial" w:cs="Arial"/>
          <w:sz w:val="20"/>
          <w:szCs w:val="20"/>
          <w:lang w:eastAsia="en-IN"/>
        </w:rPr>
        <w:t xml:space="preserve"> (</w:t>
      </w:r>
      <w:r w:rsidR="0066372F" w:rsidRPr="00542C74">
        <w:rPr>
          <w:rFonts w:ascii="Arial" w:hAnsi="Arial" w:cs="Arial"/>
          <w:color w:val="222222"/>
          <w:sz w:val="20"/>
          <w:szCs w:val="20"/>
          <w:shd w:val="clear" w:color="auto" w:fill="FFFFFF"/>
        </w:rPr>
        <w:t>Motasim et al., 2024</w:t>
      </w:r>
      <w:r w:rsidR="0066372F"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Nitrate-based fertilizers like </w:t>
      </w:r>
      <w:r w:rsidRPr="00542C74">
        <w:rPr>
          <w:rFonts w:ascii="Arial" w:eastAsia="Times New Roman" w:hAnsi="Arial" w:cs="Arial"/>
          <w:i/>
          <w:iCs/>
          <w:sz w:val="20"/>
          <w:szCs w:val="20"/>
          <w:lang w:eastAsia="en-IN"/>
        </w:rPr>
        <w:t>calcium nitrate (Ca(NO</w:t>
      </w:r>
      <w:r w:rsidRPr="00542C74">
        <w:rPr>
          <w:rFonts w:ascii="Cambria Math" w:eastAsia="Times New Roman" w:hAnsi="Cambria Math" w:cs="Cambria Math"/>
          <w:i/>
          <w:iCs/>
          <w:sz w:val="20"/>
          <w:szCs w:val="20"/>
          <w:lang w:eastAsia="en-IN"/>
        </w:rPr>
        <w:t>₃</w:t>
      </w:r>
      <w:r w:rsidRPr="00542C74">
        <w:rPr>
          <w:rFonts w:ascii="Arial" w:eastAsia="Times New Roman" w:hAnsi="Arial" w:cs="Arial"/>
          <w:i/>
          <w:iCs/>
          <w:sz w:val="20"/>
          <w:szCs w:val="20"/>
          <w:lang w:eastAsia="en-IN"/>
        </w:rPr>
        <w:t>)</w:t>
      </w:r>
      <w:r w:rsidRPr="00542C74">
        <w:rPr>
          <w:rFonts w:ascii="Cambria Math" w:eastAsia="Times New Roman" w:hAnsi="Cambria Math" w:cs="Cambria Math"/>
          <w:i/>
          <w:iCs/>
          <w:sz w:val="20"/>
          <w:szCs w:val="20"/>
          <w:lang w:eastAsia="en-IN"/>
        </w:rPr>
        <w:t>₂</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with 33% nitrogen and </w:t>
      </w:r>
      <w:r w:rsidRPr="00542C74">
        <w:rPr>
          <w:rFonts w:ascii="Arial" w:eastAsia="Times New Roman" w:hAnsi="Arial" w:cs="Arial"/>
          <w:i/>
          <w:iCs/>
          <w:sz w:val="20"/>
          <w:szCs w:val="20"/>
          <w:lang w:eastAsia="en-IN"/>
        </w:rPr>
        <w:t>sodium nitrate (NaNO</w:t>
      </w:r>
      <w:r w:rsidRPr="00542C74">
        <w:rPr>
          <w:rFonts w:ascii="Cambria Math" w:eastAsia="Times New Roman" w:hAnsi="Cambria Math" w:cs="Cambria Math"/>
          <w:i/>
          <w:iCs/>
          <w:sz w:val="20"/>
          <w:szCs w:val="20"/>
          <w:lang w:eastAsia="en-IN"/>
        </w:rPr>
        <w:t>₃</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with 16% nitrogen offer quick-release nitrogen for immediate plant uptake. </w:t>
      </w:r>
      <w:r w:rsidRPr="00542C74">
        <w:rPr>
          <w:rFonts w:ascii="Arial" w:eastAsia="Times New Roman" w:hAnsi="Arial" w:cs="Arial"/>
          <w:i/>
          <w:iCs/>
          <w:sz w:val="20"/>
          <w:szCs w:val="20"/>
          <w:lang w:eastAsia="en-IN"/>
        </w:rPr>
        <w:t>Potassium nitrate (KNO</w:t>
      </w:r>
      <w:r w:rsidRPr="00542C74">
        <w:rPr>
          <w:rFonts w:ascii="Cambria Math" w:eastAsia="Times New Roman" w:hAnsi="Cambria Math" w:cs="Cambria Math"/>
          <w:i/>
          <w:iCs/>
          <w:sz w:val="20"/>
          <w:szCs w:val="20"/>
          <w:lang w:eastAsia="en-IN"/>
        </w:rPr>
        <w:t>₃</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provides both nitrogen and potassium in a readily available form. </w:t>
      </w:r>
      <w:r w:rsidRPr="00542C74">
        <w:rPr>
          <w:rFonts w:ascii="Arial" w:eastAsia="Times New Roman" w:hAnsi="Arial" w:cs="Arial"/>
          <w:i/>
          <w:iCs/>
          <w:sz w:val="20"/>
          <w:szCs w:val="20"/>
          <w:lang w:eastAsia="en-IN"/>
        </w:rPr>
        <w:t>Ammonium sulfate ((NH</w:t>
      </w:r>
      <w:r w:rsidRPr="00542C74">
        <w:rPr>
          <w:rFonts w:ascii="Cambria Math" w:eastAsia="Times New Roman" w:hAnsi="Cambria Math" w:cs="Cambria Math"/>
          <w:i/>
          <w:iCs/>
          <w:sz w:val="20"/>
          <w:szCs w:val="20"/>
          <w:lang w:eastAsia="en-IN"/>
        </w:rPr>
        <w:t>₄</w:t>
      </w:r>
      <w:r w:rsidRPr="00542C74">
        <w:rPr>
          <w:rFonts w:ascii="Arial" w:eastAsia="Times New Roman" w:hAnsi="Arial" w:cs="Arial"/>
          <w:i/>
          <w:iCs/>
          <w:sz w:val="20"/>
          <w:szCs w:val="20"/>
          <w:lang w:eastAsia="en-IN"/>
        </w:rPr>
        <w:t>)</w:t>
      </w:r>
      <w:r w:rsidRPr="00542C74">
        <w:rPr>
          <w:rFonts w:ascii="Cambria Math" w:eastAsia="Times New Roman" w:hAnsi="Cambria Math" w:cs="Cambria Math"/>
          <w:i/>
          <w:iCs/>
          <w:sz w:val="20"/>
          <w:szCs w:val="20"/>
          <w:lang w:eastAsia="en-IN"/>
        </w:rPr>
        <w:t>₂</w:t>
      </w:r>
      <w:r w:rsidRPr="00542C74">
        <w:rPr>
          <w:rFonts w:ascii="Arial" w:eastAsia="Times New Roman" w:hAnsi="Arial" w:cs="Arial"/>
          <w:i/>
          <w:iCs/>
          <w:sz w:val="20"/>
          <w:szCs w:val="20"/>
          <w:lang w:eastAsia="en-IN"/>
        </w:rPr>
        <w:t>SO</w:t>
      </w:r>
      <w:r w:rsidRPr="00542C74">
        <w:rPr>
          <w:rFonts w:ascii="Cambria Math" w:eastAsia="Times New Roman" w:hAnsi="Cambria Math" w:cs="Cambria Math"/>
          <w:i/>
          <w:iCs/>
          <w:sz w:val="20"/>
          <w:szCs w:val="20"/>
          <w:lang w:eastAsia="en-IN"/>
        </w:rPr>
        <w:t>₄</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is another widely used nitrogen source with 20.6% nitrogen and 23.4% sulfur; it is water-soluble and acidic, making it particularly effective for sulfur-deficient soils</w:t>
      </w:r>
      <w:r w:rsidR="0066372F" w:rsidRPr="00542C74">
        <w:rPr>
          <w:rFonts w:ascii="Arial" w:eastAsia="Times New Roman" w:hAnsi="Arial" w:cs="Arial"/>
          <w:sz w:val="20"/>
          <w:szCs w:val="20"/>
          <w:lang w:eastAsia="en-IN"/>
        </w:rPr>
        <w:t xml:space="preserve"> (Mir et al., 2021)</w:t>
      </w:r>
      <w:r w:rsidRPr="00542C74">
        <w:rPr>
          <w:rFonts w:ascii="Arial" w:eastAsia="Times New Roman" w:hAnsi="Arial" w:cs="Arial"/>
          <w:sz w:val="20"/>
          <w:szCs w:val="20"/>
          <w:lang w:eastAsia="en-IN"/>
        </w:rPr>
        <w:t xml:space="preserve">. </w:t>
      </w:r>
      <w:r w:rsidRPr="00542C74">
        <w:rPr>
          <w:rFonts w:ascii="Arial" w:eastAsia="Times New Roman" w:hAnsi="Arial" w:cs="Arial"/>
          <w:i/>
          <w:iCs/>
          <w:sz w:val="20"/>
          <w:szCs w:val="20"/>
          <w:lang w:eastAsia="en-IN"/>
        </w:rPr>
        <w:t>Ammonium nitrate (NH</w:t>
      </w:r>
      <w:r w:rsidRPr="00542C74">
        <w:rPr>
          <w:rFonts w:ascii="Cambria Math" w:eastAsia="Times New Roman" w:hAnsi="Cambria Math" w:cs="Cambria Math"/>
          <w:i/>
          <w:iCs/>
          <w:sz w:val="20"/>
          <w:szCs w:val="20"/>
          <w:lang w:eastAsia="en-IN"/>
        </w:rPr>
        <w:t>₄</w:t>
      </w:r>
      <w:r w:rsidRPr="00542C74">
        <w:rPr>
          <w:rFonts w:ascii="Arial" w:eastAsia="Times New Roman" w:hAnsi="Arial" w:cs="Arial"/>
          <w:i/>
          <w:iCs/>
          <w:sz w:val="20"/>
          <w:szCs w:val="20"/>
          <w:lang w:eastAsia="en-IN"/>
        </w:rPr>
        <w:t>NO</w:t>
      </w:r>
      <w:r w:rsidRPr="00542C74">
        <w:rPr>
          <w:rFonts w:ascii="Cambria Math" w:eastAsia="Times New Roman" w:hAnsi="Cambria Math" w:cs="Cambria Math"/>
          <w:i/>
          <w:iCs/>
          <w:sz w:val="20"/>
          <w:szCs w:val="20"/>
          <w:lang w:eastAsia="en-IN"/>
        </w:rPr>
        <w:t>₃</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contains 34% nitrogen and is highly effective but poses an explosion risk, thus its use is restricted in sensitive regions such as Kashmir.</w:t>
      </w:r>
    </w:p>
    <w:p w14:paraId="783672D0" w14:textId="7897D418" w:rsidR="007853DA"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4.2 </w:t>
      </w:r>
      <w:r w:rsidR="007853DA" w:rsidRPr="00542C74">
        <w:rPr>
          <w:rFonts w:ascii="Arial" w:eastAsia="Times New Roman" w:hAnsi="Arial" w:cs="Arial"/>
          <w:b/>
          <w:bCs/>
          <w:sz w:val="20"/>
          <w:szCs w:val="20"/>
          <w:lang w:eastAsia="en-IN"/>
        </w:rPr>
        <w:t>Phosphorus Fertilizers</w:t>
      </w:r>
    </w:p>
    <w:p w14:paraId="5BDF996F" w14:textId="6F1A3C43" w:rsidR="007853DA" w:rsidRDefault="007853DA"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Phosphorus is essential for energy transfer, root development, and flowering. Phosphatic fertilizers are classified based on their solubility. </w:t>
      </w:r>
      <w:r w:rsidRPr="00542C74">
        <w:rPr>
          <w:rFonts w:ascii="Arial" w:eastAsia="Times New Roman" w:hAnsi="Arial" w:cs="Arial"/>
          <w:i/>
          <w:iCs/>
          <w:sz w:val="20"/>
          <w:szCs w:val="20"/>
          <w:lang w:eastAsia="en-IN"/>
        </w:rPr>
        <w:t>Water-soluble</w:t>
      </w:r>
      <w:r w:rsidRPr="00542C74">
        <w:rPr>
          <w:rFonts w:ascii="Arial" w:eastAsia="Times New Roman" w:hAnsi="Arial" w:cs="Arial"/>
          <w:sz w:val="20"/>
          <w:szCs w:val="20"/>
          <w:lang w:eastAsia="en-IN"/>
        </w:rPr>
        <w:t xml:space="preserve"> phosphorus fertilizers are the most efficient and include </w:t>
      </w:r>
      <w:r w:rsidRPr="00542C74">
        <w:rPr>
          <w:rFonts w:ascii="Arial" w:eastAsia="Times New Roman" w:hAnsi="Arial" w:cs="Arial"/>
          <w:i/>
          <w:iCs/>
          <w:sz w:val="20"/>
          <w:szCs w:val="20"/>
          <w:lang w:eastAsia="en-IN"/>
        </w:rPr>
        <w:t>Single Super Phosphate (SSP)</w:t>
      </w:r>
      <w:r w:rsidRPr="00542C74">
        <w:rPr>
          <w:rFonts w:ascii="Arial" w:eastAsia="Times New Roman" w:hAnsi="Arial" w:cs="Arial"/>
          <w:sz w:val="20"/>
          <w:szCs w:val="20"/>
          <w:lang w:eastAsia="en-IN"/>
        </w:rPr>
        <w:t xml:space="preserve"> (16% P, 12% S), </w:t>
      </w:r>
      <w:r w:rsidRPr="00542C74">
        <w:rPr>
          <w:rFonts w:ascii="Arial" w:eastAsia="Times New Roman" w:hAnsi="Arial" w:cs="Arial"/>
          <w:i/>
          <w:iCs/>
          <w:sz w:val="20"/>
          <w:szCs w:val="20"/>
          <w:lang w:eastAsia="en-IN"/>
        </w:rPr>
        <w:t>Di-Ammonium Phosphate (DAP)</w:t>
      </w:r>
      <w:r w:rsidRPr="00542C74">
        <w:rPr>
          <w:rFonts w:ascii="Arial" w:eastAsia="Times New Roman" w:hAnsi="Arial" w:cs="Arial"/>
          <w:sz w:val="20"/>
          <w:szCs w:val="20"/>
          <w:lang w:eastAsia="en-IN"/>
        </w:rPr>
        <w:t xml:space="preserve"> (18-46), </w:t>
      </w:r>
      <w:r w:rsidRPr="00542C74">
        <w:rPr>
          <w:rFonts w:ascii="Arial" w:eastAsia="Times New Roman" w:hAnsi="Arial" w:cs="Arial"/>
          <w:i/>
          <w:iCs/>
          <w:sz w:val="20"/>
          <w:szCs w:val="20"/>
          <w:lang w:eastAsia="en-IN"/>
        </w:rPr>
        <w:t>Triple Super Phosphate (TSP)</w:t>
      </w:r>
      <w:r w:rsidRPr="00542C74">
        <w:rPr>
          <w:rFonts w:ascii="Arial" w:eastAsia="Times New Roman" w:hAnsi="Arial" w:cs="Arial"/>
          <w:sz w:val="20"/>
          <w:szCs w:val="20"/>
          <w:lang w:eastAsia="en-IN"/>
        </w:rPr>
        <w:t xml:space="preserve"> (48%), </w:t>
      </w:r>
      <w:r w:rsidRPr="00542C74">
        <w:rPr>
          <w:rFonts w:ascii="Arial" w:eastAsia="Times New Roman" w:hAnsi="Arial" w:cs="Arial"/>
          <w:i/>
          <w:iCs/>
          <w:sz w:val="20"/>
          <w:szCs w:val="20"/>
          <w:lang w:eastAsia="en-IN"/>
        </w:rPr>
        <w:t>Double Super Phosphate (DSP)</w:t>
      </w:r>
      <w:r w:rsidRPr="00542C74">
        <w:rPr>
          <w:rFonts w:ascii="Arial" w:eastAsia="Times New Roman" w:hAnsi="Arial" w:cs="Arial"/>
          <w:sz w:val="20"/>
          <w:szCs w:val="20"/>
          <w:lang w:eastAsia="en-IN"/>
        </w:rPr>
        <w:t xml:space="preserve"> (32%), and </w:t>
      </w:r>
      <w:r w:rsidRPr="00542C74">
        <w:rPr>
          <w:rFonts w:ascii="Arial" w:eastAsia="Times New Roman" w:hAnsi="Arial" w:cs="Arial"/>
          <w:i/>
          <w:iCs/>
          <w:sz w:val="20"/>
          <w:szCs w:val="20"/>
          <w:lang w:eastAsia="en-IN"/>
        </w:rPr>
        <w:t>Monoammonium Phosphate (MAP)</w:t>
      </w:r>
      <w:r w:rsidRPr="00542C74">
        <w:rPr>
          <w:rFonts w:ascii="Arial" w:eastAsia="Times New Roman" w:hAnsi="Arial" w:cs="Arial"/>
          <w:sz w:val="20"/>
          <w:szCs w:val="20"/>
          <w:lang w:eastAsia="en-IN"/>
        </w:rPr>
        <w:t xml:space="preserve"> (13-52)</w:t>
      </w:r>
      <w:r w:rsidR="0066372F" w:rsidRPr="00542C74">
        <w:rPr>
          <w:rFonts w:ascii="Arial" w:eastAsia="Times New Roman" w:hAnsi="Arial" w:cs="Arial"/>
          <w:sz w:val="20"/>
          <w:szCs w:val="20"/>
          <w:lang w:eastAsia="en-IN"/>
        </w:rPr>
        <w:t xml:space="preserve"> (</w:t>
      </w:r>
      <w:r w:rsidR="001E59A9" w:rsidRPr="00542C74">
        <w:rPr>
          <w:rFonts w:ascii="Arial" w:eastAsia="Times New Roman" w:hAnsi="Arial" w:cs="Arial"/>
          <w:sz w:val="20"/>
          <w:szCs w:val="20"/>
          <w:lang w:eastAsia="en-IN"/>
        </w:rPr>
        <w:t>Das &amp; Mandal, 2015</w:t>
      </w:r>
      <w:r w:rsidR="0066372F"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These are immediately available to plants upon application. </w:t>
      </w:r>
      <w:r w:rsidRPr="00542C74">
        <w:rPr>
          <w:rFonts w:ascii="Arial" w:eastAsia="Times New Roman" w:hAnsi="Arial" w:cs="Arial"/>
          <w:i/>
          <w:iCs/>
          <w:sz w:val="20"/>
          <w:szCs w:val="20"/>
          <w:lang w:eastAsia="en-IN"/>
        </w:rPr>
        <w:t>Citric acid-soluble</w:t>
      </w:r>
      <w:r w:rsidRPr="00542C74">
        <w:rPr>
          <w:rFonts w:ascii="Arial" w:eastAsia="Times New Roman" w:hAnsi="Arial" w:cs="Arial"/>
          <w:sz w:val="20"/>
          <w:szCs w:val="20"/>
          <w:lang w:eastAsia="en-IN"/>
        </w:rPr>
        <w:t xml:space="preserve"> phosphorus sources like </w:t>
      </w:r>
      <w:r w:rsidRPr="00542C74">
        <w:rPr>
          <w:rFonts w:ascii="Arial" w:eastAsia="Times New Roman" w:hAnsi="Arial" w:cs="Arial"/>
          <w:i/>
          <w:iCs/>
          <w:sz w:val="20"/>
          <w:szCs w:val="20"/>
          <w:lang w:eastAsia="en-IN"/>
        </w:rPr>
        <w:t>basic slag</w:t>
      </w:r>
      <w:r w:rsidRPr="00542C74">
        <w:rPr>
          <w:rFonts w:ascii="Arial" w:eastAsia="Times New Roman" w:hAnsi="Arial" w:cs="Arial"/>
          <w:sz w:val="20"/>
          <w:szCs w:val="20"/>
          <w:lang w:eastAsia="en-IN"/>
        </w:rPr>
        <w:t xml:space="preserve"> and </w:t>
      </w:r>
      <w:r w:rsidRPr="00542C74">
        <w:rPr>
          <w:rFonts w:ascii="Arial" w:eastAsia="Times New Roman" w:hAnsi="Arial" w:cs="Arial"/>
          <w:i/>
          <w:iCs/>
          <w:sz w:val="20"/>
          <w:szCs w:val="20"/>
          <w:lang w:eastAsia="en-IN"/>
        </w:rPr>
        <w:t>Thomas slag</w:t>
      </w:r>
      <w:r w:rsidRPr="00542C74">
        <w:rPr>
          <w:rFonts w:ascii="Arial" w:eastAsia="Times New Roman" w:hAnsi="Arial" w:cs="Arial"/>
          <w:sz w:val="20"/>
          <w:szCs w:val="20"/>
          <w:lang w:eastAsia="en-IN"/>
        </w:rPr>
        <w:t xml:space="preserve">, containing 14–18% phosphorus, are less soluble and more effective in acidic soils. </w:t>
      </w:r>
      <w:r w:rsidRPr="00542C74">
        <w:rPr>
          <w:rFonts w:ascii="Arial" w:eastAsia="Times New Roman" w:hAnsi="Arial" w:cs="Arial"/>
          <w:i/>
          <w:iCs/>
          <w:sz w:val="20"/>
          <w:szCs w:val="20"/>
          <w:lang w:eastAsia="en-IN"/>
        </w:rPr>
        <w:t>Neither water nor citric acid-soluble</w:t>
      </w:r>
      <w:r w:rsidRPr="00542C74">
        <w:rPr>
          <w:rFonts w:ascii="Arial" w:eastAsia="Times New Roman" w:hAnsi="Arial" w:cs="Arial"/>
          <w:sz w:val="20"/>
          <w:szCs w:val="20"/>
          <w:lang w:eastAsia="en-IN"/>
        </w:rPr>
        <w:t xml:space="preserve"> sources, such as </w:t>
      </w:r>
      <w:r w:rsidRPr="00542C74">
        <w:rPr>
          <w:rFonts w:ascii="Arial" w:eastAsia="Times New Roman" w:hAnsi="Arial" w:cs="Arial"/>
          <w:i/>
          <w:iCs/>
          <w:sz w:val="20"/>
          <w:szCs w:val="20"/>
          <w:lang w:eastAsia="en-IN"/>
        </w:rPr>
        <w:t>rock phosphate</w:t>
      </w:r>
      <w:r w:rsidRPr="00542C74">
        <w:rPr>
          <w:rFonts w:ascii="Arial" w:eastAsia="Times New Roman" w:hAnsi="Arial" w:cs="Arial"/>
          <w:sz w:val="20"/>
          <w:szCs w:val="20"/>
          <w:lang w:eastAsia="en-IN"/>
        </w:rPr>
        <w:t xml:space="preserve"> (20–40%) and </w:t>
      </w:r>
      <w:r w:rsidRPr="00542C74">
        <w:rPr>
          <w:rFonts w:ascii="Arial" w:eastAsia="Times New Roman" w:hAnsi="Arial" w:cs="Arial"/>
          <w:i/>
          <w:iCs/>
          <w:sz w:val="20"/>
          <w:szCs w:val="20"/>
          <w:lang w:eastAsia="en-IN"/>
        </w:rPr>
        <w:t>bone meal</w:t>
      </w:r>
      <w:r w:rsidRPr="00542C74">
        <w:rPr>
          <w:rFonts w:ascii="Arial" w:eastAsia="Times New Roman" w:hAnsi="Arial" w:cs="Arial"/>
          <w:sz w:val="20"/>
          <w:szCs w:val="20"/>
          <w:lang w:eastAsia="en-IN"/>
        </w:rPr>
        <w:t xml:space="preserve"> (15% P), are slow-release fertilizers and depend on soil microbial activity and acidity for effectiveness</w:t>
      </w:r>
      <w:r w:rsidR="001E59A9" w:rsidRPr="00542C74">
        <w:rPr>
          <w:rFonts w:ascii="Arial" w:eastAsia="Times New Roman" w:hAnsi="Arial" w:cs="Arial"/>
          <w:sz w:val="20"/>
          <w:szCs w:val="20"/>
          <w:lang w:eastAsia="en-IN"/>
        </w:rPr>
        <w:t xml:space="preserve"> (</w:t>
      </w:r>
      <w:r w:rsidR="001E59A9" w:rsidRPr="00542C74">
        <w:rPr>
          <w:rFonts w:ascii="Arial" w:hAnsi="Arial" w:cs="Arial"/>
          <w:color w:val="222222"/>
          <w:sz w:val="20"/>
          <w:szCs w:val="20"/>
          <w:shd w:val="clear" w:color="auto" w:fill="FFFFFF"/>
        </w:rPr>
        <w:t>Nadarajan &amp; Sukumaran, 2021</w:t>
      </w:r>
      <w:r w:rsidR="001E59A9"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w:t>
      </w:r>
    </w:p>
    <w:p w14:paraId="5C86BAF8" w14:textId="37BF93D6" w:rsidR="00FA5F43" w:rsidRDefault="00FA5F43" w:rsidP="00542C74">
      <w:pPr>
        <w:spacing w:before="100" w:beforeAutospacing="1" w:after="100" w:afterAutospacing="1" w:line="240" w:lineRule="auto"/>
        <w:ind w:left="0"/>
        <w:rPr>
          <w:rFonts w:ascii="Arial" w:eastAsia="Times New Roman" w:hAnsi="Arial" w:cs="Arial"/>
          <w:sz w:val="20"/>
          <w:szCs w:val="20"/>
          <w:lang w:eastAsia="en-IN"/>
        </w:rPr>
      </w:pPr>
    </w:p>
    <w:p w14:paraId="4B97471E" w14:textId="77777777" w:rsidR="00FA5F43" w:rsidRPr="00542C74" w:rsidRDefault="00FA5F43" w:rsidP="00542C74">
      <w:pPr>
        <w:spacing w:before="100" w:beforeAutospacing="1" w:after="100" w:afterAutospacing="1" w:line="240" w:lineRule="auto"/>
        <w:ind w:left="0"/>
        <w:rPr>
          <w:rFonts w:ascii="Arial" w:eastAsia="Times New Roman" w:hAnsi="Arial" w:cs="Arial"/>
          <w:sz w:val="20"/>
          <w:szCs w:val="20"/>
          <w:lang w:eastAsia="en-IN"/>
        </w:rPr>
      </w:pPr>
    </w:p>
    <w:p w14:paraId="2C0E2B8A" w14:textId="41D9714C" w:rsidR="007853DA"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lastRenderedPageBreak/>
        <w:t xml:space="preserve">4.3 </w:t>
      </w:r>
      <w:r w:rsidR="007853DA" w:rsidRPr="00542C74">
        <w:rPr>
          <w:rFonts w:ascii="Arial" w:eastAsia="Times New Roman" w:hAnsi="Arial" w:cs="Arial"/>
          <w:b/>
          <w:bCs/>
          <w:sz w:val="20"/>
          <w:szCs w:val="20"/>
          <w:lang w:eastAsia="en-IN"/>
        </w:rPr>
        <w:t>Potassium Fertilizers</w:t>
      </w:r>
    </w:p>
    <w:p w14:paraId="36A91C68" w14:textId="51CA06DC" w:rsidR="007853DA" w:rsidRPr="00542C74" w:rsidRDefault="007853DA"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Potassium plays a key role in regulating physiological processes, including water uptake and enzyme activation. Two main forms of potassium fertilizers are in common use. </w:t>
      </w:r>
      <w:r w:rsidRPr="00542C74">
        <w:rPr>
          <w:rFonts w:ascii="Arial" w:eastAsia="Times New Roman" w:hAnsi="Arial" w:cs="Arial"/>
          <w:i/>
          <w:iCs/>
          <w:sz w:val="20"/>
          <w:szCs w:val="20"/>
          <w:lang w:eastAsia="en-IN"/>
        </w:rPr>
        <w:t>Muriate of potash (MOP or potassium chloride, KCl)</w:t>
      </w:r>
      <w:r w:rsidRPr="00542C74">
        <w:rPr>
          <w:rFonts w:ascii="Arial" w:eastAsia="Times New Roman" w:hAnsi="Arial" w:cs="Arial"/>
          <w:sz w:val="20"/>
          <w:szCs w:val="20"/>
          <w:lang w:eastAsia="en-IN"/>
        </w:rPr>
        <w:t xml:space="preserve"> contains 60% potassium and is widely used due to its high concentration. However, it may not be suitable for chloride-sensitive crops. In such cases, </w:t>
      </w:r>
      <w:r w:rsidRPr="00542C74">
        <w:rPr>
          <w:rFonts w:ascii="Arial" w:eastAsia="Times New Roman" w:hAnsi="Arial" w:cs="Arial"/>
          <w:i/>
          <w:iCs/>
          <w:sz w:val="20"/>
          <w:szCs w:val="20"/>
          <w:lang w:eastAsia="en-IN"/>
        </w:rPr>
        <w:t>sulphate of potash (SOP or potassium sulfate, K</w:t>
      </w:r>
      <w:r w:rsidRPr="00542C74">
        <w:rPr>
          <w:rFonts w:ascii="Cambria Math" w:eastAsia="Times New Roman" w:hAnsi="Cambria Math" w:cs="Cambria Math"/>
          <w:i/>
          <w:iCs/>
          <w:sz w:val="20"/>
          <w:szCs w:val="20"/>
          <w:lang w:eastAsia="en-IN"/>
        </w:rPr>
        <w:t>₂</w:t>
      </w:r>
      <w:r w:rsidRPr="00542C74">
        <w:rPr>
          <w:rFonts w:ascii="Arial" w:eastAsia="Times New Roman" w:hAnsi="Arial" w:cs="Arial"/>
          <w:i/>
          <w:iCs/>
          <w:sz w:val="20"/>
          <w:szCs w:val="20"/>
          <w:lang w:eastAsia="en-IN"/>
        </w:rPr>
        <w:t>SO</w:t>
      </w:r>
      <w:r w:rsidRPr="00542C74">
        <w:rPr>
          <w:rFonts w:ascii="Cambria Math" w:eastAsia="Times New Roman" w:hAnsi="Cambria Math" w:cs="Cambria Math"/>
          <w:i/>
          <w:iCs/>
          <w:sz w:val="20"/>
          <w:szCs w:val="20"/>
          <w:lang w:eastAsia="en-IN"/>
        </w:rPr>
        <w:t>₄</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is preferred, containing 50% potassium along with sulfur, and being free of chloride, it is ideal for fruits, vegetables, and other sensitive crops</w:t>
      </w:r>
      <w:r w:rsidR="001E59A9" w:rsidRPr="00542C74">
        <w:rPr>
          <w:rFonts w:ascii="Arial" w:eastAsia="Times New Roman" w:hAnsi="Arial" w:cs="Arial"/>
          <w:sz w:val="20"/>
          <w:szCs w:val="20"/>
          <w:lang w:eastAsia="en-IN"/>
        </w:rPr>
        <w:t xml:space="preserve"> (</w:t>
      </w:r>
      <w:r w:rsidR="001E59A9" w:rsidRPr="00542C74">
        <w:rPr>
          <w:rFonts w:ascii="Arial" w:hAnsi="Arial" w:cs="Arial"/>
          <w:color w:val="222222"/>
          <w:sz w:val="20"/>
          <w:szCs w:val="20"/>
          <w:shd w:val="clear" w:color="auto" w:fill="FFFFFF"/>
        </w:rPr>
        <w:t>Nieder et al., 2018</w:t>
      </w:r>
      <w:r w:rsidR="001E59A9"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w:t>
      </w:r>
    </w:p>
    <w:p w14:paraId="31843B24" w14:textId="77777777" w:rsidR="004D1BFD" w:rsidRPr="00542C74" w:rsidRDefault="004D1BFD" w:rsidP="00542C74">
      <w:pPr>
        <w:pStyle w:val="NormalWeb"/>
        <w:jc w:val="both"/>
        <w:rPr>
          <w:rFonts w:ascii="Arial" w:hAnsi="Arial" w:cs="Arial"/>
          <w:b/>
          <w:sz w:val="20"/>
          <w:szCs w:val="20"/>
        </w:rPr>
      </w:pPr>
      <w:r w:rsidRPr="00542C74">
        <w:rPr>
          <w:rFonts w:ascii="Arial" w:hAnsi="Arial" w:cs="Arial"/>
          <w:b/>
          <w:sz w:val="20"/>
          <w:szCs w:val="20"/>
        </w:rPr>
        <w:t>Mechanism of Key Greenhouse Gas Emissions from Fertilizer Application</w:t>
      </w:r>
    </w:p>
    <w:p w14:paraId="38DDB33D" w14:textId="77777777" w:rsidR="004D1BFD" w:rsidRPr="00542C74" w:rsidRDefault="004D1BFD" w:rsidP="00542C74">
      <w:pPr>
        <w:pStyle w:val="NormalWeb"/>
        <w:jc w:val="both"/>
        <w:rPr>
          <w:rFonts w:ascii="Arial" w:hAnsi="Arial" w:cs="Arial"/>
          <w:sz w:val="20"/>
          <w:szCs w:val="20"/>
        </w:rPr>
      </w:pPr>
      <w:r w:rsidRPr="00542C74">
        <w:rPr>
          <w:rFonts w:ascii="Arial" w:hAnsi="Arial" w:cs="Arial"/>
          <w:sz w:val="20"/>
          <w:szCs w:val="20"/>
        </w:rPr>
        <w:t>Fertilizer application is one of the primary drivers of greenhouse gas (GHG) emissions in agriculture, particularly contributing to the release of nitrous oxide (N</w:t>
      </w:r>
      <w:r w:rsidRPr="00542C74">
        <w:rPr>
          <w:rFonts w:ascii="Cambria Math" w:hAnsi="Cambria Math" w:cs="Cambria Math"/>
          <w:sz w:val="20"/>
          <w:szCs w:val="20"/>
        </w:rPr>
        <w:t>₂</w:t>
      </w:r>
      <w:r w:rsidRPr="00542C74">
        <w:rPr>
          <w:rFonts w:ascii="Arial" w:hAnsi="Arial" w:cs="Arial"/>
          <w:sz w:val="20"/>
          <w:szCs w:val="20"/>
        </w:rPr>
        <w:t>O) and methane (CH</w:t>
      </w:r>
      <w:r w:rsidRPr="00542C74">
        <w:rPr>
          <w:rFonts w:ascii="Cambria Math" w:hAnsi="Cambria Math" w:cs="Cambria Math"/>
          <w:sz w:val="20"/>
          <w:szCs w:val="20"/>
        </w:rPr>
        <w:t>₄</w:t>
      </w:r>
      <w:r w:rsidRPr="00542C74">
        <w:rPr>
          <w:rFonts w:ascii="Arial" w:hAnsi="Arial" w:cs="Arial"/>
          <w:sz w:val="20"/>
          <w:szCs w:val="20"/>
        </w:rPr>
        <w:t>). These gases have significant global warming potentials 298 times for N</w:t>
      </w:r>
      <w:r w:rsidRPr="00542C74">
        <w:rPr>
          <w:rFonts w:ascii="Cambria Math" w:hAnsi="Cambria Math" w:cs="Cambria Math"/>
          <w:sz w:val="20"/>
          <w:szCs w:val="20"/>
        </w:rPr>
        <w:t>₂</w:t>
      </w:r>
      <w:r w:rsidRPr="00542C74">
        <w:rPr>
          <w:rFonts w:ascii="Arial" w:hAnsi="Arial" w:cs="Arial"/>
          <w:sz w:val="20"/>
          <w:szCs w:val="20"/>
        </w:rPr>
        <w:t>O and 25 times for CH</w:t>
      </w:r>
      <w:r w:rsidRPr="00542C74">
        <w:rPr>
          <w:rFonts w:ascii="Cambria Math" w:hAnsi="Cambria Math" w:cs="Cambria Math"/>
          <w:sz w:val="20"/>
          <w:szCs w:val="20"/>
        </w:rPr>
        <w:t>₄</w:t>
      </w:r>
      <w:r w:rsidRPr="00542C74">
        <w:rPr>
          <w:rFonts w:ascii="Arial" w:hAnsi="Arial" w:cs="Arial"/>
          <w:sz w:val="20"/>
          <w:szCs w:val="20"/>
        </w:rPr>
        <w:t xml:space="preserve"> relative to CO</w:t>
      </w:r>
      <w:r w:rsidRPr="00542C74">
        <w:rPr>
          <w:rFonts w:ascii="Cambria Math" w:hAnsi="Cambria Math" w:cs="Cambria Math"/>
          <w:sz w:val="20"/>
          <w:szCs w:val="20"/>
        </w:rPr>
        <w:t>₂</w:t>
      </w:r>
      <w:r w:rsidRPr="00542C74">
        <w:rPr>
          <w:rFonts w:ascii="Arial" w:hAnsi="Arial" w:cs="Arial"/>
          <w:sz w:val="20"/>
          <w:szCs w:val="20"/>
        </w:rPr>
        <w:t>—making their emissions especially critical to climate change. The mechanism behind N</w:t>
      </w:r>
      <w:r w:rsidRPr="00542C74">
        <w:rPr>
          <w:rFonts w:ascii="Cambria Math" w:hAnsi="Cambria Math" w:cs="Cambria Math"/>
          <w:sz w:val="20"/>
          <w:szCs w:val="20"/>
        </w:rPr>
        <w:t>₂</w:t>
      </w:r>
      <w:r w:rsidRPr="00542C74">
        <w:rPr>
          <w:rFonts w:ascii="Arial" w:hAnsi="Arial" w:cs="Arial"/>
          <w:sz w:val="20"/>
          <w:szCs w:val="20"/>
        </w:rPr>
        <w:t>O emissions begins when nitrogen fertilizers, especially synthetic ones like urea and ammonium nitrate, are applied to soil. Microbial processes nitrification under aerobic conditions and denitrification under anaerobic conditions convert these fertilizers into N</w:t>
      </w:r>
      <w:r w:rsidRPr="00542C74">
        <w:rPr>
          <w:rFonts w:ascii="Cambria Math" w:hAnsi="Cambria Math" w:cs="Cambria Math"/>
          <w:sz w:val="20"/>
          <w:szCs w:val="20"/>
        </w:rPr>
        <w:t>₂</w:t>
      </w:r>
      <w:r w:rsidRPr="00542C74">
        <w:rPr>
          <w:rFonts w:ascii="Arial" w:hAnsi="Arial" w:cs="Arial"/>
          <w:sz w:val="20"/>
          <w:szCs w:val="20"/>
        </w:rPr>
        <w:t>O. Direct emissions occur from the fertilized soil itself, while indirect emissions result from nitrogen losses via leaching and volatilization that later transform into N</w:t>
      </w:r>
      <w:r w:rsidRPr="00542C74">
        <w:rPr>
          <w:rFonts w:ascii="Cambria Math" w:hAnsi="Cambria Math" w:cs="Cambria Math"/>
          <w:sz w:val="20"/>
          <w:szCs w:val="20"/>
        </w:rPr>
        <w:t>₂</w:t>
      </w:r>
      <w:r w:rsidRPr="00542C74">
        <w:rPr>
          <w:rFonts w:ascii="Arial" w:hAnsi="Arial" w:cs="Arial"/>
          <w:sz w:val="20"/>
          <w:szCs w:val="20"/>
        </w:rPr>
        <w:t>O in adjacent environments.</w:t>
      </w:r>
    </w:p>
    <w:p w14:paraId="2C31F8DD" w14:textId="77777777" w:rsidR="004D1BFD" w:rsidRPr="00542C74" w:rsidRDefault="004D1BFD" w:rsidP="00542C74">
      <w:pPr>
        <w:pStyle w:val="NormalWeb"/>
        <w:ind w:firstLine="720"/>
        <w:jc w:val="both"/>
        <w:rPr>
          <w:rFonts w:ascii="Arial" w:hAnsi="Arial" w:cs="Arial"/>
          <w:sz w:val="20"/>
          <w:szCs w:val="20"/>
        </w:rPr>
      </w:pPr>
      <w:r w:rsidRPr="00542C74">
        <w:rPr>
          <w:rFonts w:ascii="Arial" w:hAnsi="Arial" w:cs="Arial"/>
          <w:sz w:val="20"/>
          <w:szCs w:val="20"/>
        </w:rPr>
        <w:t>CH</w:t>
      </w:r>
      <w:r w:rsidRPr="00542C74">
        <w:rPr>
          <w:rFonts w:ascii="Cambria Math" w:hAnsi="Cambria Math" w:cs="Cambria Math"/>
          <w:sz w:val="20"/>
          <w:szCs w:val="20"/>
        </w:rPr>
        <w:t>₄</w:t>
      </w:r>
      <w:r w:rsidRPr="00542C74">
        <w:rPr>
          <w:rFonts w:ascii="Arial" w:hAnsi="Arial" w:cs="Arial"/>
          <w:sz w:val="20"/>
          <w:szCs w:val="20"/>
        </w:rPr>
        <w:t xml:space="preserve"> emissions, on the other hand, are predominantly associated with flooded rice paddies where anaerobic conditions prevail. Under these settings, methanogenic archaea decompose organic matter, producing methane. This CH</w:t>
      </w:r>
      <w:r w:rsidRPr="00542C74">
        <w:rPr>
          <w:rFonts w:ascii="Cambria Math" w:hAnsi="Cambria Math" w:cs="Cambria Math"/>
          <w:sz w:val="20"/>
          <w:szCs w:val="20"/>
        </w:rPr>
        <w:t>₄</w:t>
      </w:r>
      <w:r w:rsidRPr="00542C74">
        <w:rPr>
          <w:rFonts w:ascii="Arial" w:hAnsi="Arial" w:cs="Arial"/>
          <w:sz w:val="20"/>
          <w:szCs w:val="20"/>
        </w:rPr>
        <w:t xml:space="preserve"> is then released into the atmosphere through ebullition (bubbling), plant-mediated transport, and diffusion. Factors such as continuous flooding, high organic input, and lack of mid-season drainage significantly elevate CH</w:t>
      </w:r>
      <w:r w:rsidRPr="00542C74">
        <w:rPr>
          <w:rFonts w:ascii="Cambria Math" w:hAnsi="Cambria Math" w:cs="Cambria Math"/>
          <w:sz w:val="20"/>
          <w:szCs w:val="20"/>
        </w:rPr>
        <w:t>₄</w:t>
      </w:r>
      <w:r w:rsidRPr="00542C74">
        <w:rPr>
          <w:rFonts w:ascii="Arial" w:hAnsi="Arial" w:cs="Arial"/>
          <w:sz w:val="20"/>
          <w:szCs w:val="20"/>
        </w:rPr>
        <w:t xml:space="preserve"> emissions. Together, N</w:t>
      </w:r>
      <w:r w:rsidRPr="00542C74">
        <w:rPr>
          <w:rFonts w:ascii="Cambria Math" w:hAnsi="Cambria Math" w:cs="Cambria Math"/>
          <w:sz w:val="20"/>
          <w:szCs w:val="20"/>
        </w:rPr>
        <w:t>₂</w:t>
      </w:r>
      <w:r w:rsidRPr="00542C74">
        <w:rPr>
          <w:rFonts w:ascii="Arial" w:hAnsi="Arial" w:cs="Arial"/>
          <w:sz w:val="20"/>
          <w:szCs w:val="20"/>
        </w:rPr>
        <w:t>O and CH</w:t>
      </w:r>
      <w:r w:rsidRPr="00542C74">
        <w:rPr>
          <w:rFonts w:ascii="Cambria Math" w:hAnsi="Cambria Math" w:cs="Cambria Math"/>
          <w:sz w:val="20"/>
          <w:szCs w:val="20"/>
        </w:rPr>
        <w:t>₄</w:t>
      </w:r>
      <w:r w:rsidRPr="00542C74">
        <w:rPr>
          <w:rFonts w:ascii="Arial" w:hAnsi="Arial" w:cs="Arial"/>
          <w:sz w:val="20"/>
          <w:szCs w:val="20"/>
        </w:rPr>
        <w:t xml:space="preserve"> emissions from fertilizer use represent the most critical environmental challenge in rice cultivation and nitrogen-intensive cropping systems. Their release is not only a product of excessive or poorly managed fertilizer application, but also of agronomic practices that overlook water, organic matter, and soil microbial balance. Therefore, understanding these mechanisms is essential to implementing targeted mitigation strategies such as alternate wetting and drying (AWD), enhanced efficiency fertilizers (EEFs), and inhibitors like DCD or NBPT. This mechanistic understanding is the crux of this review, as it underpins both the problem of agriculture-driven climate change and the path to sustainable fertilizer use.</w:t>
      </w:r>
    </w:p>
    <w:p w14:paraId="474EB8AB" w14:textId="77777777" w:rsidR="00B760E2" w:rsidRPr="00542C74" w:rsidRDefault="00B760E2" w:rsidP="00542C74">
      <w:pPr>
        <w:spacing w:before="100" w:beforeAutospacing="1" w:after="100" w:afterAutospacing="1" w:line="240" w:lineRule="auto"/>
        <w:ind w:left="0"/>
        <w:rPr>
          <w:rFonts w:ascii="Arial" w:eastAsia="Times New Roman" w:hAnsi="Arial" w:cs="Arial"/>
          <w:color w:val="EE0000"/>
          <w:sz w:val="20"/>
          <w:szCs w:val="20"/>
          <w:lang w:eastAsia="en-IN"/>
        </w:rPr>
      </w:pPr>
    </w:p>
    <w:p w14:paraId="13738EC4" w14:textId="4ABA22CE" w:rsidR="00115DE3" w:rsidRPr="00542C74" w:rsidRDefault="005C7F12" w:rsidP="00542C74">
      <w:pPr>
        <w:pStyle w:val="ListParagraph"/>
        <w:numPr>
          <w:ilvl w:val="0"/>
          <w:numId w:val="36"/>
        </w:numPr>
        <w:spacing w:before="100" w:beforeAutospacing="1" w:after="100" w:afterAutospacing="1" w:line="240" w:lineRule="auto"/>
        <w:outlineLvl w:val="2"/>
        <w:rPr>
          <w:rFonts w:ascii="Arial" w:eastAsia="Times New Roman" w:hAnsi="Arial" w:cs="Arial"/>
          <w:b/>
          <w:bCs/>
          <w:sz w:val="20"/>
          <w:szCs w:val="20"/>
          <w:lang w:eastAsia="en-IN"/>
        </w:rPr>
      </w:pPr>
      <w:r w:rsidRPr="00542C74">
        <w:rPr>
          <w:rFonts w:ascii="Arial" w:eastAsia="Times New Roman" w:hAnsi="Arial" w:cs="Arial"/>
          <w:b/>
          <w:bCs/>
          <w:sz w:val="20"/>
          <w:szCs w:val="20"/>
          <w:lang w:eastAsia="en-IN"/>
        </w:rPr>
        <w:t>MITIGATION STRATEGIES</w:t>
      </w:r>
    </w:p>
    <w:p w14:paraId="2F5F4B33" w14:textId="75D4B6FF" w:rsidR="005C7F12" w:rsidRPr="00542C74" w:rsidRDefault="005C7F1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Mitigating the environmental impacts of fertilizer use, particularly concerning greenhouse gas (GHG) emissions, is crucial for sustainable agriculture. Several strategies have been identified to address these challenges, focusing on optimizing fertilizer application, integrating nutrient management practices, and adopting innovative technologies. To address the environmental challenges posed by fertilizer use, several mitigation strategies have been proposed:</w:t>
      </w:r>
    </w:p>
    <w:p w14:paraId="0757252C" w14:textId="04549CE7" w:rsidR="005C7F12"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5.1 </w:t>
      </w:r>
      <w:r w:rsidR="005C7F12" w:rsidRPr="00542C74">
        <w:rPr>
          <w:rFonts w:ascii="Arial" w:eastAsia="Times New Roman" w:hAnsi="Arial" w:cs="Arial"/>
          <w:b/>
          <w:bCs/>
          <w:sz w:val="20"/>
          <w:szCs w:val="20"/>
          <w:lang w:eastAsia="en-IN"/>
        </w:rPr>
        <w:t>Optimized Fertilizer Application</w:t>
      </w:r>
    </w:p>
    <w:p w14:paraId="3539CA79" w14:textId="5592B3B2" w:rsidR="005C7F12" w:rsidRPr="00542C74" w:rsidRDefault="005C7F1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Applying fertilizers based on precise soil testing and crop requirements enhances nutrient use efficiency and minimizes excess application</w:t>
      </w:r>
      <w:r w:rsidR="001E59A9" w:rsidRPr="00542C74">
        <w:rPr>
          <w:rFonts w:ascii="Arial" w:eastAsia="Times New Roman" w:hAnsi="Arial" w:cs="Arial"/>
          <w:sz w:val="20"/>
          <w:szCs w:val="20"/>
          <w:lang w:eastAsia="en-IN"/>
        </w:rPr>
        <w:t xml:space="preserve"> (Yadav et al., 2017)</w:t>
      </w:r>
      <w:r w:rsidRPr="00542C74">
        <w:rPr>
          <w:rFonts w:ascii="Arial" w:eastAsia="Times New Roman" w:hAnsi="Arial" w:cs="Arial"/>
          <w:sz w:val="20"/>
          <w:szCs w:val="20"/>
          <w:lang w:eastAsia="en-IN"/>
        </w:rPr>
        <w:t>. This approach reduces the likelihood of nutrient runoff and leaching, which can lead to water pollution and increased GHG emissions. By aligning fertilizer application with plant needs, farmers can achieve optimal yields while mitigating environmental impacts.</w:t>
      </w:r>
    </w:p>
    <w:p w14:paraId="0519545C" w14:textId="47726180" w:rsidR="005C7F12"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5.2 </w:t>
      </w:r>
      <w:r w:rsidR="005C7F12" w:rsidRPr="00542C74">
        <w:rPr>
          <w:rFonts w:ascii="Arial" w:eastAsia="Times New Roman" w:hAnsi="Arial" w:cs="Arial"/>
          <w:b/>
          <w:bCs/>
          <w:sz w:val="20"/>
          <w:szCs w:val="20"/>
          <w:lang w:eastAsia="en-IN"/>
        </w:rPr>
        <w:t>Precision Agriculture</w:t>
      </w:r>
    </w:p>
    <w:p w14:paraId="37C5FD14" w14:textId="0A1356BA" w:rsidR="005C7F12" w:rsidRPr="00542C74" w:rsidRDefault="005C7F1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The utilization of precision agriculture technologies, such as GPS-guided equipment and remote sensing, allows for accurate fertilizer placement. These technologies enable variable rate application, ensuring that fertilizers are applied only where needed, thus reducing waste and environmental impact. </w:t>
      </w:r>
      <w:r w:rsidRPr="00542C74">
        <w:rPr>
          <w:rFonts w:ascii="Arial" w:eastAsia="Times New Roman" w:hAnsi="Arial" w:cs="Arial"/>
          <w:sz w:val="20"/>
          <w:szCs w:val="20"/>
          <w:lang w:eastAsia="en-IN"/>
        </w:rPr>
        <w:lastRenderedPageBreak/>
        <w:t>Precision agriculture also facilitates real-time monitoring of soil and crop conditions, allowing for timely interventions and efficient resource use</w:t>
      </w:r>
      <w:r w:rsidR="001E59A9" w:rsidRPr="00542C74">
        <w:rPr>
          <w:rFonts w:ascii="Arial" w:eastAsia="Times New Roman" w:hAnsi="Arial" w:cs="Arial"/>
          <w:sz w:val="20"/>
          <w:szCs w:val="20"/>
          <w:lang w:eastAsia="en-IN"/>
        </w:rPr>
        <w:t xml:space="preserve"> (Getahun et al., 2024)</w:t>
      </w:r>
      <w:r w:rsidRPr="00542C74">
        <w:rPr>
          <w:rFonts w:ascii="Arial" w:eastAsia="Times New Roman" w:hAnsi="Arial" w:cs="Arial"/>
          <w:sz w:val="20"/>
          <w:szCs w:val="20"/>
          <w:lang w:eastAsia="en-IN"/>
        </w:rPr>
        <w:t>.</w:t>
      </w:r>
    </w:p>
    <w:p w14:paraId="5997FC07" w14:textId="77777777" w:rsidR="004D1BFD" w:rsidRPr="00542C74" w:rsidRDefault="004D1BFD" w:rsidP="00542C74">
      <w:pPr>
        <w:pStyle w:val="Heading3"/>
        <w:jc w:val="both"/>
        <w:rPr>
          <w:rFonts w:ascii="Arial" w:hAnsi="Arial" w:cs="Arial"/>
          <w:sz w:val="20"/>
          <w:szCs w:val="20"/>
        </w:rPr>
      </w:pPr>
      <w:r w:rsidRPr="00542C74">
        <w:rPr>
          <w:rFonts w:ascii="Arial" w:hAnsi="Arial" w:cs="Arial"/>
          <w:sz w:val="20"/>
          <w:szCs w:val="20"/>
        </w:rPr>
        <w:t>Mechanism of Greenhouse Gas Emissions from Fertilizer Application and the Role of 4R Stewardship</w:t>
      </w:r>
    </w:p>
    <w:p w14:paraId="36AC869D" w14:textId="0725A6C8" w:rsidR="004D1BFD" w:rsidRPr="00542C74" w:rsidRDefault="004D1BFD" w:rsidP="00542C74">
      <w:pPr>
        <w:pStyle w:val="NormalWeb"/>
        <w:jc w:val="both"/>
        <w:rPr>
          <w:rFonts w:ascii="Arial" w:hAnsi="Arial" w:cs="Arial"/>
          <w:sz w:val="20"/>
          <w:szCs w:val="20"/>
        </w:rPr>
      </w:pPr>
      <w:r w:rsidRPr="00542C74">
        <w:rPr>
          <w:rFonts w:ascii="Arial" w:hAnsi="Arial" w:cs="Arial"/>
          <w:sz w:val="20"/>
          <w:szCs w:val="20"/>
        </w:rPr>
        <w:t xml:space="preserve">Fertilizer application in agriculture plays a pivotal role in greenhouse gas (GHG) emissions, particularly through the release of </w:t>
      </w:r>
      <w:r w:rsidRPr="00542C74">
        <w:rPr>
          <w:rStyle w:val="Strong"/>
          <w:rFonts w:ascii="Arial" w:hAnsi="Arial" w:cs="Arial"/>
          <w:b w:val="0"/>
          <w:sz w:val="20"/>
          <w:szCs w:val="20"/>
        </w:rPr>
        <w:t>nitrous oxide (N</w:t>
      </w:r>
      <w:r w:rsidRPr="00542C74">
        <w:rPr>
          <w:rStyle w:val="Strong"/>
          <w:rFonts w:ascii="Cambria Math" w:hAnsi="Cambria Math" w:cs="Cambria Math"/>
          <w:b w:val="0"/>
          <w:sz w:val="20"/>
          <w:szCs w:val="20"/>
        </w:rPr>
        <w:t>₂</w:t>
      </w:r>
      <w:r w:rsidRPr="00542C74">
        <w:rPr>
          <w:rStyle w:val="Strong"/>
          <w:rFonts w:ascii="Arial" w:hAnsi="Arial" w:cs="Arial"/>
          <w:b w:val="0"/>
          <w:sz w:val="20"/>
          <w:szCs w:val="20"/>
        </w:rPr>
        <w:t>O)</w:t>
      </w:r>
      <w:r w:rsidRPr="00542C74">
        <w:rPr>
          <w:rFonts w:ascii="Arial" w:hAnsi="Arial" w:cs="Arial"/>
          <w:sz w:val="20"/>
          <w:szCs w:val="20"/>
        </w:rPr>
        <w:t xml:space="preserve"> and </w:t>
      </w:r>
      <w:r w:rsidRPr="00542C74">
        <w:rPr>
          <w:rStyle w:val="Strong"/>
          <w:rFonts w:ascii="Arial" w:hAnsi="Arial" w:cs="Arial"/>
          <w:b w:val="0"/>
          <w:sz w:val="20"/>
          <w:szCs w:val="20"/>
        </w:rPr>
        <w:t>methane (CH</w:t>
      </w:r>
      <w:r w:rsidRPr="00542C74">
        <w:rPr>
          <w:rStyle w:val="Strong"/>
          <w:rFonts w:ascii="Cambria Math" w:hAnsi="Cambria Math" w:cs="Cambria Math"/>
          <w:b w:val="0"/>
          <w:sz w:val="20"/>
          <w:szCs w:val="20"/>
        </w:rPr>
        <w:t>₄</w:t>
      </w:r>
      <w:r w:rsidRPr="00542C74">
        <w:rPr>
          <w:rStyle w:val="Strong"/>
          <w:rFonts w:ascii="Arial" w:hAnsi="Arial" w:cs="Arial"/>
          <w:b w:val="0"/>
          <w:sz w:val="20"/>
          <w:szCs w:val="20"/>
        </w:rPr>
        <w:t>)</w:t>
      </w:r>
      <w:r w:rsidRPr="00542C74">
        <w:rPr>
          <w:rFonts w:ascii="Arial" w:hAnsi="Arial" w:cs="Arial"/>
          <w:b/>
          <w:sz w:val="20"/>
          <w:szCs w:val="20"/>
        </w:rPr>
        <w:t>,</w:t>
      </w:r>
      <w:r w:rsidRPr="00542C74">
        <w:rPr>
          <w:rFonts w:ascii="Arial" w:hAnsi="Arial" w:cs="Arial"/>
          <w:sz w:val="20"/>
          <w:szCs w:val="20"/>
        </w:rPr>
        <w:t xml:space="preserve"> which have global warming potentials 298 and 25 times higher than carbon dioxide (CO</w:t>
      </w:r>
      <w:r w:rsidRPr="00542C74">
        <w:rPr>
          <w:rFonts w:ascii="Cambria Math" w:hAnsi="Cambria Math" w:cs="Cambria Math"/>
          <w:sz w:val="20"/>
          <w:szCs w:val="20"/>
        </w:rPr>
        <w:t>₂</w:t>
      </w:r>
      <w:r w:rsidRPr="00542C74">
        <w:rPr>
          <w:rFonts w:ascii="Arial" w:hAnsi="Arial" w:cs="Arial"/>
          <w:sz w:val="20"/>
          <w:szCs w:val="20"/>
        </w:rPr>
        <w:t>), respectively</w:t>
      </w:r>
      <w:r w:rsidR="00F37288" w:rsidRPr="00542C74">
        <w:rPr>
          <w:rFonts w:ascii="Arial" w:hAnsi="Arial" w:cs="Arial"/>
          <w:sz w:val="20"/>
          <w:szCs w:val="20"/>
        </w:rPr>
        <w:t xml:space="preserve"> (</w:t>
      </w:r>
      <w:r w:rsidR="00F37288" w:rsidRPr="00542C74">
        <w:rPr>
          <w:rFonts w:ascii="Arial" w:hAnsi="Arial" w:cs="Arial"/>
          <w:color w:val="222222"/>
          <w:sz w:val="20"/>
          <w:szCs w:val="20"/>
          <w:shd w:val="clear" w:color="auto" w:fill="FFFFFF"/>
        </w:rPr>
        <w:t>Filonchyk et al., 2024</w:t>
      </w:r>
      <w:r w:rsidR="00F37288" w:rsidRPr="00542C74">
        <w:rPr>
          <w:rFonts w:ascii="Arial" w:hAnsi="Arial" w:cs="Arial"/>
          <w:sz w:val="20"/>
          <w:szCs w:val="20"/>
        </w:rPr>
        <w:t>)</w:t>
      </w:r>
      <w:r w:rsidRPr="00542C74">
        <w:rPr>
          <w:rFonts w:ascii="Arial" w:hAnsi="Arial" w:cs="Arial"/>
          <w:sz w:val="20"/>
          <w:szCs w:val="20"/>
        </w:rPr>
        <w:t>. The emission of N</w:t>
      </w:r>
      <w:r w:rsidRPr="00542C74">
        <w:rPr>
          <w:rFonts w:ascii="Cambria Math" w:hAnsi="Cambria Math" w:cs="Cambria Math"/>
          <w:sz w:val="20"/>
          <w:szCs w:val="20"/>
        </w:rPr>
        <w:t>₂</w:t>
      </w:r>
      <w:r w:rsidRPr="00542C74">
        <w:rPr>
          <w:rFonts w:ascii="Arial" w:hAnsi="Arial" w:cs="Arial"/>
          <w:sz w:val="20"/>
          <w:szCs w:val="20"/>
        </w:rPr>
        <w:t xml:space="preserve">O primarily results from two microbial soil processes: </w:t>
      </w:r>
      <w:r w:rsidRPr="00542C74">
        <w:rPr>
          <w:rStyle w:val="Strong"/>
          <w:rFonts w:ascii="Arial" w:hAnsi="Arial" w:cs="Arial"/>
          <w:b w:val="0"/>
          <w:sz w:val="20"/>
          <w:szCs w:val="20"/>
        </w:rPr>
        <w:t>nitrification</w:t>
      </w:r>
      <w:r w:rsidRPr="00542C74">
        <w:rPr>
          <w:rFonts w:ascii="Arial" w:hAnsi="Arial" w:cs="Arial"/>
          <w:sz w:val="20"/>
          <w:szCs w:val="20"/>
        </w:rPr>
        <w:t xml:space="preserve"> and </w:t>
      </w:r>
      <w:r w:rsidRPr="00542C74">
        <w:rPr>
          <w:rStyle w:val="Strong"/>
          <w:rFonts w:ascii="Arial" w:hAnsi="Arial" w:cs="Arial"/>
          <w:b w:val="0"/>
          <w:sz w:val="20"/>
          <w:szCs w:val="20"/>
        </w:rPr>
        <w:t>denitrification</w:t>
      </w:r>
      <w:r w:rsidRPr="00542C74">
        <w:rPr>
          <w:rFonts w:ascii="Arial" w:hAnsi="Arial" w:cs="Arial"/>
          <w:b/>
          <w:sz w:val="20"/>
          <w:szCs w:val="20"/>
        </w:rPr>
        <w:t>.</w:t>
      </w:r>
      <w:r w:rsidRPr="00542C74">
        <w:rPr>
          <w:rFonts w:ascii="Arial" w:hAnsi="Arial" w:cs="Arial"/>
          <w:sz w:val="20"/>
          <w:szCs w:val="20"/>
        </w:rPr>
        <w:t xml:space="preserve"> Nitrification occurs under aerobic conditions where ammonium (NH</w:t>
      </w:r>
      <w:r w:rsidRPr="00542C74">
        <w:rPr>
          <w:rFonts w:ascii="Cambria Math" w:hAnsi="Cambria Math" w:cs="Cambria Math"/>
          <w:sz w:val="20"/>
          <w:szCs w:val="20"/>
        </w:rPr>
        <w:t>₄⁺</w:t>
      </w:r>
      <w:r w:rsidRPr="00542C74">
        <w:rPr>
          <w:rFonts w:ascii="Arial" w:hAnsi="Arial" w:cs="Arial"/>
          <w:sz w:val="20"/>
          <w:szCs w:val="20"/>
        </w:rPr>
        <w:t>) is converted into nitrate (NO</w:t>
      </w:r>
      <w:r w:rsidRPr="00542C74">
        <w:rPr>
          <w:rFonts w:ascii="Cambria Math" w:hAnsi="Cambria Math" w:cs="Cambria Math"/>
          <w:sz w:val="20"/>
          <w:szCs w:val="20"/>
        </w:rPr>
        <w:t>₃⁻</w:t>
      </w:r>
      <w:r w:rsidRPr="00542C74">
        <w:rPr>
          <w:rFonts w:ascii="Arial" w:hAnsi="Arial" w:cs="Arial"/>
          <w:sz w:val="20"/>
          <w:szCs w:val="20"/>
        </w:rPr>
        <w:t>), while denitrification takes place in anaerobic environments, converting nitrate into nitrogen gas (N</w:t>
      </w:r>
      <w:r w:rsidRPr="00542C74">
        <w:rPr>
          <w:rFonts w:ascii="Cambria Math" w:hAnsi="Cambria Math" w:cs="Cambria Math"/>
          <w:sz w:val="20"/>
          <w:szCs w:val="20"/>
        </w:rPr>
        <w:t>₂</w:t>
      </w:r>
      <w:r w:rsidRPr="00542C74">
        <w:rPr>
          <w:rFonts w:ascii="Arial" w:hAnsi="Arial" w:cs="Arial"/>
          <w:sz w:val="20"/>
          <w:szCs w:val="20"/>
        </w:rPr>
        <w:t>) with N</w:t>
      </w:r>
      <w:r w:rsidRPr="00542C74">
        <w:rPr>
          <w:rFonts w:ascii="Cambria Math" w:hAnsi="Cambria Math" w:cs="Cambria Math"/>
          <w:sz w:val="20"/>
          <w:szCs w:val="20"/>
        </w:rPr>
        <w:t>₂</w:t>
      </w:r>
      <w:r w:rsidRPr="00542C74">
        <w:rPr>
          <w:rFonts w:ascii="Arial" w:hAnsi="Arial" w:cs="Arial"/>
          <w:sz w:val="20"/>
          <w:szCs w:val="20"/>
        </w:rPr>
        <w:t>O as an intermediate</w:t>
      </w:r>
      <w:r w:rsidR="00F37288" w:rsidRPr="00542C74">
        <w:rPr>
          <w:rFonts w:ascii="Arial" w:hAnsi="Arial" w:cs="Arial"/>
          <w:sz w:val="20"/>
          <w:szCs w:val="20"/>
        </w:rPr>
        <w:t xml:space="preserve"> (Zhao et al., 2025)</w:t>
      </w:r>
      <w:r w:rsidRPr="00542C74">
        <w:rPr>
          <w:rFonts w:ascii="Arial" w:hAnsi="Arial" w:cs="Arial"/>
          <w:sz w:val="20"/>
          <w:szCs w:val="20"/>
        </w:rPr>
        <w:t xml:space="preserve">. These emissions are driven by the application of nitrogen-rich fertilizers, especially urea and ammonium nitrate, and can be </w:t>
      </w:r>
      <w:r w:rsidRPr="00542C74">
        <w:rPr>
          <w:rStyle w:val="Strong"/>
          <w:rFonts w:ascii="Arial" w:hAnsi="Arial" w:cs="Arial"/>
          <w:b w:val="0"/>
          <w:sz w:val="20"/>
          <w:szCs w:val="20"/>
        </w:rPr>
        <w:t>direct</w:t>
      </w:r>
      <w:r w:rsidRPr="00542C74">
        <w:rPr>
          <w:rFonts w:ascii="Arial" w:hAnsi="Arial" w:cs="Arial"/>
          <w:sz w:val="20"/>
          <w:szCs w:val="20"/>
        </w:rPr>
        <w:t xml:space="preserve"> (from the soil where fertilizers are applied) or </w:t>
      </w:r>
      <w:r w:rsidRPr="00542C74">
        <w:rPr>
          <w:rStyle w:val="Strong"/>
          <w:rFonts w:ascii="Arial" w:hAnsi="Arial" w:cs="Arial"/>
          <w:b w:val="0"/>
          <w:sz w:val="20"/>
          <w:szCs w:val="20"/>
        </w:rPr>
        <w:t>indirect</w:t>
      </w:r>
      <w:r w:rsidRPr="00542C74">
        <w:rPr>
          <w:rFonts w:ascii="Arial" w:hAnsi="Arial" w:cs="Arial"/>
          <w:sz w:val="20"/>
          <w:szCs w:val="20"/>
        </w:rPr>
        <w:t xml:space="preserve"> (from nitrogen that leaches or volatilizes and then transforms elsewhere). Methane (CH</w:t>
      </w:r>
      <w:r w:rsidRPr="00542C74">
        <w:rPr>
          <w:rFonts w:ascii="Cambria Math" w:hAnsi="Cambria Math" w:cs="Cambria Math"/>
          <w:sz w:val="20"/>
          <w:szCs w:val="20"/>
        </w:rPr>
        <w:t>₄</w:t>
      </w:r>
      <w:r w:rsidRPr="00542C74">
        <w:rPr>
          <w:rFonts w:ascii="Arial" w:hAnsi="Arial" w:cs="Arial"/>
          <w:sz w:val="20"/>
          <w:szCs w:val="20"/>
        </w:rPr>
        <w:t xml:space="preserve">) emissions are most significant in </w:t>
      </w:r>
      <w:r w:rsidRPr="00542C74">
        <w:rPr>
          <w:rStyle w:val="Strong"/>
          <w:rFonts w:ascii="Arial" w:hAnsi="Arial" w:cs="Arial"/>
          <w:b w:val="0"/>
          <w:sz w:val="20"/>
          <w:szCs w:val="20"/>
        </w:rPr>
        <w:t>flooded rice fields</w:t>
      </w:r>
      <w:r w:rsidRPr="00542C74">
        <w:rPr>
          <w:rFonts w:ascii="Arial" w:hAnsi="Arial" w:cs="Arial"/>
          <w:b/>
          <w:sz w:val="20"/>
          <w:szCs w:val="20"/>
        </w:rPr>
        <w:t>,</w:t>
      </w:r>
      <w:r w:rsidRPr="00542C74">
        <w:rPr>
          <w:rFonts w:ascii="Arial" w:hAnsi="Arial" w:cs="Arial"/>
          <w:sz w:val="20"/>
          <w:szCs w:val="20"/>
        </w:rPr>
        <w:t xml:space="preserve"> where the absence of oxygen supports the activity of methanogenic archaea. These microbes decompose organic matter and release CH</w:t>
      </w:r>
      <w:r w:rsidRPr="00542C74">
        <w:rPr>
          <w:rFonts w:ascii="Cambria Math" w:hAnsi="Cambria Math" w:cs="Cambria Math"/>
          <w:sz w:val="20"/>
          <w:szCs w:val="20"/>
        </w:rPr>
        <w:t>₄</w:t>
      </w:r>
      <w:r w:rsidRPr="00542C74">
        <w:rPr>
          <w:rFonts w:ascii="Arial" w:hAnsi="Arial" w:cs="Arial"/>
          <w:sz w:val="20"/>
          <w:szCs w:val="20"/>
        </w:rPr>
        <w:t xml:space="preserve">, which escapes the soil via </w:t>
      </w:r>
      <w:r w:rsidRPr="00542C74">
        <w:rPr>
          <w:rStyle w:val="Strong"/>
          <w:rFonts w:ascii="Arial" w:hAnsi="Arial" w:cs="Arial"/>
          <w:b w:val="0"/>
          <w:sz w:val="20"/>
          <w:szCs w:val="20"/>
        </w:rPr>
        <w:t>ebullition</w:t>
      </w:r>
      <w:r w:rsidRPr="00542C74">
        <w:rPr>
          <w:rFonts w:ascii="Arial" w:hAnsi="Arial" w:cs="Arial"/>
          <w:b/>
          <w:sz w:val="20"/>
          <w:szCs w:val="20"/>
        </w:rPr>
        <w:t xml:space="preserve">, </w:t>
      </w:r>
      <w:r w:rsidRPr="00542C74">
        <w:rPr>
          <w:rStyle w:val="Strong"/>
          <w:rFonts w:ascii="Arial" w:hAnsi="Arial" w:cs="Arial"/>
          <w:b w:val="0"/>
          <w:sz w:val="20"/>
          <w:szCs w:val="20"/>
        </w:rPr>
        <w:t>diffusion</w:t>
      </w:r>
      <w:r w:rsidRPr="00542C74">
        <w:rPr>
          <w:rFonts w:ascii="Arial" w:hAnsi="Arial" w:cs="Arial"/>
          <w:b/>
          <w:sz w:val="20"/>
          <w:szCs w:val="20"/>
        </w:rPr>
        <w:t>,</w:t>
      </w:r>
      <w:r w:rsidRPr="00542C74">
        <w:rPr>
          <w:rFonts w:ascii="Arial" w:hAnsi="Arial" w:cs="Arial"/>
          <w:sz w:val="20"/>
          <w:szCs w:val="20"/>
        </w:rPr>
        <w:t xml:space="preserve"> or </w:t>
      </w:r>
      <w:r w:rsidRPr="00542C74">
        <w:rPr>
          <w:rStyle w:val="Strong"/>
          <w:rFonts w:ascii="Arial" w:hAnsi="Arial" w:cs="Arial"/>
          <w:b w:val="0"/>
          <w:sz w:val="20"/>
          <w:szCs w:val="20"/>
        </w:rPr>
        <w:t>plant-mediated transport</w:t>
      </w:r>
      <w:r w:rsidRPr="00542C74">
        <w:rPr>
          <w:rFonts w:ascii="Arial" w:hAnsi="Arial" w:cs="Arial"/>
          <w:b/>
          <w:sz w:val="20"/>
          <w:szCs w:val="20"/>
        </w:rPr>
        <w:t>.</w:t>
      </w:r>
      <w:r w:rsidRPr="00542C74">
        <w:rPr>
          <w:rFonts w:ascii="Arial" w:hAnsi="Arial" w:cs="Arial"/>
          <w:sz w:val="20"/>
          <w:szCs w:val="20"/>
        </w:rPr>
        <w:t xml:space="preserve"> CH</w:t>
      </w:r>
      <w:r w:rsidRPr="00542C74">
        <w:rPr>
          <w:rFonts w:ascii="Cambria Math" w:hAnsi="Cambria Math" w:cs="Cambria Math"/>
          <w:sz w:val="20"/>
          <w:szCs w:val="20"/>
        </w:rPr>
        <w:t>₄</w:t>
      </w:r>
      <w:r w:rsidRPr="00542C74">
        <w:rPr>
          <w:rFonts w:ascii="Arial" w:hAnsi="Arial" w:cs="Arial"/>
          <w:sz w:val="20"/>
          <w:szCs w:val="20"/>
        </w:rPr>
        <w:t xml:space="preserve"> emissions are intensified by continuous flooding, high organic matter input (like manure), and the absence of water management practices such as mid-season drainage.</w:t>
      </w:r>
    </w:p>
    <w:p w14:paraId="13B5085C" w14:textId="6F21368D" w:rsidR="004D1BFD" w:rsidRPr="00542C74" w:rsidRDefault="004D1BFD" w:rsidP="00542C74">
      <w:pPr>
        <w:pStyle w:val="NormalWeb"/>
        <w:ind w:firstLine="720"/>
        <w:jc w:val="both"/>
        <w:rPr>
          <w:rFonts w:ascii="Arial" w:hAnsi="Arial" w:cs="Arial"/>
          <w:sz w:val="20"/>
          <w:szCs w:val="20"/>
        </w:rPr>
      </w:pPr>
      <w:r w:rsidRPr="00542C74">
        <w:rPr>
          <w:rFonts w:ascii="Arial" w:hAnsi="Arial" w:cs="Arial"/>
          <w:sz w:val="20"/>
          <w:szCs w:val="20"/>
        </w:rPr>
        <w:t xml:space="preserve">To mitigate these emissions while maintaining crop productivity, the </w:t>
      </w:r>
      <w:r w:rsidRPr="00542C74">
        <w:rPr>
          <w:rStyle w:val="Strong"/>
          <w:rFonts w:ascii="Arial" w:hAnsi="Arial" w:cs="Arial"/>
          <w:b w:val="0"/>
          <w:sz w:val="20"/>
          <w:szCs w:val="20"/>
        </w:rPr>
        <w:t>4R Nutrient Stewardship</w:t>
      </w:r>
      <w:r w:rsidRPr="00542C74">
        <w:rPr>
          <w:rFonts w:ascii="Arial" w:hAnsi="Arial" w:cs="Arial"/>
          <w:sz w:val="20"/>
          <w:szCs w:val="20"/>
        </w:rPr>
        <w:t xml:space="preserve"> approach has emerged as a critical strategy. This science-based framework promotes applying fertilizers with the </w:t>
      </w:r>
      <w:r w:rsidRPr="00542C74">
        <w:rPr>
          <w:rStyle w:val="Strong"/>
          <w:rFonts w:ascii="Arial" w:hAnsi="Arial" w:cs="Arial"/>
          <w:b w:val="0"/>
          <w:sz w:val="20"/>
          <w:szCs w:val="20"/>
        </w:rPr>
        <w:t>Right Source</w:t>
      </w:r>
      <w:r w:rsidRPr="00542C74">
        <w:rPr>
          <w:rFonts w:ascii="Arial" w:hAnsi="Arial" w:cs="Arial"/>
          <w:b/>
          <w:sz w:val="20"/>
          <w:szCs w:val="20"/>
        </w:rPr>
        <w:t>,</w:t>
      </w:r>
      <w:r w:rsidRPr="00542C74">
        <w:rPr>
          <w:rFonts w:ascii="Arial" w:hAnsi="Arial" w:cs="Arial"/>
          <w:sz w:val="20"/>
          <w:szCs w:val="20"/>
        </w:rPr>
        <w:t xml:space="preserve"> at the </w:t>
      </w:r>
      <w:r w:rsidRPr="00542C74">
        <w:rPr>
          <w:rStyle w:val="Strong"/>
          <w:rFonts w:ascii="Arial" w:hAnsi="Arial" w:cs="Arial"/>
          <w:b w:val="0"/>
          <w:sz w:val="20"/>
          <w:szCs w:val="20"/>
        </w:rPr>
        <w:t>Right Rate</w:t>
      </w:r>
      <w:r w:rsidRPr="00542C74">
        <w:rPr>
          <w:rFonts w:ascii="Arial" w:hAnsi="Arial" w:cs="Arial"/>
          <w:b/>
          <w:sz w:val="20"/>
          <w:szCs w:val="20"/>
        </w:rPr>
        <w:t>,</w:t>
      </w:r>
      <w:r w:rsidRPr="00542C74">
        <w:rPr>
          <w:rFonts w:ascii="Arial" w:hAnsi="Arial" w:cs="Arial"/>
          <w:sz w:val="20"/>
          <w:szCs w:val="20"/>
        </w:rPr>
        <w:t xml:space="preserve"> at the </w:t>
      </w:r>
      <w:r w:rsidRPr="00542C74">
        <w:rPr>
          <w:rStyle w:val="Strong"/>
          <w:rFonts w:ascii="Arial" w:hAnsi="Arial" w:cs="Arial"/>
          <w:b w:val="0"/>
          <w:sz w:val="20"/>
          <w:szCs w:val="20"/>
        </w:rPr>
        <w:t>Right Time</w:t>
      </w:r>
      <w:r w:rsidRPr="00542C74">
        <w:rPr>
          <w:rFonts w:ascii="Arial" w:hAnsi="Arial" w:cs="Arial"/>
          <w:b/>
          <w:sz w:val="20"/>
          <w:szCs w:val="20"/>
        </w:rPr>
        <w:t>,</w:t>
      </w:r>
      <w:r w:rsidRPr="00542C74">
        <w:rPr>
          <w:rFonts w:ascii="Arial" w:hAnsi="Arial" w:cs="Arial"/>
          <w:sz w:val="20"/>
          <w:szCs w:val="20"/>
        </w:rPr>
        <w:t xml:space="preserve"> and in the </w:t>
      </w:r>
      <w:r w:rsidRPr="00542C74">
        <w:rPr>
          <w:rStyle w:val="Strong"/>
          <w:rFonts w:ascii="Arial" w:hAnsi="Arial" w:cs="Arial"/>
          <w:b w:val="0"/>
          <w:sz w:val="20"/>
          <w:szCs w:val="20"/>
        </w:rPr>
        <w:t>Right Place</w:t>
      </w:r>
      <w:r w:rsidRPr="00542C74">
        <w:rPr>
          <w:rFonts w:ascii="Arial" w:hAnsi="Arial" w:cs="Arial"/>
          <w:b/>
          <w:sz w:val="20"/>
          <w:szCs w:val="20"/>
        </w:rPr>
        <w:t>.</w:t>
      </w:r>
      <w:r w:rsidRPr="00542C74">
        <w:rPr>
          <w:rFonts w:ascii="Arial" w:hAnsi="Arial" w:cs="Arial"/>
          <w:sz w:val="20"/>
          <w:szCs w:val="20"/>
        </w:rPr>
        <w:t xml:space="preserve"> Implementing 4R practices improves </w:t>
      </w:r>
      <w:r w:rsidRPr="00542C74">
        <w:rPr>
          <w:rStyle w:val="Strong"/>
          <w:rFonts w:ascii="Arial" w:hAnsi="Arial" w:cs="Arial"/>
          <w:b w:val="0"/>
          <w:sz w:val="20"/>
          <w:szCs w:val="20"/>
        </w:rPr>
        <w:t>nutrient use efficiency (NUE)</w:t>
      </w:r>
      <w:r w:rsidRPr="00542C74">
        <w:rPr>
          <w:rFonts w:ascii="Arial" w:hAnsi="Arial" w:cs="Arial"/>
          <w:sz w:val="20"/>
          <w:szCs w:val="20"/>
        </w:rPr>
        <w:t xml:space="preserve"> and significantly reduces nitrogen losses that lead to N</w:t>
      </w:r>
      <w:r w:rsidRPr="00542C74">
        <w:rPr>
          <w:rFonts w:ascii="Cambria Math" w:hAnsi="Cambria Math" w:cs="Cambria Math"/>
          <w:sz w:val="20"/>
          <w:szCs w:val="20"/>
        </w:rPr>
        <w:t>₂</w:t>
      </w:r>
      <w:r w:rsidRPr="00542C74">
        <w:rPr>
          <w:rFonts w:ascii="Arial" w:hAnsi="Arial" w:cs="Arial"/>
          <w:sz w:val="20"/>
          <w:szCs w:val="20"/>
        </w:rPr>
        <w:t>O and CH</w:t>
      </w:r>
      <w:r w:rsidRPr="00542C74">
        <w:rPr>
          <w:rFonts w:ascii="Cambria Math" w:hAnsi="Cambria Math" w:cs="Cambria Math"/>
          <w:sz w:val="20"/>
          <w:szCs w:val="20"/>
        </w:rPr>
        <w:t>₄</w:t>
      </w:r>
      <w:r w:rsidRPr="00542C74">
        <w:rPr>
          <w:rFonts w:ascii="Arial" w:hAnsi="Arial" w:cs="Arial"/>
          <w:sz w:val="20"/>
          <w:szCs w:val="20"/>
        </w:rPr>
        <w:t xml:space="preserve"> emissions. For instance, </w:t>
      </w:r>
      <w:r w:rsidRPr="00542C74">
        <w:rPr>
          <w:rStyle w:val="Strong"/>
          <w:rFonts w:ascii="Arial" w:hAnsi="Arial" w:cs="Arial"/>
          <w:b w:val="0"/>
          <w:sz w:val="20"/>
          <w:szCs w:val="20"/>
        </w:rPr>
        <w:t>deep placement of urea</w:t>
      </w:r>
      <w:r w:rsidRPr="00542C74">
        <w:rPr>
          <w:rFonts w:ascii="Arial" w:hAnsi="Arial" w:cs="Arial"/>
          <w:b/>
          <w:sz w:val="20"/>
          <w:szCs w:val="20"/>
        </w:rPr>
        <w:t xml:space="preserve">, </w:t>
      </w:r>
      <w:r w:rsidRPr="00542C74">
        <w:rPr>
          <w:rStyle w:val="Strong"/>
          <w:rFonts w:ascii="Arial" w:hAnsi="Arial" w:cs="Arial"/>
          <w:b w:val="0"/>
          <w:sz w:val="20"/>
          <w:szCs w:val="20"/>
        </w:rPr>
        <w:t>use of enhanced efficiency fertilizers (EEFs)</w:t>
      </w:r>
      <w:r w:rsidRPr="00542C74">
        <w:rPr>
          <w:rFonts w:ascii="Arial" w:hAnsi="Arial" w:cs="Arial"/>
          <w:b/>
          <w:sz w:val="20"/>
          <w:szCs w:val="20"/>
        </w:rPr>
        <w:t>,</w:t>
      </w:r>
      <w:r w:rsidRPr="00542C74">
        <w:rPr>
          <w:rFonts w:ascii="Arial" w:hAnsi="Arial" w:cs="Arial"/>
          <w:sz w:val="20"/>
          <w:szCs w:val="20"/>
        </w:rPr>
        <w:t xml:space="preserve"> and application of </w:t>
      </w:r>
      <w:r w:rsidRPr="00542C74">
        <w:rPr>
          <w:rStyle w:val="Strong"/>
          <w:rFonts w:ascii="Arial" w:hAnsi="Arial" w:cs="Arial"/>
          <w:b w:val="0"/>
          <w:sz w:val="20"/>
          <w:szCs w:val="20"/>
        </w:rPr>
        <w:t>nitrification inhibitors</w:t>
      </w:r>
      <w:r w:rsidRPr="00542C74">
        <w:rPr>
          <w:rFonts w:ascii="Arial" w:hAnsi="Arial" w:cs="Arial"/>
          <w:sz w:val="20"/>
          <w:szCs w:val="20"/>
        </w:rPr>
        <w:t xml:space="preserve"> like </w:t>
      </w:r>
      <w:r w:rsidRPr="00542C74">
        <w:rPr>
          <w:rStyle w:val="Strong"/>
          <w:rFonts w:ascii="Arial" w:hAnsi="Arial" w:cs="Arial"/>
          <w:b w:val="0"/>
          <w:sz w:val="20"/>
          <w:szCs w:val="20"/>
        </w:rPr>
        <w:t>DCD</w:t>
      </w:r>
      <w:r w:rsidRPr="00542C74">
        <w:rPr>
          <w:rFonts w:ascii="Arial" w:hAnsi="Arial" w:cs="Arial"/>
          <w:sz w:val="20"/>
          <w:szCs w:val="20"/>
        </w:rPr>
        <w:t xml:space="preserve"> and </w:t>
      </w:r>
      <w:r w:rsidRPr="00542C74">
        <w:rPr>
          <w:rStyle w:val="Strong"/>
          <w:rFonts w:ascii="Arial" w:hAnsi="Arial" w:cs="Arial"/>
          <w:b w:val="0"/>
          <w:sz w:val="20"/>
          <w:szCs w:val="20"/>
        </w:rPr>
        <w:t>NBPT</w:t>
      </w:r>
      <w:r w:rsidRPr="00542C74">
        <w:rPr>
          <w:rFonts w:ascii="Arial" w:hAnsi="Arial" w:cs="Arial"/>
          <w:sz w:val="20"/>
          <w:szCs w:val="20"/>
        </w:rPr>
        <w:t xml:space="preserve"> are proven to reduce N</w:t>
      </w:r>
      <w:r w:rsidRPr="00542C74">
        <w:rPr>
          <w:rFonts w:ascii="Cambria Math" w:hAnsi="Cambria Math" w:cs="Cambria Math"/>
          <w:sz w:val="20"/>
          <w:szCs w:val="20"/>
        </w:rPr>
        <w:t>₂</w:t>
      </w:r>
      <w:r w:rsidRPr="00542C74">
        <w:rPr>
          <w:rFonts w:ascii="Arial" w:hAnsi="Arial" w:cs="Arial"/>
          <w:sz w:val="20"/>
          <w:szCs w:val="20"/>
        </w:rPr>
        <w:t>O emissions</w:t>
      </w:r>
      <w:r w:rsidR="00F37288" w:rsidRPr="00542C74">
        <w:rPr>
          <w:rFonts w:ascii="Arial" w:hAnsi="Arial" w:cs="Arial"/>
          <w:sz w:val="20"/>
          <w:szCs w:val="20"/>
        </w:rPr>
        <w:t xml:space="preserve"> (Rose et al., 2018)</w:t>
      </w:r>
      <w:r w:rsidRPr="00542C74">
        <w:rPr>
          <w:rFonts w:ascii="Arial" w:hAnsi="Arial" w:cs="Arial"/>
          <w:sz w:val="20"/>
          <w:szCs w:val="20"/>
        </w:rPr>
        <w:t xml:space="preserve">. In rice systems, </w:t>
      </w:r>
      <w:r w:rsidRPr="00542C74">
        <w:rPr>
          <w:rStyle w:val="Strong"/>
          <w:rFonts w:ascii="Arial" w:hAnsi="Arial" w:cs="Arial"/>
          <w:b w:val="0"/>
          <w:sz w:val="20"/>
          <w:szCs w:val="20"/>
        </w:rPr>
        <w:t>alternate wetting and drying (AWD)</w:t>
      </w:r>
      <w:r w:rsidRPr="00542C74">
        <w:rPr>
          <w:rFonts w:ascii="Arial" w:hAnsi="Arial" w:cs="Arial"/>
          <w:sz w:val="20"/>
          <w:szCs w:val="20"/>
        </w:rPr>
        <w:t xml:space="preserve"> disrupts the anaerobic conditions necessary for methane production, thereby lowering CH</w:t>
      </w:r>
      <w:r w:rsidRPr="00542C74">
        <w:rPr>
          <w:rFonts w:ascii="Cambria Math" w:hAnsi="Cambria Math" w:cs="Cambria Math"/>
          <w:sz w:val="20"/>
          <w:szCs w:val="20"/>
        </w:rPr>
        <w:t>₄</w:t>
      </w:r>
      <w:r w:rsidRPr="00542C74">
        <w:rPr>
          <w:rFonts w:ascii="Arial" w:hAnsi="Arial" w:cs="Arial"/>
          <w:sz w:val="20"/>
          <w:szCs w:val="20"/>
        </w:rPr>
        <w:t xml:space="preserve"> emissions while conserving water. Understanding these biochemical mechanisms and integrating them with best agronomic practices lies at the heart of this review. The crux of sustainable fertilizer management is not merely in reducing emissions but in transforming fertilizer use into a climate solution—aligning </w:t>
      </w:r>
      <w:r w:rsidRPr="00542C74">
        <w:rPr>
          <w:rStyle w:val="Strong"/>
          <w:rFonts w:ascii="Arial" w:hAnsi="Arial" w:cs="Arial"/>
          <w:b w:val="0"/>
          <w:sz w:val="20"/>
          <w:szCs w:val="20"/>
        </w:rPr>
        <w:t>food security with environmental responsibility</w:t>
      </w:r>
      <w:r w:rsidRPr="00542C74">
        <w:rPr>
          <w:rFonts w:ascii="Arial" w:hAnsi="Arial" w:cs="Arial"/>
          <w:sz w:val="20"/>
          <w:szCs w:val="20"/>
        </w:rPr>
        <w:t xml:space="preserve"> through informed, efficient, and adaptive strategies like 4R stewardship.</w:t>
      </w:r>
    </w:p>
    <w:p w14:paraId="418AAFD3" w14:textId="546A47D7" w:rsidR="005C7F12"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5.3 </w:t>
      </w:r>
      <w:r w:rsidR="005C7F12" w:rsidRPr="00542C74">
        <w:rPr>
          <w:rFonts w:ascii="Arial" w:eastAsia="Times New Roman" w:hAnsi="Arial" w:cs="Arial"/>
          <w:b/>
          <w:bCs/>
          <w:sz w:val="20"/>
          <w:szCs w:val="20"/>
          <w:lang w:eastAsia="en-IN"/>
        </w:rPr>
        <w:t>Integrated Nutrient Management (INM)</w:t>
      </w:r>
    </w:p>
    <w:p w14:paraId="0087F70A" w14:textId="0B1408F5" w:rsidR="005C7F12" w:rsidRPr="00542C74" w:rsidRDefault="005C7F1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INM involves the combined use of organic and inorganic fertilizers to improve soil health and reduce reliance on synthetic inputs. This practice enhances soil fertility, promotes beneficial microbial activity, and reduces GHG emissions associated with synthetic fertilizer production and application. Long-term studies have demonstrated that INM can lead to significant reductions in nitrous oxide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and ammonia (NH</w:t>
      </w:r>
      <w:r w:rsidRPr="00542C74">
        <w:rPr>
          <w:rFonts w:ascii="Cambria Math" w:eastAsia="Times New Roman" w:hAnsi="Cambria Math" w:cs="Cambria Math"/>
          <w:sz w:val="20"/>
          <w:szCs w:val="20"/>
          <w:lang w:eastAsia="en-IN"/>
        </w:rPr>
        <w:t>₃</w:t>
      </w:r>
      <w:r w:rsidRPr="00542C74">
        <w:rPr>
          <w:rFonts w:ascii="Arial" w:eastAsia="Times New Roman" w:hAnsi="Arial" w:cs="Arial"/>
          <w:sz w:val="20"/>
          <w:szCs w:val="20"/>
          <w:lang w:eastAsia="en-IN"/>
        </w:rPr>
        <w:t>) emissions, contributing to climate change mitigation efforts</w:t>
      </w:r>
      <w:r w:rsidR="001E59A9" w:rsidRPr="00542C74">
        <w:rPr>
          <w:rFonts w:ascii="Arial" w:eastAsia="Times New Roman" w:hAnsi="Arial" w:cs="Arial"/>
          <w:sz w:val="20"/>
          <w:szCs w:val="20"/>
          <w:lang w:eastAsia="en-IN"/>
        </w:rPr>
        <w:t xml:space="preserve"> (Pathak et al., 2016)</w:t>
      </w:r>
      <w:r w:rsidRPr="00542C74">
        <w:rPr>
          <w:rFonts w:ascii="Arial" w:eastAsia="Times New Roman" w:hAnsi="Arial" w:cs="Arial"/>
          <w:sz w:val="20"/>
          <w:szCs w:val="20"/>
          <w:lang w:eastAsia="en-IN"/>
        </w:rPr>
        <w:t>.</w:t>
      </w:r>
    </w:p>
    <w:p w14:paraId="7B1CF5BF" w14:textId="5140E1F7" w:rsidR="005C7F12"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5.4 </w:t>
      </w:r>
      <w:r w:rsidR="005C7F12" w:rsidRPr="00542C74">
        <w:rPr>
          <w:rFonts w:ascii="Arial" w:eastAsia="Times New Roman" w:hAnsi="Arial" w:cs="Arial"/>
          <w:b/>
          <w:bCs/>
          <w:sz w:val="20"/>
          <w:szCs w:val="20"/>
          <w:lang w:eastAsia="en-IN"/>
        </w:rPr>
        <w:t>Use of Nitrification Inhibitors</w:t>
      </w:r>
    </w:p>
    <w:p w14:paraId="210CACA8" w14:textId="50B27F8B" w:rsidR="005C7F12" w:rsidRPr="00542C74" w:rsidRDefault="005C7F1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Nitrification inhibitors are compounds that slow down the conversion of ammonium to nitrate in the soil, thereby reducing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emissions. By inhibiting this microbial process, these inhibitors help retain nitrogen in the ammonium form, making it more available for plant uptake and less prone to leaching. The use of nitrification inhibitors has been shown to significantly decrease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emissions, making them a valuable tool in sustainable fertilizer management</w:t>
      </w:r>
      <w:r w:rsidR="001E59A9" w:rsidRPr="00542C74">
        <w:rPr>
          <w:rFonts w:ascii="Arial" w:eastAsia="Times New Roman" w:hAnsi="Arial" w:cs="Arial"/>
          <w:sz w:val="20"/>
          <w:szCs w:val="20"/>
          <w:lang w:eastAsia="en-IN"/>
        </w:rPr>
        <w:t xml:space="preserve"> (Saud et al., 2022)</w:t>
      </w:r>
      <w:r w:rsidRPr="00542C74">
        <w:rPr>
          <w:rFonts w:ascii="Arial" w:eastAsia="Times New Roman" w:hAnsi="Arial" w:cs="Arial"/>
          <w:sz w:val="20"/>
          <w:szCs w:val="20"/>
          <w:lang w:eastAsia="en-IN"/>
        </w:rPr>
        <w:t>.</w:t>
      </w:r>
    </w:p>
    <w:p w14:paraId="7E48693E" w14:textId="1E20CBBD" w:rsidR="005C7F12"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5.5 </w:t>
      </w:r>
      <w:r w:rsidR="005C7F12" w:rsidRPr="00542C74">
        <w:rPr>
          <w:rFonts w:ascii="Arial" w:eastAsia="Times New Roman" w:hAnsi="Arial" w:cs="Arial"/>
          <w:b/>
          <w:bCs/>
          <w:sz w:val="20"/>
          <w:szCs w:val="20"/>
          <w:lang w:eastAsia="en-IN"/>
        </w:rPr>
        <w:t>Adoption of Cover Crops</w:t>
      </w:r>
    </w:p>
    <w:p w14:paraId="32B17A5C" w14:textId="34D32F6A" w:rsidR="005C7F12" w:rsidRPr="00542C74" w:rsidRDefault="005C7F1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Planting cover crops during fallow periods can enhance soil fertility and reduce the need for synthetic fertilizers. Cover crops improve soil structure, increase organic matter content, and promote nutrient cycling. They also help in sequestering carbon, thereby contributing to the reduction of atmospheric CO</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 xml:space="preserve"> levels. Incorporating cover crops into crop rotations is an effective strategy for improving soil health </w:t>
      </w:r>
      <w:r w:rsidRPr="00542C74">
        <w:rPr>
          <w:rFonts w:ascii="Arial" w:eastAsia="Times New Roman" w:hAnsi="Arial" w:cs="Arial"/>
          <w:sz w:val="20"/>
          <w:szCs w:val="20"/>
          <w:lang w:eastAsia="en-IN"/>
        </w:rPr>
        <w:lastRenderedPageBreak/>
        <w:t>and mitigating GHG emissions. Implementing these mitigation strategies requires a holistic approach that considers local soil conditions, crop types, and farming practices</w:t>
      </w:r>
      <w:r w:rsidR="001E59A9" w:rsidRPr="00542C74">
        <w:rPr>
          <w:rFonts w:ascii="Arial" w:eastAsia="Times New Roman" w:hAnsi="Arial" w:cs="Arial"/>
          <w:sz w:val="20"/>
          <w:szCs w:val="20"/>
          <w:lang w:eastAsia="en-IN"/>
        </w:rPr>
        <w:t xml:space="preserve"> (Sharma et al., 2024)</w:t>
      </w:r>
      <w:r w:rsidRPr="00542C74">
        <w:rPr>
          <w:rFonts w:ascii="Arial" w:eastAsia="Times New Roman" w:hAnsi="Arial" w:cs="Arial"/>
          <w:sz w:val="20"/>
          <w:szCs w:val="20"/>
          <w:lang w:eastAsia="en-IN"/>
        </w:rPr>
        <w:t xml:space="preserve">. </w:t>
      </w:r>
    </w:p>
    <w:p w14:paraId="1AFF2569" w14:textId="743ABB9A" w:rsidR="00115DE3" w:rsidRPr="00542C74" w:rsidRDefault="005C7F12" w:rsidP="00542C74">
      <w:pPr>
        <w:spacing w:before="100" w:beforeAutospacing="1" w:after="100" w:afterAutospacing="1" w:line="240" w:lineRule="auto"/>
        <w:ind w:left="0" w:firstLine="72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While synthetic fertilizers have significantly boosted agricultural productivity, their environmental implications, particularly concerning GHG emissions, cannot be overlooked. By adopting optimized fertilizer application, precision agriculture, integrated nutrient management, nitrification inhibitors, and cover cropping, farmers can mitigate the negative environmental impacts of fertilizer use. These strategies not only contribute to climate change mitigation but also enhance soil health and long-term agricultural sustainability. </w:t>
      </w:r>
      <w:r w:rsidR="00115DE3" w:rsidRPr="00542C74">
        <w:rPr>
          <w:rFonts w:ascii="Arial" w:eastAsia="Times New Roman" w:hAnsi="Arial" w:cs="Arial"/>
          <w:sz w:val="20"/>
          <w:szCs w:val="20"/>
          <w:lang w:eastAsia="en-IN"/>
        </w:rPr>
        <w:t>While synthetic fertilizers have played a pivotal role in enhancing agricultural productivity, their environmental implications, particularly concerning GHG emissions, cannot be overlooked</w:t>
      </w:r>
      <w:r w:rsidR="001E59A9" w:rsidRPr="00542C74">
        <w:rPr>
          <w:rFonts w:ascii="Arial" w:eastAsia="Times New Roman" w:hAnsi="Arial" w:cs="Arial"/>
          <w:sz w:val="20"/>
          <w:szCs w:val="20"/>
          <w:lang w:eastAsia="en-IN"/>
        </w:rPr>
        <w:t xml:space="preserve"> (</w:t>
      </w:r>
      <w:r w:rsidR="001E59A9" w:rsidRPr="00542C74">
        <w:rPr>
          <w:rFonts w:ascii="Arial" w:hAnsi="Arial" w:cs="Arial"/>
          <w:color w:val="222222"/>
          <w:sz w:val="20"/>
          <w:szCs w:val="20"/>
          <w:shd w:val="clear" w:color="auto" w:fill="FFFFFF"/>
        </w:rPr>
        <w:t>Kamyab et al., 2024</w:t>
      </w:r>
      <w:r w:rsidR="001E59A9" w:rsidRPr="00542C74">
        <w:rPr>
          <w:rFonts w:ascii="Arial" w:eastAsia="Times New Roman" w:hAnsi="Arial" w:cs="Arial"/>
          <w:sz w:val="20"/>
          <w:szCs w:val="20"/>
          <w:lang w:eastAsia="en-IN"/>
        </w:rPr>
        <w:t>)</w:t>
      </w:r>
      <w:r w:rsidR="00115DE3" w:rsidRPr="00542C74">
        <w:rPr>
          <w:rFonts w:ascii="Arial" w:eastAsia="Times New Roman" w:hAnsi="Arial" w:cs="Arial"/>
          <w:sz w:val="20"/>
          <w:szCs w:val="20"/>
          <w:lang w:eastAsia="en-IN"/>
        </w:rPr>
        <w:t>. Implementing sustainable fertilizer management practices is essential to mitigate agriculture's climate impact and ensure long-term food security.</w:t>
      </w:r>
    </w:p>
    <w:p w14:paraId="32F03DA3" w14:textId="5891DE2B" w:rsidR="00D64CD1" w:rsidRPr="00542C74" w:rsidRDefault="00276C46" w:rsidP="00542C74">
      <w:pPr>
        <w:pStyle w:val="NormalWeb"/>
        <w:jc w:val="both"/>
        <w:rPr>
          <w:rFonts w:ascii="Arial" w:hAnsi="Arial" w:cs="Arial"/>
          <w:sz w:val="20"/>
          <w:szCs w:val="20"/>
        </w:rPr>
      </w:pPr>
      <w:r w:rsidRPr="00542C74">
        <w:rPr>
          <w:rStyle w:val="Strong"/>
          <w:rFonts w:ascii="Arial" w:hAnsi="Arial" w:cs="Arial"/>
          <w:sz w:val="20"/>
          <w:szCs w:val="20"/>
        </w:rPr>
        <w:t xml:space="preserve">5.6 </w:t>
      </w:r>
      <w:r w:rsidR="00D64CD1" w:rsidRPr="00542C74">
        <w:rPr>
          <w:rStyle w:val="Strong"/>
          <w:rFonts w:ascii="Arial" w:hAnsi="Arial" w:cs="Arial"/>
          <w:sz w:val="20"/>
          <w:szCs w:val="20"/>
        </w:rPr>
        <w:t>Methane Emission Mitigation Strategies: Techniques and Yield Impacts</w:t>
      </w:r>
    </w:p>
    <w:p w14:paraId="54F2E6B5" w14:textId="77777777" w:rsidR="00D64CD1" w:rsidRPr="00542C74" w:rsidRDefault="00D64CD1" w:rsidP="00542C74">
      <w:pPr>
        <w:pStyle w:val="NormalWeb"/>
        <w:jc w:val="both"/>
        <w:rPr>
          <w:rFonts w:ascii="Arial" w:hAnsi="Arial" w:cs="Arial"/>
          <w:sz w:val="20"/>
          <w:szCs w:val="20"/>
        </w:rPr>
      </w:pPr>
      <w:r w:rsidRPr="00542C74">
        <w:rPr>
          <w:rFonts w:ascii="Arial" w:hAnsi="Arial" w:cs="Arial"/>
          <w:sz w:val="20"/>
          <w:szCs w:val="20"/>
        </w:rPr>
        <w:t>Methane (CH</w:t>
      </w:r>
      <w:r w:rsidRPr="00542C74">
        <w:rPr>
          <w:rFonts w:ascii="Cambria Math" w:hAnsi="Cambria Math" w:cs="Cambria Math"/>
          <w:sz w:val="20"/>
          <w:szCs w:val="20"/>
        </w:rPr>
        <w:t>₄</w:t>
      </w:r>
      <w:r w:rsidRPr="00542C74">
        <w:rPr>
          <w:rFonts w:ascii="Arial" w:hAnsi="Arial" w:cs="Arial"/>
          <w:sz w:val="20"/>
          <w:szCs w:val="20"/>
        </w:rPr>
        <w:t>) emissions from agricultural systems, especially flooded rice fields, are a major concern for climate change. Effective mitigation strategies not only reduce emissions but also aim to sustain or improve crop yields. Various approaches such as water management, biological controls, soil amendments, and integrated methods have shown promise in reducing CH</w:t>
      </w:r>
      <w:r w:rsidRPr="00542C74">
        <w:rPr>
          <w:rFonts w:ascii="Cambria Math" w:hAnsi="Cambria Math" w:cs="Cambria Math"/>
          <w:sz w:val="20"/>
          <w:szCs w:val="20"/>
        </w:rPr>
        <w:t>₄</w:t>
      </w:r>
      <w:r w:rsidRPr="00542C74">
        <w:rPr>
          <w:rFonts w:ascii="Arial" w:hAnsi="Arial" w:cs="Arial"/>
          <w:sz w:val="20"/>
          <w:szCs w:val="20"/>
        </w:rPr>
        <w:t xml:space="preserve"> emissions with varying effects on productivity. The updated </w:t>
      </w:r>
      <w:r w:rsidRPr="00542C74">
        <w:rPr>
          <w:rStyle w:val="Strong"/>
          <w:rFonts w:ascii="Arial" w:hAnsi="Arial" w:cs="Arial"/>
          <w:b w:val="0"/>
          <w:sz w:val="20"/>
          <w:szCs w:val="20"/>
        </w:rPr>
        <w:t>Table 1</w:t>
      </w:r>
      <w:r w:rsidRPr="00542C74">
        <w:rPr>
          <w:rFonts w:ascii="Arial" w:hAnsi="Arial" w:cs="Arial"/>
          <w:sz w:val="20"/>
          <w:szCs w:val="20"/>
        </w:rPr>
        <w:t xml:space="preserve"> below summarizes these methods with added scientific context where data were previously missing.</w:t>
      </w:r>
    </w:p>
    <w:p w14:paraId="57EFE2BA" w14:textId="1A4FA22B" w:rsidR="00D64CD1" w:rsidRPr="00542C74" w:rsidRDefault="00D64CD1" w:rsidP="00542C74">
      <w:pPr>
        <w:pStyle w:val="NormalWeb"/>
        <w:ind w:firstLine="720"/>
        <w:jc w:val="both"/>
        <w:rPr>
          <w:rFonts w:ascii="Arial" w:hAnsi="Arial" w:cs="Arial"/>
          <w:sz w:val="20"/>
          <w:szCs w:val="20"/>
        </w:rPr>
      </w:pPr>
      <w:r w:rsidRPr="00542C74">
        <w:rPr>
          <w:rFonts w:ascii="Arial" w:hAnsi="Arial" w:cs="Arial"/>
          <w:sz w:val="20"/>
          <w:szCs w:val="20"/>
        </w:rPr>
        <w:t xml:space="preserve">Among water management practices, </w:t>
      </w:r>
      <w:r w:rsidRPr="00542C74">
        <w:rPr>
          <w:rStyle w:val="Strong"/>
          <w:rFonts w:ascii="Arial" w:hAnsi="Arial" w:cs="Arial"/>
          <w:b w:val="0"/>
          <w:sz w:val="20"/>
          <w:szCs w:val="20"/>
        </w:rPr>
        <w:t>alternate wetting and drying (AWD)</w:t>
      </w:r>
      <w:r w:rsidRPr="00542C74">
        <w:rPr>
          <w:rFonts w:ascii="Arial" w:hAnsi="Arial" w:cs="Arial"/>
          <w:sz w:val="20"/>
          <w:szCs w:val="20"/>
        </w:rPr>
        <w:t xml:space="preserve"> has emerged as a viable strategy in rice cultivation, reducing methane emissions by up to 49% without compromising yield. Similarly, </w:t>
      </w:r>
      <w:r w:rsidRPr="00542C74">
        <w:rPr>
          <w:rStyle w:val="Strong"/>
          <w:rFonts w:ascii="Arial" w:hAnsi="Arial" w:cs="Arial"/>
          <w:b w:val="0"/>
          <w:sz w:val="20"/>
          <w:szCs w:val="20"/>
        </w:rPr>
        <w:t>draining and multiple drainage</w:t>
      </w:r>
      <w:r w:rsidRPr="00542C74">
        <w:rPr>
          <w:rFonts w:ascii="Arial" w:hAnsi="Arial" w:cs="Arial"/>
          <w:sz w:val="20"/>
          <w:szCs w:val="20"/>
        </w:rPr>
        <w:t xml:space="preserve"> events enhance soil aeration, thus suppressing anaerobic methanogenesis. Biological control techniques such as </w:t>
      </w:r>
      <w:r w:rsidRPr="00542C74">
        <w:rPr>
          <w:rStyle w:val="Strong"/>
          <w:rFonts w:ascii="Arial" w:hAnsi="Arial" w:cs="Arial"/>
          <w:b w:val="0"/>
          <w:sz w:val="20"/>
          <w:szCs w:val="20"/>
        </w:rPr>
        <w:t>Azolla</w:t>
      </w:r>
      <w:r w:rsidRPr="00542C74">
        <w:rPr>
          <w:rFonts w:ascii="Arial" w:hAnsi="Arial" w:cs="Arial"/>
          <w:sz w:val="20"/>
          <w:szCs w:val="20"/>
        </w:rPr>
        <w:t xml:space="preserve"> (a nitrogen-fixing aquatic fern) provide partial emission reduction while offering the added benefit of nitrogen enrichment</w:t>
      </w:r>
      <w:r w:rsidR="001E59A9" w:rsidRPr="00542C74">
        <w:rPr>
          <w:rFonts w:ascii="Arial" w:hAnsi="Arial" w:cs="Arial"/>
          <w:sz w:val="20"/>
          <w:szCs w:val="20"/>
        </w:rPr>
        <w:t xml:space="preserve"> (</w:t>
      </w:r>
      <w:r w:rsidR="001E59A9" w:rsidRPr="00542C74">
        <w:rPr>
          <w:rFonts w:ascii="Arial" w:hAnsi="Arial" w:cs="Arial"/>
          <w:color w:val="222222"/>
          <w:sz w:val="20"/>
          <w:szCs w:val="20"/>
          <w:shd w:val="clear" w:color="auto" w:fill="FFFFFF"/>
        </w:rPr>
        <w:t>Vijayan et al., 2024</w:t>
      </w:r>
      <w:r w:rsidR="001E59A9" w:rsidRPr="00542C74">
        <w:rPr>
          <w:rFonts w:ascii="Arial" w:hAnsi="Arial" w:cs="Arial"/>
          <w:sz w:val="20"/>
          <w:szCs w:val="20"/>
        </w:rPr>
        <w:t>)</w:t>
      </w:r>
      <w:r w:rsidRPr="00542C74">
        <w:rPr>
          <w:rFonts w:ascii="Arial" w:hAnsi="Arial" w:cs="Arial"/>
          <w:sz w:val="20"/>
          <w:szCs w:val="20"/>
        </w:rPr>
        <w:t xml:space="preserve">. Notably, </w:t>
      </w:r>
      <w:r w:rsidRPr="00542C74">
        <w:rPr>
          <w:rStyle w:val="Strong"/>
          <w:rFonts w:ascii="Arial" w:hAnsi="Arial" w:cs="Arial"/>
          <w:b w:val="0"/>
          <w:sz w:val="20"/>
          <w:szCs w:val="20"/>
        </w:rPr>
        <w:t>cable bacteria</w:t>
      </w:r>
      <w:r w:rsidRPr="00542C74">
        <w:rPr>
          <w:rFonts w:ascii="Arial" w:hAnsi="Arial" w:cs="Arial"/>
          <w:sz w:val="20"/>
          <w:szCs w:val="20"/>
        </w:rPr>
        <w:t xml:space="preserve"> improve redox conditions in waterlogged soils, enabling significant methane suppression (up to 93%) although field yield data is limited.</w:t>
      </w:r>
    </w:p>
    <w:p w14:paraId="4D18BBED" w14:textId="52A95C80" w:rsidR="00D64CD1" w:rsidRPr="00542C74" w:rsidRDefault="00D64CD1" w:rsidP="00542C74">
      <w:pPr>
        <w:pStyle w:val="NormalWeb"/>
        <w:ind w:firstLine="720"/>
        <w:jc w:val="both"/>
        <w:rPr>
          <w:rFonts w:ascii="Arial" w:hAnsi="Arial" w:cs="Arial"/>
          <w:sz w:val="20"/>
          <w:szCs w:val="20"/>
        </w:rPr>
        <w:sectPr w:rsidR="00D64CD1" w:rsidRPr="00542C74" w:rsidSect="00844904">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pPr>
      <w:r w:rsidRPr="00542C74">
        <w:rPr>
          <w:rStyle w:val="Strong"/>
          <w:rFonts w:ascii="Arial" w:hAnsi="Arial" w:cs="Arial"/>
          <w:b w:val="0"/>
          <w:sz w:val="20"/>
          <w:szCs w:val="20"/>
        </w:rPr>
        <w:t>Biochar amendments</w:t>
      </w:r>
      <w:r w:rsidRPr="00542C74">
        <w:rPr>
          <w:rFonts w:ascii="Arial" w:hAnsi="Arial" w:cs="Arial"/>
          <w:sz w:val="20"/>
          <w:szCs w:val="20"/>
        </w:rPr>
        <w:t xml:space="preserve"> are consistently effective across studies, reducing emissions by up to 86.4% while enhancing crop yields through improved soil structure, water retention, and nutrient availability</w:t>
      </w:r>
      <w:r w:rsidR="001E59A9" w:rsidRPr="00542C74">
        <w:rPr>
          <w:rFonts w:ascii="Arial" w:hAnsi="Arial" w:cs="Arial"/>
          <w:sz w:val="20"/>
          <w:szCs w:val="20"/>
        </w:rPr>
        <w:t xml:space="preserve"> (Tufail et al., 2022)</w:t>
      </w:r>
      <w:r w:rsidRPr="00542C74">
        <w:rPr>
          <w:rFonts w:ascii="Arial" w:hAnsi="Arial" w:cs="Arial"/>
          <w:sz w:val="20"/>
          <w:szCs w:val="20"/>
        </w:rPr>
        <w:t xml:space="preserve">. Incorporating </w:t>
      </w:r>
      <w:r w:rsidRPr="00542C74">
        <w:rPr>
          <w:rStyle w:val="Strong"/>
          <w:rFonts w:ascii="Arial" w:hAnsi="Arial" w:cs="Arial"/>
          <w:b w:val="0"/>
          <w:sz w:val="20"/>
          <w:szCs w:val="20"/>
        </w:rPr>
        <w:t>wood vinegar</w:t>
      </w:r>
      <w:r w:rsidRPr="00542C74">
        <w:rPr>
          <w:rFonts w:ascii="Arial" w:hAnsi="Arial" w:cs="Arial"/>
          <w:sz w:val="20"/>
          <w:szCs w:val="20"/>
        </w:rPr>
        <w:t xml:space="preserve"> or </w:t>
      </w:r>
      <w:r w:rsidRPr="00542C74">
        <w:rPr>
          <w:rStyle w:val="Strong"/>
          <w:rFonts w:ascii="Arial" w:hAnsi="Arial" w:cs="Arial"/>
          <w:b w:val="0"/>
          <w:sz w:val="20"/>
          <w:szCs w:val="20"/>
        </w:rPr>
        <w:t>slow-release fertilizers</w:t>
      </w:r>
      <w:r w:rsidRPr="00542C74">
        <w:rPr>
          <w:rFonts w:ascii="Arial" w:hAnsi="Arial" w:cs="Arial"/>
          <w:sz w:val="20"/>
          <w:szCs w:val="20"/>
        </w:rPr>
        <w:t xml:space="preserve"> with biochar shows added benefits. Fertilizer-related strategies like </w:t>
      </w:r>
      <w:r w:rsidRPr="00542C74">
        <w:rPr>
          <w:rStyle w:val="Strong"/>
          <w:rFonts w:ascii="Arial" w:hAnsi="Arial" w:cs="Arial"/>
          <w:b w:val="0"/>
          <w:sz w:val="20"/>
          <w:szCs w:val="20"/>
        </w:rPr>
        <w:t>aerobic digestion of green manure</w:t>
      </w:r>
      <w:r w:rsidRPr="00542C74">
        <w:rPr>
          <w:rFonts w:ascii="Arial" w:hAnsi="Arial" w:cs="Arial"/>
          <w:sz w:val="20"/>
          <w:szCs w:val="20"/>
        </w:rPr>
        <w:t xml:space="preserve"> have also demonstrated emission reductions of around 60% without yield penalties. </w:t>
      </w:r>
      <w:bookmarkStart w:id="7" w:name="_Hlk197449007"/>
      <w:r w:rsidRPr="00542C74">
        <w:rPr>
          <w:rFonts w:ascii="Arial" w:hAnsi="Arial" w:cs="Arial"/>
          <w:sz w:val="20"/>
          <w:szCs w:val="20"/>
        </w:rPr>
        <w:t xml:space="preserve">The integration of </w:t>
      </w:r>
      <w:r w:rsidRPr="00542C74">
        <w:rPr>
          <w:rStyle w:val="Strong"/>
          <w:rFonts w:ascii="Arial" w:hAnsi="Arial" w:cs="Arial"/>
          <w:b w:val="0"/>
          <w:sz w:val="20"/>
          <w:szCs w:val="20"/>
        </w:rPr>
        <w:t>DCD</w:t>
      </w:r>
      <w:r w:rsidRPr="00542C74">
        <w:rPr>
          <w:rFonts w:ascii="Arial" w:hAnsi="Arial" w:cs="Arial"/>
          <w:sz w:val="20"/>
          <w:szCs w:val="20"/>
        </w:rPr>
        <w:t xml:space="preserve"> (a nitrification inhibitor) with water control further supports reduced emissions, though with more modest gains</w:t>
      </w:r>
      <w:r w:rsidR="001E59A9" w:rsidRPr="00542C74">
        <w:rPr>
          <w:rFonts w:ascii="Arial" w:hAnsi="Arial" w:cs="Arial"/>
          <w:sz w:val="20"/>
          <w:szCs w:val="20"/>
        </w:rPr>
        <w:t xml:space="preserve"> </w:t>
      </w:r>
      <w:bookmarkEnd w:id="7"/>
      <w:r w:rsidR="001E59A9" w:rsidRPr="00542C74">
        <w:rPr>
          <w:rFonts w:ascii="Arial" w:hAnsi="Arial" w:cs="Arial"/>
          <w:sz w:val="20"/>
          <w:szCs w:val="20"/>
        </w:rPr>
        <w:t>(Rose et al., 2018)</w:t>
      </w:r>
      <w:r w:rsidRPr="00542C74">
        <w:rPr>
          <w:rFonts w:ascii="Arial" w:hAnsi="Arial" w:cs="Arial"/>
          <w:sz w:val="20"/>
          <w:szCs w:val="20"/>
        </w:rPr>
        <w:t xml:space="preserve">. </w:t>
      </w:r>
      <w:r w:rsidRPr="00542C74">
        <w:rPr>
          <w:rStyle w:val="Strong"/>
          <w:rFonts w:ascii="Arial" w:hAnsi="Arial" w:cs="Arial"/>
          <w:b w:val="0"/>
          <w:sz w:val="20"/>
          <w:szCs w:val="20"/>
        </w:rPr>
        <w:t>Integrated approaches</w:t>
      </w:r>
      <w:r w:rsidRPr="00542C74">
        <w:rPr>
          <w:rFonts w:ascii="Arial" w:hAnsi="Arial" w:cs="Arial"/>
          <w:sz w:val="20"/>
          <w:szCs w:val="20"/>
        </w:rPr>
        <w:t>, such as combining AWD with biochar, balance emission control and productivity, offering a sustainable path forward for methane mitigation in rice-based systems.</w:t>
      </w:r>
    </w:p>
    <w:p w14:paraId="0F189060" w14:textId="74695D63" w:rsidR="00D64CD1" w:rsidRPr="00542C74" w:rsidRDefault="00D64CD1" w:rsidP="00542C74">
      <w:pPr>
        <w:pStyle w:val="NormalWeb"/>
        <w:jc w:val="center"/>
        <w:rPr>
          <w:rStyle w:val="Strong"/>
          <w:rFonts w:ascii="Arial" w:hAnsi="Arial" w:cs="Arial"/>
          <w:sz w:val="20"/>
          <w:szCs w:val="20"/>
        </w:rPr>
      </w:pPr>
      <w:commentRangeStart w:id="8"/>
      <w:r w:rsidRPr="00542C74">
        <w:rPr>
          <w:rStyle w:val="Strong"/>
          <w:rFonts w:ascii="Arial" w:hAnsi="Arial" w:cs="Arial"/>
          <w:sz w:val="20"/>
          <w:szCs w:val="20"/>
        </w:rPr>
        <w:lastRenderedPageBreak/>
        <w:t xml:space="preserve">Table 1: </w:t>
      </w:r>
      <w:r w:rsidRPr="00542C74">
        <w:rPr>
          <w:rStyle w:val="Strong"/>
          <w:rFonts w:ascii="Arial" w:hAnsi="Arial" w:cs="Arial"/>
          <w:b w:val="0"/>
          <w:sz w:val="20"/>
          <w:szCs w:val="20"/>
        </w:rPr>
        <w:t>Techniques for Reducing Methane Emissions in Agriculture and Their Effect on Yield</w:t>
      </w:r>
      <w:r w:rsidR="00B760E2" w:rsidRPr="00542C74">
        <w:rPr>
          <w:rStyle w:val="Strong"/>
          <w:rFonts w:ascii="Arial" w:hAnsi="Arial" w:cs="Arial"/>
          <w:b w:val="0"/>
          <w:sz w:val="20"/>
          <w:szCs w:val="20"/>
        </w:rPr>
        <w:t xml:space="preserve"> (</w:t>
      </w:r>
      <w:r w:rsidR="004D1BFD" w:rsidRPr="00542C74">
        <w:rPr>
          <w:rStyle w:val="Strong"/>
          <w:rFonts w:ascii="Arial" w:hAnsi="Arial" w:cs="Arial"/>
          <w:b w:val="0"/>
          <w:sz w:val="20"/>
          <w:szCs w:val="20"/>
        </w:rPr>
        <w:t xml:space="preserve">Rajendran </w:t>
      </w:r>
      <w:r w:rsidR="004D1BFD" w:rsidRPr="00542C74">
        <w:rPr>
          <w:rStyle w:val="Strong"/>
          <w:rFonts w:ascii="Arial" w:hAnsi="Arial" w:cs="Arial"/>
          <w:b w:val="0"/>
          <w:i/>
          <w:sz w:val="20"/>
          <w:szCs w:val="20"/>
        </w:rPr>
        <w:t>et al.,</w:t>
      </w:r>
      <w:r w:rsidR="004D1BFD" w:rsidRPr="00542C74">
        <w:rPr>
          <w:rStyle w:val="Strong"/>
          <w:rFonts w:ascii="Arial" w:hAnsi="Arial" w:cs="Arial"/>
          <w:b w:val="0"/>
          <w:sz w:val="20"/>
          <w:szCs w:val="20"/>
        </w:rPr>
        <w:t xml:space="preserve"> 2024)</w:t>
      </w:r>
      <w:commentRangeEnd w:id="8"/>
      <w:r w:rsidR="00FA5F43">
        <w:rPr>
          <w:rStyle w:val="CommentReference"/>
          <w:rFonts w:asciiTheme="minorHAnsi" w:eastAsiaTheme="minorHAnsi" w:hAnsiTheme="minorHAnsi" w:cstheme="minorBidi"/>
          <w:lang w:eastAsia="en-US"/>
        </w:rPr>
        <w:commentReference w:id="8"/>
      </w:r>
    </w:p>
    <w:tbl>
      <w:tblPr>
        <w:tblStyle w:val="TableGrid"/>
        <w:tblW w:w="0" w:type="auto"/>
        <w:jc w:val="center"/>
        <w:tblLook w:val="04A0" w:firstRow="1" w:lastRow="0" w:firstColumn="1" w:lastColumn="0" w:noHBand="0" w:noVBand="1"/>
      </w:tblPr>
      <w:tblGrid>
        <w:gridCol w:w="2258"/>
        <w:gridCol w:w="3925"/>
        <w:gridCol w:w="1982"/>
        <w:gridCol w:w="4202"/>
      </w:tblGrid>
      <w:tr w:rsidR="00D64CD1" w:rsidRPr="00542C74" w14:paraId="18247A9E" w14:textId="77777777" w:rsidTr="00F4211D">
        <w:trPr>
          <w:trHeight w:val="386"/>
          <w:jc w:val="center"/>
        </w:trPr>
        <w:tc>
          <w:tcPr>
            <w:tcW w:w="2258" w:type="dxa"/>
            <w:vAlign w:val="center"/>
          </w:tcPr>
          <w:p w14:paraId="3C6776B0"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Method</w:t>
            </w:r>
          </w:p>
        </w:tc>
        <w:tc>
          <w:tcPr>
            <w:tcW w:w="3925" w:type="dxa"/>
            <w:vAlign w:val="center"/>
          </w:tcPr>
          <w:p w14:paraId="6841002C"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Technique</w:t>
            </w:r>
          </w:p>
        </w:tc>
        <w:tc>
          <w:tcPr>
            <w:tcW w:w="1982" w:type="dxa"/>
            <w:vAlign w:val="center"/>
          </w:tcPr>
          <w:p w14:paraId="20B087B4"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Methane Emission Reduction</w:t>
            </w:r>
          </w:p>
        </w:tc>
        <w:tc>
          <w:tcPr>
            <w:tcW w:w="4202" w:type="dxa"/>
            <w:vAlign w:val="center"/>
          </w:tcPr>
          <w:p w14:paraId="2F52D790"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Yield Impact</w:t>
            </w:r>
          </w:p>
        </w:tc>
      </w:tr>
      <w:tr w:rsidR="00D64CD1" w:rsidRPr="00542C74" w14:paraId="4DEADE43" w14:textId="77777777" w:rsidTr="00F4211D">
        <w:trPr>
          <w:trHeight w:val="193"/>
          <w:jc w:val="center"/>
        </w:trPr>
        <w:tc>
          <w:tcPr>
            <w:tcW w:w="2258" w:type="dxa"/>
            <w:vMerge w:val="restart"/>
            <w:vAlign w:val="center"/>
          </w:tcPr>
          <w:p w14:paraId="4A80C7EE"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Water management</w:t>
            </w:r>
          </w:p>
        </w:tc>
        <w:tc>
          <w:tcPr>
            <w:tcW w:w="3925" w:type="dxa"/>
            <w:vAlign w:val="center"/>
          </w:tcPr>
          <w:p w14:paraId="4982C8B5"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Optimizing drainage timing</w:t>
            </w:r>
          </w:p>
        </w:tc>
        <w:tc>
          <w:tcPr>
            <w:tcW w:w="1982" w:type="dxa"/>
            <w:vAlign w:val="center"/>
          </w:tcPr>
          <w:p w14:paraId="395A9A07"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35%–45%</w:t>
            </w:r>
          </w:p>
        </w:tc>
        <w:tc>
          <w:tcPr>
            <w:tcW w:w="4202" w:type="dxa"/>
            <w:vAlign w:val="center"/>
          </w:tcPr>
          <w:p w14:paraId="63D3C2F3"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No significant change</w:t>
            </w:r>
          </w:p>
        </w:tc>
      </w:tr>
      <w:tr w:rsidR="00D64CD1" w:rsidRPr="00542C74" w14:paraId="0D0E1DA5" w14:textId="77777777" w:rsidTr="00F4211D">
        <w:trPr>
          <w:trHeight w:val="203"/>
          <w:jc w:val="center"/>
        </w:trPr>
        <w:tc>
          <w:tcPr>
            <w:tcW w:w="2258" w:type="dxa"/>
            <w:vMerge/>
            <w:vAlign w:val="center"/>
          </w:tcPr>
          <w:p w14:paraId="465D7F17"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0BE16B87"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Multiple draining</w:t>
            </w:r>
          </w:p>
        </w:tc>
        <w:tc>
          <w:tcPr>
            <w:tcW w:w="1982" w:type="dxa"/>
            <w:vAlign w:val="center"/>
          </w:tcPr>
          <w:p w14:paraId="61E6C92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35%</w:t>
            </w:r>
          </w:p>
        </w:tc>
        <w:tc>
          <w:tcPr>
            <w:tcW w:w="4202" w:type="dxa"/>
            <w:vAlign w:val="center"/>
          </w:tcPr>
          <w:p w14:paraId="6DC0807D"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Increased</w:t>
            </w:r>
          </w:p>
        </w:tc>
      </w:tr>
      <w:tr w:rsidR="00D64CD1" w:rsidRPr="00542C74" w14:paraId="0C6B9214" w14:textId="77777777" w:rsidTr="00F4211D">
        <w:trPr>
          <w:trHeight w:val="203"/>
          <w:jc w:val="center"/>
        </w:trPr>
        <w:tc>
          <w:tcPr>
            <w:tcW w:w="2258" w:type="dxa"/>
            <w:vMerge/>
            <w:vAlign w:val="center"/>
          </w:tcPr>
          <w:p w14:paraId="7193FB82"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5524AFBF"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Draining</w:t>
            </w:r>
          </w:p>
        </w:tc>
        <w:tc>
          <w:tcPr>
            <w:tcW w:w="1982" w:type="dxa"/>
            <w:vAlign w:val="center"/>
          </w:tcPr>
          <w:p w14:paraId="7B772699"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57.8%</w:t>
            </w:r>
          </w:p>
        </w:tc>
        <w:tc>
          <w:tcPr>
            <w:tcW w:w="4202" w:type="dxa"/>
            <w:vAlign w:val="center"/>
          </w:tcPr>
          <w:p w14:paraId="2510B139"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No change</w:t>
            </w:r>
          </w:p>
        </w:tc>
      </w:tr>
      <w:tr w:rsidR="00D64CD1" w:rsidRPr="00542C74" w14:paraId="64D45EE8" w14:textId="77777777" w:rsidTr="00F4211D">
        <w:trPr>
          <w:trHeight w:val="203"/>
          <w:jc w:val="center"/>
        </w:trPr>
        <w:tc>
          <w:tcPr>
            <w:tcW w:w="2258" w:type="dxa"/>
            <w:vMerge/>
            <w:vAlign w:val="center"/>
          </w:tcPr>
          <w:p w14:paraId="15CFCFDA"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606595B7"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Alternate wetting and drying (AWD)</w:t>
            </w:r>
          </w:p>
        </w:tc>
        <w:tc>
          <w:tcPr>
            <w:tcW w:w="1982" w:type="dxa"/>
            <w:vAlign w:val="center"/>
          </w:tcPr>
          <w:p w14:paraId="342D7E2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Up to 49%</w:t>
            </w:r>
          </w:p>
        </w:tc>
        <w:tc>
          <w:tcPr>
            <w:tcW w:w="4202" w:type="dxa"/>
            <w:vAlign w:val="center"/>
          </w:tcPr>
          <w:p w14:paraId="504E3F04"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No change</w:t>
            </w:r>
          </w:p>
        </w:tc>
      </w:tr>
      <w:tr w:rsidR="00D64CD1" w:rsidRPr="00542C74" w14:paraId="5D38FAAD" w14:textId="77777777" w:rsidTr="00F4211D">
        <w:trPr>
          <w:trHeight w:val="193"/>
          <w:jc w:val="center"/>
        </w:trPr>
        <w:tc>
          <w:tcPr>
            <w:tcW w:w="2258" w:type="dxa"/>
            <w:vMerge w:val="restart"/>
            <w:vAlign w:val="center"/>
          </w:tcPr>
          <w:p w14:paraId="4249DE0C"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Biological control</w:t>
            </w:r>
          </w:p>
        </w:tc>
        <w:tc>
          <w:tcPr>
            <w:tcW w:w="3925" w:type="dxa"/>
            <w:vAlign w:val="center"/>
          </w:tcPr>
          <w:p w14:paraId="26D83E30"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Cable bacteria application</w:t>
            </w:r>
          </w:p>
        </w:tc>
        <w:tc>
          <w:tcPr>
            <w:tcW w:w="1982" w:type="dxa"/>
            <w:vAlign w:val="center"/>
          </w:tcPr>
          <w:p w14:paraId="50D68A62"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93%</w:t>
            </w:r>
          </w:p>
        </w:tc>
        <w:tc>
          <w:tcPr>
            <w:tcW w:w="4202" w:type="dxa"/>
            <w:vAlign w:val="center"/>
          </w:tcPr>
          <w:p w14:paraId="5187AE5D"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Likely beneficial (improves redox)</w:t>
            </w:r>
          </w:p>
        </w:tc>
      </w:tr>
      <w:tr w:rsidR="00D64CD1" w:rsidRPr="00542C74" w14:paraId="29834632" w14:textId="77777777" w:rsidTr="00F4211D">
        <w:trPr>
          <w:trHeight w:val="203"/>
          <w:jc w:val="center"/>
        </w:trPr>
        <w:tc>
          <w:tcPr>
            <w:tcW w:w="2258" w:type="dxa"/>
            <w:vMerge/>
            <w:vAlign w:val="center"/>
          </w:tcPr>
          <w:p w14:paraId="6DF5B754"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068714B8"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Purple nonsulfur bacteria application</w:t>
            </w:r>
          </w:p>
        </w:tc>
        <w:tc>
          <w:tcPr>
            <w:tcW w:w="1982" w:type="dxa"/>
            <w:vAlign w:val="center"/>
          </w:tcPr>
          <w:p w14:paraId="07328C6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24%–28%</w:t>
            </w:r>
          </w:p>
        </w:tc>
        <w:tc>
          <w:tcPr>
            <w:tcW w:w="4202" w:type="dxa"/>
            <w:vAlign w:val="center"/>
          </w:tcPr>
          <w:p w14:paraId="3941B9D7"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Increased</w:t>
            </w:r>
          </w:p>
        </w:tc>
      </w:tr>
      <w:tr w:rsidR="00D64CD1" w:rsidRPr="00542C74" w14:paraId="0A7BBDFC" w14:textId="77777777" w:rsidTr="00F4211D">
        <w:trPr>
          <w:trHeight w:val="203"/>
          <w:jc w:val="center"/>
        </w:trPr>
        <w:tc>
          <w:tcPr>
            <w:tcW w:w="2258" w:type="dxa"/>
            <w:vMerge/>
            <w:vAlign w:val="center"/>
          </w:tcPr>
          <w:p w14:paraId="2C28C4E1"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3315C7FA"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Azolla application</w:t>
            </w:r>
          </w:p>
        </w:tc>
        <w:tc>
          <w:tcPr>
            <w:tcW w:w="1982" w:type="dxa"/>
            <w:vAlign w:val="center"/>
          </w:tcPr>
          <w:p w14:paraId="65A58C4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12.3%–25.3%</w:t>
            </w:r>
          </w:p>
        </w:tc>
        <w:tc>
          <w:tcPr>
            <w:tcW w:w="4202" w:type="dxa"/>
            <w:vAlign w:val="center"/>
          </w:tcPr>
          <w:p w14:paraId="1B042E95"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No change</w:t>
            </w:r>
          </w:p>
        </w:tc>
      </w:tr>
      <w:tr w:rsidR="00D64CD1" w:rsidRPr="00542C74" w14:paraId="1581A009" w14:textId="77777777" w:rsidTr="00F4211D">
        <w:trPr>
          <w:trHeight w:val="193"/>
          <w:jc w:val="center"/>
        </w:trPr>
        <w:tc>
          <w:tcPr>
            <w:tcW w:w="2258" w:type="dxa"/>
            <w:vMerge w:val="restart"/>
            <w:vAlign w:val="center"/>
          </w:tcPr>
          <w:p w14:paraId="48341455"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Soil amendment</w:t>
            </w:r>
          </w:p>
        </w:tc>
        <w:tc>
          <w:tcPr>
            <w:tcW w:w="3925" w:type="dxa"/>
            <w:vAlign w:val="center"/>
          </w:tcPr>
          <w:p w14:paraId="10FCEC08"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Biochar application</w:t>
            </w:r>
          </w:p>
        </w:tc>
        <w:tc>
          <w:tcPr>
            <w:tcW w:w="1982" w:type="dxa"/>
            <w:vAlign w:val="center"/>
          </w:tcPr>
          <w:p w14:paraId="51F798A4"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38%–41%</w:t>
            </w:r>
          </w:p>
        </w:tc>
        <w:tc>
          <w:tcPr>
            <w:tcW w:w="4202" w:type="dxa"/>
            <w:vAlign w:val="center"/>
          </w:tcPr>
          <w:p w14:paraId="22A7AC16"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Increased</w:t>
            </w:r>
          </w:p>
        </w:tc>
      </w:tr>
      <w:tr w:rsidR="00D64CD1" w:rsidRPr="00542C74" w14:paraId="4366ED71" w14:textId="77777777" w:rsidTr="00F4211D">
        <w:trPr>
          <w:trHeight w:val="203"/>
          <w:jc w:val="center"/>
        </w:trPr>
        <w:tc>
          <w:tcPr>
            <w:tcW w:w="2258" w:type="dxa"/>
            <w:vMerge/>
            <w:vAlign w:val="center"/>
          </w:tcPr>
          <w:p w14:paraId="28E53D28"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7D67F0B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Biochar-based slow-release fertilizer treatment</w:t>
            </w:r>
          </w:p>
        </w:tc>
        <w:tc>
          <w:tcPr>
            <w:tcW w:w="1982" w:type="dxa"/>
            <w:vAlign w:val="center"/>
          </w:tcPr>
          <w:p w14:paraId="178B47E6"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33.4%</w:t>
            </w:r>
          </w:p>
        </w:tc>
        <w:tc>
          <w:tcPr>
            <w:tcW w:w="4202" w:type="dxa"/>
            <w:vAlign w:val="center"/>
          </w:tcPr>
          <w:p w14:paraId="5551EFB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Likely beneficial (better nutrient availability)</w:t>
            </w:r>
          </w:p>
        </w:tc>
      </w:tr>
      <w:tr w:rsidR="00D64CD1" w:rsidRPr="00542C74" w14:paraId="6813820D" w14:textId="77777777" w:rsidTr="00F4211D">
        <w:trPr>
          <w:trHeight w:val="203"/>
          <w:jc w:val="center"/>
        </w:trPr>
        <w:tc>
          <w:tcPr>
            <w:tcW w:w="2258" w:type="dxa"/>
            <w:vMerge/>
            <w:vAlign w:val="center"/>
          </w:tcPr>
          <w:p w14:paraId="5EAFE256"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1C8AF8BA"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Wood vinegar and biochar application</w:t>
            </w:r>
          </w:p>
        </w:tc>
        <w:tc>
          <w:tcPr>
            <w:tcW w:w="1982" w:type="dxa"/>
            <w:vAlign w:val="center"/>
          </w:tcPr>
          <w:p w14:paraId="1A74B83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35.3%–42.6%</w:t>
            </w:r>
          </w:p>
        </w:tc>
        <w:tc>
          <w:tcPr>
            <w:tcW w:w="4202" w:type="dxa"/>
            <w:vAlign w:val="center"/>
          </w:tcPr>
          <w:p w14:paraId="0ACCA646"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Increased</w:t>
            </w:r>
          </w:p>
        </w:tc>
      </w:tr>
      <w:tr w:rsidR="00D64CD1" w:rsidRPr="00542C74" w14:paraId="1311CBDC" w14:textId="77777777" w:rsidTr="00F4211D">
        <w:trPr>
          <w:trHeight w:val="203"/>
          <w:jc w:val="center"/>
        </w:trPr>
        <w:tc>
          <w:tcPr>
            <w:tcW w:w="2258" w:type="dxa"/>
            <w:vMerge/>
            <w:vAlign w:val="center"/>
          </w:tcPr>
          <w:p w14:paraId="4F711685"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4079D870"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High-rate biochar application</w:t>
            </w:r>
          </w:p>
        </w:tc>
        <w:tc>
          <w:tcPr>
            <w:tcW w:w="1982" w:type="dxa"/>
            <w:vAlign w:val="center"/>
          </w:tcPr>
          <w:p w14:paraId="1D711EA6"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47.3%–86.4%</w:t>
            </w:r>
          </w:p>
        </w:tc>
        <w:tc>
          <w:tcPr>
            <w:tcW w:w="4202" w:type="dxa"/>
            <w:vAlign w:val="center"/>
          </w:tcPr>
          <w:p w14:paraId="17B1979B"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Increased</w:t>
            </w:r>
          </w:p>
        </w:tc>
      </w:tr>
      <w:tr w:rsidR="00D64CD1" w:rsidRPr="00542C74" w14:paraId="2E452A41" w14:textId="77777777" w:rsidTr="00F4211D">
        <w:trPr>
          <w:trHeight w:val="193"/>
          <w:jc w:val="center"/>
        </w:trPr>
        <w:tc>
          <w:tcPr>
            <w:tcW w:w="2258" w:type="dxa"/>
            <w:vAlign w:val="center"/>
          </w:tcPr>
          <w:p w14:paraId="2CC67364"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Fertilizer management</w:t>
            </w:r>
          </w:p>
        </w:tc>
        <w:tc>
          <w:tcPr>
            <w:tcW w:w="3925" w:type="dxa"/>
            <w:vAlign w:val="center"/>
          </w:tcPr>
          <w:p w14:paraId="54458D35"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Aerobic pre-digestion of green manured soil</w:t>
            </w:r>
          </w:p>
        </w:tc>
        <w:tc>
          <w:tcPr>
            <w:tcW w:w="1982" w:type="dxa"/>
            <w:vAlign w:val="center"/>
          </w:tcPr>
          <w:p w14:paraId="0B4707D8"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60%</w:t>
            </w:r>
          </w:p>
        </w:tc>
        <w:tc>
          <w:tcPr>
            <w:tcW w:w="4202" w:type="dxa"/>
            <w:vAlign w:val="center"/>
          </w:tcPr>
          <w:p w14:paraId="3F0497ED"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No change</w:t>
            </w:r>
          </w:p>
        </w:tc>
      </w:tr>
      <w:tr w:rsidR="00D64CD1" w:rsidRPr="00542C74" w14:paraId="3E16C888" w14:textId="77777777" w:rsidTr="00F4211D">
        <w:trPr>
          <w:trHeight w:val="386"/>
          <w:jc w:val="center"/>
        </w:trPr>
        <w:tc>
          <w:tcPr>
            <w:tcW w:w="2258" w:type="dxa"/>
            <w:vMerge w:val="restart"/>
            <w:vAlign w:val="center"/>
          </w:tcPr>
          <w:p w14:paraId="2E72BA35"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Combination</w:t>
            </w:r>
          </w:p>
        </w:tc>
        <w:tc>
          <w:tcPr>
            <w:tcW w:w="3925" w:type="dxa"/>
            <w:vAlign w:val="center"/>
          </w:tcPr>
          <w:p w14:paraId="025E5EBF"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Dicyandiamide (DCD) application and water control</w:t>
            </w:r>
          </w:p>
        </w:tc>
        <w:tc>
          <w:tcPr>
            <w:tcW w:w="1982" w:type="dxa"/>
            <w:vAlign w:val="center"/>
          </w:tcPr>
          <w:p w14:paraId="7965708B"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7%–8%</w:t>
            </w:r>
          </w:p>
        </w:tc>
        <w:tc>
          <w:tcPr>
            <w:tcW w:w="4202" w:type="dxa"/>
            <w:vAlign w:val="center"/>
          </w:tcPr>
          <w:p w14:paraId="439B7651"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No change</w:t>
            </w:r>
          </w:p>
        </w:tc>
      </w:tr>
      <w:tr w:rsidR="00D64CD1" w:rsidRPr="00542C74" w14:paraId="39E58C59" w14:textId="77777777" w:rsidTr="00F4211D">
        <w:trPr>
          <w:trHeight w:val="203"/>
          <w:jc w:val="center"/>
        </w:trPr>
        <w:tc>
          <w:tcPr>
            <w:tcW w:w="2258" w:type="dxa"/>
            <w:vMerge/>
            <w:vAlign w:val="center"/>
          </w:tcPr>
          <w:p w14:paraId="0B17F1B6"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30A0809A"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AWD combined with biochar application</w:t>
            </w:r>
          </w:p>
        </w:tc>
        <w:tc>
          <w:tcPr>
            <w:tcW w:w="1982" w:type="dxa"/>
            <w:vAlign w:val="center"/>
          </w:tcPr>
          <w:p w14:paraId="1872513D"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18.8%</w:t>
            </w:r>
          </w:p>
        </w:tc>
        <w:tc>
          <w:tcPr>
            <w:tcW w:w="4202" w:type="dxa"/>
            <w:vAlign w:val="center"/>
          </w:tcPr>
          <w:p w14:paraId="74A35AF6"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Increased</w:t>
            </w:r>
          </w:p>
        </w:tc>
      </w:tr>
    </w:tbl>
    <w:p w14:paraId="36460B46" w14:textId="77777777" w:rsidR="00D64CD1" w:rsidRPr="00542C74" w:rsidRDefault="00D64CD1" w:rsidP="00542C74">
      <w:pPr>
        <w:pStyle w:val="NormalWeb"/>
        <w:rPr>
          <w:rFonts w:ascii="Arial" w:hAnsi="Arial" w:cs="Arial"/>
          <w:sz w:val="20"/>
          <w:szCs w:val="20"/>
        </w:rPr>
      </w:pPr>
    </w:p>
    <w:p w14:paraId="78B9E87A" w14:textId="77777777" w:rsidR="00D64CD1" w:rsidRPr="00542C74" w:rsidRDefault="00D64CD1" w:rsidP="00542C74">
      <w:pPr>
        <w:pStyle w:val="NormalWeb"/>
        <w:ind w:firstLine="720"/>
        <w:jc w:val="both"/>
        <w:rPr>
          <w:rFonts w:ascii="Arial" w:hAnsi="Arial" w:cs="Arial"/>
          <w:sz w:val="20"/>
          <w:szCs w:val="20"/>
        </w:rPr>
        <w:sectPr w:rsidR="00D64CD1" w:rsidRPr="00542C74" w:rsidSect="00D64CD1">
          <w:pgSz w:w="16838" w:h="11906" w:orient="landscape"/>
          <w:pgMar w:top="1440" w:right="1440" w:bottom="1440" w:left="1440" w:header="708" w:footer="708" w:gutter="0"/>
          <w:cols w:space="708"/>
          <w:docGrid w:linePitch="360"/>
        </w:sectPr>
      </w:pPr>
    </w:p>
    <w:p w14:paraId="04B837DE" w14:textId="483EC80A" w:rsidR="0048381C" w:rsidRPr="00542C74" w:rsidRDefault="00276C46" w:rsidP="00542C74">
      <w:pPr>
        <w:pStyle w:val="ListParagraph"/>
        <w:numPr>
          <w:ilvl w:val="0"/>
          <w:numId w:val="36"/>
        </w:numPr>
        <w:spacing w:before="100" w:beforeAutospacing="1" w:after="100" w:afterAutospacing="1" w:line="240" w:lineRule="auto"/>
        <w:outlineLvl w:val="2"/>
        <w:rPr>
          <w:rFonts w:ascii="Arial" w:eastAsia="Times New Roman" w:hAnsi="Arial" w:cs="Arial"/>
          <w:b/>
          <w:bCs/>
          <w:sz w:val="20"/>
          <w:szCs w:val="20"/>
          <w:lang w:eastAsia="en-IN"/>
        </w:rPr>
      </w:pPr>
      <w:r w:rsidRPr="00542C74">
        <w:rPr>
          <w:rFonts w:ascii="Arial" w:eastAsia="Times New Roman" w:hAnsi="Arial" w:cs="Arial"/>
          <w:b/>
          <w:bCs/>
          <w:sz w:val="20"/>
          <w:szCs w:val="20"/>
          <w:lang w:eastAsia="en-IN"/>
        </w:rPr>
        <w:lastRenderedPageBreak/>
        <w:t xml:space="preserve"> SOIL MANAGEMENT PRACTICES FOR FERTILITY AND RESILIENCE</w:t>
      </w:r>
    </w:p>
    <w:p w14:paraId="2A43F886" w14:textId="527ED0DC" w:rsidR="0048381C" w:rsidRPr="00542C74" w:rsidRDefault="0048381C"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Healthy soils form the foundation of sustainable crop production. Fig. 4 outlines holistic soil management practices that enhance soil fertility, structure, and microbial health:</w:t>
      </w:r>
    </w:p>
    <w:p w14:paraId="0CA1F1FC" w14:textId="77777777" w:rsidR="0048381C" w:rsidRPr="00542C74" w:rsidRDefault="0048381C" w:rsidP="00542C74">
      <w:pPr>
        <w:numPr>
          <w:ilvl w:val="0"/>
          <w:numId w:val="37"/>
        </w:numPr>
        <w:spacing w:before="100" w:beforeAutospacing="1" w:after="100" w:afterAutospacing="1" w:line="240" w:lineRule="auto"/>
        <w:rPr>
          <w:rFonts w:ascii="Arial" w:eastAsia="Times New Roman" w:hAnsi="Arial" w:cs="Arial"/>
          <w:sz w:val="20"/>
          <w:szCs w:val="20"/>
          <w:lang w:eastAsia="en-IN"/>
        </w:rPr>
      </w:pPr>
      <w:commentRangeStart w:id="9"/>
      <w:r w:rsidRPr="00542C74">
        <w:rPr>
          <w:rFonts w:ascii="Arial" w:eastAsia="Times New Roman" w:hAnsi="Arial" w:cs="Arial"/>
          <w:b/>
          <w:bCs/>
          <w:sz w:val="20"/>
          <w:szCs w:val="20"/>
          <w:lang w:eastAsia="en-IN"/>
        </w:rPr>
        <w:t>Conservation Tillage:</w:t>
      </w:r>
      <w:r w:rsidRPr="00542C74">
        <w:rPr>
          <w:rFonts w:ascii="Arial" w:eastAsia="Times New Roman" w:hAnsi="Arial" w:cs="Arial"/>
          <w:sz w:val="20"/>
          <w:szCs w:val="20"/>
          <w:lang w:eastAsia="en-IN"/>
        </w:rPr>
        <w:t xml:space="preserve"> Reduces soil erosion, maintains organic matter, and improves water infiltration.</w:t>
      </w:r>
    </w:p>
    <w:p w14:paraId="3BCCF573" w14:textId="77777777" w:rsidR="0048381C" w:rsidRPr="00542C74" w:rsidRDefault="0048381C" w:rsidP="00542C74">
      <w:pPr>
        <w:numPr>
          <w:ilvl w:val="0"/>
          <w:numId w:val="37"/>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Proper pH Maintenance:</w:t>
      </w:r>
      <w:r w:rsidRPr="00542C74">
        <w:rPr>
          <w:rFonts w:ascii="Arial" w:eastAsia="Times New Roman" w:hAnsi="Arial" w:cs="Arial"/>
          <w:sz w:val="20"/>
          <w:szCs w:val="20"/>
          <w:lang w:eastAsia="en-IN"/>
        </w:rPr>
        <w:t xml:space="preserve"> Ensures nutrient availability; for instance, most crops perform optimally at a soil pH of 6.0–7.5.</w:t>
      </w:r>
    </w:p>
    <w:p w14:paraId="40F11501" w14:textId="77777777" w:rsidR="0048381C" w:rsidRPr="00542C74" w:rsidRDefault="0048381C" w:rsidP="00542C74">
      <w:pPr>
        <w:numPr>
          <w:ilvl w:val="0"/>
          <w:numId w:val="37"/>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Organic Amendments:</w:t>
      </w:r>
      <w:r w:rsidRPr="00542C74">
        <w:rPr>
          <w:rFonts w:ascii="Arial" w:eastAsia="Times New Roman" w:hAnsi="Arial" w:cs="Arial"/>
          <w:sz w:val="20"/>
          <w:szCs w:val="20"/>
          <w:lang w:eastAsia="en-IN"/>
        </w:rPr>
        <w:t xml:space="preserve"> Compost, manure, and green manures boost soil biological activity and carbon content.</w:t>
      </w:r>
    </w:p>
    <w:p w14:paraId="7BBFAFCF" w14:textId="77777777" w:rsidR="0048381C" w:rsidRPr="00542C74" w:rsidRDefault="0048381C" w:rsidP="00542C74">
      <w:pPr>
        <w:numPr>
          <w:ilvl w:val="0"/>
          <w:numId w:val="37"/>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Regular Soil Organic Matter Monitoring:</w:t>
      </w:r>
      <w:r w:rsidRPr="00542C74">
        <w:rPr>
          <w:rFonts w:ascii="Arial" w:eastAsia="Times New Roman" w:hAnsi="Arial" w:cs="Arial"/>
          <w:sz w:val="20"/>
          <w:szCs w:val="20"/>
          <w:lang w:eastAsia="en-IN"/>
        </w:rPr>
        <w:t xml:space="preserve"> Crucial for tracking soil health and guiding fertilization.</w:t>
      </w:r>
    </w:p>
    <w:p w14:paraId="03C8A059" w14:textId="77777777" w:rsidR="0048381C" w:rsidRPr="00542C74" w:rsidRDefault="0048381C" w:rsidP="00542C74">
      <w:pPr>
        <w:numPr>
          <w:ilvl w:val="0"/>
          <w:numId w:val="37"/>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Cover Cropping:</w:t>
      </w:r>
      <w:r w:rsidRPr="00542C74">
        <w:rPr>
          <w:rFonts w:ascii="Arial" w:eastAsia="Times New Roman" w:hAnsi="Arial" w:cs="Arial"/>
          <w:sz w:val="20"/>
          <w:szCs w:val="20"/>
          <w:lang w:eastAsia="en-IN"/>
        </w:rPr>
        <w:t xml:space="preserve"> Minimizes erosion, suppresses weeds, and enhances nitrogen fixation through legumes.</w:t>
      </w:r>
    </w:p>
    <w:p w14:paraId="42BC2B75" w14:textId="77777777" w:rsidR="0048381C" w:rsidRPr="00542C74" w:rsidRDefault="0048381C" w:rsidP="00542C74">
      <w:pPr>
        <w:numPr>
          <w:ilvl w:val="0"/>
          <w:numId w:val="37"/>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Crop Rotation:</w:t>
      </w:r>
      <w:r w:rsidRPr="00542C74">
        <w:rPr>
          <w:rFonts w:ascii="Arial" w:eastAsia="Times New Roman" w:hAnsi="Arial" w:cs="Arial"/>
          <w:sz w:val="20"/>
          <w:szCs w:val="20"/>
          <w:lang w:eastAsia="en-IN"/>
        </w:rPr>
        <w:t xml:space="preserve"> Breaks pest cycles and improves nutrient cycling across seasons.</w:t>
      </w:r>
      <w:commentRangeEnd w:id="9"/>
      <w:r w:rsidR="000838FD">
        <w:rPr>
          <w:rStyle w:val="CommentReference"/>
        </w:rPr>
        <w:commentReference w:id="9"/>
      </w:r>
    </w:p>
    <w:p w14:paraId="63FA565B" w14:textId="3820F8BC" w:rsidR="00B54B23" w:rsidRPr="00542C74" w:rsidRDefault="00B54B23" w:rsidP="00542C74">
      <w:pPr>
        <w:pStyle w:val="NoSpacing"/>
        <w:jc w:val="center"/>
        <w:rPr>
          <w:rFonts w:ascii="Arial" w:hAnsi="Arial" w:cs="Arial"/>
          <w:sz w:val="20"/>
          <w:szCs w:val="20"/>
        </w:rPr>
      </w:pPr>
      <w:r w:rsidRPr="00542C74">
        <w:rPr>
          <w:rFonts w:ascii="Arial" w:hAnsi="Arial" w:cs="Arial"/>
          <w:noProof/>
          <w:sz w:val="20"/>
          <w:szCs w:val="20"/>
          <w:lang w:val="en-US"/>
        </w:rPr>
        <w:drawing>
          <wp:inline distT="0" distB="0" distL="0" distR="0" wp14:anchorId="762ECB1F" wp14:editId="23F460EB">
            <wp:extent cx="4125504" cy="3697356"/>
            <wp:effectExtent l="19050" t="19050" r="27940"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4646" cy="3777247"/>
                    </a:xfrm>
                    <a:prstGeom prst="rect">
                      <a:avLst/>
                    </a:prstGeom>
                    <a:noFill/>
                    <a:ln w="3175">
                      <a:solidFill>
                        <a:schemeClr val="tx1"/>
                      </a:solidFill>
                    </a:ln>
                  </pic:spPr>
                </pic:pic>
              </a:graphicData>
            </a:graphic>
          </wp:inline>
        </w:drawing>
      </w:r>
    </w:p>
    <w:p w14:paraId="494AF29A" w14:textId="051DC677" w:rsidR="00115DE3" w:rsidRPr="00542C74" w:rsidRDefault="00B54B23" w:rsidP="00542C74">
      <w:pPr>
        <w:pStyle w:val="NoSpacing"/>
        <w:rPr>
          <w:rFonts w:ascii="Arial" w:hAnsi="Arial" w:cs="Arial"/>
          <w:b/>
          <w:sz w:val="20"/>
          <w:szCs w:val="20"/>
        </w:rPr>
      </w:pPr>
      <w:commentRangeStart w:id="10"/>
      <w:r w:rsidRPr="00542C74">
        <w:rPr>
          <w:rFonts w:ascii="Arial" w:hAnsi="Arial" w:cs="Arial"/>
          <w:b/>
          <w:sz w:val="20"/>
          <w:szCs w:val="20"/>
        </w:rPr>
        <w:t xml:space="preserve">Fig. 4: </w:t>
      </w:r>
      <w:r w:rsidRPr="00542C74">
        <w:rPr>
          <w:rFonts w:ascii="Arial" w:eastAsia="Times New Roman" w:hAnsi="Arial" w:cs="Arial"/>
          <w:i/>
          <w:iCs/>
          <w:sz w:val="20"/>
          <w:szCs w:val="20"/>
          <w:lang w:eastAsia="en-IN"/>
        </w:rPr>
        <w:t>Core Soil Management Strategies to Enhance Soil Health and Nutrient Efficiency</w:t>
      </w:r>
      <w:commentRangeEnd w:id="10"/>
      <w:r w:rsidR="0027725E">
        <w:rPr>
          <w:rStyle w:val="CommentReference"/>
        </w:rPr>
        <w:commentReference w:id="10"/>
      </w:r>
      <w:r w:rsidRPr="00542C74">
        <w:rPr>
          <w:rFonts w:ascii="Arial" w:eastAsia="Times New Roman" w:hAnsi="Arial" w:cs="Arial"/>
          <w:sz w:val="20"/>
          <w:szCs w:val="20"/>
          <w:lang w:eastAsia="en-IN"/>
        </w:rPr>
        <w:br/>
      </w:r>
    </w:p>
    <w:p w14:paraId="01C346AC" w14:textId="6022C83F" w:rsidR="00B54B23" w:rsidRPr="00542C74" w:rsidRDefault="00B54B23" w:rsidP="00542C74">
      <w:pPr>
        <w:spacing w:line="240" w:lineRule="auto"/>
        <w:jc w:val="center"/>
        <w:rPr>
          <w:rFonts w:ascii="Arial" w:hAnsi="Arial" w:cs="Arial"/>
          <w:b/>
          <w:sz w:val="20"/>
          <w:szCs w:val="20"/>
        </w:rPr>
      </w:pPr>
    </w:p>
    <w:p w14:paraId="59D54616" w14:textId="02B1BD7A" w:rsidR="0048381C" w:rsidRPr="00542C74" w:rsidRDefault="00276C46" w:rsidP="00542C74">
      <w:pPr>
        <w:pStyle w:val="ListParagraph"/>
        <w:numPr>
          <w:ilvl w:val="0"/>
          <w:numId w:val="36"/>
        </w:numPr>
        <w:spacing w:before="100" w:beforeAutospacing="1" w:after="100" w:afterAutospacing="1" w:line="240" w:lineRule="auto"/>
        <w:outlineLvl w:val="2"/>
        <w:rPr>
          <w:rFonts w:ascii="Arial" w:eastAsia="Times New Roman" w:hAnsi="Arial" w:cs="Arial"/>
          <w:b/>
          <w:bCs/>
          <w:sz w:val="20"/>
          <w:szCs w:val="20"/>
          <w:lang w:eastAsia="en-IN"/>
        </w:rPr>
      </w:pPr>
      <w:r w:rsidRPr="00542C74">
        <w:rPr>
          <w:rFonts w:ascii="Arial" w:eastAsia="Times New Roman" w:hAnsi="Arial" w:cs="Arial"/>
          <w:b/>
          <w:bCs/>
          <w:sz w:val="20"/>
          <w:szCs w:val="20"/>
          <w:lang w:eastAsia="en-IN"/>
        </w:rPr>
        <w:t>SMART FERTILIZER APPLICATION TECHNIQUES</w:t>
      </w:r>
      <w:r w:rsidR="00B760E2" w:rsidRPr="00542C74">
        <w:rPr>
          <w:rFonts w:ascii="Arial" w:eastAsia="Times New Roman" w:hAnsi="Arial" w:cs="Arial"/>
          <w:b/>
          <w:bCs/>
          <w:sz w:val="20"/>
          <w:szCs w:val="20"/>
          <w:lang w:eastAsia="en-IN"/>
        </w:rPr>
        <w:t xml:space="preserve"> </w:t>
      </w:r>
    </w:p>
    <w:p w14:paraId="65EEAC09" w14:textId="729CE59A" w:rsidR="0048381C" w:rsidRPr="00542C74" w:rsidRDefault="0048381C"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Modern agriculture increasingly leverages technology to optimize fertilizer use. Fig. 5 highlights advanced strategies under the umbrella of "Smart Application Methods":</w:t>
      </w:r>
    </w:p>
    <w:p w14:paraId="104AB149" w14:textId="77777777" w:rsidR="0048381C" w:rsidRPr="00542C74" w:rsidRDefault="0048381C" w:rsidP="00542C74">
      <w:pPr>
        <w:numPr>
          <w:ilvl w:val="0"/>
          <w:numId w:val="38"/>
        </w:numPr>
        <w:spacing w:before="100" w:beforeAutospacing="1" w:after="100" w:afterAutospacing="1" w:line="240" w:lineRule="auto"/>
        <w:rPr>
          <w:rFonts w:ascii="Arial" w:eastAsia="Times New Roman" w:hAnsi="Arial" w:cs="Arial"/>
          <w:sz w:val="20"/>
          <w:szCs w:val="20"/>
          <w:lang w:eastAsia="en-IN"/>
        </w:rPr>
      </w:pPr>
      <w:commentRangeStart w:id="11"/>
      <w:r w:rsidRPr="00542C74">
        <w:rPr>
          <w:rFonts w:ascii="Arial" w:eastAsia="Times New Roman" w:hAnsi="Arial" w:cs="Arial"/>
          <w:b/>
          <w:bCs/>
          <w:sz w:val="20"/>
          <w:szCs w:val="20"/>
          <w:lang w:eastAsia="en-IN"/>
        </w:rPr>
        <w:t>GPS-Guided Variable Rate Application:</w:t>
      </w:r>
      <w:r w:rsidRPr="00542C74">
        <w:rPr>
          <w:rFonts w:ascii="Arial" w:eastAsia="Times New Roman" w:hAnsi="Arial" w:cs="Arial"/>
          <w:sz w:val="20"/>
          <w:szCs w:val="20"/>
          <w:lang w:eastAsia="en-IN"/>
        </w:rPr>
        <w:t xml:space="preserve"> Tailors input levels to specific field zones based on soil maps, reducing over- or under-fertilization.</w:t>
      </w:r>
    </w:p>
    <w:p w14:paraId="1C7FF319" w14:textId="77777777" w:rsidR="0048381C" w:rsidRPr="00542C74" w:rsidRDefault="0048381C" w:rsidP="00542C74">
      <w:pPr>
        <w:numPr>
          <w:ilvl w:val="0"/>
          <w:numId w:val="38"/>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Split Applications:</w:t>
      </w:r>
      <w:r w:rsidRPr="00542C74">
        <w:rPr>
          <w:rFonts w:ascii="Arial" w:eastAsia="Times New Roman" w:hAnsi="Arial" w:cs="Arial"/>
          <w:sz w:val="20"/>
          <w:szCs w:val="20"/>
          <w:lang w:eastAsia="en-IN"/>
        </w:rPr>
        <w:t xml:space="preserve"> Dividing fertilizer doses according to crop stages enhances nutrient uptake and reduces losses.</w:t>
      </w:r>
    </w:p>
    <w:p w14:paraId="739DB4AF" w14:textId="77777777" w:rsidR="0048381C" w:rsidRPr="00542C74" w:rsidRDefault="0048381C" w:rsidP="00542C74">
      <w:pPr>
        <w:numPr>
          <w:ilvl w:val="0"/>
          <w:numId w:val="38"/>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AI-Driven Predictive Analytics:</w:t>
      </w:r>
      <w:r w:rsidRPr="00542C74">
        <w:rPr>
          <w:rFonts w:ascii="Arial" w:eastAsia="Times New Roman" w:hAnsi="Arial" w:cs="Arial"/>
          <w:sz w:val="20"/>
          <w:szCs w:val="20"/>
          <w:lang w:eastAsia="en-IN"/>
        </w:rPr>
        <w:t xml:space="preserve"> Uses real-time data and modeling to anticipate crop nutrient demands and adjust applications dynamically.</w:t>
      </w:r>
    </w:p>
    <w:p w14:paraId="04299D08" w14:textId="77777777" w:rsidR="0048381C" w:rsidRPr="00542C74" w:rsidRDefault="0048381C" w:rsidP="00542C74">
      <w:pPr>
        <w:numPr>
          <w:ilvl w:val="0"/>
          <w:numId w:val="38"/>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lastRenderedPageBreak/>
        <w:t>Precise Timing with Crop Growth Stages:</w:t>
      </w:r>
      <w:r w:rsidRPr="00542C74">
        <w:rPr>
          <w:rFonts w:ascii="Arial" w:eastAsia="Times New Roman" w:hAnsi="Arial" w:cs="Arial"/>
          <w:sz w:val="20"/>
          <w:szCs w:val="20"/>
          <w:lang w:eastAsia="en-IN"/>
        </w:rPr>
        <w:t xml:space="preserve"> Synchronizing fertilizer use with critical phenological phases (e.g., tillering or flowering) maximizes efficiency.</w:t>
      </w:r>
    </w:p>
    <w:p w14:paraId="4B79EE55" w14:textId="77777777" w:rsidR="0048381C" w:rsidRPr="00542C74" w:rsidRDefault="0048381C" w:rsidP="00542C74">
      <w:pPr>
        <w:numPr>
          <w:ilvl w:val="0"/>
          <w:numId w:val="38"/>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Deep Placement:</w:t>
      </w:r>
      <w:r w:rsidRPr="00542C74">
        <w:rPr>
          <w:rFonts w:ascii="Arial" w:eastAsia="Times New Roman" w:hAnsi="Arial" w:cs="Arial"/>
          <w:sz w:val="20"/>
          <w:szCs w:val="20"/>
          <w:lang w:eastAsia="en-IN"/>
        </w:rPr>
        <w:t xml:space="preserve"> Places nutrients near root zones to minimize volatilization and runoff.</w:t>
      </w:r>
    </w:p>
    <w:p w14:paraId="1FB91616" w14:textId="77777777" w:rsidR="0048381C" w:rsidRPr="00542C74" w:rsidRDefault="0048381C" w:rsidP="00542C74">
      <w:pPr>
        <w:numPr>
          <w:ilvl w:val="0"/>
          <w:numId w:val="38"/>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Soil Testing and Crop-Specific Dosing:</w:t>
      </w:r>
      <w:r w:rsidRPr="00542C74">
        <w:rPr>
          <w:rFonts w:ascii="Arial" w:eastAsia="Times New Roman" w:hAnsi="Arial" w:cs="Arial"/>
          <w:sz w:val="20"/>
          <w:szCs w:val="20"/>
          <w:lang w:eastAsia="en-IN"/>
        </w:rPr>
        <w:t xml:space="preserve"> Aligns nutrient supply with specific crop requirements based on soil health diagnostics.</w:t>
      </w:r>
      <w:commentRangeEnd w:id="11"/>
      <w:r w:rsidR="0072245B">
        <w:rPr>
          <w:rStyle w:val="CommentReference"/>
        </w:rPr>
        <w:commentReference w:id="11"/>
      </w:r>
    </w:p>
    <w:p w14:paraId="28CEDF09" w14:textId="762C3CE3" w:rsidR="00115DE3" w:rsidRPr="00542C74" w:rsidRDefault="00AA0087" w:rsidP="00542C74">
      <w:pPr>
        <w:pStyle w:val="NoSpacing"/>
        <w:jc w:val="center"/>
        <w:rPr>
          <w:rFonts w:ascii="Arial" w:hAnsi="Arial" w:cs="Arial"/>
          <w:b/>
          <w:sz w:val="20"/>
          <w:szCs w:val="20"/>
          <w:lang w:val="en-US"/>
        </w:rPr>
      </w:pPr>
      <w:r>
        <w:rPr>
          <w:rFonts w:ascii="Arial" w:hAnsi="Arial" w:cs="Arial"/>
          <w:b/>
          <w:noProof/>
          <w:sz w:val="20"/>
          <w:szCs w:val="20"/>
          <w:lang w:val="en-US"/>
        </w:rPr>
        <mc:AlternateContent>
          <mc:Choice Requires="wps">
            <w:drawing>
              <wp:anchor distT="0" distB="0" distL="114300" distR="114300" simplePos="0" relativeHeight="251660288" behindDoc="0" locked="0" layoutInCell="1" allowOverlap="1" wp14:anchorId="1A28D431" wp14:editId="15248EBF">
                <wp:simplePos x="0" y="0"/>
                <wp:positionH relativeFrom="column">
                  <wp:posOffset>2158409</wp:posOffset>
                </wp:positionH>
                <wp:positionV relativeFrom="paragraph">
                  <wp:posOffset>2235052</wp:posOffset>
                </wp:positionV>
                <wp:extent cx="180754" cy="127591"/>
                <wp:effectExtent l="0" t="0" r="10160" b="25400"/>
                <wp:wrapNone/>
                <wp:docPr id="2078038962" name="Oval 2"/>
                <wp:cNvGraphicFramePr/>
                <a:graphic xmlns:a="http://schemas.openxmlformats.org/drawingml/2006/main">
                  <a:graphicData uri="http://schemas.microsoft.com/office/word/2010/wordprocessingShape">
                    <wps:wsp>
                      <wps:cNvSpPr/>
                      <wps:spPr>
                        <a:xfrm>
                          <a:off x="0" y="0"/>
                          <a:ext cx="180754" cy="127591"/>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459FECD" id="Oval 2" o:spid="_x0000_s1026" style="position:absolute;margin-left:169.95pt;margin-top:176pt;width:14.25pt;height:10.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" fillcolor="#4472c4 [3204]" strokecolor="#09101d [484]" strokeweight="1pt">
                <v:stroke joinstyle="miter"/>
              </v:oval>
            </w:pict>
          </mc:Fallback>
        </mc:AlternateContent>
      </w:r>
      <w:r w:rsidR="009E5BB2">
        <w:rPr>
          <w:rFonts w:ascii="Arial" w:hAnsi="Arial" w:cs="Arial"/>
          <w:b/>
          <w:noProof/>
          <w:sz w:val="20"/>
          <w:szCs w:val="20"/>
          <w:lang w:val="en-US"/>
        </w:rPr>
        <mc:AlternateContent>
          <mc:Choice Requires="wps">
            <w:drawing>
              <wp:anchor distT="0" distB="0" distL="114300" distR="114300" simplePos="0" relativeHeight="251659264" behindDoc="0" locked="0" layoutInCell="1" allowOverlap="1" wp14:anchorId="4366EF0C" wp14:editId="492BBF15">
                <wp:simplePos x="0" y="0"/>
                <wp:positionH relativeFrom="column">
                  <wp:posOffset>2062716</wp:posOffset>
                </wp:positionH>
                <wp:positionV relativeFrom="paragraph">
                  <wp:posOffset>767759</wp:posOffset>
                </wp:positionV>
                <wp:extent cx="159489" cy="265814"/>
                <wp:effectExtent l="0" t="0" r="12065" b="20320"/>
                <wp:wrapNone/>
                <wp:docPr id="1085607908" name="Rectangle 1"/>
                <wp:cNvGraphicFramePr/>
                <a:graphic xmlns:a="http://schemas.openxmlformats.org/drawingml/2006/main">
                  <a:graphicData uri="http://schemas.microsoft.com/office/word/2010/wordprocessingShape">
                    <wps:wsp>
                      <wps:cNvSpPr/>
                      <wps:spPr>
                        <a:xfrm>
                          <a:off x="0" y="0"/>
                          <a:ext cx="159489" cy="26581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D027EB" id="Rectangle 1" o:spid="_x0000_s1026" style="position:absolute;margin-left:162.4pt;margin-top:60.45pt;width:12.55pt;height:2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" fillcolor="#4472c4 [3204]" strokecolor="#09101d [484]" strokeweight="1pt"/>
            </w:pict>
          </mc:Fallback>
        </mc:AlternateContent>
      </w:r>
      <w:r w:rsidR="00B54B23" w:rsidRPr="00542C74">
        <w:rPr>
          <w:rFonts w:ascii="Arial" w:hAnsi="Arial" w:cs="Arial"/>
          <w:b/>
          <w:noProof/>
          <w:sz w:val="20"/>
          <w:szCs w:val="20"/>
          <w:lang w:val="en-US"/>
        </w:rPr>
        <w:drawing>
          <wp:inline distT="0" distB="0" distL="0" distR="0" wp14:anchorId="297EE81E" wp14:editId="09741BD2">
            <wp:extent cx="4185794" cy="3601456"/>
            <wp:effectExtent l="19050" t="19050" r="2476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4163" cy="3625865"/>
                    </a:xfrm>
                    <a:prstGeom prst="rect">
                      <a:avLst/>
                    </a:prstGeom>
                    <a:noFill/>
                    <a:ln w="3175">
                      <a:solidFill>
                        <a:schemeClr val="tx1"/>
                      </a:solidFill>
                    </a:ln>
                  </pic:spPr>
                </pic:pic>
              </a:graphicData>
            </a:graphic>
          </wp:inline>
        </w:drawing>
      </w:r>
    </w:p>
    <w:p w14:paraId="7B596C9F" w14:textId="2E3509F7" w:rsidR="00B54B23" w:rsidRPr="00542C74" w:rsidRDefault="00B54B23" w:rsidP="00542C74">
      <w:pPr>
        <w:pStyle w:val="NoSpacing"/>
        <w:jc w:val="center"/>
        <w:rPr>
          <w:rFonts w:ascii="Arial" w:eastAsia="Times New Roman" w:hAnsi="Arial" w:cs="Arial"/>
          <w:b/>
          <w:i/>
          <w:iCs/>
          <w:sz w:val="20"/>
          <w:szCs w:val="20"/>
          <w:lang w:eastAsia="en-IN"/>
        </w:rPr>
      </w:pPr>
      <w:r w:rsidRPr="00542C74">
        <w:rPr>
          <w:rFonts w:ascii="Arial" w:hAnsi="Arial" w:cs="Arial"/>
          <w:b/>
          <w:sz w:val="20"/>
          <w:szCs w:val="20"/>
          <w:lang w:val="en-US"/>
        </w:rPr>
        <w:t xml:space="preserve">Fig. 5: </w:t>
      </w:r>
      <w:r w:rsidRPr="00542C74">
        <w:rPr>
          <w:rFonts w:ascii="Arial" w:eastAsia="Times New Roman" w:hAnsi="Arial" w:cs="Arial"/>
          <w:i/>
          <w:iCs/>
          <w:sz w:val="20"/>
          <w:szCs w:val="20"/>
          <w:lang w:eastAsia="en-IN"/>
        </w:rPr>
        <w:t>Smart Fertilizer Application Methods for Precision and Sustainability</w:t>
      </w:r>
    </w:p>
    <w:p w14:paraId="43CC16CE" w14:textId="4D115041" w:rsidR="007A1B44" w:rsidRPr="00542C74" w:rsidRDefault="007A1B44" w:rsidP="00542C74">
      <w:pPr>
        <w:pStyle w:val="NoSpacing"/>
        <w:jc w:val="center"/>
        <w:rPr>
          <w:rFonts w:ascii="Arial" w:hAnsi="Arial" w:cs="Arial"/>
          <w:sz w:val="20"/>
          <w:szCs w:val="20"/>
          <w:lang w:val="en-US"/>
        </w:rPr>
      </w:pPr>
    </w:p>
    <w:p w14:paraId="460ECE34" w14:textId="09309894" w:rsidR="00253C4E" w:rsidRPr="00542C74" w:rsidRDefault="00276C46" w:rsidP="00542C74">
      <w:pPr>
        <w:pStyle w:val="NormalWeb"/>
        <w:jc w:val="both"/>
        <w:rPr>
          <w:rStyle w:val="Strong"/>
          <w:rFonts w:ascii="Arial" w:hAnsi="Arial" w:cs="Arial"/>
          <w:bCs w:val="0"/>
          <w:color w:val="EE0000"/>
          <w:sz w:val="20"/>
          <w:szCs w:val="20"/>
        </w:rPr>
      </w:pPr>
      <w:r w:rsidRPr="00542C74">
        <w:rPr>
          <w:rStyle w:val="Strong"/>
          <w:rFonts w:ascii="Arial" w:hAnsi="Arial" w:cs="Arial"/>
          <w:bCs w:val="0"/>
          <w:sz w:val="20"/>
          <w:szCs w:val="20"/>
        </w:rPr>
        <w:t xml:space="preserve">7.1 </w:t>
      </w:r>
      <w:r w:rsidR="00253C4E" w:rsidRPr="00542C74">
        <w:rPr>
          <w:rStyle w:val="Strong"/>
          <w:rFonts w:ascii="Arial" w:hAnsi="Arial" w:cs="Arial"/>
          <w:bCs w:val="0"/>
          <w:sz w:val="20"/>
          <w:szCs w:val="20"/>
        </w:rPr>
        <w:t>Effect of Fertilizer Management on CH</w:t>
      </w:r>
      <w:r w:rsidR="00253C4E" w:rsidRPr="00542C74">
        <w:rPr>
          <w:rStyle w:val="Strong"/>
          <w:rFonts w:ascii="Cambria Math" w:hAnsi="Cambria Math" w:cs="Cambria Math"/>
          <w:bCs w:val="0"/>
          <w:sz w:val="20"/>
          <w:szCs w:val="20"/>
        </w:rPr>
        <w:t>₄</w:t>
      </w:r>
      <w:r w:rsidR="00253C4E" w:rsidRPr="00542C74">
        <w:rPr>
          <w:rStyle w:val="Strong"/>
          <w:rFonts w:ascii="Arial" w:hAnsi="Arial" w:cs="Arial"/>
          <w:bCs w:val="0"/>
          <w:sz w:val="20"/>
          <w:szCs w:val="20"/>
        </w:rPr>
        <w:t xml:space="preserve"> and N</w:t>
      </w:r>
      <w:r w:rsidR="00253C4E" w:rsidRPr="00542C74">
        <w:rPr>
          <w:rStyle w:val="Strong"/>
          <w:rFonts w:ascii="Cambria Math" w:hAnsi="Cambria Math" w:cs="Cambria Math"/>
          <w:bCs w:val="0"/>
          <w:sz w:val="20"/>
          <w:szCs w:val="20"/>
        </w:rPr>
        <w:t>₂</w:t>
      </w:r>
      <w:r w:rsidR="00253C4E" w:rsidRPr="00542C74">
        <w:rPr>
          <w:rStyle w:val="Strong"/>
          <w:rFonts w:ascii="Arial" w:hAnsi="Arial" w:cs="Arial"/>
          <w:bCs w:val="0"/>
          <w:sz w:val="20"/>
          <w:szCs w:val="20"/>
        </w:rPr>
        <w:t xml:space="preserve">O Emissions </w:t>
      </w:r>
    </w:p>
    <w:p w14:paraId="410971F7" w14:textId="7F481714" w:rsidR="00253C4E" w:rsidRPr="00542C74" w:rsidRDefault="00253C4E" w:rsidP="00542C74">
      <w:pPr>
        <w:pStyle w:val="NormalWeb"/>
        <w:jc w:val="both"/>
        <w:rPr>
          <w:rFonts w:ascii="Arial" w:hAnsi="Arial" w:cs="Arial"/>
          <w:sz w:val="20"/>
          <w:szCs w:val="20"/>
        </w:rPr>
      </w:pPr>
      <w:r w:rsidRPr="00542C74">
        <w:rPr>
          <w:rFonts w:ascii="Arial" w:hAnsi="Arial" w:cs="Arial"/>
          <w:sz w:val="20"/>
          <w:szCs w:val="20"/>
        </w:rPr>
        <w:t xml:space="preserve">The Table 2 illustrates the impact of varying fertilizer treatments on greenhouse gas emissions and crop yield in a rice-based system. </w:t>
      </w:r>
      <w:r w:rsidRPr="00542C74">
        <w:rPr>
          <w:rStyle w:val="Strong"/>
          <w:rFonts w:ascii="Arial" w:hAnsi="Arial" w:cs="Arial"/>
          <w:b w:val="0"/>
          <w:sz w:val="20"/>
          <w:szCs w:val="20"/>
        </w:rPr>
        <w:t>FDP (Fertilizer Deep Placement)</w:t>
      </w:r>
      <w:r w:rsidRPr="00542C74">
        <w:rPr>
          <w:rFonts w:ascii="Arial" w:hAnsi="Arial" w:cs="Arial"/>
          <w:sz w:val="20"/>
          <w:szCs w:val="20"/>
        </w:rPr>
        <w:t xml:space="preserve"> treatments show higher CH</w:t>
      </w:r>
      <w:r w:rsidRPr="00542C74">
        <w:rPr>
          <w:rFonts w:ascii="Cambria Math" w:hAnsi="Cambria Math" w:cs="Cambria Math"/>
          <w:sz w:val="20"/>
          <w:szCs w:val="20"/>
        </w:rPr>
        <w:t>₄</w:t>
      </w:r>
      <w:r w:rsidRPr="00542C74">
        <w:rPr>
          <w:rFonts w:ascii="Arial" w:hAnsi="Arial" w:cs="Arial"/>
          <w:sz w:val="20"/>
          <w:szCs w:val="20"/>
        </w:rPr>
        <w:t xml:space="preserve"> emissions compared to the control and conventional fertilizer placement methods, particularly in </w:t>
      </w:r>
      <w:r w:rsidRPr="00542C74">
        <w:rPr>
          <w:rStyle w:val="Strong"/>
          <w:rFonts w:ascii="Arial" w:hAnsi="Arial" w:cs="Arial"/>
          <w:b w:val="0"/>
          <w:sz w:val="20"/>
          <w:szCs w:val="20"/>
        </w:rPr>
        <w:t>T</w:t>
      </w:r>
      <w:r w:rsidRPr="00542C74">
        <w:rPr>
          <w:rStyle w:val="Strong"/>
          <w:rFonts w:ascii="Cambria Math" w:hAnsi="Cambria Math" w:cs="Cambria Math"/>
          <w:b w:val="0"/>
          <w:sz w:val="20"/>
          <w:szCs w:val="20"/>
        </w:rPr>
        <w:t>₅</w:t>
      </w:r>
      <w:r w:rsidRPr="00542C74">
        <w:rPr>
          <w:rStyle w:val="Strong"/>
          <w:rFonts w:ascii="Arial" w:hAnsi="Arial" w:cs="Arial"/>
          <w:b w:val="0"/>
          <w:sz w:val="20"/>
          <w:szCs w:val="20"/>
        </w:rPr>
        <w:t xml:space="preserve"> (32.84 kg ha</w:t>
      </w:r>
      <w:r w:rsidRPr="00542C74">
        <w:rPr>
          <w:rStyle w:val="Strong"/>
          <w:rFonts w:ascii="Cambria Math" w:hAnsi="Cambria Math" w:cs="Cambria Math"/>
          <w:b w:val="0"/>
          <w:sz w:val="20"/>
          <w:szCs w:val="20"/>
        </w:rPr>
        <w:t>⁻</w:t>
      </w:r>
      <w:r w:rsidRPr="00542C74">
        <w:rPr>
          <w:rStyle w:val="Strong"/>
          <w:rFonts w:ascii="Arial" w:hAnsi="Arial" w:cs="Arial"/>
          <w:b w:val="0"/>
          <w:sz w:val="20"/>
          <w:szCs w:val="20"/>
        </w:rPr>
        <w:t>¹)</w:t>
      </w:r>
      <w:r w:rsidRPr="00542C74">
        <w:rPr>
          <w:rFonts w:ascii="Arial" w:hAnsi="Arial" w:cs="Arial"/>
          <w:b/>
          <w:sz w:val="20"/>
          <w:szCs w:val="20"/>
        </w:rPr>
        <w:t>,</w:t>
      </w:r>
      <w:r w:rsidRPr="00542C74">
        <w:rPr>
          <w:rFonts w:ascii="Arial" w:hAnsi="Arial" w:cs="Arial"/>
          <w:sz w:val="20"/>
          <w:szCs w:val="20"/>
        </w:rPr>
        <w:t xml:space="preserve"> which involved the highest nitrogen dose (120%)</w:t>
      </w:r>
      <w:r w:rsidR="008B042C" w:rsidRPr="00542C74">
        <w:rPr>
          <w:rFonts w:ascii="Arial" w:hAnsi="Arial" w:cs="Arial"/>
          <w:sz w:val="20"/>
          <w:szCs w:val="20"/>
        </w:rPr>
        <w:t xml:space="preserve"> (Huang et al., 2024)</w:t>
      </w:r>
      <w:r w:rsidRPr="00542C74">
        <w:rPr>
          <w:rFonts w:ascii="Arial" w:hAnsi="Arial" w:cs="Arial"/>
          <w:sz w:val="20"/>
          <w:szCs w:val="20"/>
        </w:rPr>
        <w:t xml:space="preserve">. However, </w:t>
      </w:r>
      <w:r w:rsidRPr="00542C74">
        <w:rPr>
          <w:rStyle w:val="Strong"/>
          <w:rFonts w:ascii="Arial" w:hAnsi="Arial" w:cs="Arial"/>
          <w:b w:val="0"/>
          <w:sz w:val="20"/>
          <w:szCs w:val="20"/>
        </w:rPr>
        <w:t>T</w:t>
      </w:r>
      <w:r w:rsidRPr="00542C74">
        <w:rPr>
          <w:rStyle w:val="Strong"/>
          <w:rFonts w:ascii="Cambria Math" w:hAnsi="Cambria Math" w:cs="Cambria Math"/>
          <w:b w:val="0"/>
          <w:sz w:val="20"/>
          <w:szCs w:val="20"/>
        </w:rPr>
        <w:t>₅</w:t>
      </w:r>
      <w:r w:rsidRPr="00542C74">
        <w:rPr>
          <w:rStyle w:val="Strong"/>
          <w:rFonts w:ascii="Arial" w:hAnsi="Arial" w:cs="Arial"/>
          <w:b w:val="0"/>
          <w:sz w:val="20"/>
          <w:szCs w:val="20"/>
        </w:rPr>
        <w:t xml:space="preserve"> also recorded the highest grain yield (4933 kg</w:t>
      </w:r>
      <w:r w:rsidRPr="00542C74">
        <w:rPr>
          <w:rStyle w:val="Strong"/>
          <w:rFonts w:ascii="Arial" w:hAnsi="Arial" w:cs="Arial"/>
          <w:sz w:val="20"/>
          <w:szCs w:val="20"/>
        </w:rPr>
        <w:t xml:space="preserve"> </w:t>
      </w:r>
      <w:r w:rsidRPr="00542C74">
        <w:rPr>
          <w:rStyle w:val="Strong"/>
          <w:rFonts w:ascii="Arial" w:hAnsi="Arial" w:cs="Arial"/>
          <w:b w:val="0"/>
          <w:sz w:val="20"/>
          <w:szCs w:val="20"/>
        </w:rPr>
        <w:t>ha</w:t>
      </w:r>
      <w:r w:rsidRPr="00542C74">
        <w:rPr>
          <w:rStyle w:val="Strong"/>
          <w:rFonts w:ascii="Cambria Math" w:hAnsi="Cambria Math" w:cs="Cambria Math"/>
          <w:b w:val="0"/>
          <w:sz w:val="20"/>
          <w:szCs w:val="20"/>
        </w:rPr>
        <w:t>⁻</w:t>
      </w:r>
      <w:r w:rsidRPr="00542C74">
        <w:rPr>
          <w:rStyle w:val="Strong"/>
          <w:rFonts w:ascii="Arial" w:hAnsi="Arial" w:cs="Arial"/>
          <w:b w:val="0"/>
          <w:sz w:val="20"/>
          <w:szCs w:val="20"/>
        </w:rPr>
        <w:t>¹)</w:t>
      </w:r>
      <w:r w:rsidRPr="00542C74">
        <w:rPr>
          <w:rFonts w:ascii="Arial" w:hAnsi="Arial" w:cs="Arial"/>
          <w:b/>
          <w:sz w:val="20"/>
          <w:szCs w:val="20"/>
        </w:rPr>
        <w:t>,</w:t>
      </w:r>
      <w:r w:rsidRPr="00542C74">
        <w:rPr>
          <w:rFonts w:ascii="Arial" w:hAnsi="Arial" w:cs="Arial"/>
          <w:sz w:val="20"/>
          <w:szCs w:val="20"/>
        </w:rPr>
        <w:t xml:space="preserve"> suggesting a yield-emission trade-off at elevated nutrient levels. In contrast, </w:t>
      </w:r>
      <w:r w:rsidRPr="00542C74">
        <w:rPr>
          <w:rStyle w:val="Strong"/>
          <w:rFonts w:ascii="Arial" w:hAnsi="Arial" w:cs="Arial"/>
          <w:b w:val="0"/>
          <w:sz w:val="20"/>
          <w:szCs w:val="20"/>
        </w:rPr>
        <w:t>N</w:t>
      </w:r>
      <w:r w:rsidRPr="00542C74">
        <w:rPr>
          <w:rStyle w:val="Strong"/>
          <w:rFonts w:ascii="Cambria Math" w:hAnsi="Cambria Math" w:cs="Cambria Math"/>
          <w:b w:val="0"/>
          <w:sz w:val="20"/>
          <w:szCs w:val="20"/>
        </w:rPr>
        <w:t>₂</w:t>
      </w:r>
      <w:r w:rsidRPr="00542C74">
        <w:rPr>
          <w:rStyle w:val="Strong"/>
          <w:rFonts w:ascii="Arial" w:hAnsi="Arial" w:cs="Arial"/>
          <w:b w:val="0"/>
          <w:sz w:val="20"/>
          <w:szCs w:val="20"/>
        </w:rPr>
        <w:t>O</w:t>
      </w:r>
      <w:r w:rsidRPr="00542C74">
        <w:rPr>
          <w:rStyle w:val="Strong"/>
          <w:rFonts w:ascii="Arial" w:hAnsi="Arial" w:cs="Arial"/>
          <w:sz w:val="20"/>
          <w:szCs w:val="20"/>
        </w:rPr>
        <w:t xml:space="preserve"> </w:t>
      </w:r>
      <w:r w:rsidRPr="00542C74">
        <w:rPr>
          <w:rStyle w:val="Strong"/>
          <w:rFonts w:ascii="Arial" w:hAnsi="Arial" w:cs="Arial"/>
          <w:b w:val="0"/>
          <w:sz w:val="20"/>
          <w:szCs w:val="20"/>
        </w:rPr>
        <w:t>flux was highest under BMP (T</w:t>
      </w:r>
      <w:r w:rsidRPr="00542C74">
        <w:rPr>
          <w:rStyle w:val="Strong"/>
          <w:rFonts w:ascii="Cambria Math" w:hAnsi="Cambria Math" w:cs="Cambria Math"/>
          <w:b w:val="0"/>
          <w:sz w:val="20"/>
          <w:szCs w:val="20"/>
        </w:rPr>
        <w:t>₄</w:t>
      </w:r>
      <w:r w:rsidRPr="00542C74">
        <w:rPr>
          <w:rStyle w:val="Strong"/>
          <w:rFonts w:ascii="Arial" w:hAnsi="Arial" w:cs="Arial"/>
          <w:b w:val="0"/>
          <w:sz w:val="20"/>
          <w:szCs w:val="20"/>
        </w:rPr>
        <w:t>: 1.010 kg ha</w:t>
      </w:r>
      <w:r w:rsidRPr="00542C74">
        <w:rPr>
          <w:rStyle w:val="Strong"/>
          <w:rFonts w:ascii="Cambria Math" w:hAnsi="Cambria Math" w:cs="Cambria Math"/>
          <w:b w:val="0"/>
          <w:sz w:val="20"/>
          <w:szCs w:val="20"/>
        </w:rPr>
        <w:t>⁻</w:t>
      </w:r>
      <w:r w:rsidRPr="00542C74">
        <w:rPr>
          <w:rStyle w:val="Strong"/>
          <w:rFonts w:ascii="Arial" w:hAnsi="Arial" w:cs="Arial"/>
          <w:b w:val="0"/>
          <w:sz w:val="20"/>
          <w:szCs w:val="20"/>
        </w:rPr>
        <w:t>¹)</w:t>
      </w:r>
      <w:r w:rsidRPr="00542C74">
        <w:rPr>
          <w:rFonts w:ascii="Arial" w:hAnsi="Arial" w:cs="Arial"/>
          <w:sz w:val="20"/>
          <w:szCs w:val="20"/>
        </w:rPr>
        <w:t xml:space="preserve"> and RDF (T</w:t>
      </w:r>
      <w:r w:rsidRPr="00542C74">
        <w:rPr>
          <w:rFonts w:ascii="Cambria Math" w:hAnsi="Cambria Math" w:cs="Cambria Math"/>
          <w:sz w:val="20"/>
          <w:szCs w:val="20"/>
        </w:rPr>
        <w:t>₃</w:t>
      </w:r>
      <w:r w:rsidRPr="00542C74">
        <w:rPr>
          <w:rFonts w:ascii="Arial" w:hAnsi="Arial" w:cs="Arial"/>
          <w:sz w:val="20"/>
          <w:szCs w:val="20"/>
        </w:rPr>
        <w:t>: 1.004 kg ha</w:t>
      </w:r>
      <w:r w:rsidRPr="00542C74">
        <w:rPr>
          <w:rFonts w:ascii="Cambria Math" w:hAnsi="Cambria Math" w:cs="Cambria Math"/>
          <w:sz w:val="20"/>
          <w:szCs w:val="20"/>
        </w:rPr>
        <w:t>⁻</w:t>
      </w:r>
      <w:r w:rsidRPr="00542C74">
        <w:rPr>
          <w:rFonts w:ascii="Arial" w:hAnsi="Arial" w:cs="Arial"/>
          <w:sz w:val="20"/>
          <w:szCs w:val="20"/>
        </w:rPr>
        <w:t xml:space="preserve">¹), indicating that balanced nutrient application following recommended guidelines can potentially raise denitrification losses if not managed with split doses or inhibitors. Treatments with </w:t>
      </w:r>
      <w:r w:rsidRPr="00542C74">
        <w:rPr>
          <w:rStyle w:val="Strong"/>
          <w:rFonts w:ascii="Arial" w:hAnsi="Arial" w:cs="Arial"/>
          <w:b w:val="0"/>
          <w:sz w:val="20"/>
          <w:szCs w:val="20"/>
        </w:rPr>
        <w:t>lower nitrogen levels (T</w:t>
      </w:r>
      <w:r w:rsidRPr="00542C74">
        <w:rPr>
          <w:rStyle w:val="Strong"/>
          <w:rFonts w:ascii="Cambria Math" w:hAnsi="Cambria Math" w:cs="Cambria Math"/>
          <w:b w:val="0"/>
          <w:sz w:val="20"/>
          <w:szCs w:val="20"/>
        </w:rPr>
        <w:t>₇</w:t>
      </w:r>
      <w:r w:rsidRPr="00542C74">
        <w:rPr>
          <w:rStyle w:val="Strong"/>
          <w:rFonts w:ascii="Arial" w:hAnsi="Arial" w:cs="Arial"/>
          <w:b w:val="0"/>
          <w:sz w:val="20"/>
          <w:szCs w:val="20"/>
        </w:rPr>
        <w:t xml:space="preserve"> and T</w:t>
      </w:r>
      <w:r w:rsidRPr="00542C74">
        <w:rPr>
          <w:rStyle w:val="Strong"/>
          <w:rFonts w:ascii="Cambria Math" w:hAnsi="Cambria Math" w:cs="Cambria Math"/>
          <w:b w:val="0"/>
          <w:sz w:val="20"/>
          <w:szCs w:val="20"/>
        </w:rPr>
        <w:t>₈</w:t>
      </w:r>
      <w:r w:rsidRPr="00542C74">
        <w:rPr>
          <w:rStyle w:val="Strong"/>
          <w:rFonts w:ascii="Arial" w:hAnsi="Arial" w:cs="Arial"/>
          <w:b w:val="0"/>
          <w:sz w:val="20"/>
          <w:szCs w:val="20"/>
        </w:rPr>
        <w:t>)</w:t>
      </w:r>
      <w:r w:rsidRPr="00542C74">
        <w:rPr>
          <w:rFonts w:ascii="Arial" w:hAnsi="Arial" w:cs="Arial"/>
          <w:sz w:val="20"/>
          <w:szCs w:val="20"/>
        </w:rPr>
        <w:t xml:space="preserve"> reduced both CH</w:t>
      </w:r>
      <w:r w:rsidRPr="00542C74">
        <w:rPr>
          <w:rFonts w:ascii="Cambria Math" w:hAnsi="Cambria Math" w:cs="Cambria Math"/>
          <w:sz w:val="20"/>
          <w:szCs w:val="20"/>
        </w:rPr>
        <w:t>₄</w:t>
      </w:r>
      <w:r w:rsidRPr="00542C74">
        <w:rPr>
          <w:rFonts w:ascii="Arial" w:hAnsi="Arial" w:cs="Arial"/>
          <w:sz w:val="20"/>
          <w:szCs w:val="20"/>
        </w:rPr>
        <w:t xml:space="preserve"> and N</w:t>
      </w:r>
      <w:r w:rsidRPr="00542C74">
        <w:rPr>
          <w:rFonts w:ascii="Cambria Math" w:hAnsi="Cambria Math" w:cs="Cambria Math"/>
          <w:sz w:val="20"/>
          <w:szCs w:val="20"/>
        </w:rPr>
        <w:t>₂</w:t>
      </w:r>
      <w:r w:rsidRPr="00542C74">
        <w:rPr>
          <w:rFonts w:ascii="Arial" w:hAnsi="Arial" w:cs="Arial"/>
          <w:sz w:val="20"/>
          <w:szCs w:val="20"/>
        </w:rPr>
        <w:t>O emissions, though with a corresponding reduction in grain yield</w:t>
      </w:r>
      <w:r w:rsidR="008B042C" w:rsidRPr="00542C74">
        <w:rPr>
          <w:rFonts w:ascii="Arial" w:hAnsi="Arial" w:cs="Arial"/>
          <w:sz w:val="20"/>
          <w:szCs w:val="20"/>
        </w:rPr>
        <w:t xml:space="preserve"> (</w:t>
      </w:r>
      <w:r w:rsidR="008B042C" w:rsidRPr="00542C74">
        <w:rPr>
          <w:rFonts w:ascii="Arial" w:hAnsi="Arial" w:cs="Arial"/>
          <w:color w:val="222222"/>
          <w:sz w:val="20"/>
          <w:szCs w:val="20"/>
          <w:shd w:val="clear" w:color="auto" w:fill="FFFFFF"/>
        </w:rPr>
        <w:t>Venterea et al., 2005</w:t>
      </w:r>
      <w:r w:rsidR="008B042C" w:rsidRPr="00542C74">
        <w:rPr>
          <w:rFonts w:ascii="Arial" w:hAnsi="Arial" w:cs="Arial"/>
          <w:sz w:val="20"/>
          <w:szCs w:val="20"/>
        </w:rPr>
        <w:t>)</w:t>
      </w:r>
      <w:r w:rsidRPr="00542C74">
        <w:rPr>
          <w:rFonts w:ascii="Arial" w:hAnsi="Arial" w:cs="Arial"/>
          <w:sz w:val="20"/>
          <w:szCs w:val="20"/>
        </w:rPr>
        <w:t xml:space="preserve">. These results align with research indicating that </w:t>
      </w:r>
      <w:r w:rsidRPr="00542C74">
        <w:rPr>
          <w:rStyle w:val="Strong"/>
          <w:rFonts w:ascii="Arial" w:hAnsi="Arial" w:cs="Arial"/>
          <w:b w:val="0"/>
          <w:sz w:val="20"/>
          <w:szCs w:val="20"/>
        </w:rPr>
        <w:t>increased nitrogen fertilization enhances crop productivity</w:t>
      </w:r>
      <w:r w:rsidRPr="00542C74">
        <w:rPr>
          <w:rFonts w:ascii="Arial" w:hAnsi="Arial" w:cs="Arial"/>
          <w:sz w:val="20"/>
          <w:szCs w:val="20"/>
        </w:rPr>
        <w:t xml:space="preserve"> but often at the cost of </w:t>
      </w:r>
      <w:r w:rsidRPr="00542C74">
        <w:rPr>
          <w:rStyle w:val="Strong"/>
          <w:rFonts w:ascii="Arial" w:hAnsi="Arial" w:cs="Arial"/>
          <w:b w:val="0"/>
          <w:sz w:val="20"/>
          <w:szCs w:val="20"/>
        </w:rPr>
        <w:t>greater GHG emissions</w:t>
      </w:r>
      <w:r w:rsidRPr="00542C74">
        <w:rPr>
          <w:rFonts w:ascii="Arial" w:hAnsi="Arial" w:cs="Arial"/>
          <w:b/>
          <w:sz w:val="20"/>
          <w:szCs w:val="20"/>
        </w:rPr>
        <w:t>.</w:t>
      </w:r>
      <w:r w:rsidRPr="00542C74">
        <w:rPr>
          <w:rFonts w:ascii="Arial" w:hAnsi="Arial" w:cs="Arial"/>
          <w:sz w:val="20"/>
          <w:szCs w:val="20"/>
        </w:rPr>
        <w:t xml:space="preserve"> Moreover, the </w:t>
      </w:r>
      <w:r w:rsidRPr="00542C74">
        <w:rPr>
          <w:rStyle w:val="Strong"/>
          <w:rFonts w:ascii="Arial" w:hAnsi="Arial" w:cs="Arial"/>
          <w:b w:val="0"/>
          <w:sz w:val="20"/>
          <w:szCs w:val="20"/>
        </w:rPr>
        <w:t>FDP technique</w:t>
      </w:r>
      <w:r w:rsidRPr="00542C74">
        <w:rPr>
          <w:rFonts w:ascii="Arial" w:hAnsi="Arial" w:cs="Arial"/>
          <w:b/>
          <w:sz w:val="20"/>
          <w:szCs w:val="20"/>
        </w:rPr>
        <w:t>,</w:t>
      </w:r>
      <w:r w:rsidRPr="00542C74">
        <w:rPr>
          <w:rFonts w:ascii="Arial" w:hAnsi="Arial" w:cs="Arial"/>
          <w:sz w:val="20"/>
          <w:szCs w:val="20"/>
        </w:rPr>
        <w:t xml:space="preserve"> while efficient in placing nutrients near the root zone, may stimulate anaerobic conditions that promote methanogenesis, especially under water-saturated paddy soils</w:t>
      </w:r>
      <w:r w:rsidR="008B042C" w:rsidRPr="00542C74">
        <w:rPr>
          <w:rFonts w:ascii="Arial" w:hAnsi="Arial" w:cs="Arial"/>
          <w:sz w:val="20"/>
          <w:szCs w:val="20"/>
        </w:rPr>
        <w:t xml:space="preserve"> (</w:t>
      </w:r>
      <w:r w:rsidR="008B042C" w:rsidRPr="00542C74">
        <w:rPr>
          <w:rFonts w:ascii="Arial" w:hAnsi="Arial" w:cs="Arial"/>
          <w:color w:val="222222"/>
          <w:sz w:val="20"/>
          <w:szCs w:val="20"/>
          <w:shd w:val="clear" w:color="auto" w:fill="FFFFFF"/>
        </w:rPr>
        <w:t>Conrad, 1995</w:t>
      </w:r>
      <w:r w:rsidR="008B042C" w:rsidRPr="00542C74">
        <w:rPr>
          <w:rFonts w:ascii="Arial" w:hAnsi="Arial" w:cs="Arial"/>
          <w:sz w:val="20"/>
          <w:szCs w:val="20"/>
        </w:rPr>
        <w:t>)</w:t>
      </w:r>
      <w:r w:rsidRPr="00542C74">
        <w:rPr>
          <w:rFonts w:ascii="Arial" w:hAnsi="Arial" w:cs="Arial"/>
          <w:sz w:val="20"/>
          <w:szCs w:val="20"/>
        </w:rPr>
        <w:t>.</w:t>
      </w:r>
    </w:p>
    <w:p w14:paraId="32163DDB" w14:textId="77777777" w:rsidR="00253C4E" w:rsidRPr="00542C74" w:rsidRDefault="00253C4E" w:rsidP="00542C74">
      <w:pPr>
        <w:pStyle w:val="Heading3"/>
        <w:jc w:val="center"/>
        <w:rPr>
          <w:rStyle w:val="Strong"/>
          <w:rFonts w:ascii="Arial" w:hAnsi="Arial" w:cs="Arial"/>
          <w:b/>
          <w:bCs/>
          <w:sz w:val="20"/>
          <w:szCs w:val="20"/>
        </w:rPr>
      </w:pPr>
      <w:r w:rsidRPr="00542C74">
        <w:rPr>
          <w:rStyle w:val="Strong"/>
          <w:rFonts w:ascii="Arial" w:hAnsi="Arial" w:cs="Arial"/>
          <w:b/>
          <w:bCs/>
          <w:sz w:val="20"/>
          <w:szCs w:val="20"/>
        </w:rPr>
        <w:t>Table 2. Effect of Fertilizer Management on CH</w:t>
      </w:r>
      <w:r w:rsidRPr="00542C74">
        <w:rPr>
          <w:rStyle w:val="Strong"/>
          <w:rFonts w:ascii="Cambria Math" w:hAnsi="Cambria Math" w:cs="Cambria Math"/>
          <w:b/>
          <w:bCs/>
          <w:sz w:val="20"/>
          <w:szCs w:val="20"/>
        </w:rPr>
        <w:t>₄</w:t>
      </w:r>
      <w:r w:rsidRPr="00542C74">
        <w:rPr>
          <w:rStyle w:val="Strong"/>
          <w:rFonts w:ascii="Arial" w:hAnsi="Arial" w:cs="Arial"/>
          <w:b/>
          <w:bCs/>
          <w:sz w:val="20"/>
          <w:szCs w:val="20"/>
        </w:rPr>
        <w:t xml:space="preserve"> and N</w:t>
      </w:r>
      <w:r w:rsidRPr="00542C74">
        <w:rPr>
          <w:rStyle w:val="Strong"/>
          <w:rFonts w:ascii="Cambria Math" w:hAnsi="Cambria Math" w:cs="Cambria Math"/>
          <w:b/>
          <w:bCs/>
          <w:sz w:val="20"/>
          <w:szCs w:val="20"/>
        </w:rPr>
        <w:t>₂</w:t>
      </w:r>
      <w:r w:rsidRPr="00542C74">
        <w:rPr>
          <w:rStyle w:val="Strong"/>
          <w:rFonts w:ascii="Arial" w:hAnsi="Arial" w:cs="Arial"/>
          <w:b/>
          <w:bCs/>
          <w:sz w:val="20"/>
          <w:szCs w:val="20"/>
        </w:rPr>
        <w:t>O Emissions and Grain Yield in Rice Cultivation</w:t>
      </w:r>
    </w:p>
    <w:tbl>
      <w:tblPr>
        <w:tblStyle w:val="TableGrid"/>
        <w:tblW w:w="0" w:type="auto"/>
        <w:jc w:val="center"/>
        <w:tblLook w:val="04A0" w:firstRow="1" w:lastRow="0" w:firstColumn="1" w:lastColumn="0" w:noHBand="0" w:noVBand="1"/>
      </w:tblPr>
      <w:tblGrid>
        <w:gridCol w:w="4179"/>
        <w:gridCol w:w="1818"/>
        <w:gridCol w:w="1462"/>
        <w:gridCol w:w="1557"/>
      </w:tblGrid>
      <w:tr w:rsidR="00253C4E" w:rsidRPr="00542C74" w14:paraId="775F5975" w14:textId="77777777" w:rsidTr="00F4211D">
        <w:trPr>
          <w:trHeight w:val="156"/>
          <w:jc w:val="center"/>
        </w:trPr>
        <w:tc>
          <w:tcPr>
            <w:tcW w:w="4458" w:type="dxa"/>
            <w:vAlign w:val="center"/>
          </w:tcPr>
          <w:p w14:paraId="1A4FDAC5"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Treatments</w:t>
            </w:r>
          </w:p>
        </w:tc>
        <w:tc>
          <w:tcPr>
            <w:tcW w:w="1887" w:type="dxa"/>
            <w:vAlign w:val="center"/>
          </w:tcPr>
          <w:p w14:paraId="04887F3D"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CH</w:t>
            </w:r>
            <w:r w:rsidRPr="00542C74">
              <w:rPr>
                <w:rStyle w:val="Strong"/>
                <w:rFonts w:ascii="Cambria Math" w:hAnsi="Cambria Math" w:cs="Cambria Math"/>
                <w:b/>
                <w:sz w:val="20"/>
                <w:szCs w:val="20"/>
              </w:rPr>
              <w:t>₄</w:t>
            </w:r>
            <w:r w:rsidRPr="00542C74">
              <w:rPr>
                <w:rStyle w:val="Strong"/>
                <w:rFonts w:ascii="Arial" w:hAnsi="Arial" w:cs="Arial"/>
                <w:b/>
                <w:sz w:val="20"/>
                <w:szCs w:val="20"/>
              </w:rPr>
              <w:t xml:space="preserve"> Emission</w:t>
            </w:r>
            <w:r w:rsidRPr="00542C74">
              <w:rPr>
                <w:rFonts w:ascii="Arial" w:hAnsi="Arial" w:cs="Arial"/>
                <w:b w:val="0"/>
                <w:bCs w:val="0"/>
                <w:sz w:val="20"/>
                <w:szCs w:val="20"/>
              </w:rPr>
              <w:t xml:space="preserve"> </w:t>
            </w:r>
            <w:r w:rsidRPr="00542C74">
              <w:rPr>
                <w:rStyle w:val="Emphasis"/>
                <w:rFonts w:ascii="Arial" w:hAnsi="Arial" w:cs="Arial"/>
                <w:b w:val="0"/>
                <w:bCs w:val="0"/>
                <w:sz w:val="20"/>
                <w:szCs w:val="20"/>
              </w:rPr>
              <w:t>(kg ha</w:t>
            </w:r>
            <w:r w:rsidRPr="00542C74">
              <w:rPr>
                <w:rStyle w:val="Emphasis"/>
                <w:rFonts w:ascii="Cambria Math" w:hAnsi="Cambria Math" w:cs="Cambria Math"/>
                <w:b w:val="0"/>
                <w:bCs w:val="0"/>
                <w:sz w:val="20"/>
                <w:szCs w:val="20"/>
              </w:rPr>
              <w:t>⁻</w:t>
            </w:r>
            <w:r w:rsidRPr="00542C74">
              <w:rPr>
                <w:rStyle w:val="Emphasis"/>
                <w:rFonts w:ascii="Arial" w:hAnsi="Arial" w:cs="Arial"/>
                <w:b w:val="0"/>
                <w:bCs w:val="0"/>
                <w:sz w:val="20"/>
                <w:szCs w:val="20"/>
              </w:rPr>
              <w:t>¹)</w:t>
            </w:r>
          </w:p>
        </w:tc>
        <w:tc>
          <w:tcPr>
            <w:tcW w:w="1534" w:type="dxa"/>
            <w:vAlign w:val="center"/>
          </w:tcPr>
          <w:p w14:paraId="038603D2"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N</w:t>
            </w:r>
            <w:r w:rsidRPr="00542C74">
              <w:rPr>
                <w:rStyle w:val="Strong"/>
                <w:rFonts w:ascii="Cambria Math" w:hAnsi="Cambria Math" w:cs="Cambria Math"/>
                <w:b/>
                <w:sz w:val="20"/>
                <w:szCs w:val="20"/>
              </w:rPr>
              <w:t>₂</w:t>
            </w:r>
            <w:r w:rsidRPr="00542C74">
              <w:rPr>
                <w:rStyle w:val="Strong"/>
                <w:rFonts w:ascii="Arial" w:hAnsi="Arial" w:cs="Arial"/>
                <w:b/>
                <w:sz w:val="20"/>
                <w:szCs w:val="20"/>
              </w:rPr>
              <w:t>O Flux</w:t>
            </w:r>
            <w:r w:rsidRPr="00542C74">
              <w:rPr>
                <w:rFonts w:ascii="Arial" w:hAnsi="Arial" w:cs="Arial"/>
                <w:b w:val="0"/>
                <w:bCs w:val="0"/>
                <w:sz w:val="20"/>
                <w:szCs w:val="20"/>
              </w:rPr>
              <w:t xml:space="preserve"> </w:t>
            </w:r>
            <w:r w:rsidRPr="00542C74">
              <w:rPr>
                <w:rStyle w:val="Emphasis"/>
                <w:rFonts w:ascii="Arial" w:hAnsi="Arial" w:cs="Arial"/>
                <w:b w:val="0"/>
                <w:bCs w:val="0"/>
                <w:sz w:val="20"/>
                <w:szCs w:val="20"/>
              </w:rPr>
              <w:t>(kg ha</w:t>
            </w:r>
            <w:r w:rsidRPr="00542C74">
              <w:rPr>
                <w:rStyle w:val="Emphasis"/>
                <w:rFonts w:ascii="Cambria Math" w:hAnsi="Cambria Math" w:cs="Cambria Math"/>
                <w:b w:val="0"/>
                <w:bCs w:val="0"/>
                <w:sz w:val="20"/>
                <w:szCs w:val="20"/>
              </w:rPr>
              <w:t>⁻</w:t>
            </w:r>
            <w:r w:rsidRPr="00542C74">
              <w:rPr>
                <w:rStyle w:val="Emphasis"/>
                <w:rFonts w:ascii="Arial" w:hAnsi="Arial" w:cs="Arial"/>
                <w:b w:val="0"/>
                <w:bCs w:val="0"/>
                <w:sz w:val="20"/>
                <w:szCs w:val="20"/>
              </w:rPr>
              <w:t>¹)</w:t>
            </w:r>
          </w:p>
        </w:tc>
        <w:tc>
          <w:tcPr>
            <w:tcW w:w="1636" w:type="dxa"/>
            <w:vAlign w:val="center"/>
          </w:tcPr>
          <w:p w14:paraId="474D310B"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Grain Yield</w:t>
            </w:r>
            <w:r w:rsidRPr="00542C74">
              <w:rPr>
                <w:rFonts w:ascii="Arial" w:hAnsi="Arial" w:cs="Arial"/>
                <w:b w:val="0"/>
                <w:bCs w:val="0"/>
                <w:sz w:val="20"/>
                <w:szCs w:val="20"/>
              </w:rPr>
              <w:t xml:space="preserve"> </w:t>
            </w:r>
            <w:r w:rsidRPr="00542C74">
              <w:rPr>
                <w:rStyle w:val="Emphasis"/>
                <w:rFonts w:ascii="Arial" w:hAnsi="Arial" w:cs="Arial"/>
                <w:b w:val="0"/>
                <w:bCs w:val="0"/>
                <w:sz w:val="20"/>
                <w:szCs w:val="20"/>
              </w:rPr>
              <w:t>(kg ha</w:t>
            </w:r>
            <w:r w:rsidRPr="00542C74">
              <w:rPr>
                <w:rStyle w:val="Emphasis"/>
                <w:rFonts w:ascii="Cambria Math" w:hAnsi="Cambria Math" w:cs="Cambria Math"/>
                <w:b w:val="0"/>
                <w:bCs w:val="0"/>
                <w:sz w:val="20"/>
                <w:szCs w:val="20"/>
              </w:rPr>
              <w:t>⁻</w:t>
            </w:r>
            <w:r w:rsidRPr="00542C74">
              <w:rPr>
                <w:rStyle w:val="Emphasis"/>
                <w:rFonts w:ascii="Arial" w:hAnsi="Arial" w:cs="Arial"/>
                <w:b w:val="0"/>
                <w:bCs w:val="0"/>
                <w:sz w:val="20"/>
                <w:szCs w:val="20"/>
              </w:rPr>
              <w:t>¹)</w:t>
            </w:r>
          </w:p>
        </w:tc>
      </w:tr>
      <w:tr w:rsidR="00253C4E" w:rsidRPr="00542C74" w14:paraId="1075F42E" w14:textId="77777777" w:rsidTr="00F4211D">
        <w:trPr>
          <w:trHeight w:val="150"/>
          <w:jc w:val="center"/>
        </w:trPr>
        <w:tc>
          <w:tcPr>
            <w:tcW w:w="4458" w:type="dxa"/>
            <w:vAlign w:val="center"/>
          </w:tcPr>
          <w:p w14:paraId="1FF7D996"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₁</w:t>
            </w:r>
            <w:r w:rsidRPr="00542C74">
              <w:rPr>
                <w:rStyle w:val="Strong"/>
                <w:rFonts w:ascii="Arial" w:hAnsi="Arial" w:cs="Arial"/>
                <w:b/>
                <w:sz w:val="20"/>
                <w:szCs w:val="20"/>
              </w:rPr>
              <w:t>: Control</w:t>
            </w:r>
          </w:p>
        </w:tc>
        <w:tc>
          <w:tcPr>
            <w:tcW w:w="1887" w:type="dxa"/>
            <w:vAlign w:val="center"/>
          </w:tcPr>
          <w:p w14:paraId="0263218B"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15.74</w:t>
            </w:r>
          </w:p>
        </w:tc>
        <w:tc>
          <w:tcPr>
            <w:tcW w:w="1534" w:type="dxa"/>
            <w:vAlign w:val="center"/>
          </w:tcPr>
          <w:p w14:paraId="300A8100"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0.502</w:t>
            </w:r>
          </w:p>
        </w:tc>
        <w:tc>
          <w:tcPr>
            <w:tcW w:w="1636" w:type="dxa"/>
            <w:vAlign w:val="center"/>
          </w:tcPr>
          <w:p w14:paraId="1E03BCFD"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1970</w:t>
            </w:r>
          </w:p>
        </w:tc>
      </w:tr>
      <w:tr w:rsidR="00253C4E" w:rsidRPr="00542C74" w14:paraId="2FB95C30" w14:textId="77777777" w:rsidTr="00F4211D">
        <w:trPr>
          <w:trHeight w:val="156"/>
          <w:jc w:val="center"/>
        </w:trPr>
        <w:tc>
          <w:tcPr>
            <w:tcW w:w="4458" w:type="dxa"/>
            <w:vAlign w:val="center"/>
          </w:tcPr>
          <w:p w14:paraId="18253A04"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₂</w:t>
            </w:r>
            <w:r w:rsidRPr="00542C74">
              <w:rPr>
                <w:rStyle w:val="Strong"/>
                <w:rFonts w:ascii="Arial" w:hAnsi="Arial" w:cs="Arial"/>
                <w:b/>
                <w:sz w:val="20"/>
                <w:szCs w:val="20"/>
              </w:rPr>
              <w:t>: FP with 30-18.4-36</w:t>
            </w:r>
          </w:p>
        </w:tc>
        <w:tc>
          <w:tcPr>
            <w:tcW w:w="1887" w:type="dxa"/>
            <w:vAlign w:val="center"/>
          </w:tcPr>
          <w:p w14:paraId="672F72DC"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19.65</w:t>
            </w:r>
          </w:p>
        </w:tc>
        <w:tc>
          <w:tcPr>
            <w:tcW w:w="1534" w:type="dxa"/>
            <w:vAlign w:val="center"/>
          </w:tcPr>
          <w:p w14:paraId="22563FBC"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0.857</w:t>
            </w:r>
          </w:p>
        </w:tc>
        <w:tc>
          <w:tcPr>
            <w:tcW w:w="1636" w:type="dxa"/>
            <w:vAlign w:val="center"/>
          </w:tcPr>
          <w:p w14:paraId="61D7D2A8"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2642</w:t>
            </w:r>
          </w:p>
        </w:tc>
      </w:tr>
      <w:tr w:rsidR="00253C4E" w:rsidRPr="00542C74" w14:paraId="6E330E53" w14:textId="77777777" w:rsidTr="00F4211D">
        <w:trPr>
          <w:trHeight w:val="150"/>
          <w:jc w:val="center"/>
        </w:trPr>
        <w:tc>
          <w:tcPr>
            <w:tcW w:w="4458" w:type="dxa"/>
            <w:vAlign w:val="center"/>
          </w:tcPr>
          <w:p w14:paraId="75125927"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₃</w:t>
            </w:r>
            <w:r w:rsidRPr="00542C74">
              <w:rPr>
                <w:rStyle w:val="Strong"/>
                <w:rFonts w:ascii="Arial" w:hAnsi="Arial" w:cs="Arial"/>
                <w:b/>
                <w:sz w:val="20"/>
                <w:szCs w:val="20"/>
              </w:rPr>
              <w:t>: RDF as per AAU</w:t>
            </w:r>
          </w:p>
        </w:tc>
        <w:tc>
          <w:tcPr>
            <w:tcW w:w="1887" w:type="dxa"/>
            <w:vAlign w:val="center"/>
          </w:tcPr>
          <w:p w14:paraId="5BF32474"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25.95</w:t>
            </w:r>
          </w:p>
        </w:tc>
        <w:tc>
          <w:tcPr>
            <w:tcW w:w="1534" w:type="dxa"/>
            <w:vAlign w:val="center"/>
          </w:tcPr>
          <w:p w14:paraId="19CA5693"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1.004</w:t>
            </w:r>
          </w:p>
        </w:tc>
        <w:tc>
          <w:tcPr>
            <w:tcW w:w="1636" w:type="dxa"/>
            <w:vAlign w:val="center"/>
          </w:tcPr>
          <w:p w14:paraId="0268167B"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3780</w:t>
            </w:r>
          </w:p>
        </w:tc>
      </w:tr>
      <w:tr w:rsidR="00253C4E" w:rsidRPr="00542C74" w14:paraId="5BEB21AE" w14:textId="77777777" w:rsidTr="00F4211D">
        <w:trPr>
          <w:trHeight w:val="156"/>
          <w:jc w:val="center"/>
        </w:trPr>
        <w:tc>
          <w:tcPr>
            <w:tcW w:w="4458" w:type="dxa"/>
            <w:vAlign w:val="center"/>
          </w:tcPr>
          <w:p w14:paraId="37B97559"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lastRenderedPageBreak/>
              <w:t>T</w:t>
            </w:r>
            <w:r w:rsidRPr="00542C74">
              <w:rPr>
                <w:rStyle w:val="Strong"/>
                <w:rFonts w:ascii="Cambria Math" w:hAnsi="Cambria Math" w:cs="Cambria Math"/>
                <w:b/>
                <w:sz w:val="20"/>
                <w:szCs w:val="20"/>
              </w:rPr>
              <w:t>₄</w:t>
            </w:r>
            <w:r w:rsidRPr="00542C74">
              <w:rPr>
                <w:rStyle w:val="Strong"/>
                <w:rFonts w:ascii="Arial" w:hAnsi="Arial" w:cs="Arial"/>
                <w:b/>
                <w:sz w:val="20"/>
                <w:szCs w:val="20"/>
              </w:rPr>
              <w:t>: BMP</w:t>
            </w:r>
          </w:p>
        </w:tc>
        <w:tc>
          <w:tcPr>
            <w:tcW w:w="1887" w:type="dxa"/>
            <w:vAlign w:val="center"/>
          </w:tcPr>
          <w:p w14:paraId="60D7B72A"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26.12</w:t>
            </w:r>
          </w:p>
        </w:tc>
        <w:tc>
          <w:tcPr>
            <w:tcW w:w="1534" w:type="dxa"/>
            <w:vAlign w:val="center"/>
          </w:tcPr>
          <w:p w14:paraId="4E9AAC4F"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sz w:val="20"/>
                <w:szCs w:val="20"/>
              </w:rPr>
              <w:t>1.010</w:t>
            </w:r>
          </w:p>
        </w:tc>
        <w:tc>
          <w:tcPr>
            <w:tcW w:w="1636" w:type="dxa"/>
            <w:vAlign w:val="center"/>
          </w:tcPr>
          <w:p w14:paraId="1ED13BAD"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3819</w:t>
            </w:r>
          </w:p>
        </w:tc>
      </w:tr>
      <w:tr w:rsidR="00253C4E" w:rsidRPr="00542C74" w14:paraId="5C8220EC" w14:textId="77777777" w:rsidTr="00F4211D">
        <w:trPr>
          <w:trHeight w:val="307"/>
          <w:jc w:val="center"/>
        </w:trPr>
        <w:tc>
          <w:tcPr>
            <w:tcW w:w="4458" w:type="dxa"/>
            <w:vAlign w:val="center"/>
          </w:tcPr>
          <w:p w14:paraId="6677F523"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₅</w:t>
            </w:r>
            <w:r w:rsidRPr="00542C74">
              <w:rPr>
                <w:rStyle w:val="Strong"/>
                <w:rFonts w:ascii="Arial" w:hAnsi="Arial" w:cs="Arial"/>
                <w:b/>
                <w:sz w:val="20"/>
                <w:szCs w:val="20"/>
              </w:rPr>
              <w:t>: FDP with 120% N + 100% PK</w:t>
            </w:r>
          </w:p>
        </w:tc>
        <w:tc>
          <w:tcPr>
            <w:tcW w:w="1887" w:type="dxa"/>
            <w:vAlign w:val="center"/>
          </w:tcPr>
          <w:p w14:paraId="23043342"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sz w:val="20"/>
                <w:szCs w:val="20"/>
              </w:rPr>
              <w:t>32.84</w:t>
            </w:r>
          </w:p>
        </w:tc>
        <w:tc>
          <w:tcPr>
            <w:tcW w:w="1534" w:type="dxa"/>
            <w:vAlign w:val="center"/>
          </w:tcPr>
          <w:p w14:paraId="732F21E5"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0.733</w:t>
            </w:r>
          </w:p>
        </w:tc>
        <w:tc>
          <w:tcPr>
            <w:tcW w:w="1636" w:type="dxa"/>
            <w:vAlign w:val="center"/>
          </w:tcPr>
          <w:p w14:paraId="723453DC"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sz w:val="20"/>
                <w:szCs w:val="20"/>
              </w:rPr>
              <w:t>4933</w:t>
            </w:r>
          </w:p>
        </w:tc>
      </w:tr>
      <w:tr w:rsidR="00253C4E" w:rsidRPr="00542C74" w14:paraId="28A562C1" w14:textId="77777777" w:rsidTr="00F4211D">
        <w:trPr>
          <w:trHeight w:val="156"/>
          <w:jc w:val="center"/>
        </w:trPr>
        <w:tc>
          <w:tcPr>
            <w:tcW w:w="4458" w:type="dxa"/>
            <w:vAlign w:val="center"/>
          </w:tcPr>
          <w:p w14:paraId="0735DD46"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₆</w:t>
            </w:r>
            <w:r w:rsidRPr="00542C74">
              <w:rPr>
                <w:rStyle w:val="Strong"/>
                <w:rFonts w:ascii="Arial" w:hAnsi="Arial" w:cs="Arial"/>
                <w:b/>
                <w:sz w:val="20"/>
                <w:szCs w:val="20"/>
              </w:rPr>
              <w:t>: FDP with 100% NPK</w:t>
            </w:r>
          </w:p>
        </w:tc>
        <w:tc>
          <w:tcPr>
            <w:tcW w:w="1887" w:type="dxa"/>
            <w:vAlign w:val="center"/>
          </w:tcPr>
          <w:p w14:paraId="38766A3F"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29.98</w:t>
            </w:r>
          </w:p>
        </w:tc>
        <w:tc>
          <w:tcPr>
            <w:tcW w:w="1534" w:type="dxa"/>
            <w:vAlign w:val="center"/>
          </w:tcPr>
          <w:p w14:paraId="31D6C5FC"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0.681</w:t>
            </w:r>
          </w:p>
        </w:tc>
        <w:tc>
          <w:tcPr>
            <w:tcW w:w="1636" w:type="dxa"/>
            <w:vAlign w:val="center"/>
          </w:tcPr>
          <w:p w14:paraId="177618E2"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4451</w:t>
            </w:r>
          </w:p>
        </w:tc>
      </w:tr>
      <w:tr w:rsidR="00253C4E" w:rsidRPr="00542C74" w14:paraId="6B7FFD79" w14:textId="77777777" w:rsidTr="00F4211D">
        <w:trPr>
          <w:trHeight w:val="307"/>
          <w:jc w:val="center"/>
        </w:trPr>
        <w:tc>
          <w:tcPr>
            <w:tcW w:w="4458" w:type="dxa"/>
            <w:vAlign w:val="center"/>
          </w:tcPr>
          <w:p w14:paraId="6BCA58FB"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₇</w:t>
            </w:r>
            <w:r w:rsidRPr="00542C74">
              <w:rPr>
                <w:rStyle w:val="Strong"/>
                <w:rFonts w:ascii="Arial" w:hAnsi="Arial" w:cs="Arial"/>
                <w:b/>
                <w:sz w:val="20"/>
                <w:szCs w:val="20"/>
              </w:rPr>
              <w:t>: FDP with 80% N + 100% PK</w:t>
            </w:r>
          </w:p>
        </w:tc>
        <w:tc>
          <w:tcPr>
            <w:tcW w:w="1887" w:type="dxa"/>
            <w:vAlign w:val="center"/>
          </w:tcPr>
          <w:p w14:paraId="4CC49157"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27.14</w:t>
            </w:r>
          </w:p>
        </w:tc>
        <w:tc>
          <w:tcPr>
            <w:tcW w:w="1534" w:type="dxa"/>
            <w:vAlign w:val="center"/>
          </w:tcPr>
          <w:p w14:paraId="2C088FB2"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0.623</w:t>
            </w:r>
          </w:p>
        </w:tc>
        <w:tc>
          <w:tcPr>
            <w:tcW w:w="1636" w:type="dxa"/>
            <w:vAlign w:val="center"/>
          </w:tcPr>
          <w:p w14:paraId="5F7D7861"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4002</w:t>
            </w:r>
          </w:p>
        </w:tc>
      </w:tr>
      <w:tr w:rsidR="00253C4E" w:rsidRPr="00542C74" w14:paraId="2E3313EF" w14:textId="77777777" w:rsidTr="00F4211D">
        <w:trPr>
          <w:trHeight w:val="313"/>
          <w:jc w:val="center"/>
        </w:trPr>
        <w:tc>
          <w:tcPr>
            <w:tcW w:w="4458" w:type="dxa"/>
            <w:vAlign w:val="center"/>
          </w:tcPr>
          <w:p w14:paraId="282BFBCD" w14:textId="77777777" w:rsidR="00253C4E" w:rsidRPr="00542C74" w:rsidRDefault="00253C4E" w:rsidP="00542C74">
            <w:pPr>
              <w:pStyle w:val="Heading3"/>
              <w:outlineLvl w:val="2"/>
              <w:rPr>
                <w:rFonts w:ascii="Arial" w:hAnsi="Arial" w:cs="Arial"/>
                <w:b w:val="0"/>
                <w:sz w:val="20"/>
                <w:szCs w:val="20"/>
              </w:rPr>
            </w:pPr>
            <w:commentRangeStart w:id="12"/>
            <w:r w:rsidRPr="00542C74">
              <w:rPr>
                <w:rStyle w:val="Strong"/>
                <w:rFonts w:ascii="Arial" w:hAnsi="Arial" w:cs="Arial"/>
                <w:b/>
                <w:sz w:val="20"/>
                <w:szCs w:val="20"/>
              </w:rPr>
              <w:t>T</w:t>
            </w:r>
            <w:r w:rsidRPr="00542C74">
              <w:rPr>
                <w:rStyle w:val="Strong"/>
                <w:rFonts w:ascii="Cambria Math" w:hAnsi="Cambria Math" w:cs="Cambria Math"/>
                <w:b/>
                <w:sz w:val="20"/>
                <w:szCs w:val="20"/>
              </w:rPr>
              <w:t>₈</w:t>
            </w:r>
            <w:r w:rsidRPr="00542C74">
              <w:rPr>
                <w:rStyle w:val="Strong"/>
                <w:rFonts w:ascii="Arial" w:hAnsi="Arial" w:cs="Arial"/>
                <w:b/>
                <w:sz w:val="20"/>
                <w:szCs w:val="20"/>
              </w:rPr>
              <w:t>: FDP with 60% N + 100% PK</w:t>
            </w:r>
            <w:commentRangeEnd w:id="12"/>
            <w:r w:rsidR="007F05FE">
              <w:rPr>
                <w:rStyle w:val="CommentReference"/>
                <w:rFonts w:asciiTheme="minorHAnsi" w:eastAsiaTheme="minorHAnsi" w:hAnsiTheme="minorHAnsi" w:cstheme="minorBidi"/>
                <w:b w:val="0"/>
                <w:bCs w:val="0"/>
                <w:lang w:eastAsia="en-US"/>
              </w:rPr>
              <w:commentReference w:id="12"/>
            </w:r>
          </w:p>
        </w:tc>
        <w:tc>
          <w:tcPr>
            <w:tcW w:w="1887" w:type="dxa"/>
            <w:vAlign w:val="center"/>
          </w:tcPr>
          <w:p w14:paraId="3A67B03B"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23.03</w:t>
            </w:r>
          </w:p>
        </w:tc>
        <w:tc>
          <w:tcPr>
            <w:tcW w:w="1534" w:type="dxa"/>
            <w:vAlign w:val="center"/>
          </w:tcPr>
          <w:p w14:paraId="36E08939"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0.575</w:t>
            </w:r>
          </w:p>
        </w:tc>
        <w:tc>
          <w:tcPr>
            <w:tcW w:w="1636" w:type="dxa"/>
            <w:vAlign w:val="center"/>
          </w:tcPr>
          <w:p w14:paraId="5EFD159D"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3297</w:t>
            </w:r>
          </w:p>
        </w:tc>
      </w:tr>
    </w:tbl>
    <w:p w14:paraId="2C409E8A" w14:textId="1082EF71" w:rsidR="00253C4E" w:rsidRPr="00542C74" w:rsidRDefault="00253C4E" w:rsidP="00542C74">
      <w:pPr>
        <w:pStyle w:val="NoSpacing"/>
        <w:jc w:val="center"/>
        <w:rPr>
          <w:rFonts w:ascii="Arial" w:hAnsi="Arial" w:cs="Arial"/>
          <w:sz w:val="20"/>
          <w:szCs w:val="20"/>
          <w:lang w:val="en-US"/>
        </w:rPr>
      </w:pPr>
    </w:p>
    <w:p w14:paraId="0A28789A" w14:textId="1CE35174" w:rsidR="008B042C" w:rsidRPr="00542C74" w:rsidRDefault="008B042C" w:rsidP="00542C74">
      <w:pPr>
        <w:spacing w:before="100" w:beforeAutospacing="1" w:after="100" w:afterAutospacing="1" w:line="240" w:lineRule="auto"/>
        <w:ind w:left="0"/>
        <w:rPr>
          <w:rFonts w:ascii="Arial" w:hAnsi="Arial" w:cs="Arial"/>
          <w:sz w:val="20"/>
          <w:szCs w:val="20"/>
          <w:lang w:val="en-US"/>
        </w:rPr>
      </w:pPr>
      <w:commentRangeStart w:id="13"/>
      <w:r w:rsidRPr="00542C74">
        <w:rPr>
          <w:rFonts w:ascii="Arial" w:eastAsia="Times New Roman" w:hAnsi="Arial" w:cs="Arial"/>
          <w:sz w:val="20"/>
          <w:szCs w:val="20"/>
          <w:lang w:eastAsia="en-IN"/>
        </w:rPr>
        <w:t>Fertilizer management significantly influences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xml:space="preserve"> and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emissions in rice cultivation. Excessive nitrogen application, particularly through fertilizer deep placement (FDP), increases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xml:space="preserve"> emissions by enhancing anaerobic microbial activity in flooded soils (Ahmed et al., 2023). Similarly, high nitrogen inputs can stimulate nitrification-denitrification processes, leading to elevated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emissions. Optimized nutrient management, including balanced application and reduced N rates, can mitigate these emissions while sustaining crop productivity.</w:t>
      </w:r>
      <w:commentRangeEnd w:id="13"/>
      <w:r w:rsidR="0013061E">
        <w:rPr>
          <w:rStyle w:val="CommentReference"/>
        </w:rPr>
        <w:commentReference w:id="13"/>
      </w:r>
    </w:p>
    <w:p w14:paraId="494DEEC2" w14:textId="77777777" w:rsidR="00253C4E" w:rsidRPr="00542C74" w:rsidRDefault="00253C4E" w:rsidP="00542C74">
      <w:pPr>
        <w:pStyle w:val="NoSpacing"/>
        <w:jc w:val="center"/>
        <w:rPr>
          <w:rFonts w:ascii="Arial" w:hAnsi="Arial" w:cs="Arial"/>
          <w:b/>
          <w:sz w:val="20"/>
          <w:szCs w:val="20"/>
          <w:lang w:val="en-US"/>
        </w:rPr>
        <w:sectPr w:rsidR="00253C4E" w:rsidRPr="00542C74" w:rsidSect="00844904">
          <w:pgSz w:w="11906" w:h="16838"/>
          <w:pgMar w:top="1440" w:right="1440" w:bottom="1440" w:left="1440" w:header="708" w:footer="708" w:gutter="0"/>
          <w:cols w:space="708"/>
          <w:docGrid w:linePitch="360"/>
        </w:sectPr>
      </w:pPr>
    </w:p>
    <w:p w14:paraId="6F257732" w14:textId="55F7105A" w:rsidR="00C33FA2" w:rsidRPr="00542C74" w:rsidRDefault="00C33FA2" w:rsidP="00542C74">
      <w:pPr>
        <w:pStyle w:val="Heading3"/>
        <w:jc w:val="center"/>
        <w:rPr>
          <w:rStyle w:val="Strong"/>
          <w:rFonts w:ascii="Arial" w:hAnsi="Arial" w:cs="Arial"/>
          <w:b/>
          <w:bCs/>
          <w:sz w:val="20"/>
          <w:szCs w:val="20"/>
        </w:rPr>
      </w:pPr>
      <w:bookmarkStart w:id="14" w:name="_GoBack"/>
      <w:commentRangeStart w:id="15"/>
      <w:r w:rsidRPr="00542C74">
        <w:rPr>
          <w:rStyle w:val="Strong"/>
          <w:rFonts w:ascii="Arial" w:hAnsi="Arial" w:cs="Arial"/>
          <w:b/>
          <w:bCs/>
          <w:sz w:val="20"/>
          <w:szCs w:val="20"/>
        </w:rPr>
        <w:lastRenderedPageBreak/>
        <w:t xml:space="preserve">Table </w:t>
      </w:r>
      <w:r w:rsidR="00F56175">
        <w:rPr>
          <w:rStyle w:val="Strong"/>
          <w:rFonts w:ascii="Arial" w:hAnsi="Arial" w:cs="Arial"/>
          <w:b/>
          <w:bCs/>
          <w:sz w:val="20"/>
          <w:szCs w:val="20"/>
        </w:rPr>
        <w:t>3</w:t>
      </w:r>
      <w:r w:rsidRPr="00542C74">
        <w:rPr>
          <w:rStyle w:val="Strong"/>
          <w:rFonts w:ascii="Arial" w:hAnsi="Arial" w:cs="Arial"/>
          <w:b/>
          <w:bCs/>
          <w:sz w:val="20"/>
          <w:szCs w:val="20"/>
        </w:rPr>
        <w:t>. Integrated Approaches for Enhanced Nutrient Management and Soil Health in Sustainable Agriculture</w:t>
      </w:r>
      <w:bookmarkEnd w:id="14"/>
      <w:commentRangeEnd w:id="15"/>
      <w:r w:rsidR="00C449ED">
        <w:rPr>
          <w:rStyle w:val="CommentReference"/>
          <w:rFonts w:asciiTheme="minorHAnsi" w:eastAsiaTheme="minorHAnsi" w:hAnsiTheme="minorHAnsi" w:cstheme="minorBidi"/>
          <w:b w:val="0"/>
          <w:bCs w:val="0"/>
          <w:lang w:eastAsia="en-US"/>
        </w:rPr>
        <w:commentReference w:id="15"/>
      </w:r>
    </w:p>
    <w:tbl>
      <w:tblPr>
        <w:tblStyle w:val="TableGrid"/>
        <w:tblW w:w="0" w:type="auto"/>
        <w:tblLook w:val="04A0" w:firstRow="1" w:lastRow="0" w:firstColumn="1" w:lastColumn="0" w:noHBand="0" w:noVBand="1"/>
      </w:tblPr>
      <w:tblGrid>
        <w:gridCol w:w="2133"/>
        <w:gridCol w:w="2708"/>
        <w:gridCol w:w="4704"/>
        <w:gridCol w:w="3848"/>
      </w:tblGrid>
      <w:tr w:rsidR="00C33FA2" w:rsidRPr="00542C74" w14:paraId="4128270D" w14:textId="77777777" w:rsidTr="00F4211D">
        <w:trPr>
          <w:trHeight w:val="220"/>
        </w:trPr>
        <w:tc>
          <w:tcPr>
            <w:tcW w:w="2133" w:type="dxa"/>
            <w:vAlign w:val="center"/>
          </w:tcPr>
          <w:p w14:paraId="0B5AB865"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Approach</w:t>
            </w:r>
          </w:p>
        </w:tc>
        <w:tc>
          <w:tcPr>
            <w:tcW w:w="2708" w:type="dxa"/>
            <w:vAlign w:val="center"/>
          </w:tcPr>
          <w:p w14:paraId="3260BEA7"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Practice/Technology</w:t>
            </w:r>
          </w:p>
        </w:tc>
        <w:tc>
          <w:tcPr>
            <w:tcW w:w="4704" w:type="dxa"/>
            <w:vAlign w:val="center"/>
          </w:tcPr>
          <w:p w14:paraId="447EDCD7"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Scientific Basis &amp; Benefits</w:t>
            </w:r>
          </w:p>
        </w:tc>
        <w:tc>
          <w:tcPr>
            <w:tcW w:w="3848" w:type="dxa"/>
            <w:vAlign w:val="center"/>
          </w:tcPr>
          <w:p w14:paraId="51EB0B95"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Impact on Yield &amp; Environment</w:t>
            </w:r>
          </w:p>
        </w:tc>
      </w:tr>
      <w:tr w:rsidR="00C33FA2" w:rsidRPr="00542C74" w14:paraId="619510FD" w14:textId="77777777" w:rsidTr="00F4211D">
        <w:trPr>
          <w:trHeight w:val="441"/>
        </w:trPr>
        <w:tc>
          <w:tcPr>
            <w:tcW w:w="2133" w:type="dxa"/>
            <w:vMerge w:val="restart"/>
            <w:vAlign w:val="center"/>
          </w:tcPr>
          <w:p w14:paraId="3C6EE1FC"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Soil Management</w:t>
            </w:r>
          </w:p>
        </w:tc>
        <w:tc>
          <w:tcPr>
            <w:tcW w:w="2708" w:type="dxa"/>
            <w:vAlign w:val="center"/>
          </w:tcPr>
          <w:p w14:paraId="04E0463C"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Conservation tillage</w:t>
            </w:r>
          </w:p>
        </w:tc>
        <w:tc>
          <w:tcPr>
            <w:tcW w:w="4704" w:type="dxa"/>
            <w:vAlign w:val="center"/>
          </w:tcPr>
          <w:p w14:paraId="2AF31C6D"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Reduces soil erosion, enhances infiltration, and conserves organic matter (Lal, 2004)</w:t>
            </w:r>
          </w:p>
        </w:tc>
        <w:tc>
          <w:tcPr>
            <w:tcW w:w="3848" w:type="dxa"/>
            <w:vAlign w:val="center"/>
          </w:tcPr>
          <w:p w14:paraId="4B965704"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Improves long-term productivity, reduces emissions</w:t>
            </w:r>
          </w:p>
        </w:tc>
      </w:tr>
      <w:tr w:rsidR="00C33FA2" w:rsidRPr="00542C74" w14:paraId="1B34AD26" w14:textId="77777777" w:rsidTr="00F4211D">
        <w:trPr>
          <w:trHeight w:val="452"/>
        </w:trPr>
        <w:tc>
          <w:tcPr>
            <w:tcW w:w="2133" w:type="dxa"/>
            <w:vMerge/>
            <w:vAlign w:val="center"/>
          </w:tcPr>
          <w:p w14:paraId="2EB9A043"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224608D4"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Crop rotation</w:t>
            </w:r>
          </w:p>
        </w:tc>
        <w:tc>
          <w:tcPr>
            <w:tcW w:w="4704" w:type="dxa"/>
            <w:vAlign w:val="center"/>
          </w:tcPr>
          <w:p w14:paraId="73CD625D"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Breaks pest/disease cycles; improves nutrient cycling through diverse rooting patterns</w:t>
            </w:r>
          </w:p>
        </w:tc>
        <w:tc>
          <w:tcPr>
            <w:tcW w:w="3848" w:type="dxa"/>
            <w:vAlign w:val="center"/>
          </w:tcPr>
          <w:p w14:paraId="29437037"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Enhances yield stability and soil fertility</w:t>
            </w:r>
          </w:p>
        </w:tc>
      </w:tr>
      <w:tr w:rsidR="00C33FA2" w:rsidRPr="00542C74" w14:paraId="447E1FBA" w14:textId="77777777" w:rsidTr="00F4211D">
        <w:trPr>
          <w:trHeight w:val="463"/>
        </w:trPr>
        <w:tc>
          <w:tcPr>
            <w:tcW w:w="2133" w:type="dxa"/>
            <w:vMerge/>
            <w:vAlign w:val="center"/>
          </w:tcPr>
          <w:p w14:paraId="4EE34300"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7F8E39AD"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Cover cropping</w:t>
            </w:r>
          </w:p>
        </w:tc>
        <w:tc>
          <w:tcPr>
            <w:tcW w:w="4704" w:type="dxa"/>
            <w:vAlign w:val="center"/>
          </w:tcPr>
          <w:p w14:paraId="0E47AA85"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Legumes and other covers fix nitrogen and reduce erosion (Snapp et al., 2005)</w:t>
            </w:r>
          </w:p>
        </w:tc>
        <w:tc>
          <w:tcPr>
            <w:tcW w:w="3848" w:type="dxa"/>
            <w:vAlign w:val="center"/>
          </w:tcPr>
          <w:p w14:paraId="6E656FC7"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Boosts soil nitrogen; prevents nutrient leaching</w:t>
            </w:r>
          </w:p>
        </w:tc>
      </w:tr>
      <w:tr w:rsidR="00C33FA2" w:rsidRPr="00542C74" w14:paraId="6B7F7E85" w14:textId="77777777" w:rsidTr="00F4211D">
        <w:trPr>
          <w:trHeight w:val="452"/>
        </w:trPr>
        <w:tc>
          <w:tcPr>
            <w:tcW w:w="2133" w:type="dxa"/>
            <w:vMerge/>
            <w:vAlign w:val="center"/>
          </w:tcPr>
          <w:p w14:paraId="3593F4EB"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0827A6C1"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Organic amendments</w:t>
            </w:r>
          </w:p>
        </w:tc>
        <w:tc>
          <w:tcPr>
            <w:tcW w:w="4704" w:type="dxa"/>
            <w:vAlign w:val="center"/>
          </w:tcPr>
          <w:p w14:paraId="7434E33F"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Compost/manure improves microbial diversity and carbon content</w:t>
            </w:r>
          </w:p>
        </w:tc>
        <w:tc>
          <w:tcPr>
            <w:tcW w:w="3848" w:type="dxa"/>
            <w:vAlign w:val="center"/>
          </w:tcPr>
          <w:p w14:paraId="2BFEDD60"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Reduces reliance on chemical fertilizers</w:t>
            </w:r>
          </w:p>
        </w:tc>
      </w:tr>
      <w:tr w:rsidR="00C33FA2" w:rsidRPr="00542C74" w14:paraId="423EACCF" w14:textId="77777777" w:rsidTr="00F4211D">
        <w:trPr>
          <w:trHeight w:val="452"/>
        </w:trPr>
        <w:tc>
          <w:tcPr>
            <w:tcW w:w="2133" w:type="dxa"/>
            <w:vMerge/>
            <w:vAlign w:val="center"/>
          </w:tcPr>
          <w:p w14:paraId="15259B92"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5ECDEF34"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pH maintenance</w:t>
            </w:r>
          </w:p>
        </w:tc>
        <w:tc>
          <w:tcPr>
            <w:tcW w:w="4704" w:type="dxa"/>
            <w:vAlign w:val="center"/>
          </w:tcPr>
          <w:p w14:paraId="1D5E7C74"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Optimal pH (6.0–7.5) ensures nutrient availability (Brady &amp; Weil, 2016)</w:t>
            </w:r>
          </w:p>
        </w:tc>
        <w:tc>
          <w:tcPr>
            <w:tcW w:w="3848" w:type="dxa"/>
            <w:vAlign w:val="center"/>
          </w:tcPr>
          <w:p w14:paraId="4CD92A75"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Enhances uptake efficiency and reduces lock-up of nutrients</w:t>
            </w:r>
          </w:p>
        </w:tc>
      </w:tr>
      <w:tr w:rsidR="00C33FA2" w:rsidRPr="00542C74" w14:paraId="0F8B16B0" w14:textId="77777777" w:rsidTr="00F4211D">
        <w:trPr>
          <w:trHeight w:val="452"/>
        </w:trPr>
        <w:tc>
          <w:tcPr>
            <w:tcW w:w="2133" w:type="dxa"/>
            <w:vMerge/>
            <w:vAlign w:val="center"/>
          </w:tcPr>
          <w:p w14:paraId="79786706"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1B154B9D"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Organic matter monitoring</w:t>
            </w:r>
          </w:p>
        </w:tc>
        <w:tc>
          <w:tcPr>
            <w:tcW w:w="4704" w:type="dxa"/>
            <w:vAlign w:val="center"/>
          </w:tcPr>
          <w:p w14:paraId="1B029862"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SOM &gt;2% promotes soil aggregation and microbial activity</w:t>
            </w:r>
          </w:p>
        </w:tc>
        <w:tc>
          <w:tcPr>
            <w:tcW w:w="3848" w:type="dxa"/>
            <w:vAlign w:val="center"/>
          </w:tcPr>
          <w:p w14:paraId="4D9CB2FB"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Increases water-holding and nutrient-retention capacity</w:t>
            </w:r>
          </w:p>
        </w:tc>
      </w:tr>
      <w:tr w:rsidR="00C33FA2" w:rsidRPr="00542C74" w14:paraId="5E5DDE78" w14:textId="77777777" w:rsidTr="00F4211D">
        <w:trPr>
          <w:trHeight w:val="441"/>
        </w:trPr>
        <w:tc>
          <w:tcPr>
            <w:tcW w:w="2133" w:type="dxa"/>
            <w:vMerge w:val="restart"/>
            <w:vAlign w:val="center"/>
          </w:tcPr>
          <w:p w14:paraId="65F206B2"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Fertilizer Application (Smart)</w:t>
            </w:r>
          </w:p>
        </w:tc>
        <w:tc>
          <w:tcPr>
            <w:tcW w:w="2708" w:type="dxa"/>
            <w:vAlign w:val="center"/>
          </w:tcPr>
          <w:p w14:paraId="10F7D3AD"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GPS-guided variable rate application</w:t>
            </w:r>
          </w:p>
        </w:tc>
        <w:tc>
          <w:tcPr>
            <w:tcW w:w="4704" w:type="dxa"/>
            <w:vAlign w:val="center"/>
          </w:tcPr>
          <w:p w14:paraId="0E8054BD"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Matches nutrient application to field variability (precision farming)</w:t>
            </w:r>
          </w:p>
        </w:tc>
        <w:tc>
          <w:tcPr>
            <w:tcW w:w="3848" w:type="dxa"/>
            <w:vAlign w:val="center"/>
          </w:tcPr>
          <w:p w14:paraId="6C3F95AC"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Reduces input waste and environmental load</w:t>
            </w:r>
          </w:p>
        </w:tc>
      </w:tr>
      <w:tr w:rsidR="00C33FA2" w:rsidRPr="00542C74" w14:paraId="10EE8D74" w14:textId="77777777" w:rsidTr="00F4211D">
        <w:trPr>
          <w:trHeight w:val="231"/>
        </w:trPr>
        <w:tc>
          <w:tcPr>
            <w:tcW w:w="2133" w:type="dxa"/>
            <w:vMerge/>
            <w:vAlign w:val="center"/>
          </w:tcPr>
          <w:p w14:paraId="522C8C84"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12178583"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Split applications</w:t>
            </w:r>
          </w:p>
        </w:tc>
        <w:tc>
          <w:tcPr>
            <w:tcW w:w="4704" w:type="dxa"/>
            <w:vAlign w:val="center"/>
          </w:tcPr>
          <w:p w14:paraId="2B69B919"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Timed to match crop nutrient demand phases</w:t>
            </w:r>
          </w:p>
        </w:tc>
        <w:tc>
          <w:tcPr>
            <w:tcW w:w="3848" w:type="dxa"/>
            <w:vAlign w:val="center"/>
          </w:tcPr>
          <w:p w14:paraId="11EECB01"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Enhances nitrogen use efficiency (NUE)</w:t>
            </w:r>
          </w:p>
        </w:tc>
      </w:tr>
      <w:tr w:rsidR="00C33FA2" w:rsidRPr="00542C74" w14:paraId="3EE79E45" w14:textId="77777777" w:rsidTr="00F4211D">
        <w:trPr>
          <w:trHeight w:val="463"/>
        </w:trPr>
        <w:tc>
          <w:tcPr>
            <w:tcW w:w="2133" w:type="dxa"/>
            <w:vMerge/>
            <w:vAlign w:val="center"/>
          </w:tcPr>
          <w:p w14:paraId="2AB55570"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099B694E"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AI-driven predictive analytics</w:t>
            </w:r>
          </w:p>
        </w:tc>
        <w:tc>
          <w:tcPr>
            <w:tcW w:w="4704" w:type="dxa"/>
            <w:vAlign w:val="center"/>
          </w:tcPr>
          <w:p w14:paraId="2A2390FB"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Real-time modeling for dose optimization based on crop/soil/climate interactions</w:t>
            </w:r>
          </w:p>
        </w:tc>
        <w:tc>
          <w:tcPr>
            <w:tcW w:w="3848" w:type="dxa"/>
            <w:vAlign w:val="center"/>
          </w:tcPr>
          <w:p w14:paraId="317DB724"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Prevents under-/over-fertilization</w:t>
            </w:r>
          </w:p>
        </w:tc>
      </w:tr>
      <w:tr w:rsidR="00C33FA2" w:rsidRPr="00542C74" w14:paraId="73BF3715" w14:textId="77777777" w:rsidTr="00F4211D">
        <w:trPr>
          <w:trHeight w:val="452"/>
        </w:trPr>
        <w:tc>
          <w:tcPr>
            <w:tcW w:w="2133" w:type="dxa"/>
            <w:vMerge/>
            <w:vAlign w:val="center"/>
          </w:tcPr>
          <w:p w14:paraId="56AF8DC3"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27DE63BC"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Deep placement</w:t>
            </w:r>
          </w:p>
        </w:tc>
        <w:tc>
          <w:tcPr>
            <w:tcW w:w="4704" w:type="dxa"/>
            <w:vAlign w:val="center"/>
          </w:tcPr>
          <w:p w14:paraId="19A4DA5F"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Places nutrients near root zone; especially effective for urea and ammonium forms</w:t>
            </w:r>
          </w:p>
        </w:tc>
        <w:tc>
          <w:tcPr>
            <w:tcW w:w="3848" w:type="dxa"/>
            <w:vAlign w:val="center"/>
          </w:tcPr>
          <w:p w14:paraId="645A3564"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Minimizes volatilization and runoff</w:t>
            </w:r>
          </w:p>
        </w:tc>
      </w:tr>
      <w:tr w:rsidR="00C33FA2" w:rsidRPr="00542C74" w14:paraId="7EB311C5" w14:textId="77777777" w:rsidTr="00F4211D">
        <w:trPr>
          <w:trHeight w:val="452"/>
        </w:trPr>
        <w:tc>
          <w:tcPr>
            <w:tcW w:w="2133" w:type="dxa"/>
            <w:vMerge/>
            <w:vAlign w:val="center"/>
          </w:tcPr>
          <w:p w14:paraId="09B12734"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6C39B20E"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Precise timing with crop growth stages</w:t>
            </w:r>
          </w:p>
        </w:tc>
        <w:tc>
          <w:tcPr>
            <w:tcW w:w="4704" w:type="dxa"/>
            <w:vAlign w:val="center"/>
          </w:tcPr>
          <w:p w14:paraId="7C70BDD1"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Aligns input with phenological demand (e.g., tillering, heading)</w:t>
            </w:r>
          </w:p>
        </w:tc>
        <w:tc>
          <w:tcPr>
            <w:tcW w:w="3848" w:type="dxa"/>
            <w:vAlign w:val="center"/>
          </w:tcPr>
          <w:p w14:paraId="0C2EE926"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Maximizes uptake, minimizes losses</w:t>
            </w:r>
          </w:p>
        </w:tc>
      </w:tr>
      <w:tr w:rsidR="00C33FA2" w:rsidRPr="00542C74" w14:paraId="38241CB6" w14:textId="77777777" w:rsidTr="00F4211D">
        <w:trPr>
          <w:trHeight w:val="452"/>
        </w:trPr>
        <w:tc>
          <w:tcPr>
            <w:tcW w:w="2133" w:type="dxa"/>
            <w:vMerge/>
            <w:vAlign w:val="center"/>
          </w:tcPr>
          <w:p w14:paraId="36BDB0E5"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263824A0"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Soil testing and crop-specific dosing</w:t>
            </w:r>
          </w:p>
        </w:tc>
        <w:tc>
          <w:tcPr>
            <w:tcW w:w="4704" w:type="dxa"/>
            <w:vAlign w:val="center"/>
          </w:tcPr>
          <w:p w14:paraId="52E1C306"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Data-based customization of nutrient plans</w:t>
            </w:r>
          </w:p>
        </w:tc>
        <w:tc>
          <w:tcPr>
            <w:tcW w:w="3848" w:type="dxa"/>
            <w:vAlign w:val="center"/>
          </w:tcPr>
          <w:p w14:paraId="3A03A029"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Improves cost-effectiveness and productivity</w:t>
            </w:r>
          </w:p>
        </w:tc>
      </w:tr>
      <w:tr w:rsidR="00C33FA2" w:rsidRPr="00542C74" w14:paraId="5A5D6A94" w14:textId="77777777" w:rsidTr="00F4211D">
        <w:trPr>
          <w:trHeight w:val="441"/>
        </w:trPr>
        <w:tc>
          <w:tcPr>
            <w:tcW w:w="2133" w:type="dxa"/>
            <w:vMerge w:val="restart"/>
            <w:vAlign w:val="center"/>
          </w:tcPr>
          <w:p w14:paraId="5C6E4776"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Fertilizer Types</w:t>
            </w:r>
          </w:p>
        </w:tc>
        <w:tc>
          <w:tcPr>
            <w:tcW w:w="2708" w:type="dxa"/>
            <w:vAlign w:val="center"/>
          </w:tcPr>
          <w:p w14:paraId="0DB84F70"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Soluble fertilizers (e.g., urea, DAP)</w:t>
            </w:r>
          </w:p>
        </w:tc>
        <w:tc>
          <w:tcPr>
            <w:tcW w:w="4704" w:type="dxa"/>
            <w:vAlign w:val="center"/>
          </w:tcPr>
          <w:p w14:paraId="72CC3FCB"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Rapidly available nutrients; susceptible to volatilization and leaching</w:t>
            </w:r>
          </w:p>
        </w:tc>
        <w:tc>
          <w:tcPr>
            <w:tcW w:w="3848" w:type="dxa"/>
            <w:vAlign w:val="center"/>
          </w:tcPr>
          <w:p w14:paraId="20B85339"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High initial response, requires careful timing</w:t>
            </w:r>
          </w:p>
        </w:tc>
      </w:tr>
      <w:tr w:rsidR="00C33FA2" w:rsidRPr="00542C74" w14:paraId="2DD5F6C8" w14:textId="77777777" w:rsidTr="00F4211D">
        <w:trPr>
          <w:trHeight w:val="463"/>
        </w:trPr>
        <w:tc>
          <w:tcPr>
            <w:tcW w:w="2133" w:type="dxa"/>
            <w:vMerge/>
            <w:vAlign w:val="center"/>
          </w:tcPr>
          <w:p w14:paraId="4CCE846F"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29BB79E8"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Slow-release or coated fertilizers (e.g., SCU, CRF)</w:t>
            </w:r>
          </w:p>
        </w:tc>
        <w:tc>
          <w:tcPr>
            <w:tcW w:w="4704" w:type="dxa"/>
            <w:vAlign w:val="center"/>
          </w:tcPr>
          <w:p w14:paraId="18407C1F"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Extended release matches crop demand; less leaching</w:t>
            </w:r>
          </w:p>
        </w:tc>
        <w:tc>
          <w:tcPr>
            <w:tcW w:w="3848" w:type="dxa"/>
            <w:vAlign w:val="center"/>
          </w:tcPr>
          <w:p w14:paraId="7CE665A2"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Improves NUE; reduces frequency of application</w:t>
            </w:r>
          </w:p>
        </w:tc>
      </w:tr>
      <w:tr w:rsidR="00C33FA2" w:rsidRPr="00542C74" w14:paraId="54981F4B" w14:textId="77777777" w:rsidTr="00F4211D">
        <w:trPr>
          <w:trHeight w:val="452"/>
        </w:trPr>
        <w:tc>
          <w:tcPr>
            <w:tcW w:w="2133" w:type="dxa"/>
            <w:vMerge/>
            <w:vAlign w:val="center"/>
          </w:tcPr>
          <w:p w14:paraId="0469251C"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50C15D77"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Organic fertilizers (e.g., compost, vermicompost)</w:t>
            </w:r>
          </w:p>
        </w:tc>
        <w:tc>
          <w:tcPr>
            <w:tcW w:w="4704" w:type="dxa"/>
            <w:vAlign w:val="center"/>
          </w:tcPr>
          <w:p w14:paraId="252B8436"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Add carbon and nutrients gradually; stimulate microbial processes</w:t>
            </w:r>
          </w:p>
        </w:tc>
        <w:tc>
          <w:tcPr>
            <w:tcW w:w="3848" w:type="dxa"/>
            <w:vAlign w:val="center"/>
          </w:tcPr>
          <w:p w14:paraId="117BC743"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Sustainable and eco-friendly; lower nutrient concentration</w:t>
            </w:r>
          </w:p>
        </w:tc>
      </w:tr>
    </w:tbl>
    <w:p w14:paraId="6328DD2B" w14:textId="77777777" w:rsidR="00C33FA2" w:rsidRPr="00542C74" w:rsidRDefault="00C33FA2" w:rsidP="00542C74">
      <w:pPr>
        <w:pStyle w:val="NoSpacing"/>
        <w:jc w:val="center"/>
        <w:rPr>
          <w:rFonts w:ascii="Arial" w:hAnsi="Arial" w:cs="Arial"/>
          <w:b/>
          <w:sz w:val="20"/>
          <w:szCs w:val="20"/>
          <w:lang w:val="en-US"/>
        </w:rPr>
        <w:sectPr w:rsidR="00C33FA2" w:rsidRPr="00542C74" w:rsidSect="00253C4E">
          <w:pgSz w:w="16838" w:h="11906" w:orient="landscape"/>
          <w:pgMar w:top="1440" w:right="1440" w:bottom="1440" w:left="1440" w:header="708" w:footer="708" w:gutter="0"/>
          <w:cols w:space="708"/>
          <w:docGrid w:linePitch="360"/>
        </w:sectPr>
      </w:pPr>
    </w:p>
    <w:p w14:paraId="4B9CDE0F" w14:textId="10C13CB5" w:rsidR="00190B27" w:rsidRPr="00542C74" w:rsidRDefault="00190B27" w:rsidP="00542C74">
      <w:pPr>
        <w:pStyle w:val="ListParagraph"/>
        <w:numPr>
          <w:ilvl w:val="0"/>
          <w:numId w:val="36"/>
        </w:numPr>
        <w:spacing w:before="100" w:beforeAutospacing="1" w:after="100" w:afterAutospacing="1" w:line="240" w:lineRule="auto"/>
        <w:outlineLvl w:val="2"/>
        <w:rPr>
          <w:rFonts w:ascii="Arial" w:eastAsia="Times New Roman" w:hAnsi="Arial" w:cs="Arial"/>
          <w:b/>
          <w:bCs/>
          <w:sz w:val="20"/>
          <w:szCs w:val="20"/>
          <w:lang w:eastAsia="en-IN"/>
        </w:rPr>
      </w:pPr>
      <w:r w:rsidRPr="00542C74">
        <w:rPr>
          <w:rFonts w:ascii="Arial" w:eastAsia="Times New Roman" w:hAnsi="Arial" w:cs="Arial"/>
          <w:b/>
          <w:bCs/>
          <w:sz w:val="20"/>
          <w:szCs w:val="20"/>
          <w:lang w:eastAsia="en-IN"/>
        </w:rPr>
        <w:lastRenderedPageBreak/>
        <w:t xml:space="preserve">MAJOR INITIATIVES AND POLICIES </w:t>
      </w:r>
    </w:p>
    <w:p w14:paraId="5BFFD2FE" w14:textId="502B9245" w:rsidR="00190B27" w:rsidRPr="00542C74" w:rsidRDefault="00190B27"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To address the dual challenge of enhancing agricultural productivity and mitigating greenhouse gas (GHG) emissions, several initiatives and policies have been launched at both national and international levels. In India, one of the flagship efforts is the </w:t>
      </w:r>
      <w:r w:rsidRPr="00542C74">
        <w:rPr>
          <w:rFonts w:ascii="Arial" w:eastAsia="Times New Roman" w:hAnsi="Arial" w:cs="Arial"/>
          <w:bCs/>
          <w:sz w:val="20"/>
          <w:szCs w:val="20"/>
          <w:lang w:eastAsia="en-IN"/>
        </w:rPr>
        <w:t>Soil Health Card Scheme (SHC)</w:t>
      </w:r>
      <w:r w:rsidRPr="00542C74">
        <w:rPr>
          <w:rFonts w:ascii="Arial" w:eastAsia="Times New Roman" w:hAnsi="Arial" w:cs="Arial"/>
          <w:sz w:val="20"/>
          <w:szCs w:val="20"/>
          <w:lang w:eastAsia="en-IN"/>
        </w:rPr>
        <w:t>, which provides farmers with soil nutrient profiles and tailored fertilizer recommendations, promoting balanced fertilizer use</w:t>
      </w:r>
      <w:r w:rsidR="00627A41" w:rsidRPr="00542C74">
        <w:rPr>
          <w:rFonts w:ascii="Arial" w:eastAsia="Times New Roman" w:hAnsi="Arial" w:cs="Arial"/>
          <w:sz w:val="20"/>
          <w:szCs w:val="20"/>
          <w:lang w:eastAsia="en-IN"/>
        </w:rPr>
        <w:t xml:space="preserve"> (Reddy, 2019)</w:t>
      </w:r>
      <w:r w:rsidRPr="00542C74">
        <w:rPr>
          <w:rFonts w:ascii="Arial" w:eastAsia="Times New Roman" w:hAnsi="Arial" w:cs="Arial"/>
          <w:sz w:val="20"/>
          <w:szCs w:val="20"/>
          <w:lang w:eastAsia="en-IN"/>
        </w:rPr>
        <w:t xml:space="preserve">. Another vital initiative is the </w:t>
      </w:r>
      <w:r w:rsidRPr="00542C74">
        <w:rPr>
          <w:rFonts w:ascii="Arial" w:eastAsia="Times New Roman" w:hAnsi="Arial" w:cs="Arial"/>
          <w:bCs/>
          <w:sz w:val="20"/>
          <w:szCs w:val="20"/>
          <w:lang w:eastAsia="en-IN"/>
        </w:rPr>
        <w:t>Neem Coating of Urea</w:t>
      </w:r>
      <w:r w:rsidRPr="00542C74">
        <w:rPr>
          <w:rFonts w:ascii="Arial" w:eastAsia="Times New Roman" w:hAnsi="Arial" w:cs="Arial"/>
          <w:sz w:val="20"/>
          <w:szCs w:val="20"/>
          <w:lang w:eastAsia="en-IN"/>
        </w:rPr>
        <w:t>, which helps slow nitrogen release, improving nitrogen use efficiency and reducing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 xml:space="preserve">O emissions. The </w:t>
      </w:r>
      <w:r w:rsidRPr="00542C74">
        <w:rPr>
          <w:rFonts w:ascii="Arial" w:eastAsia="Times New Roman" w:hAnsi="Arial" w:cs="Arial"/>
          <w:bCs/>
          <w:sz w:val="20"/>
          <w:szCs w:val="20"/>
          <w:lang w:eastAsia="en-IN"/>
        </w:rPr>
        <w:t>National Mission on Sustainable Agriculture (NMSA)</w:t>
      </w:r>
      <w:r w:rsidRPr="00542C74">
        <w:rPr>
          <w:rFonts w:ascii="Arial" w:eastAsia="Times New Roman" w:hAnsi="Arial" w:cs="Arial"/>
          <w:sz w:val="20"/>
          <w:szCs w:val="20"/>
          <w:lang w:eastAsia="en-IN"/>
        </w:rPr>
        <w:t xml:space="preserve"> under the National Action Plan on Climate Change (NAPCC) focuses on promoting climate-resilient agricultural practices, including efficient fertilizer management</w:t>
      </w:r>
      <w:r w:rsidR="00F37288" w:rsidRPr="00542C74">
        <w:rPr>
          <w:rFonts w:ascii="Arial" w:eastAsia="Times New Roman" w:hAnsi="Arial" w:cs="Arial"/>
          <w:sz w:val="20"/>
          <w:szCs w:val="20"/>
          <w:lang w:eastAsia="en-IN"/>
        </w:rPr>
        <w:t xml:space="preserve"> (Kar et al., 2024)</w:t>
      </w:r>
      <w:r w:rsidRPr="00542C74">
        <w:rPr>
          <w:rFonts w:ascii="Arial" w:eastAsia="Times New Roman" w:hAnsi="Arial" w:cs="Arial"/>
          <w:sz w:val="20"/>
          <w:szCs w:val="20"/>
          <w:lang w:eastAsia="en-IN"/>
        </w:rPr>
        <w:t>.</w:t>
      </w:r>
    </w:p>
    <w:p w14:paraId="004E498C" w14:textId="29E4EA10" w:rsidR="00190B27" w:rsidRPr="00542C74" w:rsidRDefault="00190B27" w:rsidP="00542C74">
      <w:pPr>
        <w:spacing w:before="100" w:beforeAutospacing="1" w:after="100" w:afterAutospacing="1" w:line="240" w:lineRule="auto"/>
        <w:ind w:left="0" w:firstLine="72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The </w:t>
      </w:r>
      <w:r w:rsidRPr="00542C74">
        <w:rPr>
          <w:rFonts w:ascii="Arial" w:eastAsia="Times New Roman" w:hAnsi="Arial" w:cs="Arial"/>
          <w:bCs/>
          <w:sz w:val="20"/>
          <w:szCs w:val="20"/>
          <w:lang w:eastAsia="en-IN"/>
        </w:rPr>
        <w:t>Paramparagat Krishi Vikas Yojana (PKVY)</w:t>
      </w:r>
      <w:r w:rsidRPr="00542C74">
        <w:rPr>
          <w:rFonts w:ascii="Arial" w:eastAsia="Times New Roman" w:hAnsi="Arial" w:cs="Arial"/>
          <w:sz w:val="20"/>
          <w:szCs w:val="20"/>
          <w:lang w:eastAsia="en-IN"/>
        </w:rPr>
        <w:t xml:space="preserve"> encourages organic farming and the use of biofertilizers to replace synthetic inputs, thereby lowering carbon footprints. The </w:t>
      </w:r>
      <w:r w:rsidRPr="00542C74">
        <w:rPr>
          <w:rFonts w:ascii="Arial" w:eastAsia="Times New Roman" w:hAnsi="Arial" w:cs="Arial"/>
          <w:bCs/>
          <w:sz w:val="20"/>
          <w:szCs w:val="20"/>
          <w:lang w:eastAsia="en-IN"/>
        </w:rPr>
        <w:t>Fertilizer Subsidy Rationalization Policy</w:t>
      </w:r>
      <w:r w:rsidRPr="00542C74">
        <w:rPr>
          <w:rFonts w:ascii="Arial" w:eastAsia="Times New Roman" w:hAnsi="Arial" w:cs="Arial"/>
          <w:sz w:val="20"/>
          <w:szCs w:val="20"/>
          <w:lang w:eastAsia="en-IN"/>
        </w:rPr>
        <w:t>, currently under reform, seeks to promote nutrient-based subsidies over blanket subsidies to encourage balanced fertilization</w:t>
      </w:r>
      <w:r w:rsidR="00627A41" w:rsidRPr="00542C74">
        <w:rPr>
          <w:rFonts w:ascii="Arial" w:eastAsia="Times New Roman" w:hAnsi="Arial" w:cs="Arial"/>
          <w:sz w:val="20"/>
          <w:szCs w:val="20"/>
          <w:lang w:eastAsia="en-IN"/>
        </w:rPr>
        <w:t xml:space="preserve"> (Singh et al., 2022)</w:t>
      </w:r>
      <w:r w:rsidRPr="00542C74">
        <w:rPr>
          <w:rFonts w:ascii="Arial" w:eastAsia="Times New Roman" w:hAnsi="Arial" w:cs="Arial"/>
          <w:sz w:val="20"/>
          <w:szCs w:val="20"/>
          <w:lang w:eastAsia="en-IN"/>
        </w:rPr>
        <w:t xml:space="preserve">. At the international level, India’s participation in the </w:t>
      </w:r>
      <w:r w:rsidRPr="00542C74">
        <w:rPr>
          <w:rFonts w:ascii="Arial" w:eastAsia="Times New Roman" w:hAnsi="Arial" w:cs="Arial"/>
          <w:bCs/>
          <w:sz w:val="20"/>
          <w:szCs w:val="20"/>
          <w:lang w:eastAsia="en-IN"/>
        </w:rPr>
        <w:t>Global Nitrogen Initiative (GNI)</w:t>
      </w:r>
      <w:r w:rsidRPr="00542C74">
        <w:rPr>
          <w:rFonts w:ascii="Arial" w:eastAsia="Times New Roman" w:hAnsi="Arial" w:cs="Arial"/>
          <w:sz w:val="20"/>
          <w:szCs w:val="20"/>
          <w:lang w:eastAsia="en-IN"/>
        </w:rPr>
        <w:t xml:space="preserve"> and the </w:t>
      </w:r>
      <w:r w:rsidRPr="00542C74">
        <w:rPr>
          <w:rFonts w:ascii="Arial" w:eastAsia="Times New Roman" w:hAnsi="Arial" w:cs="Arial"/>
          <w:bCs/>
          <w:sz w:val="20"/>
          <w:szCs w:val="20"/>
          <w:lang w:eastAsia="en-IN"/>
        </w:rPr>
        <w:t>4 per 1000 Initiative</w:t>
      </w:r>
      <w:r w:rsidRPr="00542C74">
        <w:rPr>
          <w:rFonts w:ascii="Arial" w:eastAsia="Times New Roman" w:hAnsi="Arial" w:cs="Arial"/>
          <w:sz w:val="20"/>
          <w:szCs w:val="20"/>
          <w:lang w:eastAsia="en-IN"/>
        </w:rPr>
        <w:t xml:space="preserve"> reflects its commitment to global climate goals by promoting practices that improve nitrogen efficiency and increase soil carbon sequestration</w:t>
      </w:r>
      <w:r w:rsidR="00627A41" w:rsidRPr="00542C74">
        <w:rPr>
          <w:rFonts w:ascii="Arial" w:eastAsia="Times New Roman" w:hAnsi="Arial" w:cs="Arial"/>
          <w:sz w:val="20"/>
          <w:szCs w:val="20"/>
          <w:lang w:eastAsia="en-IN"/>
        </w:rPr>
        <w:t xml:space="preserve"> (Jat et al., 2022)</w:t>
      </w:r>
      <w:r w:rsidRPr="00542C74">
        <w:rPr>
          <w:rFonts w:ascii="Arial" w:eastAsia="Times New Roman" w:hAnsi="Arial" w:cs="Arial"/>
          <w:sz w:val="20"/>
          <w:szCs w:val="20"/>
          <w:lang w:eastAsia="en-IN"/>
        </w:rPr>
        <w:t xml:space="preserve">. Additionally, the </w:t>
      </w:r>
      <w:r w:rsidRPr="00542C74">
        <w:rPr>
          <w:rFonts w:ascii="Arial" w:eastAsia="Times New Roman" w:hAnsi="Arial" w:cs="Arial"/>
          <w:bCs/>
          <w:sz w:val="20"/>
          <w:szCs w:val="20"/>
          <w:lang w:eastAsia="en-IN"/>
        </w:rPr>
        <w:t>International Solar Alliance (ISA)</w:t>
      </w:r>
      <w:r w:rsidRPr="00542C74">
        <w:rPr>
          <w:rFonts w:ascii="Arial" w:eastAsia="Times New Roman" w:hAnsi="Arial" w:cs="Arial"/>
          <w:sz w:val="20"/>
          <w:szCs w:val="20"/>
          <w:lang w:eastAsia="en-IN"/>
        </w:rPr>
        <w:t xml:space="preserve"> indirectly supports sustainable agriculture by promoting renewable energy for fertilizer production and irrigation.</w:t>
      </w:r>
    </w:p>
    <w:p w14:paraId="0605F99E" w14:textId="77777777" w:rsidR="00A02306" w:rsidRPr="00542C74" w:rsidRDefault="00A02306" w:rsidP="00542C74">
      <w:pPr>
        <w:pStyle w:val="NoSpacing"/>
        <w:ind w:left="0"/>
        <w:rPr>
          <w:rFonts w:ascii="Arial" w:hAnsi="Arial" w:cs="Arial"/>
          <w:b/>
          <w:color w:val="EE0000"/>
          <w:sz w:val="20"/>
          <w:szCs w:val="20"/>
          <w:lang w:val="en-US"/>
        </w:rPr>
      </w:pPr>
    </w:p>
    <w:p w14:paraId="4A608AAC" w14:textId="2133E6A6" w:rsidR="007A1B44" w:rsidRPr="00542C74" w:rsidRDefault="00276C46" w:rsidP="00542C74">
      <w:pPr>
        <w:pStyle w:val="NoSpacing"/>
        <w:numPr>
          <w:ilvl w:val="0"/>
          <w:numId w:val="36"/>
        </w:numPr>
        <w:rPr>
          <w:rFonts w:ascii="Arial" w:hAnsi="Arial" w:cs="Arial"/>
          <w:b/>
          <w:sz w:val="20"/>
          <w:szCs w:val="20"/>
          <w:lang w:val="en-US"/>
        </w:rPr>
      </w:pPr>
      <w:r w:rsidRPr="00542C74">
        <w:rPr>
          <w:rFonts w:ascii="Arial" w:hAnsi="Arial" w:cs="Arial"/>
          <w:b/>
          <w:sz w:val="20"/>
          <w:szCs w:val="20"/>
          <w:lang w:val="en-US"/>
        </w:rPr>
        <w:t>CONCLUSION</w:t>
      </w:r>
    </w:p>
    <w:p w14:paraId="0314165F" w14:textId="1817DCDA" w:rsidR="00F4211D" w:rsidRDefault="00F4211D"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The impact of fertilizer application on greenhouse gas (GHG) emissions presents a critical challenge at the intersection of agricultural productivity and environmental sustainability. This review highlights that while fertilizers, particularly synthetic nitrogen-based types, have substantially improved crop yields, they are also major contributors to methane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and nitrous oxide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emissions</w:t>
      </w:r>
      <w:r w:rsidR="0086169E" w:rsidRPr="00542C74">
        <w:rPr>
          <w:rFonts w:ascii="Arial" w:eastAsia="Times New Roman" w:hAnsi="Arial" w:cs="Arial"/>
          <w:sz w:val="20"/>
          <w:szCs w:val="20"/>
          <w:lang w:eastAsia="en-IN"/>
        </w:rPr>
        <w:t xml:space="preserve"> </w:t>
      </w:r>
      <w:r w:rsidRPr="00542C74">
        <w:rPr>
          <w:rFonts w:ascii="Arial" w:eastAsia="Times New Roman" w:hAnsi="Arial" w:cs="Arial"/>
          <w:sz w:val="20"/>
          <w:szCs w:val="20"/>
          <w:lang w:eastAsia="en-IN"/>
        </w:rPr>
        <w:t>potent GHGs with high global warming potential. The emission of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through soil microbial processes and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xml:space="preserve"> under anaerobic conditions in flooded soils underscores the importance of fertilizer management in climate change mitigation. Scientific evidence emphasizes that the method, timing, and dosage of fertilizer application significantly affect GHG emission profiles. Therefore, adopting improved agronomic practices such as precision nutrient management, site-specific dosing, integrated organic amendments, and enhanced efficiency fertilizers is essential. These strategies can not only reduce environmental pollution but also sustain long-term soil health and productivity. Furthermore, policy frameworks supporting farmer education, technology dissemination, and subsidies for sustainable inputs will be instrumental in facilitating this transition. Ultimately, reducing the climate footprint of fertilizer use demands a multidisciplinary approach that aligns environmental stewardship with food security, ensuring that agricultural systems evolve towards greater resilience and ecological balance.</w:t>
      </w:r>
    </w:p>
    <w:p w14:paraId="3A69ED0D" w14:textId="77777777" w:rsidR="00D11763" w:rsidRDefault="00D11763" w:rsidP="00542C74">
      <w:pPr>
        <w:spacing w:before="100" w:beforeAutospacing="1" w:after="100" w:afterAutospacing="1" w:line="240" w:lineRule="auto"/>
        <w:ind w:left="0"/>
        <w:rPr>
          <w:rFonts w:ascii="Arial" w:eastAsia="Times New Roman" w:hAnsi="Arial" w:cs="Arial"/>
          <w:sz w:val="20"/>
          <w:szCs w:val="20"/>
          <w:lang w:eastAsia="en-IN"/>
        </w:rPr>
      </w:pPr>
    </w:p>
    <w:p w14:paraId="572ED9AC" w14:textId="77777777" w:rsidR="00D11763" w:rsidRPr="00D11763" w:rsidRDefault="00D11763" w:rsidP="00D11763">
      <w:pPr>
        <w:spacing w:before="100" w:beforeAutospacing="1" w:after="100" w:afterAutospacing="1" w:line="240" w:lineRule="auto"/>
        <w:ind w:left="0"/>
        <w:rPr>
          <w:rFonts w:ascii="Arial" w:eastAsia="Times New Roman" w:hAnsi="Arial" w:cs="Arial"/>
          <w:sz w:val="20"/>
          <w:szCs w:val="20"/>
          <w:lang w:eastAsia="en-IN"/>
        </w:rPr>
      </w:pPr>
      <w:r w:rsidRPr="00D11763">
        <w:rPr>
          <w:rFonts w:ascii="Arial" w:eastAsia="Times New Roman" w:hAnsi="Arial" w:cs="Arial"/>
          <w:sz w:val="20"/>
          <w:szCs w:val="20"/>
          <w:lang w:eastAsia="en-IN"/>
        </w:rPr>
        <w:t>COMPETING INTERESTS DISCLAIMER:</w:t>
      </w:r>
    </w:p>
    <w:p w14:paraId="0473280F" w14:textId="3B617EEA" w:rsidR="00D11763" w:rsidRPr="00542C74" w:rsidRDefault="00D11763" w:rsidP="00D11763">
      <w:pPr>
        <w:spacing w:before="100" w:beforeAutospacing="1" w:after="100" w:afterAutospacing="1" w:line="240" w:lineRule="auto"/>
        <w:ind w:left="0"/>
        <w:rPr>
          <w:rFonts w:ascii="Arial" w:eastAsia="Times New Roman" w:hAnsi="Arial" w:cs="Arial"/>
          <w:sz w:val="20"/>
          <w:szCs w:val="20"/>
          <w:lang w:eastAsia="en-IN"/>
        </w:rPr>
      </w:pPr>
      <w:r w:rsidRPr="00D11763">
        <w:rPr>
          <w:rFonts w:ascii="Arial" w:eastAsia="Times New Roman" w:hAnsi="Arial" w:cs="Arial"/>
          <w:sz w:val="20"/>
          <w:szCs w:val="20"/>
          <w:lang w:eastAsia="en-IN"/>
        </w:rPr>
        <w:t>Authors have declared that they have no known competing financial interests OR non-financial interests OR personal relationships that could have appeared to influence the work reported in this paper.</w:t>
      </w:r>
    </w:p>
    <w:p w14:paraId="3FE46595" w14:textId="3819CB6A" w:rsidR="00A3596D" w:rsidRPr="00542C74" w:rsidRDefault="00A3596D" w:rsidP="00542C74">
      <w:pPr>
        <w:pStyle w:val="NoSpacing"/>
        <w:ind w:left="0"/>
        <w:rPr>
          <w:rFonts w:ascii="Arial" w:hAnsi="Arial" w:cs="Arial"/>
          <w:b/>
          <w:sz w:val="20"/>
          <w:szCs w:val="20"/>
          <w:lang w:val="en-US"/>
        </w:rPr>
      </w:pPr>
    </w:p>
    <w:p w14:paraId="509D6385" w14:textId="1FB69380" w:rsidR="00A3596D" w:rsidRPr="00542C74" w:rsidRDefault="00A3596D" w:rsidP="00542C74">
      <w:pPr>
        <w:pStyle w:val="NoSpacing"/>
        <w:ind w:left="0"/>
        <w:jc w:val="center"/>
        <w:rPr>
          <w:rFonts w:ascii="Arial" w:hAnsi="Arial" w:cs="Arial"/>
          <w:b/>
          <w:sz w:val="20"/>
          <w:szCs w:val="20"/>
          <w:lang w:val="en-US"/>
        </w:rPr>
      </w:pPr>
      <w:r w:rsidRPr="00542C74">
        <w:rPr>
          <w:rFonts w:ascii="Arial" w:hAnsi="Arial" w:cs="Arial"/>
          <w:b/>
          <w:sz w:val="20"/>
          <w:szCs w:val="20"/>
          <w:lang w:val="en-US"/>
        </w:rPr>
        <w:t>REFERENCES</w:t>
      </w:r>
    </w:p>
    <w:p w14:paraId="664F9FFB"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Ahmed, Z., Gui, D., Qi, Z., Liu, J., Ali, A., Murtaza, G., ... &amp; Ahmad, S. (2023). Greenhouse gas emissions and mitigation strategies in rice production systems. In </w:t>
      </w:r>
      <w:r w:rsidRPr="00542C74">
        <w:rPr>
          <w:rFonts w:ascii="Arial" w:hAnsi="Arial" w:cs="Arial"/>
          <w:i/>
          <w:iCs/>
          <w:color w:val="222222"/>
          <w:sz w:val="20"/>
          <w:szCs w:val="20"/>
          <w:shd w:val="clear" w:color="auto" w:fill="FFFFFF"/>
        </w:rPr>
        <w:t>Global agricultural production: Resilience to climate change</w:t>
      </w:r>
      <w:r w:rsidRPr="00542C74">
        <w:rPr>
          <w:rFonts w:ascii="Arial" w:hAnsi="Arial" w:cs="Arial"/>
          <w:color w:val="222222"/>
          <w:sz w:val="20"/>
          <w:szCs w:val="20"/>
          <w:shd w:val="clear" w:color="auto" w:fill="FFFFFF"/>
        </w:rPr>
        <w:t> (pp. 237-265). Cham: Springer International Publishing.</w:t>
      </w:r>
    </w:p>
    <w:p w14:paraId="17B94411"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Ayilara, M. S., Olanrewaju, O. S., Babalola, O. O., &amp; Odeyemi, O. (2020). Waste management through composting: Challenges and potentials. </w:t>
      </w:r>
      <w:r w:rsidRPr="00542C74">
        <w:rPr>
          <w:rFonts w:ascii="Arial" w:hAnsi="Arial" w:cs="Arial"/>
          <w:i/>
          <w:iCs/>
          <w:color w:val="222222"/>
          <w:sz w:val="20"/>
          <w:szCs w:val="20"/>
          <w:shd w:val="clear" w:color="auto" w:fill="FFFFFF"/>
        </w:rPr>
        <w:t>Sustainability</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12</w:t>
      </w:r>
      <w:r w:rsidRPr="00542C74">
        <w:rPr>
          <w:rFonts w:ascii="Arial" w:hAnsi="Arial" w:cs="Arial"/>
          <w:color w:val="222222"/>
          <w:sz w:val="20"/>
          <w:szCs w:val="20"/>
          <w:shd w:val="clear" w:color="auto" w:fill="FFFFFF"/>
        </w:rPr>
        <w:t>(11), 4456.</w:t>
      </w:r>
    </w:p>
    <w:p w14:paraId="3974F886"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Cassia, R., Nocioni, M., Correa-Aragunde, N., &amp; Lamattina, L. (2018). Climate change and the impact of greenhouse gasses: CO</w:t>
      </w:r>
      <w:r w:rsidRPr="00542C74">
        <w:rPr>
          <w:rFonts w:ascii="Arial" w:hAnsi="Arial" w:cs="Arial"/>
          <w:color w:val="222222"/>
          <w:sz w:val="20"/>
          <w:szCs w:val="20"/>
          <w:shd w:val="clear" w:color="auto" w:fill="FFFFFF"/>
          <w:vertAlign w:val="subscript"/>
        </w:rPr>
        <w:t>2</w:t>
      </w:r>
      <w:r w:rsidRPr="00542C74">
        <w:rPr>
          <w:rFonts w:ascii="Arial" w:hAnsi="Arial" w:cs="Arial"/>
          <w:color w:val="222222"/>
          <w:sz w:val="20"/>
          <w:szCs w:val="20"/>
          <w:shd w:val="clear" w:color="auto" w:fill="FFFFFF"/>
        </w:rPr>
        <w:t xml:space="preserve"> and NO, friends and foes of plant oxidative stress. </w:t>
      </w:r>
      <w:r w:rsidRPr="00542C74">
        <w:rPr>
          <w:rFonts w:ascii="Arial" w:hAnsi="Arial" w:cs="Arial"/>
          <w:i/>
          <w:iCs/>
          <w:color w:val="222222"/>
          <w:sz w:val="20"/>
          <w:szCs w:val="20"/>
          <w:shd w:val="clear" w:color="auto" w:fill="FFFFFF"/>
        </w:rPr>
        <w:t>Frontiers in plant science</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9</w:t>
      </w:r>
      <w:r w:rsidRPr="00542C74">
        <w:rPr>
          <w:rFonts w:ascii="Arial" w:hAnsi="Arial" w:cs="Arial"/>
          <w:color w:val="222222"/>
          <w:sz w:val="20"/>
          <w:szCs w:val="20"/>
          <w:shd w:val="clear" w:color="auto" w:fill="FFFFFF"/>
        </w:rPr>
        <w:t>, 273.</w:t>
      </w:r>
    </w:p>
    <w:p w14:paraId="576EF6EF"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lastRenderedPageBreak/>
        <w:t>Conrad, R. (1995). Soil microbial processes involved in production and consumption of atmospheric trace gases. In </w:t>
      </w:r>
      <w:r w:rsidRPr="00542C74">
        <w:rPr>
          <w:rFonts w:ascii="Arial" w:hAnsi="Arial" w:cs="Arial"/>
          <w:i/>
          <w:iCs/>
          <w:color w:val="222222"/>
          <w:sz w:val="20"/>
          <w:szCs w:val="20"/>
          <w:shd w:val="clear" w:color="auto" w:fill="FFFFFF"/>
        </w:rPr>
        <w:t>Advances in microbial ecology</w:t>
      </w:r>
      <w:r w:rsidRPr="00542C74">
        <w:rPr>
          <w:rFonts w:ascii="Arial" w:hAnsi="Arial" w:cs="Arial"/>
          <w:color w:val="222222"/>
          <w:sz w:val="20"/>
          <w:szCs w:val="20"/>
          <w:shd w:val="clear" w:color="auto" w:fill="FFFFFF"/>
        </w:rPr>
        <w:t> (pp. 207-250). Boston, MA: Springer US.</w:t>
      </w:r>
    </w:p>
    <w:p w14:paraId="570408E3"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Das, D. K., &amp; Mandal, M. (2015). Advanced technology of fertilizer uses for crop production. </w:t>
      </w:r>
      <w:r w:rsidRPr="00542C74">
        <w:rPr>
          <w:rFonts w:ascii="Arial" w:hAnsi="Arial" w:cs="Arial"/>
          <w:i/>
          <w:iCs/>
          <w:color w:val="222222"/>
          <w:sz w:val="20"/>
          <w:szCs w:val="20"/>
          <w:shd w:val="clear" w:color="auto" w:fill="FFFFFF"/>
        </w:rPr>
        <w:t>Fertilizer Technology I Synthesıs. Sinha, S., Pant, KK, Bajpai, S.(Eds.). Studium Press, LLC, USA</w:t>
      </w:r>
      <w:r w:rsidRPr="00542C74">
        <w:rPr>
          <w:rFonts w:ascii="Arial" w:hAnsi="Arial" w:cs="Arial"/>
          <w:color w:val="222222"/>
          <w:sz w:val="20"/>
          <w:szCs w:val="20"/>
          <w:shd w:val="clear" w:color="auto" w:fill="FFFFFF"/>
        </w:rPr>
        <w:t>, 101-150.</w:t>
      </w:r>
    </w:p>
    <w:p w14:paraId="50D5D30A"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De Vries, W. (2021). Impacts of nitrogen emissions on ecosystems and human health: A mini review. </w:t>
      </w:r>
      <w:r w:rsidRPr="00542C74">
        <w:rPr>
          <w:rFonts w:ascii="Arial" w:hAnsi="Arial" w:cs="Arial"/>
          <w:i/>
          <w:iCs/>
          <w:color w:val="222222"/>
          <w:sz w:val="20"/>
          <w:szCs w:val="20"/>
          <w:shd w:val="clear" w:color="auto" w:fill="FFFFFF"/>
        </w:rPr>
        <w:t>Current Opinion in Environmental Science &amp; Health</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21</w:t>
      </w:r>
      <w:r w:rsidRPr="00542C74">
        <w:rPr>
          <w:rFonts w:ascii="Arial" w:hAnsi="Arial" w:cs="Arial"/>
          <w:color w:val="222222"/>
          <w:sz w:val="20"/>
          <w:szCs w:val="20"/>
          <w:shd w:val="clear" w:color="auto" w:fill="FFFFFF"/>
        </w:rPr>
        <w:t>, 100249.</w:t>
      </w:r>
    </w:p>
    <w:p w14:paraId="360E1A06"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Filonchyk, M., Peterson, M. P., Zhang, L., Hurynovich, V., &amp; He, Y. (2024). Greenhouse gases emissions and global climate change: Examining the influence of CO2, CH4, and N2O. </w:t>
      </w:r>
      <w:r w:rsidRPr="00542C74">
        <w:rPr>
          <w:rFonts w:ascii="Arial" w:hAnsi="Arial" w:cs="Arial"/>
          <w:i/>
          <w:iCs/>
          <w:color w:val="222222"/>
          <w:sz w:val="20"/>
          <w:szCs w:val="20"/>
          <w:shd w:val="clear" w:color="auto" w:fill="FFFFFF"/>
        </w:rPr>
        <w:t>Science of The Total Environment</w:t>
      </w:r>
      <w:r w:rsidRPr="00542C74">
        <w:rPr>
          <w:rFonts w:ascii="Arial" w:hAnsi="Arial" w:cs="Arial"/>
          <w:color w:val="222222"/>
          <w:sz w:val="20"/>
          <w:szCs w:val="20"/>
          <w:shd w:val="clear" w:color="auto" w:fill="FFFFFF"/>
        </w:rPr>
        <w:t>, 173359.</w:t>
      </w:r>
    </w:p>
    <w:p w14:paraId="56092787"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Filonchyk, M., Peterson, M. P., Zhang, L., Hurynovich, V., &amp; He, Y. (2024). Greenhouse gases emissions and global climate change: Examining the influence of CO2, CH4, and N2O. </w:t>
      </w:r>
      <w:r w:rsidRPr="00542C74">
        <w:rPr>
          <w:rFonts w:ascii="Arial" w:hAnsi="Arial" w:cs="Arial"/>
          <w:i/>
          <w:iCs/>
          <w:color w:val="222222"/>
          <w:sz w:val="20"/>
          <w:szCs w:val="20"/>
          <w:shd w:val="clear" w:color="auto" w:fill="FFFFFF"/>
        </w:rPr>
        <w:t>Science of The Total Environment</w:t>
      </w:r>
      <w:r w:rsidRPr="00542C74">
        <w:rPr>
          <w:rFonts w:ascii="Arial" w:hAnsi="Arial" w:cs="Arial"/>
          <w:color w:val="222222"/>
          <w:sz w:val="20"/>
          <w:szCs w:val="20"/>
          <w:shd w:val="clear" w:color="auto" w:fill="FFFFFF"/>
        </w:rPr>
        <w:t>, 173359.</w:t>
      </w:r>
    </w:p>
    <w:p w14:paraId="383E4D98"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Getahun, S., Kefale, H., &amp; Gelaye, Y. (2024). Application of precision agriculture technologies for sustainable crop production and environmental sustainability: A systematic review. </w:t>
      </w:r>
      <w:r w:rsidRPr="00542C74">
        <w:rPr>
          <w:rFonts w:ascii="Arial" w:hAnsi="Arial" w:cs="Arial"/>
          <w:i/>
          <w:iCs/>
          <w:color w:val="222222"/>
          <w:sz w:val="20"/>
          <w:szCs w:val="20"/>
          <w:shd w:val="clear" w:color="auto" w:fill="FFFFFF"/>
        </w:rPr>
        <w:t>The Scientific World Journal</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2024</w:t>
      </w:r>
      <w:r w:rsidRPr="00542C74">
        <w:rPr>
          <w:rFonts w:ascii="Arial" w:hAnsi="Arial" w:cs="Arial"/>
          <w:color w:val="222222"/>
          <w:sz w:val="20"/>
          <w:szCs w:val="20"/>
          <w:shd w:val="clear" w:color="auto" w:fill="FFFFFF"/>
        </w:rPr>
        <w:t>(1), 2126734.</w:t>
      </w:r>
    </w:p>
    <w:p w14:paraId="49339B1B"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Gołasa, P., Wysokiński, M., Bieńkowska-Gołasa, W., Gradziuk, P., Golonko, M., Gradziuk, B., ... &amp; Gromada, A. (2021). Sources of greenhouse gas emissions in agriculture, with particular emphasis on emissions from energy used. </w:t>
      </w:r>
      <w:r w:rsidRPr="00542C74">
        <w:rPr>
          <w:rFonts w:ascii="Arial" w:hAnsi="Arial" w:cs="Arial"/>
          <w:i/>
          <w:iCs/>
          <w:color w:val="222222"/>
          <w:sz w:val="20"/>
          <w:szCs w:val="20"/>
          <w:shd w:val="clear" w:color="auto" w:fill="FFFFFF"/>
        </w:rPr>
        <w:t>Energies</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14</w:t>
      </w:r>
      <w:r w:rsidRPr="00542C74">
        <w:rPr>
          <w:rFonts w:ascii="Arial" w:hAnsi="Arial" w:cs="Arial"/>
          <w:color w:val="222222"/>
          <w:sz w:val="20"/>
          <w:szCs w:val="20"/>
          <w:shd w:val="clear" w:color="auto" w:fill="FFFFFF"/>
        </w:rPr>
        <w:t>(13), 3784.</w:t>
      </w:r>
    </w:p>
    <w:p w14:paraId="5BD2414F"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Hegerl, G. C., Brönnimann, S., Cowan, T., Friedman, A. R., Hawkins, E., Iles, C., ... &amp; Undorf, S. (2019). Causes of climate change over the historical record. </w:t>
      </w:r>
      <w:r w:rsidRPr="00542C74">
        <w:rPr>
          <w:rFonts w:ascii="Arial" w:hAnsi="Arial" w:cs="Arial"/>
          <w:i/>
          <w:iCs/>
          <w:color w:val="222222"/>
          <w:sz w:val="20"/>
          <w:szCs w:val="20"/>
          <w:shd w:val="clear" w:color="auto" w:fill="FFFFFF"/>
        </w:rPr>
        <w:t>Environmental Research Letters</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14</w:t>
      </w:r>
      <w:r w:rsidRPr="00542C74">
        <w:rPr>
          <w:rFonts w:ascii="Arial" w:hAnsi="Arial" w:cs="Arial"/>
          <w:color w:val="222222"/>
          <w:sz w:val="20"/>
          <w:szCs w:val="20"/>
          <w:shd w:val="clear" w:color="auto" w:fill="FFFFFF"/>
        </w:rPr>
        <w:t>(12), 123006.</w:t>
      </w:r>
    </w:p>
    <w:p w14:paraId="2C20601F"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Huang, H., Wu, Q., Liu, F., Zhang, Z., Liu, B., Zhou, G., ... &amp; Wu, P. (2024). Influence of the depth of nitrogen-phosphorus fertilizer placement in soil on maize yielding and carbon footprint in the Loess Plateau of China. </w:t>
      </w:r>
      <w:r w:rsidRPr="00542C74">
        <w:rPr>
          <w:rFonts w:ascii="Arial" w:hAnsi="Arial" w:cs="Arial"/>
          <w:i/>
          <w:iCs/>
          <w:color w:val="222222"/>
          <w:sz w:val="20"/>
          <w:szCs w:val="20"/>
          <w:shd w:val="clear" w:color="auto" w:fill="FFFFFF"/>
        </w:rPr>
        <w:t>Agronomy</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14</w:t>
      </w:r>
      <w:r w:rsidRPr="00542C74">
        <w:rPr>
          <w:rFonts w:ascii="Arial" w:hAnsi="Arial" w:cs="Arial"/>
          <w:color w:val="222222"/>
          <w:sz w:val="20"/>
          <w:szCs w:val="20"/>
          <w:shd w:val="clear" w:color="auto" w:fill="FFFFFF"/>
        </w:rPr>
        <w:t>(4), 805.</w:t>
      </w:r>
    </w:p>
    <w:p w14:paraId="711458BB"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Jat, M. L., Chakraborty, D., Ladha, J. K., Parihar, C. M., Datta, A., Mandal, B., ... &amp; Gerard, B. (2022). Carbon sequestration potential, challenges, and strategies towards climate action in smallholder agricultural systems of South Asia. </w:t>
      </w:r>
      <w:r w:rsidRPr="00542C74">
        <w:rPr>
          <w:rFonts w:ascii="Arial" w:hAnsi="Arial" w:cs="Arial"/>
          <w:i/>
          <w:iCs/>
          <w:color w:val="222222"/>
          <w:sz w:val="20"/>
          <w:szCs w:val="20"/>
          <w:shd w:val="clear" w:color="auto" w:fill="FFFFFF"/>
        </w:rPr>
        <w:t>Crop and Environment</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1</w:t>
      </w:r>
      <w:r w:rsidRPr="00542C74">
        <w:rPr>
          <w:rFonts w:ascii="Arial" w:hAnsi="Arial" w:cs="Arial"/>
          <w:color w:val="222222"/>
          <w:sz w:val="20"/>
          <w:szCs w:val="20"/>
          <w:shd w:val="clear" w:color="auto" w:fill="FFFFFF"/>
        </w:rPr>
        <w:t>(1), 86-101.</w:t>
      </w:r>
    </w:p>
    <w:p w14:paraId="349CE51C"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Kamyab, H., SaberiKamarposhti, M., Hashim, H., &amp; Yusuf, M. (2024). Carbon dynamics in agricultural greenhouse gas emissions and removals: a comprehensive review. </w:t>
      </w:r>
      <w:r w:rsidRPr="00542C74">
        <w:rPr>
          <w:rFonts w:ascii="Arial" w:hAnsi="Arial" w:cs="Arial"/>
          <w:i/>
          <w:iCs/>
          <w:color w:val="222222"/>
          <w:sz w:val="20"/>
          <w:szCs w:val="20"/>
          <w:shd w:val="clear" w:color="auto" w:fill="FFFFFF"/>
        </w:rPr>
        <w:t>Carbon Letters</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34</w:t>
      </w:r>
      <w:r w:rsidRPr="00542C74">
        <w:rPr>
          <w:rFonts w:ascii="Arial" w:hAnsi="Arial" w:cs="Arial"/>
          <w:color w:val="222222"/>
          <w:sz w:val="20"/>
          <w:szCs w:val="20"/>
          <w:shd w:val="clear" w:color="auto" w:fill="FFFFFF"/>
        </w:rPr>
        <w:t>(1), 265-289.</w:t>
      </w:r>
    </w:p>
    <w:p w14:paraId="020E41A9"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Kar, S., Anshuman, J., &amp; Kundu, T. (2024). Climate resilient agriculture and sustainable practices. </w:t>
      </w:r>
      <w:r w:rsidRPr="00542C74">
        <w:rPr>
          <w:rFonts w:ascii="Arial" w:hAnsi="Arial" w:cs="Arial"/>
          <w:i/>
          <w:iCs/>
          <w:color w:val="222222"/>
          <w:sz w:val="20"/>
          <w:szCs w:val="20"/>
          <w:shd w:val="clear" w:color="auto" w:fill="FFFFFF"/>
        </w:rPr>
        <w:t>Jyotishree Anshuman</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59</w:t>
      </w:r>
      <w:r w:rsidRPr="00542C74">
        <w:rPr>
          <w:rFonts w:ascii="Arial" w:hAnsi="Arial" w:cs="Arial"/>
          <w:color w:val="222222"/>
          <w:sz w:val="20"/>
          <w:szCs w:val="20"/>
          <w:shd w:val="clear" w:color="auto" w:fill="FFFFFF"/>
        </w:rPr>
        <w:t>.</w:t>
      </w:r>
    </w:p>
    <w:p w14:paraId="77F9A5BE"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Kolambage, S. H., Gajanayake, P., Kumarasingha, U., Manathunga, D., Dassanayake, R. S., Jayasinghe, R., ... &amp; Wijethunga, A. (2024). Nitrogen-enriched liquid organic fertilizers (LOFs) production for sustainable agriculture: A review. </w:t>
      </w:r>
      <w:r w:rsidRPr="00542C74">
        <w:rPr>
          <w:rFonts w:ascii="Arial" w:hAnsi="Arial" w:cs="Arial"/>
          <w:i/>
          <w:iCs/>
          <w:color w:val="222222"/>
          <w:sz w:val="20"/>
          <w:szCs w:val="20"/>
          <w:shd w:val="clear" w:color="auto" w:fill="FFFFFF"/>
        </w:rPr>
        <w:t>International Journal of Recycling of Organic Waste in Agriculture</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13</w:t>
      </w:r>
      <w:r w:rsidRPr="00542C74">
        <w:rPr>
          <w:rFonts w:ascii="Arial" w:hAnsi="Arial" w:cs="Arial"/>
          <w:color w:val="222222"/>
          <w:sz w:val="20"/>
          <w:szCs w:val="20"/>
          <w:shd w:val="clear" w:color="auto" w:fill="FFFFFF"/>
        </w:rPr>
        <w:t>(4), 1-14.</w:t>
      </w:r>
    </w:p>
    <w:p w14:paraId="3F585074"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Kumari, S., Kumar, R., Chouhan, S., &amp; Chaudhary, P. L. (2023). Influence of various organic amendments on growth and yield attributes of mung bean (</w:t>
      </w:r>
      <w:r w:rsidRPr="00542C74">
        <w:rPr>
          <w:rFonts w:ascii="Arial" w:hAnsi="Arial" w:cs="Arial"/>
          <w:i/>
          <w:color w:val="222222"/>
          <w:sz w:val="20"/>
          <w:szCs w:val="20"/>
          <w:shd w:val="clear" w:color="auto" w:fill="FFFFFF"/>
        </w:rPr>
        <w:t>Vigna radiata</w:t>
      </w:r>
      <w:r w:rsidRPr="00542C74">
        <w:rPr>
          <w:rFonts w:ascii="Arial" w:hAnsi="Arial" w:cs="Arial"/>
          <w:color w:val="222222"/>
          <w:sz w:val="20"/>
          <w:szCs w:val="20"/>
          <w:shd w:val="clear" w:color="auto" w:fill="FFFFFF"/>
        </w:rPr>
        <w:t xml:space="preserve"> L.). </w:t>
      </w:r>
      <w:r w:rsidRPr="00542C74">
        <w:rPr>
          <w:rFonts w:ascii="Arial" w:hAnsi="Arial" w:cs="Arial"/>
          <w:i/>
          <w:iCs/>
          <w:color w:val="222222"/>
          <w:sz w:val="20"/>
          <w:szCs w:val="20"/>
          <w:shd w:val="clear" w:color="auto" w:fill="FFFFFF"/>
        </w:rPr>
        <w:t>International Journal of Plant &amp; Soil Science</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35</w:t>
      </w:r>
      <w:r w:rsidRPr="00542C74">
        <w:rPr>
          <w:rFonts w:ascii="Arial" w:hAnsi="Arial" w:cs="Arial"/>
          <w:color w:val="222222"/>
          <w:sz w:val="20"/>
          <w:szCs w:val="20"/>
          <w:shd w:val="clear" w:color="auto" w:fill="FFFFFF"/>
        </w:rPr>
        <w:t>(12), 124-30.</w:t>
      </w:r>
    </w:p>
    <w:p w14:paraId="3A13483C"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Ma, B., Karimi, M. S., Mohammed, K. S., Shahzadi, I., &amp; Dai, J. (2024). Nexus between climate change, agricultural output, fertilizer use, agriculture soil emissions: Novel implications in the context of environmental management. </w:t>
      </w:r>
      <w:r w:rsidRPr="00542C74">
        <w:rPr>
          <w:rFonts w:ascii="Arial" w:hAnsi="Arial" w:cs="Arial"/>
          <w:i/>
          <w:iCs/>
          <w:color w:val="222222"/>
          <w:sz w:val="20"/>
          <w:szCs w:val="20"/>
          <w:shd w:val="clear" w:color="auto" w:fill="FFFFFF"/>
        </w:rPr>
        <w:t>Journal of Cleaner Production</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450</w:t>
      </w:r>
      <w:r w:rsidRPr="00542C74">
        <w:rPr>
          <w:rFonts w:ascii="Arial" w:hAnsi="Arial" w:cs="Arial"/>
          <w:color w:val="222222"/>
          <w:sz w:val="20"/>
          <w:szCs w:val="20"/>
          <w:shd w:val="clear" w:color="auto" w:fill="FFFFFF"/>
        </w:rPr>
        <w:t>, 141801.</w:t>
      </w:r>
    </w:p>
    <w:p w14:paraId="10C6F453"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Mikhaylov, A., Moiseev, N., Aleshin, K., &amp; Burkhardt, T. (2020). Global climate change and greenhouse effect. </w:t>
      </w:r>
      <w:r w:rsidRPr="00542C74">
        <w:rPr>
          <w:rFonts w:ascii="Arial" w:hAnsi="Arial" w:cs="Arial"/>
          <w:i/>
          <w:iCs/>
          <w:color w:val="222222"/>
          <w:sz w:val="20"/>
          <w:szCs w:val="20"/>
          <w:shd w:val="clear" w:color="auto" w:fill="FFFFFF"/>
        </w:rPr>
        <w:t>Entrepreneurship and Sustainability Issues</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7</w:t>
      </w:r>
      <w:r w:rsidRPr="00542C74">
        <w:rPr>
          <w:rFonts w:ascii="Arial" w:hAnsi="Arial" w:cs="Arial"/>
          <w:color w:val="222222"/>
          <w:sz w:val="20"/>
          <w:szCs w:val="20"/>
          <w:shd w:val="clear" w:color="auto" w:fill="FFFFFF"/>
        </w:rPr>
        <w:t>(4), 2897.</w:t>
      </w:r>
    </w:p>
    <w:p w14:paraId="3B97D56A"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Mir, I. R., Rather, B. A., Masood, A., Majid, A., Sehar, Z., Anjum, N. A., ... &amp; Khan, N. A. (2021). Soil sulfur sources differentially enhance cadmium tolerance in Indian mustard (</w:t>
      </w:r>
      <w:r w:rsidRPr="00542C74">
        <w:rPr>
          <w:rFonts w:ascii="Arial" w:hAnsi="Arial" w:cs="Arial"/>
          <w:i/>
          <w:color w:val="222222"/>
          <w:sz w:val="20"/>
          <w:szCs w:val="20"/>
          <w:shd w:val="clear" w:color="auto" w:fill="FFFFFF"/>
        </w:rPr>
        <w:t xml:space="preserve">Brassica juncea </w:t>
      </w:r>
      <w:r w:rsidRPr="00542C74">
        <w:rPr>
          <w:rFonts w:ascii="Arial" w:hAnsi="Arial" w:cs="Arial"/>
          <w:color w:val="222222"/>
          <w:sz w:val="20"/>
          <w:szCs w:val="20"/>
          <w:shd w:val="clear" w:color="auto" w:fill="FFFFFF"/>
        </w:rPr>
        <w:t>L.). </w:t>
      </w:r>
      <w:r w:rsidRPr="00542C74">
        <w:rPr>
          <w:rFonts w:ascii="Arial" w:hAnsi="Arial" w:cs="Arial"/>
          <w:i/>
          <w:iCs/>
          <w:color w:val="222222"/>
          <w:sz w:val="20"/>
          <w:szCs w:val="20"/>
          <w:shd w:val="clear" w:color="auto" w:fill="FFFFFF"/>
        </w:rPr>
        <w:t>Soil Systems</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5</w:t>
      </w:r>
      <w:r w:rsidRPr="00542C74">
        <w:rPr>
          <w:rFonts w:ascii="Arial" w:hAnsi="Arial" w:cs="Arial"/>
          <w:color w:val="222222"/>
          <w:sz w:val="20"/>
          <w:szCs w:val="20"/>
          <w:shd w:val="clear" w:color="auto" w:fill="FFFFFF"/>
        </w:rPr>
        <w:t>(2), 29.</w:t>
      </w:r>
    </w:p>
    <w:p w14:paraId="4AE3255D"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Motasim, A. M., Samsuri, A. W., Nabayi, A., Akter, A., Haque, M. A., Abdul Sukor, A. S., &amp; Adibah, A. M. (2024). Urea application in soil: Processes, losses, and alternatives—A review. </w:t>
      </w:r>
      <w:r w:rsidRPr="00542C74">
        <w:rPr>
          <w:rFonts w:ascii="Arial" w:hAnsi="Arial" w:cs="Arial"/>
          <w:i/>
          <w:iCs/>
          <w:color w:val="222222"/>
          <w:sz w:val="20"/>
          <w:szCs w:val="20"/>
          <w:shd w:val="clear" w:color="auto" w:fill="FFFFFF"/>
        </w:rPr>
        <w:t>Discover Agriculture</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2</w:t>
      </w:r>
      <w:r w:rsidRPr="00542C74">
        <w:rPr>
          <w:rFonts w:ascii="Arial" w:hAnsi="Arial" w:cs="Arial"/>
          <w:color w:val="222222"/>
          <w:sz w:val="20"/>
          <w:szCs w:val="20"/>
          <w:shd w:val="clear" w:color="auto" w:fill="FFFFFF"/>
        </w:rPr>
        <w:t>(1), 42.</w:t>
      </w:r>
    </w:p>
    <w:p w14:paraId="071D432B"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Nadarajan, S., &amp; Sukumaran, S. (2021). Chemistry and toxicology behind chemical fertilizers. In </w:t>
      </w:r>
      <w:r w:rsidRPr="00542C74">
        <w:rPr>
          <w:rFonts w:ascii="Arial" w:hAnsi="Arial" w:cs="Arial"/>
          <w:i/>
          <w:iCs/>
          <w:color w:val="222222"/>
          <w:sz w:val="20"/>
          <w:szCs w:val="20"/>
          <w:shd w:val="clear" w:color="auto" w:fill="FFFFFF"/>
        </w:rPr>
        <w:t>Controlled Release fertilizers for sustainable agriculture</w:t>
      </w:r>
      <w:r w:rsidRPr="00542C74">
        <w:rPr>
          <w:rFonts w:ascii="Arial" w:hAnsi="Arial" w:cs="Arial"/>
          <w:color w:val="222222"/>
          <w:sz w:val="20"/>
          <w:szCs w:val="20"/>
          <w:shd w:val="clear" w:color="auto" w:fill="FFFFFF"/>
        </w:rPr>
        <w:t> (pp. 195-229). Academic press.</w:t>
      </w:r>
    </w:p>
    <w:p w14:paraId="08A68F0F"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Nieder, R., Benbi, D. K., Reichl, F. X., Nieder, R., Benbi, D. K., &amp; Reichl, F. X. (2018). Macro-and secondary elements and their role in human health. </w:t>
      </w:r>
      <w:r w:rsidRPr="00542C74">
        <w:rPr>
          <w:rFonts w:ascii="Arial" w:hAnsi="Arial" w:cs="Arial"/>
          <w:i/>
          <w:iCs/>
          <w:color w:val="222222"/>
          <w:sz w:val="20"/>
          <w:szCs w:val="20"/>
          <w:shd w:val="clear" w:color="auto" w:fill="FFFFFF"/>
        </w:rPr>
        <w:t>Soil components and human health</w:t>
      </w:r>
      <w:r w:rsidRPr="00542C74">
        <w:rPr>
          <w:rFonts w:ascii="Arial" w:hAnsi="Arial" w:cs="Arial"/>
          <w:color w:val="222222"/>
          <w:sz w:val="20"/>
          <w:szCs w:val="20"/>
          <w:shd w:val="clear" w:color="auto" w:fill="FFFFFF"/>
        </w:rPr>
        <w:t>, 257-315.</w:t>
      </w:r>
    </w:p>
    <w:p w14:paraId="78CADC08"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Panhwar, Q. A., Ali, A., Naher, U. A., &amp; Memon, M. Y. (2019). Fertilizer management strategies for enhancing nutrient use efficiency and sustainable wheat production. In </w:t>
      </w:r>
      <w:r w:rsidRPr="00542C74">
        <w:rPr>
          <w:rFonts w:ascii="Arial" w:hAnsi="Arial" w:cs="Arial"/>
          <w:i/>
          <w:iCs/>
          <w:color w:val="222222"/>
          <w:sz w:val="20"/>
          <w:szCs w:val="20"/>
          <w:shd w:val="clear" w:color="auto" w:fill="FFFFFF"/>
        </w:rPr>
        <w:t>Organic farming</w:t>
      </w:r>
      <w:r w:rsidRPr="00542C74">
        <w:rPr>
          <w:rFonts w:ascii="Arial" w:hAnsi="Arial" w:cs="Arial"/>
          <w:color w:val="222222"/>
          <w:sz w:val="20"/>
          <w:szCs w:val="20"/>
          <w:shd w:val="clear" w:color="auto" w:fill="FFFFFF"/>
        </w:rPr>
        <w:t> (pp. 17-39). Woodhead Publishing.</w:t>
      </w:r>
    </w:p>
    <w:p w14:paraId="196817D8"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lastRenderedPageBreak/>
        <w:t>Pathak, H., Jain, N., Bhatia, A., Kumar, A., &amp; Chatterjee, D. (2016). Improved nitrogen management: a key to climate change adaptation and mitigation. </w:t>
      </w:r>
      <w:r w:rsidRPr="00542C74">
        <w:rPr>
          <w:rFonts w:ascii="Arial" w:hAnsi="Arial" w:cs="Arial"/>
          <w:i/>
          <w:iCs/>
          <w:color w:val="222222"/>
          <w:sz w:val="20"/>
          <w:szCs w:val="20"/>
          <w:shd w:val="clear" w:color="auto" w:fill="FFFFFF"/>
        </w:rPr>
        <w:t>Indian J Fertil</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12</w:t>
      </w:r>
      <w:r w:rsidRPr="00542C74">
        <w:rPr>
          <w:rFonts w:ascii="Arial" w:hAnsi="Arial" w:cs="Arial"/>
          <w:color w:val="222222"/>
          <w:sz w:val="20"/>
          <w:szCs w:val="20"/>
          <w:shd w:val="clear" w:color="auto" w:fill="FFFFFF"/>
        </w:rPr>
        <w:t>(11), 151-162.</w:t>
      </w:r>
    </w:p>
    <w:p w14:paraId="4967738A"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Prasad, S., Yadav, K. K., Kumar, S., Pandita, P., Bhutto, J. K., Alreshidi, M. A., ... &amp; Cabral-Pinto, M. M. (2024). Review on biofuel production: Sustainable development scenario, environment, and climate change perspectives− A sustainable approach. </w:t>
      </w:r>
      <w:r w:rsidRPr="00542C74">
        <w:rPr>
          <w:rFonts w:ascii="Arial" w:hAnsi="Arial" w:cs="Arial"/>
          <w:i/>
          <w:iCs/>
          <w:color w:val="222222"/>
          <w:sz w:val="20"/>
          <w:szCs w:val="20"/>
          <w:shd w:val="clear" w:color="auto" w:fill="FFFFFF"/>
        </w:rPr>
        <w:t>Journal of Environmental Chemical Engineering</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12</w:t>
      </w:r>
      <w:r w:rsidRPr="00542C74">
        <w:rPr>
          <w:rFonts w:ascii="Arial" w:hAnsi="Arial" w:cs="Arial"/>
          <w:color w:val="222222"/>
          <w:sz w:val="20"/>
          <w:szCs w:val="20"/>
          <w:shd w:val="clear" w:color="auto" w:fill="FFFFFF"/>
        </w:rPr>
        <w:t>(2), 111996.</w:t>
      </w:r>
    </w:p>
    <w:p w14:paraId="20C84635"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Purwanto, B. H., &amp; Alam, S. (2020). Impact of intensive agricultural management on carbon and nitrogen dynamics in the humid tropics. </w:t>
      </w:r>
      <w:r w:rsidRPr="00542C74">
        <w:rPr>
          <w:rFonts w:ascii="Arial" w:hAnsi="Arial" w:cs="Arial"/>
          <w:i/>
          <w:iCs/>
          <w:color w:val="222222"/>
          <w:sz w:val="20"/>
          <w:szCs w:val="20"/>
          <w:shd w:val="clear" w:color="auto" w:fill="FFFFFF"/>
        </w:rPr>
        <w:t>Soil Science and Plant Nutrition</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66</w:t>
      </w:r>
      <w:r w:rsidRPr="00542C74">
        <w:rPr>
          <w:rFonts w:ascii="Arial" w:hAnsi="Arial" w:cs="Arial"/>
          <w:color w:val="222222"/>
          <w:sz w:val="20"/>
          <w:szCs w:val="20"/>
          <w:shd w:val="clear" w:color="auto" w:fill="FFFFFF"/>
        </w:rPr>
        <w:t>(1), 50-59.</w:t>
      </w:r>
    </w:p>
    <w:p w14:paraId="3E3A2743"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Rajendran, D. S., Venkatraman, S., Rahul, R., Afrrin, M., Karthik, P., &amp; Vaidyanathan, V. K. (2024). Manifesting Sustainability Toward Food Waste into Bioenergy: Biorefinery in a Circular Economic Approach. In </w:t>
      </w:r>
      <w:r w:rsidRPr="00542C74">
        <w:rPr>
          <w:rFonts w:ascii="Arial" w:hAnsi="Arial" w:cs="Arial"/>
          <w:i/>
          <w:iCs/>
          <w:color w:val="222222"/>
          <w:sz w:val="20"/>
          <w:szCs w:val="20"/>
          <w:shd w:val="clear" w:color="auto" w:fill="FFFFFF"/>
        </w:rPr>
        <w:t>Circular Bioeconomy Perspectives in Sustainable Bioenergy Production</w:t>
      </w:r>
      <w:r w:rsidRPr="00542C74">
        <w:rPr>
          <w:rFonts w:ascii="Arial" w:hAnsi="Arial" w:cs="Arial"/>
          <w:color w:val="222222"/>
          <w:sz w:val="20"/>
          <w:szCs w:val="20"/>
          <w:shd w:val="clear" w:color="auto" w:fill="FFFFFF"/>
        </w:rPr>
        <w:t> (pp. 431-460). Singapore: Springer Nature Singapore.</w:t>
      </w:r>
    </w:p>
    <w:p w14:paraId="5800FE2B"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Rashmi, I., Karthika, K. S., Roy, T., Shinoji, K. C., Kumawat, A., Kala, S., &amp; Pal, R. (2022). Soil Erosion and sediments: a source of contamination and impact on agriculture productivity. In </w:t>
      </w:r>
      <w:r w:rsidRPr="00542C74">
        <w:rPr>
          <w:rFonts w:ascii="Arial" w:hAnsi="Arial" w:cs="Arial"/>
          <w:i/>
          <w:iCs/>
          <w:color w:val="222222"/>
          <w:sz w:val="20"/>
          <w:szCs w:val="20"/>
          <w:shd w:val="clear" w:color="auto" w:fill="FFFFFF"/>
        </w:rPr>
        <w:t>Agrochemicals in Soil and Environment: Impacts and Remediation</w:t>
      </w:r>
      <w:r w:rsidRPr="00542C74">
        <w:rPr>
          <w:rFonts w:ascii="Arial" w:hAnsi="Arial" w:cs="Arial"/>
          <w:color w:val="222222"/>
          <w:sz w:val="20"/>
          <w:szCs w:val="20"/>
          <w:shd w:val="clear" w:color="auto" w:fill="FFFFFF"/>
        </w:rPr>
        <w:t> (pp. 313-345). Singapore: Springer Nature Singapore.</w:t>
      </w:r>
    </w:p>
    <w:p w14:paraId="3923A6BE"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Reddy, A. A. (2019). The soil health card Scheme in India: Lessons learned and challenges for replication in other developing countries. </w:t>
      </w:r>
      <w:r w:rsidRPr="00542C74">
        <w:rPr>
          <w:rFonts w:ascii="Arial" w:hAnsi="Arial" w:cs="Arial"/>
          <w:i/>
          <w:iCs/>
          <w:color w:val="222222"/>
          <w:sz w:val="20"/>
          <w:szCs w:val="20"/>
          <w:shd w:val="clear" w:color="auto" w:fill="FFFFFF"/>
        </w:rPr>
        <w:t>Journal of Natural Resources Policy Research</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9</w:t>
      </w:r>
      <w:r w:rsidRPr="00542C74">
        <w:rPr>
          <w:rFonts w:ascii="Arial" w:hAnsi="Arial" w:cs="Arial"/>
          <w:color w:val="222222"/>
          <w:sz w:val="20"/>
          <w:szCs w:val="20"/>
          <w:shd w:val="clear" w:color="auto" w:fill="FFFFFF"/>
        </w:rPr>
        <w:t>(2), 124-156.</w:t>
      </w:r>
    </w:p>
    <w:p w14:paraId="27C088D0"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Rehman, A., Ma, H., Irfan, M., &amp; Ahmad, M. (2020). Does carbon dioxide, methane, nitrous oxide, and GHG emissions influence the agriculture? Evidence from China. </w:t>
      </w:r>
      <w:r w:rsidRPr="00542C74">
        <w:rPr>
          <w:rFonts w:ascii="Arial" w:hAnsi="Arial" w:cs="Arial"/>
          <w:i/>
          <w:iCs/>
          <w:color w:val="222222"/>
          <w:sz w:val="20"/>
          <w:szCs w:val="20"/>
          <w:shd w:val="clear" w:color="auto" w:fill="FFFFFF"/>
        </w:rPr>
        <w:t>Environmental Science and Pollution Research</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27</w:t>
      </w:r>
      <w:r w:rsidRPr="00542C74">
        <w:rPr>
          <w:rFonts w:ascii="Arial" w:hAnsi="Arial" w:cs="Arial"/>
          <w:color w:val="222222"/>
          <w:sz w:val="20"/>
          <w:szCs w:val="20"/>
          <w:shd w:val="clear" w:color="auto" w:fill="FFFFFF"/>
        </w:rPr>
        <w:t>, 28768-28779.</w:t>
      </w:r>
    </w:p>
    <w:p w14:paraId="204D5979" w14:textId="77777777" w:rsidR="00765AC3" w:rsidRPr="00542C74" w:rsidRDefault="00765AC3" w:rsidP="00542C74">
      <w:pPr>
        <w:spacing w:line="240" w:lineRule="auto"/>
        <w:ind w:left="1077" w:hanging="720"/>
        <w:rPr>
          <w:rFonts w:ascii="Arial" w:hAnsi="Arial" w:cs="Arial"/>
          <w:sz w:val="20"/>
          <w:szCs w:val="20"/>
        </w:rPr>
      </w:pPr>
      <w:r w:rsidRPr="00542C74">
        <w:rPr>
          <w:rFonts w:ascii="Arial" w:hAnsi="Arial" w:cs="Arial"/>
          <w:color w:val="222222"/>
          <w:sz w:val="20"/>
          <w:szCs w:val="20"/>
          <w:shd w:val="clear" w:color="auto" w:fill="FFFFFF"/>
        </w:rPr>
        <w:t>Rose, T. J., Wood, R. H., Rose, M. T., &amp; Van Zwieten, L. (2018). A re-evaluation of the agronomic effectiveness of the nitrification inhibitors DCD and DMPP and the urease inhibitor NBPT. </w:t>
      </w:r>
      <w:r w:rsidRPr="00542C74">
        <w:rPr>
          <w:rFonts w:ascii="Arial" w:hAnsi="Arial" w:cs="Arial"/>
          <w:i/>
          <w:iCs/>
          <w:color w:val="222222"/>
          <w:sz w:val="20"/>
          <w:szCs w:val="20"/>
          <w:shd w:val="clear" w:color="auto" w:fill="FFFFFF"/>
        </w:rPr>
        <w:t>Agriculture, Ecosystems &amp; Environment</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252</w:t>
      </w:r>
      <w:r w:rsidRPr="00542C74">
        <w:rPr>
          <w:rFonts w:ascii="Arial" w:hAnsi="Arial" w:cs="Arial"/>
          <w:color w:val="222222"/>
          <w:sz w:val="20"/>
          <w:szCs w:val="20"/>
          <w:shd w:val="clear" w:color="auto" w:fill="FFFFFF"/>
        </w:rPr>
        <w:t>, 69-73.</w:t>
      </w:r>
    </w:p>
    <w:p w14:paraId="526E3C7D" w14:textId="77777777" w:rsidR="00765AC3" w:rsidRPr="00542C74" w:rsidRDefault="00765AC3" w:rsidP="00542C74">
      <w:pPr>
        <w:spacing w:line="240" w:lineRule="auto"/>
        <w:ind w:left="1077" w:hanging="720"/>
        <w:rPr>
          <w:rFonts w:ascii="Arial" w:hAnsi="Arial" w:cs="Arial"/>
          <w:sz w:val="20"/>
          <w:szCs w:val="20"/>
        </w:rPr>
      </w:pPr>
      <w:r w:rsidRPr="00542C74">
        <w:rPr>
          <w:rFonts w:ascii="Arial" w:hAnsi="Arial" w:cs="Arial"/>
          <w:color w:val="222222"/>
          <w:sz w:val="20"/>
          <w:szCs w:val="20"/>
          <w:shd w:val="clear" w:color="auto" w:fill="FFFFFF"/>
        </w:rPr>
        <w:t>Rose, T. J., Wood, R. H., Rose, M. T., &amp; Van Zwieten, L. (2018). A re-evaluation of the agronomic effectiveness of the nitrification inhibitors DCD and DMPP and the urease inhibitor NBPT. </w:t>
      </w:r>
      <w:r w:rsidRPr="00542C74">
        <w:rPr>
          <w:rFonts w:ascii="Arial" w:hAnsi="Arial" w:cs="Arial"/>
          <w:i/>
          <w:iCs/>
          <w:color w:val="222222"/>
          <w:sz w:val="20"/>
          <w:szCs w:val="20"/>
          <w:shd w:val="clear" w:color="auto" w:fill="FFFFFF"/>
        </w:rPr>
        <w:t>Agriculture, Ecosystems &amp; Environment</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252</w:t>
      </w:r>
      <w:r w:rsidRPr="00542C74">
        <w:rPr>
          <w:rFonts w:ascii="Arial" w:hAnsi="Arial" w:cs="Arial"/>
          <w:color w:val="222222"/>
          <w:sz w:val="20"/>
          <w:szCs w:val="20"/>
          <w:shd w:val="clear" w:color="auto" w:fill="FFFFFF"/>
        </w:rPr>
        <w:t>, 69-73.</w:t>
      </w:r>
    </w:p>
    <w:p w14:paraId="6A1376D4"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Saju, S. M., Thavaprakaash, N., &amp; Amutham, G. T. (2019). Chapter-5 Use of Biostimulants in Enhancing Crop Growth. </w:t>
      </w:r>
      <w:r w:rsidRPr="00542C74">
        <w:rPr>
          <w:rFonts w:ascii="Arial" w:hAnsi="Arial" w:cs="Arial"/>
          <w:i/>
          <w:iCs/>
          <w:color w:val="222222"/>
          <w:sz w:val="20"/>
          <w:szCs w:val="20"/>
          <w:shd w:val="clear" w:color="auto" w:fill="FFFFFF"/>
        </w:rPr>
        <w:t>AGRONOMY</w:t>
      </w:r>
      <w:r w:rsidRPr="00542C74">
        <w:rPr>
          <w:rFonts w:ascii="Arial" w:hAnsi="Arial" w:cs="Arial"/>
          <w:color w:val="222222"/>
          <w:sz w:val="20"/>
          <w:szCs w:val="20"/>
          <w:shd w:val="clear" w:color="auto" w:fill="FFFFFF"/>
        </w:rPr>
        <w:t>, 71.</w:t>
      </w:r>
    </w:p>
    <w:p w14:paraId="07C280AE"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Saud, S., Wang, D., &amp; Fahad, S. (2022). Improved nitrogen use efficiency and greenhouse gas emissions in agricultural soils as producers of biological nitrification inhibitors. </w:t>
      </w:r>
      <w:r w:rsidRPr="00542C74">
        <w:rPr>
          <w:rFonts w:ascii="Arial" w:hAnsi="Arial" w:cs="Arial"/>
          <w:i/>
          <w:iCs/>
          <w:color w:val="222222"/>
          <w:sz w:val="20"/>
          <w:szCs w:val="20"/>
          <w:shd w:val="clear" w:color="auto" w:fill="FFFFFF"/>
        </w:rPr>
        <w:t>Frontiers in Plant Science</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13</w:t>
      </w:r>
      <w:r w:rsidRPr="00542C74">
        <w:rPr>
          <w:rFonts w:ascii="Arial" w:hAnsi="Arial" w:cs="Arial"/>
          <w:color w:val="222222"/>
          <w:sz w:val="20"/>
          <w:szCs w:val="20"/>
          <w:shd w:val="clear" w:color="auto" w:fill="FFFFFF"/>
        </w:rPr>
        <w:t>, 854195.</w:t>
      </w:r>
    </w:p>
    <w:p w14:paraId="4BCF48A2"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Sharma, P., Sharma, P., &amp; Thakur, N. (2024). Sustainable farming practices and soil health: A pathway to achieving SDGs and future prospects. </w:t>
      </w:r>
      <w:r w:rsidRPr="00542C74">
        <w:rPr>
          <w:rFonts w:ascii="Arial" w:hAnsi="Arial" w:cs="Arial"/>
          <w:i/>
          <w:iCs/>
          <w:color w:val="222222"/>
          <w:sz w:val="20"/>
          <w:szCs w:val="20"/>
          <w:shd w:val="clear" w:color="auto" w:fill="FFFFFF"/>
        </w:rPr>
        <w:t>Discover Sustainability</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5</w:t>
      </w:r>
      <w:r w:rsidRPr="00542C74">
        <w:rPr>
          <w:rFonts w:ascii="Arial" w:hAnsi="Arial" w:cs="Arial"/>
          <w:color w:val="222222"/>
          <w:sz w:val="20"/>
          <w:szCs w:val="20"/>
          <w:shd w:val="clear" w:color="auto" w:fill="FFFFFF"/>
        </w:rPr>
        <w:t>(1), 250.</w:t>
      </w:r>
    </w:p>
    <w:p w14:paraId="6A225C3F"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Singh, R. B., Paroda, R. S., &amp; Dadlani, M. (2022). Science, technology and innovation. </w:t>
      </w:r>
      <w:r w:rsidRPr="00542C74">
        <w:rPr>
          <w:rFonts w:ascii="Arial" w:hAnsi="Arial" w:cs="Arial"/>
          <w:i/>
          <w:iCs/>
          <w:color w:val="222222"/>
          <w:sz w:val="20"/>
          <w:szCs w:val="20"/>
          <w:shd w:val="clear" w:color="auto" w:fill="FFFFFF"/>
        </w:rPr>
        <w:t>Indian agriculture towards</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2030</w:t>
      </w:r>
      <w:r w:rsidRPr="00542C74">
        <w:rPr>
          <w:rFonts w:ascii="Arial" w:hAnsi="Arial" w:cs="Arial"/>
          <w:color w:val="222222"/>
          <w:sz w:val="20"/>
          <w:szCs w:val="20"/>
          <w:shd w:val="clear" w:color="auto" w:fill="FFFFFF"/>
        </w:rPr>
        <w:t>(821), 51.</w:t>
      </w:r>
    </w:p>
    <w:p w14:paraId="4339BE38"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Tiwari, A. K., &amp; Pal, D. B. (2022). Nutrients contamination and eutrophication in the river ecosystem. In </w:t>
      </w:r>
      <w:r w:rsidRPr="00542C74">
        <w:rPr>
          <w:rFonts w:ascii="Arial" w:hAnsi="Arial" w:cs="Arial"/>
          <w:i/>
          <w:iCs/>
          <w:color w:val="222222"/>
          <w:sz w:val="20"/>
          <w:szCs w:val="20"/>
          <w:shd w:val="clear" w:color="auto" w:fill="FFFFFF"/>
        </w:rPr>
        <w:t>Ecological significance of river ecosystems</w:t>
      </w:r>
      <w:r w:rsidRPr="00542C74">
        <w:rPr>
          <w:rFonts w:ascii="Arial" w:hAnsi="Arial" w:cs="Arial"/>
          <w:color w:val="222222"/>
          <w:sz w:val="20"/>
          <w:szCs w:val="20"/>
          <w:shd w:val="clear" w:color="auto" w:fill="FFFFFF"/>
        </w:rPr>
        <w:t> (pp. 203-216). Elsevier.</w:t>
      </w:r>
    </w:p>
    <w:p w14:paraId="19434250"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Tufail, M. A., Naeem, A., Arif, M. S., Farooq, T. H., Shahzad, S. M., Dar, A. A., ... &amp; Shakoor, A. (2022). Unraveling the efficacy of nitrification inhibitors (DCD and DMPP) in reducing nitrogen gases emissions across agroecosystems: A three-decade global data synthesis (1993–2021). </w:t>
      </w:r>
      <w:r w:rsidRPr="00542C74">
        <w:rPr>
          <w:rFonts w:ascii="Arial" w:hAnsi="Arial" w:cs="Arial"/>
          <w:i/>
          <w:iCs/>
          <w:color w:val="222222"/>
          <w:sz w:val="20"/>
          <w:szCs w:val="20"/>
          <w:shd w:val="clear" w:color="auto" w:fill="FFFFFF"/>
        </w:rPr>
        <w:t>Fuel</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324</w:t>
      </w:r>
      <w:r w:rsidRPr="00542C74">
        <w:rPr>
          <w:rFonts w:ascii="Arial" w:hAnsi="Arial" w:cs="Arial"/>
          <w:color w:val="222222"/>
          <w:sz w:val="20"/>
          <w:szCs w:val="20"/>
          <w:shd w:val="clear" w:color="auto" w:fill="FFFFFF"/>
        </w:rPr>
        <w:t>, 124725.</w:t>
      </w:r>
    </w:p>
    <w:p w14:paraId="4453B3FB"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Venterea, R. T., Burger, M., &amp; Spokas, K. A. (2005). Nitrogen oxide and methane emissions under varying tillage and fertilizer management. </w:t>
      </w:r>
      <w:r w:rsidRPr="00542C74">
        <w:rPr>
          <w:rFonts w:ascii="Arial" w:hAnsi="Arial" w:cs="Arial"/>
          <w:i/>
          <w:iCs/>
          <w:color w:val="222222"/>
          <w:sz w:val="20"/>
          <w:szCs w:val="20"/>
          <w:shd w:val="clear" w:color="auto" w:fill="FFFFFF"/>
        </w:rPr>
        <w:t>Journal of environmental quality</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34</w:t>
      </w:r>
      <w:r w:rsidRPr="00542C74">
        <w:rPr>
          <w:rFonts w:ascii="Arial" w:hAnsi="Arial" w:cs="Arial"/>
          <w:color w:val="222222"/>
          <w:sz w:val="20"/>
          <w:szCs w:val="20"/>
          <w:shd w:val="clear" w:color="auto" w:fill="FFFFFF"/>
        </w:rPr>
        <w:t>(5), 1467-1477.</w:t>
      </w:r>
    </w:p>
    <w:p w14:paraId="5A2C7182"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Verma, B. C., Pramanik, P., &amp; Bhaduri, D. (2019). Organic fertilizers for sustainable soil and environmental management. In </w:t>
      </w:r>
      <w:r w:rsidRPr="00542C74">
        <w:rPr>
          <w:rFonts w:ascii="Arial" w:hAnsi="Arial" w:cs="Arial"/>
          <w:i/>
          <w:iCs/>
          <w:color w:val="222222"/>
          <w:sz w:val="20"/>
          <w:szCs w:val="20"/>
          <w:shd w:val="clear" w:color="auto" w:fill="FFFFFF"/>
        </w:rPr>
        <w:t>Nutrient dynamics for sustainable crop production</w:t>
      </w:r>
      <w:r w:rsidRPr="00542C74">
        <w:rPr>
          <w:rFonts w:ascii="Arial" w:hAnsi="Arial" w:cs="Arial"/>
          <w:color w:val="222222"/>
          <w:sz w:val="20"/>
          <w:szCs w:val="20"/>
          <w:shd w:val="clear" w:color="auto" w:fill="FFFFFF"/>
        </w:rPr>
        <w:t> (pp. 289-313). Singapore: Springer Singapore.</w:t>
      </w:r>
    </w:p>
    <w:p w14:paraId="760B7372"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Vijayan, K. T. V., Deepthi, K. S., &amp; Reshma, C. V. (2024). Exploring the Multifaceted Benefits of Azolla: A Comprehensive Review of an Aquatic Fern’s Biological and Practical Contributions. </w:t>
      </w:r>
      <w:r w:rsidRPr="00542C74">
        <w:rPr>
          <w:rFonts w:ascii="Arial" w:hAnsi="Arial" w:cs="Arial"/>
          <w:i/>
          <w:iCs/>
          <w:color w:val="222222"/>
          <w:sz w:val="20"/>
          <w:szCs w:val="20"/>
          <w:shd w:val="clear" w:color="auto" w:fill="FFFFFF"/>
        </w:rPr>
        <w:t>International Journal of Ecology and Environmental Sciences</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50</w:t>
      </w:r>
      <w:r w:rsidRPr="00542C74">
        <w:rPr>
          <w:rFonts w:ascii="Arial" w:hAnsi="Arial" w:cs="Arial"/>
          <w:color w:val="222222"/>
          <w:sz w:val="20"/>
          <w:szCs w:val="20"/>
          <w:shd w:val="clear" w:color="auto" w:fill="FFFFFF"/>
        </w:rPr>
        <w:t>(5), 661-672.</w:t>
      </w:r>
    </w:p>
    <w:p w14:paraId="3058D9D8"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Wani, K. I., Naeem, M., Castroverde, C. D. M., Kalaji, H. M., Albaqami, M., &amp; Aftab, T. (2021). Molecular mechanisms of nitric oxide (NO) signaling and reactive oxygen species (ROS) homeostasis during abiotic stresses in plants. </w:t>
      </w:r>
      <w:r w:rsidRPr="00542C74">
        <w:rPr>
          <w:rFonts w:ascii="Arial" w:hAnsi="Arial" w:cs="Arial"/>
          <w:i/>
          <w:iCs/>
          <w:color w:val="222222"/>
          <w:sz w:val="20"/>
          <w:szCs w:val="20"/>
          <w:shd w:val="clear" w:color="auto" w:fill="FFFFFF"/>
        </w:rPr>
        <w:t>International Journal of Molecular Sciences</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22</w:t>
      </w:r>
      <w:r w:rsidRPr="00542C74">
        <w:rPr>
          <w:rFonts w:ascii="Arial" w:hAnsi="Arial" w:cs="Arial"/>
          <w:color w:val="222222"/>
          <w:sz w:val="20"/>
          <w:szCs w:val="20"/>
          <w:shd w:val="clear" w:color="auto" w:fill="FFFFFF"/>
        </w:rPr>
        <w:t>(17), 9656.</w:t>
      </w:r>
    </w:p>
    <w:p w14:paraId="5BAA1001"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lastRenderedPageBreak/>
        <w:t>Yadav, M. R., Kumar, R., Parihar, C. M., Yadav, R. K., Jat, S. L., Ram, H., ... &amp; Jat, M. L. (2017). Strategies for improving nitrogen use efficiency: A review. </w:t>
      </w:r>
      <w:r w:rsidRPr="00542C74">
        <w:rPr>
          <w:rFonts w:ascii="Arial" w:hAnsi="Arial" w:cs="Arial"/>
          <w:i/>
          <w:iCs/>
          <w:color w:val="222222"/>
          <w:sz w:val="20"/>
          <w:szCs w:val="20"/>
          <w:shd w:val="clear" w:color="auto" w:fill="FFFFFF"/>
        </w:rPr>
        <w:t>Agricultural Reviews</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38</w:t>
      </w:r>
      <w:r w:rsidRPr="00542C74">
        <w:rPr>
          <w:rFonts w:ascii="Arial" w:hAnsi="Arial" w:cs="Arial"/>
          <w:color w:val="222222"/>
          <w:sz w:val="20"/>
          <w:szCs w:val="20"/>
          <w:shd w:val="clear" w:color="auto" w:fill="FFFFFF"/>
        </w:rPr>
        <w:t>(1), 29-40.</w:t>
      </w:r>
    </w:p>
    <w:p w14:paraId="2634DCB8"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Yahaya, S. M., Mahmud, A. A., Abdullahi, M., &amp; Haruna, A. (2023). Recent advances in the chemistry of nitrogen, phosphorus and potassium as fertilizers in soil: A review. </w:t>
      </w:r>
      <w:r w:rsidRPr="00542C74">
        <w:rPr>
          <w:rFonts w:ascii="Arial" w:hAnsi="Arial" w:cs="Arial"/>
          <w:i/>
          <w:iCs/>
          <w:color w:val="222222"/>
          <w:sz w:val="20"/>
          <w:szCs w:val="20"/>
          <w:shd w:val="clear" w:color="auto" w:fill="FFFFFF"/>
        </w:rPr>
        <w:t>Pedosphere</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33</w:t>
      </w:r>
      <w:r w:rsidRPr="00542C74">
        <w:rPr>
          <w:rFonts w:ascii="Arial" w:hAnsi="Arial" w:cs="Arial"/>
          <w:color w:val="222222"/>
          <w:sz w:val="20"/>
          <w:szCs w:val="20"/>
          <w:shd w:val="clear" w:color="auto" w:fill="FFFFFF"/>
        </w:rPr>
        <w:t>(3), 385-406.</w:t>
      </w:r>
    </w:p>
    <w:p w14:paraId="3A454C7F" w14:textId="74FBB952" w:rsidR="00A3596D" w:rsidRPr="00542C74" w:rsidRDefault="00765AC3" w:rsidP="00542C74">
      <w:pPr>
        <w:spacing w:line="240" w:lineRule="auto"/>
        <w:ind w:left="1077" w:hanging="720"/>
        <w:rPr>
          <w:rFonts w:ascii="Arial" w:hAnsi="Arial" w:cs="Arial"/>
          <w:b/>
          <w:sz w:val="20"/>
          <w:szCs w:val="20"/>
          <w:lang w:val="en-US"/>
        </w:rPr>
      </w:pPr>
      <w:r w:rsidRPr="00542C74">
        <w:rPr>
          <w:rFonts w:ascii="Arial" w:hAnsi="Arial" w:cs="Arial"/>
          <w:color w:val="222222"/>
          <w:sz w:val="20"/>
          <w:szCs w:val="20"/>
          <w:shd w:val="clear" w:color="auto" w:fill="FFFFFF"/>
        </w:rPr>
        <w:t>Zhao, L., Chen, J., Shen, G., Zhou, Y., Zhang, X., Zhou, Y., ... &amp; Ma, J. (2025). Dissimilatory Nitrate Reduction to Ammonia in the natural environment and wastewater treatment facilities: A comprehensive review. </w:t>
      </w:r>
      <w:r w:rsidRPr="00542C74">
        <w:rPr>
          <w:rFonts w:ascii="Arial" w:hAnsi="Arial" w:cs="Arial"/>
          <w:i/>
          <w:iCs/>
          <w:color w:val="222222"/>
          <w:sz w:val="20"/>
          <w:szCs w:val="20"/>
          <w:shd w:val="clear" w:color="auto" w:fill="FFFFFF"/>
        </w:rPr>
        <w:t>Environmental Technology &amp; Innovation</w:t>
      </w:r>
      <w:r w:rsidRPr="00542C74">
        <w:rPr>
          <w:rFonts w:ascii="Arial" w:hAnsi="Arial" w:cs="Arial"/>
          <w:color w:val="222222"/>
          <w:sz w:val="20"/>
          <w:szCs w:val="20"/>
          <w:shd w:val="clear" w:color="auto" w:fill="FFFFFF"/>
        </w:rPr>
        <w:t>, 104011.</w:t>
      </w:r>
    </w:p>
    <w:sectPr w:rsidR="00A3596D" w:rsidRPr="00542C74" w:rsidSect="00C33FA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hor" w:initials="A">
    <w:p w14:paraId="48420784" w14:textId="77777777" w:rsidR="00623AC4" w:rsidRDefault="00623AC4" w:rsidP="00623AC4">
      <w:pPr>
        <w:pStyle w:val="NormalWeb"/>
      </w:pPr>
      <w:r>
        <w:rPr>
          <w:rStyle w:val="CommentReference"/>
        </w:rPr>
        <w:annotationRef/>
      </w:r>
      <w:r>
        <w:t>The abstract presents a clear and data-rich overview of the relationship between nitrogen fertilizers and greenhouse gas emissions, highlighting the significant role of N₂O in global warming and the environmental trade-offs associated with fertilizer use. The topic is highly relevant and timely, with a logical link to sustainable management practices.</w:t>
      </w:r>
    </w:p>
    <w:p w14:paraId="282722D4" w14:textId="77777777" w:rsidR="00623AC4" w:rsidRDefault="00623AC4" w:rsidP="00623AC4">
      <w:pPr>
        <w:pStyle w:val="NormalWeb"/>
      </w:pPr>
      <w:r>
        <w:t xml:space="preserve">However, for a </w:t>
      </w:r>
      <w:r>
        <w:rPr>
          <w:rStyle w:val="Emphasis"/>
        </w:rPr>
        <w:t>comprehensive review</w:t>
      </w:r>
      <w:r>
        <w:t>, the abstract could be strengthened in several areas:</w:t>
      </w:r>
    </w:p>
    <w:p w14:paraId="006FEA9F" w14:textId="77777777" w:rsidR="00623AC4" w:rsidRDefault="00623AC4" w:rsidP="00623AC4">
      <w:pPr>
        <w:pStyle w:val="NormalWeb"/>
        <w:numPr>
          <w:ilvl w:val="0"/>
          <w:numId w:val="41"/>
        </w:numPr>
      </w:pPr>
      <w:r>
        <w:rPr>
          <w:rStyle w:val="Strong"/>
        </w:rPr>
        <w:t>Clarity of Purpose</w:t>
      </w:r>
      <w:r>
        <w:t xml:space="preserve"> – While the problem is well-described, the specific objective of the review is not explicitly stated. Adding a clear purpose statement would guide the reader on the scope and focus of the article.</w:t>
      </w:r>
    </w:p>
    <w:p w14:paraId="608893CD" w14:textId="77777777" w:rsidR="00623AC4" w:rsidRDefault="00623AC4" w:rsidP="00623AC4">
      <w:pPr>
        <w:pStyle w:val="NormalWeb"/>
        <w:numPr>
          <w:ilvl w:val="0"/>
          <w:numId w:val="41"/>
        </w:numPr>
      </w:pPr>
      <w:r>
        <w:rPr>
          <w:rStyle w:val="Strong"/>
        </w:rPr>
        <w:t>Narrative Flow</w:t>
      </w:r>
      <w:r>
        <w:t xml:space="preserve"> – The current structure moves quickly into technical details and statistics. A more progressive flow from the general climate–agriculture nexus to the specific issue of nitrogen fertilizers would improve readability.</w:t>
      </w:r>
    </w:p>
    <w:p w14:paraId="729B0898" w14:textId="77777777" w:rsidR="00623AC4" w:rsidRDefault="00623AC4" w:rsidP="00623AC4">
      <w:pPr>
        <w:pStyle w:val="NormalWeb"/>
        <w:numPr>
          <w:ilvl w:val="0"/>
          <w:numId w:val="41"/>
        </w:numPr>
      </w:pPr>
      <w:r>
        <w:rPr>
          <w:rStyle w:val="Strong"/>
        </w:rPr>
        <w:t>Balance Between Problem and Solutions</w:t>
      </w:r>
      <w:r>
        <w:t xml:space="preserve"> – The mitigation strategies are mentioned briefly at the end. Given that the title promises a comprehensive review, the abstract should allocate more space to summarizing key sustainable practices, perhaps with an indication of their relative effectiveness.</w:t>
      </w:r>
    </w:p>
    <w:p w14:paraId="40A5B4D1" w14:textId="77777777" w:rsidR="00623AC4" w:rsidRDefault="00623AC4" w:rsidP="00623AC4">
      <w:pPr>
        <w:pStyle w:val="NormalWeb"/>
        <w:numPr>
          <w:ilvl w:val="0"/>
          <w:numId w:val="41"/>
        </w:numPr>
      </w:pPr>
      <w:r>
        <w:rPr>
          <w:rStyle w:val="Strong"/>
        </w:rPr>
        <w:t>Numerical Consistency</w:t>
      </w:r>
      <w:r>
        <w:t xml:space="preserve"> – The figure “8.3% of farm-gate emissions” requires clarification (whether it refers to total agricultural or total anthropogenic GHG emissions). Likewise, the projection of “8–9 Gt CO₂-eq/year by 2050” would benefit from a source reference for credibility.</w:t>
      </w:r>
    </w:p>
    <w:p w14:paraId="30168AAC" w14:textId="77777777" w:rsidR="00623AC4" w:rsidRDefault="00623AC4" w:rsidP="00623AC4">
      <w:pPr>
        <w:pStyle w:val="NormalWeb"/>
        <w:numPr>
          <w:ilvl w:val="0"/>
          <w:numId w:val="41"/>
        </w:numPr>
      </w:pPr>
      <w:r>
        <w:rPr>
          <w:rStyle w:val="Strong"/>
        </w:rPr>
        <w:t>Keywords Precision</w:t>
      </w:r>
      <w:r>
        <w:t xml:space="preserve"> – Keywords could be refined to include more specific terms such as </w:t>
      </w:r>
      <w:r>
        <w:rPr>
          <w:rStyle w:val="Emphasis"/>
        </w:rPr>
        <w:t>synthetic fertilizers</w:t>
      </w:r>
      <w:r>
        <w:t xml:space="preserve">, </w:t>
      </w:r>
      <w:r>
        <w:rPr>
          <w:rStyle w:val="Emphasis"/>
        </w:rPr>
        <w:t>nitrous oxide emissions</w:t>
      </w:r>
      <w:r>
        <w:t xml:space="preserve">, </w:t>
      </w:r>
      <w:r>
        <w:rPr>
          <w:rStyle w:val="Emphasis"/>
        </w:rPr>
        <w:t>precision agriculture</w:t>
      </w:r>
      <w:r>
        <w:t xml:space="preserve">, or </w:t>
      </w:r>
      <w:r>
        <w:rPr>
          <w:rStyle w:val="Emphasis"/>
        </w:rPr>
        <w:t>sustainable fertilizer management</w:t>
      </w:r>
      <w:r>
        <w:t xml:space="preserve"> to improve discoverability in academic databases.</w:t>
      </w:r>
    </w:p>
    <w:p w14:paraId="6BD2ACAB" w14:textId="77777777" w:rsidR="00623AC4" w:rsidRDefault="00623AC4" w:rsidP="00623AC4">
      <w:pPr>
        <w:pStyle w:val="NormalWeb"/>
      </w:pPr>
      <w:r>
        <w:t>Overall, the abstract is strong in relevance and urgency but would benefit from improved clarity, structural refinement, and a more balanced emphasis between challenges and solutions to align with the expectations of a comprehensive review.</w:t>
      </w:r>
    </w:p>
    <w:p w14:paraId="1F6A551A" w14:textId="4D4F975E" w:rsidR="00623AC4" w:rsidRDefault="00623AC4">
      <w:pPr>
        <w:pStyle w:val="CommentText"/>
      </w:pPr>
    </w:p>
  </w:comment>
  <w:comment w:id="1" w:author="Author" w:initials="A">
    <w:p w14:paraId="19A6BAA8" w14:textId="630F4886" w:rsidR="00F813A0" w:rsidRDefault="00F813A0">
      <w:pPr>
        <w:pStyle w:val="CommentText"/>
      </w:pPr>
      <w:r>
        <w:rPr>
          <w:rStyle w:val="CommentReference"/>
        </w:rPr>
        <w:annotationRef/>
      </w:r>
      <w:r w:rsidRPr="00F813A0">
        <w:t>Is it in accordance with the template or journal provisions that this is the structure (sub-heading) in the introduction?</w:t>
      </w:r>
    </w:p>
  </w:comment>
  <w:comment w:id="2" w:author="Author" w:initials="A">
    <w:p w14:paraId="03EDC13D" w14:textId="3ADA026F" w:rsidR="00694905" w:rsidRDefault="00694905">
      <w:pPr>
        <w:pStyle w:val="CommentText"/>
      </w:pPr>
      <w:r>
        <w:rPr>
          <w:rStyle w:val="CommentReference"/>
        </w:rPr>
        <w:annotationRef/>
      </w:r>
      <w:r w:rsidRPr="00694905">
        <w:t>There should be an explanation for this picture</w:t>
      </w:r>
    </w:p>
  </w:comment>
  <w:comment w:id="3" w:author="Author" w:initials="A">
    <w:p w14:paraId="752D51EF" w14:textId="45C01FB8" w:rsidR="009E0D82" w:rsidRDefault="009E0D82">
      <w:pPr>
        <w:pStyle w:val="CommentText"/>
      </w:pPr>
      <w:r>
        <w:rPr>
          <w:rStyle w:val="CommentReference"/>
        </w:rPr>
        <w:annotationRef/>
      </w:r>
      <w:r w:rsidRPr="009E0D82">
        <w:t>There should be an explanation for this picture</w:t>
      </w:r>
    </w:p>
  </w:comment>
  <w:comment w:id="4" w:author="Author" w:initials="A">
    <w:p w14:paraId="61589153" w14:textId="03F0A241" w:rsidR="001E7B35" w:rsidRDefault="001E7B35">
      <w:pPr>
        <w:pStyle w:val="CommentText"/>
      </w:pPr>
      <w:r>
        <w:rPr>
          <w:rStyle w:val="CommentReference"/>
        </w:rPr>
        <w:annotationRef/>
      </w:r>
      <w:r w:rsidRPr="001E7B35">
        <w:t>Readers will have difficulty understanding this image, please provide a review.</w:t>
      </w:r>
    </w:p>
  </w:comment>
  <w:comment w:id="5" w:author="Author" w:initials="A">
    <w:p w14:paraId="627C9AED" w14:textId="3BE72A38" w:rsidR="00730011" w:rsidRDefault="00730011">
      <w:pPr>
        <w:pStyle w:val="CommentText"/>
      </w:pPr>
      <w:r>
        <w:rPr>
          <w:rStyle w:val="CommentReference"/>
        </w:rPr>
        <w:annotationRef/>
      </w:r>
      <w:r w:rsidRPr="00730011">
        <w:t>Sources and narrative</w:t>
      </w:r>
    </w:p>
  </w:comment>
  <w:comment w:id="6" w:author="Author" w:initials="A">
    <w:p w14:paraId="4A07B61F" w14:textId="7DD1A7AB" w:rsidR="00FA5F43" w:rsidRDefault="00FA5F43">
      <w:pPr>
        <w:pStyle w:val="CommentText"/>
      </w:pPr>
      <w:r>
        <w:rPr>
          <w:rStyle w:val="CommentReference"/>
        </w:rPr>
        <w:annotationRef/>
      </w:r>
      <w:r w:rsidRPr="00FA5F43">
        <w:t>Sources and narrative</w:t>
      </w:r>
    </w:p>
  </w:comment>
  <w:comment w:id="8" w:author="Author" w:initials="A">
    <w:p w14:paraId="05902397" w14:textId="2A40D843" w:rsidR="00FA5F43" w:rsidRDefault="00FA5F43">
      <w:pPr>
        <w:pStyle w:val="CommentText"/>
      </w:pPr>
      <w:r>
        <w:rPr>
          <w:rStyle w:val="CommentReference"/>
        </w:rPr>
        <w:annotationRef/>
      </w:r>
      <w:r w:rsidRPr="00FA5F43">
        <w:t>The table is tilted to keep the sheet vertically consistent.</w:t>
      </w:r>
    </w:p>
  </w:comment>
  <w:comment w:id="9" w:author="Author" w:initials="A">
    <w:p w14:paraId="7BA29F81" w14:textId="7B880E09" w:rsidR="000838FD" w:rsidRDefault="000838FD">
      <w:pPr>
        <w:pStyle w:val="CommentText"/>
      </w:pPr>
      <w:r>
        <w:rPr>
          <w:rStyle w:val="CommentReference"/>
        </w:rPr>
        <w:annotationRef/>
      </w:r>
      <w:r w:rsidRPr="000838FD">
        <w:t>Why should it be written in bold? And pointers are prohibited in journal manuscripts.</w:t>
      </w:r>
    </w:p>
  </w:comment>
  <w:comment w:id="10" w:author="Author" w:initials="A">
    <w:p w14:paraId="4660137D" w14:textId="7449B5BE" w:rsidR="0027725E" w:rsidRDefault="0027725E">
      <w:pPr>
        <w:pStyle w:val="CommentText"/>
      </w:pPr>
      <w:r>
        <w:rPr>
          <w:rStyle w:val="CommentReference"/>
        </w:rPr>
        <w:annotationRef/>
      </w:r>
      <w:r>
        <w:t>Sources?</w:t>
      </w:r>
    </w:p>
  </w:comment>
  <w:comment w:id="11" w:author="Author" w:initials="A">
    <w:p w14:paraId="6C408502" w14:textId="47432058" w:rsidR="0072245B" w:rsidRDefault="0072245B">
      <w:pPr>
        <w:pStyle w:val="CommentText"/>
      </w:pPr>
      <w:r>
        <w:rPr>
          <w:rStyle w:val="CommentReference"/>
        </w:rPr>
        <w:annotationRef/>
      </w:r>
      <w:r w:rsidRPr="0072245B">
        <w:t>Why should it be written in bold? And pointers are prohibited in journal manuscripts.</w:t>
      </w:r>
    </w:p>
  </w:comment>
  <w:comment w:id="12" w:author="Author" w:initials="A">
    <w:p w14:paraId="0CBF3C2E" w14:textId="5D7CAAE1" w:rsidR="007F05FE" w:rsidRDefault="007F05FE">
      <w:pPr>
        <w:pStyle w:val="CommentText"/>
      </w:pPr>
      <w:r>
        <w:rPr>
          <w:rStyle w:val="CommentReference"/>
        </w:rPr>
        <w:annotationRef/>
      </w:r>
      <w:r w:rsidRPr="007F05FE">
        <w:t>Why should it be written in bold?</w:t>
      </w:r>
    </w:p>
  </w:comment>
  <w:comment w:id="13" w:author="Author" w:initials="A">
    <w:p w14:paraId="65A8EB5A" w14:textId="6B93143C" w:rsidR="0013061E" w:rsidRDefault="0013061E">
      <w:pPr>
        <w:pStyle w:val="CommentText"/>
      </w:pPr>
      <w:r>
        <w:rPr>
          <w:rStyle w:val="CommentReference"/>
        </w:rPr>
        <w:annotationRef/>
      </w:r>
      <w:r w:rsidRPr="0013061E">
        <w:t>is this a description/note or a review/narrative?</w:t>
      </w:r>
    </w:p>
  </w:comment>
  <w:comment w:id="15" w:author="Author" w:initials="A">
    <w:p w14:paraId="4801B496" w14:textId="103A9733" w:rsidR="00C449ED" w:rsidRDefault="00C449ED">
      <w:pPr>
        <w:pStyle w:val="CommentText"/>
      </w:pPr>
      <w:r>
        <w:rPr>
          <w:rStyle w:val="CommentReference"/>
        </w:rPr>
        <w:annotationRef/>
      </w:r>
      <w:r w:rsidRPr="00C449ED">
        <w:t>See previous comment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F6A551A" w15:done="0"/>
  <w15:commentEx w15:paraId="19A6BAA8" w15:done="0"/>
  <w15:commentEx w15:paraId="03EDC13D" w15:done="0"/>
  <w15:commentEx w15:paraId="752D51EF" w15:done="0"/>
  <w15:commentEx w15:paraId="61589153" w15:done="0"/>
  <w15:commentEx w15:paraId="627C9AED" w15:done="0"/>
  <w15:commentEx w15:paraId="4A07B61F" w15:done="0"/>
  <w15:commentEx w15:paraId="05902397" w15:done="0"/>
  <w15:commentEx w15:paraId="7BA29F81" w15:done="0"/>
  <w15:commentEx w15:paraId="4660137D" w15:done="0"/>
  <w15:commentEx w15:paraId="6C408502" w15:done="0"/>
  <w15:commentEx w15:paraId="0CBF3C2E" w15:done="0"/>
  <w15:commentEx w15:paraId="65A8EB5A" w15:done="0"/>
  <w15:commentEx w15:paraId="4801B49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AEB3A" w14:textId="77777777" w:rsidR="00F70B5B" w:rsidRDefault="00F70B5B" w:rsidP="00A27733">
      <w:pPr>
        <w:spacing w:line="240" w:lineRule="auto"/>
      </w:pPr>
      <w:r>
        <w:separator/>
      </w:r>
    </w:p>
  </w:endnote>
  <w:endnote w:type="continuationSeparator" w:id="0">
    <w:p w14:paraId="1AD1A4CB" w14:textId="77777777" w:rsidR="00F70B5B" w:rsidRDefault="00F70B5B" w:rsidP="00A277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28F29" w14:textId="77777777" w:rsidR="00437969" w:rsidRDefault="004379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49D89" w14:textId="77777777" w:rsidR="00437969" w:rsidRDefault="004379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7EFD5" w14:textId="77777777" w:rsidR="00437969" w:rsidRDefault="00437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76DA6E" w14:textId="77777777" w:rsidR="00F70B5B" w:rsidRDefault="00F70B5B" w:rsidP="00A27733">
      <w:pPr>
        <w:spacing w:line="240" w:lineRule="auto"/>
      </w:pPr>
      <w:r>
        <w:separator/>
      </w:r>
    </w:p>
  </w:footnote>
  <w:footnote w:type="continuationSeparator" w:id="0">
    <w:p w14:paraId="3C16D347" w14:textId="77777777" w:rsidR="00F70B5B" w:rsidRDefault="00F70B5B" w:rsidP="00A277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5750C" w14:textId="5F3FC615" w:rsidR="00437969" w:rsidRDefault="00F70B5B">
    <w:pPr>
      <w:pStyle w:val="Header"/>
    </w:pPr>
    <w:r>
      <w:rPr>
        <w:noProof/>
      </w:rPr>
      <w:pict w14:anchorId="49F88C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564251"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DF782" w14:textId="2C180D2D" w:rsidR="00437969" w:rsidRDefault="00F70B5B">
    <w:pPr>
      <w:pStyle w:val="Header"/>
    </w:pPr>
    <w:r>
      <w:rPr>
        <w:noProof/>
      </w:rPr>
      <w:pict w14:anchorId="23090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564252"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734DD" w14:textId="09DE3987" w:rsidR="00437969" w:rsidRDefault="00F70B5B">
    <w:pPr>
      <w:pStyle w:val="Header"/>
    </w:pPr>
    <w:r>
      <w:rPr>
        <w:noProof/>
      </w:rPr>
      <w:pict w14:anchorId="6BBE9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564250"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6C16"/>
    <w:multiLevelType w:val="multilevel"/>
    <w:tmpl w:val="B214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251B4"/>
    <w:multiLevelType w:val="multilevel"/>
    <w:tmpl w:val="77FC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A3278"/>
    <w:multiLevelType w:val="multilevel"/>
    <w:tmpl w:val="E938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C2D00"/>
    <w:multiLevelType w:val="multilevel"/>
    <w:tmpl w:val="4CAA7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15D52"/>
    <w:multiLevelType w:val="multilevel"/>
    <w:tmpl w:val="BA04A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638AF"/>
    <w:multiLevelType w:val="multilevel"/>
    <w:tmpl w:val="7D2C8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057042"/>
    <w:multiLevelType w:val="multilevel"/>
    <w:tmpl w:val="E070E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014CE"/>
    <w:multiLevelType w:val="hybridMultilevel"/>
    <w:tmpl w:val="D5BC2B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2D7E8F"/>
    <w:multiLevelType w:val="hybridMultilevel"/>
    <w:tmpl w:val="F6662E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29726F4"/>
    <w:multiLevelType w:val="multilevel"/>
    <w:tmpl w:val="204ED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E90292"/>
    <w:multiLevelType w:val="multilevel"/>
    <w:tmpl w:val="B218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6A579A"/>
    <w:multiLevelType w:val="multilevel"/>
    <w:tmpl w:val="EE5C0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E0208A"/>
    <w:multiLevelType w:val="multilevel"/>
    <w:tmpl w:val="2CF8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D267FB"/>
    <w:multiLevelType w:val="multilevel"/>
    <w:tmpl w:val="8A60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6F08F5"/>
    <w:multiLevelType w:val="multilevel"/>
    <w:tmpl w:val="ADBA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171696"/>
    <w:multiLevelType w:val="multilevel"/>
    <w:tmpl w:val="36B05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023312"/>
    <w:multiLevelType w:val="multilevel"/>
    <w:tmpl w:val="036EE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3301DF"/>
    <w:multiLevelType w:val="hybridMultilevel"/>
    <w:tmpl w:val="027A61EA"/>
    <w:lvl w:ilvl="0" w:tplc="40090011">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5895682"/>
    <w:multiLevelType w:val="hybridMultilevel"/>
    <w:tmpl w:val="A218FBA6"/>
    <w:lvl w:ilvl="0" w:tplc="95FA0694">
      <w:start w:val="3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8506369"/>
    <w:multiLevelType w:val="multilevel"/>
    <w:tmpl w:val="ED068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F537AD"/>
    <w:multiLevelType w:val="multilevel"/>
    <w:tmpl w:val="3982B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CF42E6"/>
    <w:multiLevelType w:val="multilevel"/>
    <w:tmpl w:val="82EC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F05192"/>
    <w:multiLevelType w:val="multilevel"/>
    <w:tmpl w:val="1386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FE755C"/>
    <w:multiLevelType w:val="multilevel"/>
    <w:tmpl w:val="53E0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3822A4"/>
    <w:multiLevelType w:val="multilevel"/>
    <w:tmpl w:val="3A1E1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EB48E4"/>
    <w:multiLevelType w:val="multilevel"/>
    <w:tmpl w:val="2EB2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8F2262"/>
    <w:multiLevelType w:val="multilevel"/>
    <w:tmpl w:val="858E0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F66874"/>
    <w:multiLevelType w:val="multilevel"/>
    <w:tmpl w:val="CEAE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811E90"/>
    <w:multiLevelType w:val="multilevel"/>
    <w:tmpl w:val="6284F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DB5234"/>
    <w:multiLevelType w:val="multilevel"/>
    <w:tmpl w:val="D622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806726"/>
    <w:multiLevelType w:val="multilevel"/>
    <w:tmpl w:val="CFC6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792A74"/>
    <w:multiLevelType w:val="multilevel"/>
    <w:tmpl w:val="A0CE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471213"/>
    <w:multiLevelType w:val="multilevel"/>
    <w:tmpl w:val="08D08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C65587"/>
    <w:multiLevelType w:val="multilevel"/>
    <w:tmpl w:val="D1BA5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4B6415"/>
    <w:multiLevelType w:val="multilevel"/>
    <w:tmpl w:val="73DE8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A43BB0"/>
    <w:multiLevelType w:val="multilevel"/>
    <w:tmpl w:val="04C2E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DF1120"/>
    <w:multiLevelType w:val="multilevel"/>
    <w:tmpl w:val="513C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63625B"/>
    <w:multiLevelType w:val="multilevel"/>
    <w:tmpl w:val="0A3AB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1E62E8"/>
    <w:multiLevelType w:val="multilevel"/>
    <w:tmpl w:val="354275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A65432A"/>
    <w:multiLevelType w:val="multilevel"/>
    <w:tmpl w:val="C10C8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036C8A"/>
    <w:multiLevelType w:val="multilevel"/>
    <w:tmpl w:val="732A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37"/>
  </w:num>
  <w:num w:numId="4">
    <w:abstractNumId w:val="26"/>
  </w:num>
  <w:num w:numId="5">
    <w:abstractNumId w:val="0"/>
  </w:num>
  <w:num w:numId="6">
    <w:abstractNumId w:val="27"/>
  </w:num>
  <w:num w:numId="7">
    <w:abstractNumId w:val="1"/>
  </w:num>
  <w:num w:numId="8">
    <w:abstractNumId w:val="29"/>
  </w:num>
  <w:num w:numId="9">
    <w:abstractNumId w:val="6"/>
  </w:num>
  <w:num w:numId="10">
    <w:abstractNumId w:val="21"/>
  </w:num>
  <w:num w:numId="11">
    <w:abstractNumId w:val="14"/>
  </w:num>
  <w:num w:numId="12">
    <w:abstractNumId w:val="25"/>
  </w:num>
  <w:num w:numId="13">
    <w:abstractNumId w:val="33"/>
  </w:num>
  <w:num w:numId="14">
    <w:abstractNumId w:val="4"/>
  </w:num>
  <w:num w:numId="15">
    <w:abstractNumId w:val="35"/>
  </w:num>
  <w:num w:numId="16">
    <w:abstractNumId w:val="13"/>
  </w:num>
  <w:num w:numId="17">
    <w:abstractNumId w:val="11"/>
  </w:num>
  <w:num w:numId="18">
    <w:abstractNumId w:val="24"/>
  </w:num>
  <w:num w:numId="19">
    <w:abstractNumId w:val="40"/>
  </w:num>
  <w:num w:numId="20">
    <w:abstractNumId w:val="12"/>
  </w:num>
  <w:num w:numId="21">
    <w:abstractNumId w:val="36"/>
  </w:num>
  <w:num w:numId="22">
    <w:abstractNumId w:val="3"/>
  </w:num>
  <w:num w:numId="23">
    <w:abstractNumId w:val="15"/>
  </w:num>
  <w:num w:numId="24">
    <w:abstractNumId w:val="16"/>
  </w:num>
  <w:num w:numId="25">
    <w:abstractNumId w:val="9"/>
  </w:num>
  <w:num w:numId="26">
    <w:abstractNumId w:val="28"/>
  </w:num>
  <w:num w:numId="27">
    <w:abstractNumId w:val="20"/>
  </w:num>
  <w:num w:numId="28">
    <w:abstractNumId w:val="23"/>
  </w:num>
  <w:num w:numId="29">
    <w:abstractNumId w:val="32"/>
  </w:num>
  <w:num w:numId="30">
    <w:abstractNumId w:val="34"/>
  </w:num>
  <w:num w:numId="31">
    <w:abstractNumId w:val="19"/>
  </w:num>
  <w:num w:numId="32">
    <w:abstractNumId w:val="22"/>
  </w:num>
  <w:num w:numId="33">
    <w:abstractNumId w:val="10"/>
  </w:num>
  <w:num w:numId="34">
    <w:abstractNumId w:val="38"/>
  </w:num>
  <w:num w:numId="35">
    <w:abstractNumId w:val="31"/>
  </w:num>
  <w:num w:numId="36">
    <w:abstractNumId w:val="7"/>
  </w:num>
  <w:num w:numId="37">
    <w:abstractNumId w:val="39"/>
  </w:num>
  <w:num w:numId="38">
    <w:abstractNumId w:val="30"/>
  </w:num>
  <w:num w:numId="39">
    <w:abstractNumId w:val="18"/>
  </w:num>
  <w:num w:numId="40">
    <w:abstractNumId w:val="17"/>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removePersonalInformation/>
  <w:removeDateAndTime/>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9B2"/>
    <w:rsid w:val="00043EE9"/>
    <w:rsid w:val="000772AC"/>
    <w:rsid w:val="000808DB"/>
    <w:rsid w:val="000838FD"/>
    <w:rsid w:val="0009611C"/>
    <w:rsid w:val="000C2977"/>
    <w:rsid w:val="00100299"/>
    <w:rsid w:val="00115DE3"/>
    <w:rsid w:val="0013061E"/>
    <w:rsid w:val="001320CA"/>
    <w:rsid w:val="00190B27"/>
    <w:rsid w:val="001B7B19"/>
    <w:rsid w:val="001E42D2"/>
    <w:rsid w:val="001E59A9"/>
    <w:rsid w:val="001E7B35"/>
    <w:rsid w:val="00253C4E"/>
    <w:rsid w:val="00276C46"/>
    <w:rsid w:val="0027725E"/>
    <w:rsid w:val="002B6C0B"/>
    <w:rsid w:val="002E5E4C"/>
    <w:rsid w:val="002F1022"/>
    <w:rsid w:val="003123C2"/>
    <w:rsid w:val="00313401"/>
    <w:rsid w:val="003145E2"/>
    <w:rsid w:val="003A627F"/>
    <w:rsid w:val="003B38C6"/>
    <w:rsid w:val="003B4069"/>
    <w:rsid w:val="003C010C"/>
    <w:rsid w:val="003D476A"/>
    <w:rsid w:val="003D554E"/>
    <w:rsid w:val="00437969"/>
    <w:rsid w:val="0048381C"/>
    <w:rsid w:val="004A7714"/>
    <w:rsid w:val="004D1BFD"/>
    <w:rsid w:val="00515478"/>
    <w:rsid w:val="00542C74"/>
    <w:rsid w:val="005958AF"/>
    <w:rsid w:val="005A6831"/>
    <w:rsid w:val="005C7F12"/>
    <w:rsid w:val="005D72E7"/>
    <w:rsid w:val="005F64B1"/>
    <w:rsid w:val="005F7450"/>
    <w:rsid w:val="006107AC"/>
    <w:rsid w:val="00623AC4"/>
    <w:rsid w:val="00627A41"/>
    <w:rsid w:val="00631928"/>
    <w:rsid w:val="0066372F"/>
    <w:rsid w:val="00694905"/>
    <w:rsid w:val="006B5BB5"/>
    <w:rsid w:val="006D29B2"/>
    <w:rsid w:val="006E3948"/>
    <w:rsid w:val="007165E2"/>
    <w:rsid w:val="0072245B"/>
    <w:rsid w:val="007274FA"/>
    <w:rsid w:val="00730011"/>
    <w:rsid w:val="00734582"/>
    <w:rsid w:val="007409A1"/>
    <w:rsid w:val="00765AC3"/>
    <w:rsid w:val="007853DA"/>
    <w:rsid w:val="007A1B44"/>
    <w:rsid w:val="007B1529"/>
    <w:rsid w:val="007F05FE"/>
    <w:rsid w:val="00800182"/>
    <w:rsid w:val="00811B03"/>
    <w:rsid w:val="00815673"/>
    <w:rsid w:val="00844904"/>
    <w:rsid w:val="00845E63"/>
    <w:rsid w:val="0086169E"/>
    <w:rsid w:val="008A43C7"/>
    <w:rsid w:val="008B042C"/>
    <w:rsid w:val="00904F8F"/>
    <w:rsid w:val="00917A2E"/>
    <w:rsid w:val="009219D4"/>
    <w:rsid w:val="009936AB"/>
    <w:rsid w:val="009D30E7"/>
    <w:rsid w:val="009E0D82"/>
    <w:rsid w:val="009E5BB2"/>
    <w:rsid w:val="00A02306"/>
    <w:rsid w:val="00A27733"/>
    <w:rsid w:val="00A3596D"/>
    <w:rsid w:val="00AA0087"/>
    <w:rsid w:val="00AC1C48"/>
    <w:rsid w:val="00AE2573"/>
    <w:rsid w:val="00AE43FD"/>
    <w:rsid w:val="00B01A67"/>
    <w:rsid w:val="00B43974"/>
    <w:rsid w:val="00B54B23"/>
    <w:rsid w:val="00B760E2"/>
    <w:rsid w:val="00BD0A5F"/>
    <w:rsid w:val="00C05607"/>
    <w:rsid w:val="00C33FA2"/>
    <w:rsid w:val="00C449ED"/>
    <w:rsid w:val="00CA77CB"/>
    <w:rsid w:val="00CB37D3"/>
    <w:rsid w:val="00CD5906"/>
    <w:rsid w:val="00CE71CD"/>
    <w:rsid w:val="00CF244E"/>
    <w:rsid w:val="00D11763"/>
    <w:rsid w:val="00D33640"/>
    <w:rsid w:val="00D517C8"/>
    <w:rsid w:val="00D61593"/>
    <w:rsid w:val="00D64CD1"/>
    <w:rsid w:val="00D71E15"/>
    <w:rsid w:val="00D74B85"/>
    <w:rsid w:val="00D833A9"/>
    <w:rsid w:val="00D86641"/>
    <w:rsid w:val="00D96423"/>
    <w:rsid w:val="00DA0244"/>
    <w:rsid w:val="00DD7F6F"/>
    <w:rsid w:val="00E33FEA"/>
    <w:rsid w:val="00E530F3"/>
    <w:rsid w:val="00E8040C"/>
    <w:rsid w:val="00E81B87"/>
    <w:rsid w:val="00EC7141"/>
    <w:rsid w:val="00ED372E"/>
    <w:rsid w:val="00F37288"/>
    <w:rsid w:val="00F4211D"/>
    <w:rsid w:val="00F541DB"/>
    <w:rsid w:val="00F56175"/>
    <w:rsid w:val="00F70B5B"/>
    <w:rsid w:val="00F813A0"/>
    <w:rsid w:val="00FA5F4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F1224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5F64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F64B1"/>
    <w:pPr>
      <w:spacing w:before="100" w:beforeAutospacing="1" w:after="100" w:afterAutospacing="1" w:line="240" w:lineRule="auto"/>
      <w:ind w:left="0"/>
      <w:jc w:val="left"/>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5F64B1"/>
    <w:pPr>
      <w:spacing w:before="100" w:beforeAutospacing="1" w:after="100" w:afterAutospacing="1" w:line="240" w:lineRule="auto"/>
      <w:ind w:left="0"/>
      <w:jc w:val="left"/>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4B1"/>
    <w:pPr>
      <w:ind w:left="720"/>
      <w:contextualSpacing/>
    </w:pPr>
  </w:style>
  <w:style w:type="character" w:customStyle="1" w:styleId="Heading3Char">
    <w:name w:val="Heading 3 Char"/>
    <w:basedOn w:val="DefaultParagraphFont"/>
    <w:link w:val="Heading3"/>
    <w:uiPriority w:val="9"/>
    <w:rsid w:val="005F64B1"/>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5F64B1"/>
    <w:rPr>
      <w:rFonts w:ascii="Times New Roman" w:eastAsia="Times New Roman" w:hAnsi="Times New Roman" w:cs="Times New Roman"/>
      <w:b/>
      <w:bCs/>
      <w:sz w:val="24"/>
      <w:szCs w:val="24"/>
      <w:lang w:eastAsia="en-IN"/>
    </w:rPr>
  </w:style>
  <w:style w:type="paragraph" w:styleId="NormalWeb">
    <w:name w:val="Normal (Web)"/>
    <w:basedOn w:val="Normal"/>
    <w:uiPriority w:val="99"/>
    <w:unhideWhenUsed/>
    <w:rsid w:val="005F64B1"/>
    <w:pPr>
      <w:spacing w:before="100" w:beforeAutospacing="1" w:after="100" w:afterAutospacing="1" w:line="240" w:lineRule="auto"/>
      <w:ind w:left="0"/>
      <w:jc w:val="left"/>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F64B1"/>
    <w:rPr>
      <w:b/>
      <w:bCs/>
    </w:rPr>
  </w:style>
  <w:style w:type="paragraph" w:styleId="NoSpacing">
    <w:name w:val="No Spacing"/>
    <w:uiPriority w:val="1"/>
    <w:qFormat/>
    <w:rsid w:val="005F64B1"/>
    <w:pPr>
      <w:spacing w:line="240" w:lineRule="auto"/>
    </w:pPr>
  </w:style>
  <w:style w:type="character" w:customStyle="1" w:styleId="Heading2Char">
    <w:name w:val="Heading 2 Char"/>
    <w:basedOn w:val="DefaultParagraphFont"/>
    <w:link w:val="Heading2"/>
    <w:uiPriority w:val="9"/>
    <w:rsid w:val="005F64B1"/>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3123C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123C2"/>
    <w:rPr>
      <w:i/>
      <w:iCs/>
    </w:rPr>
  </w:style>
  <w:style w:type="paragraph" w:styleId="Header">
    <w:name w:val="header"/>
    <w:basedOn w:val="Normal"/>
    <w:link w:val="HeaderChar"/>
    <w:uiPriority w:val="99"/>
    <w:unhideWhenUsed/>
    <w:rsid w:val="00A27733"/>
    <w:pPr>
      <w:tabs>
        <w:tab w:val="center" w:pos="4513"/>
        <w:tab w:val="right" w:pos="9026"/>
      </w:tabs>
      <w:spacing w:line="240" w:lineRule="auto"/>
    </w:pPr>
  </w:style>
  <w:style w:type="character" w:customStyle="1" w:styleId="HeaderChar">
    <w:name w:val="Header Char"/>
    <w:basedOn w:val="DefaultParagraphFont"/>
    <w:link w:val="Header"/>
    <w:uiPriority w:val="99"/>
    <w:rsid w:val="00A27733"/>
  </w:style>
  <w:style w:type="paragraph" w:styleId="Footer">
    <w:name w:val="footer"/>
    <w:basedOn w:val="Normal"/>
    <w:link w:val="FooterChar"/>
    <w:uiPriority w:val="99"/>
    <w:unhideWhenUsed/>
    <w:rsid w:val="00A27733"/>
    <w:pPr>
      <w:tabs>
        <w:tab w:val="center" w:pos="4513"/>
        <w:tab w:val="right" w:pos="9026"/>
      </w:tabs>
      <w:spacing w:line="240" w:lineRule="auto"/>
    </w:pPr>
  </w:style>
  <w:style w:type="character" w:customStyle="1" w:styleId="FooterChar">
    <w:name w:val="Footer Char"/>
    <w:basedOn w:val="DefaultParagraphFont"/>
    <w:link w:val="Footer"/>
    <w:uiPriority w:val="99"/>
    <w:rsid w:val="00A27733"/>
  </w:style>
  <w:style w:type="character" w:styleId="Hyperlink">
    <w:name w:val="Hyperlink"/>
    <w:basedOn w:val="DefaultParagraphFont"/>
    <w:uiPriority w:val="99"/>
    <w:unhideWhenUsed/>
    <w:rsid w:val="00542C74"/>
    <w:rPr>
      <w:color w:val="0563C1" w:themeColor="hyperlink"/>
      <w:u w:val="single"/>
    </w:rPr>
  </w:style>
  <w:style w:type="character" w:customStyle="1" w:styleId="UnresolvedMention">
    <w:name w:val="Unresolved Mention"/>
    <w:basedOn w:val="DefaultParagraphFont"/>
    <w:uiPriority w:val="99"/>
    <w:semiHidden/>
    <w:unhideWhenUsed/>
    <w:rsid w:val="00F541DB"/>
    <w:rPr>
      <w:color w:val="605E5C"/>
      <w:shd w:val="clear" w:color="auto" w:fill="E1DFDD"/>
    </w:rPr>
  </w:style>
  <w:style w:type="character" w:styleId="CommentReference">
    <w:name w:val="annotation reference"/>
    <w:basedOn w:val="DefaultParagraphFont"/>
    <w:uiPriority w:val="99"/>
    <w:semiHidden/>
    <w:unhideWhenUsed/>
    <w:rsid w:val="00623AC4"/>
    <w:rPr>
      <w:sz w:val="16"/>
      <w:szCs w:val="16"/>
    </w:rPr>
  </w:style>
  <w:style w:type="paragraph" w:styleId="CommentText">
    <w:name w:val="annotation text"/>
    <w:basedOn w:val="Normal"/>
    <w:link w:val="CommentTextChar"/>
    <w:uiPriority w:val="99"/>
    <w:semiHidden/>
    <w:unhideWhenUsed/>
    <w:rsid w:val="00623AC4"/>
    <w:pPr>
      <w:spacing w:line="240" w:lineRule="auto"/>
    </w:pPr>
    <w:rPr>
      <w:sz w:val="20"/>
      <w:szCs w:val="20"/>
    </w:rPr>
  </w:style>
  <w:style w:type="character" w:customStyle="1" w:styleId="CommentTextChar">
    <w:name w:val="Comment Text Char"/>
    <w:basedOn w:val="DefaultParagraphFont"/>
    <w:link w:val="CommentText"/>
    <w:uiPriority w:val="99"/>
    <w:semiHidden/>
    <w:rsid w:val="00623AC4"/>
    <w:rPr>
      <w:sz w:val="20"/>
      <w:szCs w:val="20"/>
    </w:rPr>
  </w:style>
  <w:style w:type="paragraph" w:styleId="CommentSubject">
    <w:name w:val="annotation subject"/>
    <w:basedOn w:val="CommentText"/>
    <w:next w:val="CommentText"/>
    <w:link w:val="CommentSubjectChar"/>
    <w:uiPriority w:val="99"/>
    <w:semiHidden/>
    <w:unhideWhenUsed/>
    <w:rsid w:val="00623AC4"/>
    <w:rPr>
      <w:b/>
      <w:bCs/>
    </w:rPr>
  </w:style>
  <w:style w:type="character" w:customStyle="1" w:styleId="CommentSubjectChar">
    <w:name w:val="Comment Subject Char"/>
    <w:basedOn w:val="CommentTextChar"/>
    <w:link w:val="CommentSubject"/>
    <w:uiPriority w:val="99"/>
    <w:semiHidden/>
    <w:rsid w:val="00623AC4"/>
    <w:rPr>
      <w:b/>
      <w:bCs/>
      <w:sz w:val="20"/>
      <w:szCs w:val="20"/>
    </w:rPr>
  </w:style>
  <w:style w:type="paragraph" w:styleId="BalloonText">
    <w:name w:val="Balloon Text"/>
    <w:basedOn w:val="Normal"/>
    <w:link w:val="BalloonTextChar"/>
    <w:uiPriority w:val="99"/>
    <w:semiHidden/>
    <w:unhideWhenUsed/>
    <w:rsid w:val="00623AC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A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29740">
      <w:bodyDiv w:val="1"/>
      <w:marLeft w:val="0"/>
      <w:marRight w:val="0"/>
      <w:marTop w:val="0"/>
      <w:marBottom w:val="0"/>
      <w:divBdr>
        <w:top w:val="none" w:sz="0" w:space="0" w:color="auto"/>
        <w:left w:val="none" w:sz="0" w:space="0" w:color="auto"/>
        <w:bottom w:val="none" w:sz="0" w:space="0" w:color="auto"/>
        <w:right w:val="none" w:sz="0" w:space="0" w:color="auto"/>
      </w:divBdr>
      <w:divsChild>
        <w:div w:id="720135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401387">
      <w:bodyDiv w:val="1"/>
      <w:marLeft w:val="0"/>
      <w:marRight w:val="0"/>
      <w:marTop w:val="0"/>
      <w:marBottom w:val="0"/>
      <w:divBdr>
        <w:top w:val="none" w:sz="0" w:space="0" w:color="auto"/>
        <w:left w:val="none" w:sz="0" w:space="0" w:color="auto"/>
        <w:bottom w:val="none" w:sz="0" w:space="0" w:color="auto"/>
        <w:right w:val="none" w:sz="0" w:space="0" w:color="auto"/>
      </w:divBdr>
      <w:divsChild>
        <w:div w:id="1191799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05211">
      <w:bodyDiv w:val="1"/>
      <w:marLeft w:val="0"/>
      <w:marRight w:val="0"/>
      <w:marTop w:val="0"/>
      <w:marBottom w:val="0"/>
      <w:divBdr>
        <w:top w:val="none" w:sz="0" w:space="0" w:color="auto"/>
        <w:left w:val="none" w:sz="0" w:space="0" w:color="auto"/>
        <w:bottom w:val="none" w:sz="0" w:space="0" w:color="auto"/>
        <w:right w:val="none" w:sz="0" w:space="0" w:color="auto"/>
      </w:divBdr>
    </w:div>
    <w:div w:id="129132876">
      <w:bodyDiv w:val="1"/>
      <w:marLeft w:val="0"/>
      <w:marRight w:val="0"/>
      <w:marTop w:val="0"/>
      <w:marBottom w:val="0"/>
      <w:divBdr>
        <w:top w:val="none" w:sz="0" w:space="0" w:color="auto"/>
        <w:left w:val="none" w:sz="0" w:space="0" w:color="auto"/>
        <w:bottom w:val="none" w:sz="0" w:space="0" w:color="auto"/>
        <w:right w:val="none" w:sz="0" w:space="0" w:color="auto"/>
      </w:divBdr>
    </w:div>
    <w:div w:id="237717336">
      <w:bodyDiv w:val="1"/>
      <w:marLeft w:val="0"/>
      <w:marRight w:val="0"/>
      <w:marTop w:val="0"/>
      <w:marBottom w:val="0"/>
      <w:divBdr>
        <w:top w:val="none" w:sz="0" w:space="0" w:color="auto"/>
        <w:left w:val="none" w:sz="0" w:space="0" w:color="auto"/>
        <w:bottom w:val="none" w:sz="0" w:space="0" w:color="auto"/>
        <w:right w:val="none" w:sz="0" w:space="0" w:color="auto"/>
      </w:divBdr>
    </w:div>
    <w:div w:id="287049739">
      <w:bodyDiv w:val="1"/>
      <w:marLeft w:val="0"/>
      <w:marRight w:val="0"/>
      <w:marTop w:val="0"/>
      <w:marBottom w:val="0"/>
      <w:divBdr>
        <w:top w:val="none" w:sz="0" w:space="0" w:color="auto"/>
        <w:left w:val="none" w:sz="0" w:space="0" w:color="auto"/>
        <w:bottom w:val="none" w:sz="0" w:space="0" w:color="auto"/>
        <w:right w:val="none" w:sz="0" w:space="0" w:color="auto"/>
      </w:divBdr>
    </w:div>
    <w:div w:id="737870310">
      <w:bodyDiv w:val="1"/>
      <w:marLeft w:val="0"/>
      <w:marRight w:val="0"/>
      <w:marTop w:val="0"/>
      <w:marBottom w:val="0"/>
      <w:divBdr>
        <w:top w:val="none" w:sz="0" w:space="0" w:color="auto"/>
        <w:left w:val="none" w:sz="0" w:space="0" w:color="auto"/>
        <w:bottom w:val="none" w:sz="0" w:space="0" w:color="auto"/>
        <w:right w:val="none" w:sz="0" w:space="0" w:color="auto"/>
      </w:divBdr>
    </w:div>
    <w:div w:id="943655064">
      <w:bodyDiv w:val="1"/>
      <w:marLeft w:val="0"/>
      <w:marRight w:val="0"/>
      <w:marTop w:val="0"/>
      <w:marBottom w:val="0"/>
      <w:divBdr>
        <w:top w:val="none" w:sz="0" w:space="0" w:color="auto"/>
        <w:left w:val="none" w:sz="0" w:space="0" w:color="auto"/>
        <w:bottom w:val="none" w:sz="0" w:space="0" w:color="auto"/>
        <w:right w:val="none" w:sz="0" w:space="0" w:color="auto"/>
      </w:divBdr>
    </w:div>
    <w:div w:id="1322738685">
      <w:bodyDiv w:val="1"/>
      <w:marLeft w:val="0"/>
      <w:marRight w:val="0"/>
      <w:marTop w:val="0"/>
      <w:marBottom w:val="0"/>
      <w:divBdr>
        <w:top w:val="none" w:sz="0" w:space="0" w:color="auto"/>
        <w:left w:val="none" w:sz="0" w:space="0" w:color="auto"/>
        <w:bottom w:val="none" w:sz="0" w:space="0" w:color="auto"/>
        <w:right w:val="none" w:sz="0" w:space="0" w:color="auto"/>
      </w:divBdr>
    </w:div>
    <w:div w:id="1480923338">
      <w:bodyDiv w:val="1"/>
      <w:marLeft w:val="0"/>
      <w:marRight w:val="0"/>
      <w:marTop w:val="0"/>
      <w:marBottom w:val="0"/>
      <w:divBdr>
        <w:top w:val="none" w:sz="0" w:space="0" w:color="auto"/>
        <w:left w:val="none" w:sz="0" w:space="0" w:color="auto"/>
        <w:bottom w:val="none" w:sz="0" w:space="0" w:color="auto"/>
        <w:right w:val="none" w:sz="0" w:space="0" w:color="auto"/>
      </w:divBdr>
    </w:div>
    <w:div w:id="1561284616">
      <w:bodyDiv w:val="1"/>
      <w:marLeft w:val="0"/>
      <w:marRight w:val="0"/>
      <w:marTop w:val="0"/>
      <w:marBottom w:val="0"/>
      <w:divBdr>
        <w:top w:val="none" w:sz="0" w:space="0" w:color="auto"/>
        <w:left w:val="none" w:sz="0" w:space="0" w:color="auto"/>
        <w:bottom w:val="none" w:sz="0" w:space="0" w:color="auto"/>
        <w:right w:val="none" w:sz="0" w:space="0" w:color="auto"/>
      </w:divBdr>
    </w:div>
    <w:div w:id="1581670088">
      <w:bodyDiv w:val="1"/>
      <w:marLeft w:val="0"/>
      <w:marRight w:val="0"/>
      <w:marTop w:val="0"/>
      <w:marBottom w:val="0"/>
      <w:divBdr>
        <w:top w:val="none" w:sz="0" w:space="0" w:color="auto"/>
        <w:left w:val="none" w:sz="0" w:space="0" w:color="auto"/>
        <w:bottom w:val="none" w:sz="0" w:space="0" w:color="auto"/>
        <w:right w:val="none" w:sz="0" w:space="0" w:color="auto"/>
      </w:divBdr>
    </w:div>
    <w:div w:id="1618096409">
      <w:bodyDiv w:val="1"/>
      <w:marLeft w:val="0"/>
      <w:marRight w:val="0"/>
      <w:marTop w:val="0"/>
      <w:marBottom w:val="0"/>
      <w:divBdr>
        <w:top w:val="none" w:sz="0" w:space="0" w:color="auto"/>
        <w:left w:val="none" w:sz="0" w:space="0" w:color="auto"/>
        <w:bottom w:val="none" w:sz="0" w:space="0" w:color="auto"/>
        <w:right w:val="none" w:sz="0" w:space="0" w:color="auto"/>
      </w:divBdr>
    </w:div>
    <w:div w:id="1755589329">
      <w:bodyDiv w:val="1"/>
      <w:marLeft w:val="0"/>
      <w:marRight w:val="0"/>
      <w:marTop w:val="0"/>
      <w:marBottom w:val="0"/>
      <w:divBdr>
        <w:top w:val="none" w:sz="0" w:space="0" w:color="auto"/>
        <w:left w:val="none" w:sz="0" w:space="0" w:color="auto"/>
        <w:bottom w:val="none" w:sz="0" w:space="0" w:color="auto"/>
        <w:right w:val="none" w:sz="0" w:space="0" w:color="auto"/>
      </w:divBdr>
    </w:div>
    <w:div w:id="1805274589">
      <w:bodyDiv w:val="1"/>
      <w:marLeft w:val="0"/>
      <w:marRight w:val="0"/>
      <w:marTop w:val="0"/>
      <w:marBottom w:val="0"/>
      <w:divBdr>
        <w:top w:val="none" w:sz="0" w:space="0" w:color="auto"/>
        <w:left w:val="none" w:sz="0" w:space="0" w:color="auto"/>
        <w:bottom w:val="none" w:sz="0" w:space="0" w:color="auto"/>
        <w:right w:val="none" w:sz="0" w:space="0" w:color="auto"/>
      </w:divBdr>
      <w:divsChild>
        <w:div w:id="2081709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9097507">
      <w:bodyDiv w:val="1"/>
      <w:marLeft w:val="0"/>
      <w:marRight w:val="0"/>
      <w:marTop w:val="0"/>
      <w:marBottom w:val="0"/>
      <w:divBdr>
        <w:top w:val="none" w:sz="0" w:space="0" w:color="auto"/>
        <w:left w:val="none" w:sz="0" w:space="0" w:color="auto"/>
        <w:bottom w:val="none" w:sz="0" w:space="0" w:color="auto"/>
        <w:right w:val="none" w:sz="0" w:space="0" w:color="auto"/>
      </w:divBdr>
    </w:div>
    <w:div w:id="1945529317">
      <w:bodyDiv w:val="1"/>
      <w:marLeft w:val="0"/>
      <w:marRight w:val="0"/>
      <w:marTop w:val="0"/>
      <w:marBottom w:val="0"/>
      <w:divBdr>
        <w:top w:val="none" w:sz="0" w:space="0" w:color="auto"/>
        <w:left w:val="none" w:sz="0" w:space="0" w:color="auto"/>
        <w:bottom w:val="none" w:sz="0" w:space="0" w:color="auto"/>
        <w:right w:val="none" w:sz="0" w:space="0" w:color="auto"/>
      </w:divBdr>
    </w:div>
    <w:div w:id="198562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7790</Words>
  <Characters>44408</Characters>
  <Application>Microsoft Office Word</Application>
  <DocSecurity>0</DocSecurity>
  <Lines>370</Lines>
  <Paragraphs>104</Paragraphs>
  <ScaleCrop>false</ScaleCrop>
  <Company/>
  <LinksUpToDate>false</LinksUpToDate>
  <CharactersWithSpaces>52094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2025-05-10T05:34:00Z</dcterms:created>
  <dcterms:modified xsi:type="dcterms:W3CDTF">2025-08-12T13:02:00Z</dcterms:modified>
</cp:coreProperties>
</file>