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9BF5" w14:textId="2817DA01" w:rsidR="00DF2E66" w:rsidRPr="00DF2E66" w:rsidRDefault="00DF2E66" w:rsidP="00DF2E66">
      <w:pPr>
        <w:spacing w:line="360" w:lineRule="auto"/>
        <w:rPr>
          <w:rFonts w:ascii="Times New Roman" w:hAnsi="Times New Roman" w:cs="Times New Roman"/>
          <w:b/>
          <w:color w:val="000000" w:themeColor="text1"/>
          <w:sz w:val="24"/>
          <w:u w:val="single"/>
        </w:rPr>
      </w:pPr>
      <w:r w:rsidRPr="00DF2E66">
        <w:rPr>
          <w:rFonts w:ascii="Times New Roman" w:hAnsi="Times New Roman" w:cs="Times New Roman"/>
          <w:b/>
          <w:color w:val="000000" w:themeColor="text1"/>
          <w:sz w:val="24"/>
          <w:u w:val="single"/>
        </w:rPr>
        <w:t>Original Research Article</w:t>
      </w:r>
    </w:p>
    <w:p w14:paraId="05B0B968" w14:textId="12889D84" w:rsidR="00C12DD1" w:rsidRPr="005B2E57" w:rsidRDefault="005A5BD7" w:rsidP="00282F54">
      <w:pPr>
        <w:spacing w:line="360" w:lineRule="auto"/>
        <w:jc w:val="center"/>
        <w:rPr>
          <w:rFonts w:ascii="Times New Roman" w:hAnsi="Times New Roman" w:cs="Times New Roman"/>
          <w:b/>
          <w:color w:val="000000" w:themeColor="text1"/>
          <w:sz w:val="24"/>
        </w:rPr>
      </w:pPr>
      <w:r w:rsidRPr="005B2E57">
        <w:rPr>
          <w:rFonts w:ascii="Times New Roman" w:hAnsi="Times New Roman" w:cs="Times New Roman"/>
          <w:b/>
          <w:color w:val="000000" w:themeColor="text1"/>
          <w:sz w:val="24"/>
        </w:rPr>
        <w:t>EVALUATION O</w:t>
      </w:r>
      <w:r w:rsidR="00584799" w:rsidRPr="005B2E57">
        <w:rPr>
          <w:rFonts w:ascii="Times New Roman" w:hAnsi="Times New Roman" w:cs="Times New Roman"/>
          <w:b/>
          <w:color w:val="000000" w:themeColor="text1"/>
          <w:sz w:val="24"/>
        </w:rPr>
        <w:t>F</w:t>
      </w:r>
      <w:r w:rsidRPr="005B2E57">
        <w:rPr>
          <w:rFonts w:ascii="Times New Roman" w:hAnsi="Times New Roman" w:cs="Times New Roman"/>
          <w:b/>
          <w:color w:val="000000" w:themeColor="text1"/>
          <w:sz w:val="24"/>
        </w:rPr>
        <w:t xml:space="preserve"> ANTI NUTRITIONAL </w:t>
      </w:r>
      <w:r w:rsidR="00584799" w:rsidRPr="005B2E57">
        <w:rPr>
          <w:rFonts w:ascii="Times New Roman" w:hAnsi="Times New Roman" w:cs="Times New Roman"/>
          <w:b/>
          <w:color w:val="000000" w:themeColor="text1"/>
          <w:sz w:val="24"/>
        </w:rPr>
        <w:t>FACTORS USING DIFFERENT PRETREATMENTS IN OYSTER MUSHROOM (</w:t>
      </w:r>
      <w:r w:rsidR="00584799" w:rsidRPr="005B2E57">
        <w:rPr>
          <w:rFonts w:ascii="Times New Roman" w:hAnsi="Times New Roman" w:cs="Times New Roman"/>
          <w:b/>
          <w:i/>
          <w:color w:val="000000" w:themeColor="text1"/>
          <w:sz w:val="24"/>
        </w:rPr>
        <w:t>Pleurotus ostreatus</w:t>
      </w:r>
      <w:r w:rsidR="00584799" w:rsidRPr="005B2E57">
        <w:rPr>
          <w:rFonts w:ascii="Times New Roman" w:hAnsi="Times New Roman" w:cs="Times New Roman"/>
          <w:b/>
          <w:color w:val="000000" w:themeColor="text1"/>
          <w:sz w:val="24"/>
        </w:rPr>
        <w:t>)</w:t>
      </w:r>
    </w:p>
    <w:p w14:paraId="77A42535" w14:textId="77777777" w:rsidR="00C13150" w:rsidRDefault="00C13150" w:rsidP="000A2692">
      <w:pPr>
        <w:pStyle w:val="TableParagraph"/>
        <w:spacing w:line="360" w:lineRule="auto"/>
        <w:ind w:left="0"/>
        <w:rPr>
          <w:color w:val="000000" w:themeColor="text1"/>
          <w:sz w:val="24"/>
          <w:szCs w:val="24"/>
        </w:rPr>
      </w:pPr>
    </w:p>
    <w:p w14:paraId="44F493CE" w14:textId="77777777" w:rsidR="00C13150" w:rsidRDefault="00C13150" w:rsidP="000A2692">
      <w:pPr>
        <w:pStyle w:val="TableParagraph"/>
        <w:spacing w:line="360" w:lineRule="auto"/>
        <w:ind w:left="0"/>
        <w:rPr>
          <w:color w:val="000000" w:themeColor="text1"/>
          <w:sz w:val="24"/>
          <w:szCs w:val="24"/>
        </w:rPr>
      </w:pPr>
    </w:p>
    <w:p w14:paraId="5B1A682C" w14:textId="77777777" w:rsidR="00C13150" w:rsidRPr="005B2E57" w:rsidRDefault="00C13150" w:rsidP="000A2692">
      <w:pPr>
        <w:pStyle w:val="TableParagraph"/>
        <w:spacing w:line="360" w:lineRule="auto"/>
        <w:ind w:left="0"/>
        <w:rPr>
          <w:color w:val="000000" w:themeColor="text1"/>
          <w:sz w:val="24"/>
          <w:szCs w:val="24"/>
        </w:rPr>
      </w:pPr>
    </w:p>
    <w:p w14:paraId="0914FE59" w14:textId="41E8DB91"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ABSTRACT:</w:t>
      </w:r>
    </w:p>
    <w:p w14:paraId="1AF4B8B2" w14:textId="77777777" w:rsidR="00887DF3" w:rsidRPr="005B2E57" w:rsidRDefault="00887DF3" w:rsidP="00887DF3">
      <w:pPr>
        <w:pStyle w:val="TableParagraph"/>
        <w:spacing w:line="360" w:lineRule="auto"/>
        <w:ind w:left="0"/>
        <w:jc w:val="both"/>
        <w:rPr>
          <w:color w:val="000000" w:themeColor="text1"/>
          <w:sz w:val="24"/>
        </w:rPr>
      </w:pPr>
      <w:commentRangeStart w:id="0"/>
      <w:r w:rsidRPr="005B2E57">
        <w:rPr>
          <w:b/>
          <w:color w:val="000000" w:themeColor="text1"/>
          <w:sz w:val="24"/>
        </w:rPr>
        <w:t>Study Design:</w:t>
      </w:r>
      <w:r w:rsidRPr="005B2E57">
        <w:rPr>
          <w:color w:val="000000" w:themeColor="text1"/>
          <w:sz w:val="24"/>
        </w:rPr>
        <w:t xml:space="preserve"> Oyster mushrooms (</w:t>
      </w:r>
      <w:commentRangeStart w:id="1"/>
      <w:r w:rsidRPr="005B2E57">
        <w:rPr>
          <w:color w:val="000000" w:themeColor="text1"/>
          <w:sz w:val="24"/>
        </w:rPr>
        <w:t>Pleurotus ostreatus</w:t>
      </w:r>
      <w:commentRangeEnd w:id="1"/>
      <w:r w:rsidR="00207620">
        <w:rPr>
          <w:rStyle w:val="CommentReference"/>
          <w:rFonts w:asciiTheme="minorHAnsi" w:eastAsiaTheme="minorHAnsi" w:hAnsiTheme="minorHAnsi" w:cstheme="minorBidi"/>
        </w:rPr>
        <w:commentReference w:id="1"/>
      </w:r>
      <w:r w:rsidRPr="005B2E57">
        <w:rPr>
          <w:color w:val="000000" w:themeColor="text1"/>
          <w:sz w:val="24"/>
        </w:rPr>
        <w:t xml:space="preserve">) are nutritionally rich but contain anti-nutritional factors (ANFs) such as saponins, trypsin inhibitors, phytic acid, and oxalic acid, which may limit nutrient bioavailability. </w:t>
      </w:r>
      <w:commentRangeEnd w:id="0"/>
      <w:r w:rsidR="00207620">
        <w:rPr>
          <w:rStyle w:val="CommentReference"/>
          <w:rFonts w:asciiTheme="minorHAnsi" w:eastAsiaTheme="minorHAnsi" w:hAnsiTheme="minorHAnsi" w:cstheme="minorBidi"/>
        </w:rPr>
        <w:commentReference w:id="0"/>
      </w:r>
    </w:p>
    <w:p w14:paraId="49DCB288" w14:textId="77777777" w:rsidR="00887DF3" w:rsidRPr="005B2E57" w:rsidRDefault="00887DF3" w:rsidP="00887DF3">
      <w:pPr>
        <w:pStyle w:val="TableParagraph"/>
        <w:spacing w:line="360" w:lineRule="auto"/>
        <w:ind w:left="0"/>
        <w:jc w:val="both"/>
        <w:rPr>
          <w:color w:val="000000" w:themeColor="text1"/>
          <w:sz w:val="24"/>
        </w:rPr>
      </w:pPr>
      <w:r w:rsidRPr="005B2E57">
        <w:rPr>
          <w:b/>
          <w:color w:val="000000" w:themeColor="text1"/>
          <w:sz w:val="24"/>
        </w:rPr>
        <w:t>Methodology:</w:t>
      </w:r>
      <w:r w:rsidRPr="005B2E57">
        <w:rPr>
          <w:color w:val="000000" w:themeColor="text1"/>
          <w:sz w:val="24"/>
        </w:rPr>
        <w:t xml:space="preserve"> This study aimed to optimize the dehydration process and evaluate the effects of different pretreatments: sugar solution (SS), salt solution (BS), vinegar (VG), citric acid (CA), and potassium metabisulphite (KMS)at varying concentrations (0.1%, 0.2%, 0.3%) on ANF reduction. Fresh mushrooms were blanched, treated with respective solutions, and dried using a hot air oven at 50°C, 55°C, and 60°C. The resulting powders were analyzed for ANF levels using standard protocols. </w:t>
      </w:r>
    </w:p>
    <w:p w14:paraId="1D3C2E4F" w14:textId="5728824F" w:rsidR="00887DF3" w:rsidRPr="005B2E57" w:rsidRDefault="00887DF3" w:rsidP="00887DF3">
      <w:pPr>
        <w:pStyle w:val="TableParagraph"/>
        <w:spacing w:line="360" w:lineRule="auto"/>
        <w:ind w:left="0"/>
        <w:jc w:val="both"/>
        <w:rPr>
          <w:b/>
          <w:color w:val="000000" w:themeColor="text1"/>
          <w:sz w:val="28"/>
          <w:szCs w:val="24"/>
        </w:rPr>
      </w:pPr>
      <w:r w:rsidRPr="005B2E57">
        <w:rPr>
          <w:b/>
          <w:color w:val="000000" w:themeColor="text1"/>
          <w:sz w:val="24"/>
        </w:rPr>
        <w:t>Results:</w:t>
      </w:r>
      <w:r w:rsidRPr="005B2E57">
        <w:rPr>
          <w:color w:val="000000" w:themeColor="text1"/>
          <w:sz w:val="24"/>
        </w:rPr>
        <w:t xml:space="preserve"> Results demonstrated significant variations in ANF reduction across treatments and concentrations. KMS treatment was most effective, achieving the lowest saponin (184.00 ± 1.96 mg/100 g), trypsin inhibitor (11.58 ± 0.39 TIU/kg), phytic acid (9.44 ± 0.18 mg/100 g), and oxalic acid (9.77 ± 0.03 mg/100 g) contents at 0.3% concentration. Citric acid exhibited the next highest reduction, followed by vinegar, while sugar and salt solutions showed minimal impact. The superior efficacy of KMS is attributed to its antioxidant and protein-denaturing properties, which enhance thermal degradation of ANFs during drying. </w:t>
      </w:r>
      <w:r w:rsidRPr="005B2E57">
        <w:rPr>
          <w:b/>
          <w:color w:val="000000" w:themeColor="text1"/>
          <w:sz w:val="24"/>
        </w:rPr>
        <w:t>Conclusion:</w:t>
      </w:r>
      <w:r w:rsidRPr="005B2E57">
        <w:rPr>
          <w:color w:val="000000" w:themeColor="text1"/>
          <w:sz w:val="24"/>
        </w:rPr>
        <w:t xml:space="preserve"> Therefore, pretreatment with KMS combined with hot air drying effectively minimizes ANFs, improving the nutritional quality and safety of dehydrated oyster mushroom powder for food applications.</w:t>
      </w:r>
    </w:p>
    <w:p w14:paraId="2DF3E343" w14:textId="41EEDFD7" w:rsidR="00282F54" w:rsidRDefault="00282F54" w:rsidP="000A2692">
      <w:pPr>
        <w:pStyle w:val="TableParagraph"/>
        <w:spacing w:line="360" w:lineRule="auto"/>
        <w:ind w:left="0"/>
        <w:rPr>
          <w:color w:val="000000" w:themeColor="text1"/>
          <w:sz w:val="24"/>
          <w:szCs w:val="24"/>
        </w:rPr>
      </w:pPr>
      <w:r w:rsidRPr="005B2E57">
        <w:rPr>
          <w:b/>
          <w:color w:val="000000" w:themeColor="text1"/>
          <w:sz w:val="24"/>
          <w:szCs w:val="24"/>
        </w:rPr>
        <w:t>Keywords:</w:t>
      </w:r>
      <w:r w:rsidR="005B2E57" w:rsidRPr="005B2E57">
        <w:rPr>
          <w:color w:val="000000" w:themeColor="text1"/>
          <w:sz w:val="24"/>
          <w:szCs w:val="24"/>
        </w:rPr>
        <w:t xml:space="preserve"> Oyster mushroom, dehydration </w:t>
      </w:r>
      <w:commentRangeStart w:id="2"/>
      <w:r w:rsidR="005B2E57" w:rsidRPr="005B2E57">
        <w:rPr>
          <w:color w:val="000000" w:themeColor="text1"/>
          <w:sz w:val="24"/>
          <w:szCs w:val="24"/>
        </w:rPr>
        <w:t>and</w:t>
      </w:r>
      <w:commentRangeEnd w:id="2"/>
      <w:r w:rsidR="00207620">
        <w:rPr>
          <w:rStyle w:val="CommentReference"/>
          <w:rFonts w:asciiTheme="minorHAnsi" w:eastAsiaTheme="minorHAnsi" w:hAnsiTheme="minorHAnsi" w:cstheme="minorBidi"/>
        </w:rPr>
        <w:commentReference w:id="2"/>
      </w:r>
      <w:r w:rsidR="005B2E57" w:rsidRPr="005B2E57">
        <w:rPr>
          <w:color w:val="000000" w:themeColor="text1"/>
          <w:sz w:val="24"/>
          <w:szCs w:val="24"/>
        </w:rPr>
        <w:t xml:space="preserve"> anti-nutritional factors</w:t>
      </w:r>
    </w:p>
    <w:p w14:paraId="040E0CEE" w14:textId="2A12C76D" w:rsidR="00C003A4" w:rsidRDefault="00C003A4" w:rsidP="000A2692">
      <w:pPr>
        <w:pStyle w:val="TableParagraph"/>
        <w:spacing w:line="360" w:lineRule="auto"/>
        <w:ind w:left="0"/>
        <w:rPr>
          <w:color w:val="000000" w:themeColor="text1"/>
          <w:sz w:val="24"/>
          <w:szCs w:val="24"/>
        </w:rPr>
      </w:pPr>
    </w:p>
    <w:p w14:paraId="2D796695" w14:textId="25612EA2" w:rsidR="00C003A4" w:rsidRDefault="00C003A4" w:rsidP="000A2692">
      <w:pPr>
        <w:pStyle w:val="TableParagraph"/>
        <w:spacing w:line="360" w:lineRule="auto"/>
        <w:ind w:left="0"/>
        <w:rPr>
          <w:color w:val="000000" w:themeColor="text1"/>
          <w:sz w:val="24"/>
          <w:szCs w:val="24"/>
        </w:rPr>
      </w:pPr>
    </w:p>
    <w:p w14:paraId="1C46C1CA" w14:textId="77777777" w:rsidR="00C003A4" w:rsidRPr="005B2E57" w:rsidRDefault="00C003A4" w:rsidP="000A2692">
      <w:pPr>
        <w:pStyle w:val="TableParagraph"/>
        <w:spacing w:line="360" w:lineRule="auto"/>
        <w:ind w:left="0"/>
        <w:rPr>
          <w:color w:val="000000" w:themeColor="text1"/>
          <w:sz w:val="24"/>
          <w:szCs w:val="24"/>
        </w:rPr>
      </w:pPr>
    </w:p>
    <w:p w14:paraId="344792EE" w14:textId="77777777" w:rsidR="005B2E57" w:rsidRDefault="005B2E57" w:rsidP="000A2692">
      <w:pPr>
        <w:pStyle w:val="TableParagraph"/>
        <w:spacing w:line="360" w:lineRule="auto"/>
        <w:ind w:left="0"/>
        <w:rPr>
          <w:b/>
          <w:color w:val="000000" w:themeColor="text1"/>
          <w:sz w:val="24"/>
          <w:szCs w:val="24"/>
        </w:rPr>
      </w:pPr>
    </w:p>
    <w:p w14:paraId="72910582" w14:textId="6B018491"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INTRODUCTION:</w:t>
      </w:r>
    </w:p>
    <w:p w14:paraId="7373981D" w14:textId="77777777" w:rsidR="00293E99" w:rsidRPr="005B2E57" w:rsidRDefault="00293E99" w:rsidP="00293E99">
      <w:pPr>
        <w:pStyle w:val="BodyText"/>
        <w:spacing w:before="240" w:after="240" w:line="360" w:lineRule="auto"/>
        <w:ind w:firstLine="720"/>
        <w:jc w:val="both"/>
        <w:rPr>
          <w:color w:val="000000" w:themeColor="text1"/>
          <w:shd w:val="clear" w:color="auto" w:fill="FFFFFF"/>
        </w:rPr>
      </w:pPr>
      <w:r w:rsidRPr="005B2E57">
        <w:rPr>
          <w:color w:val="000000" w:themeColor="text1"/>
        </w:rPr>
        <w:t xml:space="preserve">Our planet has a huge resource of air, water, soil, fuels, plants and animals. The byproducts of agriculture production include straw, husks and bran. Every ton of agriculture produce that is grown, 225 Kgs of husks and straw are created. It is estimated that around 80 per cent of straw and husk is burnt in open burning practices. This is acknowledged as a major contributor to atmospheric pollution and greenhouse gases (GHG) emissions, a waste of organic material, and has </w:t>
      </w:r>
      <w:proofErr w:type="gramStart"/>
      <w:r w:rsidRPr="005B2E57">
        <w:rPr>
          <w:color w:val="000000" w:themeColor="text1"/>
        </w:rPr>
        <w:t>a</w:t>
      </w:r>
      <w:proofErr w:type="gramEnd"/>
      <w:r w:rsidRPr="005B2E57">
        <w:rPr>
          <w:color w:val="000000" w:themeColor="text1"/>
        </w:rPr>
        <w:t xml:space="preserve"> undesirable impact on human health and water quality. </w:t>
      </w:r>
      <w:r w:rsidRPr="005B2E57">
        <w:rPr>
          <w:color w:val="000000" w:themeColor="text1"/>
          <w:shd w:val="clear" w:color="auto" w:fill="FFFFFF"/>
        </w:rPr>
        <w:t>All these pathetic development on our planet leave back not even a glass of water or a piece of bread for consumption in next 1,000 years (</w:t>
      </w:r>
      <w:r w:rsidRPr="005B2E57">
        <w:rPr>
          <w:color w:val="000000" w:themeColor="text1"/>
        </w:rPr>
        <w:t xml:space="preserve">Obaidi </w:t>
      </w:r>
      <w:r w:rsidRPr="005B2E57">
        <w:rPr>
          <w:i/>
          <w:color w:val="000000" w:themeColor="text1"/>
        </w:rPr>
        <w:t>et al.,</w:t>
      </w:r>
      <w:r w:rsidRPr="005B2E57">
        <w:rPr>
          <w:color w:val="000000" w:themeColor="text1"/>
        </w:rPr>
        <w:t xml:space="preserve"> 2021)</w:t>
      </w:r>
      <w:r w:rsidRPr="005B2E57">
        <w:rPr>
          <w:color w:val="000000" w:themeColor="text1"/>
          <w:shd w:val="clear" w:color="auto" w:fill="FFFFFF"/>
        </w:rPr>
        <w:t>.</w:t>
      </w:r>
    </w:p>
    <w:p w14:paraId="349F8AD2" w14:textId="37AB2061"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 xml:space="preserve">Mushrooms are edible fungi and a saprophyte with a fleshy and spore-bearing nutritive organ. It’s a member of a group of living beings that are very diverse from animals and blooming plants (Kumar </w:t>
      </w:r>
      <w:r w:rsidRPr="005B2E57">
        <w:rPr>
          <w:i/>
          <w:color w:val="000000" w:themeColor="text1"/>
        </w:rPr>
        <w:t>et al.,</w:t>
      </w:r>
      <w:r w:rsidRPr="005B2E57">
        <w:rPr>
          <w:color w:val="000000" w:themeColor="text1"/>
        </w:rPr>
        <w:t xml:space="preserve"> 2021). As it lacks chlorophyll, it is unable to synthesize its own sustenance and instead feeds on dead and decomposing organic matters.</w:t>
      </w:r>
    </w:p>
    <w:p w14:paraId="2998F746" w14:textId="3B05F897"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Nikolaus Joseph Freiherr Von Jacquin</w:t>
      </w:r>
      <w:r w:rsidR="00550194" w:rsidRPr="00550194">
        <w:rPr>
          <w:color w:val="EE0000"/>
        </w:rPr>
        <w:t>,</w:t>
      </w:r>
      <w:r w:rsidRPr="00550194">
        <w:rPr>
          <w:color w:val="EE0000"/>
        </w:rPr>
        <w:t xml:space="preserve"> </w:t>
      </w:r>
      <w:r w:rsidRPr="005B2E57">
        <w:rPr>
          <w:color w:val="000000" w:themeColor="text1"/>
        </w:rPr>
        <w:t>the Dutch naturalist (1727-1817) originally described the (</w:t>
      </w:r>
      <w:r w:rsidRPr="005B2E57">
        <w:rPr>
          <w:i/>
          <w:color w:val="000000" w:themeColor="text1"/>
        </w:rPr>
        <w:t>Pleurotus ostreatus</w:t>
      </w:r>
      <w:r w:rsidRPr="005B2E57">
        <w:rPr>
          <w:color w:val="000000" w:themeColor="text1"/>
        </w:rPr>
        <w:t xml:space="preserve">) oyster mushroom in 1775. It is currently the second largest mushroom grown commercially worldwide. Paul Kummer, a German mycologist, moved the oyster mushroom with the genus </w:t>
      </w:r>
      <w:r w:rsidRPr="005B2E57">
        <w:rPr>
          <w:i/>
          <w:color w:val="000000" w:themeColor="text1"/>
        </w:rPr>
        <w:t>Pleurotus</w:t>
      </w:r>
      <w:r w:rsidRPr="005B2E57">
        <w:rPr>
          <w:color w:val="000000" w:themeColor="text1"/>
        </w:rPr>
        <w:t xml:space="preserve"> in 1871. Kummer himself defined a new genus in 1971, which is now known as </w:t>
      </w:r>
      <w:r w:rsidRPr="005B2E57">
        <w:rPr>
          <w:i/>
          <w:color w:val="000000" w:themeColor="text1"/>
        </w:rPr>
        <w:t>Pleurotus ostreatus</w:t>
      </w:r>
      <w:r w:rsidRPr="005B2E57">
        <w:rPr>
          <w:color w:val="000000" w:themeColor="text1"/>
        </w:rPr>
        <w:t>. It has been grown for a long time in China and Japan (</w:t>
      </w:r>
      <w:proofErr w:type="spellStart"/>
      <w:r w:rsidRPr="005B2E57">
        <w:rPr>
          <w:color w:val="000000" w:themeColor="text1"/>
        </w:rPr>
        <w:t>Assemie</w:t>
      </w:r>
      <w:proofErr w:type="spellEnd"/>
      <w:r w:rsidRPr="005B2E57">
        <w:rPr>
          <w:color w:val="000000" w:themeColor="text1"/>
        </w:rPr>
        <w:t xml:space="preserve"> and Abaya, 2022).</w:t>
      </w:r>
    </w:p>
    <w:p w14:paraId="6C530DD8" w14:textId="77777777"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 xml:space="preserve"> Oyster mushroom's fleshy, spore-bearing fruiting body, oyster mushrooms are regularly grown above ground on soil or its feeding supply. Greeks and Romans have been eating it since ancient times. The Chinese called them the "Elixir of life," while the Romans considered them the "Food of God” (Bashir </w:t>
      </w:r>
      <w:r w:rsidRPr="005B2E57">
        <w:rPr>
          <w:i/>
          <w:color w:val="000000" w:themeColor="text1"/>
        </w:rPr>
        <w:t>et al.,</w:t>
      </w:r>
      <w:r w:rsidRPr="005B2E57">
        <w:rPr>
          <w:color w:val="000000" w:themeColor="text1"/>
        </w:rPr>
        <w:t xml:space="preserve"> 2014). Its amazing anti-inflammatory, anti-tumor, and antioxidant qualities have made it appealing to the pharmaceutical industry for the creation of medications and nutraceuticals.</w:t>
      </w:r>
    </w:p>
    <w:p w14:paraId="1F4135D7" w14:textId="7A4A4FEF" w:rsidR="00824D26" w:rsidRPr="005B2E57" w:rsidRDefault="00DC2A6C" w:rsidP="00DC2A6C">
      <w:pPr>
        <w:pStyle w:val="TableParagraph"/>
        <w:spacing w:line="360" w:lineRule="auto"/>
        <w:ind w:left="0" w:firstLine="720"/>
        <w:jc w:val="both"/>
        <w:rPr>
          <w:color w:val="000000" w:themeColor="text1"/>
          <w:sz w:val="24"/>
        </w:rPr>
      </w:pPr>
      <w:r w:rsidRPr="005B2E57">
        <w:rPr>
          <w:color w:val="000000" w:themeColor="text1"/>
          <w:sz w:val="24"/>
        </w:rPr>
        <w:t xml:space="preserve">According to ethnomycology, </w:t>
      </w:r>
      <w:r w:rsidRPr="005B2E57">
        <w:rPr>
          <w:i/>
          <w:color w:val="000000" w:themeColor="text1"/>
          <w:sz w:val="24"/>
        </w:rPr>
        <w:t>P. ostreatus</w:t>
      </w:r>
      <w:r w:rsidRPr="005B2E57">
        <w:rPr>
          <w:color w:val="000000" w:themeColor="text1"/>
          <w:sz w:val="24"/>
        </w:rPr>
        <w:t xml:space="preserve"> is eaten as food, either fresh through grilling, frying, or sautéing, or preserved through cooling, freezing, and drying. It is also </w:t>
      </w:r>
      <w:r w:rsidRPr="005B2E57">
        <w:rPr>
          <w:color w:val="000000" w:themeColor="text1"/>
          <w:sz w:val="24"/>
        </w:rPr>
        <w:lastRenderedPageBreak/>
        <w:t xml:space="preserve">marketed both fresh and processed in both domestic and foreign markets. </w:t>
      </w:r>
      <w:r w:rsidR="00C835A5" w:rsidRPr="005B2E57">
        <w:rPr>
          <w:color w:val="000000" w:themeColor="text1"/>
          <w:sz w:val="24"/>
        </w:rPr>
        <w:t>However, the high moisture content of mushrooms and their perishable nature require effective preservation methods to extend their shelf life and retain their nutritional benefits. Dehydration is a widely used method for preserving mushrooms, which involves removing water to inhibit microbial growth and enzymatic activity</w:t>
      </w:r>
      <w:r w:rsidR="00E20749" w:rsidRPr="005B2E57">
        <w:rPr>
          <w:color w:val="000000" w:themeColor="text1"/>
          <w:sz w:val="24"/>
        </w:rPr>
        <w:t xml:space="preserve"> (Das </w:t>
      </w:r>
      <w:r w:rsidR="00E20749" w:rsidRPr="005B2E57">
        <w:rPr>
          <w:i/>
          <w:color w:val="000000" w:themeColor="text1"/>
          <w:sz w:val="24"/>
        </w:rPr>
        <w:t>et al.,</w:t>
      </w:r>
      <w:r w:rsidR="00E20749" w:rsidRPr="005B2E57">
        <w:rPr>
          <w:color w:val="000000" w:themeColor="text1"/>
          <w:sz w:val="24"/>
        </w:rPr>
        <w:t xml:space="preserve"> 2023).</w:t>
      </w:r>
    </w:p>
    <w:p w14:paraId="6C16B7DF" w14:textId="629B55F2" w:rsidR="00E20749" w:rsidRPr="005B2E57" w:rsidRDefault="00E20749" w:rsidP="00DC2A6C">
      <w:pPr>
        <w:pStyle w:val="TableParagraph"/>
        <w:spacing w:line="360" w:lineRule="auto"/>
        <w:ind w:left="0" w:firstLine="720"/>
        <w:jc w:val="both"/>
        <w:rPr>
          <w:color w:val="000000" w:themeColor="text1"/>
          <w:sz w:val="24"/>
        </w:rPr>
      </w:pPr>
      <w:r w:rsidRPr="005B2E57">
        <w:rPr>
          <w:color w:val="000000" w:themeColor="text1"/>
          <w:sz w:val="24"/>
        </w:rPr>
        <w:t xml:space="preserve">Dehydration techniques are fundamental in food processing, serving to significantly reduce the moisture content of food products in order to extend their shelf life, maintain nutritional value and preserve sensory qualities such as texture, color and flavor. In addition to the drying method, pretreatments may help reduce the drying time and improve the moisture diffusion coefficient in the mushrooms and also reduce antinutritional factors (Salazar </w:t>
      </w:r>
      <w:r w:rsidRPr="005B2E57">
        <w:rPr>
          <w:i/>
          <w:color w:val="000000" w:themeColor="text1"/>
          <w:sz w:val="24"/>
        </w:rPr>
        <w:t>et al.,</w:t>
      </w:r>
      <w:r w:rsidRPr="005B2E57">
        <w:rPr>
          <w:color w:val="000000" w:themeColor="text1"/>
          <w:sz w:val="24"/>
        </w:rPr>
        <w:t xml:space="preserve"> 2023). </w:t>
      </w:r>
    </w:p>
    <w:p w14:paraId="4A051C31" w14:textId="244A3028" w:rsidR="00E20749" w:rsidRPr="005B2E57" w:rsidRDefault="00E20749" w:rsidP="00E20749">
      <w:pPr>
        <w:pStyle w:val="BodyText"/>
        <w:spacing w:before="240" w:after="240" w:line="360" w:lineRule="auto"/>
        <w:ind w:firstLine="720"/>
        <w:jc w:val="both"/>
        <w:rPr>
          <w:color w:val="000000" w:themeColor="text1"/>
        </w:rPr>
      </w:pPr>
      <w:r w:rsidRPr="005B2E57">
        <w:rPr>
          <w:color w:val="000000" w:themeColor="text1"/>
        </w:rPr>
        <w:t xml:space="preserve">The therapeutic benefits permit for the preparation of a wide range of food products that give many desirable nutritional and health benefits in count to adding variety to the diet. However, more research and contemporary development are required to fully comprehend and advance the potential health benefits of oyster mushrooms. Therefore, the persistence of this study is to determine antinutritional factors in oyster mushroom (Lakshmi </w:t>
      </w:r>
      <w:r w:rsidRPr="005B2E57">
        <w:rPr>
          <w:i/>
          <w:color w:val="000000" w:themeColor="text1"/>
        </w:rPr>
        <w:t>et al.,</w:t>
      </w:r>
      <w:r w:rsidRPr="005B2E57">
        <w:rPr>
          <w:color w:val="000000" w:themeColor="text1"/>
        </w:rPr>
        <w:t xml:space="preserve"> 2004). </w:t>
      </w:r>
    </w:p>
    <w:p w14:paraId="00856F10" w14:textId="77777777" w:rsidR="005B2E57" w:rsidRDefault="005B2E57" w:rsidP="000A2692">
      <w:pPr>
        <w:pStyle w:val="TableParagraph"/>
        <w:spacing w:line="360" w:lineRule="auto"/>
        <w:ind w:left="0"/>
        <w:rPr>
          <w:b/>
          <w:color w:val="000000" w:themeColor="text1"/>
          <w:sz w:val="24"/>
          <w:szCs w:val="24"/>
        </w:rPr>
      </w:pPr>
    </w:p>
    <w:p w14:paraId="69156F29" w14:textId="77777777" w:rsidR="005B2E57" w:rsidRDefault="005B2E57" w:rsidP="000A2692">
      <w:pPr>
        <w:pStyle w:val="TableParagraph"/>
        <w:spacing w:line="360" w:lineRule="auto"/>
        <w:ind w:left="0"/>
        <w:rPr>
          <w:b/>
          <w:color w:val="000000" w:themeColor="text1"/>
          <w:sz w:val="24"/>
          <w:szCs w:val="24"/>
        </w:rPr>
      </w:pPr>
    </w:p>
    <w:p w14:paraId="1AD5C156" w14:textId="1A026626"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METHODOLOGY</w:t>
      </w:r>
    </w:p>
    <w:p w14:paraId="127925CD" w14:textId="77777777"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Procurement of raw materials</w:t>
      </w:r>
    </w:p>
    <w:p w14:paraId="4CABE677" w14:textId="599F2716" w:rsidR="00824D26" w:rsidRPr="005B2E57" w:rsidRDefault="00824D26" w:rsidP="00824D26">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The </w:t>
      </w:r>
      <w:commentRangeStart w:id="3"/>
      <w:r w:rsidRPr="005B2E57">
        <w:rPr>
          <w:rFonts w:ascii="Times New Roman" w:hAnsi="Times New Roman" w:cs="Times New Roman"/>
          <w:color w:val="000000" w:themeColor="text1"/>
          <w:sz w:val="24"/>
          <w:szCs w:val="24"/>
        </w:rPr>
        <w:t xml:space="preserve">oyster mushrooms </w:t>
      </w:r>
      <w:commentRangeEnd w:id="3"/>
      <w:r w:rsidR="00F41F4A">
        <w:rPr>
          <w:rStyle w:val="CommentReference"/>
        </w:rPr>
        <w:commentReference w:id="3"/>
      </w:r>
      <w:r w:rsidRPr="005B2E57">
        <w:rPr>
          <w:rFonts w:ascii="Times New Roman" w:hAnsi="Times New Roman" w:cs="Times New Roman"/>
          <w:color w:val="000000" w:themeColor="text1"/>
          <w:sz w:val="24"/>
          <w:szCs w:val="24"/>
        </w:rPr>
        <w:t>were procured from</w:t>
      </w:r>
      <w:r w:rsidRPr="005B2E57">
        <w:rPr>
          <w:rFonts w:ascii="Times New Roman" w:hAnsi="Times New Roman" w:cs="Times New Roman"/>
          <w:b/>
          <w:color w:val="000000" w:themeColor="text1"/>
          <w:sz w:val="24"/>
          <w:szCs w:val="24"/>
        </w:rPr>
        <w:t xml:space="preserve"> </w:t>
      </w:r>
      <w:r w:rsidRPr="005B2E57">
        <w:rPr>
          <w:rFonts w:ascii="Times New Roman" w:hAnsi="Times New Roman" w:cs="Times New Roman"/>
          <w:color w:val="000000" w:themeColor="text1"/>
          <w:sz w:val="24"/>
          <w:szCs w:val="24"/>
        </w:rPr>
        <w:t>Advance Centre for Skill Development in Mushroom Production Technology, Department of Agricultural Microbiology, UAS, GKVK, Bengaluru. The chemicals and natural preservatives like salt, sugar, vinegar, citric acid and potassium metabisulphate which were of food grade were procured from local market of Bangalore.</w:t>
      </w:r>
    </w:p>
    <w:p w14:paraId="42F4EFB5" w14:textId="77777777"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Process optimization of drying</w:t>
      </w:r>
    </w:p>
    <w:p w14:paraId="499CBB5C" w14:textId="6428115F" w:rsidR="00824D26" w:rsidRPr="005B2E57" w:rsidRDefault="00824D26" w:rsidP="00824D26">
      <w:pPr>
        <w:spacing w:before="120" w:after="12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Freshly cleaned oyster mushroom </w:t>
      </w:r>
      <w:commentRangeStart w:id="4"/>
      <w:r w:rsidRPr="005B2E57">
        <w:rPr>
          <w:rFonts w:ascii="Times New Roman" w:hAnsi="Times New Roman" w:cs="Times New Roman"/>
          <w:color w:val="000000" w:themeColor="text1"/>
          <w:sz w:val="24"/>
          <w:szCs w:val="24"/>
        </w:rPr>
        <w:t>samples</w:t>
      </w:r>
      <w:commentRangeEnd w:id="4"/>
      <w:r w:rsidR="00F41F4A">
        <w:rPr>
          <w:rStyle w:val="CommentReference"/>
        </w:rPr>
        <w:commentReference w:id="4"/>
      </w:r>
      <w:r w:rsidRPr="005B2E57">
        <w:rPr>
          <w:rFonts w:ascii="Times New Roman" w:hAnsi="Times New Roman" w:cs="Times New Roman"/>
          <w:color w:val="000000" w:themeColor="text1"/>
          <w:sz w:val="24"/>
          <w:szCs w:val="24"/>
        </w:rPr>
        <w:t xml:space="preserve"> underwent five distinct treatments: brine solution (BS), sugar solution (SS), vinegar (VG), citric acid (CA), and potassium </w:t>
      </w:r>
      <w:r w:rsidRPr="005B2E57">
        <w:rPr>
          <w:rFonts w:ascii="Times New Roman" w:hAnsi="Times New Roman" w:cs="Times New Roman"/>
          <w:color w:val="000000" w:themeColor="text1"/>
          <w:sz w:val="24"/>
          <w:szCs w:val="24"/>
        </w:rPr>
        <w:lastRenderedPageBreak/>
        <w:t xml:space="preserve">metabisulphite (KMS), each applied in three different concentrations (0.1%, 0.25% and 0.5%). Samples were blanched at 85°C for 1 minute. </w:t>
      </w:r>
      <w:commentRangeStart w:id="5"/>
      <w:r w:rsidRPr="005B2E57">
        <w:rPr>
          <w:rFonts w:ascii="Times New Roman" w:hAnsi="Times New Roman" w:cs="Times New Roman"/>
          <w:color w:val="000000" w:themeColor="text1"/>
          <w:sz w:val="24"/>
          <w:szCs w:val="24"/>
        </w:rPr>
        <w:t>They were then soaked for 1 hour the brine solution same procedure was followed for sugar solution</w:t>
      </w:r>
      <w:commentRangeEnd w:id="5"/>
      <w:r w:rsidR="00F41F4A">
        <w:rPr>
          <w:rStyle w:val="CommentReference"/>
        </w:rPr>
        <w:commentReference w:id="5"/>
      </w:r>
      <w:r w:rsidRPr="005B2E57">
        <w:rPr>
          <w:rFonts w:ascii="Times New Roman" w:hAnsi="Times New Roman" w:cs="Times New Roman"/>
          <w:color w:val="000000" w:themeColor="text1"/>
          <w:sz w:val="24"/>
          <w:szCs w:val="24"/>
        </w:rPr>
        <w:t>. The samples were pretreated with potassium metabisulphite (KMS) during the blanching process and same procedure was repeated for vinegar and citric acid treatments. After pretreatment, the samples were dried in a hot air oven at three temperatures: 50°C for 6.5 hours, 55°C for 5.5 hours, and 60°C for 4.5 hours. The dried mushrooms were ground using kitchen blender, passed through a BSS-72 mesh sieve (210 microns), and stored in airtight pouches at -20°C until further analysis.</w:t>
      </w:r>
    </w:p>
    <w:p w14:paraId="453AA0FC" w14:textId="18E511CC"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Estimation of anti-nutritional factors</w:t>
      </w:r>
    </w:p>
    <w:p w14:paraId="3CB565ED" w14:textId="77777777" w:rsidR="00824D26" w:rsidRPr="005B2E57" w:rsidRDefault="00824D26" w:rsidP="006D292C">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Qualitative</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assay,</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for</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5"/>
          <w:sz w:val="24"/>
          <w:szCs w:val="24"/>
        </w:rPr>
        <w:t xml:space="preserve"> </w:t>
      </w:r>
      <w:r w:rsidRPr="005B2E57">
        <w:rPr>
          <w:rFonts w:ascii="Times New Roman" w:hAnsi="Times New Roman" w:cs="Times New Roman"/>
          <w:color w:val="000000" w:themeColor="text1"/>
          <w:sz w:val="24"/>
          <w:szCs w:val="24"/>
        </w:rPr>
        <w:t>presence</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plant</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primary</w:t>
      </w:r>
      <w:r w:rsidRPr="005B2E57">
        <w:rPr>
          <w:rFonts w:ascii="Times New Roman" w:hAnsi="Times New Roman" w:cs="Times New Roman"/>
          <w:color w:val="000000" w:themeColor="text1"/>
          <w:spacing w:val="-6"/>
          <w:sz w:val="24"/>
          <w:szCs w:val="24"/>
        </w:rPr>
        <w:t xml:space="preserve"> </w:t>
      </w:r>
      <w:r w:rsidRPr="005B2E57">
        <w:rPr>
          <w:rFonts w:ascii="Times New Roman" w:hAnsi="Times New Roman" w:cs="Times New Roman"/>
          <w:color w:val="000000" w:themeColor="text1"/>
          <w:sz w:val="24"/>
          <w:szCs w:val="24"/>
        </w:rPr>
        <w:t>and</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secondary</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metabolites</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was carried</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out</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on</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extract of</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corn</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silk</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in</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different</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solvents.</w:t>
      </w:r>
      <w:r w:rsidRPr="005B2E57">
        <w:rPr>
          <w:rFonts w:ascii="Times New Roman" w:hAnsi="Times New Roman" w:cs="Times New Roman"/>
          <w:color w:val="000000" w:themeColor="text1"/>
          <w:spacing w:val="-6"/>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presence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or absence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the phytochemical</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constituents</w:t>
      </w:r>
      <w:r w:rsidRPr="005B2E57">
        <w:rPr>
          <w:rFonts w:ascii="Times New Roman" w:hAnsi="Times New Roman" w:cs="Times New Roman"/>
          <w:color w:val="000000" w:themeColor="text1"/>
          <w:spacing w:val="-5"/>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material</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was</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analyzed</w:t>
      </w:r>
      <w:r w:rsidRPr="005B2E57">
        <w:rPr>
          <w:rFonts w:ascii="Times New Roman" w:hAnsi="Times New Roman" w:cs="Times New Roman"/>
          <w:color w:val="000000" w:themeColor="text1"/>
          <w:spacing w:val="-4"/>
          <w:sz w:val="24"/>
          <w:szCs w:val="24"/>
        </w:rPr>
        <w:t xml:space="preserve"> for oxalates, phytates, saponins and trypsin inhibitors </w:t>
      </w:r>
      <w:r w:rsidRPr="005B2E57">
        <w:rPr>
          <w:rFonts w:ascii="Times New Roman" w:hAnsi="Times New Roman" w:cs="Times New Roman"/>
          <w:color w:val="000000" w:themeColor="text1"/>
          <w:sz w:val="24"/>
          <w:szCs w:val="24"/>
        </w:rPr>
        <w:t>using</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3"/>
          <w:sz w:val="24"/>
          <w:szCs w:val="24"/>
        </w:rPr>
        <w:t xml:space="preserve"> </w:t>
      </w:r>
      <w:r w:rsidRPr="005B2E57">
        <w:rPr>
          <w:rFonts w:ascii="Times New Roman" w:hAnsi="Times New Roman" w:cs="Times New Roman"/>
          <w:color w:val="000000" w:themeColor="text1"/>
          <w:sz w:val="24"/>
          <w:szCs w:val="24"/>
        </w:rPr>
        <w:t>standard</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methods</w:t>
      </w:r>
      <w:r w:rsidRPr="005B2E57">
        <w:rPr>
          <w:rFonts w:ascii="Times New Roman" w:hAnsi="Times New Roman" w:cs="Times New Roman"/>
          <w:color w:val="000000" w:themeColor="text1"/>
          <w:spacing w:val="-15"/>
          <w:sz w:val="24"/>
          <w:szCs w:val="24"/>
        </w:rPr>
        <w:t xml:space="preserve"> </w:t>
      </w:r>
      <w:r w:rsidRPr="005B2E57">
        <w:rPr>
          <w:rFonts w:ascii="Times New Roman" w:hAnsi="Times New Roman" w:cs="Times New Roman"/>
          <w:color w:val="000000" w:themeColor="text1"/>
          <w:sz w:val="24"/>
          <w:szCs w:val="24"/>
        </w:rPr>
        <w:t xml:space="preserve">(Day and Underwood, 1986; Mohammed </w:t>
      </w:r>
      <w:r w:rsidRPr="005B2E57">
        <w:rPr>
          <w:rFonts w:ascii="Times New Roman" w:hAnsi="Times New Roman" w:cs="Times New Roman"/>
          <w:i/>
          <w:color w:val="000000" w:themeColor="text1"/>
          <w:sz w:val="24"/>
          <w:szCs w:val="24"/>
        </w:rPr>
        <w:t xml:space="preserve">et al., </w:t>
      </w:r>
      <w:r w:rsidRPr="005B2E57">
        <w:rPr>
          <w:rFonts w:ascii="Times New Roman" w:hAnsi="Times New Roman" w:cs="Times New Roman"/>
          <w:color w:val="000000" w:themeColor="text1"/>
          <w:sz w:val="24"/>
          <w:szCs w:val="24"/>
        </w:rPr>
        <w:t>1986; AOAC, 1990; Vadivel and Pugalenthi, 2008).</w:t>
      </w:r>
    </w:p>
    <w:p w14:paraId="707E2F28" w14:textId="2494A376"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bCs/>
          <w:color w:val="000000" w:themeColor="text1"/>
          <w:sz w:val="24"/>
          <w:szCs w:val="24"/>
        </w:rPr>
        <w:t>Oxalates</w:t>
      </w:r>
      <w:r w:rsidRPr="005B2E57">
        <w:rPr>
          <w:rFonts w:ascii="Times New Roman" w:hAnsi="Times New Roman" w:cs="Times New Roman"/>
          <w:color w:val="000000" w:themeColor="text1"/>
          <w:sz w:val="24"/>
          <w:szCs w:val="24"/>
        </w:rPr>
        <w:t xml:space="preserve">: The titration method as described by </w:t>
      </w:r>
      <w:bookmarkStart w:id="6" w:name="_Hlk182242151"/>
      <w:r w:rsidRPr="005B2E57">
        <w:rPr>
          <w:rFonts w:ascii="Times New Roman" w:hAnsi="Times New Roman" w:cs="Times New Roman"/>
          <w:color w:val="000000" w:themeColor="text1"/>
          <w:sz w:val="24"/>
          <w:szCs w:val="24"/>
        </w:rPr>
        <w:t xml:space="preserve">Day &amp; Underwood (1986) </w:t>
      </w:r>
      <w:bookmarkEnd w:id="6"/>
      <w:r w:rsidRPr="005B2E57">
        <w:rPr>
          <w:rFonts w:ascii="Times New Roman" w:hAnsi="Times New Roman" w:cs="Times New Roman"/>
          <w:color w:val="000000" w:themeColor="text1"/>
          <w:sz w:val="24"/>
          <w:szCs w:val="24"/>
        </w:rPr>
        <w:t xml:space="preserve">was followed. One g of sample was weighed into 100 mL conical flask. 75 mL </w:t>
      </w:r>
      <w:commentRangeStart w:id="7"/>
      <w:r w:rsidRPr="005B2E57">
        <w:rPr>
          <w:rFonts w:ascii="Times New Roman" w:hAnsi="Times New Roman" w:cs="Times New Roman"/>
          <w:color w:val="000000" w:themeColor="text1"/>
          <w:sz w:val="24"/>
          <w:szCs w:val="24"/>
        </w:rPr>
        <w:t>3MH</w:t>
      </w:r>
      <w:r w:rsidRPr="005B2E57">
        <w:rPr>
          <w:rFonts w:ascii="Times New Roman" w:hAnsi="Times New Roman" w:cs="Times New Roman"/>
          <w:color w:val="000000" w:themeColor="text1"/>
          <w:sz w:val="24"/>
          <w:szCs w:val="24"/>
          <w:vertAlign w:val="subscript"/>
        </w:rPr>
        <w:t>2</w:t>
      </w:r>
      <w:r w:rsidRPr="005B2E57">
        <w:rPr>
          <w:rFonts w:ascii="Times New Roman" w:hAnsi="Times New Roman" w:cs="Times New Roman"/>
          <w:color w:val="000000" w:themeColor="text1"/>
          <w:sz w:val="24"/>
          <w:szCs w:val="24"/>
        </w:rPr>
        <w:t>SO</w:t>
      </w:r>
      <w:r w:rsidRPr="005B2E57">
        <w:rPr>
          <w:rFonts w:ascii="Times New Roman" w:hAnsi="Times New Roman" w:cs="Times New Roman"/>
          <w:color w:val="000000" w:themeColor="text1"/>
          <w:sz w:val="24"/>
          <w:szCs w:val="24"/>
          <w:vertAlign w:val="subscript"/>
        </w:rPr>
        <w:t>4</w:t>
      </w:r>
      <w:commentRangeEnd w:id="7"/>
      <w:r w:rsidR="00F41F4A">
        <w:rPr>
          <w:rStyle w:val="CommentReference"/>
        </w:rPr>
        <w:commentReference w:id="7"/>
      </w:r>
      <w:r w:rsidRPr="005B2E57">
        <w:rPr>
          <w:rFonts w:ascii="Times New Roman" w:hAnsi="Times New Roman" w:cs="Times New Roman"/>
          <w:color w:val="000000" w:themeColor="text1"/>
          <w:sz w:val="24"/>
          <w:szCs w:val="24"/>
          <w:vertAlign w:val="subscript"/>
        </w:rPr>
        <w:t xml:space="preserve"> </w:t>
      </w:r>
      <w:r w:rsidRPr="005B2E57">
        <w:rPr>
          <w:rFonts w:ascii="Times New Roman" w:hAnsi="Times New Roman" w:cs="Times New Roman"/>
          <w:color w:val="000000" w:themeColor="text1"/>
          <w:sz w:val="24"/>
          <w:szCs w:val="24"/>
        </w:rPr>
        <w:t>were added and stirred for 1 h with a magnetic stirrer. This was filtered using a Whatman No 1 filter paper. 25 mL of the filtrate were then taken and titrated while hot against 0.05 M KMnO</w:t>
      </w:r>
      <w:r w:rsidRPr="005B2E57">
        <w:rPr>
          <w:rFonts w:ascii="Times New Roman" w:hAnsi="Times New Roman" w:cs="Times New Roman"/>
          <w:color w:val="000000" w:themeColor="text1"/>
          <w:sz w:val="24"/>
          <w:szCs w:val="24"/>
          <w:vertAlign w:val="subscript"/>
        </w:rPr>
        <w:t>4</w:t>
      </w:r>
      <w:r w:rsidRPr="005B2E57">
        <w:rPr>
          <w:rFonts w:ascii="Times New Roman" w:hAnsi="Times New Roman" w:cs="Times New Roman"/>
          <w:color w:val="000000" w:themeColor="text1"/>
          <w:sz w:val="24"/>
          <w:szCs w:val="24"/>
        </w:rPr>
        <w:t xml:space="preserve"> solution until a faint pink colour persisted for at least 30 sec. The oxalate content was then calculated by taking 1 mL of 0.05 M KMnO</w:t>
      </w:r>
      <w:r w:rsidRPr="005B2E57">
        <w:rPr>
          <w:rFonts w:ascii="Times New Roman" w:hAnsi="Times New Roman" w:cs="Times New Roman"/>
          <w:color w:val="000000" w:themeColor="text1"/>
          <w:sz w:val="24"/>
          <w:szCs w:val="24"/>
          <w:vertAlign w:val="subscript"/>
        </w:rPr>
        <w:t>4</w:t>
      </w:r>
      <w:r w:rsidRPr="005B2E57">
        <w:rPr>
          <w:rFonts w:ascii="Times New Roman" w:hAnsi="Times New Roman" w:cs="Times New Roman"/>
          <w:color w:val="000000" w:themeColor="text1"/>
          <w:sz w:val="24"/>
          <w:szCs w:val="24"/>
        </w:rPr>
        <w:t xml:space="preserve"> as equivalent to 2.2 mg oxalate.</w:t>
      </w:r>
    </w:p>
    <w:p w14:paraId="60F0AA5B" w14:textId="448673F0"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t xml:space="preserve">Phytates: </w:t>
      </w:r>
      <w:r w:rsidRPr="005B2E57">
        <w:rPr>
          <w:rFonts w:ascii="Times New Roman" w:hAnsi="Times New Roman" w:cs="Times New Roman"/>
          <w:color w:val="000000" w:themeColor="text1"/>
          <w:sz w:val="24"/>
          <w:szCs w:val="24"/>
        </w:rPr>
        <w:t xml:space="preserve">Phytate was extracted according to the procedure described by </w:t>
      </w:r>
      <w:bookmarkStart w:id="8" w:name="_Hlk182242183"/>
      <w:r w:rsidRPr="005B2E57">
        <w:rPr>
          <w:rFonts w:ascii="Times New Roman" w:hAnsi="Times New Roman" w:cs="Times New Roman"/>
          <w:color w:val="000000" w:themeColor="text1"/>
          <w:sz w:val="24"/>
          <w:szCs w:val="24"/>
        </w:rPr>
        <w:t xml:space="preserve">Mohammed </w:t>
      </w:r>
      <w:r w:rsidRPr="005B2E57">
        <w:rPr>
          <w:rFonts w:ascii="Times New Roman" w:hAnsi="Times New Roman" w:cs="Times New Roman"/>
          <w:i/>
          <w:color w:val="000000" w:themeColor="text1"/>
          <w:sz w:val="24"/>
          <w:szCs w:val="24"/>
        </w:rPr>
        <w:t xml:space="preserve">et al. </w:t>
      </w:r>
      <w:r w:rsidRPr="005B2E57">
        <w:rPr>
          <w:rFonts w:ascii="Times New Roman" w:hAnsi="Times New Roman" w:cs="Times New Roman"/>
          <w:color w:val="000000" w:themeColor="text1"/>
          <w:sz w:val="24"/>
          <w:szCs w:val="24"/>
        </w:rPr>
        <w:t>(1986)</w:t>
      </w:r>
      <w:bookmarkEnd w:id="8"/>
      <w:r w:rsidRPr="005B2E57">
        <w:rPr>
          <w:rFonts w:ascii="Times New Roman" w:hAnsi="Times New Roman" w:cs="Times New Roman"/>
          <w:color w:val="000000" w:themeColor="text1"/>
          <w:sz w:val="24"/>
          <w:szCs w:val="24"/>
        </w:rPr>
        <w:t>. One g Sample was extracted with 3% tri-</w:t>
      </w:r>
      <w:proofErr w:type="spellStart"/>
      <w:r w:rsidRPr="005B2E57">
        <w:rPr>
          <w:rFonts w:ascii="Times New Roman" w:hAnsi="Times New Roman" w:cs="Times New Roman"/>
          <w:color w:val="000000" w:themeColor="text1"/>
          <w:sz w:val="24"/>
          <w:szCs w:val="24"/>
        </w:rPr>
        <w:t>chloro</w:t>
      </w:r>
      <w:proofErr w:type="spellEnd"/>
      <w:r w:rsidRPr="005B2E57">
        <w:rPr>
          <w:rFonts w:ascii="Times New Roman" w:hAnsi="Times New Roman" w:cs="Times New Roman"/>
          <w:color w:val="000000" w:themeColor="text1"/>
          <w:sz w:val="24"/>
          <w:szCs w:val="24"/>
        </w:rPr>
        <w:t xml:space="preserve"> acetic acid (TCA) at 37°C for 45 min with simple shaking followed by centrifugation and extraction by using anion exchange column. The extracted phytate (0.2 mL) was mixed with 4.6 ml of distilled water and 0.2 mL of chromogenic solution and the tubes were heated in a water bath at 95°C for 30 min, and then were allowed to cool. </w:t>
      </w:r>
      <w:commentRangeStart w:id="9"/>
      <w:r w:rsidRPr="005B2E57">
        <w:rPr>
          <w:rFonts w:ascii="Times New Roman" w:hAnsi="Times New Roman" w:cs="Times New Roman"/>
          <w:color w:val="000000" w:themeColor="text1"/>
          <w:sz w:val="24"/>
          <w:szCs w:val="24"/>
        </w:rPr>
        <w:t xml:space="preserve">The developed color was read at 830 nm against blank. </w:t>
      </w:r>
      <w:commentRangeEnd w:id="9"/>
      <w:r w:rsidR="00F41F4A">
        <w:rPr>
          <w:rStyle w:val="CommentReference"/>
        </w:rPr>
        <w:commentReference w:id="9"/>
      </w:r>
      <w:r w:rsidRPr="005B2E57">
        <w:rPr>
          <w:rFonts w:ascii="Times New Roman" w:hAnsi="Times New Roman" w:cs="Times New Roman"/>
          <w:color w:val="000000" w:themeColor="text1"/>
          <w:sz w:val="24"/>
          <w:szCs w:val="24"/>
        </w:rPr>
        <w:t>Standard phytate solution was prepared by dissolving sodium phytate in distilled water to prepare different phytate concentrations as described above in the tested samples. The amount of phytate in the tested samples was expressed as mg phytate/100 g sample.</w:t>
      </w:r>
    </w:p>
    <w:p w14:paraId="56E8D870" w14:textId="6B54B68B"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lastRenderedPageBreak/>
        <w:t xml:space="preserve">Saponins: </w:t>
      </w:r>
      <w:r w:rsidRPr="005B2E57">
        <w:rPr>
          <w:rFonts w:ascii="Times New Roman" w:hAnsi="Times New Roman" w:cs="Times New Roman"/>
          <w:color w:val="000000" w:themeColor="text1"/>
          <w:sz w:val="24"/>
          <w:szCs w:val="24"/>
        </w:rPr>
        <w:t xml:space="preserve">Estimation of saponins was done by the double solvent extraction gravimetric method (A.O.A.C., 1990). Two grams (2g) of the processed sample were mixed with 100ml of 20% aqueous ethanol solution and </w:t>
      </w:r>
      <w:commentRangeStart w:id="10"/>
      <w:r w:rsidRPr="005B2E57">
        <w:rPr>
          <w:rFonts w:ascii="Times New Roman" w:hAnsi="Times New Roman" w:cs="Times New Roman"/>
          <w:color w:val="000000" w:themeColor="text1"/>
          <w:sz w:val="24"/>
          <w:szCs w:val="24"/>
        </w:rPr>
        <w:t xml:space="preserve">incubation </w:t>
      </w:r>
      <w:commentRangeEnd w:id="10"/>
      <w:r w:rsidR="00F41F4A">
        <w:rPr>
          <w:rStyle w:val="CommentReference"/>
        </w:rPr>
        <w:commentReference w:id="10"/>
      </w:r>
      <w:r w:rsidRPr="005B2E57">
        <w:rPr>
          <w:rFonts w:ascii="Times New Roman" w:hAnsi="Times New Roman" w:cs="Times New Roman"/>
          <w:color w:val="000000" w:themeColor="text1"/>
          <w:sz w:val="24"/>
          <w:szCs w:val="24"/>
        </w:rPr>
        <w:t>for 12hour at a temperature of 55 °C with constant agitation. After that, the mixture was filtered through Whatman No. 42 grade of filter paper. The residue was re-extracted with 50ml of the ethanol solution for 30 minutes and the extracts weighed together. The combined extract was reduced to about 40 mL by evaporation and then transferred to a separating funnel and equal volume (40 mL) of diethyl ether was added to it. After mixing well, there was partition and the upper layer was discarded while the lower aqueous layer was re-extracted with the ether after which its pH was reduced to 4.5 with drop wise addition of NaOH solution. Saponin in the extract was taken up in successive extraction with 5% of NaCl solution and evaporated with a water bath in a previously weighed evaporation dish. The saponin was then dried in an oven at 60 °C (to remove any residual solvent), cooled in a desiccator and reweighed. The saponin content was calculated as shown below:</w:t>
      </w:r>
    </w:p>
    <w:p w14:paraId="2AA56965" w14:textId="7C73AF1C" w:rsidR="00824D26" w:rsidRPr="005B2E57" w:rsidRDefault="00824D26" w:rsidP="00282F54">
      <w:pPr>
        <w:spacing w:after="0" w:line="240" w:lineRule="auto"/>
        <w:jc w:val="center"/>
        <w:rPr>
          <w:rFonts w:ascii="Times New Roman" w:hAnsi="Times New Roman" w:cs="Times New Roman"/>
          <w:color w:val="000000" w:themeColor="text1"/>
          <w:sz w:val="24"/>
          <w:szCs w:val="24"/>
          <w:u w:val="single"/>
        </w:rPr>
      </w:pPr>
      <w:r w:rsidRPr="005B2E57">
        <w:rPr>
          <w:rFonts w:ascii="Times New Roman" w:hAnsi="Times New Roman" w:cs="Times New Roman"/>
          <w:color w:val="000000" w:themeColor="text1"/>
          <w:sz w:val="24"/>
          <w:szCs w:val="24"/>
        </w:rPr>
        <w:t xml:space="preserve">%Saponin = </w:t>
      </w:r>
      <w:r w:rsidRPr="005B2E57">
        <w:rPr>
          <w:rFonts w:ascii="Times New Roman" w:hAnsi="Times New Roman" w:cs="Times New Roman"/>
          <w:color w:val="000000" w:themeColor="text1"/>
          <w:sz w:val="24"/>
          <w:szCs w:val="24"/>
          <w:u w:val="single"/>
        </w:rPr>
        <w:t>W</w:t>
      </w:r>
      <w:r w:rsidRPr="005B2E57">
        <w:rPr>
          <w:rFonts w:ascii="Times New Roman" w:hAnsi="Times New Roman" w:cs="Times New Roman"/>
          <w:color w:val="000000" w:themeColor="text1"/>
          <w:sz w:val="24"/>
          <w:szCs w:val="24"/>
          <w:u w:val="single"/>
          <w:vertAlign w:val="subscript"/>
        </w:rPr>
        <w:t>2</w:t>
      </w:r>
      <w:r w:rsidR="00282F54" w:rsidRPr="005B2E57">
        <w:rPr>
          <w:rFonts w:ascii="Times New Roman" w:hAnsi="Times New Roman" w:cs="Times New Roman"/>
          <w:color w:val="000000" w:themeColor="text1"/>
          <w:sz w:val="24"/>
          <w:szCs w:val="24"/>
          <w:u w:val="single"/>
          <w:vertAlign w:val="subscript"/>
        </w:rPr>
        <w:t xml:space="preserve"> </w:t>
      </w:r>
      <w:r w:rsidRPr="005B2E57">
        <w:rPr>
          <w:rFonts w:ascii="Times New Roman" w:hAnsi="Times New Roman" w:cs="Times New Roman"/>
          <w:color w:val="000000" w:themeColor="text1"/>
          <w:sz w:val="24"/>
          <w:szCs w:val="24"/>
          <w:u w:val="single"/>
        </w:rPr>
        <w:t>-W</w:t>
      </w:r>
      <w:r w:rsidRPr="005B2E57">
        <w:rPr>
          <w:rFonts w:ascii="Times New Roman" w:hAnsi="Times New Roman" w:cs="Times New Roman"/>
          <w:color w:val="000000" w:themeColor="text1"/>
          <w:sz w:val="24"/>
          <w:szCs w:val="24"/>
          <w:u w:val="single"/>
          <w:vertAlign w:val="subscript"/>
        </w:rPr>
        <w:t>1</w:t>
      </w:r>
    </w:p>
    <w:p w14:paraId="24CC8C1D" w14:textId="31A3DDB6" w:rsidR="00282F54" w:rsidRPr="005B2E57" w:rsidRDefault="00923FD6" w:rsidP="00923FD6">
      <w:pPr>
        <w:spacing w:after="0" w:line="240" w:lineRule="auto"/>
        <w:ind w:left="3600"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          </w:t>
      </w:r>
      <w:r w:rsidR="00282F54" w:rsidRPr="005B2E57">
        <w:rPr>
          <w:rFonts w:ascii="Times New Roman" w:hAnsi="Times New Roman" w:cs="Times New Roman"/>
          <w:color w:val="000000" w:themeColor="text1"/>
          <w:sz w:val="24"/>
          <w:szCs w:val="24"/>
        </w:rPr>
        <w:t>W</w:t>
      </w:r>
    </w:p>
    <w:p w14:paraId="283D3314" w14:textId="7D11B629"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Where W = Weight of sample used</w:t>
      </w:r>
    </w:p>
    <w:p w14:paraId="5AE7737E" w14:textId="0C854185"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t xml:space="preserve">Trypsin inhibitor: </w:t>
      </w:r>
      <w:r w:rsidRPr="005B2E57">
        <w:rPr>
          <w:rFonts w:ascii="Times New Roman" w:hAnsi="Times New Roman" w:cs="Times New Roman"/>
          <w:color w:val="000000" w:themeColor="text1"/>
          <w:sz w:val="24"/>
          <w:szCs w:val="24"/>
        </w:rPr>
        <w:t xml:space="preserve">Trypsin inhibitory activity was determined according to the methodology described by </w:t>
      </w:r>
      <w:bookmarkStart w:id="11" w:name="_Hlk182242228"/>
      <w:r w:rsidRPr="005B2E57">
        <w:rPr>
          <w:rFonts w:ascii="Times New Roman" w:hAnsi="Times New Roman" w:cs="Times New Roman"/>
          <w:color w:val="000000" w:themeColor="text1"/>
          <w:sz w:val="24"/>
          <w:szCs w:val="24"/>
        </w:rPr>
        <w:t>Vadivel and Pugalenthi (2008</w:t>
      </w:r>
      <w:bookmarkEnd w:id="11"/>
      <w:r w:rsidRPr="005B2E57">
        <w:rPr>
          <w:rFonts w:ascii="Times New Roman" w:hAnsi="Times New Roman" w:cs="Times New Roman"/>
          <w:color w:val="000000" w:themeColor="text1"/>
          <w:sz w:val="24"/>
          <w:szCs w:val="24"/>
        </w:rPr>
        <w:t>) by taking 2 g of the seed sample which was shaken in 30 ml of 0.1 M sodium phosphate buffer (pH 7.6) for 4 h.</w:t>
      </w:r>
      <w:r w:rsidR="00282F54"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The contents were centrifuged at 12,000 rpm for 20 min at 0°C. The clear supernatant obtained was dialyzed against 0.05 M sodium phosphate buffer (pH 7.6). The resulting dialyzed extract was used for the trypsin inhibitor assay procedure, which consisted of a reaction mixture of an appropriate amount of enzyme, inhibitor extract and buffer (0.1 M sodium phosphate buffer, pH 7.6). The mixture was incubated for 10 min at 37°C and the reaction was initiated by adding 1 ml of 2% casein solution (substrate). The reaction was stopped exactly after 20 min by adding 3 ml of 5% trichloroacetic acid solution. After standing for 20 minutes at room temperature, the solution was centrifuged at 2000 x g for 10 minutes. The resulting clear supernatant was analysed for residual enzyme activity.</w:t>
      </w:r>
      <w:r w:rsidR="00282F54"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 xml:space="preserve">A trypsin inhibitor unit (TIU) is </w:t>
      </w:r>
      <w:r w:rsidRPr="005B2E57">
        <w:rPr>
          <w:rFonts w:ascii="Times New Roman" w:hAnsi="Times New Roman" w:cs="Times New Roman"/>
          <w:color w:val="000000" w:themeColor="text1"/>
          <w:sz w:val="24"/>
          <w:szCs w:val="24"/>
        </w:rPr>
        <w:lastRenderedPageBreak/>
        <w:t>defined as the number of trypsin units inhibited per 1 ml of the extract and expressed as TIU/kg DM.</w:t>
      </w:r>
    </w:p>
    <w:p w14:paraId="62C94B8C" w14:textId="5F64168B" w:rsidR="00282F54" w:rsidRPr="005B2E57" w:rsidRDefault="00282F54" w:rsidP="00282F54">
      <w:pPr>
        <w:pStyle w:val="BodyText"/>
        <w:spacing w:before="240" w:after="240" w:line="360" w:lineRule="auto"/>
        <w:jc w:val="both"/>
        <w:rPr>
          <w:color w:val="000000" w:themeColor="text1"/>
        </w:rPr>
      </w:pPr>
      <w:r w:rsidRPr="005B2E57">
        <w:rPr>
          <w:b/>
          <w:color w:val="000000" w:themeColor="text1"/>
        </w:rPr>
        <w:t xml:space="preserve">Statistical Analysis: </w:t>
      </w:r>
      <w:r w:rsidRPr="005B2E57">
        <w:rPr>
          <w:color w:val="000000" w:themeColor="text1"/>
        </w:rPr>
        <w:t>The experiments were carried out in triplicates. The data were analysed statistically using SPSS software (IBM, SPSS Statistics 16.0) following ANOVA were employed for analysis.</w:t>
      </w:r>
    </w:p>
    <w:p w14:paraId="2661D532" w14:textId="2CFFB9F2"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RESULTS AND DISCUSSION:</w:t>
      </w:r>
    </w:p>
    <w:p w14:paraId="6A60E32C" w14:textId="77777777" w:rsidR="00FF01E9" w:rsidRPr="005B2E57" w:rsidRDefault="00FF01E9" w:rsidP="00FF01E9">
      <w:pPr>
        <w:spacing w:before="240" w:after="240" w:line="360" w:lineRule="auto"/>
        <w:ind w:firstLine="720"/>
        <w:jc w:val="both"/>
        <w:rPr>
          <w:rFonts w:ascii="Times New Roman" w:hAnsi="Times New Roman" w:cs="Times New Roman"/>
          <w:color w:val="000000" w:themeColor="text1"/>
          <w:sz w:val="24"/>
          <w:szCs w:val="24"/>
        </w:rPr>
      </w:pPr>
      <w:commentRangeStart w:id="12"/>
      <w:r w:rsidRPr="005B2E57">
        <w:rPr>
          <w:rFonts w:ascii="Times New Roman" w:hAnsi="Times New Roman" w:cs="Times New Roman"/>
          <w:color w:val="000000" w:themeColor="text1"/>
          <w:sz w:val="24"/>
          <w:szCs w:val="24"/>
        </w:rPr>
        <w:t>Oyster mushrooms (</w:t>
      </w:r>
      <w:r w:rsidRPr="005B2E57">
        <w:rPr>
          <w:rStyle w:val="Emphasis"/>
          <w:rFonts w:ascii="Times New Roman" w:hAnsi="Times New Roman" w:cs="Times New Roman"/>
          <w:color w:val="000000" w:themeColor="text1"/>
          <w:sz w:val="24"/>
          <w:szCs w:val="24"/>
        </w:rPr>
        <w:t>Pleurotus ostreatus</w:t>
      </w:r>
      <w:r w:rsidRPr="005B2E57">
        <w:rPr>
          <w:rFonts w:ascii="Times New Roman" w:hAnsi="Times New Roman" w:cs="Times New Roman"/>
          <w:color w:val="000000" w:themeColor="text1"/>
          <w:sz w:val="24"/>
          <w:szCs w:val="24"/>
        </w:rPr>
        <w:t xml:space="preserve">) are highly valued for their nutritional benefits, including high-quality proteins, dietary fibers, essential amino acids, vitamins, and minerals. However, like many other food sources, mushrooms contain certain </w:t>
      </w:r>
      <w:r w:rsidRPr="005B2E57">
        <w:rPr>
          <w:rStyle w:val="Strong"/>
          <w:rFonts w:ascii="Times New Roman" w:eastAsiaTheme="majorEastAsia" w:hAnsi="Times New Roman" w:cs="Times New Roman"/>
          <w:b w:val="0"/>
          <w:color w:val="000000" w:themeColor="text1"/>
          <w:sz w:val="24"/>
          <w:szCs w:val="24"/>
        </w:rPr>
        <w:t>antinutritional factors</w:t>
      </w:r>
      <w:r w:rsidRPr="005B2E57">
        <w:rPr>
          <w:rFonts w:ascii="Times New Roman" w:hAnsi="Times New Roman" w:cs="Times New Roman"/>
          <w:color w:val="000000" w:themeColor="text1"/>
          <w:sz w:val="24"/>
          <w:szCs w:val="24"/>
        </w:rPr>
        <w:t xml:space="preserve"> (ANFs) that may reduce their nutritional quality and bioavailability of nutrients. Two prominent antinutritional factors found in mushrooms are </w:t>
      </w:r>
      <w:r w:rsidRPr="005B2E57">
        <w:rPr>
          <w:rStyle w:val="Strong"/>
          <w:rFonts w:ascii="Times New Roman" w:eastAsiaTheme="majorEastAsia" w:hAnsi="Times New Roman" w:cs="Times New Roman"/>
          <w:b w:val="0"/>
          <w:color w:val="000000" w:themeColor="text1"/>
          <w:sz w:val="24"/>
          <w:szCs w:val="24"/>
        </w:rPr>
        <w:t>saponins</w:t>
      </w:r>
      <w:r w:rsidRPr="005B2E57">
        <w:rPr>
          <w:rFonts w:ascii="Times New Roman" w:hAnsi="Times New Roman" w:cs="Times New Roman"/>
          <w:color w:val="000000" w:themeColor="text1"/>
          <w:sz w:val="24"/>
          <w:szCs w:val="24"/>
        </w:rPr>
        <w:t xml:space="preserve"> and </w:t>
      </w:r>
      <w:r w:rsidRPr="005B2E57">
        <w:rPr>
          <w:rStyle w:val="Strong"/>
          <w:rFonts w:ascii="Times New Roman" w:eastAsiaTheme="majorEastAsia" w:hAnsi="Times New Roman" w:cs="Times New Roman"/>
          <w:b w:val="0"/>
          <w:color w:val="000000" w:themeColor="text1"/>
          <w:sz w:val="24"/>
          <w:szCs w:val="24"/>
        </w:rPr>
        <w:t>trypsin inhibitors</w:t>
      </w:r>
      <w:r w:rsidRPr="005B2E57">
        <w:rPr>
          <w:rFonts w:ascii="Times New Roman" w:hAnsi="Times New Roman" w:cs="Times New Roman"/>
          <w:b/>
          <w:color w:val="000000" w:themeColor="text1"/>
          <w:sz w:val="24"/>
          <w:szCs w:val="24"/>
        </w:rPr>
        <w:t>,</w:t>
      </w:r>
      <w:r w:rsidRPr="005B2E57">
        <w:rPr>
          <w:rFonts w:ascii="Times New Roman" w:hAnsi="Times New Roman" w:cs="Times New Roman"/>
          <w:color w:val="000000" w:themeColor="text1"/>
          <w:sz w:val="24"/>
          <w:szCs w:val="24"/>
        </w:rPr>
        <w:t xml:space="preserve"> which can have implications for human health if consumed in large quantities.</w:t>
      </w:r>
    </w:p>
    <w:p w14:paraId="36AD0973" w14:textId="77777777" w:rsidR="00FF01E9" w:rsidRPr="005B2E57" w:rsidRDefault="00FF01E9" w:rsidP="00FF01E9">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Saponins are naturally occurring glycosides widely present in plants and fungi. While they have some health benefits, including cholesterol-lowering and antimicrobial properties but excessive levels of saponins can interfere with nutrient absorption and digestion. Saponins are known to form complexes with proteins and minerals, reducing their bioavailability, and can cause gastrointestinal irritation. The concentration of saponins in mushrooms can vary based on species, cultivation methods and post-harvest treatments.</w:t>
      </w:r>
    </w:p>
    <w:p w14:paraId="06626E77" w14:textId="3BEE0E72" w:rsidR="00FF01E9" w:rsidRPr="005B2E57" w:rsidRDefault="00FF01E9" w:rsidP="00FF01E9">
      <w:pPr>
        <w:spacing w:before="240" w:after="240" w:line="360" w:lineRule="auto"/>
        <w:ind w:firstLine="720"/>
        <w:jc w:val="both"/>
        <w:rPr>
          <w:rFonts w:ascii="Times New Roman" w:eastAsia="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Trypsin inhibitors are proteins that interfere with the activity of trypsin, a key digestive enzyme responsible for breaking down proteins in the digestive system. By binding to trypsin, these inhibitors reduce protein digestion and absorption, potentially leading to </w:t>
      </w:r>
      <w:r w:rsidRPr="005B2E57">
        <w:rPr>
          <w:rFonts w:ascii="Times New Roman" w:eastAsia="Times New Roman" w:hAnsi="Times New Roman" w:cs="Times New Roman"/>
          <w:color w:val="000000" w:themeColor="text1"/>
          <w:sz w:val="24"/>
          <w:szCs w:val="24"/>
        </w:rPr>
        <w:t xml:space="preserve">reduced protein bioavailability. In oyster mushrooms, the presence of trypsin inhibitors is an antinutritional concern, especially in raw or improperly processed mushrooms. </w:t>
      </w:r>
    </w:p>
    <w:p w14:paraId="2CEDA93A" w14:textId="77777777" w:rsidR="00FF01E9" w:rsidRPr="005B2E57" w:rsidRDefault="00FF01E9" w:rsidP="00FF01E9">
      <w:pPr>
        <w:spacing w:before="240" w:after="240" w:line="360" w:lineRule="auto"/>
        <w:ind w:firstLine="720"/>
        <w:jc w:val="both"/>
        <w:rPr>
          <w:rFonts w:ascii="Times New Roman" w:eastAsia="Times New Roman" w:hAnsi="Times New Roman" w:cs="Times New Roman"/>
          <w:bCs/>
          <w:color w:val="000000" w:themeColor="text1"/>
          <w:sz w:val="24"/>
          <w:szCs w:val="24"/>
        </w:rPr>
      </w:pPr>
      <w:r w:rsidRPr="005B2E57">
        <w:rPr>
          <w:rFonts w:ascii="Times New Roman" w:eastAsia="Times New Roman" w:hAnsi="Times New Roman" w:cs="Times New Roman"/>
          <w:bCs/>
          <w:color w:val="000000" w:themeColor="text1"/>
          <w:sz w:val="24"/>
          <w:szCs w:val="24"/>
        </w:rPr>
        <w:t>Oxalic acid can form calcium oxalate, which can lead to kidney stones when consumed in excess, and phytic acid is a strong chelator, forming insoluble complexes with minerals, reducing their absorption in the human gastrointestinal tract. Therefore, it is crucial to reduce these anti-nutritional components through post-harvest processing to improve the nutritional quality of oyster mushrooms.</w:t>
      </w:r>
      <w:commentRangeEnd w:id="12"/>
      <w:r w:rsidR="00BB436A">
        <w:rPr>
          <w:rStyle w:val="CommentReference"/>
        </w:rPr>
        <w:commentReference w:id="12"/>
      </w:r>
    </w:p>
    <w:p w14:paraId="36AFF391" w14:textId="77777777" w:rsidR="00FF01E9" w:rsidRPr="005B2E57" w:rsidRDefault="00FF01E9" w:rsidP="00FF01E9">
      <w:pPr>
        <w:rPr>
          <w:rFonts w:ascii="Times New Roman" w:hAnsi="Times New Roman" w:cs="Times New Roman"/>
          <w:b/>
          <w:bCs/>
          <w:color w:val="000000" w:themeColor="text1"/>
          <w:sz w:val="24"/>
        </w:rPr>
      </w:pPr>
      <w:r w:rsidRPr="005B2E57">
        <w:rPr>
          <w:rFonts w:ascii="Times New Roman" w:hAnsi="Times New Roman" w:cs="Times New Roman"/>
          <w:b/>
          <w:bCs/>
          <w:color w:val="000000" w:themeColor="text1"/>
          <w:sz w:val="24"/>
        </w:rPr>
        <w:lastRenderedPageBreak/>
        <w:t xml:space="preserve">Table 1: </w:t>
      </w:r>
      <w:commentRangeStart w:id="13"/>
      <w:r w:rsidRPr="005B2E57">
        <w:rPr>
          <w:rFonts w:ascii="Times New Roman" w:hAnsi="Times New Roman" w:cs="Times New Roman"/>
          <w:b/>
          <w:bCs/>
          <w:color w:val="000000" w:themeColor="text1"/>
          <w:sz w:val="24"/>
        </w:rPr>
        <w:t>Saponin content in oyster mushroom powder</w:t>
      </w:r>
      <w:commentRangeEnd w:id="13"/>
      <w:r w:rsidR="00BB436A">
        <w:rPr>
          <w:rStyle w:val="CommentReference"/>
        </w:rPr>
        <w:commentReference w:id="13"/>
      </w:r>
    </w:p>
    <w:tbl>
      <w:tblPr>
        <w:tblStyle w:val="TableGrid"/>
        <w:tblW w:w="4051" w:type="pct"/>
        <w:jc w:val="center"/>
        <w:tblLook w:val="04A0" w:firstRow="1" w:lastRow="0" w:firstColumn="1" w:lastColumn="0" w:noHBand="0" w:noVBand="1"/>
      </w:tblPr>
      <w:tblGrid>
        <w:gridCol w:w="2610"/>
        <w:gridCol w:w="1508"/>
        <w:gridCol w:w="1508"/>
        <w:gridCol w:w="1508"/>
      </w:tblGrid>
      <w:tr w:rsidR="00FF01E9" w:rsidRPr="005B2E57" w14:paraId="58CECC6E" w14:textId="77777777" w:rsidTr="004A4D75">
        <w:trPr>
          <w:trHeight w:val="237"/>
          <w:jc w:val="center"/>
        </w:trPr>
        <w:tc>
          <w:tcPr>
            <w:tcW w:w="2013" w:type="pct"/>
            <w:vMerge w:val="restart"/>
            <w:vAlign w:val="center"/>
            <w:hideMark/>
          </w:tcPr>
          <w:p w14:paraId="171FCE8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commentRangeStart w:id="14"/>
            <w:r w:rsidRPr="005B2E57">
              <w:rPr>
                <w:rFonts w:ascii="Times New Roman" w:eastAsia="Calibri" w:hAnsi="Times New Roman" w:cs="Times New Roman"/>
                <w:b/>
                <w:bCs/>
                <w:color w:val="000000" w:themeColor="text1"/>
                <w:kern w:val="24"/>
                <w:sz w:val="24"/>
                <w:szCs w:val="24"/>
              </w:rPr>
              <w:t>Samples concentration</w:t>
            </w:r>
            <w:commentRangeEnd w:id="14"/>
            <w:r w:rsidR="00BB436A">
              <w:rPr>
                <w:rStyle w:val="CommentReference"/>
              </w:rPr>
              <w:commentReference w:id="14"/>
            </w:r>
          </w:p>
        </w:tc>
        <w:tc>
          <w:tcPr>
            <w:tcW w:w="2987" w:type="pct"/>
            <w:gridSpan w:val="3"/>
            <w:hideMark/>
          </w:tcPr>
          <w:p w14:paraId="3A43DF0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commentRangeStart w:id="15"/>
            <w:r w:rsidRPr="005B2E57">
              <w:rPr>
                <w:rFonts w:ascii="Times New Roman" w:eastAsia="Calibri" w:hAnsi="Times New Roman" w:cs="Times New Roman"/>
                <w:b/>
                <w:bCs/>
                <w:color w:val="000000" w:themeColor="text1"/>
                <w:kern w:val="24"/>
                <w:sz w:val="24"/>
                <w:szCs w:val="24"/>
              </w:rPr>
              <w:t>Saponins</w:t>
            </w:r>
            <w:commentRangeEnd w:id="15"/>
            <w:r w:rsidR="00BB436A">
              <w:rPr>
                <w:rStyle w:val="CommentReference"/>
              </w:rPr>
              <w:commentReference w:id="15"/>
            </w:r>
          </w:p>
        </w:tc>
      </w:tr>
      <w:tr w:rsidR="00FF01E9" w:rsidRPr="005B2E57" w14:paraId="40B30F8A" w14:textId="77777777" w:rsidTr="004A4D75">
        <w:trPr>
          <w:trHeight w:val="237"/>
          <w:jc w:val="center"/>
        </w:trPr>
        <w:tc>
          <w:tcPr>
            <w:tcW w:w="2013" w:type="pct"/>
            <w:vMerge/>
            <w:hideMark/>
          </w:tcPr>
          <w:p w14:paraId="1085721A" w14:textId="77777777" w:rsidR="00FF01E9" w:rsidRPr="005B2E57" w:rsidRDefault="00FF01E9" w:rsidP="004A4D75">
            <w:pPr>
              <w:spacing w:before="160" w:after="160"/>
              <w:rPr>
                <w:rFonts w:ascii="Times New Roman" w:hAnsi="Times New Roman" w:cs="Times New Roman"/>
                <w:color w:val="000000" w:themeColor="text1"/>
                <w:sz w:val="24"/>
                <w:szCs w:val="24"/>
              </w:rPr>
            </w:pPr>
          </w:p>
        </w:tc>
        <w:tc>
          <w:tcPr>
            <w:tcW w:w="995" w:type="pct"/>
            <w:vAlign w:val="center"/>
            <w:hideMark/>
          </w:tcPr>
          <w:p w14:paraId="6A7716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95" w:type="pct"/>
            <w:vAlign w:val="center"/>
            <w:hideMark/>
          </w:tcPr>
          <w:p w14:paraId="75ABE76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commentRangeStart w:id="16"/>
            <w:r w:rsidRPr="005B2E57">
              <w:rPr>
                <w:rFonts w:ascii="Times New Roman" w:eastAsia="Calibri" w:hAnsi="Times New Roman" w:cs="Times New Roman"/>
                <w:b/>
                <w:bCs/>
                <w:color w:val="000000" w:themeColor="text1"/>
                <w:kern w:val="24"/>
                <w:sz w:val="24"/>
                <w:szCs w:val="24"/>
              </w:rPr>
              <w:t>0.2%</w:t>
            </w:r>
          </w:p>
        </w:tc>
        <w:tc>
          <w:tcPr>
            <w:tcW w:w="996" w:type="pct"/>
            <w:vAlign w:val="center"/>
            <w:hideMark/>
          </w:tcPr>
          <w:p w14:paraId="5ED8DD6A"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commentRangeEnd w:id="16"/>
            <w:r w:rsidR="00BB436A">
              <w:rPr>
                <w:rStyle w:val="CommentReference"/>
              </w:rPr>
              <w:commentReference w:id="16"/>
            </w:r>
          </w:p>
        </w:tc>
      </w:tr>
      <w:tr w:rsidR="00FF01E9" w:rsidRPr="005B2E57" w14:paraId="6CD6CFAC" w14:textId="77777777" w:rsidTr="004A4D75">
        <w:trPr>
          <w:trHeight w:val="237"/>
          <w:jc w:val="center"/>
        </w:trPr>
        <w:tc>
          <w:tcPr>
            <w:tcW w:w="2013" w:type="pct"/>
            <w:hideMark/>
          </w:tcPr>
          <w:p w14:paraId="3067E76B"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95" w:type="pct"/>
            <w:hideMark/>
          </w:tcPr>
          <w:p w14:paraId="1D25B5E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191.77±1.68</w:t>
            </w:r>
            <w:r w:rsidRPr="005B2E57">
              <w:rPr>
                <w:rFonts w:ascii="Times New Roman" w:hAnsi="Times New Roman" w:cs="Times New Roman"/>
                <w:color w:val="000000" w:themeColor="text1"/>
                <w:kern w:val="24"/>
                <w:sz w:val="24"/>
                <w:szCs w:val="24"/>
                <w:vertAlign w:val="superscript"/>
              </w:rPr>
              <w:t>d</w:t>
            </w:r>
          </w:p>
        </w:tc>
        <w:tc>
          <w:tcPr>
            <w:tcW w:w="995" w:type="pct"/>
            <w:hideMark/>
          </w:tcPr>
          <w:p w14:paraId="4ABF79EA"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191.65±0.98</w:t>
            </w:r>
            <w:r w:rsidRPr="005B2E57">
              <w:rPr>
                <w:rFonts w:ascii="Times New Roman" w:hAnsi="Times New Roman" w:cs="Times New Roman"/>
                <w:color w:val="000000" w:themeColor="text1"/>
                <w:kern w:val="24"/>
                <w:sz w:val="24"/>
                <w:szCs w:val="24"/>
                <w:vertAlign w:val="superscript"/>
              </w:rPr>
              <w:t>c</w:t>
            </w:r>
          </w:p>
        </w:tc>
        <w:tc>
          <w:tcPr>
            <w:tcW w:w="996" w:type="pct"/>
            <w:hideMark/>
          </w:tcPr>
          <w:p w14:paraId="2EB4E58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188.85±1.63</w:t>
            </w:r>
            <w:r w:rsidRPr="005B2E57">
              <w:rPr>
                <w:rFonts w:ascii="Times New Roman" w:hAnsi="Times New Roman" w:cs="Times New Roman"/>
                <w:color w:val="000000" w:themeColor="text1"/>
                <w:kern w:val="24"/>
                <w:sz w:val="24"/>
                <w:szCs w:val="24"/>
                <w:vertAlign w:val="superscript"/>
              </w:rPr>
              <w:t>c</w:t>
            </w:r>
          </w:p>
        </w:tc>
      </w:tr>
      <w:tr w:rsidR="00FF01E9" w:rsidRPr="005B2E57" w14:paraId="768F9060" w14:textId="77777777" w:rsidTr="004A4D75">
        <w:trPr>
          <w:trHeight w:val="246"/>
          <w:jc w:val="center"/>
        </w:trPr>
        <w:tc>
          <w:tcPr>
            <w:tcW w:w="2013" w:type="pct"/>
            <w:hideMark/>
          </w:tcPr>
          <w:p w14:paraId="07E9F2F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95" w:type="pct"/>
            <w:hideMark/>
          </w:tcPr>
          <w:p w14:paraId="3519F25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193.59±1.58</w:t>
            </w:r>
            <w:r w:rsidRPr="005B2E57">
              <w:rPr>
                <w:rFonts w:ascii="Times New Roman" w:hAnsi="Times New Roman" w:cs="Times New Roman"/>
                <w:color w:val="000000" w:themeColor="text1"/>
                <w:kern w:val="24"/>
                <w:sz w:val="24"/>
                <w:szCs w:val="24"/>
                <w:vertAlign w:val="superscript"/>
              </w:rPr>
              <w:t>b</w:t>
            </w:r>
          </w:p>
        </w:tc>
        <w:tc>
          <w:tcPr>
            <w:tcW w:w="995" w:type="pct"/>
            <w:hideMark/>
          </w:tcPr>
          <w:p w14:paraId="3F722DC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192.56±0.66</w:t>
            </w:r>
            <w:r w:rsidRPr="005B2E57">
              <w:rPr>
                <w:rFonts w:ascii="Times New Roman" w:hAnsi="Times New Roman" w:cs="Times New Roman"/>
                <w:color w:val="000000" w:themeColor="text1"/>
                <w:kern w:val="24"/>
                <w:sz w:val="24"/>
                <w:szCs w:val="24"/>
                <w:vertAlign w:val="superscript"/>
              </w:rPr>
              <w:t>b</w:t>
            </w:r>
          </w:p>
        </w:tc>
        <w:tc>
          <w:tcPr>
            <w:tcW w:w="996" w:type="pct"/>
            <w:hideMark/>
          </w:tcPr>
          <w:p w14:paraId="1A52D3A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191.67±0.20</w:t>
            </w:r>
            <w:r w:rsidRPr="005B2E57">
              <w:rPr>
                <w:rFonts w:ascii="Times New Roman" w:hAnsi="Times New Roman" w:cs="Times New Roman"/>
                <w:color w:val="000000" w:themeColor="text1"/>
                <w:kern w:val="24"/>
                <w:sz w:val="24"/>
                <w:szCs w:val="24"/>
                <w:vertAlign w:val="superscript"/>
              </w:rPr>
              <w:t>b</w:t>
            </w:r>
          </w:p>
        </w:tc>
      </w:tr>
      <w:tr w:rsidR="00FF01E9" w:rsidRPr="005B2E57" w14:paraId="14D77CB8" w14:textId="77777777" w:rsidTr="004A4D75">
        <w:trPr>
          <w:trHeight w:val="237"/>
          <w:jc w:val="center"/>
        </w:trPr>
        <w:tc>
          <w:tcPr>
            <w:tcW w:w="2013" w:type="pct"/>
            <w:hideMark/>
          </w:tcPr>
          <w:p w14:paraId="7CA2AEBA"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95" w:type="pct"/>
            <w:hideMark/>
          </w:tcPr>
          <w:p w14:paraId="08161F8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192.44±0.20</w:t>
            </w:r>
            <w:r w:rsidRPr="005B2E57">
              <w:rPr>
                <w:rFonts w:ascii="Times New Roman" w:hAnsi="Times New Roman" w:cs="Times New Roman"/>
                <w:color w:val="000000" w:themeColor="text1"/>
                <w:kern w:val="24"/>
                <w:sz w:val="24"/>
                <w:szCs w:val="24"/>
                <w:vertAlign w:val="superscript"/>
              </w:rPr>
              <w:t>c</w:t>
            </w:r>
          </w:p>
        </w:tc>
        <w:tc>
          <w:tcPr>
            <w:tcW w:w="995" w:type="pct"/>
            <w:hideMark/>
          </w:tcPr>
          <w:p w14:paraId="53C3CDD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190.17±0.59</w:t>
            </w:r>
            <w:r w:rsidRPr="005B2E57">
              <w:rPr>
                <w:rFonts w:ascii="Times New Roman" w:hAnsi="Times New Roman" w:cs="Times New Roman"/>
                <w:color w:val="000000" w:themeColor="text1"/>
                <w:kern w:val="24"/>
                <w:sz w:val="24"/>
                <w:szCs w:val="24"/>
                <w:vertAlign w:val="superscript"/>
              </w:rPr>
              <w:t>d</w:t>
            </w:r>
          </w:p>
        </w:tc>
        <w:tc>
          <w:tcPr>
            <w:tcW w:w="996" w:type="pct"/>
            <w:hideMark/>
          </w:tcPr>
          <w:p w14:paraId="19BD78F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188.12±1.48</w:t>
            </w:r>
            <w:r w:rsidRPr="005B2E57">
              <w:rPr>
                <w:rFonts w:ascii="Times New Roman" w:hAnsi="Times New Roman" w:cs="Times New Roman"/>
                <w:color w:val="000000" w:themeColor="text1"/>
                <w:kern w:val="24"/>
                <w:sz w:val="24"/>
                <w:szCs w:val="24"/>
                <w:vertAlign w:val="superscript"/>
              </w:rPr>
              <w:t>d</w:t>
            </w:r>
          </w:p>
        </w:tc>
      </w:tr>
      <w:tr w:rsidR="00FF01E9" w:rsidRPr="005B2E57" w14:paraId="5C5FE496" w14:textId="77777777" w:rsidTr="004A4D75">
        <w:trPr>
          <w:trHeight w:val="246"/>
          <w:jc w:val="center"/>
        </w:trPr>
        <w:tc>
          <w:tcPr>
            <w:tcW w:w="2013" w:type="pct"/>
            <w:hideMark/>
          </w:tcPr>
          <w:p w14:paraId="29D86D85"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95" w:type="pct"/>
            <w:hideMark/>
          </w:tcPr>
          <w:p w14:paraId="6EEE568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197.41±0.56</w:t>
            </w:r>
            <w:r w:rsidRPr="005B2E57">
              <w:rPr>
                <w:rFonts w:ascii="Times New Roman" w:hAnsi="Times New Roman" w:cs="Times New Roman"/>
                <w:color w:val="000000" w:themeColor="text1"/>
                <w:kern w:val="24"/>
                <w:sz w:val="24"/>
                <w:szCs w:val="24"/>
                <w:vertAlign w:val="superscript"/>
              </w:rPr>
              <w:t>a</w:t>
            </w:r>
          </w:p>
        </w:tc>
        <w:tc>
          <w:tcPr>
            <w:tcW w:w="995" w:type="pct"/>
            <w:hideMark/>
          </w:tcPr>
          <w:p w14:paraId="4879DF9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195.90±1.07</w:t>
            </w:r>
            <w:r w:rsidRPr="005B2E57">
              <w:rPr>
                <w:rFonts w:ascii="Times New Roman" w:hAnsi="Times New Roman" w:cs="Times New Roman"/>
                <w:color w:val="000000" w:themeColor="text1"/>
                <w:kern w:val="24"/>
                <w:sz w:val="24"/>
                <w:szCs w:val="24"/>
                <w:vertAlign w:val="superscript"/>
              </w:rPr>
              <w:t>a</w:t>
            </w:r>
          </w:p>
        </w:tc>
        <w:tc>
          <w:tcPr>
            <w:tcW w:w="996" w:type="pct"/>
            <w:hideMark/>
          </w:tcPr>
          <w:p w14:paraId="0682A0C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192.61±0.94</w:t>
            </w:r>
            <w:r w:rsidRPr="005B2E57">
              <w:rPr>
                <w:rFonts w:ascii="Times New Roman" w:hAnsi="Times New Roman" w:cs="Times New Roman"/>
                <w:color w:val="000000" w:themeColor="text1"/>
                <w:kern w:val="24"/>
                <w:sz w:val="24"/>
                <w:szCs w:val="24"/>
                <w:vertAlign w:val="superscript"/>
              </w:rPr>
              <w:t>a</w:t>
            </w:r>
          </w:p>
        </w:tc>
      </w:tr>
      <w:tr w:rsidR="00FF01E9" w:rsidRPr="005B2E57" w14:paraId="6F502749" w14:textId="77777777" w:rsidTr="004A4D75">
        <w:trPr>
          <w:trHeight w:val="237"/>
          <w:jc w:val="center"/>
        </w:trPr>
        <w:tc>
          <w:tcPr>
            <w:tcW w:w="2013" w:type="pct"/>
            <w:hideMark/>
          </w:tcPr>
          <w:p w14:paraId="65D141F4"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95" w:type="pct"/>
            <w:hideMark/>
          </w:tcPr>
          <w:p w14:paraId="27DC2A5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187.63±1.21</w:t>
            </w:r>
            <w:r w:rsidRPr="005B2E57">
              <w:rPr>
                <w:rFonts w:ascii="Times New Roman" w:hAnsi="Times New Roman" w:cs="Times New Roman"/>
                <w:bCs/>
                <w:color w:val="000000" w:themeColor="text1"/>
                <w:kern w:val="24"/>
                <w:sz w:val="24"/>
                <w:szCs w:val="24"/>
                <w:vertAlign w:val="superscript"/>
              </w:rPr>
              <w:t>e</w:t>
            </w:r>
          </w:p>
        </w:tc>
        <w:tc>
          <w:tcPr>
            <w:tcW w:w="995" w:type="pct"/>
            <w:hideMark/>
          </w:tcPr>
          <w:p w14:paraId="44506F3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185.95±0.90</w:t>
            </w:r>
            <w:r w:rsidRPr="005B2E57">
              <w:rPr>
                <w:rFonts w:ascii="Times New Roman" w:hAnsi="Times New Roman" w:cs="Times New Roman"/>
                <w:bCs/>
                <w:color w:val="000000" w:themeColor="text1"/>
                <w:kern w:val="24"/>
                <w:sz w:val="24"/>
                <w:szCs w:val="24"/>
                <w:vertAlign w:val="superscript"/>
              </w:rPr>
              <w:t>e</w:t>
            </w:r>
          </w:p>
        </w:tc>
        <w:tc>
          <w:tcPr>
            <w:tcW w:w="996" w:type="pct"/>
            <w:hideMark/>
          </w:tcPr>
          <w:p w14:paraId="5CC7929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184.00±1.96</w:t>
            </w:r>
            <w:r w:rsidRPr="005B2E57">
              <w:rPr>
                <w:rFonts w:ascii="Times New Roman" w:hAnsi="Times New Roman" w:cs="Times New Roman"/>
                <w:bCs/>
                <w:color w:val="000000" w:themeColor="text1"/>
                <w:kern w:val="24"/>
                <w:sz w:val="24"/>
                <w:szCs w:val="24"/>
                <w:vertAlign w:val="superscript"/>
              </w:rPr>
              <w:t>e</w:t>
            </w:r>
          </w:p>
        </w:tc>
      </w:tr>
      <w:tr w:rsidR="00FF01E9" w:rsidRPr="005B2E57" w14:paraId="538212A9" w14:textId="77777777" w:rsidTr="004A4D75">
        <w:trPr>
          <w:trHeight w:val="237"/>
          <w:jc w:val="center"/>
        </w:trPr>
        <w:tc>
          <w:tcPr>
            <w:tcW w:w="2013" w:type="pct"/>
            <w:hideMark/>
          </w:tcPr>
          <w:p w14:paraId="710019B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95" w:type="pct"/>
            <w:hideMark/>
          </w:tcPr>
          <w:p w14:paraId="2BE6BD5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95" w:type="pct"/>
            <w:hideMark/>
          </w:tcPr>
          <w:p w14:paraId="4DFBBB2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96" w:type="pct"/>
            <w:hideMark/>
          </w:tcPr>
          <w:p w14:paraId="4D47B89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1B35D21A" w14:textId="77777777" w:rsidTr="004A4D75">
        <w:trPr>
          <w:trHeight w:val="246"/>
          <w:jc w:val="center"/>
        </w:trPr>
        <w:tc>
          <w:tcPr>
            <w:tcW w:w="2013" w:type="pct"/>
            <w:hideMark/>
          </w:tcPr>
          <w:p w14:paraId="4012BD01"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95" w:type="pct"/>
            <w:hideMark/>
          </w:tcPr>
          <w:p w14:paraId="29E9A08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3.47</w:t>
            </w:r>
          </w:p>
        </w:tc>
        <w:tc>
          <w:tcPr>
            <w:tcW w:w="995" w:type="pct"/>
            <w:hideMark/>
          </w:tcPr>
          <w:p w14:paraId="02BF909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96" w:type="pct"/>
            <w:hideMark/>
          </w:tcPr>
          <w:p w14:paraId="0A19CF6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1.19</w:t>
            </w:r>
          </w:p>
        </w:tc>
      </w:tr>
      <w:tr w:rsidR="00FF01E9" w:rsidRPr="005B2E57" w14:paraId="1F58D7EA" w14:textId="77777777" w:rsidTr="004A4D75">
        <w:trPr>
          <w:trHeight w:val="237"/>
          <w:jc w:val="center"/>
        </w:trPr>
        <w:tc>
          <w:tcPr>
            <w:tcW w:w="2013" w:type="pct"/>
            <w:hideMark/>
          </w:tcPr>
          <w:p w14:paraId="7AC9DE56"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95" w:type="pct"/>
            <w:hideMark/>
          </w:tcPr>
          <w:p w14:paraId="2D63955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N/A</w:t>
            </w:r>
          </w:p>
        </w:tc>
        <w:tc>
          <w:tcPr>
            <w:tcW w:w="995" w:type="pct"/>
            <w:hideMark/>
          </w:tcPr>
          <w:p w14:paraId="606447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NS</w:t>
            </w:r>
          </w:p>
        </w:tc>
        <w:tc>
          <w:tcPr>
            <w:tcW w:w="996" w:type="pct"/>
            <w:hideMark/>
          </w:tcPr>
          <w:p w14:paraId="021CA0F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0.92</w:t>
            </w:r>
          </w:p>
        </w:tc>
      </w:tr>
      <w:tr w:rsidR="00FF01E9" w:rsidRPr="005B2E57" w14:paraId="7BCEB0C8" w14:textId="77777777" w:rsidTr="004A4D75">
        <w:trPr>
          <w:trHeight w:val="237"/>
          <w:jc w:val="center"/>
        </w:trPr>
        <w:tc>
          <w:tcPr>
            <w:tcW w:w="2013" w:type="pct"/>
            <w:hideMark/>
          </w:tcPr>
          <w:p w14:paraId="2E5FE2DC"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95" w:type="pct"/>
            <w:hideMark/>
          </w:tcPr>
          <w:p w14:paraId="2F8EDAE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N/A</w:t>
            </w:r>
          </w:p>
        </w:tc>
        <w:tc>
          <w:tcPr>
            <w:tcW w:w="995" w:type="pct"/>
            <w:hideMark/>
          </w:tcPr>
          <w:p w14:paraId="1670A69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96" w:type="pct"/>
            <w:hideMark/>
          </w:tcPr>
          <w:p w14:paraId="7AB48E9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2.06</w:t>
            </w:r>
          </w:p>
        </w:tc>
      </w:tr>
    </w:tbl>
    <w:p w14:paraId="4360F3F3" w14:textId="50F96656"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12352636" w14:textId="77777777" w:rsidR="005D3EB4" w:rsidRPr="005B2E57" w:rsidRDefault="005D3EB4" w:rsidP="00764BDC">
      <w:pPr>
        <w:spacing w:before="120" w:line="360" w:lineRule="auto"/>
        <w:ind w:firstLine="720"/>
        <w:jc w:val="both"/>
        <w:rPr>
          <w:rFonts w:ascii="Times New Roman" w:hAnsi="Times New Roman" w:cs="Times New Roman"/>
          <w:bCs/>
          <w:color w:val="000000" w:themeColor="text1"/>
          <w:sz w:val="24"/>
          <w:szCs w:val="24"/>
        </w:rPr>
      </w:pPr>
      <w:commentRangeStart w:id="17"/>
      <w:r w:rsidRPr="005B2E57">
        <w:rPr>
          <w:rFonts w:ascii="Times New Roman" w:hAnsi="Times New Roman" w:cs="Times New Roman"/>
          <w:bCs/>
          <w:color w:val="000000" w:themeColor="text1"/>
          <w:sz w:val="24"/>
          <w:szCs w:val="24"/>
        </w:rPr>
        <w:t xml:space="preserve">The results demonstrated the effects of various treatments (sugar solution, salt solution, vinegar, citric acid, and potassium metabisulfite [KMS]) at different concentrations (0.1%, 0.2%, and 0.3%) on the levels of saponins and trypsin inhibitors in oyster mushrooms dehydrated using a hot air oven (Table </w:t>
      </w:r>
      <w:commentRangeStart w:id="18"/>
      <w:r w:rsidRPr="005B2E57">
        <w:rPr>
          <w:rFonts w:ascii="Times New Roman" w:hAnsi="Times New Roman" w:cs="Times New Roman"/>
          <w:bCs/>
          <w:color w:val="000000" w:themeColor="text1"/>
          <w:sz w:val="24"/>
          <w:szCs w:val="24"/>
        </w:rPr>
        <w:t>1</w:t>
      </w:r>
      <w:commentRangeEnd w:id="18"/>
      <w:r w:rsidR="00BB436A">
        <w:rPr>
          <w:rStyle w:val="CommentReference"/>
        </w:rPr>
        <w:commentReference w:id="18"/>
      </w:r>
      <w:r w:rsidRPr="005B2E57">
        <w:rPr>
          <w:rFonts w:ascii="Times New Roman" w:hAnsi="Times New Roman" w:cs="Times New Roman"/>
          <w:bCs/>
          <w:color w:val="000000" w:themeColor="text1"/>
          <w:sz w:val="24"/>
          <w:szCs w:val="24"/>
        </w:rPr>
        <w:t xml:space="preserve">). </w:t>
      </w:r>
      <w:commentRangeEnd w:id="17"/>
      <w:r w:rsidR="00BB436A">
        <w:rPr>
          <w:rStyle w:val="CommentReference"/>
        </w:rPr>
        <w:commentReference w:id="17"/>
      </w:r>
      <w:r w:rsidRPr="005B2E57">
        <w:rPr>
          <w:rFonts w:ascii="Times New Roman" w:hAnsi="Times New Roman" w:cs="Times New Roman"/>
          <w:bCs/>
          <w:color w:val="000000" w:themeColor="text1"/>
          <w:sz w:val="24"/>
          <w:szCs w:val="24"/>
        </w:rPr>
        <w:t xml:space="preserve">Among the treatments, KMS proved to be the most effective in reducing both saponins and trypsin inhibitors, with reductions becoming more pronounced at higher concentrations. </w:t>
      </w:r>
      <w:bookmarkStart w:id="19" w:name="_Hlk190815540"/>
      <w:r w:rsidRPr="005B2E57">
        <w:rPr>
          <w:rFonts w:ascii="Times New Roman" w:hAnsi="Times New Roman" w:cs="Times New Roman"/>
          <w:bCs/>
          <w:color w:val="000000" w:themeColor="text1"/>
          <w:sz w:val="24"/>
          <w:szCs w:val="24"/>
        </w:rPr>
        <w:t xml:space="preserve">For saponins, KMS-treated samples showed the lowest levels, decreasing from 187.63 ± 1.21 at 0.1% to 184.00 ± 1.96 at 0.3%. This significant reduction accredited to KMS’s strong antioxidant properties, which inhibit the enzymatic stabilization of saponins during processing. </w:t>
      </w:r>
      <w:bookmarkEnd w:id="19"/>
      <w:r w:rsidRPr="005B2E57">
        <w:rPr>
          <w:rFonts w:ascii="Times New Roman" w:hAnsi="Times New Roman" w:cs="Times New Roman"/>
          <w:bCs/>
          <w:color w:val="000000" w:themeColor="text1"/>
          <w:sz w:val="24"/>
          <w:szCs w:val="24"/>
        </w:rPr>
        <w:t xml:space="preserve">Furthermore, the sulfur-based compounds in KMS likely disrupted the structural integrity of saponins, rendering them inactive. In contrast, citric acid was the second most effective treatment, with saponin levels ranging </w:t>
      </w:r>
      <w:r w:rsidRPr="005B2E57">
        <w:rPr>
          <w:rFonts w:ascii="Times New Roman" w:hAnsi="Times New Roman" w:cs="Times New Roman"/>
          <w:bCs/>
          <w:color w:val="000000" w:themeColor="text1"/>
          <w:sz w:val="24"/>
          <w:szCs w:val="24"/>
        </w:rPr>
        <w:lastRenderedPageBreak/>
        <w:t xml:space="preserve">from 197.413 ± 0.56 at 0.1% to 192.610 ± 0.94 at 0.3%. Citric acid’s acidic and chelating properties facilitated the partial degradation of saponins, although its effect was less pronounced than KMS due to its weaker ability to disrupt saponin structures. </w:t>
      </w:r>
    </w:p>
    <w:p w14:paraId="1C07A0D0" w14:textId="77777777" w:rsidR="005D3EB4" w:rsidRPr="005B2E57" w:rsidRDefault="005D3EB4" w:rsidP="00764BDC">
      <w:pPr>
        <w:spacing w:before="120" w:line="360" w:lineRule="auto"/>
        <w:ind w:firstLine="720"/>
        <w:jc w:val="both"/>
        <w:rPr>
          <w:rFonts w:ascii="Times New Roman" w:hAnsi="Times New Roman" w:cs="Times New Roman"/>
          <w:bCs/>
          <w:color w:val="000000" w:themeColor="text1"/>
          <w:sz w:val="24"/>
          <w:szCs w:val="24"/>
        </w:rPr>
      </w:pPr>
      <w:r w:rsidRPr="005B2E57">
        <w:rPr>
          <w:rFonts w:ascii="Times New Roman" w:hAnsi="Times New Roman" w:cs="Times New Roman"/>
          <w:bCs/>
          <w:color w:val="000000" w:themeColor="text1"/>
          <w:sz w:val="24"/>
          <w:szCs w:val="24"/>
        </w:rPr>
        <w:t>Vinegar-treated samples exhibited moderate saponin levels, ranging from 192.443 ± 0.20 to 188.123 ± 1.48, with a noticeable reduction at higher concentrations. Acetic acid in vinegar likely played a role in breaking down saponins, but its efficacy was limited compared to citric acid or KMS. On the other hand, salt and sugar solutions showed the least impact on saponin levels, retaining higher concentrations even at 0.3% (191.673 ± 0.20 and 188.857 ± 1.63, respectively). Salt lacks antioxidant or acidic properties, which are essential for saponin degradation, while sugar acts as a physical protectant, forming a barrier that prevents significant chemical changes during thermal processing.</w:t>
      </w:r>
    </w:p>
    <w:p w14:paraId="797B7E86" w14:textId="77777777" w:rsidR="00FF01E9" w:rsidRPr="005B2E57" w:rsidRDefault="00FF01E9" w:rsidP="00FF01E9">
      <w:pPr>
        <w:pStyle w:val="TableParagraph"/>
        <w:spacing w:line="360" w:lineRule="auto"/>
        <w:ind w:left="0"/>
        <w:rPr>
          <w:b/>
          <w:color w:val="000000" w:themeColor="text1"/>
          <w:sz w:val="24"/>
          <w:szCs w:val="24"/>
        </w:rPr>
      </w:pPr>
      <w:r w:rsidRPr="005B2E57">
        <w:rPr>
          <w:b/>
          <w:color w:val="000000" w:themeColor="text1"/>
          <w:sz w:val="24"/>
          <w:szCs w:val="24"/>
        </w:rPr>
        <w:t xml:space="preserve">Table 2: </w:t>
      </w:r>
      <w:r w:rsidRPr="005B2E57">
        <w:rPr>
          <w:rFonts w:eastAsia="Calibri"/>
          <w:b/>
          <w:bCs/>
          <w:color w:val="000000" w:themeColor="text1"/>
          <w:kern w:val="24"/>
          <w:sz w:val="24"/>
          <w:szCs w:val="24"/>
        </w:rPr>
        <w:t xml:space="preserve">Trypsin inhibitor </w:t>
      </w:r>
      <w:r w:rsidRPr="005B2E57">
        <w:rPr>
          <w:b/>
          <w:bCs/>
          <w:color w:val="000000" w:themeColor="text1"/>
          <w:sz w:val="24"/>
        </w:rPr>
        <w:t>content in oyster mushroom powder</w:t>
      </w:r>
    </w:p>
    <w:tbl>
      <w:tblPr>
        <w:tblStyle w:val="TableGrid"/>
        <w:tblW w:w="3858" w:type="pct"/>
        <w:jc w:val="center"/>
        <w:tblLook w:val="04A0" w:firstRow="1" w:lastRow="0" w:firstColumn="1" w:lastColumn="0" w:noHBand="0" w:noVBand="1"/>
      </w:tblPr>
      <w:tblGrid>
        <w:gridCol w:w="2630"/>
        <w:gridCol w:w="1388"/>
        <w:gridCol w:w="1388"/>
        <w:gridCol w:w="1388"/>
      </w:tblGrid>
      <w:tr w:rsidR="00FF01E9" w:rsidRPr="005B2E57" w14:paraId="21F180DD" w14:textId="77777777" w:rsidTr="004A4D75">
        <w:trPr>
          <w:trHeight w:val="237"/>
          <w:jc w:val="center"/>
        </w:trPr>
        <w:tc>
          <w:tcPr>
            <w:tcW w:w="2114" w:type="pct"/>
            <w:vMerge w:val="restart"/>
            <w:vAlign w:val="center"/>
            <w:hideMark/>
          </w:tcPr>
          <w:p w14:paraId="11B1E54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86" w:type="pct"/>
            <w:gridSpan w:val="3"/>
            <w:hideMark/>
          </w:tcPr>
          <w:p w14:paraId="70B66FF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Trypsin inhibitor</w:t>
            </w:r>
          </w:p>
        </w:tc>
      </w:tr>
      <w:tr w:rsidR="00FF01E9" w:rsidRPr="005B2E57" w14:paraId="1800F34E" w14:textId="77777777" w:rsidTr="004A4D75">
        <w:trPr>
          <w:trHeight w:val="237"/>
          <w:jc w:val="center"/>
        </w:trPr>
        <w:tc>
          <w:tcPr>
            <w:tcW w:w="2114" w:type="pct"/>
            <w:vMerge/>
            <w:hideMark/>
          </w:tcPr>
          <w:p w14:paraId="48E97221" w14:textId="77777777" w:rsidR="00FF01E9" w:rsidRPr="005B2E57" w:rsidRDefault="00FF01E9" w:rsidP="004A4D75">
            <w:pPr>
              <w:spacing w:before="160" w:after="160"/>
              <w:rPr>
                <w:rFonts w:ascii="Times New Roman" w:hAnsi="Times New Roman" w:cs="Times New Roman"/>
                <w:color w:val="000000" w:themeColor="text1"/>
                <w:sz w:val="24"/>
                <w:szCs w:val="24"/>
              </w:rPr>
            </w:pPr>
          </w:p>
        </w:tc>
        <w:tc>
          <w:tcPr>
            <w:tcW w:w="962" w:type="pct"/>
            <w:vAlign w:val="center"/>
            <w:hideMark/>
          </w:tcPr>
          <w:p w14:paraId="3ECC3FA5"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62" w:type="pct"/>
            <w:vAlign w:val="center"/>
            <w:hideMark/>
          </w:tcPr>
          <w:p w14:paraId="3CB266B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62" w:type="pct"/>
            <w:vAlign w:val="center"/>
            <w:hideMark/>
          </w:tcPr>
          <w:p w14:paraId="231C840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FF01E9" w:rsidRPr="005B2E57" w14:paraId="026A6009" w14:textId="77777777" w:rsidTr="004A4D75">
        <w:trPr>
          <w:trHeight w:val="237"/>
          <w:jc w:val="center"/>
        </w:trPr>
        <w:tc>
          <w:tcPr>
            <w:tcW w:w="2114" w:type="pct"/>
            <w:hideMark/>
          </w:tcPr>
          <w:p w14:paraId="7782C21C"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62" w:type="pct"/>
            <w:hideMark/>
          </w:tcPr>
          <w:p w14:paraId="6E5DB70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18.64±0.17</w:t>
            </w:r>
            <w:r w:rsidRPr="005B2E57">
              <w:rPr>
                <w:rFonts w:ascii="Times New Roman" w:hAnsi="Times New Roman" w:cs="Times New Roman"/>
                <w:color w:val="000000" w:themeColor="text1"/>
                <w:kern w:val="24"/>
                <w:sz w:val="24"/>
                <w:szCs w:val="24"/>
                <w:vertAlign w:val="superscript"/>
              </w:rPr>
              <w:t>a</w:t>
            </w:r>
          </w:p>
        </w:tc>
        <w:tc>
          <w:tcPr>
            <w:tcW w:w="962" w:type="pct"/>
            <w:hideMark/>
          </w:tcPr>
          <w:p w14:paraId="1C42DE4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17.78±0.20</w:t>
            </w:r>
            <w:r w:rsidRPr="005B2E57">
              <w:rPr>
                <w:rFonts w:ascii="Times New Roman" w:hAnsi="Times New Roman" w:cs="Times New Roman"/>
                <w:color w:val="000000" w:themeColor="text1"/>
                <w:kern w:val="24"/>
                <w:sz w:val="24"/>
                <w:szCs w:val="24"/>
                <w:vertAlign w:val="superscript"/>
              </w:rPr>
              <w:t>a</w:t>
            </w:r>
          </w:p>
        </w:tc>
        <w:tc>
          <w:tcPr>
            <w:tcW w:w="962" w:type="pct"/>
            <w:hideMark/>
          </w:tcPr>
          <w:p w14:paraId="4C5560A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16.69±0.17</w:t>
            </w:r>
            <w:r w:rsidRPr="005B2E57">
              <w:rPr>
                <w:rFonts w:ascii="Times New Roman" w:hAnsi="Times New Roman" w:cs="Times New Roman"/>
                <w:color w:val="000000" w:themeColor="text1"/>
                <w:kern w:val="24"/>
                <w:sz w:val="24"/>
                <w:szCs w:val="24"/>
                <w:vertAlign w:val="superscript"/>
              </w:rPr>
              <w:t>a</w:t>
            </w:r>
          </w:p>
        </w:tc>
      </w:tr>
      <w:tr w:rsidR="00FF01E9" w:rsidRPr="005B2E57" w14:paraId="75E20D99" w14:textId="77777777" w:rsidTr="004A4D75">
        <w:trPr>
          <w:trHeight w:val="246"/>
          <w:jc w:val="center"/>
        </w:trPr>
        <w:tc>
          <w:tcPr>
            <w:tcW w:w="2114" w:type="pct"/>
            <w:hideMark/>
          </w:tcPr>
          <w:p w14:paraId="45F2D990"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62" w:type="pct"/>
            <w:hideMark/>
          </w:tcPr>
          <w:p w14:paraId="10914E2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17.59±0.24</w:t>
            </w:r>
            <w:r w:rsidRPr="005B2E57">
              <w:rPr>
                <w:rFonts w:ascii="Times New Roman" w:hAnsi="Times New Roman" w:cs="Times New Roman"/>
                <w:color w:val="000000" w:themeColor="text1"/>
                <w:kern w:val="24"/>
                <w:sz w:val="24"/>
                <w:szCs w:val="24"/>
                <w:vertAlign w:val="superscript"/>
              </w:rPr>
              <w:t>b</w:t>
            </w:r>
          </w:p>
        </w:tc>
        <w:tc>
          <w:tcPr>
            <w:tcW w:w="962" w:type="pct"/>
            <w:hideMark/>
          </w:tcPr>
          <w:p w14:paraId="3170A4D5"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16.61±0.23</w:t>
            </w:r>
            <w:r w:rsidRPr="005B2E57">
              <w:rPr>
                <w:rFonts w:ascii="Times New Roman" w:hAnsi="Times New Roman" w:cs="Times New Roman"/>
                <w:color w:val="000000" w:themeColor="text1"/>
                <w:kern w:val="24"/>
                <w:sz w:val="24"/>
                <w:szCs w:val="24"/>
                <w:vertAlign w:val="superscript"/>
              </w:rPr>
              <w:t>b</w:t>
            </w:r>
          </w:p>
        </w:tc>
        <w:tc>
          <w:tcPr>
            <w:tcW w:w="962" w:type="pct"/>
            <w:hideMark/>
          </w:tcPr>
          <w:p w14:paraId="497057B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15.24±0.19</w:t>
            </w:r>
            <w:r w:rsidRPr="005B2E57">
              <w:rPr>
                <w:rFonts w:ascii="Times New Roman" w:hAnsi="Times New Roman" w:cs="Times New Roman"/>
                <w:color w:val="000000" w:themeColor="text1"/>
                <w:kern w:val="24"/>
                <w:sz w:val="24"/>
                <w:szCs w:val="24"/>
                <w:vertAlign w:val="superscript"/>
              </w:rPr>
              <w:t>b</w:t>
            </w:r>
          </w:p>
        </w:tc>
      </w:tr>
      <w:tr w:rsidR="00FF01E9" w:rsidRPr="005B2E57" w14:paraId="6E57D596" w14:textId="77777777" w:rsidTr="004A4D75">
        <w:trPr>
          <w:trHeight w:val="237"/>
          <w:jc w:val="center"/>
        </w:trPr>
        <w:tc>
          <w:tcPr>
            <w:tcW w:w="2114" w:type="pct"/>
            <w:hideMark/>
          </w:tcPr>
          <w:p w14:paraId="7C30AC07"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62" w:type="pct"/>
            <w:hideMark/>
          </w:tcPr>
          <w:p w14:paraId="724475B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15.15±0.12</w:t>
            </w:r>
            <w:r w:rsidRPr="005B2E57">
              <w:rPr>
                <w:rFonts w:ascii="Times New Roman" w:hAnsi="Times New Roman" w:cs="Times New Roman"/>
                <w:color w:val="000000" w:themeColor="text1"/>
                <w:kern w:val="24"/>
                <w:sz w:val="24"/>
                <w:szCs w:val="24"/>
                <w:vertAlign w:val="superscript"/>
              </w:rPr>
              <w:t>c</w:t>
            </w:r>
          </w:p>
        </w:tc>
        <w:tc>
          <w:tcPr>
            <w:tcW w:w="962" w:type="pct"/>
            <w:hideMark/>
          </w:tcPr>
          <w:p w14:paraId="4764B9F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14.83±0.12</w:t>
            </w:r>
            <w:r w:rsidRPr="005B2E57">
              <w:rPr>
                <w:rFonts w:ascii="Times New Roman" w:hAnsi="Times New Roman" w:cs="Times New Roman"/>
                <w:color w:val="000000" w:themeColor="text1"/>
                <w:kern w:val="24"/>
                <w:sz w:val="24"/>
                <w:szCs w:val="24"/>
                <w:vertAlign w:val="superscript"/>
              </w:rPr>
              <w:t>c</w:t>
            </w:r>
          </w:p>
        </w:tc>
        <w:tc>
          <w:tcPr>
            <w:tcW w:w="962" w:type="pct"/>
            <w:hideMark/>
          </w:tcPr>
          <w:p w14:paraId="7E3FBD8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13.94±0.34</w:t>
            </w:r>
            <w:r w:rsidRPr="005B2E57">
              <w:rPr>
                <w:rFonts w:ascii="Times New Roman" w:hAnsi="Times New Roman" w:cs="Times New Roman"/>
                <w:color w:val="000000" w:themeColor="text1"/>
                <w:kern w:val="24"/>
                <w:sz w:val="24"/>
                <w:szCs w:val="24"/>
                <w:vertAlign w:val="superscript"/>
              </w:rPr>
              <w:t>c</w:t>
            </w:r>
          </w:p>
        </w:tc>
      </w:tr>
      <w:tr w:rsidR="00FF01E9" w:rsidRPr="005B2E57" w14:paraId="6731A940" w14:textId="77777777" w:rsidTr="004A4D75">
        <w:trPr>
          <w:trHeight w:val="246"/>
          <w:jc w:val="center"/>
        </w:trPr>
        <w:tc>
          <w:tcPr>
            <w:tcW w:w="2114" w:type="pct"/>
            <w:hideMark/>
          </w:tcPr>
          <w:p w14:paraId="3AA9D600"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62" w:type="pct"/>
            <w:hideMark/>
          </w:tcPr>
          <w:p w14:paraId="2083973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14.27±0.25</w:t>
            </w:r>
            <w:r w:rsidRPr="005B2E57">
              <w:rPr>
                <w:rFonts w:ascii="Times New Roman" w:hAnsi="Times New Roman" w:cs="Times New Roman"/>
                <w:color w:val="000000" w:themeColor="text1"/>
                <w:kern w:val="24"/>
                <w:sz w:val="24"/>
                <w:szCs w:val="24"/>
                <w:vertAlign w:val="superscript"/>
              </w:rPr>
              <w:t>d</w:t>
            </w:r>
          </w:p>
        </w:tc>
        <w:tc>
          <w:tcPr>
            <w:tcW w:w="962" w:type="pct"/>
            <w:hideMark/>
          </w:tcPr>
          <w:p w14:paraId="734DE5C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13.29±0.28</w:t>
            </w:r>
            <w:r w:rsidRPr="005B2E57">
              <w:rPr>
                <w:rFonts w:ascii="Times New Roman" w:hAnsi="Times New Roman" w:cs="Times New Roman"/>
                <w:color w:val="000000" w:themeColor="text1"/>
                <w:kern w:val="24"/>
                <w:sz w:val="24"/>
                <w:szCs w:val="24"/>
                <w:vertAlign w:val="superscript"/>
              </w:rPr>
              <w:t>d</w:t>
            </w:r>
          </w:p>
        </w:tc>
        <w:tc>
          <w:tcPr>
            <w:tcW w:w="962" w:type="pct"/>
            <w:hideMark/>
          </w:tcPr>
          <w:p w14:paraId="0E76308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12.51±0.27</w:t>
            </w:r>
            <w:r w:rsidRPr="005B2E57">
              <w:rPr>
                <w:rFonts w:ascii="Times New Roman" w:hAnsi="Times New Roman" w:cs="Times New Roman"/>
                <w:color w:val="000000" w:themeColor="text1"/>
                <w:kern w:val="24"/>
                <w:sz w:val="24"/>
                <w:szCs w:val="24"/>
                <w:vertAlign w:val="superscript"/>
              </w:rPr>
              <w:t>d</w:t>
            </w:r>
          </w:p>
        </w:tc>
      </w:tr>
      <w:tr w:rsidR="00FF01E9" w:rsidRPr="005B2E57" w14:paraId="2F6F290E" w14:textId="77777777" w:rsidTr="004A4D75">
        <w:trPr>
          <w:trHeight w:val="237"/>
          <w:jc w:val="center"/>
        </w:trPr>
        <w:tc>
          <w:tcPr>
            <w:tcW w:w="2114" w:type="pct"/>
            <w:hideMark/>
          </w:tcPr>
          <w:p w14:paraId="7736EB24"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62" w:type="pct"/>
            <w:hideMark/>
          </w:tcPr>
          <w:p w14:paraId="10E7BDB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13.73±0.17</w:t>
            </w:r>
            <w:r w:rsidRPr="005B2E57">
              <w:rPr>
                <w:rFonts w:ascii="Times New Roman" w:hAnsi="Times New Roman" w:cs="Times New Roman"/>
                <w:bCs/>
                <w:color w:val="000000" w:themeColor="text1"/>
                <w:kern w:val="24"/>
                <w:sz w:val="24"/>
                <w:szCs w:val="24"/>
                <w:vertAlign w:val="superscript"/>
              </w:rPr>
              <w:t>e</w:t>
            </w:r>
          </w:p>
        </w:tc>
        <w:tc>
          <w:tcPr>
            <w:tcW w:w="962" w:type="pct"/>
            <w:hideMark/>
          </w:tcPr>
          <w:p w14:paraId="2564DB49"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13.0±0.28</w:t>
            </w:r>
            <w:r w:rsidRPr="005B2E57">
              <w:rPr>
                <w:rFonts w:ascii="Times New Roman" w:hAnsi="Times New Roman" w:cs="Times New Roman"/>
                <w:bCs/>
                <w:color w:val="000000" w:themeColor="text1"/>
                <w:kern w:val="24"/>
                <w:sz w:val="24"/>
                <w:szCs w:val="24"/>
                <w:vertAlign w:val="superscript"/>
              </w:rPr>
              <w:t>e</w:t>
            </w:r>
          </w:p>
        </w:tc>
        <w:tc>
          <w:tcPr>
            <w:tcW w:w="962" w:type="pct"/>
            <w:hideMark/>
          </w:tcPr>
          <w:p w14:paraId="293D4AE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11.58±0.39</w:t>
            </w:r>
            <w:r w:rsidRPr="005B2E57">
              <w:rPr>
                <w:rFonts w:ascii="Times New Roman" w:hAnsi="Times New Roman" w:cs="Times New Roman"/>
                <w:bCs/>
                <w:color w:val="000000" w:themeColor="text1"/>
                <w:kern w:val="24"/>
                <w:sz w:val="24"/>
                <w:szCs w:val="24"/>
                <w:vertAlign w:val="superscript"/>
              </w:rPr>
              <w:t>e</w:t>
            </w:r>
          </w:p>
        </w:tc>
      </w:tr>
      <w:tr w:rsidR="00FF01E9" w:rsidRPr="005B2E57" w14:paraId="7D92A47E" w14:textId="77777777" w:rsidTr="004A4D75">
        <w:trPr>
          <w:trHeight w:val="237"/>
          <w:jc w:val="center"/>
        </w:trPr>
        <w:tc>
          <w:tcPr>
            <w:tcW w:w="2114" w:type="pct"/>
            <w:hideMark/>
          </w:tcPr>
          <w:p w14:paraId="5686CD36"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62" w:type="pct"/>
            <w:hideMark/>
          </w:tcPr>
          <w:p w14:paraId="0C7B634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62" w:type="pct"/>
            <w:hideMark/>
          </w:tcPr>
          <w:p w14:paraId="749BE89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62" w:type="pct"/>
            <w:hideMark/>
          </w:tcPr>
          <w:p w14:paraId="1C36CE3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2AFEF037" w14:textId="77777777" w:rsidTr="004A4D75">
        <w:trPr>
          <w:trHeight w:val="246"/>
          <w:jc w:val="center"/>
        </w:trPr>
        <w:tc>
          <w:tcPr>
            <w:tcW w:w="2114" w:type="pct"/>
            <w:hideMark/>
          </w:tcPr>
          <w:p w14:paraId="7DBD67A9"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62" w:type="pct"/>
            <w:hideMark/>
          </w:tcPr>
          <w:p w14:paraId="663EC23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0.23</w:t>
            </w:r>
          </w:p>
        </w:tc>
        <w:tc>
          <w:tcPr>
            <w:tcW w:w="962" w:type="pct"/>
            <w:hideMark/>
          </w:tcPr>
          <w:p w14:paraId="10ACBF2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4E2CE2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FF01E9" w:rsidRPr="005B2E57" w14:paraId="52FD7DF1" w14:textId="77777777" w:rsidTr="004A4D75">
        <w:trPr>
          <w:trHeight w:val="237"/>
          <w:jc w:val="center"/>
        </w:trPr>
        <w:tc>
          <w:tcPr>
            <w:tcW w:w="2114" w:type="pct"/>
            <w:hideMark/>
          </w:tcPr>
          <w:p w14:paraId="11522A87"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62" w:type="pct"/>
            <w:hideMark/>
          </w:tcPr>
          <w:p w14:paraId="1836278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0.17</w:t>
            </w:r>
          </w:p>
        </w:tc>
        <w:tc>
          <w:tcPr>
            <w:tcW w:w="962" w:type="pct"/>
            <w:hideMark/>
          </w:tcPr>
          <w:p w14:paraId="70973F8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756C336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0.06</w:t>
            </w:r>
          </w:p>
        </w:tc>
      </w:tr>
      <w:tr w:rsidR="00FF01E9" w:rsidRPr="005B2E57" w14:paraId="3DC7E29B" w14:textId="77777777" w:rsidTr="004A4D75">
        <w:trPr>
          <w:trHeight w:val="237"/>
          <w:jc w:val="center"/>
        </w:trPr>
        <w:tc>
          <w:tcPr>
            <w:tcW w:w="2114" w:type="pct"/>
            <w:hideMark/>
          </w:tcPr>
          <w:p w14:paraId="61D559F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62" w:type="pct"/>
            <w:hideMark/>
          </w:tcPr>
          <w:p w14:paraId="50E8791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0.40</w:t>
            </w:r>
          </w:p>
        </w:tc>
        <w:tc>
          <w:tcPr>
            <w:tcW w:w="962" w:type="pct"/>
            <w:hideMark/>
          </w:tcPr>
          <w:p w14:paraId="017B7CC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796F4C1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0.13</w:t>
            </w:r>
          </w:p>
        </w:tc>
      </w:tr>
    </w:tbl>
    <w:p w14:paraId="384D333E" w14:textId="77777777"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16AA6496" w14:textId="09688209" w:rsidR="004B1E44" w:rsidRPr="005B2E57" w:rsidRDefault="004B1E44" w:rsidP="005D3EB4">
      <w:pPr>
        <w:pStyle w:val="TableParagraph"/>
        <w:spacing w:line="360" w:lineRule="auto"/>
        <w:ind w:firstLine="613"/>
        <w:jc w:val="both"/>
        <w:rPr>
          <w:color w:val="000000" w:themeColor="text1"/>
          <w:sz w:val="24"/>
        </w:rPr>
      </w:pPr>
      <w:bookmarkStart w:id="20" w:name="_Hlk190815575"/>
      <w:r w:rsidRPr="005B2E57">
        <w:rPr>
          <w:color w:val="000000" w:themeColor="text1"/>
          <w:sz w:val="24"/>
        </w:rPr>
        <w:lastRenderedPageBreak/>
        <w:t>For trypsin inhibitors, a similar trend was observed, with KMS-treated samples exhibiting the lowest levels, decreasing from 13.73 ± 0.17 at 0.1% to 11.58 ± 0.39 at 0.3%</w:t>
      </w:r>
      <w:r w:rsidR="005D3EB4" w:rsidRPr="005B2E57">
        <w:rPr>
          <w:color w:val="000000" w:themeColor="text1"/>
          <w:sz w:val="24"/>
        </w:rPr>
        <w:t xml:space="preserve"> (Table 2)</w:t>
      </w:r>
      <w:r w:rsidRPr="005B2E57">
        <w:rPr>
          <w:color w:val="000000" w:themeColor="text1"/>
          <w:sz w:val="24"/>
        </w:rPr>
        <w:t xml:space="preserve">. This significant reduction is attributed to KMS’s protein-denaturing properties, which disrupt the activity of trypsin inhibitors, combined with the thermal effects of hot air oven drying that further degrade these proteins. </w:t>
      </w:r>
      <w:bookmarkEnd w:id="20"/>
      <w:r w:rsidRPr="005B2E57">
        <w:rPr>
          <w:color w:val="000000" w:themeColor="text1"/>
          <w:sz w:val="24"/>
        </w:rPr>
        <w:t>Citric acid was the next most effective treatment, reducing trypsin inhibitor levels from 14.27 ± 0.25 at 0.1% to 12.517 ± 0.27 at 0.3%. Its acidic environment promoted the denaturation of trypsin inhibitors, although it is less efficient than KMS. Vinegar-treated samples retained higher levels of trypsin inhibitors (15.150 ± 0.12 to 13.943 ± 0.34), as acetic acid is less effective than citric acid in protein denaturation.</w:t>
      </w:r>
    </w:p>
    <w:p w14:paraId="21E198C0" w14:textId="77777777" w:rsidR="004B1E44" w:rsidRPr="005B2E57" w:rsidRDefault="004B1E44" w:rsidP="005D3EB4">
      <w:pPr>
        <w:pStyle w:val="TableParagraph"/>
        <w:spacing w:line="360" w:lineRule="auto"/>
        <w:ind w:firstLine="613"/>
        <w:jc w:val="both"/>
        <w:rPr>
          <w:color w:val="000000" w:themeColor="text1"/>
          <w:sz w:val="24"/>
        </w:rPr>
      </w:pPr>
      <w:r w:rsidRPr="005B2E57">
        <w:rPr>
          <w:color w:val="000000" w:themeColor="text1"/>
          <w:sz w:val="24"/>
        </w:rPr>
        <w:t>Salt and sugar solutions were the least effective in reducing trypsin inhibitors, retained the highest levels even at 0.3% (15.240 ± 0.19 and 16.697 ± 0.17, respectively). Salt stabilized the structure of trypsin inhibitors, while sugar formed a protective layer that limited thermal denaturation. Statistical analysis revealed that the type of treatment (Factor A) had a significant effect on both saponins and trypsin inhibitors, while the concentration (Factor B) was significant for trypsin inhibitors but not for saponins. This indicated that the treatment type played a more dominant role in reducing saponin levels, while both treatment type and concentration were important for trypsin inhibitors. The interaction between treatment and concentration (A × B) was significant for both parameters, indicating that the efficacy of each treatment varied with concentration.</w:t>
      </w:r>
    </w:p>
    <w:p w14:paraId="66ADB173" w14:textId="2AD79A4D" w:rsidR="004B1E44" w:rsidRPr="005B2E57" w:rsidRDefault="004B1E44" w:rsidP="005D3EB4">
      <w:pPr>
        <w:pStyle w:val="TableParagraph"/>
        <w:spacing w:line="360" w:lineRule="auto"/>
        <w:ind w:firstLine="613"/>
        <w:jc w:val="both"/>
        <w:rPr>
          <w:color w:val="000000" w:themeColor="text1"/>
          <w:sz w:val="24"/>
        </w:rPr>
      </w:pPr>
      <w:r w:rsidRPr="005B2E57">
        <w:rPr>
          <w:color w:val="000000" w:themeColor="text1"/>
          <w:sz w:val="24"/>
        </w:rPr>
        <w:t xml:space="preserve">The similar study was conducted to </w:t>
      </w:r>
      <w:proofErr w:type="spellStart"/>
      <w:r w:rsidRPr="005B2E57">
        <w:rPr>
          <w:color w:val="000000" w:themeColor="text1"/>
          <w:sz w:val="24"/>
        </w:rPr>
        <w:t>analyse</w:t>
      </w:r>
      <w:proofErr w:type="spellEnd"/>
      <w:r w:rsidRPr="005B2E57">
        <w:rPr>
          <w:color w:val="000000" w:themeColor="text1"/>
          <w:sz w:val="24"/>
        </w:rPr>
        <w:t xml:space="preserve"> the phytochemicals in Oyster mushroom (</w:t>
      </w:r>
      <w:r w:rsidRPr="005B2E57">
        <w:rPr>
          <w:i/>
          <w:color w:val="000000" w:themeColor="text1"/>
          <w:sz w:val="24"/>
        </w:rPr>
        <w:t>Pleurotus ostreatus</w:t>
      </w:r>
      <w:r w:rsidRPr="005B2E57">
        <w:rPr>
          <w:color w:val="000000" w:themeColor="text1"/>
          <w:sz w:val="24"/>
        </w:rPr>
        <w:t xml:space="preserve">) by Ekanem and </w:t>
      </w:r>
      <w:proofErr w:type="spellStart"/>
      <w:r w:rsidRPr="005B2E57">
        <w:rPr>
          <w:color w:val="000000" w:themeColor="text1"/>
          <w:sz w:val="24"/>
        </w:rPr>
        <w:t>Ubengama</w:t>
      </w:r>
      <w:proofErr w:type="spellEnd"/>
      <w:r w:rsidRPr="005B2E57">
        <w:rPr>
          <w:color w:val="000000" w:themeColor="text1"/>
          <w:sz w:val="24"/>
        </w:rPr>
        <w:t xml:space="preserve"> (2002). Oyster mushroom (</w:t>
      </w:r>
      <w:r w:rsidRPr="005B2E57">
        <w:rPr>
          <w:i/>
          <w:color w:val="000000" w:themeColor="text1"/>
          <w:sz w:val="24"/>
        </w:rPr>
        <w:t>Pleurotus ostreatus</w:t>
      </w:r>
      <w:r w:rsidRPr="005B2E57">
        <w:rPr>
          <w:color w:val="000000" w:themeColor="text1"/>
          <w:sz w:val="24"/>
        </w:rPr>
        <w:t xml:space="preserve">) was collected at the button (day-old) and full-grown (mature) stages from dead mango tree stumps in a tropical garden. Both samples were evaluated for phytochemicals. Phytochemicals (toxic substances) were determined in the raw and boiled (full-grown) samples. Results showed that </w:t>
      </w:r>
      <w:r w:rsidRPr="005B2E57">
        <w:rPr>
          <w:i/>
          <w:color w:val="000000" w:themeColor="text1"/>
          <w:sz w:val="24"/>
        </w:rPr>
        <w:t>P. ostreatus</w:t>
      </w:r>
      <w:r w:rsidRPr="005B2E57">
        <w:rPr>
          <w:color w:val="000000" w:themeColor="text1"/>
          <w:sz w:val="24"/>
        </w:rPr>
        <w:t xml:space="preserve"> contains significantly higher (p&lt;0.05) levels of crude protein and nitrogen-free extract at the full-grown stage than at the button stage. Levels of toxic substances in the raw mushroom ranged from 1.16 mg/100 g (hydrocyanic acid) to 42.24 mg/100 g (phytic acid). Boiling for 2 minutes significantly reduced (p&lt;0.05) toxic levels.</w:t>
      </w:r>
    </w:p>
    <w:p w14:paraId="473B23AA" w14:textId="77777777" w:rsidR="005D3EB4" w:rsidRPr="005B2E57" w:rsidRDefault="005D3EB4" w:rsidP="005D3EB4">
      <w:pPr>
        <w:pStyle w:val="TableParagraph"/>
        <w:spacing w:line="360" w:lineRule="auto"/>
        <w:ind w:firstLine="613"/>
        <w:jc w:val="both"/>
        <w:rPr>
          <w:color w:val="000000" w:themeColor="text1"/>
          <w:sz w:val="24"/>
        </w:rPr>
      </w:pPr>
      <w:r w:rsidRPr="005B2E57">
        <w:rPr>
          <w:color w:val="000000" w:themeColor="text1"/>
          <w:sz w:val="24"/>
        </w:rPr>
        <w:t xml:space="preserve">KMS treatment, particularly at higher concentrations, was the most effective in </w:t>
      </w:r>
      <w:r w:rsidRPr="005B2E57">
        <w:rPr>
          <w:color w:val="000000" w:themeColor="text1"/>
          <w:sz w:val="24"/>
        </w:rPr>
        <w:lastRenderedPageBreak/>
        <w:t>reducing both saponins and trypsin inhibitors, followed by citric acid and vinegar, while salt and sugar treatments showed minimal impact. The combined effects of KMS’s antioxidant and protein-denaturing properties, along with the thermal processing of hot air oven drying, were responsible for these reductions. Potassium metabisulfite (KMS) which is commonly used as a preservative for its antioxidant and antimicrobial properties. It played a vital role in reducing the concentration or activity of antinutritional factors by preventing enzymatic degradation of beneficial compounds and modifying the chemical structure of saponins and trypsin inhibitors. The hot air oven dehydration process, which involved applying controlled heat, further reduced the activity of antinutritional factors. Understanding the effects of KMS treatment and hot air oven dehydration on saponins and trypsin inhibitors is crucial for optimizing processing methods. Reducing the levels of these antinutritional factors enhances the nutritional value of oyster mushrooms, making them a more digestible and health-promoting food source.</w:t>
      </w:r>
    </w:p>
    <w:p w14:paraId="04B3B0B0" w14:textId="77777777" w:rsidR="00FF01E9" w:rsidRPr="005B2E57" w:rsidRDefault="00FF01E9" w:rsidP="00FF01E9">
      <w:pPr>
        <w:pStyle w:val="TableParagraph"/>
        <w:spacing w:line="360" w:lineRule="auto"/>
        <w:ind w:left="0"/>
        <w:rPr>
          <w:b/>
          <w:bCs/>
          <w:color w:val="000000" w:themeColor="text1"/>
          <w:sz w:val="24"/>
          <w:szCs w:val="24"/>
        </w:rPr>
      </w:pPr>
      <w:r w:rsidRPr="005B2E57">
        <w:rPr>
          <w:b/>
          <w:color w:val="000000" w:themeColor="text1"/>
        </w:rPr>
        <w:t xml:space="preserve">Table 3: </w:t>
      </w:r>
      <w:r w:rsidRPr="005B2E57">
        <w:rPr>
          <w:b/>
          <w:bCs/>
          <w:color w:val="000000" w:themeColor="text1"/>
          <w:sz w:val="24"/>
          <w:szCs w:val="24"/>
        </w:rPr>
        <w:t>Phytic contents in oyster mushroom powder</w:t>
      </w:r>
    </w:p>
    <w:tbl>
      <w:tblPr>
        <w:tblW w:w="3913" w:type="pct"/>
        <w:jc w:val="center"/>
        <w:tblCellMar>
          <w:left w:w="0" w:type="dxa"/>
          <w:right w:w="0" w:type="dxa"/>
        </w:tblCellMar>
        <w:tblLook w:val="04A0" w:firstRow="1" w:lastRow="0" w:firstColumn="1" w:lastColumn="0" w:noHBand="0" w:noVBand="1"/>
      </w:tblPr>
      <w:tblGrid>
        <w:gridCol w:w="2719"/>
        <w:gridCol w:w="1388"/>
        <w:gridCol w:w="1388"/>
        <w:gridCol w:w="1388"/>
      </w:tblGrid>
      <w:tr w:rsidR="00FF01E9" w:rsidRPr="005B2E57" w14:paraId="4F617AD0" w14:textId="77777777" w:rsidTr="004A4D75">
        <w:trPr>
          <w:trHeight w:val="271"/>
          <w:jc w:val="center"/>
        </w:trPr>
        <w:tc>
          <w:tcPr>
            <w:tcW w:w="2151" w:type="pct"/>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7C8DF74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49" w:type="pct"/>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54202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Phytic acid</w:t>
            </w:r>
          </w:p>
        </w:tc>
      </w:tr>
      <w:tr w:rsidR="00FF01E9" w:rsidRPr="005B2E57" w14:paraId="1A5994EE" w14:textId="77777777" w:rsidTr="004A4D75">
        <w:trPr>
          <w:trHeight w:val="271"/>
          <w:jc w:val="center"/>
        </w:trPr>
        <w:tc>
          <w:tcPr>
            <w:tcW w:w="2151" w:type="pct"/>
            <w:vMerge/>
            <w:tcBorders>
              <w:left w:val="single" w:sz="8" w:space="0" w:color="000000"/>
              <w:bottom w:val="single" w:sz="8" w:space="0" w:color="000000"/>
              <w:right w:val="single" w:sz="8" w:space="0" w:color="000000"/>
            </w:tcBorders>
            <w:tcMar>
              <w:top w:w="15" w:type="dxa"/>
              <w:left w:w="108" w:type="dxa"/>
              <w:bottom w:w="0" w:type="dxa"/>
              <w:right w:w="108" w:type="dxa"/>
            </w:tcMar>
            <w:hideMark/>
          </w:tcPr>
          <w:p w14:paraId="69B15BE5"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1F545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commentRangeStart w:id="21"/>
            <w:r w:rsidRPr="005B2E57">
              <w:rPr>
                <w:rFonts w:ascii="Times New Roman" w:eastAsia="Calibri" w:hAnsi="Times New Roman" w:cs="Times New Roman"/>
                <w:b/>
                <w:bCs/>
                <w:color w:val="000000" w:themeColor="text1"/>
                <w:kern w:val="24"/>
                <w:sz w:val="24"/>
                <w:szCs w:val="24"/>
              </w:rPr>
              <w:t>0.1%</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F3092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B434C8"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commentRangeEnd w:id="21"/>
            <w:r w:rsidR="004B4E47">
              <w:rPr>
                <w:rStyle w:val="CommentReference"/>
              </w:rPr>
              <w:commentReference w:id="21"/>
            </w:r>
          </w:p>
        </w:tc>
      </w:tr>
      <w:tr w:rsidR="00FF01E9" w:rsidRPr="005B2E57" w14:paraId="29128063"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B331BE"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884A9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17.90±0.35</w:t>
            </w:r>
            <w:r w:rsidRPr="005B2E57">
              <w:rPr>
                <w:rFonts w:ascii="Times New Roman" w:hAnsi="Times New Roman" w:cs="Times New Roman"/>
                <w:color w:val="000000" w:themeColor="text1"/>
                <w:kern w:val="24"/>
                <w:sz w:val="24"/>
                <w:szCs w:val="24"/>
                <w:vertAlign w:val="superscript"/>
              </w:rPr>
              <w:t>a</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A1A95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16.35±0.17</w:t>
            </w:r>
            <w:r w:rsidRPr="005B2E57">
              <w:rPr>
                <w:rFonts w:ascii="Times New Roman" w:hAnsi="Times New Roman" w:cs="Times New Roman"/>
                <w:color w:val="000000" w:themeColor="text1"/>
                <w:kern w:val="24"/>
                <w:sz w:val="24"/>
                <w:szCs w:val="24"/>
                <w:vertAlign w:val="superscript"/>
              </w:rPr>
              <w:t>a</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E95FF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14.58±1.80</w:t>
            </w:r>
            <w:r w:rsidRPr="005B2E57">
              <w:rPr>
                <w:rFonts w:ascii="Times New Roman" w:hAnsi="Times New Roman" w:cs="Times New Roman"/>
                <w:color w:val="000000" w:themeColor="text1"/>
                <w:kern w:val="24"/>
                <w:sz w:val="24"/>
                <w:szCs w:val="24"/>
                <w:vertAlign w:val="superscript"/>
              </w:rPr>
              <w:t>a</w:t>
            </w:r>
          </w:p>
        </w:tc>
      </w:tr>
      <w:tr w:rsidR="00FF01E9" w:rsidRPr="005B2E57" w14:paraId="29459C1A"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D415A7"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4F90A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12.48±0.06</w:t>
            </w:r>
            <w:r w:rsidRPr="005B2E57">
              <w:rPr>
                <w:rFonts w:ascii="Times New Roman" w:hAnsi="Times New Roman" w:cs="Times New Roman"/>
                <w:color w:val="000000" w:themeColor="text1"/>
                <w:kern w:val="24"/>
                <w:sz w:val="24"/>
                <w:szCs w:val="24"/>
                <w:vertAlign w:val="superscript"/>
              </w:rPr>
              <w:t>d</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6CCFC7"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11.56±0.31</w:t>
            </w:r>
            <w:r w:rsidRPr="005B2E57">
              <w:rPr>
                <w:rFonts w:ascii="Times New Roman" w:hAnsi="Times New Roman" w:cs="Times New Roman"/>
                <w:color w:val="000000" w:themeColor="text1"/>
                <w:kern w:val="24"/>
                <w:sz w:val="24"/>
                <w:szCs w:val="24"/>
                <w:vertAlign w:val="superscript"/>
              </w:rPr>
              <w:t>d</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6BC3DD"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10.21±0.20</w:t>
            </w:r>
            <w:r w:rsidRPr="005B2E57">
              <w:rPr>
                <w:rFonts w:ascii="Times New Roman" w:hAnsi="Times New Roman" w:cs="Times New Roman"/>
                <w:color w:val="000000" w:themeColor="text1"/>
                <w:kern w:val="24"/>
                <w:sz w:val="24"/>
                <w:szCs w:val="24"/>
                <w:vertAlign w:val="superscript"/>
              </w:rPr>
              <w:t>d</w:t>
            </w:r>
          </w:p>
        </w:tc>
      </w:tr>
      <w:tr w:rsidR="00FF01E9" w:rsidRPr="005B2E57" w14:paraId="26D03A58"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82485E"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F1D7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13.55±0.34</w:t>
            </w:r>
            <w:r w:rsidRPr="005B2E57">
              <w:rPr>
                <w:rFonts w:ascii="Times New Roman" w:hAnsi="Times New Roman" w:cs="Times New Roman"/>
                <w:color w:val="000000" w:themeColor="text1"/>
                <w:kern w:val="24"/>
                <w:sz w:val="24"/>
                <w:szCs w:val="24"/>
                <w:vertAlign w:val="superscript"/>
              </w:rPr>
              <w:t>c</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B9ED25"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12.73±0.16</w:t>
            </w:r>
            <w:r w:rsidRPr="005B2E57">
              <w:rPr>
                <w:rFonts w:ascii="Times New Roman" w:hAnsi="Times New Roman" w:cs="Times New Roman"/>
                <w:color w:val="000000" w:themeColor="text1"/>
                <w:kern w:val="24"/>
                <w:sz w:val="24"/>
                <w:szCs w:val="24"/>
                <w:vertAlign w:val="superscript"/>
              </w:rPr>
              <w:t>c</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CB5D8A"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11.73±0.27</w:t>
            </w:r>
            <w:r w:rsidRPr="005B2E57">
              <w:rPr>
                <w:rFonts w:ascii="Times New Roman" w:hAnsi="Times New Roman" w:cs="Times New Roman"/>
                <w:color w:val="000000" w:themeColor="text1"/>
                <w:kern w:val="24"/>
                <w:sz w:val="24"/>
                <w:szCs w:val="24"/>
                <w:vertAlign w:val="superscript"/>
              </w:rPr>
              <w:t>c</w:t>
            </w:r>
          </w:p>
        </w:tc>
      </w:tr>
      <w:tr w:rsidR="00FF01E9" w:rsidRPr="005B2E57" w14:paraId="2148D9C8"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5B1930"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E20A6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14.29±0.67</w:t>
            </w:r>
            <w:r w:rsidRPr="005B2E57">
              <w:rPr>
                <w:rFonts w:ascii="Times New Roman" w:hAnsi="Times New Roman" w:cs="Times New Roman"/>
                <w:color w:val="000000" w:themeColor="text1"/>
                <w:kern w:val="24"/>
                <w:sz w:val="24"/>
                <w:szCs w:val="24"/>
                <w:vertAlign w:val="superscript"/>
              </w:rPr>
              <w:t>b</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B5BB3A"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14.77±0.21</w:t>
            </w:r>
            <w:r w:rsidRPr="005B2E57">
              <w:rPr>
                <w:rFonts w:ascii="Times New Roman" w:hAnsi="Times New Roman" w:cs="Times New Roman"/>
                <w:color w:val="000000" w:themeColor="text1"/>
                <w:kern w:val="24"/>
                <w:sz w:val="24"/>
                <w:szCs w:val="24"/>
                <w:vertAlign w:val="superscript"/>
              </w:rPr>
              <w:t>b</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DC878C"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12.66±0.19</w:t>
            </w:r>
            <w:r w:rsidRPr="005B2E57">
              <w:rPr>
                <w:rFonts w:ascii="Times New Roman" w:hAnsi="Times New Roman" w:cs="Times New Roman"/>
                <w:color w:val="000000" w:themeColor="text1"/>
                <w:kern w:val="24"/>
                <w:sz w:val="24"/>
                <w:szCs w:val="24"/>
                <w:vertAlign w:val="superscript"/>
              </w:rPr>
              <w:t>b</w:t>
            </w:r>
          </w:p>
        </w:tc>
      </w:tr>
      <w:tr w:rsidR="00FF01E9" w:rsidRPr="005B2E57" w14:paraId="5CA85468"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791EC"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05AA0E"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10.71±0.16</w:t>
            </w:r>
            <w:r w:rsidRPr="005B2E57">
              <w:rPr>
                <w:rFonts w:ascii="Times New Roman" w:hAnsi="Times New Roman" w:cs="Times New Roman"/>
                <w:bCs/>
                <w:color w:val="000000" w:themeColor="text1"/>
                <w:kern w:val="24"/>
                <w:sz w:val="24"/>
                <w:szCs w:val="24"/>
                <w:vertAlign w:val="superscript"/>
              </w:rPr>
              <w:t>e</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59B215"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10.43±0.38</w:t>
            </w:r>
            <w:r w:rsidRPr="005B2E57">
              <w:rPr>
                <w:rFonts w:ascii="Times New Roman" w:hAnsi="Times New Roman" w:cs="Times New Roman"/>
                <w:bCs/>
                <w:color w:val="000000" w:themeColor="text1"/>
                <w:kern w:val="24"/>
                <w:sz w:val="24"/>
                <w:szCs w:val="24"/>
                <w:vertAlign w:val="superscript"/>
              </w:rPr>
              <w:t>e</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1195B0"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9.44±0.18</w:t>
            </w:r>
            <w:r w:rsidRPr="005B2E57">
              <w:rPr>
                <w:rFonts w:ascii="Times New Roman" w:hAnsi="Times New Roman" w:cs="Times New Roman"/>
                <w:bCs/>
                <w:color w:val="000000" w:themeColor="text1"/>
                <w:kern w:val="24"/>
                <w:sz w:val="24"/>
                <w:szCs w:val="24"/>
                <w:vertAlign w:val="superscript"/>
              </w:rPr>
              <w:t>e</w:t>
            </w:r>
          </w:p>
        </w:tc>
      </w:tr>
      <w:tr w:rsidR="00FF01E9" w:rsidRPr="005B2E57" w14:paraId="782FEC2F"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B00F5"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209569"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10D84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44F9CD"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4EF6DDEF"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4C88C"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0E9E4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0.23</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A76C3"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0AEB6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0.06</w:t>
            </w:r>
          </w:p>
        </w:tc>
      </w:tr>
      <w:tr w:rsidR="00FF01E9" w:rsidRPr="005B2E57" w14:paraId="34B83235"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AD0724"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F7F0CE"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0.40</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DDEB1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90026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FF01E9" w:rsidRPr="005B2E57" w14:paraId="79674422"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6AF578"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57CAB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0.36</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09C62C"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04561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0.15</w:t>
            </w:r>
          </w:p>
        </w:tc>
      </w:tr>
    </w:tbl>
    <w:p w14:paraId="09ADCAC2" w14:textId="77777777"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lastRenderedPageBreak/>
        <w:t>Results are expressed as Mean ± SD. Values with different alphabetical superscripts within the same column differed significantly, *Significant at 5%, **Significant at 1%.</w:t>
      </w:r>
    </w:p>
    <w:p w14:paraId="1EDAD6A8" w14:textId="04E1A65B" w:rsidR="00985D25" w:rsidRPr="005B2E57" w:rsidRDefault="00985D25" w:rsidP="00985D25">
      <w:pPr>
        <w:pStyle w:val="TableParagraph"/>
        <w:spacing w:line="360" w:lineRule="auto"/>
        <w:ind w:left="0" w:firstLine="720"/>
        <w:jc w:val="both"/>
        <w:rPr>
          <w:bCs/>
          <w:color w:val="000000" w:themeColor="text1"/>
          <w:sz w:val="24"/>
        </w:rPr>
      </w:pPr>
      <w:r w:rsidRPr="005B2E57">
        <w:rPr>
          <w:bCs/>
          <w:color w:val="000000" w:themeColor="text1"/>
          <w:sz w:val="24"/>
        </w:rPr>
        <w:t>The results of the Table 3 revealed significant variations in the reduction of phytic acid contents in oyster mushrooms subjected to different treatments (sugar solution, salt solution, vinegar, citric acid, and potassium metabisulphite [KMS]) at three concentrations (0.1%, 0.2%, and 0.3%). These findings highlighted the influence of treatment type and concentration on mitigating these anti-nutritional factors, thereby enhancing the nutritional value of oyster mushrooms.</w:t>
      </w:r>
    </w:p>
    <w:p w14:paraId="2E0E4EB6" w14:textId="77777777" w:rsidR="00985D25" w:rsidRPr="005B2E57" w:rsidRDefault="00985D25" w:rsidP="00985D25">
      <w:pPr>
        <w:pStyle w:val="TableParagraph"/>
        <w:spacing w:line="360" w:lineRule="auto"/>
        <w:ind w:left="0" w:firstLine="720"/>
        <w:jc w:val="both"/>
        <w:rPr>
          <w:bCs/>
          <w:color w:val="000000" w:themeColor="text1"/>
          <w:sz w:val="24"/>
        </w:rPr>
      </w:pPr>
      <w:bookmarkStart w:id="22" w:name="_Hlk190815614"/>
      <w:r w:rsidRPr="005B2E57">
        <w:rPr>
          <w:bCs/>
          <w:color w:val="000000" w:themeColor="text1"/>
          <w:sz w:val="24"/>
        </w:rPr>
        <w:t xml:space="preserve">In the case of phytic acid, the potassium metabisulphite (KMS) treatment proved to be the most effective. Across all concentrations, KMS consistently exhibited the lowest phytic acid levels, with a marked reduction from 10.713 ± 0.16 at 0.1% to 9.443 ± 0.18 at 0.3%. This significant reduction was attributed to the antioxidant and preservative properties of KMS, which likely inhibit oxidative or enzymatic activities that could stabilize phytic acid. </w:t>
      </w:r>
      <w:bookmarkEnd w:id="22"/>
      <w:r w:rsidRPr="005B2E57">
        <w:rPr>
          <w:bCs/>
          <w:color w:val="000000" w:themeColor="text1"/>
          <w:sz w:val="24"/>
        </w:rPr>
        <w:t xml:space="preserve">Conversely, the sugar solution treatment exhibited the highest levels of phytic acid, ranging from 17.903 ± 0.35 at 0.1% to 14.583 ± 1.80 at 0.3%, suggesting that sugar may act as a stabilizing agent for phytic acid, offering minimal reduction. Salt solution treatment was moderately effective, with values decreasing from 12.483 ± 0.06 at 0.1% to 10.216 ± 0.20 at 0.3%, indicating some potential for ionic interactions affecting phytic acid binding. </w:t>
      </w:r>
    </w:p>
    <w:p w14:paraId="741935FD" w14:textId="77777777" w:rsidR="00985D25" w:rsidRPr="005B2E57" w:rsidRDefault="00985D25" w:rsidP="00985D25">
      <w:pPr>
        <w:spacing w:before="240" w:after="240" w:line="360" w:lineRule="auto"/>
        <w:ind w:firstLine="720"/>
        <w:jc w:val="both"/>
        <w:rPr>
          <w:rFonts w:ascii="Times New Roman" w:hAnsi="Times New Roman" w:cs="Times New Roman"/>
          <w:bCs/>
          <w:color w:val="000000" w:themeColor="text1"/>
          <w:sz w:val="24"/>
        </w:rPr>
      </w:pPr>
      <w:r w:rsidRPr="005B2E57">
        <w:rPr>
          <w:rFonts w:ascii="Times New Roman" w:hAnsi="Times New Roman" w:cs="Times New Roman"/>
          <w:bCs/>
          <w:color w:val="000000" w:themeColor="text1"/>
          <w:sz w:val="24"/>
        </w:rPr>
        <w:t>Vinegar and citric acid treatments also demonstrated notable reductions, with citric acid being slightly more effective than vinegar. This is likely due to the acidic nature and chelating properties of citric acid, which facilitated the breakdown of phytic acid, resulting in values ranging from 14.296 ± 0.67 at 0.1% to 12.66 ± 0.19 at 0.3%.</w:t>
      </w:r>
    </w:p>
    <w:p w14:paraId="407DAF51" w14:textId="77777777" w:rsidR="00985D25" w:rsidRPr="005B2E57" w:rsidRDefault="00985D25" w:rsidP="00985D25">
      <w:pPr>
        <w:pStyle w:val="TableParagraph"/>
        <w:spacing w:line="360" w:lineRule="auto"/>
        <w:ind w:left="0"/>
        <w:rPr>
          <w:b/>
          <w:bCs/>
          <w:color w:val="000000" w:themeColor="text1"/>
          <w:sz w:val="24"/>
          <w:szCs w:val="24"/>
        </w:rPr>
      </w:pPr>
      <w:r w:rsidRPr="005B2E57">
        <w:rPr>
          <w:b/>
          <w:color w:val="000000" w:themeColor="text1"/>
        </w:rPr>
        <w:t xml:space="preserve">Table 4: </w:t>
      </w:r>
      <w:r w:rsidRPr="005B2E57">
        <w:rPr>
          <w:b/>
          <w:bCs/>
          <w:color w:val="000000" w:themeColor="text1"/>
          <w:sz w:val="24"/>
          <w:szCs w:val="24"/>
        </w:rPr>
        <w:t>Oxalic acid contents in oyster mushroom powder</w:t>
      </w:r>
    </w:p>
    <w:tbl>
      <w:tblPr>
        <w:tblW w:w="3961" w:type="pct"/>
        <w:jc w:val="center"/>
        <w:tblCellMar>
          <w:left w:w="0" w:type="dxa"/>
          <w:right w:w="0" w:type="dxa"/>
        </w:tblCellMar>
        <w:tblLook w:val="04A0" w:firstRow="1" w:lastRow="0" w:firstColumn="1" w:lastColumn="0" w:noHBand="0" w:noVBand="1"/>
      </w:tblPr>
      <w:tblGrid>
        <w:gridCol w:w="2803"/>
        <w:gridCol w:w="1388"/>
        <w:gridCol w:w="1388"/>
        <w:gridCol w:w="1388"/>
      </w:tblGrid>
      <w:tr w:rsidR="00985D25" w:rsidRPr="005B2E57" w14:paraId="1D169D8C" w14:textId="77777777" w:rsidTr="00601B69">
        <w:trPr>
          <w:trHeight w:val="271"/>
          <w:jc w:val="center"/>
        </w:trPr>
        <w:tc>
          <w:tcPr>
            <w:tcW w:w="2186" w:type="pct"/>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14:paraId="30BB8E0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14" w:type="pct"/>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44164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Oxalic acid</w:t>
            </w:r>
          </w:p>
        </w:tc>
      </w:tr>
      <w:tr w:rsidR="00985D25" w:rsidRPr="005B2E57" w14:paraId="7501BB4A" w14:textId="77777777" w:rsidTr="00601B69">
        <w:trPr>
          <w:trHeight w:val="271"/>
          <w:jc w:val="center"/>
        </w:trPr>
        <w:tc>
          <w:tcPr>
            <w:tcW w:w="2186" w:type="pct"/>
            <w:vMerge/>
            <w:tcBorders>
              <w:left w:val="single" w:sz="8" w:space="0" w:color="000000"/>
              <w:bottom w:val="single" w:sz="8" w:space="0" w:color="000000"/>
              <w:right w:val="single" w:sz="8" w:space="0" w:color="000000"/>
            </w:tcBorders>
            <w:tcMar>
              <w:top w:w="15" w:type="dxa"/>
              <w:left w:w="108" w:type="dxa"/>
              <w:bottom w:w="0" w:type="dxa"/>
              <w:right w:w="108" w:type="dxa"/>
            </w:tcMar>
            <w:hideMark/>
          </w:tcPr>
          <w:p w14:paraId="07A6C6D9"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27352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commentRangeStart w:id="23"/>
            <w:r w:rsidRPr="005B2E57">
              <w:rPr>
                <w:rFonts w:ascii="Times New Roman" w:eastAsia="Calibri" w:hAnsi="Times New Roman" w:cs="Times New Roman"/>
                <w:b/>
                <w:bCs/>
                <w:color w:val="000000" w:themeColor="text1"/>
                <w:kern w:val="24"/>
                <w:sz w:val="24"/>
                <w:szCs w:val="24"/>
              </w:rPr>
              <w:t>0.1%</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2E9CC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40DA4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commentRangeEnd w:id="23"/>
            <w:r w:rsidR="004B4E47">
              <w:rPr>
                <w:rStyle w:val="CommentReference"/>
              </w:rPr>
              <w:commentReference w:id="23"/>
            </w:r>
          </w:p>
        </w:tc>
      </w:tr>
      <w:tr w:rsidR="00985D25" w:rsidRPr="005B2E57" w14:paraId="70999047"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AF141"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862FB1"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12.58±0.27</w:t>
            </w:r>
            <w:r w:rsidRPr="005B2E57">
              <w:rPr>
                <w:rFonts w:ascii="Times New Roman" w:hAnsi="Times New Roman" w:cs="Times New Roman"/>
                <w:color w:val="000000" w:themeColor="text1"/>
                <w:kern w:val="24"/>
                <w:sz w:val="24"/>
                <w:szCs w:val="24"/>
                <w:vertAlign w:val="superscript"/>
              </w:rPr>
              <w:t>d</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E0746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11.15±0.11</w:t>
            </w:r>
            <w:r w:rsidRPr="005B2E57">
              <w:rPr>
                <w:rFonts w:ascii="Times New Roman" w:hAnsi="Times New Roman" w:cs="Times New Roman"/>
                <w:color w:val="000000" w:themeColor="text1"/>
                <w:kern w:val="24"/>
                <w:sz w:val="24"/>
                <w:szCs w:val="24"/>
                <w:vertAlign w:val="superscript"/>
              </w:rPr>
              <w:t>d</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DEDB8D"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10.82±0.17</w:t>
            </w:r>
            <w:r w:rsidRPr="005B2E57">
              <w:rPr>
                <w:rFonts w:ascii="Times New Roman" w:hAnsi="Times New Roman" w:cs="Times New Roman"/>
                <w:color w:val="000000" w:themeColor="text1"/>
                <w:kern w:val="24"/>
                <w:sz w:val="24"/>
                <w:szCs w:val="24"/>
                <w:vertAlign w:val="superscript"/>
              </w:rPr>
              <w:t>d</w:t>
            </w:r>
          </w:p>
        </w:tc>
      </w:tr>
      <w:tr w:rsidR="00985D25" w:rsidRPr="005B2E57" w14:paraId="40388741"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0EEC0"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141870"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14.69±0.22</w:t>
            </w:r>
            <w:r w:rsidRPr="005B2E57">
              <w:rPr>
                <w:rFonts w:ascii="Times New Roman" w:hAnsi="Times New Roman" w:cs="Times New Roman"/>
                <w:color w:val="000000" w:themeColor="text1"/>
                <w:kern w:val="24"/>
                <w:sz w:val="24"/>
                <w:szCs w:val="24"/>
                <w:vertAlign w:val="superscript"/>
              </w:rPr>
              <w:t>b</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FA4E9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13.54±0.14</w:t>
            </w:r>
            <w:r w:rsidRPr="005B2E57">
              <w:rPr>
                <w:rFonts w:ascii="Times New Roman" w:hAnsi="Times New Roman" w:cs="Times New Roman"/>
                <w:color w:val="000000" w:themeColor="text1"/>
                <w:kern w:val="24"/>
                <w:sz w:val="24"/>
                <w:szCs w:val="24"/>
                <w:vertAlign w:val="superscript"/>
              </w:rPr>
              <w:t>b</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A6B347"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12.66±0.31</w:t>
            </w:r>
            <w:r w:rsidRPr="005B2E57">
              <w:rPr>
                <w:rFonts w:ascii="Times New Roman" w:hAnsi="Times New Roman" w:cs="Times New Roman"/>
                <w:color w:val="000000" w:themeColor="text1"/>
                <w:kern w:val="24"/>
                <w:sz w:val="24"/>
                <w:szCs w:val="24"/>
                <w:vertAlign w:val="superscript"/>
              </w:rPr>
              <w:t>b</w:t>
            </w:r>
          </w:p>
        </w:tc>
      </w:tr>
      <w:tr w:rsidR="00985D25" w:rsidRPr="005B2E57" w14:paraId="012CDCB6"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9A7FF"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lastRenderedPageBreak/>
              <w:t>Vinegar</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9EC43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15.48±0.50</w:t>
            </w:r>
            <w:r w:rsidRPr="005B2E57">
              <w:rPr>
                <w:rFonts w:ascii="Times New Roman" w:hAnsi="Times New Roman" w:cs="Times New Roman"/>
                <w:color w:val="000000" w:themeColor="text1"/>
                <w:kern w:val="24"/>
                <w:sz w:val="24"/>
                <w:szCs w:val="24"/>
                <w:vertAlign w:val="superscript"/>
              </w:rPr>
              <w:t>a</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DB59DD"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14.81±0.25</w:t>
            </w:r>
            <w:r w:rsidRPr="005B2E57">
              <w:rPr>
                <w:rFonts w:ascii="Times New Roman" w:hAnsi="Times New Roman" w:cs="Times New Roman"/>
                <w:color w:val="000000" w:themeColor="text1"/>
                <w:kern w:val="24"/>
                <w:sz w:val="24"/>
                <w:szCs w:val="24"/>
                <w:vertAlign w:val="superscript"/>
              </w:rPr>
              <w:t>a</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1336DF"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13.02±0.37</w:t>
            </w:r>
            <w:r w:rsidRPr="005B2E57">
              <w:rPr>
                <w:rFonts w:ascii="Times New Roman" w:hAnsi="Times New Roman" w:cs="Times New Roman"/>
                <w:color w:val="000000" w:themeColor="text1"/>
                <w:kern w:val="24"/>
                <w:sz w:val="24"/>
                <w:szCs w:val="24"/>
                <w:vertAlign w:val="superscript"/>
              </w:rPr>
              <w:t>a</w:t>
            </w:r>
          </w:p>
        </w:tc>
      </w:tr>
      <w:tr w:rsidR="00985D25" w:rsidRPr="005B2E57" w14:paraId="632520B6"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1BE179"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A5B10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13.26±0.36</w:t>
            </w:r>
            <w:r w:rsidRPr="005B2E57">
              <w:rPr>
                <w:rFonts w:ascii="Times New Roman" w:hAnsi="Times New Roman" w:cs="Times New Roman"/>
                <w:color w:val="000000" w:themeColor="text1"/>
                <w:kern w:val="24"/>
                <w:sz w:val="24"/>
                <w:szCs w:val="24"/>
                <w:vertAlign w:val="superscript"/>
              </w:rPr>
              <w:t>c</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8454BC"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12.56±0.26</w:t>
            </w:r>
            <w:r w:rsidRPr="005B2E57">
              <w:rPr>
                <w:rFonts w:ascii="Times New Roman" w:hAnsi="Times New Roman" w:cs="Times New Roman"/>
                <w:color w:val="000000" w:themeColor="text1"/>
                <w:kern w:val="24"/>
                <w:sz w:val="24"/>
                <w:szCs w:val="24"/>
                <w:vertAlign w:val="superscript"/>
              </w:rPr>
              <w:t>c</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B37891"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11.59±0.14</w:t>
            </w:r>
            <w:r w:rsidRPr="005B2E57">
              <w:rPr>
                <w:rFonts w:ascii="Times New Roman" w:hAnsi="Times New Roman" w:cs="Times New Roman"/>
                <w:color w:val="000000" w:themeColor="text1"/>
                <w:kern w:val="24"/>
                <w:sz w:val="24"/>
                <w:szCs w:val="24"/>
                <w:vertAlign w:val="superscript"/>
              </w:rPr>
              <w:t>c</w:t>
            </w:r>
          </w:p>
        </w:tc>
      </w:tr>
      <w:tr w:rsidR="00985D25" w:rsidRPr="005B2E57" w14:paraId="2AF485C3"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64D9F5"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0A5EC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11.55±0.27</w:t>
            </w:r>
            <w:r w:rsidRPr="005B2E57">
              <w:rPr>
                <w:rFonts w:ascii="Times New Roman" w:hAnsi="Times New Roman" w:cs="Times New Roman"/>
                <w:bCs/>
                <w:color w:val="000000" w:themeColor="text1"/>
                <w:kern w:val="24"/>
                <w:sz w:val="24"/>
                <w:szCs w:val="24"/>
                <w:vertAlign w:val="superscript"/>
              </w:rPr>
              <w:t>e</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E3AD4C"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10.23±0.33</w:t>
            </w:r>
            <w:r w:rsidRPr="005B2E57">
              <w:rPr>
                <w:rFonts w:ascii="Times New Roman" w:hAnsi="Times New Roman" w:cs="Times New Roman"/>
                <w:bCs/>
                <w:color w:val="000000" w:themeColor="text1"/>
                <w:kern w:val="24"/>
                <w:sz w:val="24"/>
                <w:szCs w:val="24"/>
                <w:vertAlign w:val="superscript"/>
              </w:rPr>
              <w:t>e</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7C19B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9.77±0.03</w:t>
            </w:r>
            <w:r w:rsidRPr="005B2E57">
              <w:rPr>
                <w:rFonts w:ascii="Times New Roman" w:hAnsi="Times New Roman" w:cs="Times New Roman"/>
                <w:bCs/>
                <w:color w:val="000000" w:themeColor="text1"/>
                <w:kern w:val="24"/>
                <w:sz w:val="24"/>
                <w:szCs w:val="24"/>
                <w:vertAlign w:val="superscript"/>
              </w:rPr>
              <w:t>e</w:t>
            </w:r>
          </w:p>
        </w:tc>
      </w:tr>
      <w:tr w:rsidR="00985D25" w:rsidRPr="005B2E57" w14:paraId="2DF12892"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BC475C"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0A4CC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2FEBD3"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76C85A"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985D25" w:rsidRPr="005B2E57" w14:paraId="529AD459"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AE36E4"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7C981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0.26</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E3FE06"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95318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0.09</w:t>
            </w:r>
          </w:p>
        </w:tc>
      </w:tr>
      <w:tr w:rsidR="00985D25" w:rsidRPr="005B2E57" w14:paraId="6DF5C879"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D14A47"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1B478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0.20</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93052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3A0C47"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985D25" w:rsidRPr="005B2E57" w14:paraId="03B7DE9D"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18AB25"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6A4E2F"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0.46</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62D34"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40EC5A"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0.16</w:t>
            </w:r>
          </w:p>
        </w:tc>
      </w:tr>
    </w:tbl>
    <w:p w14:paraId="3FE3DD11" w14:textId="77777777" w:rsidR="00985D25" w:rsidRPr="005B2E57" w:rsidRDefault="00985D25" w:rsidP="00985D25">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23A49936" w14:textId="4CF25636" w:rsidR="00985D25" w:rsidRPr="005B2E57" w:rsidRDefault="00985D25" w:rsidP="00985D25">
      <w:pPr>
        <w:pStyle w:val="TableParagraph"/>
        <w:spacing w:line="360" w:lineRule="auto"/>
        <w:ind w:firstLine="613"/>
        <w:jc w:val="both"/>
        <w:rPr>
          <w:bCs/>
          <w:color w:val="000000" w:themeColor="text1"/>
          <w:sz w:val="24"/>
        </w:rPr>
      </w:pPr>
      <w:bookmarkStart w:id="24" w:name="_Hlk190815627"/>
      <w:r w:rsidRPr="005B2E57">
        <w:rPr>
          <w:bCs/>
          <w:color w:val="000000" w:themeColor="text1"/>
          <w:sz w:val="24"/>
        </w:rPr>
        <w:t xml:space="preserve">For oxalic acid, a similar trend was observed, with KMS demonstrated the greatest reduction, lowering oxalic acid levels from 11.553 ± 0.27 at 0.1% to 9.773 ± 0.03 at 0.3%. This reduction ability of KMS was to inhibit reactions that preserve oxalic acid content. </w:t>
      </w:r>
      <w:bookmarkEnd w:id="24"/>
      <w:r w:rsidRPr="005B2E57">
        <w:rPr>
          <w:bCs/>
          <w:color w:val="000000" w:themeColor="text1"/>
          <w:sz w:val="24"/>
        </w:rPr>
        <w:t xml:space="preserve">Vinegar, however, resulted in the highest oxalic acid levels across all concentrations, ranging from 15.487 ± 0.50 at 0.1% to 13.023 ± 0.37 at 0.3%, indicating that acetic acid had limited impact on reducing oxalic acid. Salt solution and citric acid treatments showed moderate reductions, with salt solution levels ranging from 14.693 ± 0.22 at 0.1% to 12.663 ± 0.31 at 0.3%, and citric acid levels from 13.260 ± 0.36 at 0.1% to 11.597 ± 0.14 at 0.3%. The sugar solution treatment exhibited slightly better reductions compared to vinegar, ranging from 12.587 ± 0.27 at 0.1% to 10.820 ± 0.17 at 0.3%. A comparable study on anti-nutritional factors of the </w:t>
      </w:r>
      <w:proofErr w:type="spellStart"/>
      <w:r w:rsidRPr="004B4E47">
        <w:rPr>
          <w:bCs/>
          <w:strike/>
          <w:color w:val="EE0000"/>
          <w:sz w:val="24"/>
        </w:rPr>
        <w:t>O</w:t>
      </w:r>
      <w:r w:rsidR="004B4E47">
        <w:rPr>
          <w:bCs/>
          <w:color w:val="000000" w:themeColor="text1"/>
          <w:sz w:val="24"/>
        </w:rPr>
        <w:t>o</w:t>
      </w:r>
      <w:r w:rsidRPr="005B2E57">
        <w:rPr>
          <w:bCs/>
          <w:color w:val="000000" w:themeColor="text1"/>
          <w:sz w:val="24"/>
        </w:rPr>
        <w:t>yster</w:t>
      </w:r>
      <w:proofErr w:type="spellEnd"/>
      <w:r w:rsidRPr="005B2E57">
        <w:rPr>
          <w:bCs/>
          <w:color w:val="000000" w:themeColor="text1"/>
          <w:sz w:val="24"/>
        </w:rPr>
        <w:t xml:space="preserve"> mushroom, </w:t>
      </w:r>
      <w:r w:rsidRPr="005B2E57">
        <w:rPr>
          <w:bCs/>
          <w:i/>
          <w:color w:val="000000" w:themeColor="text1"/>
          <w:sz w:val="24"/>
        </w:rPr>
        <w:t>Pleurotus ostreatus</w:t>
      </w:r>
      <w:r w:rsidRPr="005B2E57">
        <w:rPr>
          <w:bCs/>
          <w:color w:val="000000" w:themeColor="text1"/>
          <w:sz w:val="24"/>
        </w:rPr>
        <w:t xml:space="preserve"> using Wistar albino rats were evaluated by Majesty </w:t>
      </w:r>
      <w:r w:rsidRPr="005B2E57">
        <w:rPr>
          <w:bCs/>
          <w:i/>
          <w:color w:val="000000" w:themeColor="text1"/>
          <w:sz w:val="24"/>
        </w:rPr>
        <w:t>et al.,</w:t>
      </w:r>
      <w:r w:rsidRPr="005B2E57">
        <w:rPr>
          <w:bCs/>
          <w:color w:val="000000" w:themeColor="text1"/>
          <w:sz w:val="24"/>
        </w:rPr>
        <w:t xml:space="preserve"> (2019). Saponins, alkaloids, oxalate, tannins and phytate were among the anti-nutrients observed in the studied sample. </w:t>
      </w:r>
    </w:p>
    <w:p w14:paraId="7C9683C1" w14:textId="77777777" w:rsidR="00985D25" w:rsidRPr="005B2E57" w:rsidRDefault="00985D25" w:rsidP="00985D25">
      <w:pPr>
        <w:pStyle w:val="TableParagraph"/>
        <w:spacing w:line="360" w:lineRule="auto"/>
        <w:ind w:firstLine="613"/>
        <w:jc w:val="both"/>
        <w:rPr>
          <w:bCs/>
          <w:color w:val="000000" w:themeColor="text1"/>
          <w:sz w:val="24"/>
        </w:rPr>
      </w:pPr>
      <w:r w:rsidRPr="005B2E57">
        <w:rPr>
          <w:bCs/>
          <w:color w:val="000000" w:themeColor="text1"/>
          <w:sz w:val="24"/>
        </w:rPr>
        <w:t xml:space="preserve">The pattern of effects of </w:t>
      </w:r>
      <w:r w:rsidRPr="005B2E57">
        <w:rPr>
          <w:bCs/>
          <w:i/>
          <w:color w:val="000000" w:themeColor="text1"/>
          <w:sz w:val="24"/>
        </w:rPr>
        <w:t>P. ostreatus</w:t>
      </w:r>
      <w:r w:rsidRPr="005B2E57">
        <w:rPr>
          <w:bCs/>
          <w:color w:val="000000" w:themeColor="text1"/>
          <w:sz w:val="24"/>
        </w:rPr>
        <w:t xml:space="preserve"> on test rats against the control (fresh), indicated that the dehydrated and KMS treated sample had no much deleterious effects on the blood, liver and kidney on consumption. In food processing, potassium metabisulphite (KMS) is a frequently used preservative and antioxidant that is proven to improve the quality and shelf life of a variety of food products. Since it efficiently eliminates moisture and guarantees </w:t>
      </w:r>
      <w:r w:rsidRPr="005B2E57">
        <w:rPr>
          <w:bCs/>
          <w:color w:val="000000" w:themeColor="text1"/>
          <w:sz w:val="24"/>
        </w:rPr>
        <w:lastRenderedPageBreak/>
        <w:t>prolonged storage stability and also limits numerous enzymatic and metabolic alterations that take place throughout this process, which have an impact on the reduction of phytic and oxalic acids.</w:t>
      </w:r>
    </w:p>
    <w:p w14:paraId="35498CD5" w14:textId="77777777" w:rsidR="00985D25" w:rsidRPr="005B2E57" w:rsidRDefault="00985D25" w:rsidP="00985D25">
      <w:pPr>
        <w:pStyle w:val="TableParagraph"/>
        <w:spacing w:line="360" w:lineRule="auto"/>
        <w:ind w:left="0"/>
        <w:rPr>
          <w:b/>
          <w:color w:val="000000" w:themeColor="text1"/>
        </w:rPr>
      </w:pPr>
    </w:p>
    <w:p w14:paraId="0ED17DBB" w14:textId="44FA3990" w:rsidR="00985D25" w:rsidRPr="005B2E57" w:rsidRDefault="00985D25" w:rsidP="005B2E57">
      <w:pPr>
        <w:pStyle w:val="TableParagraph"/>
        <w:spacing w:line="360" w:lineRule="auto"/>
        <w:ind w:left="0"/>
        <w:jc w:val="both"/>
        <w:rPr>
          <w:b/>
          <w:color w:val="000000" w:themeColor="text1"/>
          <w:sz w:val="24"/>
        </w:rPr>
      </w:pPr>
      <w:r w:rsidRPr="005B2E57">
        <w:rPr>
          <w:b/>
          <w:color w:val="000000" w:themeColor="text1"/>
        </w:rPr>
        <w:t>CONCLUSION:</w:t>
      </w:r>
      <w:r w:rsidR="005B2E57">
        <w:rPr>
          <w:b/>
          <w:color w:val="000000" w:themeColor="text1"/>
        </w:rPr>
        <w:t xml:space="preserve"> </w:t>
      </w:r>
      <w:r w:rsidR="005B2E57" w:rsidRPr="005B2E57">
        <w:rPr>
          <w:sz w:val="24"/>
        </w:rPr>
        <w:t>The study demonstrated that pretreatments significantly influenced the reduction of anti-nutritional factors in oyster mushrooms during dehydration. Among all treatments, potassium metabisulphite (KMS) was the most effective, followed by citric acid and vinegar, while sugar and salt solutions had minimal impact. The combined effect of KMS and hot air drying greatly improved the nutritional quality by reducing saponins, trypsin inhibitors, phytic acid, and oxalic acid. Therefore, KMS pretreatment is recommended for producing high-quality, nutrient-rich dehydrated oyster mushroom powder.</w:t>
      </w:r>
    </w:p>
    <w:p w14:paraId="6918B49A" w14:textId="77777777" w:rsidR="005B2E57" w:rsidRPr="005B2E57" w:rsidRDefault="005B2E57" w:rsidP="00985D25">
      <w:pPr>
        <w:pStyle w:val="TableParagraph"/>
        <w:spacing w:line="360" w:lineRule="auto"/>
        <w:ind w:left="0"/>
        <w:rPr>
          <w:b/>
          <w:color w:val="000000" w:themeColor="text1"/>
        </w:rPr>
      </w:pPr>
    </w:p>
    <w:p w14:paraId="35E2BC54" w14:textId="4E7F2D0B" w:rsidR="00985D25" w:rsidRPr="005B2E57" w:rsidRDefault="00985D25" w:rsidP="005B2E57">
      <w:pPr>
        <w:pStyle w:val="TableParagraph"/>
        <w:spacing w:line="360" w:lineRule="auto"/>
        <w:ind w:left="0"/>
        <w:jc w:val="both"/>
        <w:rPr>
          <w:b/>
          <w:color w:val="000000" w:themeColor="text1"/>
        </w:rPr>
      </w:pPr>
      <w:r w:rsidRPr="005B2E57">
        <w:rPr>
          <w:b/>
          <w:color w:val="000000" w:themeColor="text1"/>
        </w:rPr>
        <w:t xml:space="preserve"> </w:t>
      </w:r>
      <w:r w:rsidRPr="005B2E57">
        <w:rPr>
          <w:b/>
          <w:bCs/>
          <w:color w:val="000000" w:themeColor="text1"/>
          <w:sz w:val="21"/>
          <w:szCs w:val="21"/>
        </w:rPr>
        <w:t xml:space="preserve">DISCLAIMER (ARTIFICIAL INTELLIGENCE): </w:t>
      </w:r>
      <w:r w:rsidRPr="005B2E57">
        <w:rPr>
          <w:color w:val="000000" w:themeColor="text1"/>
          <w:sz w:val="24"/>
          <w:szCs w:val="20"/>
        </w:rPr>
        <w:t>Author(s) hereby declare that NO generative AI technologies such as Large Language Models (Chat GPT, COPILOT, etc.) and text-to-image generators have been used during the writing or editing of this manuscript.</w:t>
      </w:r>
    </w:p>
    <w:p w14:paraId="36F7D426" w14:textId="61851A0E" w:rsidR="009C7BAB" w:rsidRDefault="009C7BAB" w:rsidP="00985D25">
      <w:pPr>
        <w:pStyle w:val="TableParagraph"/>
        <w:spacing w:line="360" w:lineRule="auto"/>
        <w:ind w:left="0"/>
        <w:rPr>
          <w:color w:val="000000" w:themeColor="text1"/>
          <w:sz w:val="20"/>
          <w:szCs w:val="20"/>
        </w:rPr>
      </w:pPr>
    </w:p>
    <w:p w14:paraId="4A45635A" w14:textId="77777777" w:rsidR="00C003A4" w:rsidRDefault="00C003A4" w:rsidP="00985D25">
      <w:pPr>
        <w:pStyle w:val="TableParagraph"/>
        <w:spacing w:line="360" w:lineRule="auto"/>
        <w:ind w:left="0"/>
        <w:rPr>
          <w:color w:val="000000" w:themeColor="text1"/>
          <w:sz w:val="20"/>
          <w:szCs w:val="20"/>
        </w:rPr>
      </w:pPr>
    </w:p>
    <w:p w14:paraId="21F9EA1B" w14:textId="77777777" w:rsidR="009C7BAB" w:rsidRPr="009C7BAB" w:rsidRDefault="009C7BAB" w:rsidP="009C7BAB">
      <w:pPr>
        <w:spacing w:after="200" w:line="276" w:lineRule="auto"/>
        <w:jc w:val="both"/>
        <w:outlineLvl w:val="0"/>
        <w:rPr>
          <w:rFonts w:ascii="Arial" w:eastAsia="Times New Roman" w:hAnsi="Arial" w:cs="Arial"/>
          <w:lang w:val="en-GB" w:eastAsia="en-GB"/>
        </w:rPr>
      </w:pPr>
      <w:r w:rsidRPr="009C7BAB">
        <w:rPr>
          <w:rFonts w:ascii="Arial" w:eastAsia="Times New Roman" w:hAnsi="Arial" w:cs="Arial"/>
          <w:b/>
          <w:bCs/>
          <w:lang w:val="en-GB" w:eastAsia="en-GB"/>
        </w:rPr>
        <w:t>COMPETING INTERESTS DISCLAIMER:</w:t>
      </w:r>
    </w:p>
    <w:p w14:paraId="0B96E301" w14:textId="77777777" w:rsidR="009C7BAB" w:rsidRPr="009C7BAB" w:rsidRDefault="009C7BAB" w:rsidP="009C7BAB">
      <w:pPr>
        <w:spacing w:after="200" w:line="276" w:lineRule="auto"/>
        <w:rPr>
          <w:rFonts w:ascii="Calibri" w:eastAsia="Times New Roman" w:hAnsi="Calibri" w:cs="Times New Roman"/>
          <w:lang w:val="en-GB" w:eastAsia="en-GB"/>
        </w:rPr>
      </w:pPr>
      <w:r w:rsidRPr="009C7BA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CA649BB" w14:textId="77777777" w:rsidR="009C7BAB" w:rsidRPr="005B2E57" w:rsidRDefault="009C7BAB" w:rsidP="00985D25">
      <w:pPr>
        <w:pStyle w:val="TableParagraph"/>
        <w:spacing w:line="360" w:lineRule="auto"/>
        <w:ind w:left="0"/>
        <w:rPr>
          <w:b/>
          <w:bCs/>
          <w:color w:val="000000" w:themeColor="text1"/>
        </w:rPr>
      </w:pPr>
    </w:p>
    <w:p w14:paraId="5CD4AE67" w14:textId="77777777" w:rsidR="00764BDC" w:rsidRPr="005B2E57" w:rsidRDefault="00985D25" w:rsidP="00764BDC">
      <w:pPr>
        <w:spacing w:before="240" w:after="240" w:line="360" w:lineRule="auto"/>
        <w:jc w:val="both"/>
        <w:rPr>
          <w:rFonts w:ascii="Times New Roman" w:hAnsi="Times New Roman" w:cs="Times New Roman"/>
          <w:b/>
          <w:bCs/>
          <w:color w:val="000000" w:themeColor="text1"/>
          <w:sz w:val="24"/>
        </w:rPr>
      </w:pPr>
      <w:r w:rsidRPr="005B2E57">
        <w:rPr>
          <w:rFonts w:ascii="Times New Roman" w:hAnsi="Times New Roman" w:cs="Times New Roman"/>
          <w:b/>
          <w:bCs/>
          <w:color w:val="000000" w:themeColor="text1"/>
          <w:sz w:val="24"/>
        </w:rPr>
        <w:t>REFERENCES</w:t>
      </w:r>
      <w:r w:rsidR="00764BDC" w:rsidRPr="005B2E57">
        <w:rPr>
          <w:rFonts w:ascii="Times New Roman" w:hAnsi="Times New Roman" w:cs="Times New Roman"/>
          <w:b/>
          <w:bCs/>
          <w:color w:val="000000" w:themeColor="text1"/>
          <w:sz w:val="24"/>
        </w:rPr>
        <w:t xml:space="preserve"> </w:t>
      </w:r>
    </w:p>
    <w:p w14:paraId="320E0C1D" w14:textId="4A6783D3"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commentRangeStart w:id="25"/>
      <w:r w:rsidRPr="005B2E57">
        <w:rPr>
          <w:rFonts w:ascii="Times New Roman" w:hAnsi="Times New Roman" w:cs="Times New Roman"/>
          <w:color w:val="000000" w:themeColor="text1"/>
          <w:sz w:val="24"/>
          <w:szCs w:val="24"/>
        </w:rPr>
        <w:t xml:space="preserve">Al </w:t>
      </w:r>
      <w:bookmarkStart w:id="26" w:name="_Hlk188511580"/>
      <w:r w:rsidRPr="005B2E57">
        <w:rPr>
          <w:rFonts w:ascii="Times New Roman" w:hAnsi="Times New Roman" w:cs="Times New Roman"/>
          <w:color w:val="000000" w:themeColor="text1"/>
          <w:sz w:val="24"/>
          <w:szCs w:val="24"/>
        </w:rPr>
        <w:t>Obaidi</w:t>
      </w:r>
      <w:bookmarkEnd w:id="26"/>
      <w:r w:rsidRPr="005B2E57">
        <w:rPr>
          <w:rFonts w:ascii="Times New Roman" w:hAnsi="Times New Roman" w:cs="Times New Roman"/>
          <w:color w:val="000000" w:themeColor="text1"/>
          <w:sz w:val="24"/>
          <w:szCs w:val="24"/>
        </w:rPr>
        <w:t xml:space="preserve">, J. R., </w:t>
      </w:r>
      <w:proofErr w:type="spellStart"/>
      <w:r w:rsidRPr="005B2E57">
        <w:rPr>
          <w:rFonts w:ascii="Times New Roman" w:hAnsi="Times New Roman" w:cs="Times New Roman"/>
          <w:color w:val="000000" w:themeColor="text1"/>
          <w:sz w:val="24"/>
          <w:szCs w:val="24"/>
        </w:rPr>
        <w:t>Jambari</w:t>
      </w:r>
      <w:proofErr w:type="spellEnd"/>
      <w:r w:rsidRPr="005B2E57">
        <w:rPr>
          <w:rFonts w:ascii="Times New Roman" w:hAnsi="Times New Roman" w:cs="Times New Roman"/>
          <w:color w:val="000000" w:themeColor="text1"/>
          <w:sz w:val="24"/>
          <w:szCs w:val="24"/>
        </w:rPr>
        <w:t xml:space="preserve">, N. N. &amp; Ahmad Kamil, E. I., 2021, Mycopharmaceuticals and nutraceuticals: Promising agents to improve human well-being and life quality. </w:t>
      </w:r>
      <w:r w:rsidRPr="005B2E57">
        <w:rPr>
          <w:rFonts w:ascii="Times New Roman" w:hAnsi="Times New Roman" w:cs="Times New Roman"/>
          <w:i/>
          <w:color w:val="000000" w:themeColor="text1"/>
          <w:sz w:val="24"/>
          <w:szCs w:val="24"/>
        </w:rPr>
        <w:t>J. Fungi</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 xml:space="preserve">7 </w:t>
      </w:r>
      <w:r w:rsidRPr="005B2E57">
        <w:rPr>
          <w:rFonts w:ascii="Times New Roman" w:hAnsi="Times New Roman" w:cs="Times New Roman"/>
          <w:color w:val="000000" w:themeColor="text1"/>
          <w:sz w:val="24"/>
          <w:szCs w:val="24"/>
        </w:rPr>
        <w:t>(11): 503-602.</w:t>
      </w:r>
    </w:p>
    <w:p w14:paraId="5FF38887" w14:textId="1065F73B"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AOAC,1990, Official methods of Analysis. Association of Official Analytical Chemists, 15</w:t>
      </w:r>
      <w:r w:rsidRPr="005B2E57">
        <w:rPr>
          <w:rFonts w:ascii="Times New Roman" w:hAnsi="Times New Roman" w:cs="Times New Roman"/>
          <w:color w:val="000000" w:themeColor="text1"/>
          <w:sz w:val="24"/>
          <w:szCs w:val="24"/>
          <w:vertAlign w:val="superscript"/>
        </w:rPr>
        <w:t xml:space="preserve">th </w:t>
      </w:r>
      <w:r w:rsidRPr="005B2E57">
        <w:rPr>
          <w:rFonts w:ascii="Times New Roman" w:hAnsi="Times New Roman" w:cs="Times New Roman"/>
          <w:color w:val="000000" w:themeColor="text1"/>
          <w:sz w:val="24"/>
          <w:szCs w:val="24"/>
        </w:rPr>
        <w:t>edition Washington D. C., USA, 18-25.</w:t>
      </w:r>
    </w:p>
    <w:p w14:paraId="1CC994A3" w14:textId="56BC62BB"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bookmarkStart w:id="27" w:name="_Hlk188511841"/>
      <w:proofErr w:type="spellStart"/>
      <w:r w:rsidRPr="005B2E57">
        <w:rPr>
          <w:rFonts w:ascii="Times New Roman" w:hAnsi="Times New Roman" w:cs="Times New Roman"/>
          <w:color w:val="000000" w:themeColor="text1"/>
          <w:sz w:val="24"/>
          <w:szCs w:val="24"/>
        </w:rPr>
        <w:lastRenderedPageBreak/>
        <w:t>Assemie</w:t>
      </w:r>
      <w:proofErr w:type="spellEnd"/>
      <w:r w:rsidRPr="005B2E57">
        <w:rPr>
          <w:rFonts w:ascii="Times New Roman" w:hAnsi="Times New Roman" w:cs="Times New Roman"/>
          <w:color w:val="000000" w:themeColor="text1"/>
          <w:sz w:val="24"/>
          <w:szCs w:val="24"/>
        </w:rPr>
        <w:t>, A. &amp; Abaya</w:t>
      </w:r>
      <w:bookmarkEnd w:id="27"/>
      <w:r w:rsidRPr="005B2E57">
        <w:rPr>
          <w:rFonts w:ascii="Times New Roman" w:hAnsi="Times New Roman" w:cs="Times New Roman"/>
          <w:color w:val="000000" w:themeColor="text1"/>
          <w:sz w:val="24"/>
          <w:szCs w:val="24"/>
        </w:rPr>
        <w:t xml:space="preserve">, G., 2022, The effect of edible mushroom on health and their biochemistry. </w:t>
      </w:r>
      <w:r w:rsidRPr="005B2E57">
        <w:rPr>
          <w:rFonts w:ascii="Times New Roman" w:hAnsi="Times New Roman" w:cs="Times New Roman"/>
          <w:i/>
          <w:color w:val="000000" w:themeColor="text1"/>
          <w:sz w:val="24"/>
          <w:szCs w:val="24"/>
        </w:rPr>
        <w:t>Int. J. Microbiol</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1</w:t>
      </w:r>
      <w:r w:rsidRPr="005B2E57">
        <w:rPr>
          <w:rFonts w:ascii="Times New Roman" w:hAnsi="Times New Roman" w:cs="Times New Roman"/>
          <w:color w:val="000000" w:themeColor="text1"/>
          <w:sz w:val="24"/>
          <w:szCs w:val="24"/>
        </w:rPr>
        <w:t xml:space="preserve"> (8): 744-788.</w:t>
      </w:r>
    </w:p>
    <w:p w14:paraId="7C57F2C6" w14:textId="3DA3CD1C"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Bashir, A., Vaida, N. &amp; Dar, M. A., 2014, Medicinal importance of mushrooms - A review. </w:t>
      </w:r>
      <w:r w:rsidRPr="005B2E57">
        <w:rPr>
          <w:rFonts w:ascii="Times New Roman" w:hAnsi="Times New Roman" w:cs="Times New Roman"/>
          <w:i/>
          <w:color w:val="000000" w:themeColor="text1"/>
          <w:sz w:val="24"/>
          <w:szCs w:val="24"/>
        </w:rPr>
        <w:t>Int. J. Adv. Res.</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 xml:space="preserve">2 </w:t>
      </w:r>
      <w:r w:rsidRPr="005B2E57">
        <w:rPr>
          <w:rFonts w:ascii="Times New Roman" w:hAnsi="Times New Roman" w:cs="Times New Roman"/>
          <w:color w:val="000000" w:themeColor="text1"/>
          <w:sz w:val="24"/>
          <w:szCs w:val="24"/>
        </w:rPr>
        <w:t>(12): 1-4.</w:t>
      </w:r>
    </w:p>
    <w:p w14:paraId="550993A9" w14:textId="1C3F509F" w:rsidR="00764BDC" w:rsidRPr="005B2E57" w:rsidRDefault="00764BDC"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 xml:space="preserve">Das, M. </w:t>
      </w:r>
      <w:proofErr w:type="spellStart"/>
      <w:r w:rsidRPr="005B2E57">
        <w:rPr>
          <w:color w:val="000000" w:themeColor="text1"/>
          <w:sz w:val="24"/>
          <w:szCs w:val="24"/>
        </w:rPr>
        <w:t>Mayookha</w:t>
      </w:r>
      <w:proofErr w:type="spellEnd"/>
      <w:r w:rsidRPr="005B2E57">
        <w:rPr>
          <w:color w:val="000000" w:themeColor="text1"/>
          <w:sz w:val="24"/>
          <w:szCs w:val="24"/>
        </w:rPr>
        <w:t xml:space="preserve">, V.P. Geetha, V. Chetana, R. &amp; Suresh Kumar, G. 2023. Influence of different drying techniques on quality parameters of mushroom and its utilization in development of ready to cook food formulation. </w:t>
      </w:r>
      <w:r w:rsidRPr="005B2E57">
        <w:rPr>
          <w:i/>
          <w:color w:val="000000" w:themeColor="text1"/>
          <w:sz w:val="24"/>
          <w:szCs w:val="24"/>
        </w:rPr>
        <w:t>J. Food Sci. Technol</w:t>
      </w:r>
      <w:r w:rsidRPr="005B2E57">
        <w:rPr>
          <w:color w:val="000000" w:themeColor="text1"/>
          <w:sz w:val="24"/>
          <w:szCs w:val="24"/>
        </w:rPr>
        <w:t>., 60, 1342–1354.</w:t>
      </w:r>
    </w:p>
    <w:p w14:paraId="6B728C70" w14:textId="1A33C256"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Day &amp; Underwood. 1986. Quantification of oxalate Laboratory manual information center for Agriculture research in the dry Areas, Aleppo Syria, 71-80.</w:t>
      </w:r>
    </w:p>
    <w:p w14:paraId="2482A0EC" w14:textId="3E8E16AD" w:rsidR="00764BDC" w:rsidRPr="005B2E57" w:rsidRDefault="00764BDC" w:rsidP="00887DF3">
      <w:pPr>
        <w:spacing w:before="240" w:after="0" w:line="360" w:lineRule="auto"/>
        <w:jc w:val="both"/>
        <w:rPr>
          <w:rFonts w:ascii="Times New Roman" w:hAnsi="Times New Roman" w:cs="Times New Roman"/>
          <w:color w:val="000000" w:themeColor="text1"/>
          <w:sz w:val="24"/>
          <w:szCs w:val="24"/>
          <w:shd w:val="clear" w:color="auto" w:fill="FFFFFF"/>
        </w:rPr>
      </w:pPr>
      <w:r w:rsidRPr="005B2E57">
        <w:rPr>
          <w:rFonts w:ascii="Times New Roman" w:hAnsi="Times New Roman" w:cs="Times New Roman"/>
          <w:color w:val="000000" w:themeColor="text1"/>
          <w:sz w:val="24"/>
          <w:szCs w:val="24"/>
          <w:shd w:val="clear" w:color="auto" w:fill="FFFFFF"/>
        </w:rPr>
        <w:t xml:space="preserve">Ekanem, E. O. &amp; </w:t>
      </w:r>
      <w:proofErr w:type="spellStart"/>
      <w:r w:rsidRPr="005B2E57">
        <w:rPr>
          <w:rFonts w:ascii="Times New Roman" w:hAnsi="Times New Roman" w:cs="Times New Roman"/>
          <w:color w:val="000000" w:themeColor="text1"/>
          <w:sz w:val="24"/>
          <w:szCs w:val="24"/>
          <w:shd w:val="clear" w:color="auto" w:fill="FFFFFF"/>
        </w:rPr>
        <w:t>Ubengama</w:t>
      </w:r>
      <w:proofErr w:type="spellEnd"/>
      <w:r w:rsidRPr="005B2E57">
        <w:rPr>
          <w:rFonts w:ascii="Times New Roman" w:hAnsi="Times New Roman" w:cs="Times New Roman"/>
          <w:color w:val="000000" w:themeColor="text1"/>
          <w:sz w:val="24"/>
          <w:szCs w:val="24"/>
          <w:shd w:val="clear" w:color="auto" w:fill="FFFFFF"/>
        </w:rPr>
        <w:t>, V. S. 2002. Chemical composition, anti-nutritional factors and shelf-life of oyster mushroom (</w:t>
      </w:r>
      <w:r w:rsidRPr="005B2E57">
        <w:rPr>
          <w:rFonts w:ascii="Times New Roman" w:hAnsi="Times New Roman" w:cs="Times New Roman"/>
          <w:i/>
          <w:color w:val="000000" w:themeColor="text1"/>
          <w:sz w:val="24"/>
          <w:szCs w:val="24"/>
          <w:shd w:val="clear" w:color="auto" w:fill="FFFFFF"/>
        </w:rPr>
        <w:t>Pleurotus ostreatus</w:t>
      </w:r>
      <w:r w:rsidRPr="005B2E57">
        <w:rPr>
          <w:rFonts w:ascii="Times New Roman" w:hAnsi="Times New Roman" w:cs="Times New Roman"/>
          <w:color w:val="000000" w:themeColor="text1"/>
          <w:sz w:val="24"/>
          <w:szCs w:val="24"/>
          <w:shd w:val="clear" w:color="auto" w:fill="FFFFFF"/>
        </w:rPr>
        <w:t xml:space="preserve">). </w:t>
      </w:r>
      <w:r w:rsidRPr="005B2E57">
        <w:rPr>
          <w:rStyle w:val="Emphasis"/>
          <w:rFonts w:ascii="Times New Roman" w:hAnsi="Times New Roman" w:cs="Times New Roman"/>
          <w:bCs/>
          <w:color w:val="000000" w:themeColor="text1"/>
          <w:sz w:val="24"/>
          <w:szCs w:val="24"/>
          <w:shd w:val="clear" w:color="auto" w:fill="FFFFFF"/>
        </w:rPr>
        <w:t>J. Food Sci. Technol</w:t>
      </w:r>
      <w:r w:rsidRPr="005B2E57">
        <w:rPr>
          <w:rFonts w:ascii="Times New Roman" w:hAnsi="Times New Roman" w:cs="Times New Roman"/>
          <w:color w:val="000000" w:themeColor="text1"/>
          <w:sz w:val="24"/>
          <w:szCs w:val="24"/>
          <w:shd w:val="clear" w:color="auto" w:fill="FFFFFF"/>
        </w:rPr>
        <w:t xml:space="preserve">., </w:t>
      </w:r>
      <w:r w:rsidRPr="005B2E57">
        <w:rPr>
          <w:rFonts w:ascii="Times New Roman" w:hAnsi="Times New Roman" w:cs="Times New Roman"/>
          <w:b/>
          <w:color w:val="000000" w:themeColor="text1"/>
          <w:sz w:val="24"/>
          <w:szCs w:val="24"/>
          <w:shd w:val="clear" w:color="auto" w:fill="FFFFFF"/>
        </w:rPr>
        <w:t>39</w:t>
      </w:r>
      <w:r w:rsidRPr="005B2E57">
        <w:rPr>
          <w:rFonts w:ascii="Times New Roman" w:hAnsi="Times New Roman" w:cs="Times New Roman"/>
          <w:color w:val="000000" w:themeColor="text1"/>
          <w:sz w:val="24"/>
          <w:szCs w:val="24"/>
          <w:shd w:val="clear" w:color="auto" w:fill="FFFFFF"/>
        </w:rPr>
        <w:t xml:space="preserve"> (6): 635-638.</w:t>
      </w:r>
    </w:p>
    <w:p w14:paraId="42643781" w14:textId="5B1A4FB2"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Kumar, K., Mehra, R., </w:t>
      </w:r>
      <w:proofErr w:type="spellStart"/>
      <w:r w:rsidRPr="005B2E57">
        <w:rPr>
          <w:rFonts w:ascii="Times New Roman" w:hAnsi="Times New Roman" w:cs="Times New Roman"/>
          <w:color w:val="000000" w:themeColor="text1"/>
          <w:sz w:val="24"/>
          <w:szCs w:val="24"/>
        </w:rPr>
        <w:t>Guine</w:t>
      </w:r>
      <w:proofErr w:type="spellEnd"/>
      <w:r w:rsidRPr="005B2E57">
        <w:rPr>
          <w:rFonts w:ascii="Times New Roman" w:hAnsi="Times New Roman" w:cs="Times New Roman"/>
          <w:color w:val="000000" w:themeColor="text1"/>
          <w:sz w:val="24"/>
          <w:szCs w:val="24"/>
        </w:rPr>
        <w:t xml:space="preserve">, R. P. F., Lima, M. J., Kumar, N., Kaushik, R., Ahmed, N., Yadav, A. N. &amp; Kumar, H. 2021. Edible mushrooms: a comprehensive review on bioactive compounds with health benefits and processing aspects. </w:t>
      </w:r>
      <w:r w:rsidRPr="005B2E57">
        <w:rPr>
          <w:rFonts w:ascii="Times New Roman" w:hAnsi="Times New Roman" w:cs="Times New Roman"/>
          <w:i/>
          <w:color w:val="000000" w:themeColor="text1"/>
          <w:sz w:val="24"/>
          <w:szCs w:val="24"/>
        </w:rPr>
        <w:t>Foods</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10</w:t>
      </w:r>
      <w:r w:rsidRPr="005B2E57">
        <w:rPr>
          <w:rFonts w:ascii="Times New Roman" w:hAnsi="Times New Roman" w:cs="Times New Roman"/>
          <w:color w:val="000000" w:themeColor="text1"/>
          <w:sz w:val="24"/>
          <w:szCs w:val="24"/>
        </w:rPr>
        <w:t xml:space="preserve"> (21): 89-96.</w:t>
      </w:r>
    </w:p>
    <w:p w14:paraId="19B22B6E" w14:textId="24C7520A"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Lakshmi, B., Tilak, J. C., Adhikari, S., </w:t>
      </w:r>
      <w:proofErr w:type="spellStart"/>
      <w:r w:rsidRPr="005B2E57">
        <w:rPr>
          <w:rFonts w:ascii="Times New Roman" w:hAnsi="Times New Roman" w:cs="Times New Roman"/>
          <w:color w:val="000000" w:themeColor="text1"/>
          <w:sz w:val="24"/>
          <w:szCs w:val="24"/>
        </w:rPr>
        <w:t>Devasagayam</w:t>
      </w:r>
      <w:proofErr w:type="spellEnd"/>
      <w:r w:rsidRPr="005B2E57">
        <w:rPr>
          <w:rFonts w:ascii="Times New Roman" w:hAnsi="Times New Roman" w:cs="Times New Roman"/>
          <w:color w:val="000000" w:themeColor="text1"/>
          <w:sz w:val="24"/>
          <w:szCs w:val="24"/>
        </w:rPr>
        <w:t xml:space="preserve">, T. P. &amp; Janardhanan, K. K. 2004. Evaluation of antioxidant activity of selected Indian mushrooms. </w:t>
      </w:r>
      <w:r w:rsidRPr="005B2E57">
        <w:rPr>
          <w:rFonts w:ascii="Times New Roman" w:hAnsi="Times New Roman" w:cs="Times New Roman"/>
          <w:i/>
          <w:color w:val="000000" w:themeColor="text1"/>
          <w:sz w:val="24"/>
          <w:szCs w:val="24"/>
        </w:rPr>
        <w:t>Pharm. Biol.,</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5</w:t>
      </w:r>
      <w:r w:rsidRPr="005B2E57">
        <w:rPr>
          <w:rFonts w:ascii="Times New Roman" w:hAnsi="Times New Roman" w:cs="Times New Roman"/>
          <w:color w:val="000000" w:themeColor="text1"/>
          <w:sz w:val="24"/>
          <w:szCs w:val="24"/>
        </w:rPr>
        <w:t xml:space="preserve"> (7): 179-185.</w:t>
      </w:r>
    </w:p>
    <w:p w14:paraId="6338CD16" w14:textId="2F70768F" w:rsidR="00764BDC" w:rsidRPr="005B2E57" w:rsidRDefault="00764BDC" w:rsidP="00887DF3">
      <w:pPr>
        <w:spacing w:before="240" w:after="0" w:line="360" w:lineRule="auto"/>
        <w:jc w:val="both"/>
        <w:rPr>
          <w:rFonts w:ascii="Times New Roman" w:hAnsi="Times New Roman" w:cs="Times New Roman"/>
          <w:color w:val="000000" w:themeColor="text1"/>
          <w:sz w:val="24"/>
          <w:szCs w:val="24"/>
          <w:shd w:val="clear" w:color="auto" w:fill="FFFFFF"/>
        </w:rPr>
      </w:pPr>
      <w:r w:rsidRPr="005B2E57">
        <w:rPr>
          <w:rFonts w:ascii="Times New Roman" w:hAnsi="Times New Roman" w:cs="Times New Roman"/>
          <w:color w:val="000000" w:themeColor="text1"/>
          <w:sz w:val="24"/>
          <w:szCs w:val="24"/>
          <w:shd w:val="clear" w:color="auto" w:fill="FFFFFF"/>
        </w:rPr>
        <w:t xml:space="preserve">Majesty, D., Ijeoma, E., Winner, K. &amp; Prince, O., 2019, Nutritional, anti-nutritional and biochemical studies on the oyster mushroom, </w:t>
      </w:r>
      <w:r w:rsidRPr="005B2E57">
        <w:rPr>
          <w:rFonts w:ascii="Times New Roman" w:hAnsi="Times New Roman" w:cs="Times New Roman"/>
          <w:i/>
          <w:color w:val="000000" w:themeColor="text1"/>
          <w:sz w:val="24"/>
          <w:szCs w:val="24"/>
          <w:shd w:val="clear" w:color="auto" w:fill="FFFFFF"/>
        </w:rPr>
        <w:t>Pleurotus ostreatus</w:t>
      </w:r>
      <w:r w:rsidRPr="005B2E57">
        <w:rPr>
          <w:rFonts w:ascii="Times New Roman" w:hAnsi="Times New Roman" w:cs="Times New Roman"/>
          <w:color w:val="000000" w:themeColor="text1"/>
          <w:sz w:val="24"/>
          <w:szCs w:val="24"/>
          <w:shd w:val="clear" w:color="auto" w:fill="FFFFFF"/>
        </w:rPr>
        <w:t>. </w:t>
      </w:r>
      <w:r w:rsidRPr="005B2E57">
        <w:rPr>
          <w:rFonts w:ascii="Times New Roman" w:hAnsi="Times New Roman" w:cs="Times New Roman"/>
          <w:i/>
          <w:iCs/>
          <w:color w:val="000000" w:themeColor="text1"/>
          <w:sz w:val="24"/>
          <w:szCs w:val="24"/>
          <w:shd w:val="clear" w:color="auto" w:fill="FFFFFF"/>
        </w:rPr>
        <w:t>EC Nutri.</w:t>
      </w:r>
      <w:r w:rsidRPr="005B2E57">
        <w:rPr>
          <w:rFonts w:ascii="Times New Roman" w:hAnsi="Times New Roman" w:cs="Times New Roman"/>
          <w:color w:val="000000" w:themeColor="text1"/>
          <w:sz w:val="24"/>
          <w:szCs w:val="24"/>
          <w:shd w:val="clear" w:color="auto" w:fill="FFFFFF"/>
        </w:rPr>
        <w:t>, </w:t>
      </w:r>
      <w:r w:rsidRPr="005B2E57">
        <w:rPr>
          <w:rFonts w:ascii="Times New Roman" w:hAnsi="Times New Roman" w:cs="Times New Roman"/>
          <w:b/>
          <w:iCs/>
          <w:color w:val="000000" w:themeColor="text1"/>
          <w:sz w:val="24"/>
          <w:szCs w:val="24"/>
          <w:shd w:val="clear" w:color="auto" w:fill="FFFFFF"/>
        </w:rPr>
        <w:t>14</w:t>
      </w:r>
      <w:r w:rsidRPr="005B2E57">
        <w:rPr>
          <w:rFonts w:ascii="Times New Roman" w:hAnsi="Times New Roman" w:cs="Times New Roman"/>
          <w:iCs/>
          <w:color w:val="000000" w:themeColor="text1"/>
          <w:sz w:val="24"/>
          <w:szCs w:val="24"/>
          <w:shd w:val="clear" w:color="auto" w:fill="FFFFFF"/>
        </w:rPr>
        <w:t xml:space="preserve"> </w:t>
      </w:r>
      <w:r w:rsidRPr="005B2E57">
        <w:rPr>
          <w:rFonts w:ascii="Times New Roman" w:hAnsi="Times New Roman" w:cs="Times New Roman"/>
          <w:color w:val="000000" w:themeColor="text1"/>
          <w:sz w:val="24"/>
          <w:szCs w:val="24"/>
          <w:shd w:val="clear" w:color="auto" w:fill="FFFFFF"/>
        </w:rPr>
        <w:t>(1): 36-59.</w:t>
      </w:r>
    </w:p>
    <w:p w14:paraId="1520B2B1" w14:textId="0C7DC0E3" w:rsidR="00764BDC" w:rsidRPr="005B2E57" w:rsidRDefault="00887DF3" w:rsidP="00887DF3">
      <w:pPr>
        <w:spacing w:before="240" w:after="0" w:line="360" w:lineRule="auto"/>
        <w:jc w:val="both"/>
        <w:rPr>
          <w:rFonts w:ascii="Times New Roman" w:hAnsi="Times New Roman" w:cs="Times New Roman"/>
          <w:color w:val="000000" w:themeColor="text1"/>
          <w:sz w:val="24"/>
          <w:szCs w:val="24"/>
          <w:lang w:val="pt-BR"/>
        </w:rPr>
      </w:pPr>
      <w:r w:rsidRPr="005B2E57">
        <w:rPr>
          <w:rFonts w:ascii="Times New Roman" w:hAnsi="Times New Roman" w:cs="Times New Roman"/>
          <w:color w:val="000000" w:themeColor="text1"/>
          <w:sz w:val="24"/>
          <w:szCs w:val="24"/>
        </w:rPr>
        <w:t>Mohammed, A. I., Perera, P. A. J. &amp; Hafez, Y.</w:t>
      </w:r>
      <w:r w:rsidR="00764BDC" w:rsidRPr="005B2E57">
        <w:rPr>
          <w:rFonts w:ascii="Times New Roman" w:hAnsi="Times New Roman" w:cs="Times New Roman"/>
          <w:color w:val="000000" w:themeColor="text1"/>
          <w:sz w:val="24"/>
          <w:szCs w:val="24"/>
        </w:rPr>
        <w:t xml:space="preserve"> S., 1986. New chromophore for phytic acid determination. </w:t>
      </w:r>
      <w:r w:rsidR="00764BDC" w:rsidRPr="005B2E57">
        <w:rPr>
          <w:rFonts w:ascii="Times New Roman" w:hAnsi="Times New Roman" w:cs="Times New Roman"/>
          <w:i/>
          <w:iCs/>
          <w:color w:val="000000" w:themeColor="text1"/>
          <w:sz w:val="24"/>
          <w:szCs w:val="24"/>
          <w:lang w:val="pt-BR"/>
        </w:rPr>
        <w:t>Cereal Chem.</w:t>
      </w:r>
      <w:r w:rsidR="00764BDC" w:rsidRPr="005B2E57">
        <w:rPr>
          <w:rFonts w:ascii="Times New Roman" w:hAnsi="Times New Roman" w:cs="Times New Roman"/>
          <w:color w:val="000000" w:themeColor="text1"/>
          <w:sz w:val="24"/>
          <w:szCs w:val="24"/>
          <w:lang w:val="pt-BR"/>
        </w:rPr>
        <w:t>, </w:t>
      </w:r>
      <w:r w:rsidR="00764BDC" w:rsidRPr="005B2E57">
        <w:rPr>
          <w:rFonts w:ascii="Times New Roman" w:hAnsi="Times New Roman" w:cs="Times New Roman"/>
          <w:b/>
          <w:iCs/>
          <w:color w:val="000000" w:themeColor="text1"/>
          <w:sz w:val="24"/>
          <w:szCs w:val="24"/>
          <w:lang w:val="pt-BR"/>
        </w:rPr>
        <w:t xml:space="preserve">63 </w:t>
      </w:r>
      <w:r w:rsidR="00764BDC" w:rsidRPr="005B2E57">
        <w:rPr>
          <w:rFonts w:ascii="Times New Roman" w:hAnsi="Times New Roman" w:cs="Times New Roman"/>
          <w:color w:val="000000" w:themeColor="text1"/>
          <w:sz w:val="24"/>
          <w:szCs w:val="24"/>
          <w:lang w:val="pt-BR"/>
        </w:rPr>
        <w:t>(6): 475-478.</w:t>
      </w:r>
    </w:p>
    <w:p w14:paraId="2273E0C8" w14:textId="11C08D36" w:rsidR="00764BDC" w:rsidRPr="005B2E57" w:rsidRDefault="00764BDC"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Salazar, J. K. Fay, M. L. Khouja, B. A.</w:t>
      </w:r>
      <w:r w:rsidR="00887DF3" w:rsidRPr="005B2E57">
        <w:rPr>
          <w:color w:val="000000" w:themeColor="text1"/>
          <w:sz w:val="24"/>
          <w:szCs w:val="24"/>
        </w:rPr>
        <w:t xml:space="preserve"> </w:t>
      </w:r>
      <w:r w:rsidRPr="005B2E57">
        <w:rPr>
          <w:color w:val="000000" w:themeColor="text1"/>
          <w:sz w:val="24"/>
          <w:szCs w:val="24"/>
        </w:rPr>
        <w:t>Chavda, N. J. Patil, G. R.</w:t>
      </w:r>
      <w:r w:rsidR="00887DF3" w:rsidRPr="005B2E57">
        <w:rPr>
          <w:color w:val="000000" w:themeColor="text1"/>
          <w:sz w:val="24"/>
          <w:szCs w:val="24"/>
        </w:rPr>
        <w:t xml:space="preserve"> &amp;</w:t>
      </w:r>
      <w:r w:rsidRPr="005B2E57">
        <w:rPr>
          <w:color w:val="000000" w:themeColor="text1"/>
          <w:sz w:val="24"/>
          <w:szCs w:val="24"/>
        </w:rPr>
        <w:t xml:space="preserve"> Ingram, D. T. </w:t>
      </w:r>
      <w:r w:rsidR="00887DF3" w:rsidRPr="005B2E57">
        <w:rPr>
          <w:color w:val="000000" w:themeColor="text1"/>
          <w:sz w:val="24"/>
          <w:szCs w:val="24"/>
        </w:rPr>
        <w:t xml:space="preserve">2023. </w:t>
      </w:r>
      <w:r w:rsidRPr="005B2E57">
        <w:rPr>
          <w:color w:val="000000" w:themeColor="text1"/>
          <w:sz w:val="24"/>
          <w:szCs w:val="24"/>
        </w:rPr>
        <w:t xml:space="preserve">Effect of dehydration on the inactivation of Listeria monocytogenes and Salmonella enterica on enoki and wood ear mushrooms. </w:t>
      </w:r>
      <w:r w:rsidRPr="005B2E57">
        <w:rPr>
          <w:i/>
          <w:color w:val="000000" w:themeColor="text1"/>
          <w:sz w:val="24"/>
          <w:szCs w:val="24"/>
        </w:rPr>
        <w:t>Front. Microbiol</w:t>
      </w:r>
      <w:r w:rsidRPr="005B2E57">
        <w:rPr>
          <w:color w:val="000000" w:themeColor="text1"/>
          <w:sz w:val="24"/>
          <w:szCs w:val="24"/>
        </w:rPr>
        <w:t xml:space="preserve">., 14, 1257053. </w:t>
      </w:r>
    </w:p>
    <w:p w14:paraId="52832023" w14:textId="074170C8" w:rsidR="00764BDC" w:rsidRPr="005B2E57" w:rsidRDefault="00887DF3"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Vadivel, V. &amp; Pugalenthi, M</w:t>
      </w:r>
      <w:r w:rsidR="00764BDC" w:rsidRPr="005B2E57">
        <w:rPr>
          <w:color w:val="000000" w:themeColor="text1"/>
          <w:sz w:val="24"/>
          <w:szCs w:val="24"/>
        </w:rPr>
        <w:t xml:space="preserve">., 2008. Effect of various processing methods on the levels of </w:t>
      </w:r>
      <w:r w:rsidR="00764BDC" w:rsidRPr="005B2E57">
        <w:rPr>
          <w:color w:val="000000" w:themeColor="text1"/>
          <w:sz w:val="24"/>
          <w:szCs w:val="24"/>
        </w:rPr>
        <w:lastRenderedPageBreak/>
        <w:t xml:space="preserve">antinutritional constituents and protein digestibility of </w:t>
      </w:r>
      <w:r w:rsidR="00764BDC" w:rsidRPr="005B2E57">
        <w:rPr>
          <w:i/>
          <w:color w:val="000000" w:themeColor="text1"/>
          <w:sz w:val="24"/>
          <w:szCs w:val="24"/>
        </w:rPr>
        <w:t>Mucuna pruriens</w:t>
      </w:r>
      <w:r w:rsidR="00764BDC" w:rsidRPr="005B2E57">
        <w:rPr>
          <w:color w:val="000000" w:themeColor="text1"/>
          <w:sz w:val="24"/>
          <w:szCs w:val="24"/>
        </w:rPr>
        <w:t xml:space="preserve"> (L.) D C. </w:t>
      </w:r>
      <w:r w:rsidR="00764BDC" w:rsidRPr="005B2E57">
        <w:rPr>
          <w:i/>
          <w:color w:val="000000" w:themeColor="text1"/>
          <w:sz w:val="24"/>
          <w:szCs w:val="24"/>
        </w:rPr>
        <w:t>var. utilis</w:t>
      </w:r>
      <w:r w:rsidR="00764BDC" w:rsidRPr="005B2E57">
        <w:rPr>
          <w:color w:val="000000" w:themeColor="text1"/>
          <w:sz w:val="24"/>
          <w:szCs w:val="24"/>
        </w:rPr>
        <w:t xml:space="preserve"> (Wall. </w:t>
      </w:r>
      <w:proofErr w:type="spellStart"/>
      <w:r w:rsidR="00764BDC" w:rsidRPr="005B2E57">
        <w:rPr>
          <w:color w:val="000000" w:themeColor="text1"/>
          <w:sz w:val="24"/>
          <w:szCs w:val="24"/>
        </w:rPr>
        <w:t>ex Wight</w:t>
      </w:r>
      <w:proofErr w:type="spellEnd"/>
      <w:r w:rsidR="00764BDC" w:rsidRPr="005B2E57">
        <w:rPr>
          <w:color w:val="000000" w:themeColor="text1"/>
          <w:sz w:val="24"/>
          <w:szCs w:val="24"/>
        </w:rPr>
        <w:t>) Baker ex Burck (velvet bean) seeds. </w:t>
      </w:r>
      <w:r w:rsidR="00764BDC" w:rsidRPr="005B2E57">
        <w:rPr>
          <w:i/>
          <w:color w:val="000000" w:themeColor="text1"/>
          <w:sz w:val="24"/>
          <w:szCs w:val="24"/>
        </w:rPr>
        <w:t>J. Food Biochem.</w:t>
      </w:r>
      <w:r w:rsidR="00764BDC" w:rsidRPr="005B2E57">
        <w:rPr>
          <w:color w:val="000000" w:themeColor="text1"/>
          <w:sz w:val="24"/>
          <w:szCs w:val="24"/>
        </w:rPr>
        <w:t>, </w:t>
      </w:r>
      <w:r w:rsidR="00764BDC" w:rsidRPr="005B2E57">
        <w:rPr>
          <w:b/>
          <w:color w:val="000000" w:themeColor="text1"/>
          <w:sz w:val="24"/>
          <w:szCs w:val="24"/>
        </w:rPr>
        <w:t>32</w:t>
      </w:r>
      <w:r w:rsidR="00764BDC" w:rsidRPr="005B2E57">
        <w:rPr>
          <w:color w:val="000000" w:themeColor="text1"/>
          <w:sz w:val="24"/>
          <w:szCs w:val="24"/>
        </w:rPr>
        <w:t xml:space="preserve"> (6): 795-812.</w:t>
      </w:r>
    </w:p>
    <w:commentRangeEnd w:id="25"/>
    <w:p w14:paraId="0B74C37F" w14:textId="77777777" w:rsidR="00764BDC" w:rsidRPr="005B2E57" w:rsidRDefault="00CE59E9" w:rsidP="00887DF3">
      <w:pPr>
        <w:spacing w:before="240" w:after="0" w:line="360" w:lineRule="auto"/>
        <w:ind w:left="720" w:hanging="720"/>
        <w:jc w:val="both"/>
        <w:rPr>
          <w:color w:val="000000" w:themeColor="text1"/>
          <w:sz w:val="36"/>
        </w:rPr>
      </w:pPr>
      <w:r>
        <w:rPr>
          <w:rStyle w:val="CommentReference"/>
        </w:rPr>
        <w:commentReference w:id="25"/>
      </w:r>
    </w:p>
    <w:p w14:paraId="00E80C57" w14:textId="3025B7EF" w:rsidR="00764BDC" w:rsidRPr="005B2E57" w:rsidRDefault="00764BDC" w:rsidP="00887DF3">
      <w:pPr>
        <w:pStyle w:val="TableParagraph"/>
        <w:spacing w:before="240" w:line="360" w:lineRule="auto"/>
        <w:ind w:left="0"/>
        <w:rPr>
          <w:b/>
          <w:bCs/>
          <w:color w:val="000000" w:themeColor="text1"/>
        </w:rPr>
        <w:sectPr w:rsidR="00764BDC" w:rsidRPr="005B2E57" w:rsidSect="004A4D7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985" w:header="720" w:footer="720" w:gutter="0"/>
          <w:cols w:space="720"/>
          <w:docGrid w:linePitch="360"/>
        </w:sectPr>
      </w:pPr>
    </w:p>
    <w:p w14:paraId="1A76CC5B" w14:textId="77777777" w:rsidR="00985D25" w:rsidRPr="005B2E57" w:rsidRDefault="00985D25" w:rsidP="00887DF3">
      <w:pPr>
        <w:pStyle w:val="TableParagraph"/>
        <w:spacing w:before="240" w:line="360" w:lineRule="auto"/>
        <w:ind w:left="0"/>
        <w:rPr>
          <w:b/>
          <w:color w:val="000000" w:themeColor="text1"/>
          <w:sz w:val="24"/>
          <w:szCs w:val="24"/>
        </w:rPr>
      </w:pPr>
    </w:p>
    <w:p w14:paraId="5A8A7ADA" w14:textId="77777777" w:rsidR="00985D25" w:rsidRPr="005B2E57" w:rsidRDefault="00985D25" w:rsidP="00985D25">
      <w:pPr>
        <w:spacing w:line="360" w:lineRule="auto"/>
        <w:jc w:val="both"/>
        <w:rPr>
          <w:rFonts w:ascii="Times New Roman" w:hAnsi="Times New Roman" w:cs="Times New Roman"/>
          <w:color w:val="000000" w:themeColor="text1"/>
          <w:sz w:val="24"/>
          <w:szCs w:val="24"/>
        </w:rPr>
      </w:pPr>
    </w:p>
    <w:p w14:paraId="0D97D517" w14:textId="77777777" w:rsidR="00985D25" w:rsidRPr="005B2E57" w:rsidRDefault="00985D25" w:rsidP="00985D25">
      <w:pPr>
        <w:jc w:val="both"/>
        <w:rPr>
          <w:rFonts w:ascii="Times New Roman" w:hAnsi="Times New Roman" w:cs="Times New Roman"/>
          <w:color w:val="000000" w:themeColor="text1"/>
          <w:sz w:val="24"/>
        </w:rPr>
      </w:pPr>
    </w:p>
    <w:p w14:paraId="1A096F1C" w14:textId="0147FA7B" w:rsidR="00985D25" w:rsidRPr="005B2E57" w:rsidRDefault="00985D25" w:rsidP="00985D25">
      <w:pPr>
        <w:pStyle w:val="TableParagraph"/>
        <w:spacing w:line="360" w:lineRule="auto"/>
        <w:ind w:left="0"/>
        <w:jc w:val="both"/>
        <w:rPr>
          <w:bCs/>
          <w:color w:val="000000" w:themeColor="text1"/>
          <w:sz w:val="24"/>
        </w:rPr>
        <w:sectPr w:rsidR="00985D25" w:rsidRPr="005B2E57" w:rsidSect="002B6933">
          <w:headerReference w:type="even" r:id="rId17"/>
          <w:headerReference w:type="default" r:id="rId18"/>
          <w:footerReference w:type="even" r:id="rId19"/>
          <w:headerReference w:type="first" r:id="rId20"/>
          <w:pgSz w:w="12240" w:h="15840" w:code="1"/>
          <w:pgMar w:top="1440" w:right="1440" w:bottom="1440" w:left="1985" w:header="720" w:footer="720" w:gutter="0"/>
          <w:cols w:space="720"/>
          <w:docGrid w:linePitch="360"/>
        </w:sectPr>
      </w:pPr>
    </w:p>
    <w:p w14:paraId="5FB7A249" w14:textId="77777777" w:rsidR="00985D25" w:rsidRPr="005B2E57" w:rsidRDefault="00985D25" w:rsidP="00985D25">
      <w:pPr>
        <w:pStyle w:val="TableParagraph"/>
        <w:spacing w:line="360" w:lineRule="auto"/>
        <w:ind w:left="0" w:firstLine="720"/>
        <w:jc w:val="both"/>
        <w:rPr>
          <w:bCs/>
          <w:color w:val="000000" w:themeColor="text1"/>
          <w:sz w:val="24"/>
        </w:rPr>
      </w:pPr>
    </w:p>
    <w:sectPr w:rsidR="00985D25" w:rsidRPr="005B2E57" w:rsidSect="00985D25">
      <w:pgSz w:w="12240" w:h="15840" w:code="1"/>
      <w:pgMar w:top="1440" w:right="1440" w:bottom="1440" w:left="198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akshi Sharma" w:date="2025-08-05T20:02:00Z" w:initials="SS">
    <w:p w14:paraId="2B63F4FA" w14:textId="67FA0853" w:rsidR="00207620" w:rsidRDefault="00207620">
      <w:pPr>
        <w:pStyle w:val="CommentText"/>
      </w:pPr>
      <w:r>
        <w:rPr>
          <w:rStyle w:val="CommentReference"/>
        </w:rPr>
        <w:annotationRef/>
      </w:r>
      <w:r>
        <w:t>Italicize it.</w:t>
      </w:r>
    </w:p>
  </w:comment>
  <w:comment w:id="0" w:author="Shakshi Sharma" w:date="2025-08-05T20:03:00Z" w:initials="SS">
    <w:p w14:paraId="385860B2" w14:textId="2537AE2D" w:rsidR="00207620" w:rsidRDefault="00207620">
      <w:pPr>
        <w:pStyle w:val="CommentText"/>
      </w:pPr>
      <w:r>
        <w:rPr>
          <w:rStyle w:val="CommentReference"/>
        </w:rPr>
        <w:annotationRef/>
      </w:r>
      <w:r>
        <w:t>The written text doesn’t clearly show about the study design. Re-write it properly.</w:t>
      </w:r>
    </w:p>
  </w:comment>
  <w:comment w:id="2" w:author="Shakshi Sharma" w:date="2025-08-05T20:07:00Z" w:initials="SS">
    <w:p w14:paraId="34CCA8B9" w14:textId="46880A04" w:rsidR="00207620" w:rsidRDefault="00207620">
      <w:pPr>
        <w:pStyle w:val="CommentText"/>
      </w:pPr>
      <w:r>
        <w:rPr>
          <w:rStyle w:val="CommentReference"/>
        </w:rPr>
        <w:annotationRef/>
      </w:r>
      <w:r>
        <w:t>Remove and.</w:t>
      </w:r>
    </w:p>
  </w:comment>
  <w:comment w:id="3" w:author="Shakshi Sharma" w:date="2025-08-06T11:20:00Z" w:initials="SS">
    <w:p w14:paraId="7D83064E" w14:textId="77777777" w:rsidR="00F41F4A" w:rsidRDefault="00F41F4A">
      <w:pPr>
        <w:pStyle w:val="CommentText"/>
      </w:pPr>
      <w:r>
        <w:rPr>
          <w:rStyle w:val="CommentReference"/>
        </w:rPr>
        <w:annotationRef/>
      </w:r>
      <w:r>
        <w:t xml:space="preserve">Please add the strain if any. </w:t>
      </w:r>
    </w:p>
    <w:p w14:paraId="51E08219" w14:textId="55A9A91B" w:rsidR="00F41F4A" w:rsidRDefault="00F41F4A">
      <w:pPr>
        <w:pStyle w:val="CommentText"/>
      </w:pPr>
      <w:r>
        <w:t>And how many samples were there?</w:t>
      </w:r>
    </w:p>
  </w:comment>
  <w:comment w:id="4" w:author="Shakshi Sharma" w:date="2025-08-06T11:21:00Z" w:initials="SS">
    <w:p w14:paraId="68C9664B" w14:textId="7DDEB739" w:rsidR="00F41F4A" w:rsidRDefault="00F41F4A">
      <w:pPr>
        <w:pStyle w:val="CommentText"/>
      </w:pPr>
      <w:r>
        <w:rPr>
          <w:rStyle w:val="CommentReference"/>
        </w:rPr>
        <w:annotationRef/>
      </w:r>
      <w:r>
        <w:t>How many samples were there? Please add.</w:t>
      </w:r>
    </w:p>
  </w:comment>
  <w:comment w:id="5" w:author="Shakshi Sharma" w:date="2025-08-06T11:22:00Z" w:initials="SS">
    <w:p w14:paraId="702F5987" w14:textId="1E8463BD" w:rsidR="00F41F4A" w:rsidRDefault="00F41F4A">
      <w:pPr>
        <w:pStyle w:val="CommentText"/>
      </w:pPr>
      <w:r>
        <w:rPr>
          <w:rStyle w:val="CommentReference"/>
        </w:rPr>
        <w:annotationRef/>
      </w:r>
      <w:r>
        <w:t>The line is not clear. W2rite it properly.</w:t>
      </w:r>
    </w:p>
  </w:comment>
  <w:comment w:id="7" w:author="Shakshi Sharma" w:date="2025-08-06T11:24:00Z" w:initials="SS">
    <w:p w14:paraId="754FA0C2" w14:textId="745DC9E7" w:rsidR="00F41F4A" w:rsidRDefault="00F41F4A">
      <w:pPr>
        <w:pStyle w:val="CommentText"/>
      </w:pPr>
      <w:r>
        <w:rPr>
          <w:rStyle w:val="CommentReference"/>
        </w:rPr>
        <w:annotationRef/>
      </w:r>
      <w:r>
        <w:t>Add spacing between the concentration and chemical name.</w:t>
      </w:r>
    </w:p>
  </w:comment>
  <w:comment w:id="9" w:author="Shakshi Sharma" w:date="2025-08-06T11:27:00Z" w:initials="SS">
    <w:p w14:paraId="4D179ACE" w14:textId="282FCACC" w:rsidR="00F41F4A" w:rsidRDefault="00F41F4A">
      <w:pPr>
        <w:pStyle w:val="CommentText"/>
      </w:pPr>
      <w:r>
        <w:rPr>
          <w:rStyle w:val="CommentReference"/>
        </w:rPr>
        <w:annotationRef/>
      </w:r>
      <w:r>
        <w:t>Please add the instrument.</w:t>
      </w:r>
    </w:p>
  </w:comment>
  <w:comment w:id="10" w:author="Shakshi Sharma" w:date="2025-08-06T11:28:00Z" w:initials="SS">
    <w:p w14:paraId="4C83AA5B" w14:textId="721046C3" w:rsidR="00F41F4A" w:rsidRDefault="00F41F4A">
      <w:pPr>
        <w:pStyle w:val="CommentText"/>
      </w:pPr>
      <w:r>
        <w:rPr>
          <w:rStyle w:val="CommentReference"/>
        </w:rPr>
        <w:annotationRef/>
      </w:r>
      <w:r>
        <w:t>incubated</w:t>
      </w:r>
    </w:p>
  </w:comment>
  <w:comment w:id="12" w:author="Shakshi Sharma" w:date="2025-08-06T11:30:00Z" w:initials="SS">
    <w:p w14:paraId="6F2B2BC4" w14:textId="60074746" w:rsidR="00BB436A" w:rsidRDefault="00BB436A">
      <w:pPr>
        <w:pStyle w:val="CommentText"/>
      </w:pPr>
      <w:r>
        <w:rPr>
          <w:rStyle w:val="CommentReference"/>
        </w:rPr>
        <w:annotationRef/>
      </w:r>
      <w:r>
        <w:t>Add some references here.</w:t>
      </w:r>
    </w:p>
  </w:comment>
  <w:comment w:id="13" w:author="Shakshi Sharma" w:date="2025-08-06T11:36:00Z" w:initials="SS">
    <w:p w14:paraId="6BC02A75" w14:textId="48468AA2" w:rsidR="00BB436A" w:rsidRDefault="00BB436A">
      <w:pPr>
        <w:pStyle w:val="CommentText"/>
      </w:pPr>
      <w:r>
        <w:rPr>
          <w:rStyle w:val="CommentReference"/>
        </w:rPr>
        <w:annotationRef/>
      </w:r>
      <w:r>
        <w:t>The headings of the table are not clear as per the description given. Please see the sub-headings in the table.</w:t>
      </w:r>
    </w:p>
  </w:comment>
  <w:comment w:id="14" w:author="Shakshi Sharma" w:date="2025-08-06T11:36:00Z" w:initials="SS">
    <w:p w14:paraId="18360A4D" w14:textId="3F728437" w:rsidR="00BB436A" w:rsidRDefault="00BB436A">
      <w:pPr>
        <w:pStyle w:val="CommentText"/>
      </w:pPr>
      <w:r>
        <w:rPr>
          <w:rStyle w:val="CommentReference"/>
        </w:rPr>
        <w:annotationRef/>
      </w:r>
      <w:r>
        <w:t xml:space="preserve">Write treatment. </w:t>
      </w:r>
    </w:p>
  </w:comment>
  <w:comment w:id="15" w:author="Shakshi Sharma" w:date="2025-08-06T11:36:00Z" w:initials="SS">
    <w:p w14:paraId="2746F9FD" w14:textId="1F6B203B" w:rsidR="00BB436A" w:rsidRDefault="00BB436A">
      <w:pPr>
        <w:pStyle w:val="CommentText"/>
      </w:pPr>
      <w:r>
        <w:rPr>
          <w:rStyle w:val="CommentReference"/>
        </w:rPr>
        <w:annotationRef/>
      </w:r>
      <w:r>
        <w:t xml:space="preserve">Write concentration of saponins </w:t>
      </w:r>
    </w:p>
  </w:comment>
  <w:comment w:id="16" w:author="Shakshi Sharma" w:date="2025-08-06T11:32:00Z" w:initials="SS">
    <w:p w14:paraId="1246421E" w14:textId="1BE76C64" w:rsidR="00BB436A" w:rsidRDefault="00BB436A">
      <w:pPr>
        <w:pStyle w:val="CommentText"/>
      </w:pPr>
      <w:r>
        <w:rPr>
          <w:rStyle w:val="CommentReference"/>
        </w:rPr>
        <w:annotationRef/>
      </w:r>
      <w:r>
        <w:t>Check the concentrations previously described in materials and methods. They are 0.25 and 0.5 per cent.</w:t>
      </w:r>
    </w:p>
  </w:comment>
  <w:comment w:id="18" w:author="Shakshi Sharma" w:date="2025-08-06T11:38:00Z" w:initials="SS">
    <w:p w14:paraId="554146E3" w14:textId="5E483582" w:rsidR="00BB436A" w:rsidRDefault="00BB436A">
      <w:pPr>
        <w:pStyle w:val="CommentText"/>
      </w:pPr>
      <w:r>
        <w:rPr>
          <w:rStyle w:val="CommentReference"/>
        </w:rPr>
        <w:annotationRef/>
      </w:r>
      <w:r>
        <w:t>Add table 2</w:t>
      </w:r>
    </w:p>
  </w:comment>
  <w:comment w:id="17" w:author="Shakshi Sharma" w:date="2025-08-06T11:39:00Z" w:initials="SS">
    <w:p w14:paraId="1339AA99" w14:textId="617B7B0F" w:rsidR="00BB436A" w:rsidRDefault="00BB436A">
      <w:pPr>
        <w:pStyle w:val="CommentText"/>
      </w:pPr>
      <w:r>
        <w:rPr>
          <w:rStyle w:val="CommentReference"/>
        </w:rPr>
        <w:annotationRef/>
      </w:r>
      <w:r>
        <w:t>When you are describing about saponins, describe about saponins only. Don’t mix trypsin here too.</w:t>
      </w:r>
    </w:p>
  </w:comment>
  <w:comment w:id="21" w:author="Shakshi Sharma" w:date="2025-08-06T11:41:00Z" w:initials="SS">
    <w:p w14:paraId="46B98331" w14:textId="659F6EAA" w:rsidR="004B4E47" w:rsidRDefault="004B4E47">
      <w:pPr>
        <w:pStyle w:val="CommentText"/>
      </w:pPr>
      <w:r>
        <w:rPr>
          <w:rStyle w:val="CommentReference"/>
        </w:rPr>
        <w:annotationRef/>
      </w:r>
      <w:r>
        <w:t>Check concentration again</w:t>
      </w:r>
    </w:p>
  </w:comment>
  <w:comment w:id="23" w:author="Shakshi Sharma" w:date="2025-08-06T11:42:00Z" w:initials="SS">
    <w:p w14:paraId="30655117" w14:textId="4F1753B0" w:rsidR="004B4E47" w:rsidRDefault="004B4E47">
      <w:pPr>
        <w:pStyle w:val="CommentText"/>
      </w:pPr>
      <w:r>
        <w:rPr>
          <w:rStyle w:val="CommentReference"/>
        </w:rPr>
        <w:annotationRef/>
      </w:r>
      <w:r>
        <w:t>Check concentrations as described under materials and methods.</w:t>
      </w:r>
    </w:p>
  </w:comment>
  <w:comment w:id="25" w:author="Shakshi Sharma" w:date="2025-08-06T11:50:00Z" w:initials="SS">
    <w:p w14:paraId="0CA2D59D" w14:textId="27608507" w:rsidR="00CE59E9" w:rsidRDefault="00CE59E9">
      <w:pPr>
        <w:pStyle w:val="CommentText"/>
      </w:pPr>
      <w:r>
        <w:rPr>
          <w:rStyle w:val="CommentReference"/>
        </w:rPr>
        <w:annotationRef/>
      </w:r>
      <w:r>
        <w:t>Please follow the reference style of the journal and re-write the references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3F4FA" w15:done="0"/>
  <w15:commentEx w15:paraId="385860B2" w15:done="0"/>
  <w15:commentEx w15:paraId="34CCA8B9" w15:done="0"/>
  <w15:commentEx w15:paraId="51E08219" w15:done="0"/>
  <w15:commentEx w15:paraId="68C9664B" w15:done="0"/>
  <w15:commentEx w15:paraId="702F5987" w15:done="0"/>
  <w15:commentEx w15:paraId="754FA0C2" w15:done="0"/>
  <w15:commentEx w15:paraId="4D179ACE" w15:done="0"/>
  <w15:commentEx w15:paraId="4C83AA5B" w15:done="0"/>
  <w15:commentEx w15:paraId="6F2B2BC4" w15:done="0"/>
  <w15:commentEx w15:paraId="6BC02A75" w15:done="0"/>
  <w15:commentEx w15:paraId="18360A4D" w15:done="0"/>
  <w15:commentEx w15:paraId="2746F9FD" w15:done="0"/>
  <w15:commentEx w15:paraId="1246421E" w15:done="0"/>
  <w15:commentEx w15:paraId="554146E3" w15:done="0"/>
  <w15:commentEx w15:paraId="1339AA99" w15:done="0"/>
  <w15:commentEx w15:paraId="46B98331" w15:done="0"/>
  <w15:commentEx w15:paraId="30655117" w15:done="0"/>
  <w15:commentEx w15:paraId="0CA2D5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53BB71" w16cex:dateUtc="2025-08-05T14:32:00Z"/>
  <w16cex:commentExtensible w16cex:durableId="003FE579" w16cex:dateUtc="2025-08-05T14:33:00Z"/>
  <w16cex:commentExtensible w16cex:durableId="0BE497AB" w16cex:dateUtc="2025-08-05T14:37:00Z"/>
  <w16cex:commentExtensible w16cex:durableId="020B2E19" w16cex:dateUtc="2025-08-06T05:50:00Z"/>
  <w16cex:commentExtensible w16cex:durableId="5391EBF4" w16cex:dateUtc="2025-08-06T05:51:00Z"/>
  <w16cex:commentExtensible w16cex:durableId="5E48EF87" w16cex:dateUtc="2025-08-06T05:52:00Z"/>
  <w16cex:commentExtensible w16cex:durableId="5142B1C1" w16cex:dateUtc="2025-08-06T05:54:00Z"/>
  <w16cex:commentExtensible w16cex:durableId="1C0F1996" w16cex:dateUtc="2025-08-06T05:57:00Z"/>
  <w16cex:commentExtensible w16cex:durableId="319906A6" w16cex:dateUtc="2025-08-06T05:58:00Z"/>
  <w16cex:commentExtensible w16cex:durableId="4B44BCD1" w16cex:dateUtc="2025-08-06T06:00:00Z"/>
  <w16cex:commentExtensible w16cex:durableId="72D5756E" w16cex:dateUtc="2025-08-06T06:06:00Z"/>
  <w16cex:commentExtensible w16cex:durableId="41AC195F" w16cex:dateUtc="2025-08-06T06:06:00Z"/>
  <w16cex:commentExtensible w16cex:durableId="4412F37F" w16cex:dateUtc="2025-08-06T06:06:00Z"/>
  <w16cex:commentExtensible w16cex:durableId="1C8D88F0" w16cex:dateUtc="2025-08-06T06:02:00Z"/>
  <w16cex:commentExtensible w16cex:durableId="227E1605" w16cex:dateUtc="2025-08-06T06:08:00Z"/>
  <w16cex:commentExtensible w16cex:durableId="69935B91" w16cex:dateUtc="2025-08-06T06:09:00Z"/>
  <w16cex:commentExtensible w16cex:durableId="26CAD1F1" w16cex:dateUtc="2025-08-06T06:11:00Z"/>
  <w16cex:commentExtensible w16cex:durableId="77AFD4F3" w16cex:dateUtc="2025-08-06T06:12:00Z"/>
  <w16cex:commentExtensible w16cex:durableId="252784DD" w16cex:dateUtc="2025-08-06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3F4FA" w16cid:durableId="3753BB71"/>
  <w16cid:commentId w16cid:paraId="385860B2" w16cid:durableId="003FE579"/>
  <w16cid:commentId w16cid:paraId="34CCA8B9" w16cid:durableId="0BE497AB"/>
  <w16cid:commentId w16cid:paraId="51E08219" w16cid:durableId="020B2E19"/>
  <w16cid:commentId w16cid:paraId="68C9664B" w16cid:durableId="5391EBF4"/>
  <w16cid:commentId w16cid:paraId="702F5987" w16cid:durableId="5E48EF87"/>
  <w16cid:commentId w16cid:paraId="754FA0C2" w16cid:durableId="5142B1C1"/>
  <w16cid:commentId w16cid:paraId="4D179ACE" w16cid:durableId="1C0F1996"/>
  <w16cid:commentId w16cid:paraId="4C83AA5B" w16cid:durableId="319906A6"/>
  <w16cid:commentId w16cid:paraId="6F2B2BC4" w16cid:durableId="4B44BCD1"/>
  <w16cid:commentId w16cid:paraId="6BC02A75" w16cid:durableId="72D5756E"/>
  <w16cid:commentId w16cid:paraId="18360A4D" w16cid:durableId="41AC195F"/>
  <w16cid:commentId w16cid:paraId="2746F9FD" w16cid:durableId="4412F37F"/>
  <w16cid:commentId w16cid:paraId="1246421E" w16cid:durableId="1C8D88F0"/>
  <w16cid:commentId w16cid:paraId="554146E3" w16cid:durableId="227E1605"/>
  <w16cid:commentId w16cid:paraId="1339AA99" w16cid:durableId="69935B91"/>
  <w16cid:commentId w16cid:paraId="46B98331" w16cid:durableId="26CAD1F1"/>
  <w16cid:commentId w16cid:paraId="30655117" w16cid:durableId="77AFD4F3"/>
  <w16cid:commentId w16cid:paraId="0CA2D59D" w16cid:durableId="25278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C1C8" w14:textId="77777777" w:rsidR="004E66A1" w:rsidRDefault="004E66A1">
      <w:pPr>
        <w:spacing w:after="0" w:line="240" w:lineRule="auto"/>
      </w:pPr>
      <w:r>
        <w:separator/>
      </w:r>
    </w:p>
  </w:endnote>
  <w:endnote w:type="continuationSeparator" w:id="0">
    <w:p w14:paraId="6FE8A094" w14:textId="77777777" w:rsidR="004E66A1" w:rsidRDefault="004E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DCBE" w14:textId="77777777" w:rsidR="00764BDC" w:rsidRPr="00F55B0B" w:rsidRDefault="00764BDC" w:rsidP="004A4D75">
    <w:pPr>
      <w:jc w:val="center"/>
      <w:rPr>
        <w:bCs/>
      </w:rPr>
    </w:pPr>
    <w:r w:rsidRPr="001C4C31">
      <w:rPr>
        <w:bCs/>
      </w:rPr>
      <w:t xml:space="preserve">Development </w:t>
    </w:r>
    <w:r>
      <w:rPr>
        <w:bCs/>
      </w:rPr>
      <w:t>o</w:t>
    </w:r>
    <w:r w:rsidRPr="001C4C31">
      <w:rPr>
        <w:bCs/>
      </w:rPr>
      <w:t>f Oyster Mushroom (</w:t>
    </w:r>
    <w:r w:rsidRPr="001C4C31">
      <w:rPr>
        <w:bCs/>
        <w:i/>
      </w:rPr>
      <w:t xml:space="preserve">Pleurotus </w:t>
    </w:r>
    <w:r>
      <w:rPr>
        <w:bCs/>
        <w:i/>
      </w:rPr>
      <w:t>o</w:t>
    </w:r>
    <w:r w:rsidRPr="001C4C31">
      <w:rPr>
        <w:bCs/>
        <w:i/>
      </w:rPr>
      <w:t>streatus</w:t>
    </w:r>
    <w:r w:rsidRPr="001C4C31">
      <w:rPr>
        <w:bCs/>
      </w:rPr>
      <w:t>) Based Functional Food Products</w:t>
    </w:r>
    <w:r w:rsidRPr="001C4C31">
      <w:rPr>
        <w:bCs/>
        <w:noProof/>
      </w:rPr>
      <w:ptab w:relativeTo="margin" w:alignment="right" w:leader="none"/>
    </w:r>
    <w:sdt>
      <w:sdtPr>
        <w:rPr>
          <w:bCs/>
          <w:noProof/>
        </w:rPr>
        <w:id w:val="-1489396346"/>
        <w:docPartObj>
          <w:docPartGallery w:val="Page Numbers (Bottom of Page)"/>
          <w:docPartUnique/>
        </w:docPartObj>
      </w:sdtPr>
      <w:sdtContent>
        <w:r w:rsidRPr="001C4C31">
          <w:rPr>
            <w:bCs/>
          </w:rPr>
          <w:fldChar w:fldCharType="begin"/>
        </w:r>
        <w:r w:rsidRPr="001C4C31">
          <w:rPr>
            <w:bCs/>
          </w:rPr>
          <w:instrText xml:space="preserve"> PAGE   \* MERGEFORMAT </w:instrText>
        </w:r>
        <w:r w:rsidRPr="001C4C31">
          <w:rPr>
            <w:bCs/>
          </w:rPr>
          <w:fldChar w:fldCharType="separate"/>
        </w:r>
        <w:r>
          <w:rPr>
            <w:bCs/>
            <w:noProof/>
          </w:rPr>
          <w:t>90</w:t>
        </w:r>
        <w:r w:rsidRPr="001C4C31">
          <w:rPr>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AB5F" w14:textId="77777777" w:rsidR="00C003A4" w:rsidRDefault="00C00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564D" w14:textId="77777777" w:rsidR="00C003A4" w:rsidRDefault="00C003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5989" w14:textId="77777777" w:rsidR="00985D25" w:rsidRPr="00F55B0B" w:rsidRDefault="00985D25" w:rsidP="00F55B0B">
    <w:pPr>
      <w:jc w:val="center"/>
      <w:rPr>
        <w:bCs/>
      </w:rPr>
    </w:pPr>
    <w:r w:rsidRPr="001C4C31">
      <w:rPr>
        <w:bCs/>
      </w:rPr>
      <w:t xml:space="preserve">Development </w:t>
    </w:r>
    <w:r>
      <w:rPr>
        <w:bCs/>
      </w:rPr>
      <w:t>o</w:t>
    </w:r>
    <w:r w:rsidRPr="001C4C31">
      <w:rPr>
        <w:bCs/>
      </w:rPr>
      <w:t>f Oyster Mushroom (</w:t>
    </w:r>
    <w:r w:rsidRPr="001C4C31">
      <w:rPr>
        <w:bCs/>
        <w:i/>
      </w:rPr>
      <w:t xml:space="preserve">Pleurotus </w:t>
    </w:r>
    <w:r>
      <w:rPr>
        <w:bCs/>
        <w:i/>
      </w:rPr>
      <w:t>o</w:t>
    </w:r>
    <w:r w:rsidRPr="001C4C31">
      <w:rPr>
        <w:bCs/>
        <w:i/>
      </w:rPr>
      <w:t>streatus</w:t>
    </w:r>
    <w:r w:rsidRPr="001C4C31">
      <w:rPr>
        <w:bCs/>
      </w:rPr>
      <w:t>) Based Functional Food Products</w:t>
    </w:r>
    <w:r w:rsidRPr="001C4C31">
      <w:rPr>
        <w:bCs/>
        <w:noProof/>
      </w:rPr>
      <w:ptab w:relativeTo="margin" w:alignment="right" w:leader="none"/>
    </w:r>
    <w:sdt>
      <w:sdtPr>
        <w:rPr>
          <w:bCs/>
          <w:noProof/>
        </w:rPr>
        <w:id w:val="2030367595"/>
        <w:docPartObj>
          <w:docPartGallery w:val="Page Numbers (Bottom of Page)"/>
          <w:docPartUnique/>
        </w:docPartObj>
      </w:sdtPr>
      <w:sdtContent>
        <w:r w:rsidRPr="001C4C31">
          <w:rPr>
            <w:bCs/>
          </w:rPr>
          <w:fldChar w:fldCharType="begin"/>
        </w:r>
        <w:r w:rsidRPr="001C4C31">
          <w:rPr>
            <w:bCs/>
          </w:rPr>
          <w:instrText xml:space="preserve"> PAGE   \* MERGEFORMAT </w:instrText>
        </w:r>
        <w:r w:rsidRPr="001C4C31">
          <w:rPr>
            <w:bCs/>
          </w:rPr>
          <w:fldChar w:fldCharType="separate"/>
        </w:r>
        <w:r>
          <w:rPr>
            <w:bCs/>
            <w:noProof/>
          </w:rPr>
          <w:t>90</w:t>
        </w:r>
        <w:r w:rsidRPr="001C4C31">
          <w:rPr>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316B" w14:textId="77777777" w:rsidR="004E66A1" w:rsidRDefault="004E66A1">
      <w:pPr>
        <w:spacing w:after="0" w:line="240" w:lineRule="auto"/>
      </w:pPr>
      <w:r>
        <w:separator/>
      </w:r>
    </w:p>
  </w:footnote>
  <w:footnote w:type="continuationSeparator" w:id="0">
    <w:p w14:paraId="122B8EBF" w14:textId="77777777" w:rsidR="004E66A1" w:rsidRDefault="004E6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152" w14:textId="09545D70" w:rsidR="00764BDC" w:rsidRDefault="00000000">
    <w:pPr>
      <w:pStyle w:val="Header"/>
    </w:pPr>
    <w:r>
      <w:rPr>
        <w:noProof/>
      </w:rPr>
      <w:pict w14:anchorId="5293C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8" o:spid="_x0000_s1026" type="#_x0000_t136" style="position:absolute;margin-left:0;margin-top:0;width:523.3pt;height:98.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205341416"/>
      <w:docPartObj>
        <w:docPartGallery w:val="Page Numbers (Margins)"/>
        <w:docPartUnique/>
      </w:docPartObj>
    </w:sdtPr>
    <w:sdtContent>
      <w:p w14:paraId="2B7D4C9A" w14:textId="77777777" w:rsidR="00764BDC" w:rsidRDefault="00764BDC">
        <w:pPr>
          <w:pStyle w:val="Header"/>
        </w:pPr>
        <w:r>
          <w:rPr>
            <w:noProof/>
          </w:rPr>
          <mc:AlternateContent>
            <mc:Choice Requires="wps">
              <w:drawing>
                <wp:anchor distT="0" distB="0" distL="114300" distR="114300" simplePos="0" relativeHeight="251663360" behindDoc="0" locked="0" layoutInCell="0" allowOverlap="1" wp14:anchorId="788EAAE3" wp14:editId="143ECEFD">
                  <wp:simplePos x="0" y="0"/>
                  <wp:positionH relativeFrom="leftMargin">
                    <wp:posOffset>369752</wp:posOffset>
                  </wp:positionH>
                  <wp:positionV relativeFrom="margin">
                    <wp:align>top</wp:align>
                  </wp:positionV>
                  <wp:extent cx="510540" cy="5601244"/>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60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8697" w14:textId="77777777" w:rsidR="00764BDC" w:rsidRPr="00F55B0B" w:rsidRDefault="00764BDC" w:rsidP="004A4D75">
                              <w:pPr>
                                <w:jc w:val="center"/>
                                <w:rPr>
                                  <w:bCs/>
                                </w:rPr>
                              </w:pP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88EAAE3" id="Rectangle 1" o:spid="_x0000_s1026" style="position:absolute;margin-left:29.1pt;margin-top:0;width:40.2pt;height:441.05pt;z-index:251663360;visibility:visible;mso-wrap-style:square;mso-width-percent:0;mso-height-percent:0;mso-wrap-distance-left:9pt;mso-wrap-distance-top:0;mso-wrap-distance-right:9pt;mso-wrap-distance-bottom:0;mso-position-horizontal:absolute;mso-position-horizontal-relative:left-margin-area;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" o:allowincell="f" filled="f" stroked="f">
                  <v:textbox style="layout-flow:vertical;mso-fit-shape-to-text:t">
                    <w:txbxContent>
                      <w:p w14:paraId="15E88697" w14:textId="77777777" w:rsidR="00764BDC" w:rsidRPr="00F55B0B" w:rsidRDefault="00764BDC" w:rsidP="004A4D75">
                        <w:pPr>
                          <w:jc w:val="center"/>
                          <w:rPr>
                            <w:bCs/>
                          </w:rPr>
                        </w:pP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3D38" w14:textId="2C380128" w:rsidR="00C003A4" w:rsidRDefault="00000000">
    <w:pPr>
      <w:pStyle w:val="Header"/>
    </w:pPr>
    <w:r>
      <w:rPr>
        <w:noProof/>
      </w:rPr>
      <w:pict w14:anchorId="5BBAE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9" o:spid="_x0000_s1027" type="#_x0000_t136" style="position:absolute;margin-left:0;margin-top:0;width:523.3pt;height:98.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4E04" w14:textId="24FD5213" w:rsidR="00C003A4" w:rsidRDefault="00000000">
    <w:pPr>
      <w:pStyle w:val="Header"/>
    </w:pPr>
    <w:r>
      <w:rPr>
        <w:noProof/>
      </w:rPr>
      <w:pict w14:anchorId="23E50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7" o:spid="_x0000_s1025" type="#_x0000_t136" style="position:absolute;margin-left:0;margin-top:0;width:523.3pt;height:98.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A9A5" w14:textId="030B9709" w:rsidR="00985D25" w:rsidRDefault="00000000">
    <w:pPr>
      <w:pStyle w:val="Header"/>
    </w:pPr>
    <w:r>
      <w:rPr>
        <w:noProof/>
      </w:rPr>
      <w:pict w14:anchorId="2D2BC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1" o:spid="_x0000_s1029" type="#_x0000_t136" style="position:absolute;margin-left:0;margin-top:0;width:523.3pt;height:98.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1315173428"/>
      <w:docPartObj>
        <w:docPartGallery w:val="Page Numbers (Margins)"/>
        <w:docPartUnique/>
      </w:docPartObj>
    </w:sdtPr>
    <w:sdtContent>
      <w:p w14:paraId="12E22A94" w14:textId="77777777" w:rsidR="00985D25" w:rsidRDefault="00985D25">
        <w:pPr>
          <w:pStyle w:val="Header"/>
        </w:pPr>
        <w:r>
          <w:rPr>
            <w:noProof/>
          </w:rPr>
          <mc:AlternateContent>
            <mc:Choice Requires="wps">
              <w:drawing>
                <wp:anchor distT="0" distB="0" distL="114300" distR="114300" simplePos="0" relativeHeight="251661312" behindDoc="0" locked="0" layoutInCell="0" allowOverlap="1" wp14:anchorId="2573A54C" wp14:editId="60991712">
                  <wp:simplePos x="0" y="0"/>
                  <wp:positionH relativeFrom="leftMargin">
                    <wp:posOffset>369752</wp:posOffset>
                  </wp:positionH>
                  <wp:positionV relativeFrom="margin">
                    <wp:align>top</wp:align>
                  </wp:positionV>
                  <wp:extent cx="510540" cy="5601244"/>
                  <wp:effectExtent l="0" t="0" r="0" b="0"/>
                  <wp:wrapNone/>
                  <wp:docPr id="12199290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60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84B60" w14:textId="77777777" w:rsidR="00985D25" w:rsidRPr="00F55B0B" w:rsidRDefault="00985D25" w:rsidP="00F55B0B">
                              <w:pPr>
                                <w:jc w:val="center"/>
                                <w:rPr>
                                  <w:bCs/>
                                </w:rPr>
                              </w:pP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73A54C" id="_x0000_s1027" style="position:absolute;margin-left:29.1pt;margin-top:0;width:40.2pt;height:441.05pt;z-index:251661312;visibility:visible;mso-wrap-style:square;mso-width-percent:0;mso-height-percent:0;mso-wrap-distance-left:9pt;mso-wrap-distance-top:0;mso-wrap-distance-right:9pt;mso-wrap-distance-bottom:0;mso-position-horizontal:absolute;mso-position-horizontal-relative:left-margin-area;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" o:allowincell="f" filled="f" stroked="f">
                  <v:textbox style="layout-flow:vertical;mso-fit-shape-to-text:t">
                    <w:txbxContent>
                      <w:p w14:paraId="76F84B60" w14:textId="77777777" w:rsidR="00985D25" w:rsidRPr="00F55B0B" w:rsidRDefault="00985D25" w:rsidP="00F55B0B">
                        <w:pPr>
                          <w:jc w:val="center"/>
                          <w:rPr>
                            <w:bCs/>
                          </w:rPr>
                        </w:pPr>
                      </w:p>
                    </w:txbxContent>
                  </v:textbox>
                  <w10:wrap anchorx="margin" anchory="margin"/>
                </v:rect>
              </w:pict>
            </mc:Fallback>
          </mc:AlternateConten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837E" w14:textId="3214B395" w:rsidR="00C003A4" w:rsidRDefault="00000000">
    <w:pPr>
      <w:pStyle w:val="Header"/>
    </w:pPr>
    <w:r>
      <w:rPr>
        <w:noProof/>
      </w:rPr>
      <w:pict w14:anchorId="21436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2" o:spid="_x0000_s1030" type="#_x0000_t136" style="position:absolute;margin-left:0;margin-top:0;width:523.3pt;height:98.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F295" w14:textId="472E5F4B" w:rsidR="00C003A4" w:rsidRDefault="00000000">
    <w:pPr>
      <w:pStyle w:val="Header"/>
    </w:pPr>
    <w:r>
      <w:rPr>
        <w:noProof/>
      </w:rPr>
      <w:pict w14:anchorId="49D68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0" o:spid="_x0000_s1028" type="#_x0000_t136" style="position:absolute;margin-left:0;margin-top:0;width:523.3pt;height:98.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632"/>
    <w:multiLevelType w:val="hybridMultilevel"/>
    <w:tmpl w:val="67D26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841507"/>
    <w:multiLevelType w:val="hybridMultilevel"/>
    <w:tmpl w:val="C002A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CE3456"/>
    <w:multiLevelType w:val="hybridMultilevel"/>
    <w:tmpl w:val="FF82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100676"/>
    <w:multiLevelType w:val="hybridMultilevel"/>
    <w:tmpl w:val="1256D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7764557">
    <w:abstractNumId w:val="1"/>
  </w:num>
  <w:num w:numId="2" w16cid:durableId="540291538">
    <w:abstractNumId w:val="0"/>
  </w:num>
  <w:num w:numId="3" w16cid:durableId="1719889274">
    <w:abstractNumId w:val="3"/>
  </w:num>
  <w:num w:numId="4" w16cid:durableId="790670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kshi Sharma">
    <w15:presenceInfo w15:providerId="Windows Live" w15:userId="e8144b63ba696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E2"/>
    <w:rsid w:val="00016C6A"/>
    <w:rsid w:val="000A2692"/>
    <w:rsid w:val="00143DAB"/>
    <w:rsid w:val="001661E2"/>
    <w:rsid w:val="00207620"/>
    <w:rsid w:val="00282F54"/>
    <w:rsid w:val="00293E99"/>
    <w:rsid w:val="002D741B"/>
    <w:rsid w:val="0036308F"/>
    <w:rsid w:val="004A4D75"/>
    <w:rsid w:val="004B1E44"/>
    <w:rsid w:val="004B4E47"/>
    <w:rsid w:val="004C48E1"/>
    <w:rsid w:val="004E66A1"/>
    <w:rsid w:val="005144D0"/>
    <w:rsid w:val="00550194"/>
    <w:rsid w:val="00584799"/>
    <w:rsid w:val="005A5BD7"/>
    <w:rsid w:val="005B2E57"/>
    <w:rsid w:val="005D3EB4"/>
    <w:rsid w:val="00606E79"/>
    <w:rsid w:val="0062740E"/>
    <w:rsid w:val="0063019B"/>
    <w:rsid w:val="006D292C"/>
    <w:rsid w:val="00753CD1"/>
    <w:rsid w:val="00764BDC"/>
    <w:rsid w:val="00824D26"/>
    <w:rsid w:val="00887DF3"/>
    <w:rsid w:val="00923FD6"/>
    <w:rsid w:val="00985D25"/>
    <w:rsid w:val="009B0346"/>
    <w:rsid w:val="009B0D9C"/>
    <w:rsid w:val="009C7BAB"/>
    <w:rsid w:val="009E0C24"/>
    <w:rsid w:val="009F42CC"/>
    <w:rsid w:val="00A55946"/>
    <w:rsid w:val="00A911C2"/>
    <w:rsid w:val="00AC4917"/>
    <w:rsid w:val="00B94BDD"/>
    <w:rsid w:val="00BB436A"/>
    <w:rsid w:val="00C003A4"/>
    <w:rsid w:val="00C12DD1"/>
    <w:rsid w:val="00C13150"/>
    <w:rsid w:val="00C41FE2"/>
    <w:rsid w:val="00C835A5"/>
    <w:rsid w:val="00CE59E9"/>
    <w:rsid w:val="00DC0E2D"/>
    <w:rsid w:val="00DC2A6C"/>
    <w:rsid w:val="00DF2E66"/>
    <w:rsid w:val="00E20749"/>
    <w:rsid w:val="00EE0B6F"/>
    <w:rsid w:val="00F41F4A"/>
    <w:rsid w:val="00FF01E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E4DD"/>
  <w15:chartTrackingRefBased/>
  <w15:docId w15:val="{54A720B7-C9BB-45D0-871D-CDC42BD6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1E2"/>
    <w:rPr>
      <w:color w:val="0563C1" w:themeColor="hyperlink"/>
      <w:u w:val="single"/>
    </w:rPr>
  </w:style>
  <w:style w:type="character" w:styleId="UnresolvedMention">
    <w:name w:val="Unresolved Mention"/>
    <w:basedOn w:val="DefaultParagraphFont"/>
    <w:uiPriority w:val="99"/>
    <w:semiHidden/>
    <w:unhideWhenUsed/>
    <w:rsid w:val="001661E2"/>
    <w:rPr>
      <w:color w:val="605E5C"/>
      <w:shd w:val="clear" w:color="auto" w:fill="E1DFDD"/>
    </w:rPr>
  </w:style>
  <w:style w:type="paragraph" w:customStyle="1" w:styleId="TableParagraph">
    <w:name w:val="Table Paragraph"/>
    <w:basedOn w:val="Normal"/>
    <w:uiPriority w:val="1"/>
    <w:qFormat/>
    <w:rsid w:val="001661E2"/>
    <w:pPr>
      <w:widowControl w:val="0"/>
      <w:autoSpaceDE w:val="0"/>
      <w:autoSpaceDN w:val="0"/>
      <w:spacing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282F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82F54"/>
    <w:rPr>
      <w:rFonts w:ascii="Times New Roman" w:eastAsia="Times New Roman" w:hAnsi="Times New Roman" w:cs="Times New Roman"/>
      <w:sz w:val="24"/>
      <w:szCs w:val="24"/>
    </w:rPr>
  </w:style>
  <w:style w:type="table" w:styleId="TableGrid">
    <w:name w:val="Table Grid"/>
    <w:basedOn w:val="TableNormal"/>
    <w:uiPriority w:val="39"/>
    <w:rsid w:val="0028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01E9"/>
    <w:rPr>
      <w:i/>
      <w:iCs/>
    </w:rPr>
  </w:style>
  <w:style w:type="character" w:styleId="Strong">
    <w:name w:val="Strong"/>
    <w:basedOn w:val="DefaultParagraphFont"/>
    <w:uiPriority w:val="22"/>
    <w:qFormat/>
    <w:rsid w:val="00FF01E9"/>
    <w:rPr>
      <w:b/>
      <w:bCs/>
    </w:rPr>
  </w:style>
  <w:style w:type="paragraph" w:styleId="Header">
    <w:name w:val="header"/>
    <w:basedOn w:val="Normal"/>
    <w:link w:val="HeaderChar"/>
    <w:uiPriority w:val="99"/>
    <w:unhideWhenUsed/>
    <w:rsid w:val="00FF01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1E9"/>
  </w:style>
  <w:style w:type="paragraph" w:styleId="ListParagraph">
    <w:name w:val="List Paragraph"/>
    <w:basedOn w:val="Normal"/>
    <w:uiPriority w:val="34"/>
    <w:qFormat/>
    <w:rsid w:val="009C7BAB"/>
    <w:pPr>
      <w:ind w:left="720"/>
      <w:contextualSpacing/>
    </w:pPr>
  </w:style>
  <w:style w:type="paragraph" w:styleId="Footer">
    <w:name w:val="footer"/>
    <w:basedOn w:val="Normal"/>
    <w:link w:val="FooterChar"/>
    <w:uiPriority w:val="99"/>
    <w:unhideWhenUsed/>
    <w:rsid w:val="00C0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3A4"/>
  </w:style>
  <w:style w:type="character" w:styleId="CommentReference">
    <w:name w:val="annotation reference"/>
    <w:basedOn w:val="DefaultParagraphFont"/>
    <w:uiPriority w:val="99"/>
    <w:semiHidden/>
    <w:unhideWhenUsed/>
    <w:rsid w:val="00207620"/>
    <w:rPr>
      <w:sz w:val="16"/>
      <w:szCs w:val="16"/>
    </w:rPr>
  </w:style>
  <w:style w:type="paragraph" w:styleId="CommentText">
    <w:name w:val="annotation text"/>
    <w:basedOn w:val="Normal"/>
    <w:link w:val="CommentTextChar"/>
    <w:uiPriority w:val="99"/>
    <w:semiHidden/>
    <w:unhideWhenUsed/>
    <w:rsid w:val="00207620"/>
    <w:pPr>
      <w:spacing w:line="240" w:lineRule="auto"/>
    </w:pPr>
    <w:rPr>
      <w:sz w:val="20"/>
      <w:szCs w:val="20"/>
    </w:rPr>
  </w:style>
  <w:style w:type="character" w:customStyle="1" w:styleId="CommentTextChar">
    <w:name w:val="Comment Text Char"/>
    <w:basedOn w:val="DefaultParagraphFont"/>
    <w:link w:val="CommentText"/>
    <w:uiPriority w:val="99"/>
    <w:semiHidden/>
    <w:rsid w:val="00207620"/>
    <w:rPr>
      <w:sz w:val="20"/>
      <w:szCs w:val="20"/>
    </w:rPr>
  </w:style>
  <w:style w:type="paragraph" w:styleId="CommentSubject">
    <w:name w:val="annotation subject"/>
    <w:basedOn w:val="CommentText"/>
    <w:next w:val="CommentText"/>
    <w:link w:val="CommentSubjectChar"/>
    <w:uiPriority w:val="99"/>
    <w:semiHidden/>
    <w:unhideWhenUsed/>
    <w:rsid w:val="00207620"/>
    <w:rPr>
      <w:b/>
      <w:bCs/>
    </w:rPr>
  </w:style>
  <w:style w:type="character" w:customStyle="1" w:styleId="CommentSubjectChar">
    <w:name w:val="Comment Subject Char"/>
    <w:basedOn w:val="CommentTextChar"/>
    <w:link w:val="CommentSubject"/>
    <w:uiPriority w:val="99"/>
    <w:semiHidden/>
    <w:rsid w:val="00207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17</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dc:creator>
  <cp:keywords/>
  <dc:description/>
  <cp:lastModifiedBy>Shakshi Sharma</cp:lastModifiedBy>
  <cp:revision>39</cp:revision>
  <dcterms:created xsi:type="dcterms:W3CDTF">2025-07-29T09:56:00Z</dcterms:created>
  <dcterms:modified xsi:type="dcterms:W3CDTF">2025-08-06T06:21:00Z</dcterms:modified>
</cp:coreProperties>
</file>