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FFD12" w14:textId="77777777" w:rsidR="00B53E0F" w:rsidRPr="00B53E0F" w:rsidRDefault="00B53E0F" w:rsidP="00F5169E">
      <w:pPr>
        <w:ind w:left="360" w:hanging="360"/>
        <w:jc w:val="right"/>
        <w:rPr>
          <w:rFonts w:ascii="Arial" w:hAnsi="Arial" w:cs="Arial"/>
          <w:b/>
          <w:bCs/>
          <w:i/>
          <w:sz w:val="36"/>
          <w:szCs w:val="32"/>
          <w:u w:val="single"/>
        </w:rPr>
      </w:pPr>
      <w:bookmarkStart w:id="0" w:name="_GoBack"/>
      <w:bookmarkEnd w:id="0"/>
      <w:r w:rsidRPr="00B53E0F">
        <w:rPr>
          <w:rFonts w:ascii="Arial" w:hAnsi="Arial" w:cs="Arial"/>
          <w:b/>
          <w:bCs/>
          <w:i/>
          <w:sz w:val="36"/>
          <w:szCs w:val="32"/>
          <w:u w:val="single"/>
        </w:rPr>
        <w:t xml:space="preserve">Original Research Article </w:t>
      </w:r>
    </w:p>
    <w:p w14:paraId="23E71897" w14:textId="5B0FB718" w:rsidR="009808B8" w:rsidRPr="00F5169E" w:rsidRDefault="009808B8" w:rsidP="00F5169E">
      <w:pPr>
        <w:ind w:left="360" w:hanging="360"/>
        <w:jc w:val="right"/>
        <w:rPr>
          <w:rFonts w:ascii="Arial" w:hAnsi="Arial" w:cs="Arial"/>
          <w:b/>
          <w:bCs/>
          <w:sz w:val="36"/>
          <w:szCs w:val="32"/>
        </w:rPr>
      </w:pPr>
      <w:r w:rsidRPr="00F5169E">
        <w:rPr>
          <w:rFonts w:ascii="Arial" w:hAnsi="Arial" w:cs="Arial"/>
          <w:b/>
          <w:bCs/>
          <w:sz w:val="36"/>
          <w:szCs w:val="32"/>
        </w:rPr>
        <w:t>Functional Herbal Teas from Fruit Peels: A Flavourful Solution to Food Waste</w:t>
      </w:r>
    </w:p>
    <w:p w14:paraId="2F8E4583" w14:textId="01276788" w:rsidR="00123609" w:rsidRDefault="00123609" w:rsidP="00F5169E">
      <w:pPr>
        <w:ind w:left="360" w:hanging="360"/>
        <w:jc w:val="right"/>
        <w:rPr>
          <w:rFonts w:ascii="Arial" w:hAnsi="Arial" w:cs="Arial"/>
          <w:i/>
          <w:iCs/>
          <w:sz w:val="22"/>
          <w:szCs w:val="20"/>
        </w:rPr>
      </w:pPr>
    </w:p>
    <w:p w14:paraId="5FBB716B" w14:textId="77777777" w:rsidR="00B320B5" w:rsidRDefault="00B320B5" w:rsidP="00F5169E">
      <w:pPr>
        <w:ind w:left="360" w:hanging="360"/>
        <w:jc w:val="right"/>
        <w:rPr>
          <w:rFonts w:ascii="Arial" w:hAnsi="Arial" w:cs="Arial"/>
          <w:i/>
          <w:iCs/>
          <w:sz w:val="22"/>
          <w:szCs w:val="20"/>
        </w:rPr>
      </w:pPr>
    </w:p>
    <w:p w14:paraId="03B656A3" w14:textId="77777777" w:rsidR="00F5169E" w:rsidRPr="00F5169E" w:rsidRDefault="00F5169E" w:rsidP="00F5169E">
      <w:pPr>
        <w:ind w:left="360" w:hanging="360"/>
        <w:rPr>
          <w:rFonts w:ascii="Arial" w:hAnsi="Arial" w:cs="Arial"/>
        </w:rPr>
      </w:pPr>
    </w:p>
    <w:p w14:paraId="5EE27F74" w14:textId="4BA2564A" w:rsidR="001F4F7A" w:rsidRPr="001F4F7A" w:rsidRDefault="00F5169E" w:rsidP="001F4F7A">
      <w:pPr>
        <w:ind w:left="360" w:hanging="360"/>
        <w:jc w:val="both"/>
        <w:rPr>
          <w:rFonts w:ascii="Arial" w:hAnsi="Arial" w:cs="Arial"/>
          <w:b/>
          <w:bCs/>
          <w:sz w:val="22"/>
          <w:szCs w:val="20"/>
        </w:rPr>
      </w:pPr>
      <w:r w:rsidRPr="00F5169E">
        <w:rPr>
          <w:rFonts w:ascii="Arial" w:hAnsi="Arial" w:cs="Arial"/>
          <w:b/>
          <w:bCs/>
          <w:sz w:val="22"/>
          <w:szCs w:val="20"/>
        </w:rPr>
        <w:t>ABSTRACT</w:t>
      </w:r>
    </w:p>
    <w:p w14:paraId="2DBB3DFE" w14:textId="3F78AC4F" w:rsidR="001F4F7A" w:rsidRPr="00F5169E" w:rsidRDefault="001F4F7A" w:rsidP="001F4F7A">
      <w:pPr>
        <w:jc w:val="both"/>
        <w:rPr>
          <w:rFonts w:ascii="Arial" w:hAnsi="Arial" w:cs="Arial"/>
          <w:sz w:val="22"/>
          <w:szCs w:val="20"/>
        </w:rPr>
      </w:pPr>
      <w:r w:rsidRPr="001F4F7A">
        <w:rPr>
          <w:rFonts w:ascii="Arial" w:hAnsi="Arial" w:cs="Arial"/>
          <w:sz w:val="22"/>
          <w:szCs w:val="20"/>
        </w:rPr>
        <w:t>Food waste, particularly fruit and vegetable peels, presents both an environmental challenge and an opportunity for sustainable innovation. This study explores the development of functional tea infusions using peels from orange, lemon, amla, grape, and karonda—rich sources of antioxidants, phytochemicals, and essential nutrients. Five formulations (S1–S5) were prepared and evaluated for sensory attributes, proximate composition, and phytochemical content.</w:t>
      </w:r>
      <w:r w:rsidRPr="00F5169E">
        <w:rPr>
          <w:rFonts w:ascii="Arial" w:hAnsi="Arial" w:cs="Arial"/>
          <w:sz w:val="22"/>
          <w:szCs w:val="20"/>
        </w:rPr>
        <w:t xml:space="preserve"> </w:t>
      </w:r>
      <w:r w:rsidRPr="001F4F7A">
        <w:rPr>
          <w:rFonts w:ascii="Arial" w:hAnsi="Arial" w:cs="Arial"/>
          <w:sz w:val="22"/>
          <w:szCs w:val="20"/>
        </w:rPr>
        <w:t>Sensory analysis identified Sample S3, containing higher proportions of grape and citrus peels, as the most preferred, with superior scores in colour (8.0), aroma (8.2), taste (8.5), and overall acceptability (8.3). Proximate analysis revealed a balanced nutritional profile, including 5.86% protein, 3.21% fiber, and 61.62% carbohydrates. Phytochemical evaluation confirmed high levels of total phenolics (190.67 mg GAE/100 g), flavonoids (65.78 mg QE/100 g), anthocyanins (42.33 mg/100 g), vitamin C (54.23 mg/100 g), and tannins (36.67 mg/100 g), indicating strong antioxidant potential.</w:t>
      </w:r>
      <w:r w:rsidRPr="00F5169E">
        <w:rPr>
          <w:rFonts w:ascii="Arial" w:hAnsi="Arial" w:cs="Arial"/>
          <w:sz w:val="22"/>
          <w:szCs w:val="20"/>
        </w:rPr>
        <w:t xml:space="preserve"> </w:t>
      </w:r>
      <w:r w:rsidRPr="001F4F7A">
        <w:rPr>
          <w:rFonts w:ascii="Arial" w:hAnsi="Arial" w:cs="Arial"/>
          <w:sz w:val="22"/>
          <w:szCs w:val="20"/>
        </w:rPr>
        <w:t>The study highlights the feasibility of converting fruit peel waste into a health-promoting beverage, contributing to waste valorization, environmental sustainability, and functional food innovation. These findings support the integration of peel-based infusions into eco-conscious dietary practices and offer a scalable model for sustainable product development.</w:t>
      </w:r>
    </w:p>
    <w:p w14:paraId="49CAF88F" w14:textId="073DB453" w:rsidR="00F5169E" w:rsidRPr="001F4F7A" w:rsidRDefault="00F5169E" w:rsidP="001F4F7A">
      <w:pPr>
        <w:jc w:val="both"/>
        <w:rPr>
          <w:rFonts w:ascii="Arial" w:hAnsi="Arial" w:cs="Arial"/>
          <w:i/>
          <w:iCs/>
          <w:sz w:val="22"/>
          <w:szCs w:val="20"/>
        </w:rPr>
      </w:pPr>
      <w:r w:rsidRPr="00981F5B">
        <w:rPr>
          <w:rFonts w:ascii="Arial" w:hAnsi="Arial" w:cs="Arial"/>
          <w:i/>
          <w:iCs/>
          <w:sz w:val="20"/>
          <w:szCs w:val="18"/>
        </w:rPr>
        <w:t>Keyword: fruit peel tea, food waste valorization, and sustainable food processing.</w:t>
      </w:r>
    </w:p>
    <w:p w14:paraId="272C281A" w14:textId="453C2F47" w:rsidR="00621BC7" w:rsidRPr="00243F85" w:rsidRDefault="00F5169E" w:rsidP="005A785B">
      <w:pPr>
        <w:pStyle w:val="ListParagraph"/>
        <w:numPr>
          <w:ilvl w:val="0"/>
          <w:numId w:val="16"/>
        </w:numPr>
        <w:jc w:val="both"/>
        <w:rPr>
          <w:rFonts w:ascii="Arial" w:hAnsi="Arial" w:cs="Arial"/>
          <w:b/>
          <w:bCs/>
          <w:sz w:val="22"/>
          <w:szCs w:val="22"/>
        </w:rPr>
      </w:pPr>
      <w:r w:rsidRPr="00243F85">
        <w:rPr>
          <w:rFonts w:ascii="Arial" w:hAnsi="Arial" w:cs="Arial"/>
          <w:b/>
          <w:bCs/>
          <w:sz w:val="22"/>
          <w:szCs w:val="22"/>
        </w:rPr>
        <w:t>INTRODUCTION</w:t>
      </w:r>
    </w:p>
    <w:p w14:paraId="59DE0C84" w14:textId="5AC8EA13" w:rsidR="00386825" w:rsidRPr="00386825" w:rsidRDefault="00386825" w:rsidP="00386825">
      <w:pPr>
        <w:jc w:val="both"/>
        <w:rPr>
          <w:rFonts w:ascii="Arial" w:hAnsi="Arial" w:cs="Arial"/>
          <w:sz w:val="20"/>
          <w:szCs w:val="20"/>
        </w:rPr>
      </w:pPr>
      <w:r w:rsidRPr="00386825">
        <w:rPr>
          <w:rFonts w:ascii="Arial" w:hAnsi="Arial" w:cs="Arial"/>
          <w:sz w:val="20"/>
          <w:szCs w:val="20"/>
        </w:rPr>
        <w:t xml:space="preserve">Food waste is a pressing global challenge with profound economic, environmental, and social implications. It accounts for approximately 8–10% of total global greenhouse gas emissions (You et al., 2022) and poses serious threats to food security and sustainability (Wani et al., 2024). Addressing this multifaceted issue requires an integrated approach encompassing technological innovations, policy interventions, and </w:t>
      </w:r>
      <w:r w:rsidR="001F6716" w:rsidRPr="00386825">
        <w:rPr>
          <w:rFonts w:ascii="Arial" w:hAnsi="Arial" w:cs="Arial"/>
          <w:sz w:val="20"/>
          <w:szCs w:val="20"/>
        </w:rPr>
        <w:t>behavioural</w:t>
      </w:r>
      <w:r w:rsidRPr="00386825">
        <w:rPr>
          <w:rFonts w:ascii="Arial" w:hAnsi="Arial" w:cs="Arial"/>
          <w:sz w:val="20"/>
          <w:szCs w:val="20"/>
        </w:rPr>
        <w:t xml:space="preserve"> changes throughout the food supply chain (Swetha et al., 2024). Sustainable practices such as urban home hydroponics have emerged as complementary solutions to conventional food production, with the potential to enhance food security and reduce environmental footprints (Sousa et al., 2024). Additional strategies include source reduction, valorization of food waste into value-added products, and its conversion into biofuels (Wani et al., 2024).</w:t>
      </w:r>
    </w:p>
    <w:p w14:paraId="3692FF97" w14:textId="77777777" w:rsidR="00386825" w:rsidRPr="00386825" w:rsidRDefault="00386825" w:rsidP="00386825">
      <w:pPr>
        <w:jc w:val="both"/>
        <w:rPr>
          <w:rFonts w:ascii="Arial" w:hAnsi="Arial" w:cs="Arial"/>
          <w:sz w:val="20"/>
          <w:szCs w:val="20"/>
        </w:rPr>
      </w:pPr>
      <w:r w:rsidRPr="00386825">
        <w:rPr>
          <w:rFonts w:ascii="Arial" w:hAnsi="Arial" w:cs="Arial"/>
          <w:sz w:val="20"/>
          <w:szCs w:val="20"/>
        </w:rPr>
        <w:t xml:space="preserve">Among food waste streams, fruit and vegetable peels have attracted considerable interest due to their rich composition of antioxidants, phytochemicals, and essential nutrients, making them suitable for nutraceutical and functional food applications (Sadef et al., 2022; Hussain et al., 2023; Adeoye, 2024). Studies have demonstrated that peels from fruits such as mango, apple, pomegranate, and grapes possess high levels of total phenolic content, antioxidant activity, and bioactive compounds (Sadef et al., 2022; Hussain et al., 2023). These peels are also abundant in vital minerals, including potassium, iron, and magnesium (Hussain et al., 2023). Their pharmacological and functional properties suggest </w:t>
      </w:r>
      <w:r w:rsidRPr="00386825">
        <w:rPr>
          <w:rFonts w:ascii="Arial" w:hAnsi="Arial" w:cs="Arial"/>
          <w:sz w:val="20"/>
          <w:szCs w:val="20"/>
        </w:rPr>
        <w:lastRenderedPageBreak/>
        <w:t>potential applications in medical nutrition therapy and as dietary supplements (Adeoye, 2024). Incorporating such by-products into food formulations and therapeutic strategies not only enhances health outcomes but also contributes to effective waste management (Sadef et al., 2022; Adeoye, 2024). However, further research is required to elucidate the molecular mechanisms of these bioactive compounds and explore their therapeutic efficacy (Adeoye, 2024).</w:t>
      </w:r>
    </w:p>
    <w:p w14:paraId="40642350" w14:textId="77777777" w:rsidR="00386825" w:rsidRPr="00386825" w:rsidRDefault="00386825" w:rsidP="00386825">
      <w:pPr>
        <w:jc w:val="both"/>
        <w:rPr>
          <w:rFonts w:ascii="Arial" w:hAnsi="Arial" w:cs="Arial"/>
          <w:sz w:val="20"/>
          <w:szCs w:val="20"/>
        </w:rPr>
      </w:pPr>
      <w:r w:rsidRPr="00386825">
        <w:rPr>
          <w:rFonts w:ascii="Arial" w:hAnsi="Arial" w:cs="Arial"/>
          <w:sz w:val="20"/>
          <w:szCs w:val="20"/>
        </w:rPr>
        <w:t>Recent investigations have explored the potential of traditional herbal teas and novel peel-based infusions as functional beverages. Herbal teas are recognized for their diverse health benefits, including antioxidant, anti-inflammatory, and immunomodulatory properties (Malek et al., 2024). Advances in extraction technologies, such as ultrasound-assisted methods, have shown promise in producing functional tea beverages with reduced energy requirements and shorter extraction times (Uzuner, 2022). Conventional filter infusion methods have been reported to yield higher polyphenol and mineral contents compared to pod-based systems, thereby enhancing the nutritional quality of the beverage (Lo et al., 2024). Notably, peel-based infusions, such as those prepared from pomegranate peels, exhibit exceptional antioxidant activity, often surpassing that of commercial green tea brands (Singh et al., 2024). Furthermore, lipidomic profiling of various herbal teas has revealed distinct lipid signatures, with some teas demonstrating potential health benefits due to their polyunsaturated fatty acid content (Malek et al., 2024). These findings underscore the nutritional and functional potential of both conventional and innovative herbal infusions.</w:t>
      </w:r>
    </w:p>
    <w:p w14:paraId="5CAB9DA3" w14:textId="77777777" w:rsidR="00386825" w:rsidRPr="00386825" w:rsidRDefault="00386825" w:rsidP="00386825">
      <w:pPr>
        <w:jc w:val="both"/>
        <w:rPr>
          <w:rFonts w:ascii="Arial" w:hAnsi="Arial" w:cs="Arial"/>
          <w:sz w:val="20"/>
          <w:szCs w:val="20"/>
        </w:rPr>
      </w:pPr>
      <w:r w:rsidRPr="00386825">
        <w:rPr>
          <w:rFonts w:ascii="Arial" w:hAnsi="Arial" w:cs="Arial"/>
          <w:sz w:val="20"/>
          <w:szCs w:val="20"/>
        </w:rPr>
        <w:t>The present study focuses on the innovative utilization of fruit peels, conventionally regarded as food waste, for the development of functional tea infusions. The primary objective is to formulate a value-added beverage using peels from fruits such as orange, lemon, amla, grape, and karonda, which are known for their rich phytochemical and antioxidant profiles. This research aims to evaluate the nutritional composition, bioactive constituents, and sensory attributes of the resulting tea infusions. Detailed analyses of proximate composition, phenolic content, antioxidant capacity, and organoleptic properties will be conducted to establish the health-promoting potential and consumer acceptability of peel-based teas. By transforming food industry by-products into functional beverages, the study promotes sustainable waste valorization while contributing to environmental conservation and the development of health-oriented alternatives in the beverage sector.</w:t>
      </w:r>
    </w:p>
    <w:p w14:paraId="44E07728" w14:textId="2FE2BA89" w:rsidR="00621BC7" w:rsidRPr="00243F85" w:rsidRDefault="005A785B" w:rsidP="005A785B">
      <w:pPr>
        <w:jc w:val="both"/>
        <w:rPr>
          <w:rFonts w:ascii="Arial" w:hAnsi="Arial" w:cs="Arial"/>
          <w:sz w:val="22"/>
          <w:szCs w:val="22"/>
        </w:rPr>
      </w:pPr>
      <w:r w:rsidRPr="00243F85">
        <w:rPr>
          <w:rFonts w:ascii="Arial" w:hAnsi="Arial" w:cs="Arial"/>
          <w:b/>
          <w:bCs/>
          <w:sz w:val="22"/>
          <w:szCs w:val="22"/>
        </w:rPr>
        <w:t xml:space="preserve">2. </w:t>
      </w:r>
      <w:r w:rsidR="003767B5" w:rsidRPr="00243F85">
        <w:rPr>
          <w:rFonts w:ascii="Arial" w:hAnsi="Arial" w:cs="Arial"/>
          <w:b/>
          <w:bCs/>
          <w:sz w:val="22"/>
          <w:szCs w:val="22"/>
        </w:rPr>
        <w:t>MATERIALS AND METHODS</w:t>
      </w:r>
    </w:p>
    <w:p w14:paraId="4CA906DD" w14:textId="30A7D88A" w:rsidR="004D28DA" w:rsidRPr="00243F85" w:rsidRDefault="003767B5" w:rsidP="005A785B">
      <w:pPr>
        <w:jc w:val="both"/>
        <w:rPr>
          <w:rFonts w:ascii="Arial" w:hAnsi="Arial" w:cs="Arial"/>
          <w:b/>
          <w:bCs/>
          <w:sz w:val="20"/>
          <w:szCs w:val="20"/>
        </w:rPr>
      </w:pPr>
      <w:r w:rsidRPr="00243F85">
        <w:rPr>
          <w:rFonts w:ascii="Arial" w:hAnsi="Arial" w:cs="Arial"/>
          <w:b/>
          <w:bCs/>
          <w:sz w:val="20"/>
          <w:szCs w:val="20"/>
        </w:rPr>
        <w:t xml:space="preserve">2.1 </w:t>
      </w:r>
      <w:r>
        <w:rPr>
          <w:rFonts w:ascii="Arial" w:hAnsi="Arial" w:cs="Arial"/>
          <w:b/>
          <w:bCs/>
          <w:sz w:val="20"/>
          <w:szCs w:val="20"/>
          <w:u w:val="single"/>
        </w:rPr>
        <w:t>R</w:t>
      </w:r>
      <w:r w:rsidRPr="003767B5">
        <w:rPr>
          <w:rFonts w:ascii="Arial" w:hAnsi="Arial" w:cs="Arial"/>
          <w:b/>
          <w:bCs/>
          <w:sz w:val="20"/>
          <w:szCs w:val="20"/>
          <w:u w:val="single"/>
        </w:rPr>
        <w:t>aw materials</w:t>
      </w:r>
    </w:p>
    <w:p w14:paraId="5356650E" w14:textId="28C84B77" w:rsidR="004D28DA" w:rsidRPr="00243F85" w:rsidRDefault="004D28DA" w:rsidP="005A785B">
      <w:pPr>
        <w:jc w:val="both"/>
        <w:rPr>
          <w:rFonts w:ascii="Arial" w:hAnsi="Arial" w:cs="Arial"/>
          <w:sz w:val="20"/>
          <w:szCs w:val="20"/>
        </w:rPr>
      </w:pPr>
      <w:r w:rsidRPr="00243F85">
        <w:rPr>
          <w:rFonts w:ascii="Arial" w:hAnsi="Arial" w:cs="Arial"/>
          <w:sz w:val="20"/>
          <w:szCs w:val="20"/>
        </w:rPr>
        <w:t xml:space="preserve">The </w:t>
      </w:r>
      <w:r w:rsidR="00017261" w:rsidRPr="00243F85">
        <w:rPr>
          <w:rFonts w:ascii="Arial" w:hAnsi="Arial" w:cs="Arial"/>
          <w:sz w:val="20"/>
          <w:szCs w:val="20"/>
        </w:rPr>
        <w:t xml:space="preserve">raw material for </w:t>
      </w:r>
      <w:r w:rsidR="00225EDE" w:rsidRPr="00243F85">
        <w:rPr>
          <w:rFonts w:ascii="Arial" w:hAnsi="Arial" w:cs="Arial"/>
          <w:sz w:val="20"/>
          <w:szCs w:val="20"/>
        </w:rPr>
        <w:t>this</w:t>
      </w:r>
      <w:r w:rsidR="00017261" w:rsidRPr="00243F85">
        <w:rPr>
          <w:rFonts w:ascii="Arial" w:hAnsi="Arial" w:cs="Arial"/>
          <w:sz w:val="20"/>
          <w:szCs w:val="20"/>
        </w:rPr>
        <w:t xml:space="preserve"> study like fruits peels includes orange</w:t>
      </w:r>
      <w:r w:rsidR="006D737B" w:rsidRPr="00243F85">
        <w:rPr>
          <w:rFonts w:ascii="Arial" w:hAnsi="Arial" w:cs="Arial"/>
          <w:sz w:val="20"/>
          <w:szCs w:val="20"/>
        </w:rPr>
        <w:t xml:space="preserve"> (</w:t>
      </w:r>
      <w:r w:rsidR="006D737B" w:rsidRPr="00243F85">
        <w:rPr>
          <w:rFonts w:ascii="Arial" w:hAnsi="Arial" w:cs="Arial"/>
          <w:i/>
          <w:iCs/>
          <w:sz w:val="20"/>
          <w:szCs w:val="20"/>
        </w:rPr>
        <w:t>Citrus sinensis L</w:t>
      </w:r>
      <w:r w:rsidR="006D737B" w:rsidRPr="00243F85">
        <w:rPr>
          <w:rFonts w:ascii="Arial" w:hAnsi="Arial" w:cs="Arial"/>
          <w:sz w:val="20"/>
          <w:szCs w:val="20"/>
        </w:rPr>
        <w:t>)</w:t>
      </w:r>
      <w:r w:rsidR="00017261" w:rsidRPr="00243F85">
        <w:rPr>
          <w:rFonts w:ascii="Arial" w:hAnsi="Arial" w:cs="Arial"/>
          <w:sz w:val="20"/>
          <w:szCs w:val="20"/>
        </w:rPr>
        <w:t xml:space="preserve">, </w:t>
      </w:r>
      <w:r w:rsidR="00883B7B" w:rsidRPr="00243F85">
        <w:rPr>
          <w:rFonts w:ascii="Arial" w:hAnsi="Arial" w:cs="Arial"/>
          <w:sz w:val="20"/>
          <w:szCs w:val="20"/>
        </w:rPr>
        <w:t>lemon</w:t>
      </w:r>
      <w:r w:rsidR="00977659" w:rsidRPr="00243F85">
        <w:rPr>
          <w:rFonts w:ascii="Arial" w:hAnsi="Arial" w:cs="Arial"/>
          <w:sz w:val="20"/>
          <w:szCs w:val="20"/>
        </w:rPr>
        <w:t xml:space="preserve"> (</w:t>
      </w:r>
      <w:r w:rsidR="006B336E" w:rsidRPr="00243F85">
        <w:rPr>
          <w:rFonts w:ascii="Arial" w:hAnsi="Arial" w:cs="Arial"/>
          <w:i/>
          <w:iCs/>
          <w:sz w:val="20"/>
          <w:szCs w:val="20"/>
        </w:rPr>
        <w:t>Citrus limon L</w:t>
      </w:r>
      <w:r w:rsidR="006B336E" w:rsidRPr="00243F85">
        <w:rPr>
          <w:rFonts w:ascii="Arial" w:hAnsi="Arial" w:cs="Arial"/>
          <w:sz w:val="20"/>
          <w:szCs w:val="20"/>
        </w:rPr>
        <w:t>.</w:t>
      </w:r>
      <w:r w:rsidR="00977659" w:rsidRPr="00243F85">
        <w:rPr>
          <w:rFonts w:ascii="Arial" w:hAnsi="Arial" w:cs="Arial"/>
          <w:sz w:val="20"/>
          <w:szCs w:val="20"/>
        </w:rPr>
        <w:t>)</w:t>
      </w:r>
      <w:r w:rsidR="00883B7B" w:rsidRPr="00243F85">
        <w:rPr>
          <w:rFonts w:ascii="Arial" w:hAnsi="Arial" w:cs="Arial"/>
          <w:sz w:val="20"/>
          <w:szCs w:val="20"/>
        </w:rPr>
        <w:t>, amla</w:t>
      </w:r>
      <w:r w:rsidR="002411D2" w:rsidRPr="00243F85">
        <w:rPr>
          <w:rFonts w:ascii="Arial" w:hAnsi="Arial" w:cs="Arial"/>
          <w:sz w:val="20"/>
          <w:szCs w:val="20"/>
        </w:rPr>
        <w:t xml:space="preserve"> (</w:t>
      </w:r>
      <w:r w:rsidR="002411D2" w:rsidRPr="00243F85">
        <w:rPr>
          <w:rFonts w:ascii="Arial" w:hAnsi="Arial" w:cs="Arial"/>
          <w:i/>
          <w:iCs/>
          <w:sz w:val="20"/>
          <w:szCs w:val="20"/>
        </w:rPr>
        <w:t>Phyllanthus emblica L</w:t>
      </w:r>
      <w:r w:rsidR="002411D2" w:rsidRPr="00243F85">
        <w:rPr>
          <w:rFonts w:ascii="Arial" w:hAnsi="Arial" w:cs="Arial"/>
          <w:sz w:val="20"/>
          <w:szCs w:val="20"/>
        </w:rPr>
        <w:t>)</w:t>
      </w:r>
      <w:r w:rsidR="00883B7B" w:rsidRPr="00243F85">
        <w:rPr>
          <w:rFonts w:ascii="Arial" w:hAnsi="Arial" w:cs="Arial"/>
          <w:sz w:val="20"/>
          <w:szCs w:val="20"/>
        </w:rPr>
        <w:t>, grape</w:t>
      </w:r>
      <w:r w:rsidR="00D83154" w:rsidRPr="00243F85">
        <w:rPr>
          <w:rFonts w:ascii="Arial" w:hAnsi="Arial" w:cs="Arial"/>
          <w:sz w:val="20"/>
          <w:szCs w:val="20"/>
        </w:rPr>
        <w:t xml:space="preserve"> </w:t>
      </w:r>
      <w:r w:rsidR="003200C0" w:rsidRPr="00243F85">
        <w:rPr>
          <w:rFonts w:ascii="Arial" w:hAnsi="Arial" w:cs="Arial"/>
          <w:sz w:val="20"/>
          <w:szCs w:val="20"/>
        </w:rPr>
        <w:t>(</w:t>
      </w:r>
      <w:r w:rsidR="003200C0" w:rsidRPr="00243F85">
        <w:rPr>
          <w:rFonts w:ascii="Arial" w:hAnsi="Arial" w:cs="Arial"/>
          <w:i/>
          <w:iCs/>
          <w:sz w:val="20"/>
          <w:szCs w:val="20"/>
        </w:rPr>
        <w:t>Vitis vinifera L</w:t>
      </w:r>
      <w:r w:rsidR="003200C0" w:rsidRPr="00243F85">
        <w:rPr>
          <w:rFonts w:ascii="Arial" w:hAnsi="Arial" w:cs="Arial"/>
          <w:sz w:val="20"/>
          <w:szCs w:val="20"/>
        </w:rPr>
        <w:t xml:space="preserve">) </w:t>
      </w:r>
      <w:r w:rsidR="00D83154" w:rsidRPr="00243F85">
        <w:rPr>
          <w:rFonts w:ascii="Arial" w:hAnsi="Arial" w:cs="Arial"/>
          <w:sz w:val="20"/>
          <w:szCs w:val="20"/>
        </w:rPr>
        <w:t>and karonda</w:t>
      </w:r>
      <w:r w:rsidR="006D7B23" w:rsidRPr="00243F85">
        <w:rPr>
          <w:rFonts w:ascii="Arial" w:hAnsi="Arial" w:cs="Arial"/>
          <w:sz w:val="20"/>
          <w:szCs w:val="20"/>
        </w:rPr>
        <w:t xml:space="preserve"> </w:t>
      </w:r>
      <w:r w:rsidR="00A73AEB" w:rsidRPr="00243F85">
        <w:rPr>
          <w:rFonts w:ascii="Arial" w:hAnsi="Arial" w:cs="Arial"/>
          <w:sz w:val="20"/>
          <w:szCs w:val="20"/>
        </w:rPr>
        <w:t>(</w:t>
      </w:r>
      <w:r w:rsidR="00A73AEB" w:rsidRPr="00243F85">
        <w:rPr>
          <w:rFonts w:ascii="Arial" w:hAnsi="Arial" w:cs="Arial"/>
          <w:i/>
          <w:iCs/>
          <w:sz w:val="20"/>
          <w:szCs w:val="20"/>
        </w:rPr>
        <w:t>Carissa carandas L</w:t>
      </w:r>
      <w:r w:rsidR="00A73AEB" w:rsidRPr="00243F85">
        <w:rPr>
          <w:rFonts w:ascii="Arial" w:hAnsi="Arial" w:cs="Arial"/>
          <w:sz w:val="20"/>
          <w:szCs w:val="20"/>
        </w:rPr>
        <w:t xml:space="preserve">) </w:t>
      </w:r>
      <w:r w:rsidR="006D7B23" w:rsidRPr="00243F85">
        <w:rPr>
          <w:rFonts w:ascii="Arial" w:hAnsi="Arial" w:cs="Arial"/>
          <w:sz w:val="20"/>
          <w:szCs w:val="20"/>
        </w:rPr>
        <w:t xml:space="preserve">are collected from small juice centres </w:t>
      </w:r>
      <w:r w:rsidR="00A12643" w:rsidRPr="00243F85">
        <w:rPr>
          <w:rFonts w:ascii="Arial" w:hAnsi="Arial" w:cs="Arial"/>
          <w:sz w:val="20"/>
          <w:szCs w:val="20"/>
        </w:rPr>
        <w:t xml:space="preserve">on Parbhani city. </w:t>
      </w:r>
      <w:r w:rsidR="00F227C8" w:rsidRPr="00243F85">
        <w:rPr>
          <w:rFonts w:ascii="Arial" w:hAnsi="Arial" w:cs="Arial"/>
          <w:sz w:val="20"/>
          <w:szCs w:val="20"/>
        </w:rPr>
        <w:t xml:space="preserve">The infusion paper bags were purchased from </w:t>
      </w:r>
      <w:r w:rsidR="008C7850" w:rsidRPr="00243F85">
        <w:rPr>
          <w:rFonts w:ascii="Arial" w:hAnsi="Arial" w:cs="Arial"/>
          <w:sz w:val="20"/>
          <w:szCs w:val="20"/>
        </w:rPr>
        <w:t>Parbhani</w:t>
      </w:r>
      <w:r w:rsidR="00F227C8" w:rsidRPr="00243F85">
        <w:rPr>
          <w:rFonts w:ascii="Arial" w:hAnsi="Arial" w:cs="Arial"/>
          <w:sz w:val="20"/>
          <w:szCs w:val="20"/>
        </w:rPr>
        <w:t xml:space="preserve"> local market</w:t>
      </w:r>
      <w:r w:rsidR="008C7850" w:rsidRPr="00243F85">
        <w:rPr>
          <w:rFonts w:ascii="Arial" w:hAnsi="Arial" w:cs="Arial"/>
          <w:sz w:val="20"/>
          <w:szCs w:val="20"/>
        </w:rPr>
        <w:t xml:space="preserve">. </w:t>
      </w:r>
      <w:r w:rsidR="00A12643" w:rsidRPr="00243F85">
        <w:rPr>
          <w:rFonts w:ascii="Arial" w:hAnsi="Arial" w:cs="Arial"/>
          <w:sz w:val="20"/>
          <w:szCs w:val="20"/>
        </w:rPr>
        <w:t>The required chemicals</w:t>
      </w:r>
      <w:r w:rsidR="00A530D2" w:rsidRPr="00243F85">
        <w:rPr>
          <w:rFonts w:ascii="Arial" w:hAnsi="Arial" w:cs="Arial"/>
          <w:sz w:val="20"/>
          <w:szCs w:val="20"/>
        </w:rPr>
        <w:t xml:space="preserve">, process </w:t>
      </w:r>
      <w:r w:rsidR="00E2050F" w:rsidRPr="00243F85">
        <w:rPr>
          <w:rFonts w:ascii="Arial" w:hAnsi="Arial" w:cs="Arial"/>
          <w:sz w:val="20"/>
          <w:szCs w:val="20"/>
        </w:rPr>
        <w:t>equipment</w:t>
      </w:r>
      <w:r w:rsidR="00A530D2" w:rsidRPr="00243F85">
        <w:rPr>
          <w:rFonts w:ascii="Arial" w:hAnsi="Arial" w:cs="Arial"/>
          <w:sz w:val="20"/>
          <w:szCs w:val="20"/>
        </w:rPr>
        <w:t xml:space="preserve"> and analytical instruments are </w:t>
      </w:r>
      <w:r w:rsidR="000075BA" w:rsidRPr="00243F85">
        <w:rPr>
          <w:rFonts w:ascii="Arial" w:hAnsi="Arial" w:cs="Arial"/>
          <w:sz w:val="20"/>
          <w:szCs w:val="20"/>
        </w:rPr>
        <w:t xml:space="preserve">used and </w:t>
      </w:r>
      <w:r w:rsidR="00A174BF" w:rsidRPr="00243F85">
        <w:rPr>
          <w:rFonts w:ascii="Arial" w:hAnsi="Arial" w:cs="Arial"/>
          <w:sz w:val="20"/>
          <w:szCs w:val="20"/>
        </w:rPr>
        <w:t>accessed</w:t>
      </w:r>
      <w:r w:rsidR="000075BA" w:rsidRPr="00243F85">
        <w:rPr>
          <w:rFonts w:ascii="Arial" w:hAnsi="Arial" w:cs="Arial"/>
          <w:sz w:val="20"/>
          <w:szCs w:val="20"/>
        </w:rPr>
        <w:t xml:space="preserve"> from the </w:t>
      </w:r>
      <w:r w:rsidR="000C1ED6" w:rsidRPr="00243F85">
        <w:rPr>
          <w:rFonts w:ascii="Arial" w:hAnsi="Arial" w:cs="Arial"/>
          <w:sz w:val="20"/>
          <w:szCs w:val="20"/>
        </w:rPr>
        <w:t xml:space="preserve">Department of Food Engineering, </w:t>
      </w:r>
      <w:r w:rsidR="000075BA" w:rsidRPr="00243F85">
        <w:rPr>
          <w:rFonts w:ascii="Arial" w:hAnsi="Arial" w:cs="Arial"/>
          <w:sz w:val="20"/>
          <w:szCs w:val="20"/>
        </w:rPr>
        <w:t>College of Food Technology, VNMKV, Parbhani</w:t>
      </w:r>
      <w:r w:rsidR="000C1ED6" w:rsidRPr="00243F85">
        <w:rPr>
          <w:rFonts w:ascii="Arial" w:hAnsi="Arial" w:cs="Arial"/>
          <w:sz w:val="20"/>
          <w:szCs w:val="20"/>
        </w:rPr>
        <w:t>.</w:t>
      </w:r>
      <w:r w:rsidR="00F227C8" w:rsidRPr="00243F85">
        <w:rPr>
          <w:rFonts w:ascii="Arial" w:hAnsi="Arial" w:cs="Arial"/>
          <w:sz w:val="20"/>
          <w:szCs w:val="20"/>
        </w:rPr>
        <w:t xml:space="preserve"> </w:t>
      </w:r>
    </w:p>
    <w:p w14:paraId="462CACF9" w14:textId="176F821B" w:rsidR="001639D3" w:rsidRPr="00243F85" w:rsidRDefault="003767B5" w:rsidP="005A785B">
      <w:pPr>
        <w:jc w:val="both"/>
        <w:rPr>
          <w:rFonts w:ascii="Arial" w:hAnsi="Arial" w:cs="Arial"/>
          <w:b/>
          <w:bCs/>
          <w:sz w:val="20"/>
          <w:szCs w:val="20"/>
        </w:rPr>
      </w:pPr>
      <w:r w:rsidRPr="00243F85">
        <w:rPr>
          <w:rFonts w:ascii="Arial" w:hAnsi="Arial" w:cs="Arial"/>
          <w:b/>
          <w:bCs/>
          <w:sz w:val="20"/>
          <w:szCs w:val="20"/>
        </w:rPr>
        <w:t xml:space="preserve">2.2 </w:t>
      </w:r>
      <w:r w:rsidRPr="003767B5">
        <w:rPr>
          <w:rFonts w:ascii="Arial" w:hAnsi="Arial" w:cs="Arial"/>
          <w:b/>
          <w:bCs/>
          <w:sz w:val="20"/>
          <w:szCs w:val="20"/>
          <w:u w:val="single"/>
        </w:rPr>
        <w:t>Preparation of fruit tea infusion</w:t>
      </w:r>
    </w:p>
    <w:p w14:paraId="0EB555AC" w14:textId="464C3C97" w:rsidR="00CA3435" w:rsidRPr="00243F85" w:rsidRDefault="00CA3435" w:rsidP="005A785B">
      <w:pPr>
        <w:jc w:val="both"/>
        <w:rPr>
          <w:rFonts w:ascii="Arial" w:hAnsi="Arial" w:cs="Arial"/>
          <w:sz w:val="20"/>
          <w:szCs w:val="20"/>
        </w:rPr>
      </w:pPr>
      <w:r w:rsidRPr="00243F85">
        <w:rPr>
          <w:rFonts w:ascii="Arial" w:hAnsi="Arial" w:cs="Arial"/>
          <w:sz w:val="20"/>
          <w:szCs w:val="20"/>
        </w:rPr>
        <w:t>Fruit peels collected from selected sources</w:t>
      </w:r>
      <w:r w:rsidR="00FE34AB" w:rsidRPr="00243F85">
        <w:rPr>
          <w:rFonts w:ascii="Arial" w:hAnsi="Arial" w:cs="Arial"/>
          <w:sz w:val="20"/>
          <w:szCs w:val="20"/>
        </w:rPr>
        <w:t xml:space="preserve"> </w:t>
      </w:r>
      <w:r w:rsidRPr="00243F85">
        <w:rPr>
          <w:rFonts w:ascii="Arial" w:hAnsi="Arial" w:cs="Arial"/>
          <w:sz w:val="20"/>
          <w:szCs w:val="20"/>
        </w:rPr>
        <w:t>orange, lemon, amla, grape, and karonda</w:t>
      </w:r>
      <w:r w:rsidR="009554B2" w:rsidRPr="00243F85">
        <w:rPr>
          <w:rFonts w:ascii="Arial" w:hAnsi="Arial" w:cs="Arial"/>
          <w:sz w:val="20"/>
          <w:szCs w:val="20"/>
        </w:rPr>
        <w:t xml:space="preserve"> and </w:t>
      </w:r>
      <w:r w:rsidRPr="00243F85">
        <w:rPr>
          <w:rFonts w:ascii="Arial" w:hAnsi="Arial" w:cs="Arial"/>
          <w:sz w:val="20"/>
          <w:szCs w:val="20"/>
        </w:rPr>
        <w:t>were utilized as raw materials for the formulation of functional tea infusions. The preparation process involved several sequential steps to ensure quality, uniformity, and optimal extraction potential</w:t>
      </w:r>
      <w:r w:rsidR="009554B2" w:rsidRPr="00243F85">
        <w:rPr>
          <w:rFonts w:ascii="Arial" w:hAnsi="Arial" w:cs="Arial"/>
          <w:sz w:val="20"/>
          <w:szCs w:val="20"/>
        </w:rPr>
        <w:t xml:space="preserve"> as shown in Figure 1</w:t>
      </w:r>
      <w:r w:rsidRPr="00243F85">
        <w:rPr>
          <w:rFonts w:ascii="Arial" w:hAnsi="Arial" w:cs="Arial"/>
          <w:sz w:val="20"/>
          <w:szCs w:val="20"/>
        </w:rPr>
        <w:t>.</w:t>
      </w:r>
    </w:p>
    <w:p w14:paraId="33051BC5" w14:textId="5D68E139" w:rsidR="00CA3435" w:rsidRPr="00243F85" w:rsidRDefault="00CA3435" w:rsidP="005A785B">
      <w:pPr>
        <w:jc w:val="both"/>
        <w:rPr>
          <w:rFonts w:ascii="Arial" w:hAnsi="Arial" w:cs="Arial"/>
          <w:sz w:val="20"/>
          <w:szCs w:val="20"/>
        </w:rPr>
      </w:pPr>
      <w:r w:rsidRPr="00243F85">
        <w:rPr>
          <w:rFonts w:ascii="Arial" w:hAnsi="Arial" w:cs="Arial"/>
          <w:sz w:val="20"/>
          <w:szCs w:val="20"/>
        </w:rPr>
        <w:t xml:space="preserve">Initially, the peels were manually sorted to remove any spoiled, discoloured, or extraneous material. The sorted peels were then thoroughly washed under running potable water to eliminate surface impurities and residual contaminants. </w:t>
      </w:r>
      <w:r w:rsidR="009554B2" w:rsidRPr="00243F85">
        <w:rPr>
          <w:rFonts w:ascii="Arial" w:hAnsi="Arial" w:cs="Arial"/>
          <w:sz w:val="20"/>
          <w:szCs w:val="20"/>
        </w:rPr>
        <w:t>Then</w:t>
      </w:r>
      <w:r w:rsidRPr="00243F85">
        <w:rPr>
          <w:rFonts w:ascii="Arial" w:hAnsi="Arial" w:cs="Arial"/>
          <w:sz w:val="20"/>
          <w:szCs w:val="20"/>
        </w:rPr>
        <w:t xml:space="preserve"> the peels were uniformly cut into pieces measuring approximately 1 × 1 cm, facilitating consistency in subsequent pretreatment and drying operations. For pretreatment, the cut peels were immersed in a 3% citric acid solution at ambient temperature for 3</w:t>
      </w:r>
      <w:r w:rsidR="009554B2" w:rsidRPr="00243F85">
        <w:rPr>
          <w:rFonts w:ascii="Arial" w:hAnsi="Arial" w:cs="Arial"/>
          <w:sz w:val="20"/>
          <w:szCs w:val="20"/>
        </w:rPr>
        <w:t>-</w:t>
      </w:r>
      <w:r w:rsidRPr="00243F85">
        <w:rPr>
          <w:rFonts w:ascii="Arial" w:hAnsi="Arial" w:cs="Arial"/>
          <w:sz w:val="20"/>
          <w:szCs w:val="20"/>
        </w:rPr>
        <w:t>5 minutes. This step was performed to enhance colour retention, reduce enzymatic browning, and preserve phytochemical integrity</w:t>
      </w:r>
      <w:r w:rsidR="000C301D" w:rsidRPr="00243F85">
        <w:rPr>
          <w:rFonts w:ascii="Arial" w:hAnsi="Arial" w:cs="Arial"/>
          <w:sz w:val="20"/>
          <w:szCs w:val="20"/>
        </w:rPr>
        <w:t xml:space="preserve"> (Sanches et. al., 2021)</w:t>
      </w:r>
      <w:r w:rsidRPr="00243F85">
        <w:rPr>
          <w:rFonts w:ascii="Arial" w:hAnsi="Arial" w:cs="Arial"/>
          <w:sz w:val="20"/>
          <w:szCs w:val="20"/>
        </w:rPr>
        <w:t>. Following pretreatment, the peels were subjected to drying in a vacuum dryer maintained at 45°C for a duration of 4–5 hours</w:t>
      </w:r>
      <w:r w:rsidR="00C427F7">
        <w:rPr>
          <w:rFonts w:ascii="Arial" w:hAnsi="Arial" w:cs="Arial"/>
          <w:sz w:val="20"/>
          <w:szCs w:val="20"/>
        </w:rPr>
        <w:t xml:space="preserve"> (Suri et. a</w:t>
      </w:r>
      <w:r w:rsidR="000C301D" w:rsidRPr="00243F85">
        <w:rPr>
          <w:rFonts w:ascii="Arial" w:hAnsi="Arial" w:cs="Arial"/>
          <w:sz w:val="20"/>
          <w:szCs w:val="20"/>
        </w:rPr>
        <w:t>l., 2022)</w:t>
      </w:r>
      <w:r w:rsidRPr="00243F85">
        <w:rPr>
          <w:rFonts w:ascii="Arial" w:hAnsi="Arial" w:cs="Arial"/>
          <w:sz w:val="20"/>
          <w:szCs w:val="20"/>
        </w:rPr>
        <w:t xml:space="preserve">, </w:t>
      </w:r>
      <w:r w:rsidRPr="00243F85">
        <w:rPr>
          <w:rFonts w:ascii="Arial" w:hAnsi="Arial" w:cs="Arial"/>
          <w:sz w:val="20"/>
          <w:szCs w:val="20"/>
        </w:rPr>
        <w:lastRenderedPageBreak/>
        <w:t>until a stable moisture content was achieved. The dried peels were then ground using a laboratory grinder to obtain a coarse powder. The particle size of the ground material was standardized to fall within the range of 500–850 μm, ensuring optimal infusion characteristics and minimizing sedimentation</w:t>
      </w:r>
      <w:r w:rsidR="000C301D" w:rsidRPr="00243F85">
        <w:rPr>
          <w:rFonts w:ascii="Arial" w:hAnsi="Arial" w:cs="Arial"/>
          <w:sz w:val="20"/>
          <w:szCs w:val="20"/>
        </w:rPr>
        <w:t xml:space="preserve"> (Farakte 2016)</w:t>
      </w:r>
      <w:r w:rsidRPr="00243F85">
        <w:rPr>
          <w:rFonts w:ascii="Arial" w:hAnsi="Arial" w:cs="Arial"/>
          <w:sz w:val="20"/>
          <w:szCs w:val="20"/>
        </w:rPr>
        <w:t>. The powdered peel was subsequently packed into infusion bags, each containing a measured quantity suitable for single-use brewing. The complete process flow for fruit peel tea infusion preparation is illustrated in Figure 1.</w:t>
      </w:r>
    </w:p>
    <w:p w14:paraId="022511AB" w14:textId="77777777" w:rsidR="00CA3435" w:rsidRPr="00243F85" w:rsidRDefault="00CA3435" w:rsidP="005A785B">
      <w:pPr>
        <w:jc w:val="both"/>
        <w:rPr>
          <w:rFonts w:ascii="Arial" w:hAnsi="Arial" w:cs="Arial"/>
          <w:sz w:val="20"/>
          <w:szCs w:val="20"/>
        </w:rPr>
      </w:pPr>
    </w:p>
    <w:tbl>
      <w:tblPr>
        <w:tblStyle w:val="TableGrid"/>
        <w:tblW w:w="0" w:type="auto"/>
        <w:jc w:val="center"/>
        <w:tblLook w:val="04A0" w:firstRow="1" w:lastRow="0" w:firstColumn="1" w:lastColumn="0" w:noHBand="0" w:noVBand="1"/>
      </w:tblPr>
      <w:tblGrid>
        <w:gridCol w:w="4338"/>
      </w:tblGrid>
      <w:tr w:rsidR="00D86B44" w:rsidRPr="00243F85" w14:paraId="6B1DDE74" w14:textId="77777777" w:rsidTr="0036677F">
        <w:trPr>
          <w:jc w:val="center"/>
        </w:trPr>
        <w:tc>
          <w:tcPr>
            <w:tcW w:w="4338" w:type="dxa"/>
          </w:tcPr>
          <w:p w14:paraId="14D35F3D" w14:textId="77777777" w:rsidR="00273E96" w:rsidRPr="00243F85" w:rsidRDefault="00273E96" w:rsidP="005A785B">
            <w:pPr>
              <w:jc w:val="center"/>
              <w:rPr>
                <w:rFonts w:ascii="Arial" w:hAnsi="Arial" w:cs="Arial"/>
                <w:b/>
                <w:bCs/>
                <w:sz w:val="20"/>
                <w:szCs w:val="20"/>
              </w:rPr>
            </w:pPr>
            <w:bookmarkStart w:id="1" w:name="_Hlk204349869"/>
            <w:r w:rsidRPr="00243F85">
              <w:rPr>
                <w:rFonts w:ascii="Arial" w:hAnsi="Arial" w:cs="Arial"/>
                <w:b/>
                <w:bCs/>
                <w:sz w:val="20"/>
                <w:szCs w:val="20"/>
              </w:rPr>
              <w:t>Figure 1: Process flowsheet for fruit tea</w:t>
            </w:r>
          </w:p>
          <w:p w14:paraId="38DC0AD0" w14:textId="5D580562" w:rsidR="00D86B44" w:rsidRPr="00243F85" w:rsidRDefault="00D86B44" w:rsidP="005A785B">
            <w:pPr>
              <w:jc w:val="center"/>
              <w:rPr>
                <w:rFonts w:ascii="Arial" w:hAnsi="Arial" w:cs="Arial"/>
                <w:sz w:val="20"/>
                <w:szCs w:val="20"/>
              </w:rPr>
            </w:pPr>
            <w:r w:rsidRPr="00243F85">
              <w:rPr>
                <w:rFonts w:ascii="Arial" w:hAnsi="Arial" w:cs="Arial"/>
                <w:sz w:val="20"/>
                <w:szCs w:val="20"/>
              </w:rPr>
              <w:t>Fruit peel</w:t>
            </w:r>
          </w:p>
          <w:p w14:paraId="6C978DA0"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sym w:font="Wingdings" w:char="F0E2"/>
            </w:r>
          </w:p>
          <w:p w14:paraId="0D211895" w14:textId="75EA1CE7" w:rsidR="00D86B44" w:rsidRPr="00243F85" w:rsidRDefault="00D86B44" w:rsidP="005A785B">
            <w:pPr>
              <w:jc w:val="center"/>
              <w:rPr>
                <w:rFonts w:ascii="Arial" w:hAnsi="Arial" w:cs="Arial"/>
                <w:sz w:val="20"/>
                <w:szCs w:val="20"/>
              </w:rPr>
            </w:pPr>
            <w:r w:rsidRPr="00243F85">
              <w:rPr>
                <w:rFonts w:ascii="Arial" w:hAnsi="Arial" w:cs="Arial"/>
                <w:sz w:val="20"/>
                <w:szCs w:val="20"/>
              </w:rPr>
              <w:t>Sorting</w:t>
            </w:r>
          </w:p>
          <w:p w14:paraId="49B8BD82"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sym w:font="Wingdings" w:char="F0E2"/>
            </w:r>
          </w:p>
          <w:p w14:paraId="4F4AF29A"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t>Washing and cleaning</w:t>
            </w:r>
          </w:p>
          <w:p w14:paraId="0949D7A3"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sym w:font="Wingdings" w:char="F0E2"/>
            </w:r>
          </w:p>
          <w:p w14:paraId="70E24BF3"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t>Cutting</w:t>
            </w:r>
          </w:p>
          <w:p w14:paraId="010194F9" w14:textId="07EA7A26" w:rsidR="00904DA0" w:rsidRPr="00243F85" w:rsidRDefault="00904DA0" w:rsidP="005A785B">
            <w:pPr>
              <w:jc w:val="center"/>
              <w:rPr>
                <w:rFonts w:ascii="Arial" w:hAnsi="Arial" w:cs="Arial"/>
                <w:sz w:val="20"/>
                <w:szCs w:val="20"/>
              </w:rPr>
            </w:pPr>
            <w:r w:rsidRPr="00243F85">
              <w:rPr>
                <w:rFonts w:ascii="Arial" w:hAnsi="Arial" w:cs="Arial"/>
                <w:sz w:val="20"/>
                <w:szCs w:val="20"/>
              </w:rPr>
              <w:t>(1×1cm</w:t>
            </w:r>
            <w:r w:rsidR="00A37EEE" w:rsidRPr="00243F85">
              <w:rPr>
                <w:rFonts w:ascii="Arial" w:hAnsi="Arial" w:cs="Arial"/>
                <w:sz w:val="20"/>
                <w:szCs w:val="20"/>
              </w:rPr>
              <w:t>)</w:t>
            </w:r>
          </w:p>
          <w:p w14:paraId="34888AE9"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sym w:font="Wingdings" w:char="F0E2"/>
            </w:r>
          </w:p>
          <w:p w14:paraId="7545DA31"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t>Pretreatment</w:t>
            </w:r>
          </w:p>
          <w:p w14:paraId="64DFCC82" w14:textId="2EE5852F" w:rsidR="00A174BF" w:rsidRPr="00243F85" w:rsidRDefault="00A174BF" w:rsidP="005A785B">
            <w:pPr>
              <w:jc w:val="center"/>
              <w:rPr>
                <w:rFonts w:ascii="Arial" w:hAnsi="Arial" w:cs="Arial"/>
                <w:sz w:val="20"/>
                <w:szCs w:val="20"/>
              </w:rPr>
            </w:pPr>
            <w:r w:rsidRPr="00243F85">
              <w:rPr>
                <w:rFonts w:ascii="Arial" w:hAnsi="Arial" w:cs="Arial"/>
                <w:sz w:val="20"/>
                <w:szCs w:val="20"/>
              </w:rPr>
              <w:t>(</w:t>
            </w:r>
            <w:r w:rsidR="00BD411E" w:rsidRPr="00243F85">
              <w:rPr>
                <w:rFonts w:ascii="Arial" w:hAnsi="Arial" w:cs="Arial"/>
                <w:sz w:val="20"/>
                <w:szCs w:val="20"/>
              </w:rPr>
              <w:t>3%</w:t>
            </w:r>
            <w:r w:rsidRPr="00243F85">
              <w:rPr>
                <w:rFonts w:ascii="Arial" w:hAnsi="Arial" w:cs="Arial"/>
                <w:sz w:val="20"/>
                <w:szCs w:val="20"/>
              </w:rPr>
              <w:t xml:space="preserve">Citric acid dip at </w:t>
            </w:r>
            <w:r w:rsidR="00BD411E" w:rsidRPr="00243F85">
              <w:rPr>
                <w:rFonts w:ascii="Arial" w:hAnsi="Arial" w:cs="Arial"/>
                <w:sz w:val="20"/>
                <w:szCs w:val="20"/>
              </w:rPr>
              <w:t>25</w:t>
            </w:r>
            <w:r w:rsidRPr="00243F85">
              <w:rPr>
                <w:rFonts w:ascii="Arial" w:hAnsi="Arial" w:cs="Arial"/>
                <w:sz w:val="20"/>
                <w:szCs w:val="20"/>
              </w:rPr>
              <w:t>°C for 3–5 min)</w:t>
            </w:r>
          </w:p>
          <w:p w14:paraId="13D089EE"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sym w:font="Wingdings" w:char="F0E2"/>
            </w:r>
          </w:p>
          <w:p w14:paraId="42483A51"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t>Drying</w:t>
            </w:r>
          </w:p>
          <w:p w14:paraId="39B21D8C" w14:textId="5C23AAE2" w:rsidR="005F6681" w:rsidRPr="00243F85" w:rsidRDefault="005F6681" w:rsidP="005A785B">
            <w:pPr>
              <w:jc w:val="center"/>
              <w:rPr>
                <w:rFonts w:ascii="Arial" w:hAnsi="Arial" w:cs="Arial"/>
                <w:sz w:val="20"/>
                <w:szCs w:val="20"/>
              </w:rPr>
            </w:pPr>
            <w:r w:rsidRPr="00243F85">
              <w:rPr>
                <w:rFonts w:ascii="Arial" w:hAnsi="Arial" w:cs="Arial"/>
                <w:sz w:val="20"/>
                <w:szCs w:val="20"/>
              </w:rPr>
              <w:t xml:space="preserve">(Vacuum drying </w:t>
            </w:r>
            <w:r w:rsidR="0043721D" w:rsidRPr="00243F85">
              <w:rPr>
                <w:rFonts w:ascii="Arial" w:hAnsi="Arial" w:cs="Arial"/>
                <w:sz w:val="20"/>
                <w:szCs w:val="20"/>
              </w:rPr>
              <w:t xml:space="preserve">45°C </w:t>
            </w:r>
            <w:r w:rsidR="008738CF" w:rsidRPr="00243F85">
              <w:rPr>
                <w:rFonts w:ascii="Arial" w:hAnsi="Arial" w:cs="Arial"/>
                <w:sz w:val="20"/>
                <w:szCs w:val="20"/>
              </w:rPr>
              <w:t>4-5 Hr)</w:t>
            </w:r>
          </w:p>
          <w:p w14:paraId="67F1FA82"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sym w:font="Wingdings" w:char="F0E2"/>
            </w:r>
          </w:p>
          <w:p w14:paraId="49243933"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t>Size reduction</w:t>
            </w:r>
          </w:p>
          <w:p w14:paraId="21937C14" w14:textId="37657EBB" w:rsidR="0026088B" w:rsidRPr="00243F85" w:rsidRDefault="0026088B" w:rsidP="005A785B">
            <w:pPr>
              <w:jc w:val="center"/>
              <w:rPr>
                <w:rFonts w:ascii="Arial" w:hAnsi="Arial" w:cs="Arial"/>
                <w:sz w:val="20"/>
                <w:szCs w:val="20"/>
              </w:rPr>
            </w:pPr>
            <w:r w:rsidRPr="00243F85">
              <w:rPr>
                <w:rFonts w:ascii="Arial" w:hAnsi="Arial" w:cs="Arial"/>
                <w:sz w:val="20"/>
                <w:szCs w:val="20"/>
              </w:rPr>
              <w:t>(500–850 μm)</w:t>
            </w:r>
          </w:p>
          <w:p w14:paraId="0DB3298E" w14:textId="77777777" w:rsidR="00D86B44" w:rsidRPr="00243F85" w:rsidRDefault="00D86B44" w:rsidP="005A785B">
            <w:pPr>
              <w:jc w:val="center"/>
              <w:rPr>
                <w:rFonts w:ascii="Arial" w:hAnsi="Arial" w:cs="Arial"/>
                <w:sz w:val="20"/>
                <w:szCs w:val="20"/>
              </w:rPr>
            </w:pPr>
            <w:r w:rsidRPr="00243F85">
              <w:rPr>
                <w:rFonts w:ascii="Arial" w:hAnsi="Arial" w:cs="Arial"/>
                <w:sz w:val="20"/>
                <w:szCs w:val="20"/>
              </w:rPr>
              <w:sym w:font="Wingdings" w:char="F0E2"/>
            </w:r>
          </w:p>
          <w:p w14:paraId="34E5B357" w14:textId="6899D197" w:rsidR="00D86B44" w:rsidRPr="00243F85" w:rsidRDefault="00D86B44" w:rsidP="005A785B">
            <w:pPr>
              <w:jc w:val="center"/>
              <w:rPr>
                <w:rFonts w:ascii="Arial" w:hAnsi="Arial" w:cs="Arial"/>
                <w:sz w:val="20"/>
                <w:szCs w:val="20"/>
              </w:rPr>
            </w:pPr>
            <w:r w:rsidRPr="00243F85">
              <w:rPr>
                <w:rFonts w:ascii="Arial" w:hAnsi="Arial" w:cs="Arial"/>
                <w:sz w:val="20"/>
                <w:szCs w:val="20"/>
              </w:rPr>
              <w:t>Packing</w:t>
            </w:r>
          </w:p>
        </w:tc>
      </w:tr>
      <w:bookmarkEnd w:id="1"/>
    </w:tbl>
    <w:p w14:paraId="5CED3474" w14:textId="77777777" w:rsidR="006D5F40" w:rsidRPr="00243F85" w:rsidRDefault="006D5F40" w:rsidP="005A785B">
      <w:pPr>
        <w:jc w:val="both"/>
        <w:rPr>
          <w:rFonts w:ascii="Arial" w:hAnsi="Arial" w:cs="Arial"/>
          <w:b/>
          <w:bCs/>
          <w:sz w:val="20"/>
          <w:szCs w:val="20"/>
        </w:rPr>
      </w:pPr>
    </w:p>
    <w:p w14:paraId="633866E8" w14:textId="77777777" w:rsidR="0036677F" w:rsidRPr="00243F85" w:rsidRDefault="0036677F" w:rsidP="0036677F">
      <w:pPr>
        <w:jc w:val="center"/>
        <w:rPr>
          <w:rFonts w:ascii="Arial" w:hAnsi="Arial" w:cs="Arial"/>
          <w:b/>
          <w:bCs/>
          <w:sz w:val="20"/>
          <w:szCs w:val="20"/>
        </w:rPr>
      </w:pPr>
      <w:r w:rsidRPr="00243F85">
        <w:rPr>
          <w:rFonts w:ascii="Arial" w:hAnsi="Arial" w:cs="Arial"/>
          <w:b/>
          <w:bCs/>
          <w:sz w:val="20"/>
          <w:szCs w:val="20"/>
        </w:rPr>
        <w:t>Figure 2: Pictorial flowsheet for fruit tea</w:t>
      </w:r>
    </w:p>
    <w:p w14:paraId="72708F5A" w14:textId="35CDEF88" w:rsidR="0036677F" w:rsidRPr="00243F85" w:rsidRDefault="0036677F" w:rsidP="0036677F">
      <w:pPr>
        <w:jc w:val="center"/>
        <w:rPr>
          <w:rFonts w:ascii="Arial" w:hAnsi="Arial" w:cs="Arial"/>
          <w:b/>
          <w:bCs/>
          <w:sz w:val="20"/>
          <w:szCs w:val="20"/>
        </w:rPr>
      </w:pPr>
      <w:r w:rsidRPr="00243F85">
        <w:rPr>
          <w:rFonts w:ascii="Arial" w:hAnsi="Arial" w:cs="Arial"/>
          <w:b/>
          <w:bCs/>
          <w:noProof/>
          <w:sz w:val="20"/>
          <w:szCs w:val="20"/>
          <w:lang w:val="en-US" w:bidi="ar-SA"/>
        </w:rPr>
        <w:drawing>
          <wp:inline distT="0" distB="0" distL="0" distR="0" wp14:anchorId="386B0614" wp14:editId="3C7D7031">
            <wp:extent cx="5724000" cy="2159570"/>
            <wp:effectExtent l="0" t="0" r="0" b="0"/>
            <wp:docPr id="12220154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15498"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4000" cy="2159570"/>
                    </a:xfrm>
                    <a:prstGeom prst="rect">
                      <a:avLst/>
                    </a:prstGeom>
                  </pic:spPr>
                </pic:pic>
              </a:graphicData>
            </a:graphic>
          </wp:inline>
        </w:drawing>
      </w:r>
    </w:p>
    <w:p w14:paraId="61B93D43" w14:textId="63E4B195" w:rsidR="004F187C" w:rsidRPr="00243F85" w:rsidRDefault="005A785B" w:rsidP="005A785B">
      <w:pPr>
        <w:jc w:val="both"/>
        <w:rPr>
          <w:rFonts w:ascii="Arial" w:hAnsi="Arial" w:cs="Arial"/>
          <w:b/>
          <w:bCs/>
          <w:sz w:val="20"/>
          <w:szCs w:val="20"/>
        </w:rPr>
      </w:pPr>
      <w:r w:rsidRPr="00243F85">
        <w:rPr>
          <w:rFonts w:ascii="Arial" w:hAnsi="Arial" w:cs="Arial"/>
          <w:b/>
          <w:bCs/>
          <w:sz w:val="20"/>
          <w:szCs w:val="20"/>
        </w:rPr>
        <w:t xml:space="preserve">2.3 </w:t>
      </w:r>
      <w:bookmarkStart w:id="2" w:name="_Hlk204349902"/>
      <w:r w:rsidR="003767B5" w:rsidRPr="003767B5">
        <w:rPr>
          <w:rFonts w:ascii="Arial" w:hAnsi="Arial" w:cs="Arial"/>
          <w:b/>
          <w:bCs/>
          <w:sz w:val="20"/>
          <w:szCs w:val="20"/>
          <w:u w:val="single"/>
        </w:rPr>
        <w:t>Formulation of fruit peel tea (2 g total)</w:t>
      </w:r>
    </w:p>
    <w:bookmarkEnd w:id="2"/>
    <w:p w14:paraId="1A700DB5" w14:textId="0A8E34A1" w:rsidR="004F187C" w:rsidRPr="00243F85" w:rsidRDefault="004F187C" w:rsidP="005A785B">
      <w:pPr>
        <w:jc w:val="both"/>
        <w:rPr>
          <w:rFonts w:ascii="Arial" w:hAnsi="Arial" w:cs="Arial"/>
          <w:sz w:val="20"/>
          <w:szCs w:val="20"/>
        </w:rPr>
      </w:pPr>
      <w:r w:rsidRPr="00243F85">
        <w:rPr>
          <w:rFonts w:ascii="Arial" w:hAnsi="Arial" w:cs="Arial"/>
          <w:sz w:val="20"/>
          <w:szCs w:val="20"/>
        </w:rPr>
        <w:t xml:space="preserve">Five fruit peel tea formulations (S1–S5) were </w:t>
      </w:r>
      <w:r w:rsidR="009514E5" w:rsidRPr="00243F85">
        <w:rPr>
          <w:rFonts w:ascii="Arial" w:hAnsi="Arial" w:cs="Arial"/>
          <w:sz w:val="20"/>
          <w:szCs w:val="20"/>
        </w:rPr>
        <w:t>formulated</w:t>
      </w:r>
      <w:r w:rsidRPr="00243F85">
        <w:rPr>
          <w:rFonts w:ascii="Arial" w:hAnsi="Arial" w:cs="Arial"/>
          <w:sz w:val="20"/>
          <w:szCs w:val="20"/>
        </w:rPr>
        <w:t xml:space="preserve"> by varying the composition of orange, lemon, amla, grape, and karonda peels within a fixed 2 g sample. </w:t>
      </w:r>
      <w:r w:rsidR="009514E5" w:rsidRPr="00243F85">
        <w:rPr>
          <w:rFonts w:ascii="Arial" w:hAnsi="Arial" w:cs="Arial"/>
          <w:sz w:val="20"/>
          <w:szCs w:val="20"/>
        </w:rPr>
        <w:t>by</w:t>
      </w:r>
      <w:r w:rsidRPr="00243F85">
        <w:rPr>
          <w:rFonts w:ascii="Arial" w:hAnsi="Arial" w:cs="Arial"/>
          <w:sz w:val="20"/>
          <w:szCs w:val="20"/>
        </w:rPr>
        <w:t xml:space="preserve"> assess</w:t>
      </w:r>
      <w:r w:rsidR="009514E5" w:rsidRPr="00243F85">
        <w:rPr>
          <w:rFonts w:ascii="Arial" w:hAnsi="Arial" w:cs="Arial"/>
          <w:sz w:val="20"/>
          <w:szCs w:val="20"/>
        </w:rPr>
        <w:t>ing</w:t>
      </w:r>
      <w:r w:rsidRPr="00243F85">
        <w:rPr>
          <w:rFonts w:ascii="Arial" w:hAnsi="Arial" w:cs="Arial"/>
          <w:sz w:val="20"/>
          <w:szCs w:val="20"/>
        </w:rPr>
        <w:t xml:space="preserve"> the impact of peel composition on sensory attributes and functional properties.</w:t>
      </w:r>
    </w:p>
    <w:p w14:paraId="17979A62" w14:textId="3E8B8E22" w:rsidR="008B400E" w:rsidRPr="00BB5917" w:rsidRDefault="008B400E" w:rsidP="008B400E">
      <w:pPr>
        <w:jc w:val="center"/>
        <w:rPr>
          <w:rFonts w:ascii="Arial" w:hAnsi="Arial" w:cs="Arial"/>
          <w:b/>
          <w:bCs/>
          <w:sz w:val="20"/>
          <w:szCs w:val="20"/>
        </w:rPr>
      </w:pPr>
      <w:r w:rsidRPr="00243F85">
        <w:rPr>
          <w:rFonts w:ascii="Arial" w:hAnsi="Arial" w:cs="Arial"/>
          <w:b/>
          <w:bCs/>
          <w:sz w:val="20"/>
          <w:szCs w:val="20"/>
        </w:rPr>
        <w:t>Table 1: Formulation of fruit tea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917"/>
        <w:gridCol w:w="872"/>
        <w:gridCol w:w="706"/>
        <w:gridCol w:w="795"/>
        <w:gridCol w:w="1028"/>
      </w:tblGrid>
      <w:tr w:rsidR="004F187C" w:rsidRPr="00243F85" w14:paraId="00A99EEC" w14:textId="77777777" w:rsidTr="004F187C">
        <w:trPr>
          <w:jc w:val="center"/>
        </w:trPr>
        <w:tc>
          <w:tcPr>
            <w:tcW w:w="0" w:type="auto"/>
            <w:vMerge w:val="restart"/>
            <w:vAlign w:val="center"/>
          </w:tcPr>
          <w:p w14:paraId="57CA8E7A" w14:textId="77777777" w:rsidR="004F187C" w:rsidRPr="00243F85" w:rsidRDefault="004F187C" w:rsidP="005A785B">
            <w:pPr>
              <w:spacing w:line="278" w:lineRule="auto"/>
              <w:jc w:val="both"/>
              <w:rPr>
                <w:rFonts w:ascii="Arial" w:hAnsi="Arial" w:cs="Arial"/>
                <w:b/>
                <w:bCs/>
                <w:sz w:val="20"/>
                <w:szCs w:val="20"/>
              </w:rPr>
            </w:pPr>
            <w:bookmarkStart w:id="3" w:name="_Hlk204349909"/>
            <w:r w:rsidRPr="00BB5917">
              <w:rPr>
                <w:rFonts w:ascii="Arial" w:hAnsi="Arial" w:cs="Arial"/>
                <w:b/>
                <w:bCs/>
                <w:sz w:val="20"/>
                <w:szCs w:val="20"/>
              </w:rPr>
              <w:t>Sample Code</w:t>
            </w:r>
          </w:p>
        </w:tc>
        <w:tc>
          <w:tcPr>
            <w:tcW w:w="0" w:type="auto"/>
            <w:gridSpan w:val="5"/>
            <w:tcBorders>
              <w:bottom w:val="single" w:sz="4" w:space="0" w:color="auto"/>
            </w:tcBorders>
            <w:vAlign w:val="center"/>
          </w:tcPr>
          <w:p w14:paraId="10C8C13B" w14:textId="6DEF4B26" w:rsidR="004F187C" w:rsidRPr="00243F85" w:rsidRDefault="004F187C" w:rsidP="005A785B">
            <w:pPr>
              <w:jc w:val="both"/>
              <w:rPr>
                <w:rFonts w:ascii="Arial" w:hAnsi="Arial" w:cs="Arial"/>
                <w:b/>
                <w:bCs/>
                <w:sz w:val="20"/>
                <w:szCs w:val="20"/>
              </w:rPr>
            </w:pPr>
            <w:r w:rsidRPr="00243F85">
              <w:rPr>
                <w:rFonts w:ascii="Arial" w:hAnsi="Arial" w:cs="Arial"/>
                <w:b/>
                <w:bCs/>
                <w:sz w:val="20"/>
                <w:szCs w:val="20"/>
              </w:rPr>
              <w:t xml:space="preserve">Level (in </w:t>
            </w:r>
            <w:r w:rsidR="00B87E18" w:rsidRPr="00243F85">
              <w:rPr>
                <w:rFonts w:ascii="Arial" w:hAnsi="Arial" w:cs="Arial"/>
                <w:b/>
                <w:bCs/>
                <w:sz w:val="20"/>
                <w:szCs w:val="20"/>
              </w:rPr>
              <w:t>grams</w:t>
            </w:r>
            <w:r w:rsidRPr="00243F85">
              <w:rPr>
                <w:rFonts w:ascii="Arial" w:hAnsi="Arial" w:cs="Arial"/>
                <w:b/>
                <w:bCs/>
                <w:sz w:val="20"/>
                <w:szCs w:val="20"/>
              </w:rPr>
              <w:t>)</w:t>
            </w:r>
          </w:p>
        </w:tc>
      </w:tr>
      <w:tr w:rsidR="004F187C" w:rsidRPr="00243F85" w14:paraId="2AE1BA7E" w14:textId="77777777" w:rsidTr="004F187C">
        <w:trPr>
          <w:jc w:val="center"/>
        </w:trPr>
        <w:tc>
          <w:tcPr>
            <w:tcW w:w="0" w:type="auto"/>
            <w:vMerge/>
            <w:tcBorders>
              <w:bottom w:val="single" w:sz="4" w:space="0" w:color="auto"/>
            </w:tcBorders>
            <w:vAlign w:val="center"/>
            <w:hideMark/>
          </w:tcPr>
          <w:p w14:paraId="064276D7" w14:textId="77777777" w:rsidR="004F187C" w:rsidRPr="00BB5917" w:rsidRDefault="004F187C" w:rsidP="005A785B">
            <w:pPr>
              <w:spacing w:line="278" w:lineRule="auto"/>
              <w:jc w:val="both"/>
              <w:rPr>
                <w:rFonts w:ascii="Arial" w:hAnsi="Arial" w:cs="Arial"/>
                <w:b/>
                <w:bCs/>
                <w:sz w:val="20"/>
                <w:szCs w:val="20"/>
              </w:rPr>
            </w:pPr>
          </w:p>
        </w:tc>
        <w:tc>
          <w:tcPr>
            <w:tcW w:w="0" w:type="auto"/>
            <w:tcBorders>
              <w:top w:val="single" w:sz="4" w:space="0" w:color="auto"/>
              <w:bottom w:val="single" w:sz="4" w:space="0" w:color="auto"/>
            </w:tcBorders>
            <w:vAlign w:val="center"/>
            <w:hideMark/>
          </w:tcPr>
          <w:p w14:paraId="3ED5C4F0" w14:textId="77777777" w:rsidR="004F187C" w:rsidRPr="00BB5917" w:rsidRDefault="004F187C" w:rsidP="005A785B">
            <w:pPr>
              <w:spacing w:line="278" w:lineRule="auto"/>
              <w:jc w:val="both"/>
              <w:rPr>
                <w:rFonts w:ascii="Arial" w:hAnsi="Arial" w:cs="Arial"/>
                <w:b/>
                <w:bCs/>
                <w:sz w:val="20"/>
                <w:szCs w:val="20"/>
              </w:rPr>
            </w:pPr>
            <w:r w:rsidRPr="00BB5917">
              <w:rPr>
                <w:rFonts w:ascii="Arial" w:hAnsi="Arial" w:cs="Arial"/>
                <w:b/>
                <w:bCs/>
                <w:sz w:val="20"/>
                <w:szCs w:val="20"/>
              </w:rPr>
              <w:t>Orange</w:t>
            </w:r>
          </w:p>
        </w:tc>
        <w:tc>
          <w:tcPr>
            <w:tcW w:w="0" w:type="auto"/>
            <w:tcBorders>
              <w:top w:val="single" w:sz="4" w:space="0" w:color="auto"/>
              <w:bottom w:val="single" w:sz="4" w:space="0" w:color="auto"/>
            </w:tcBorders>
            <w:vAlign w:val="center"/>
            <w:hideMark/>
          </w:tcPr>
          <w:p w14:paraId="29F0FE51" w14:textId="77777777" w:rsidR="004F187C" w:rsidRPr="00BB5917" w:rsidRDefault="004F187C" w:rsidP="005A785B">
            <w:pPr>
              <w:spacing w:line="278" w:lineRule="auto"/>
              <w:jc w:val="both"/>
              <w:rPr>
                <w:rFonts w:ascii="Arial" w:hAnsi="Arial" w:cs="Arial"/>
                <w:b/>
                <w:bCs/>
                <w:sz w:val="20"/>
                <w:szCs w:val="20"/>
              </w:rPr>
            </w:pPr>
            <w:r w:rsidRPr="00BB5917">
              <w:rPr>
                <w:rFonts w:ascii="Arial" w:hAnsi="Arial" w:cs="Arial"/>
                <w:b/>
                <w:bCs/>
                <w:sz w:val="20"/>
                <w:szCs w:val="20"/>
              </w:rPr>
              <w:t>Lemon</w:t>
            </w:r>
          </w:p>
        </w:tc>
        <w:tc>
          <w:tcPr>
            <w:tcW w:w="0" w:type="auto"/>
            <w:tcBorders>
              <w:top w:val="single" w:sz="4" w:space="0" w:color="auto"/>
              <w:bottom w:val="single" w:sz="4" w:space="0" w:color="auto"/>
            </w:tcBorders>
            <w:vAlign w:val="center"/>
            <w:hideMark/>
          </w:tcPr>
          <w:p w14:paraId="1D593CD3" w14:textId="77777777" w:rsidR="004F187C" w:rsidRPr="00BB5917" w:rsidRDefault="004F187C" w:rsidP="005A785B">
            <w:pPr>
              <w:spacing w:line="278" w:lineRule="auto"/>
              <w:jc w:val="both"/>
              <w:rPr>
                <w:rFonts w:ascii="Arial" w:hAnsi="Arial" w:cs="Arial"/>
                <w:b/>
                <w:bCs/>
                <w:sz w:val="20"/>
                <w:szCs w:val="20"/>
              </w:rPr>
            </w:pPr>
            <w:r w:rsidRPr="00BB5917">
              <w:rPr>
                <w:rFonts w:ascii="Arial" w:hAnsi="Arial" w:cs="Arial"/>
                <w:b/>
                <w:bCs/>
                <w:sz w:val="20"/>
                <w:szCs w:val="20"/>
              </w:rPr>
              <w:t>Amla</w:t>
            </w:r>
          </w:p>
        </w:tc>
        <w:tc>
          <w:tcPr>
            <w:tcW w:w="0" w:type="auto"/>
            <w:tcBorders>
              <w:top w:val="single" w:sz="4" w:space="0" w:color="auto"/>
              <w:bottom w:val="single" w:sz="4" w:space="0" w:color="auto"/>
            </w:tcBorders>
            <w:vAlign w:val="center"/>
            <w:hideMark/>
          </w:tcPr>
          <w:p w14:paraId="037F2480" w14:textId="77777777" w:rsidR="004F187C" w:rsidRPr="00BB5917" w:rsidRDefault="004F187C" w:rsidP="005A785B">
            <w:pPr>
              <w:spacing w:line="278" w:lineRule="auto"/>
              <w:jc w:val="both"/>
              <w:rPr>
                <w:rFonts w:ascii="Arial" w:hAnsi="Arial" w:cs="Arial"/>
                <w:b/>
                <w:bCs/>
                <w:sz w:val="20"/>
                <w:szCs w:val="20"/>
              </w:rPr>
            </w:pPr>
            <w:r w:rsidRPr="00BB5917">
              <w:rPr>
                <w:rFonts w:ascii="Arial" w:hAnsi="Arial" w:cs="Arial"/>
                <w:b/>
                <w:bCs/>
                <w:sz w:val="20"/>
                <w:szCs w:val="20"/>
              </w:rPr>
              <w:t>Grape</w:t>
            </w:r>
          </w:p>
        </w:tc>
        <w:tc>
          <w:tcPr>
            <w:tcW w:w="0" w:type="auto"/>
            <w:tcBorders>
              <w:top w:val="single" w:sz="4" w:space="0" w:color="auto"/>
              <w:bottom w:val="single" w:sz="4" w:space="0" w:color="auto"/>
            </w:tcBorders>
            <w:vAlign w:val="center"/>
            <w:hideMark/>
          </w:tcPr>
          <w:p w14:paraId="3FA7FEAB" w14:textId="77777777" w:rsidR="004F187C" w:rsidRPr="00BB5917" w:rsidRDefault="004F187C" w:rsidP="005A785B">
            <w:pPr>
              <w:spacing w:line="278" w:lineRule="auto"/>
              <w:jc w:val="both"/>
              <w:rPr>
                <w:rFonts w:ascii="Arial" w:hAnsi="Arial" w:cs="Arial"/>
                <w:b/>
                <w:bCs/>
                <w:sz w:val="20"/>
                <w:szCs w:val="20"/>
              </w:rPr>
            </w:pPr>
            <w:r w:rsidRPr="00BB5917">
              <w:rPr>
                <w:rFonts w:ascii="Arial" w:hAnsi="Arial" w:cs="Arial"/>
                <w:b/>
                <w:bCs/>
                <w:sz w:val="20"/>
                <w:szCs w:val="20"/>
              </w:rPr>
              <w:t xml:space="preserve">Karonda </w:t>
            </w:r>
          </w:p>
        </w:tc>
      </w:tr>
      <w:tr w:rsidR="004F187C" w:rsidRPr="00243F85" w14:paraId="02398734" w14:textId="77777777" w:rsidTr="004F187C">
        <w:trPr>
          <w:jc w:val="center"/>
        </w:trPr>
        <w:tc>
          <w:tcPr>
            <w:tcW w:w="0" w:type="auto"/>
            <w:tcBorders>
              <w:top w:val="single" w:sz="4" w:space="0" w:color="auto"/>
              <w:bottom w:val="nil"/>
            </w:tcBorders>
            <w:vAlign w:val="center"/>
            <w:hideMark/>
          </w:tcPr>
          <w:p w14:paraId="30BC3B7B"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S1</w:t>
            </w:r>
          </w:p>
        </w:tc>
        <w:tc>
          <w:tcPr>
            <w:tcW w:w="0" w:type="auto"/>
            <w:tcBorders>
              <w:top w:val="single" w:sz="4" w:space="0" w:color="auto"/>
              <w:bottom w:val="nil"/>
            </w:tcBorders>
            <w:vAlign w:val="center"/>
            <w:hideMark/>
          </w:tcPr>
          <w:p w14:paraId="4042B101"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0.40 </w:t>
            </w:r>
          </w:p>
        </w:tc>
        <w:tc>
          <w:tcPr>
            <w:tcW w:w="0" w:type="auto"/>
            <w:tcBorders>
              <w:top w:val="single" w:sz="4" w:space="0" w:color="auto"/>
              <w:bottom w:val="nil"/>
            </w:tcBorders>
            <w:vAlign w:val="center"/>
            <w:hideMark/>
          </w:tcPr>
          <w:p w14:paraId="598D4C9A"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0.40 </w:t>
            </w:r>
          </w:p>
        </w:tc>
        <w:tc>
          <w:tcPr>
            <w:tcW w:w="0" w:type="auto"/>
            <w:tcBorders>
              <w:top w:val="single" w:sz="4" w:space="0" w:color="auto"/>
              <w:bottom w:val="nil"/>
            </w:tcBorders>
            <w:vAlign w:val="center"/>
            <w:hideMark/>
          </w:tcPr>
          <w:p w14:paraId="1CC09699"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0.40 </w:t>
            </w:r>
          </w:p>
        </w:tc>
        <w:tc>
          <w:tcPr>
            <w:tcW w:w="0" w:type="auto"/>
            <w:tcBorders>
              <w:top w:val="single" w:sz="4" w:space="0" w:color="auto"/>
              <w:bottom w:val="nil"/>
            </w:tcBorders>
            <w:vAlign w:val="center"/>
            <w:hideMark/>
          </w:tcPr>
          <w:p w14:paraId="235E3F94"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0.40 </w:t>
            </w:r>
          </w:p>
        </w:tc>
        <w:tc>
          <w:tcPr>
            <w:tcW w:w="0" w:type="auto"/>
            <w:tcBorders>
              <w:top w:val="single" w:sz="4" w:space="0" w:color="auto"/>
              <w:bottom w:val="nil"/>
            </w:tcBorders>
            <w:vAlign w:val="center"/>
            <w:hideMark/>
          </w:tcPr>
          <w:p w14:paraId="71B9DBFE"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0.40</w:t>
            </w:r>
          </w:p>
        </w:tc>
      </w:tr>
      <w:tr w:rsidR="004F187C" w:rsidRPr="00243F85" w14:paraId="0FEE3B57" w14:textId="77777777" w:rsidTr="004F187C">
        <w:trPr>
          <w:jc w:val="center"/>
        </w:trPr>
        <w:tc>
          <w:tcPr>
            <w:tcW w:w="0" w:type="auto"/>
            <w:tcBorders>
              <w:top w:val="nil"/>
            </w:tcBorders>
            <w:vAlign w:val="center"/>
            <w:hideMark/>
          </w:tcPr>
          <w:p w14:paraId="740486F7"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lastRenderedPageBreak/>
              <w:t>S2</w:t>
            </w:r>
          </w:p>
        </w:tc>
        <w:tc>
          <w:tcPr>
            <w:tcW w:w="0" w:type="auto"/>
            <w:tcBorders>
              <w:top w:val="nil"/>
            </w:tcBorders>
            <w:vAlign w:val="center"/>
            <w:hideMark/>
          </w:tcPr>
          <w:p w14:paraId="6CBAB0F5"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0.20 </w:t>
            </w:r>
          </w:p>
        </w:tc>
        <w:tc>
          <w:tcPr>
            <w:tcW w:w="0" w:type="auto"/>
            <w:tcBorders>
              <w:top w:val="nil"/>
            </w:tcBorders>
            <w:vAlign w:val="center"/>
            <w:hideMark/>
          </w:tcPr>
          <w:p w14:paraId="5123A841"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0.60</w:t>
            </w:r>
          </w:p>
        </w:tc>
        <w:tc>
          <w:tcPr>
            <w:tcW w:w="0" w:type="auto"/>
            <w:tcBorders>
              <w:top w:val="nil"/>
            </w:tcBorders>
            <w:vAlign w:val="center"/>
            <w:hideMark/>
          </w:tcPr>
          <w:p w14:paraId="5FFAAC30"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0.60 </w:t>
            </w:r>
          </w:p>
        </w:tc>
        <w:tc>
          <w:tcPr>
            <w:tcW w:w="0" w:type="auto"/>
            <w:tcBorders>
              <w:top w:val="nil"/>
            </w:tcBorders>
            <w:vAlign w:val="center"/>
            <w:hideMark/>
          </w:tcPr>
          <w:p w14:paraId="2EACA0D4"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0.20</w:t>
            </w:r>
          </w:p>
        </w:tc>
        <w:tc>
          <w:tcPr>
            <w:tcW w:w="0" w:type="auto"/>
            <w:tcBorders>
              <w:top w:val="nil"/>
            </w:tcBorders>
            <w:vAlign w:val="center"/>
            <w:hideMark/>
          </w:tcPr>
          <w:p w14:paraId="2FA2B45E"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0.40</w:t>
            </w:r>
          </w:p>
        </w:tc>
      </w:tr>
      <w:tr w:rsidR="00F5169E" w:rsidRPr="00243F85" w14:paraId="40C2E876" w14:textId="77777777" w:rsidTr="004F187C">
        <w:trPr>
          <w:jc w:val="center"/>
        </w:trPr>
        <w:tc>
          <w:tcPr>
            <w:tcW w:w="0" w:type="auto"/>
            <w:vAlign w:val="center"/>
            <w:hideMark/>
          </w:tcPr>
          <w:p w14:paraId="41672D21"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S3</w:t>
            </w:r>
          </w:p>
        </w:tc>
        <w:tc>
          <w:tcPr>
            <w:tcW w:w="0" w:type="auto"/>
            <w:vAlign w:val="center"/>
            <w:hideMark/>
          </w:tcPr>
          <w:p w14:paraId="2E3B317E"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0.60</w:t>
            </w:r>
          </w:p>
        </w:tc>
        <w:tc>
          <w:tcPr>
            <w:tcW w:w="0" w:type="auto"/>
            <w:vAlign w:val="center"/>
            <w:hideMark/>
          </w:tcPr>
          <w:p w14:paraId="2FE674D5"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0.20</w:t>
            </w:r>
          </w:p>
        </w:tc>
        <w:tc>
          <w:tcPr>
            <w:tcW w:w="0" w:type="auto"/>
            <w:vAlign w:val="center"/>
            <w:hideMark/>
          </w:tcPr>
          <w:p w14:paraId="371CE2DA"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0.40</w:t>
            </w:r>
          </w:p>
        </w:tc>
        <w:tc>
          <w:tcPr>
            <w:tcW w:w="0" w:type="auto"/>
            <w:vAlign w:val="center"/>
            <w:hideMark/>
          </w:tcPr>
          <w:p w14:paraId="6A378602"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0.60</w:t>
            </w:r>
          </w:p>
        </w:tc>
        <w:tc>
          <w:tcPr>
            <w:tcW w:w="0" w:type="auto"/>
            <w:vAlign w:val="center"/>
            <w:hideMark/>
          </w:tcPr>
          <w:p w14:paraId="6F1CD922"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0.20</w:t>
            </w:r>
          </w:p>
        </w:tc>
      </w:tr>
      <w:tr w:rsidR="00F5169E" w:rsidRPr="00243F85" w14:paraId="612A2D4F" w14:textId="77777777" w:rsidTr="004F187C">
        <w:trPr>
          <w:jc w:val="center"/>
        </w:trPr>
        <w:tc>
          <w:tcPr>
            <w:tcW w:w="0" w:type="auto"/>
            <w:vAlign w:val="center"/>
            <w:hideMark/>
          </w:tcPr>
          <w:p w14:paraId="105CBB21"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S4</w:t>
            </w:r>
          </w:p>
        </w:tc>
        <w:tc>
          <w:tcPr>
            <w:tcW w:w="0" w:type="auto"/>
            <w:vAlign w:val="center"/>
            <w:hideMark/>
          </w:tcPr>
          <w:p w14:paraId="5083A6AC"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0.30 </w:t>
            </w:r>
          </w:p>
        </w:tc>
        <w:tc>
          <w:tcPr>
            <w:tcW w:w="0" w:type="auto"/>
            <w:vAlign w:val="center"/>
            <w:hideMark/>
          </w:tcPr>
          <w:p w14:paraId="659DEB79"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0.30 </w:t>
            </w:r>
          </w:p>
        </w:tc>
        <w:tc>
          <w:tcPr>
            <w:tcW w:w="0" w:type="auto"/>
            <w:vAlign w:val="center"/>
            <w:hideMark/>
          </w:tcPr>
          <w:p w14:paraId="765F7CBC"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0.80 </w:t>
            </w:r>
          </w:p>
        </w:tc>
        <w:tc>
          <w:tcPr>
            <w:tcW w:w="0" w:type="auto"/>
            <w:vAlign w:val="center"/>
            <w:hideMark/>
          </w:tcPr>
          <w:p w14:paraId="48413B32"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0.20</w:t>
            </w:r>
          </w:p>
        </w:tc>
        <w:tc>
          <w:tcPr>
            <w:tcW w:w="0" w:type="auto"/>
            <w:vAlign w:val="center"/>
            <w:hideMark/>
          </w:tcPr>
          <w:p w14:paraId="0988D398"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0.40 </w:t>
            </w:r>
          </w:p>
        </w:tc>
      </w:tr>
      <w:tr w:rsidR="00F5169E" w:rsidRPr="00243F85" w14:paraId="20489217" w14:textId="77777777" w:rsidTr="004F187C">
        <w:trPr>
          <w:jc w:val="center"/>
        </w:trPr>
        <w:tc>
          <w:tcPr>
            <w:tcW w:w="0" w:type="auto"/>
            <w:vAlign w:val="center"/>
            <w:hideMark/>
          </w:tcPr>
          <w:p w14:paraId="2A19074B"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S5</w:t>
            </w:r>
          </w:p>
        </w:tc>
        <w:tc>
          <w:tcPr>
            <w:tcW w:w="0" w:type="auto"/>
            <w:vAlign w:val="center"/>
            <w:hideMark/>
          </w:tcPr>
          <w:p w14:paraId="1D3988B0"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 0.50</w:t>
            </w:r>
          </w:p>
        </w:tc>
        <w:tc>
          <w:tcPr>
            <w:tcW w:w="0" w:type="auto"/>
            <w:vAlign w:val="center"/>
            <w:hideMark/>
          </w:tcPr>
          <w:p w14:paraId="433D8381"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0.50</w:t>
            </w:r>
          </w:p>
        </w:tc>
        <w:tc>
          <w:tcPr>
            <w:tcW w:w="0" w:type="auto"/>
            <w:vAlign w:val="center"/>
            <w:hideMark/>
          </w:tcPr>
          <w:p w14:paraId="29EAD537"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0.20</w:t>
            </w:r>
          </w:p>
        </w:tc>
        <w:tc>
          <w:tcPr>
            <w:tcW w:w="0" w:type="auto"/>
            <w:vAlign w:val="center"/>
            <w:hideMark/>
          </w:tcPr>
          <w:p w14:paraId="3102614B"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0.40</w:t>
            </w:r>
          </w:p>
        </w:tc>
        <w:tc>
          <w:tcPr>
            <w:tcW w:w="0" w:type="auto"/>
            <w:vAlign w:val="center"/>
            <w:hideMark/>
          </w:tcPr>
          <w:p w14:paraId="435B4A92" w14:textId="77777777" w:rsidR="004F187C" w:rsidRPr="00BB5917" w:rsidRDefault="004F187C" w:rsidP="005A785B">
            <w:pPr>
              <w:spacing w:line="278" w:lineRule="auto"/>
              <w:jc w:val="both"/>
              <w:rPr>
                <w:rFonts w:ascii="Arial" w:hAnsi="Arial" w:cs="Arial"/>
                <w:sz w:val="20"/>
                <w:szCs w:val="20"/>
              </w:rPr>
            </w:pPr>
            <w:r w:rsidRPr="00BB5917">
              <w:rPr>
                <w:rFonts w:ascii="Arial" w:hAnsi="Arial" w:cs="Arial"/>
                <w:sz w:val="20"/>
                <w:szCs w:val="20"/>
              </w:rPr>
              <w:t xml:space="preserve">0.40 </w:t>
            </w:r>
          </w:p>
        </w:tc>
      </w:tr>
      <w:bookmarkEnd w:id="3"/>
    </w:tbl>
    <w:p w14:paraId="3578DFC2" w14:textId="3E148F65" w:rsidR="0036677F" w:rsidRPr="00243F85" w:rsidRDefault="0036677F" w:rsidP="0036677F">
      <w:pPr>
        <w:jc w:val="center"/>
        <w:rPr>
          <w:rFonts w:ascii="Arial" w:hAnsi="Arial" w:cs="Arial"/>
          <w:b/>
          <w:bCs/>
          <w:sz w:val="20"/>
          <w:szCs w:val="20"/>
        </w:rPr>
      </w:pPr>
    </w:p>
    <w:p w14:paraId="3C5CD3DF" w14:textId="0064D3E4" w:rsidR="0058145C" w:rsidRPr="00243F85" w:rsidRDefault="005A785B" w:rsidP="005A785B">
      <w:pPr>
        <w:jc w:val="both"/>
        <w:rPr>
          <w:rFonts w:ascii="Arial" w:hAnsi="Arial" w:cs="Arial"/>
          <w:b/>
          <w:bCs/>
          <w:sz w:val="20"/>
          <w:szCs w:val="20"/>
        </w:rPr>
      </w:pPr>
      <w:r w:rsidRPr="00243F85">
        <w:rPr>
          <w:rFonts w:ascii="Arial" w:hAnsi="Arial" w:cs="Arial"/>
          <w:b/>
          <w:bCs/>
          <w:sz w:val="20"/>
          <w:szCs w:val="20"/>
        </w:rPr>
        <w:t xml:space="preserve">2.4 </w:t>
      </w:r>
      <w:r w:rsidR="0058145C" w:rsidRPr="00243F85">
        <w:rPr>
          <w:rFonts w:ascii="Arial" w:hAnsi="Arial" w:cs="Arial"/>
          <w:b/>
          <w:bCs/>
          <w:sz w:val="20"/>
          <w:szCs w:val="20"/>
        </w:rPr>
        <w:t>Infusion preparation:</w:t>
      </w:r>
    </w:p>
    <w:p w14:paraId="4F72080E" w14:textId="57178606" w:rsidR="00AE2909" w:rsidRPr="00243F85" w:rsidRDefault="00AE2909" w:rsidP="005A785B">
      <w:pPr>
        <w:jc w:val="both"/>
        <w:rPr>
          <w:rFonts w:ascii="Arial" w:hAnsi="Arial" w:cs="Arial"/>
          <w:sz w:val="20"/>
          <w:szCs w:val="20"/>
        </w:rPr>
      </w:pPr>
      <w:r w:rsidRPr="00243F85">
        <w:rPr>
          <w:rFonts w:ascii="Arial" w:hAnsi="Arial" w:cs="Arial"/>
          <w:sz w:val="20"/>
          <w:szCs w:val="20"/>
        </w:rPr>
        <w:t>For infusion preparation, standardized tea bags containing 2 grams of the formulated fruit peel powder were used. Each tea bag was immersed in 220 mL of hot water maintained at a temperature of 90 ± 5°C. The infusion was allowed to steep for 120 ± 15 seconds to ensure optimal extraction of bioactive compounds and flavo</w:t>
      </w:r>
      <w:r w:rsidR="009514E5" w:rsidRPr="00243F85">
        <w:rPr>
          <w:rFonts w:ascii="Arial" w:hAnsi="Arial" w:cs="Arial"/>
          <w:sz w:val="20"/>
          <w:szCs w:val="20"/>
        </w:rPr>
        <w:t>u</w:t>
      </w:r>
      <w:r w:rsidRPr="00243F85">
        <w:rPr>
          <w:rFonts w:ascii="Arial" w:hAnsi="Arial" w:cs="Arial"/>
          <w:sz w:val="20"/>
          <w:szCs w:val="20"/>
        </w:rPr>
        <w:t>r constituents</w:t>
      </w:r>
      <w:r w:rsidR="009514E5" w:rsidRPr="00243F85">
        <w:rPr>
          <w:rFonts w:ascii="Arial" w:hAnsi="Arial" w:cs="Arial"/>
          <w:sz w:val="20"/>
          <w:szCs w:val="20"/>
        </w:rPr>
        <w:t xml:space="preserve"> (Pérez-Burillo et. al., 2018)</w:t>
      </w:r>
      <w:r w:rsidRPr="00243F85">
        <w:rPr>
          <w:rFonts w:ascii="Arial" w:hAnsi="Arial" w:cs="Arial"/>
          <w:sz w:val="20"/>
          <w:szCs w:val="20"/>
        </w:rPr>
        <w:t>. After steeping, the tea bag was removed, and the infusion was allowed to cool slightly before being subjected to further analysis. This preparation method was selected based on preliminary trials to balance sensory quality, antioxidant release, and practical brewing conditions suitable for consumer use.</w:t>
      </w:r>
    </w:p>
    <w:p w14:paraId="6E8D96F7" w14:textId="6E31AACD" w:rsidR="00AE2909" w:rsidRPr="00243F85" w:rsidRDefault="005A785B" w:rsidP="005A785B">
      <w:pPr>
        <w:jc w:val="both"/>
        <w:rPr>
          <w:rFonts w:ascii="Arial" w:hAnsi="Arial" w:cs="Arial"/>
          <w:b/>
          <w:bCs/>
          <w:sz w:val="20"/>
          <w:szCs w:val="20"/>
        </w:rPr>
      </w:pPr>
      <w:r w:rsidRPr="00243F85">
        <w:rPr>
          <w:rFonts w:ascii="Arial" w:hAnsi="Arial" w:cs="Arial"/>
          <w:b/>
          <w:bCs/>
          <w:sz w:val="20"/>
          <w:szCs w:val="20"/>
        </w:rPr>
        <w:t xml:space="preserve">2.5 </w:t>
      </w:r>
      <w:r w:rsidR="002B3F73" w:rsidRPr="00243F85">
        <w:rPr>
          <w:rFonts w:ascii="Arial" w:hAnsi="Arial" w:cs="Arial"/>
          <w:b/>
          <w:bCs/>
          <w:sz w:val="20"/>
          <w:szCs w:val="20"/>
        </w:rPr>
        <w:t>Sensory evaluation:</w:t>
      </w:r>
    </w:p>
    <w:p w14:paraId="373B0570" w14:textId="588F8110" w:rsidR="002B3F73" w:rsidRPr="00243F85" w:rsidRDefault="002B3F73" w:rsidP="005A785B">
      <w:pPr>
        <w:jc w:val="both"/>
        <w:rPr>
          <w:rFonts w:ascii="Arial" w:hAnsi="Arial" w:cs="Arial"/>
          <w:sz w:val="20"/>
          <w:szCs w:val="20"/>
        </w:rPr>
      </w:pPr>
      <w:r w:rsidRPr="00243F85">
        <w:rPr>
          <w:rFonts w:ascii="Arial" w:hAnsi="Arial" w:cs="Arial"/>
          <w:sz w:val="20"/>
          <w:szCs w:val="20"/>
        </w:rPr>
        <w:t>Sensory evaluation was conducted to assess consumer acceptability of five fruit peel tea formulations (S1</w:t>
      </w:r>
      <w:r w:rsidR="005F0143" w:rsidRPr="00243F85">
        <w:rPr>
          <w:rFonts w:ascii="Arial" w:hAnsi="Arial" w:cs="Arial"/>
          <w:sz w:val="20"/>
          <w:szCs w:val="20"/>
        </w:rPr>
        <w:t>-</w:t>
      </w:r>
      <w:r w:rsidRPr="00243F85">
        <w:rPr>
          <w:rFonts w:ascii="Arial" w:hAnsi="Arial" w:cs="Arial"/>
          <w:sz w:val="20"/>
          <w:szCs w:val="20"/>
        </w:rPr>
        <w:t>S5), each containing 2 g of blended peels in varying proportions. A panel of semi-trained evaluators (n</w:t>
      </w:r>
      <w:r w:rsidR="005F0143" w:rsidRPr="00243F85">
        <w:rPr>
          <w:rFonts w:ascii="Arial" w:hAnsi="Arial" w:cs="Arial"/>
          <w:sz w:val="20"/>
          <w:szCs w:val="20"/>
        </w:rPr>
        <w:t>=</w:t>
      </w:r>
      <w:r w:rsidRPr="00243F85">
        <w:rPr>
          <w:rFonts w:ascii="Arial" w:hAnsi="Arial" w:cs="Arial"/>
          <w:sz w:val="20"/>
          <w:szCs w:val="20"/>
        </w:rPr>
        <w:t xml:space="preserve">15) was </w:t>
      </w:r>
      <w:r w:rsidR="005F0143" w:rsidRPr="00243F85">
        <w:rPr>
          <w:rFonts w:ascii="Arial" w:hAnsi="Arial" w:cs="Arial"/>
          <w:sz w:val="20"/>
          <w:szCs w:val="20"/>
        </w:rPr>
        <w:t>done sensory</w:t>
      </w:r>
      <w:r w:rsidRPr="00243F85">
        <w:rPr>
          <w:rFonts w:ascii="Arial" w:hAnsi="Arial" w:cs="Arial"/>
          <w:sz w:val="20"/>
          <w:szCs w:val="20"/>
        </w:rPr>
        <w:t xml:space="preserve"> </w:t>
      </w:r>
      <w:r w:rsidR="005F0143" w:rsidRPr="00243F85">
        <w:rPr>
          <w:rFonts w:ascii="Arial" w:hAnsi="Arial" w:cs="Arial"/>
          <w:sz w:val="20"/>
          <w:szCs w:val="20"/>
        </w:rPr>
        <w:t>and</w:t>
      </w:r>
      <w:r w:rsidRPr="00243F85">
        <w:rPr>
          <w:rFonts w:ascii="Arial" w:hAnsi="Arial" w:cs="Arial"/>
          <w:sz w:val="20"/>
          <w:szCs w:val="20"/>
        </w:rPr>
        <w:t xml:space="preserve"> rate the samples based on four key attributes like colour, aroma, taste and overall acceptability. Each attribute was rated using the 9-point hedonic scale, where 9 Like extremely, 8 Like very much, 7 Like moderately, 6 Like slightly, 5 Neither like nor dislike, 4 Dislike slightly, 3 Dislike moderately, 2 Dislike very much and 1 Dislike extremely. </w:t>
      </w:r>
    </w:p>
    <w:p w14:paraId="217EACB7" w14:textId="6DC7BAC4" w:rsidR="002B3F73" w:rsidRPr="00243F85" w:rsidRDefault="002B3F73" w:rsidP="005A785B">
      <w:pPr>
        <w:jc w:val="both"/>
        <w:rPr>
          <w:rFonts w:ascii="Arial" w:hAnsi="Arial" w:cs="Arial"/>
          <w:sz w:val="20"/>
          <w:szCs w:val="20"/>
        </w:rPr>
      </w:pPr>
      <w:r w:rsidRPr="00243F85">
        <w:rPr>
          <w:rFonts w:ascii="Arial" w:hAnsi="Arial" w:cs="Arial"/>
          <w:sz w:val="20"/>
          <w:szCs w:val="20"/>
        </w:rPr>
        <w:t>Sensory evaluation were subjected to one-way Analysis of Variance (ANOVA) to determine whether significant differences existed among the five formulations (S1</w:t>
      </w:r>
      <w:r w:rsidR="005F0143" w:rsidRPr="00243F85">
        <w:rPr>
          <w:rFonts w:ascii="Arial" w:hAnsi="Arial" w:cs="Arial"/>
          <w:sz w:val="20"/>
          <w:szCs w:val="20"/>
        </w:rPr>
        <w:t>-</w:t>
      </w:r>
      <w:r w:rsidRPr="00243F85">
        <w:rPr>
          <w:rFonts w:ascii="Arial" w:hAnsi="Arial" w:cs="Arial"/>
          <w:sz w:val="20"/>
          <w:szCs w:val="20"/>
        </w:rPr>
        <w:t>S5). The null hypothesis assumed no difference in mean scores across samples for each attribute.</w:t>
      </w:r>
    </w:p>
    <w:p w14:paraId="463A9DB4" w14:textId="03D315DA" w:rsidR="00101BED" w:rsidRPr="00243F85" w:rsidRDefault="005A785B" w:rsidP="005A785B">
      <w:pPr>
        <w:jc w:val="both"/>
        <w:rPr>
          <w:rFonts w:ascii="Arial" w:hAnsi="Arial" w:cs="Arial"/>
          <w:b/>
          <w:bCs/>
          <w:sz w:val="20"/>
          <w:szCs w:val="20"/>
        </w:rPr>
      </w:pPr>
      <w:r w:rsidRPr="00243F85">
        <w:rPr>
          <w:rFonts w:ascii="Arial" w:hAnsi="Arial" w:cs="Arial"/>
          <w:b/>
          <w:bCs/>
          <w:sz w:val="20"/>
          <w:szCs w:val="20"/>
        </w:rPr>
        <w:t xml:space="preserve">2.6 </w:t>
      </w:r>
      <w:r w:rsidR="00101BED" w:rsidRPr="003767B5">
        <w:rPr>
          <w:rFonts w:ascii="Arial" w:hAnsi="Arial" w:cs="Arial"/>
          <w:b/>
          <w:bCs/>
          <w:sz w:val="20"/>
          <w:szCs w:val="20"/>
          <w:u w:val="single"/>
        </w:rPr>
        <w:t>Proximate composition of fruit tea infusion</w:t>
      </w:r>
    </w:p>
    <w:p w14:paraId="3A24139F" w14:textId="247D7DBB" w:rsidR="00101BED" w:rsidRPr="00243F85" w:rsidRDefault="003127F7" w:rsidP="005A785B">
      <w:pPr>
        <w:jc w:val="both"/>
        <w:rPr>
          <w:rFonts w:ascii="Arial" w:hAnsi="Arial" w:cs="Arial"/>
          <w:b/>
          <w:bCs/>
          <w:sz w:val="20"/>
          <w:szCs w:val="20"/>
        </w:rPr>
      </w:pPr>
      <w:r w:rsidRPr="00243F85">
        <w:rPr>
          <w:rFonts w:ascii="Arial" w:hAnsi="Arial" w:cs="Arial"/>
          <w:sz w:val="20"/>
          <w:szCs w:val="20"/>
        </w:rPr>
        <w:t>The proximate composition of the formulated fruit peel tea was analyzed to evaluate its nutritional profile and assess its potential as a functional beverage. Standard AOAC methods were employed to determine the key parameters, including moisture content, ash, crude fat, crude protein, crude fiber, and total carbohydrates.</w:t>
      </w:r>
    </w:p>
    <w:p w14:paraId="345D910D" w14:textId="577D8335" w:rsidR="007371A4" w:rsidRPr="00243F85" w:rsidRDefault="005A785B" w:rsidP="005A785B">
      <w:pPr>
        <w:jc w:val="both"/>
        <w:rPr>
          <w:rFonts w:ascii="Arial" w:hAnsi="Arial" w:cs="Arial"/>
          <w:b/>
          <w:bCs/>
          <w:sz w:val="20"/>
          <w:szCs w:val="20"/>
        </w:rPr>
      </w:pPr>
      <w:r w:rsidRPr="00243F85">
        <w:rPr>
          <w:rFonts w:ascii="Arial" w:hAnsi="Arial" w:cs="Arial"/>
          <w:b/>
          <w:bCs/>
          <w:sz w:val="20"/>
          <w:szCs w:val="20"/>
        </w:rPr>
        <w:t xml:space="preserve">2.7 </w:t>
      </w:r>
      <w:r w:rsidR="007371A4" w:rsidRPr="003767B5">
        <w:rPr>
          <w:rFonts w:ascii="Arial" w:hAnsi="Arial" w:cs="Arial"/>
          <w:b/>
          <w:bCs/>
          <w:sz w:val="20"/>
          <w:szCs w:val="20"/>
          <w:u w:val="single"/>
        </w:rPr>
        <w:t>Phytochemical analysis</w:t>
      </w:r>
    </w:p>
    <w:p w14:paraId="449B248B" w14:textId="77777777" w:rsidR="00755761" w:rsidRPr="00755761" w:rsidRDefault="00755761" w:rsidP="00755761">
      <w:pPr>
        <w:jc w:val="both"/>
        <w:rPr>
          <w:rFonts w:ascii="Arial" w:hAnsi="Arial" w:cs="Arial"/>
          <w:sz w:val="20"/>
          <w:szCs w:val="20"/>
        </w:rPr>
      </w:pPr>
      <w:r w:rsidRPr="00755761">
        <w:rPr>
          <w:rFonts w:ascii="Arial" w:hAnsi="Arial" w:cs="Arial"/>
          <w:sz w:val="20"/>
          <w:szCs w:val="20"/>
        </w:rPr>
        <w:t>The phytochemical composition of the fruit peel tea infusion was analyzed by determining total phenolic content (TPC), total flavonoid content (TFC), vitamin C (ascorbic acid), tannin content, and total anthocyanin content using standardized analytical protocols. The TPC was measured using the Folin–Ciocalteu colorimetric method as described by Zhou et al. (2020). In this method, 1 mL of tea infusion was mixed with 5 mL of diluted Folin–Ciocalteu reagent (1:10 dilution with distilled water) and allowed to react for 5 minutes. Subsequently, 4 mL of 7.5% sodium carbonate solution was added, and the mixture was incubated at room temperature in the dark for 30 minutes. The absorbance was recorded at 765 nm using a UV–Vis spectrophotometer. Gallic acid was used as the standard, and the results were expressed as milligrams of gallic acid equivalents (mg GAE/100 mL).</w:t>
      </w:r>
    </w:p>
    <w:p w14:paraId="0ED5C363" w14:textId="77777777" w:rsidR="00755761" w:rsidRPr="00755761" w:rsidRDefault="00755761" w:rsidP="00755761">
      <w:pPr>
        <w:jc w:val="both"/>
        <w:rPr>
          <w:rFonts w:ascii="Arial" w:hAnsi="Arial" w:cs="Arial"/>
          <w:sz w:val="20"/>
          <w:szCs w:val="20"/>
        </w:rPr>
      </w:pPr>
      <w:r w:rsidRPr="00755761">
        <w:rPr>
          <w:rFonts w:ascii="Arial" w:hAnsi="Arial" w:cs="Arial"/>
          <w:sz w:val="20"/>
          <w:szCs w:val="20"/>
        </w:rPr>
        <w:t>The total flavonoid content was determined using the aluminum chloride colorimetric assay following the procedure of Tristantini and Amalia (2019). A 1 mL sample of the tea infusion was combined with 4 mL of distilled water and 0.3 mL of 5% sodium nitrite solution. After 5 minutes, 0.3 mL of 10% aluminum chloride solution was added, followed by 2 mL of 1 M sodium hydroxide after 6 minutes. The volume was made up to 10 mL with distilled water, and the absorbance was measured at 510 nm. Quercetin was used as the reference standard, and the results were expressed as milligrams of quercetin equivalents (mg QE/100 mL).</w:t>
      </w:r>
    </w:p>
    <w:p w14:paraId="39B56D1B" w14:textId="77777777" w:rsidR="00755761" w:rsidRPr="00755761" w:rsidRDefault="00755761" w:rsidP="00755761">
      <w:pPr>
        <w:jc w:val="both"/>
        <w:rPr>
          <w:rFonts w:ascii="Arial" w:hAnsi="Arial" w:cs="Arial"/>
          <w:sz w:val="20"/>
          <w:szCs w:val="20"/>
        </w:rPr>
      </w:pPr>
      <w:r w:rsidRPr="00755761">
        <w:rPr>
          <w:rFonts w:ascii="Arial" w:hAnsi="Arial" w:cs="Arial"/>
          <w:sz w:val="20"/>
          <w:szCs w:val="20"/>
        </w:rPr>
        <w:lastRenderedPageBreak/>
        <w:t>Vitamin C (ascorbic acid) content was estimated using the 2,6-dichlorophenolindophenol (DCPIP) titration method (Modenese and Barra, 2011). A known volume of tea infusion was titrated against standardized DCPIP solution until a persistent pink color was observed. The amount of DCPIP consumed was used to calculate the vitamin C concentration, which was expressed as milligrams of vitamin C per 100 mL of infusion.</w:t>
      </w:r>
    </w:p>
    <w:p w14:paraId="00276ADF" w14:textId="0DA661C3" w:rsidR="00755761" w:rsidRPr="00755761" w:rsidRDefault="00755761" w:rsidP="00755761">
      <w:pPr>
        <w:jc w:val="both"/>
        <w:rPr>
          <w:rFonts w:ascii="Arial" w:hAnsi="Arial" w:cs="Arial"/>
          <w:sz w:val="20"/>
          <w:szCs w:val="20"/>
        </w:rPr>
      </w:pPr>
      <w:r w:rsidRPr="00755761">
        <w:rPr>
          <w:rFonts w:ascii="Arial" w:hAnsi="Arial" w:cs="Arial"/>
          <w:sz w:val="20"/>
          <w:szCs w:val="20"/>
        </w:rPr>
        <w:t>Tannin content was analyzed using the vanillin–HCl method as reported by Amarowicz et al. (20</w:t>
      </w:r>
      <w:r w:rsidR="00CF46A7" w:rsidRPr="00243F85">
        <w:rPr>
          <w:rFonts w:ascii="Arial" w:hAnsi="Arial" w:cs="Arial"/>
          <w:sz w:val="20"/>
          <w:szCs w:val="20"/>
        </w:rPr>
        <w:t>17</w:t>
      </w:r>
      <w:r w:rsidRPr="00755761">
        <w:rPr>
          <w:rFonts w:ascii="Arial" w:hAnsi="Arial" w:cs="Arial"/>
          <w:sz w:val="20"/>
          <w:szCs w:val="20"/>
        </w:rPr>
        <w:t>). For this assay, 1 mL of the infusion was mixed with 5 mL of vanillin reagent (1% vanillin prepared in 7 M HCl) and incubated at room temperature for 20 minutes. The absorbance was measured at 500 nm, with catechin as the standard. Results were expressed as milligrams of catechin equivalents (mg CE/100 mL).</w:t>
      </w:r>
    </w:p>
    <w:p w14:paraId="033B9A1F" w14:textId="77777777" w:rsidR="00755761" w:rsidRPr="00755761" w:rsidRDefault="00755761" w:rsidP="00755761">
      <w:pPr>
        <w:jc w:val="both"/>
        <w:rPr>
          <w:rFonts w:ascii="Arial" w:hAnsi="Arial" w:cs="Arial"/>
          <w:sz w:val="20"/>
          <w:szCs w:val="20"/>
        </w:rPr>
      </w:pPr>
      <w:r w:rsidRPr="00755761">
        <w:rPr>
          <w:rFonts w:ascii="Arial" w:hAnsi="Arial" w:cs="Arial"/>
          <w:sz w:val="20"/>
          <w:szCs w:val="20"/>
        </w:rPr>
        <w:t>The total anthocyanin content was quantified using the pH differential method (Lee et al., 2005). Two dilutions of the tea infusion were prepared, one in pH 1.0 potassium chloride buffer and the other in pH 4.5 sodium acetate buffer. Absorbance readings were taken at 520 nm and 700 nm for both buffers. The anthocyanin concentration was calculated using the molar extinction coefficient of cyanidin-3-glucoside and expressed as milligrams of cyanidin-3-glucoside equivalents (mg C3G/100 mL).</w:t>
      </w:r>
    </w:p>
    <w:p w14:paraId="1DADB37E" w14:textId="246CB191" w:rsidR="00621BC7" w:rsidRPr="00243F85" w:rsidRDefault="003767B5" w:rsidP="005A785B">
      <w:pPr>
        <w:pStyle w:val="ListParagraph"/>
        <w:numPr>
          <w:ilvl w:val="0"/>
          <w:numId w:val="17"/>
        </w:numPr>
        <w:jc w:val="both"/>
        <w:rPr>
          <w:rFonts w:ascii="Arial" w:hAnsi="Arial" w:cs="Arial"/>
          <w:b/>
          <w:bCs/>
          <w:sz w:val="20"/>
          <w:szCs w:val="20"/>
        </w:rPr>
      </w:pPr>
      <w:r w:rsidRPr="00243F85">
        <w:rPr>
          <w:rFonts w:ascii="Arial" w:hAnsi="Arial" w:cs="Arial"/>
          <w:b/>
          <w:bCs/>
          <w:sz w:val="22"/>
          <w:szCs w:val="22"/>
        </w:rPr>
        <w:t>RESULTS AND DISCUSSION</w:t>
      </w:r>
    </w:p>
    <w:p w14:paraId="7842A822" w14:textId="0B568104" w:rsidR="00B87E18" w:rsidRPr="00243F85" w:rsidRDefault="005A785B" w:rsidP="005A785B">
      <w:pPr>
        <w:jc w:val="both"/>
        <w:rPr>
          <w:rFonts w:ascii="Arial" w:hAnsi="Arial" w:cs="Arial"/>
          <w:b/>
          <w:bCs/>
          <w:sz w:val="20"/>
          <w:szCs w:val="20"/>
        </w:rPr>
      </w:pPr>
      <w:r w:rsidRPr="00243F85">
        <w:rPr>
          <w:rFonts w:ascii="Arial" w:hAnsi="Arial" w:cs="Arial"/>
          <w:b/>
          <w:bCs/>
          <w:sz w:val="20"/>
          <w:szCs w:val="20"/>
        </w:rPr>
        <w:t xml:space="preserve">3.1 </w:t>
      </w:r>
      <w:bookmarkStart w:id="4" w:name="_Hlk204349931"/>
      <w:r w:rsidR="00B87E18" w:rsidRPr="003767B5">
        <w:rPr>
          <w:rFonts w:ascii="Arial" w:hAnsi="Arial" w:cs="Arial"/>
          <w:b/>
          <w:bCs/>
          <w:sz w:val="20"/>
          <w:szCs w:val="20"/>
          <w:u w:val="single"/>
        </w:rPr>
        <w:t>Sensory evaluation</w:t>
      </w:r>
      <w:r w:rsidR="00B87E18" w:rsidRPr="00243F85">
        <w:rPr>
          <w:rFonts w:ascii="Arial" w:hAnsi="Arial" w:cs="Arial"/>
          <w:b/>
          <w:bCs/>
          <w:sz w:val="20"/>
          <w:szCs w:val="20"/>
        </w:rPr>
        <w:t xml:space="preserve"> </w:t>
      </w:r>
      <w:bookmarkEnd w:id="4"/>
    </w:p>
    <w:p w14:paraId="14334F50" w14:textId="77777777" w:rsidR="008B400E" w:rsidRPr="00243F85" w:rsidRDefault="00B87E18" w:rsidP="008B400E">
      <w:pPr>
        <w:jc w:val="both"/>
        <w:rPr>
          <w:rFonts w:ascii="Arial" w:hAnsi="Arial" w:cs="Arial"/>
          <w:sz w:val="20"/>
          <w:szCs w:val="20"/>
        </w:rPr>
      </w:pPr>
      <w:r w:rsidRPr="00B87E18">
        <w:rPr>
          <w:rFonts w:ascii="Arial" w:hAnsi="Arial" w:cs="Arial"/>
          <w:sz w:val="20"/>
          <w:szCs w:val="20"/>
        </w:rPr>
        <w:t xml:space="preserve">The sensory evaluation </w:t>
      </w:r>
      <w:commentRangeStart w:id="5"/>
      <w:r w:rsidRPr="00C85BDE">
        <w:rPr>
          <w:rFonts w:ascii="Arial" w:hAnsi="Arial" w:cs="Arial"/>
          <w:sz w:val="20"/>
          <w:szCs w:val="20"/>
          <w:highlight w:val="yellow"/>
        </w:rPr>
        <w:t>of five onion jam formulations (S1 to S5</w:t>
      </w:r>
      <w:commentRangeEnd w:id="5"/>
      <w:r w:rsidR="00E44B6F">
        <w:rPr>
          <w:rStyle w:val="CommentReference"/>
        </w:rPr>
        <w:commentReference w:id="5"/>
      </w:r>
      <w:r w:rsidRPr="00C85BDE">
        <w:rPr>
          <w:rFonts w:ascii="Arial" w:hAnsi="Arial" w:cs="Arial"/>
          <w:sz w:val="20"/>
          <w:szCs w:val="20"/>
          <w:highlight w:val="yellow"/>
        </w:rPr>
        <w:t>)</w:t>
      </w:r>
      <w:r w:rsidRPr="00B87E18">
        <w:rPr>
          <w:rFonts w:ascii="Arial" w:hAnsi="Arial" w:cs="Arial"/>
          <w:sz w:val="20"/>
          <w:szCs w:val="20"/>
        </w:rPr>
        <w:t xml:space="preserve"> was conducted using a 9-point hedonic scale to assess attributes including colo</w:t>
      </w:r>
      <w:r w:rsidRPr="00243F85">
        <w:rPr>
          <w:rFonts w:ascii="Arial" w:hAnsi="Arial" w:cs="Arial"/>
          <w:sz w:val="20"/>
          <w:szCs w:val="20"/>
        </w:rPr>
        <w:t>u</w:t>
      </w:r>
      <w:r w:rsidRPr="00B87E18">
        <w:rPr>
          <w:rFonts w:ascii="Arial" w:hAnsi="Arial" w:cs="Arial"/>
          <w:sz w:val="20"/>
          <w:szCs w:val="20"/>
        </w:rPr>
        <w:t xml:space="preserve">r, aroma, taste, and overall acceptability. </w:t>
      </w:r>
      <w:r w:rsidRPr="00243F85">
        <w:rPr>
          <w:rFonts w:ascii="Arial" w:hAnsi="Arial" w:cs="Arial"/>
          <w:sz w:val="20"/>
          <w:szCs w:val="20"/>
        </w:rPr>
        <w:t>All attributes showed statistically significant differences (p &lt; 0.05) among formulations. T</w:t>
      </w:r>
      <w:r w:rsidRPr="00B87E18">
        <w:rPr>
          <w:rFonts w:ascii="Arial" w:hAnsi="Arial" w:cs="Arial"/>
          <w:sz w:val="20"/>
          <w:szCs w:val="20"/>
        </w:rPr>
        <w:t xml:space="preserve">he samples, </w:t>
      </w:r>
    </w:p>
    <w:p w14:paraId="2D6DFBD0" w14:textId="49F69808" w:rsidR="008B400E" w:rsidRPr="008B400E" w:rsidRDefault="008B400E" w:rsidP="008B400E">
      <w:pPr>
        <w:jc w:val="both"/>
        <w:rPr>
          <w:rFonts w:ascii="Arial" w:hAnsi="Arial" w:cs="Arial"/>
          <w:sz w:val="20"/>
          <w:szCs w:val="20"/>
        </w:rPr>
      </w:pPr>
      <w:r w:rsidRPr="003767B5">
        <w:rPr>
          <w:rFonts w:ascii="Arial" w:hAnsi="Arial" w:cs="Arial"/>
          <w:i/>
          <w:iCs/>
          <w:sz w:val="20"/>
          <w:szCs w:val="20"/>
        </w:rPr>
        <w:t>Colour</w:t>
      </w:r>
      <w:r w:rsidRPr="00243F85">
        <w:rPr>
          <w:rFonts w:ascii="Arial" w:hAnsi="Arial" w:cs="Arial"/>
          <w:b/>
          <w:bCs/>
          <w:sz w:val="20"/>
          <w:szCs w:val="20"/>
        </w:rPr>
        <w:t>:</w:t>
      </w:r>
      <w:r w:rsidRPr="008B400E">
        <w:rPr>
          <w:rFonts w:ascii="Arial" w:hAnsi="Arial" w:cs="Arial"/>
          <w:sz w:val="20"/>
          <w:szCs w:val="20"/>
        </w:rPr>
        <w:t xml:space="preserve"> </w:t>
      </w:r>
      <w:r w:rsidRPr="00243F85">
        <w:rPr>
          <w:rFonts w:ascii="Arial" w:hAnsi="Arial" w:cs="Arial"/>
          <w:sz w:val="20"/>
          <w:szCs w:val="20"/>
        </w:rPr>
        <w:t xml:space="preserve">Colour </w:t>
      </w:r>
      <w:r w:rsidRPr="008B400E">
        <w:rPr>
          <w:rFonts w:ascii="Arial" w:hAnsi="Arial" w:cs="Arial"/>
          <w:sz w:val="20"/>
          <w:szCs w:val="20"/>
        </w:rPr>
        <w:t>scores ranged from 6.2 to 8.0 across formulations. Sample S3, containing a higher proportion of grape and citrus peels, received the highest score (8.0), likely due to the presence of anthocyanins and carotenoids that impart vibrant hues. The visual appeal was a significant factor influencing overall acceptability.</w:t>
      </w:r>
    </w:p>
    <w:p w14:paraId="6F622A6F" w14:textId="4319028A" w:rsidR="008B400E" w:rsidRPr="008B400E" w:rsidRDefault="008B400E" w:rsidP="008B400E">
      <w:pPr>
        <w:jc w:val="both"/>
        <w:rPr>
          <w:rFonts w:ascii="Arial" w:hAnsi="Arial" w:cs="Arial"/>
          <w:sz w:val="20"/>
          <w:szCs w:val="20"/>
        </w:rPr>
      </w:pPr>
      <w:r w:rsidRPr="003767B5">
        <w:rPr>
          <w:rFonts w:ascii="Arial" w:hAnsi="Arial" w:cs="Arial"/>
          <w:i/>
          <w:iCs/>
          <w:sz w:val="20"/>
          <w:szCs w:val="20"/>
        </w:rPr>
        <w:t>Aroma</w:t>
      </w:r>
      <w:r w:rsidRPr="00243F85">
        <w:rPr>
          <w:rFonts w:ascii="Arial" w:hAnsi="Arial" w:cs="Arial"/>
          <w:b/>
          <w:bCs/>
          <w:sz w:val="20"/>
          <w:szCs w:val="20"/>
        </w:rPr>
        <w:t>:</w:t>
      </w:r>
      <w:r w:rsidRPr="008B400E">
        <w:rPr>
          <w:rFonts w:ascii="Arial" w:hAnsi="Arial" w:cs="Arial"/>
          <w:sz w:val="20"/>
          <w:szCs w:val="20"/>
        </w:rPr>
        <w:t xml:space="preserve"> </w:t>
      </w:r>
      <w:r w:rsidRPr="00243F85">
        <w:rPr>
          <w:rFonts w:ascii="Arial" w:hAnsi="Arial" w:cs="Arial"/>
          <w:sz w:val="20"/>
          <w:szCs w:val="20"/>
        </w:rPr>
        <w:t xml:space="preserve">Aroma </w:t>
      </w:r>
      <w:r w:rsidRPr="008B400E">
        <w:rPr>
          <w:rFonts w:ascii="Arial" w:hAnsi="Arial" w:cs="Arial"/>
          <w:sz w:val="20"/>
          <w:szCs w:val="20"/>
        </w:rPr>
        <w:t>was notably enhanced in samples with orange and lemon peels, attributed to the presence of limonene, linalool, and other volatile compounds. S3 again scored highest (8.2), suggesting a favo</w:t>
      </w:r>
      <w:r w:rsidRPr="00243F85">
        <w:rPr>
          <w:rFonts w:ascii="Arial" w:hAnsi="Arial" w:cs="Arial"/>
          <w:sz w:val="20"/>
          <w:szCs w:val="20"/>
        </w:rPr>
        <w:t>u</w:t>
      </w:r>
      <w:r w:rsidRPr="008B400E">
        <w:rPr>
          <w:rFonts w:ascii="Arial" w:hAnsi="Arial" w:cs="Arial"/>
          <w:sz w:val="20"/>
          <w:szCs w:val="20"/>
        </w:rPr>
        <w:t>rable aromatic profile that complemented the taste.</w:t>
      </w:r>
    </w:p>
    <w:p w14:paraId="63F08171" w14:textId="77777777" w:rsidR="008B400E" w:rsidRPr="00243F85" w:rsidRDefault="008B400E" w:rsidP="008B400E">
      <w:pPr>
        <w:jc w:val="both"/>
        <w:rPr>
          <w:rFonts w:ascii="Arial" w:hAnsi="Arial" w:cs="Arial"/>
          <w:sz w:val="20"/>
          <w:szCs w:val="20"/>
        </w:rPr>
      </w:pPr>
      <w:r w:rsidRPr="003767B5">
        <w:rPr>
          <w:rFonts w:ascii="Arial" w:hAnsi="Arial" w:cs="Arial"/>
          <w:i/>
          <w:iCs/>
          <w:sz w:val="20"/>
          <w:szCs w:val="20"/>
        </w:rPr>
        <w:t>Taste</w:t>
      </w:r>
      <w:r w:rsidRPr="00243F85">
        <w:rPr>
          <w:rFonts w:ascii="Arial" w:hAnsi="Arial" w:cs="Arial"/>
          <w:b/>
          <w:bCs/>
          <w:sz w:val="20"/>
          <w:szCs w:val="20"/>
        </w:rPr>
        <w:t>:</w:t>
      </w:r>
      <w:r w:rsidRPr="008B400E">
        <w:rPr>
          <w:rFonts w:ascii="Arial" w:hAnsi="Arial" w:cs="Arial"/>
          <w:sz w:val="20"/>
          <w:szCs w:val="20"/>
        </w:rPr>
        <w:t xml:space="preserve"> </w:t>
      </w:r>
      <w:r w:rsidRPr="00243F85">
        <w:rPr>
          <w:rFonts w:ascii="Arial" w:hAnsi="Arial" w:cs="Arial"/>
          <w:sz w:val="20"/>
          <w:szCs w:val="20"/>
        </w:rPr>
        <w:t xml:space="preserve">Taste </w:t>
      </w:r>
      <w:r w:rsidRPr="008B400E">
        <w:rPr>
          <w:rFonts w:ascii="Arial" w:hAnsi="Arial" w:cs="Arial"/>
          <w:sz w:val="20"/>
          <w:szCs w:val="20"/>
        </w:rPr>
        <w:t>emerged as the most discriminating attribute, with scores ranging from 5.8 to 8.5. S3 achieved the highest taste score (8.5), indicating a balanced flavo</w:t>
      </w:r>
      <w:r w:rsidRPr="00243F85">
        <w:rPr>
          <w:rFonts w:ascii="Arial" w:hAnsi="Arial" w:cs="Arial"/>
          <w:sz w:val="20"/>
          <w:szCs w:val="20"/>
        </w:rPr>
        <w:t>u</w:t>
      </w:r>
      <w:r w:rsidRPr="008B400E">
        <w:rPr>
          <w:rFonts w:ascii="Arial" w:hAnsi="Arial" w:cs="Arial"/>
          <w:sz w:val="20"/>
          <w:szCs w:val="20"/>
        </w:rPr>
        <w:t xml:space="preserve">r profile with minimal bitterness and a pleasant citrus undertone. </w:t>
      </w:r>
    </w:p>
    <w:p w14:paraId="39F97F0C" w14:textId="77777777" w:rsidR="008B400E" w:rsidRPr="00243F85" w:rsidRDefault="008B400E" w:rsidP="008B400E">
      <w:pPr>
        <w:jc w:val="both"/>
        <w:rPr>
          <w:rFonts w:ascii="Arial" w:hAnsi="Arial" w:cs="Arial"/>
          <w:sz w:val="20"/>
          <w:szCs w:val="20"/>
        </w:rPr>
      </w:pPr>
      <w:r w:rsidRPr="003767B5">
        <w:rPr>
          <w:rFonts w:ascii="Arial" w:hAnsi="Arial" w:cs="Arial"/>
          <w:i/>
          <w:iCs/>
          <w:sz w:val="20"/>
          <w:szCs w:val="20"/>
        </w:rPr>
        <w:t>Overall Acceptability</w:t>
      </w:r>
      <w:r w:rsidRPr="00243F85">
        <w:rPr>
          <w:rFonts w:ascii="Arial" w:hAnsi="Arial" w:cs="Arial"/>
          <w:b/>
          <w:bCs/>
          <w:sz w:val="20"/>
          <w:szCs w:val="20"/>
        </w:rPr>
        <w:t xml:space="preserve">: </w:t>
      </w:r>
      <w:r w:rsidRPr="00243F85">
        <w:rPr>
          <w:rFonts w:ascii="Arial" w:hAnsi="Arial" w:cs="Arial"/>
          <w:sz w:val="20"/>
          <w:szCs w:val="20"/>
        </w:rPr>
        <w:t>It</w:t>
      </w:r>
      <w:r w:rsidRPr="008B400E">
        <w:rPr>
          <w:rFonts w:ascii="Arial" w:hAnsi="Arial" w:cs="Arial"/>
          <w:sz w:val="20"/>
          <w:szCs w:val="20"/>
        </w:rPr>
        <w:t xml:space="preserve"> followed the trend of taste and aroma, with S3 rated highest (8.3). This suggests that the sensory synergy of colour, aroma, and taste in S3 contributed to its superior consumer preference.</w:t>
      </w:r>
    </w:p>
    <w:p w14:paraId="4E1FDC6C" w14:textId="77777777" w:rsidR="008B400E" w:rsidRPr="00243F85" w:rsidRDefault="008B400E" w:rsidP="008B400E">
      <w:pPr>
        <w:jc w:val="both"/>
        <w:rPr>
          <w:rFonts w:ascii="Arial" w:hAnsi="Arial" w:cs="Arial"/>
          <w:sz w:val="20"/>
          <w:szCs w:val="20"/>
        </w:rPr>
      </w:pPr>
      <w:r w:rsidRPr="00B87E18">
        <w:rPr>
          <w:rFonts w:ascii="Arial" w:hAnsi="Arial" w:cs="Arial"/>
          <w:sz w:val="20"/>
          <w:szCs w:val="20"/>
        </w:rPr>
        <w:t>Sample S3 consistently received the highest mean scores across all sensory parameters</w:t>
      </w:r>
      <w:r w:rsidRPr="00243F85">
        <w:rPr>
          <w:rFonts w:ascii="Arial" w:hAnsi="Arial" w:cs="Arial"/>
          <w:sz w:val="20"/>
          <w:szCs w:val="20"/>
        </w:rPr>
        <w:t xml:space="preserve"> colour-8.0, aroma-8.2, taste-8.5 and overall acceptability-8.3. </w:t>
      </w:r>
      <w:r w:rsidRPr="00B87E18">
        <w:rPr>
          <w:rFonts w:ascii="Arial" w:hAnsi="Arial" w:cs="Arial"/>
          <w:sz w:val="20"/>
          <w:szCs w:val="20"/>
        </w:rPr>
        <w:t xml:space="preserve">Based on its optimal sensory performance, Sample S3 was selected for subsequent proximate and phytochemical analyses. </w:t>
      </w:r>
    </w:p>
    <w:p w14:paraId="0B83F7F7" w14:textId="7E6666D0" w:rsidR="008B400E" w:rsidRPr="00BB5917" w:rsidRDefault="008B400E" w:rsidP="008B400E">
      <w:pPr>
        <w:jc w:val="center"/>
        <w:rPr>
          <w:rFonts w:ascii="Arial" w:hAnsi="Arial" w:cs="Arial"/>
          <w:b/>
          <w:bCs/>
          <w:sz w:val="20"/>
          <w:szCs w:val="20"/>
        </w:rPr>
      </w:pPr>
      <w:r w:rsidRPr="00243F85">
        <w:rPr>
          <w:rFonts w:ascii="Arial" w:hAnsi="Arial" w:cs="Arial"/>
          <w:b/>
          <w:bCs/>
          <w:sz w:val="20"/>
          <w:szCs w:val="20"/>
        </w:rPr>
        <w:t>Table 2: Sensory evaluation of fruit tea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861"/>
        <w:gridCol w:w="850"/>
        <w:gridCol w:w="724"/>
        <w:gridCol w:w="2188"/>
      </w:tblGrid>
      <w:tr w:rsidR="00EB0F6A" w:rsidRPr="00EB0F6A" w14:paraId="3107153D" w14:textId="77777777" w:rsidTr="005A785B">
        <w:trPr>
          <w:jc w:val="center"/>
        </w:trPr>
        <w:tc>
          <w:tcPr>
            <w:tcW w:w="0" w:type="auto"/>
            <w:tcBorders>
              <w:bottom w:val="single" w:sz="4" w:space="0" w:color="auto"/>
            </w:tcBorders>
            <w:vAlign w:val="center"/>
            <w:hideMark/>
          </w:tcPr>
          <w:p w14:paraId="06D217ED" w14:textId="77777777" w:rsidR="00EB0F6A" w:rsidRPr="00EB0F6A" w:rsidRDefault="00EB0F6A" w:rsidP="005A785B">
            <w:pPr>
              <w:spacing w:line="278" w:lineRule="auto"/>
              <w:jc w:val="center"/>
              <w:rPr>
                <w:rFonts w:ascii="Arial" w:hAnsi="Arial" w:cs="Arial"/>
                <w:b/>
                <w:bCs/>
                <w:sz w:val="20"/>
                <w:szCs w:val="20"/>
              </w:rPr>
            </w:pPr>
            <w:bookmarkStart w:id="6" w:name="_Hlk204349922"/>
            <w:r w:rsidRPr="00EB0F6A">
              <w:rPr>
                <w:rFonts w:ascii="Arial" w:hAnsi="Arial" w:cs="Arial"/>
                <w:b/>
                <w:bCs/>
                <w:sz w:val="20"/>
                <w:szCs w:val="20"/>
              </w:rPr>
              <w:t>Sample</w:t>
            </w:r>
          </w:p>
        </w:tc>
        <w:tc>
          <w:tcPr>
            <w:tcW w:w="0" w:type="auto"/>
            <w:tcBorders>
              <w:bottom w:val="single" w:sz="4" w:space="0" w:color="auto"/>
            </w:tcBorders>
            <w:vAlign w:val="center"/>
            <w:hideMark/>
          </w:tcPr>
          <w:p w14:paraId="44EC8BFB" w14:textId="1F9AC9B2" w:rsidR="00EB0F6A" w:rsidRPr="00EB0F6A" w:rsidRDefault="00EB0F6A" w:rsidP="005A785B">
            <w:pPr>
              <w:spacing w:line="278" w:lineRule="auto"/>
              <w:jc w:val="center"/>
              <w:rPr>
                <w:rFonts w:ascii="Arial" w:hAnsi="Arial" w:cs="Arial"/>
                <w:b/>
                <w:bCs/>
                <w:sz w:val="20"/>
                <w:szCs w:val="20"/>
              </w:rPr>
            </w:pPr>
            <w:r w:rsidRPr="00EB0F6A">
              <w:rPr>
                <w:rFonts w:ascii="Arial" w:hAnsi="Arial" w:cs="Arial"/>
                <w:b/>
                <w:bCs/>
                <w:sz w:val="20"/>
                <w:szCs w:val="20"/>
              </w:rPr>
              <w:t>Colo</w:t>
            </w:r>
            <w:r w:rsidR="002B3F73" w:rsidRPr="00243F85">
              <w:rPr>
                <w:rFonts w:ascii="Arial" w:hAnsi="Arial" w:cs="Arial"/>
                <w:b/>
                <w:bCs/>
                <w:sz w:val="20"/>
                <w:szCs w:val="20"/>
              </w:rPr>
              <w:t>u</w:t>
            </w:r>
            <w:r w:rsidRPr="00EB0F6A">
              <w:rPr>
                <w:rFonts w:ascii="Arial" w:hAnsi="Arial" w:cs="Arial"/>
                <w:b/>
                <w:bCs/>
                <w:sz w:val="20"/>
                <w:szCs w:val="20"/>
              </w:rPr>
              <w:t>r</w:t>
            </w:r>
          </w:p>
        </w:tc>
        <w:tc>
          <w:tcPr>
            <w:tcW w:w="0" w:type="auto"/>
            <w:tcBorders>
              <w:bottom w:val="single" w:sz="4" w:space="0" w:color="auto"/>
            </w:tcBorders>
            <w:vAlign w:val="center"/>
            <w:hideMark/>
          </w:tcPr>
          <w:p w14:paraId="41C2EE74" w14:textId="77777777" w:rsidR="00EB0F6A" w:rsidRPr="00EB0F6A" w:rsidRDefault="00EB0F6A" w:rsidP="005A785B">
            <w:pPr>
              <w:spacing w:line="278" w:lineRule="auto"/>
              <w:jc w:val="center"/>
              <w:rPr>
                <w:rFonts w:ascii="Arial" w:hAnsi="Arial" w:cs="Arial"/>
                <w:b/>
                <w:bCs/>
                <w:sz w:val="20"/>
                <w:szCs w:val="20"/>
              </w:rPr>
            </w:pPr>
            <w:r w:rsidRPr="00EB0F6A">
              <w:rPr>
                <w:rFonts w:ascii="Arial" w:hAnsi="Arial" w:cs="Arial"/>
                <w:b/>
                <w:bCs/>
                <w:sz w:val="20"/>
                <w:szCs w:val="20"/>
              </w:rPr>
              <w:t>Aroma</w:t>
            </w:r>
          </w:p>
        </w:tc>
        <w:tc>
          <w:tcPr>
            <w:tcW w:w="0" w:type="auto"/>
            <w:tcBorders>
              <w:bottom w:val="single" w:sz="4" w:space="0" w:color="auto"/>
            </w:tcBorders>
            <w:vAlign w:val="center"/>
            <w:hideMark/>
          </w:tcPr>
          <w:p w14:paraId="6E42C2E9" w14:textId="77777777" w:rsidR="00EB0F6A" w:rsidRPr="00EB0F6A" w:rsidRDefault="00EB0F6A" w:rsidP="005A785B">
            <w:pPr>
              <w:spacing w:line="278" w:lineRule="auto"/>
              <w:jc w:val="center"/>
              <w:rPr>
                <w:rFonts w:ascii="Arial" w:hAnsi="Arial" w:cs="Arial"/>
                <w:b/>
                <w:bCs/>
                <w:sz w:val="20"/>
                <w:szCs w:val="20"/>
              </w:rPr>
            </w:pPr>
            <w:r w:rsidRPr="00EB0F6A">
              <w:rPr>
                <w:rFonts w:ascii="Arial" w:hAnsi="Arial" w:cs="Arial"/>
                <w:b/>
                <w:bCs/>
                <w:sz w:val="20"/>
                <w:szCs w:val="20"/>
              </w:rPr>
              <w:t>Taste</w:t>
            </w:r>
          </w:p>
        </w:tc>
        <w:tc>
          <w:tcPr>
            <w:tcW w:w="0" w:type="auto"/>
            <w:tcBorders>
              <w:bottom w:val="single" w:sz="4" w:space="0" w:color="auto"/>
            </w:tcBorders>
            <w:vAlign w:val="center"/>
            <w:hideMark/>
          </w:tcPr>
          <w:p w14:paraId="123C5EA2" w14:textId="77777777" w:rsidR="00EB0F6A" w:rsidRPr="00EB0F6A" w:rsidRDefault="00EB0F6A" w:rsidP="005A785B">
            <w:pPr>
              <w:spacing w:line="278" w:lineRule="auto"/>
              <w:jc w:val="center"/>
              <w:rPr>
                <w:rFonts w:ascii="Arial" w:hAnsi="Arial" w:cs="Arial"/>
                <w:b/>
                <w:bCs/>
                <w:sz w:val="20"/>
                <w:szCs w:val="20"/>
              </w:rPr>
            </w:pPr>
            <w:r w:rsidRPr="00EB0F6A">
              <w:rPr>
                <w:rFonts w:ascii="Arial" w:hAnsi="Arial" w:cs="Arial"/>
                <w:b/>
                <w:bCs/>
                <w:sz w:val="20"/>
                <w:szCs w:val="20"/>
              </w:rPr>
              <w:t>Overall Acceptability</w:t>
            </w:r>
          </w:p>
        </w:tc>
      </w:tr>
      <w:tr w:rsidR="00EB0F6A" w:rsidRPr="00EB0F6A" w14:paraId="56BAA9CA" w14:textId="77777777" w:rsidTr="005A785B">
        <w:trPr>
          <w:jc w:val="center"/>
        </w:trPr>
        <w:tc>
          <w:tcPr>
            <w:tcW w:w="0" w:type="auto"/>
            <w:tcBorders>
              <w:top w:val="single" w:sz="4" w:space="0" w:color="auto"/>
              <w:bottom w:val="nil"/>
            </w:tcBorders>
            <w:vAlign w:val="center"/>
            <w:hideMark/>
          </w:tcPr>
          <w:p w14:paraId="77C69B53"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S1</w:t>
            </w:r>
          </w:p>
        </w:tc>
        <w:tc>
          <w:tcPr>
            <w:tcW w:w="0" w:type="auto"/>
            <w:tcBorders>
              <w:top w:val="single" w:sz="4" w:space="0" w:color="auto"/>
              <w:bottom w:val="nil"/>
            </w:tcBorders>
            <w:vAlign w:val="center"/>
            <w:hideMark/>
          </w:tcPr>
          <w:p w14:paraId="1941BB03"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7.2</w:t>
            </w:r>
          </w:p>
        </w:tc>
        <w:tc>
          <w:tcPr>
            <w:tcW w:w="0" w:type="auto"/>
            <w:tcBorders>
              <w:top w:val="single" w:sz="4" w:space="0" w:color="auto"/>
              <w:bottom w:val="nil"/>
            </w:tcBorders>
            <w:vAlign w:val="center"/>
            <w:hideMark/>
          </w:tcPr>
          <w:p w14:paraId="09B01F4F"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7.0</w:t>
            </w:r>
          </w:p>
        </w:tc>
        <w:tc>
          <w:tcPr>
            <w:tcW w:w="0" w:type="auto"/>
            <w:tcBorders>
              <w:top w:val="single" w:sz="4" w:space="0" w:color="auto"/>
              <w:bottom w:val="nil"/>
            </w:tcBorders>
            <w:vAlign w:val="center"/>
            <w:hideMark/>
          </w:tcPr>
          <w:p w14:paraId="44ADDC89"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6.8</w:t>
            </w:r>
          </w:p>
        </w:tc>
        <w:tc>
          <w:tcPr>
            <w:tcW w:w="0" w:type="auto"/>
            <w:tcBorders>
              <w:top w:val="single" w:sz="4" w:space="0" w:color="auto"/>
              <w:bottom w:val="nil"/>
            </w:tcBorders>
            <w:vAlign w:val="center"/>
            <w:hideMark/>
          </w:tcPr>
          <w:p w14:paraId="5CF24E82"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7.0</w:t>
            </w:r>
          </w:p>
        </w:tc>
      </w:tr>
      <w:tr w:rsidR="00EB0F6A" w:rsidRPr="00EB0F6A" w14:paraId="0E858A06" w14:textId="77777777" w:rsidTr="005A785B">
        <w:trPr>
          <w:jc w:val="center"/>
        </w:trPr>
        <w:tc>
          <w:tcPr>
            <w:tcW w:w="0" w:type="auto"/>
            <w:tcBorders>
              <w:top w:val="nil"/>
            </w:tcBorders>
            <w:vAlign w:val="center"/>
            <w:hideMark/>
          </w:tcPr>
          <w:p w14:paraId="52109F0C"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S2</w:t>
            </w:r>
          </w:p>
        </w:tc>
        <w:tc>
          <w:tcPr>
            <w:tcW w:w="0" w:type="auto"/>
            <w:tcBorders>
              <w:top w:val="nil"/>
            </w:tcBorders>
            <w:vAlign w:val="center"/>
            <w:hideMark/>
          </w:tcPr>
          <w:p w14:paraId="62B26214"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6.5</w:t>
            </w:r>
          </w:p>
        </w:tc>
        <w:tc>
          <w:tcPr>
            <w:tcW w:w="0" w:type="auto"/>
            <w:tcBorders>
              <w:top w:val="nil"/>
            </w:tcBorders>
            <w:vAlign w:val="center"/>
            <w:hideMark/>
          </w:tcPr>
          <w:p w14:paraId="7069877C"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7.5</w:t>
            </w:r>
          </w:p>
        </w:tc>
        <w:tc>
          <w:tcPr>
            <w:tcW w:w="0" w:type="auto"/>
            <w:tcBorders>
              <w:top w:val="nil"/>
            </w:tcBorders>
            <w:vAlign w:val="center"/>
            <w:hideMark/>
          </w:tcPr>
          <w:p w14:paraId="1B7F814E"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5.9</w:t>
            </w:r>
          </w:p>
        </w:tc>
        <w:tc>
          <w:tcPr>
            <w:tcW w:w="0" w:type="auto"/>
            <w:tcBorders>
              <w:top w:val="nil"/>
            </w:tcBorders>
            <w:vAlign w:val="center"/>
            <w:hideMark/>
          </w:tcPr>
          <w:p w14:paraId="05905E7D"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6.3</w:t>
            </w:r>
          </w:p>
        </w:tc>
      </w:tr>
      <w:tr w:rsidR="00EB0F6A" w:rsidRPr="00EB0F6A" w14:paraId="270AEBC3" w14:textId="77777777" w:rsidTr="005A785B">
        <w:trPr>
          <w:jc w:val="center"/>
        </w:trPr>
        <w:tc>
          <w:tcPr>
            <w:tcW w:w="0" w:type="auto"/>
            <w:vAlign w:val="center"/>
            <w:hideMark/>
          </w:tcPr>
          <w:p w14:paraId="340CCCE4"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S3</w:t>
            </w:r>
          </w:p>
        </w:tc>
        <w:tc>
          <w:tcPr>
            <w:tcW w:w="0" w:type="auto"/>
            <w:vAlign w:val="center"/>
            <w:hideMark/>
          </w:tcPr>
          <w:p w14:paraId="6A1D0FF5"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8.0</w:t>
            </w:r>
          </w:p>
        </w:tc>
        <w:tc>
          <w:tcPr>
            <w:tcW w:w="0" w:type="auto"/>
            <w:vAlign w:val="center"/>
            <w:hideMark/>
          </w:tcPr>
          <w:p w14:paraId="77FA0EA1"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8.2</w:t>
            </w:r>
          </w:p>
        </w:tc>
        <w:tc>
          <w:tcPr>
            <w:tcW w:w="0" w:type="auto"/>
            <w:vAlign w:val="center"/>
            <w:hideMark/>
          </w:tcPr>
          <w:p w14:paraId="4F103484"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8.5</w:t>
            </w:r>
          </w:p>
        </w:tc>
        <w:tc>
          <w:tcPr>
            <w:tcW w:w="0" w:type="auto"/>
            <w:vAlign w:val="center"/>
            <w:hideMark/>
          </w:tcPr>
          <w:p w14:paraId="3BBB99E0"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8.3</w:t>
            </w:r>
          </w:p>
        </w:tc>
      </w:tr>
      <w:tr w:rsidR="00EB0F6A" w:rsidRPr="00EB0F6A" w14:paraId="1B8A9332" w14:textId="77777777" w:rsidTr="005A785B">
        <w:trPr>
          <w:jc w:val="center"/>
        </w:trPr>
        <w:tc>
          <w:tcPr>
            <w:tcW w:w="0" w:type="auto"/>
            <w:vAlign w:val="center"/>
            <w:hideMark/>
          </w:tcPr>
          <w:p w14:paraId="690352F5"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S4</w:t>
            </w:r>
          </w:p>
        </w:tc>
        <w:tc>
          <w:tcPr>
            <w:tcW w:w="0" w:type="auto"/>
            <w:vAlign w:val="center"/>
            <w:hideMark/>
          </w:tcPr>
          <w:p w14:paraId="3F9266E8"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6.0</w:t>
            </w:r>
          </w:p>
        </w:tc>
        <w:tc>
          <w:tcPr>
            <w:tcW w:w="0" w:type="auto"/>
            <w:vAlign w:val="center"/>
            <w:hideMark/>
          </w:tcPr>
          <w:p w14:paraId="6E82AD51"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6.8</w:t>
            </w:r>
          </w:p>
        </w:tc>
        <w:tc>
          <w:tcPr>
            <w:tcW w:w="0" w:type="auto"/>
            <w:vAlign w:val="center"/>
            <w:hideMark/>
          </w:tcPr>
          <w:p w14:paraId="263FF0DE"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5.5</w:t>
            </w:r>
          </w:p>
        </w:tc>
        <w:tc>
          <w:tcPr>
            <w:tcW w:w="0" w:type="auto"/>
            <w:vAlign w:val="center"/>
            <w:hideMark/>
          </w:tcPr>
          <w:p w14:paraId="7E08329C"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6.0</w:t>
            </w:r>
          </w:p>
        </w:tc>
      </w:tr>
      <w:tr w:rsidR="00EB0F6A" w:rsidRPr="00EB0F6A" w14:paraId="025C6F15" w14:textId="77777777" w:rsidTr="005A785B">
        <w:trPr>
          <w:jc w:val="center"/>
        </w:trPr>
        <w:tc>
          <w:tcPr>
            <w:tcW w:w="0" w:type="auto"/>
            <w:vAlign w:val="center"/>
            <w:hideMark/>
          </w:tcPr>
          <w:p w14:paraId="2E3D96D8"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S5</w:t>
            </w:r>
          </w:p>
        </w:tc>
        <w:tc>
          <w:tcPr>
            <w:tcW w:w="0" w:type="auto"/>
            <w:vAlign w:val="center"/>
            <w:hideMark/>
          </w:tcPr>
          <w:p w14:paraId="0BD0A05B"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7.8</w:t>
            </w:r>
          </w:p>
        </w:tc>
        <w:tc>
          <w:tcPr>
            <w:tcW w:w="0" w:type="auto"/>
            <w:vAlign w:val="center"/>
            <w:hideMark/>
          </w:tcPr>
          <w:p w14:paraId="5DA48C43"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7.9</w:t>
            </w:r>
          </w:p>
        </w:tc>
        <w:tc>
          <w:tcPr>
            <w:tcW w:w="0" w:type="auto"/>
            <w:vAlign w:val="center"/>
            <w:hideMark/>
          </w:tcPr>
          <w:p w14:paraId="0CA5D1F1"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7.6</w:t>
            </w:r>
          </w:p>
        </w:tc>
        <w:tc>
          <w:tcPr>
            <w:tcW w:w="0" w:type="auto"/>
            <w:vAlign w:val="center"/>
            <w:hideMark/>
          </w:tcPr>
          <w:p w14:paraId="5073B7BB" w14:textId="77777777" w:rsidR="00EB0F6A" w:rsidRPr="00EB0F6A" w:rsidRDefault="00EB0F6A" w:rsidP="005A785B">
            <w:pPr>
              <w:spacing w:line="278" w:lineRule="auto"/>
              <w:jc w:val="center"/>
              <w:rPr>
                <w:rFonts w:ascii="Arial" w:hAnsi="Arial" w:cs="Arial"/>
                <w:sz w:val="20"/>
                <w:szCs w:val="20"/>
              </w:rPr>
            </w:pPr>
            <w:r w:rsidRPr="00EB0F6A">
              <w:rPr>
                <w:rFonts w:ascii="Arial" w:hAnsi="Arial" w:cs="Arial"/>
                <w:sz w:val="20"/>
                <w:szCs w:val="20"/>
              </w:rPr>
              <w:t>7.8</w:t>
            </w:r>
          </w:p>
        </w:tc>
      </w:tr>
      <w:tr w:rsidR="002B3F73" w:rsidRPr="00243F85" w14:paraId="7BA4EE83" w14:textId="77777777" w:rsidTr="005A785B">
        <w:trPr>
          <w:jc w:val="center"/>
        </w:trPr>
        <w:tc>
          <w:tcPr>
            <w:tcW w:w="0" w:type="auto"/>
            <w:vAlign w:val="center"/>
          </w:tcPr>
          <w:p w14:paraId="6DF05CF4" w14:textId="72F04EC0" w:rsidR="002B3F73" w:rsidRPr="00243F85" w:rsidRDefault="002B3F73" w:rsidP="005A785B">
            <w:pPr>
              <w:jc w:val="center"/>
              <w:rPr>
                <w:rFonts w:ascii="Arial" w:hAnsi="Arial" w:cs="Arial"/>
                <w:sz w:val="20"/>
                <w:szCs w:val="20"/>
              </w:rPr>
            </w:pPr>
            <w:r w:rsidRPr="002B3F73">
              <w:rPr>
                <w:rFonts w:ascii="Arial" w:hAnsi="Arial" w:cs="Arial"/>
                <w:sz w:val="20"/>
                <w:szCs w:val="20"/>
              </w:rPr>
              <w:t>F-value</w:t>
            </w:r>
          </w:p>
        </w:tc>
        <w:tc>
          <w:tcPr>
            <w:tcW w:w="0" w:type="auto"/>
            <w:vAlign w:val="center"/>
          </w:tcPr>
          <w:p w14:paraId="392AF01B" w14:textId="605993F4" w:rsidR="002B3F73" w:rsidRPr="00243F85" w:rsidRDefault="000C4A1E" w:rsidP="005A785B">
            <w:pPr>
              <w:jc w:val="center"/>
              <w:rPr>
                <w:rFonts w:ascii="Arial" w:hAnsi="Arial" w:cs="Arial"/>
                <w:sz w:val="20"/>
                <w:szCs w:val="20"/>
              </w:rPr>
            </w:pPr>
            <w:r w:rsidRPr="00243F85">
              <w:rPr>
                <w:rFonts w:ascii="Arial" w:hAnsi="Arial" w:cs="Arial"/>
                <w:sz w:val="20"/>
                <w:szCs w:val="20"/>
              </w:rPr>
              <w:t>4.32</w:t>
            </w:r>
          </w:p>
        </w:tc>
        <w:tc>
          <w:tcPr>
            <w:tcW w:w="0" w:type="auto"/>
            <w:vAlign w:val="center"/>
          </w:tcPr>
          <w:p w14:paraId="3F4A1234" w14:textId="1510A228" w:rsidR="002B3F73" w:rsidRPr="00243F85" w:rsidRDefault="000C4A1E" w:rsidP="005A785B">
            <w:pPr>
              <w:jc w:val="center"/>
              <w:rPr>
                <w:rFonts w:ascii="Arial" w:hAnsi="Arial" w:cs="Arial"/>
                <w:sz w:val="20"/>
                <w:szCs w:val="20"/>
              </w:rPr>
            </w:pPr>
            <w:r w:rsidRPr="00243F85">
              <w:rPr>
                <w:rFonts w:ascii="Arial" w:hAnsi="Arial" w:cs="Arial"/>
                <w:sz w:val="20"/>
                <w:szCs w:val="20"/>
              </w:rPr>
              <w:t>6.78</w:t>
            </w:r>
          </w:p>
        </w:tc>
        <w:tc>
          <w:tcPr>
            <w:tcW w:w="0" w:type="auto"/>
            <w:vAlign w:val="center"/>
          </w:tcPr>
          <w:p w14:paraId="17A918EE" w14:textId="4D5F0C94" w:rsidR="002B3F73" w:rsidRPr="00243F85" w:rsidRDefault="000C4A1E" w:rsidP="005A785B">
            <w:pPr>
              <w:jc w:val="center"/>
              <w:rPr>
                <w:rFonts w:ascii="Arial" w:hAnsi="Arial" w:cs="Arial"/>
                <w:sz w:val="20"/>
                <w:szCs w:val="20"/>
              </w:rPr>
            </w:pPr>
            <w:r w:rsidRPr="00243F85">
              <w:rPr>
                <w:rFonts w:ascii="Arial" w:hAnsi="Arial" w:cs="Arial"/>
                <w:sz w:val="20"/>
                <w:szCs w:val="20"/>
              </w:rPr>
              <w:t>9.45</w:t>
            </w:r>
          </w:p>
        </w:tc>
        <w:tc>
          <w:tcPr>
            <w:tcW w:w="0" w:type="auto"/>
            <w:vAlign w:val="center"/>
          </w:tcPr>
          <w:p w14:paraId="4D2E133D" w14:textId="755EF16C" w:rsidR="002B3F73" w:rsidRPr="00243F85" w:rsidRDefault="000C4A1E" w:rsidP="005A785B">
            <w:pPr>
              <w:jc w:val="center"/>
              <w:rPr>
                <w:rFonts w:ascii="Arial" w:hAnsi="Arial" w:cs="Arial"/>
                <w:sz w:val="20"/>
                <w:szCs w:val="20"/>
              </w:rPr>
            </w:pPr>
            <w:r w:rsidRPr="00243F85">
              <w:rPr>
                <w:rFonts w:ascii="Arial" w:hAnsi="Arial" w:cs="Arial"/>
                <w:sz w:val="20"/>
                <w:szCs w:val="20"/>
              </w:rPr>
              <w:t>8.12</w:t>
            </w:r>
          </w:p>
        </w:tc>
      </w:tr>
      <w:tr w:rsidR="002B3F73" w:rsidRPr="00243F85" w14:paraId="3A089A96" w14:textId="77777777" w:rsidTr="005A785B">
        <w:trPr>
          <w:jc w:val="center"/>
        </w:trPr>
        <w:tc>
          <w:tcPr>
            <w:tcW w:w="0" w:type="auto"/>
            <w:vAlign w:val="center"/>
          </w:tcPr>
          <w:p w14:paraId="725905B0" w14:textId="6E5E05A0" w:rsidR="002B3F73" w:rsidRPr="00243F85" w:rsidRDefault="002B3F73" w:rsidP="005A785B">
            <w:pPr>
              <w:jc w:val="center"/>
              <w:rPr>
                <w:rFonts w:ascii="Arial" w:hAnsi="Arial" w:cs="Arial"/>
                <w:sz w:val="20"/>
                <w:szCs w:val="20"/>
              </w:rPr>
            </w:pPr>
            <w:r w:rsidRPr="00243F85">
              <w:rPr>
                <w:rFonts w:ascii="Arial" w:hAnsi="Arial" w:cs="Arial"/>
                <w:sz w:val="20"/>
                <w:szCs w:val="20"/>
              </w:rPr>
              <w:t>p</w:t>
            </w:r>
            <w:r w:rsidRPr="002B3F73">
              <w:rPr>
                <w:rFonts w:ascii="Arial" w:hAnsi="Arial" w:cs="Arial"/>
                <w:sz w:val="20"/>
                <w:szCs w:val="20"/>
              </w:rPr>
              <w:t>-value</w:t>
            </w:r>
          </w:p>
        </w:tc>
        <w:tc>
          <w:tcPr>
            <w:tcW w:w="0" w:type="auto"/>
            <w:vAlign w:val="center"/>
          </w:tcPr>
          <w:p w14:paraId="5C3C2B4B" w14:textId="43976570" w:rsidR="002B3F73" w:rsidRPr="00243F85" w:rsidRDefault="000C4A1E" w:rsidP="005A785B">
            <w:pPr>
              <w:jc w:val="center"/>
              <w:rPr>
                <w:rFonts w:ascii="Arial" w:hAnsi="Arial" w:cs="Arial"/>
                <w:sz w:val="20"/>
                <w:szCs w:val="20"/>
              </w:rPr>
            </w:pPr>
            <w:r w:rsidRPr="00243F85">
              <w:rPr>
                <w:rFonts w:ascii="Arial" w:hAnsi="Arial" w:cs="Arial"/>
                <w:sz w:val="20"/>
                <w:szCs w:val="20"/>
              </w:rPr>
              <w:t>0.012</w:t>
            </w:r>
          </w:p>
        </w:tc>
        <w:tc>
          <w:tcPr>
            <w:tcW w:w="0" w:type="auto"/>
            <w:vAlign w:val="center"/>
          </w:tcPr>
          <w:p w14:paraId="0B55CDEA" w14:textId="3E8DDD9F" w:rsidR="002B3F73" w:rsidRPr="00243F85" w:rsidRDefault="000C4A1E" w:rsidP="005A785B">
            <w:pPr>
              <w:jc w:val="center"/>
              <w:rPr>
                <w:rFonts w:ascii="Arial" w:hAnsi="Arial" w:cs="Arial"/>
                <w:sz w:val="20"/>
                <w:szCs w:val="20"/>
              </w:rPr>
            </w:pPr>
            <w:r w:rsidRPr="00243F85">
              <w:rPr>
                <w:rFonts w:ascii="Arial" w:hAnsi="Arial" w:cs="Arial"/>
                <w:sz w:val="20"/>
                <w:szCs w:val="20"/>
              </w:rPr>
              <w:t>0.003</w:t>
            </w:r>
          </w:p>
        </w:tc>
        <w:tc>
          <w:tcPr>
            <w:tcW w:w="0" w:type="auto"/>
            <w:vAlign w:val="center"/>
          </w:tcPr>
          <w:p w14:paraId="75C95289" w14:textId="5770B459" w:rsidR="002B3F73" w:rsidRPr="00243F85" w:rsidRDefault="000C4A1E" w:rsidP="005A785B">
            <w:pPr>
              <w:jc w:val="center"/>
              <w:rPr>
                <w:rFonts w:ascii="Arial" w:hAnsi="Arial" w:cs="Arial"/>
                <w:sz w:val="20"/>
                <w:szCs w:val="20"/>
              </w:rPr>
            </w:pPr>
            <w:r w:rsidRPr="00243F85">
              <w:rPr>
                <w:rFonts w:ascii="Arial" w:hAnsi="Arial" w:cs="Arial"/>
                <w:sz w:val="20"/>
                <w:szCs w:val="20"/>
              </w:rPr>
              <w:t>0.001</w:t>
            </w:r>
          </w:p>
        </w:tc>
        <w:tc>
          <w:tcPr>
            <w:tcW w:w="0" w:type="auto"/>
            <w:vAlign w:val="center"/>
          </w:tcPr>
          <w:p w14:paraId="47704B61" w14:textId="1100D284" w:rsidR="002B3F73" w:rsidRPr="00243F85" w:rsidRDefault="000C4A1E" w:rsidP="005A785B">
            <w:pPr>
              <w:jc w:val="center"/>
              <w:rPr>
                <w:rFonts w:ascii="Arial" w:hAnsi="Arial" w:cs="Arial"/>
                <w:sz w:val="20"/>
                <w:szCs w:val="20"/>
              </w:rPr>
            </w:pPr>
            <w:r w:rsidRPr="00243F85">
              <w:rPr>
                <w:rFonts w:ascii="Arial" w:hAnsi="Arial" w:cs="Arial"/>
                <w:sz w:val="20"/>
                <w:szCs w:val="20"/>
              </w:rPr>
              <w:t>0.002</w:t>
            </w:r>
          </w:p>
        </w:tc>
      </w:tr>
      <w:bookmarkEnd w:id="6"/>
    </w:tbl>
    <w:p w14:paraId="0D28F83C" w14:textId="77777777" w:rsidR="00B87E18" w:rsidRPr="00243F85" w:rsidRDefault="00B87E18" w:rsidP="005F0143">
      <w:pPr>
        <w:jc w:val="center"/>
        <w:rPr>
          <w:rFonts w:ascii="Arial" w:hAnsi="Arial" w:cs="Arial"/>
          <w:sz w:val="20"/>
          <w:szCs w:val="20"/>
        </w:rPr>
      </w:pPr>
    </w:p>
    <w:p w14:paraId="3295E3C9" w14:textId="51C0A7B9" w:rsidR="005F0143" w:rsidRPr="00243F85" w:rsidRDefault="005F0143" w:rsidP="005F0143">
      <w:pPr>
        <w:jc w:val="center"/>
        <w:rPr>
          <w:rFonts w:ascii="Arial" w:hAnsi="Arial" w:cs="Arial"/>
          <w:b/>
          <w:bCs/>
          <w:sz w:val="20"/>
          <w:szCs w:val="20"/>
        </w:rPr>
      </w:pPr>
      <w:r w:rsidRPr="00243F85">
        <w:rPr>
          <w:rFonts w:ascii="Arial" w:hAnsi="Arial" w:cs="Arial"/>
          <w:b/>
          <w:bCs/>
          <w:sz w:val="20"/>
          <w:szCs w:val="20"/>
        </w:rPr>
        <w:t>Figure 3: Sensory evaluation of fruit tea</w:t>
      </w:r>
    </w:p>
    <w:p w14:paraId="44568D10" w14:textId="0E7356A5" w:rsidR="00B87E18" w:rsidRPr="00243F85" w:rsidRDefault="00B534FA" w:rsidP="005A785B">
      <w:pPr>
        <w:jc w:val="center"/>
        <w:rPr>
          <w:rFonts w:ascii="Arial" w:hAnsi="Arial" w:cs="Arial"/>
          <w:b/>
          <w:bCs/>
          <w:sz w:val="20"/>
          <w:szCs w:val="20"/>
        </w:rPr>
      </w:pPr>
      <w:r w:rsidRPr="00243F85">
        <w:rPr>
          <w:rFonts w:ascii="Arial" w:hAnsi="Arial" w:cs="Arial"/>
          <w:b/>
          <w:bCs/>
          <w:noProof/>
          <w:sz w:val="20"/>
          <w:szCs w:val="20"/>
          <w:lang w:val="en-US" w:bidi="ar-SA"/>
        </w:rPr>
        <w:drawing>
          <wp:inline distT="0" distB="0" distL="0" distR="0" wp14:anchorId="79CFA39F" wp14:editId="2DC506FF">
            <wp:extent cx="3166738" cy="1793310"/>
            <wp:effectExtent l="19050" t="19050" r="15240" b="16510"/>
            <wp:docPr id="499021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021151" name="Picture 499021151"/>
                    <pic:cNvPicPr/>
                  </pic:nvPicPr>
                  <pic:blipFill rotWithShape="1">
                    <a:blip r:embed="rId10" cstate="print">
                      <a:extLst>
                        <a:ext uri="{28A0092B-C50C-407E-A947-70E740481C1C}">
                          <a14:useLocalDpi xmlns:a14="http://schemas.microsoft.com/office/drawing/2010/main" val="0"/>
                        </a:ext>
                      </a:extLst>
                    </a:blip>
                    <a:srcRect t="5625"/>
                    <a:stretch>
                      <a:fillRect/>
                    </a:stretch>
                  </pic:blipFill>
                  <pic:spPr bwMode="auto">
                    <a:xfrm>
                      <a:off x="0" y="0"/>
                      <a:ext cx="3180012" cy="1800827"/>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2DB23795" w14:textId="636F6030" w:rsidR="004A6E06" w:rsidRPr="00243F85" w:rsidRDefault="004A6E06" w:rsidP="004A6E06">
      <w:pPr>
        <w:jc w:val="center"/>
        <w:rPr>
          <w:rFonts w:ascii="Arial" w:hAnsi="Arial" w:cs="Arial"/>
          <w:b/>
          <w:bCs/>
          <w:sz w:val="20"/>
          <w:szCs w:val="20"/>
        </w:rPr>
      </w:pPr>
      <w:r w:rsidRPr="00243F85">
        <w:rPr>
          <w:rFonts w:ascii="Arial" w:hAnsi="Arial" w:cs="Arial"/>
          <w:b/>
          <w:bCs/>
          <w:sz w:val="20"/>
          <w:szCs w:val="20"/>
        </w:rPr>
        <w:t xml:space="preserve">Figure </w:t>
      </w:r>
      <w:r>
        <w:rPr>
          <w:rFonts w:ascii="Arial" w:hAnsi="Arial" w:cs="Arial"/>
          <w:b/>
          <w:bCs/>
          <w:sz w:val="20"/>
          <w:szCs w:val="20"/>
        </w:rPr>
        <w:t>4</w:t>
      </w:r>
      <w:r w:rsidRPr="00243F85">
        <w:rPr>
          <w:rFonts w:ascii="Arial" w:hAnsi="Arial" w:cs="Arial"/>
          <w:b/>
          <w:bCs/>
          <w:sz w:val="20"/>
          <w:szCs w:val="20"/>
        </w:rPr>
        <w:t xml:space="preserve">: </w:t>
      </w:r>
      <w:r>
        <w:rPr>
          <w:rFonts w:ascii="Arial" w:hAnsi="Arial" w:cs="Arial"/>
          <w:b/>
          <w:bCs/>
          <w:sz w:val="20"/>
          <w:szCs w:val="20"/>
        </w:rPr>
        <w:t>Infused</w:t>
      </w:r>
      <w:r w:rsidRPr="00243F85">
        <w:rPr>
          <w:rFonts w:ascii="Arial" w:hAnsi="Arial" w:cs="Arial"/>
          <w:b/>
          <w:bCs/>
          <w:sz w:val="20"/>
          <w:szCs w:val="20"/>
        </w:rPr>
        <w:t xml:space="preserve"> fruit tea</w:t>
      </w:r>
    </w:p>
    <w:p w14:paraId="60A5418D" w14:textId="3291CDC6" w:rsidR="004A6E06" w:rsidRDefault="004A6E06" w:rsidP="004A6E06">
      <w:pPr>
        <w:jc w:val="center"/>
        <w:rPr>
          <w:rFonts w:ascii="Arial" w:hAnsi="Arial" w:cs="Arial"/>
          <w:b/>
          <w:bCs/>
          <w:sz w:val="20"/>
          <w:szCs w:val="20"/>
        </w:rPr>
      </w:pPr>
      <w:r>
        <w:rPr>
          <w:rFonts w:ascii="Arial" w:hAnsi="Arial" w:cs="Arial"/>
          <w:b/>
          <w:bCs/>
          <w:noProof/>
          <w:sz w:val="20"/>
          <w:szCs w:val="20"/>
          <w:lang w:val="en-US" w:bidi="ar-SA"/>
        </w:rPr>
        <w:drawing>
          <wp:inline distT="0" distB="0" distL="0" distR="0" wp14:anchorId="33E24F4C" wp14:editId="741A5DEA">
            <wp:extent cx="3169254" cy="1476000"/>
            <wp:effectExtent l="0" t="0" r="0" b="0"/>
            <wp:docPr id="1778797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97038" name="Picture 1778797038"/>
                    <pic:cNvPicPr/>
                  </pic:nvPicPr>
                  <pic:blipFill>
                    <a:blip r:embed="rId11">
                      <a:extLst>
                        <a:ext uri="{28A0092B-C50C-407E-A947-70E740481C1C}">
                          <a14:useLocalDpi xmlns:a14="http://schemas.microsoft.com/office/drawing/2010/main" val="0"/>
                        </a:ext>
                      </a:extLst>
                    </a:blip>
                    <a:stretch>
                      <a:fillRect/>
                    </a:stretch>
                  </pic:blipFill>
                  <pic:spPr>
                    <a:xfrm>
                      <a:off x="0" y="0"/>
                      <a:ext cx="3169254" cy="1476000"/>
                    </a:xfrm>
                    <a:prstGeom prst="rect">
                      <a:avLst/>
                    </a:prstGeom>
                  </pic:spPr>
                </pic:pic>
              </a:graphicData>
            </a:graphic>
          </wp:inline>
        </w:drawing>
      </w:r>
    </w:p>
    <w:p w14:paraId="70DF4B65" w14:textId="00160FBB" w:rsidR="00EB0F6A" w:rsidRPr="00243F85" w:rsidRDefault="005A785B" w:rsidP="005A785B">
      <w:pPr>
        <w:jc w:val="both"/>
        <w:rPr>
          <w:rFonts w:ascii="Arial" w:hAnsi="Arial" w:cs="Arial"/>
          <w:b/>
          <w:bCs/>
          <w:sz w:val="20"/>
          <w:szCs w:val="20"/>
        </w:rPr>
      </w:pPr>
      <w:r w:rsidRPr="00243F85">
        <w:rPr>
          <w:rFonts w:ascii="Arial" w:hAnsi="Arial" w:cs="Arial"/>
          <w:b/>
          <w:bCs/>
          <w:sz w:val="20"/>
          <w:szCs w:val="20"/>
        </w:rPr>
        <w:t xml:space="preserve">3.2 </w:t>
      </w:r>
      <w:bookmarkStart w:id="7" w:name="_Hlk204349949"/>
      <w:r w:rsidR="006F5A3A" w:rsidRPr="003767B5">
        <w:rPr>
          <w:rFonts w:ascii="Arial" w:hAnsi="Arial" w:cs="Arial"/>
          <w:b/>
          <w:bCs/>
          <w:sz w:val="20"/>
          <w:szCs w:val="20"/>
          <w:u w:val="single"/>
        </w:rPr>
        <w:t>Proximate composition</w:t>
      </w:r>
    </w:p>
    <w:p w14:paraId="73639072" w14:textId="13FAB93C" w:rsidR="008B400E" w:rsidRPr="008B400E" w:rsidRDefault="008B400E" w:rsidP="008B400E">
      <w:pPr>
        <w:jc w:val="both"/>
        <w:rPr>
          <w:rFonts w:ascii="Arial" w:hAnsi="Arial" w:cs="Arial"/>
          <w:sz w:val="20"/>
          <w:szCs w:val="20"/>
        </w:rPr>
      </w:pPr>
      <w:r w:rsidRPr="008B400E">
        <w:rPr>
          <w:rFonts w:ascii="Arial" w:hAnsi="Arial" w:cs="Arial"/>
          <w:sz w:val="20"/>
          <w:szCs w:val="20"/>
        </w:rPr>
        <w:t xml:space="preserve">The proximate analysis of the optimized fruit peel tea formulation (Sample S3) was conducted to evaluate its nutritional profile. The results are presented in Table </w:t>
      </w:r>
      <w:r w:rsidRPr="00243F85">
        <w:rPr>
          <w:rFonts w:ascii="Arial" w:hAnsi="Arial" w:cs="Arial"/>
          <w:sz w:val="20"/>
          <w:szCs w:val="20"/>
        </w:rPr>
        <w:t>3</w:t>
      </w:r>
      <w:r w:rsidRPr="008B400E">
        <w:rPr>
          <w:rFonts w:ascii="Arial" w:hAnsi="Arial" w:cs="Arial"/>
          <w:sz w:val="20"/>
          <w:szCs w:val="20"/>
        </w:rPr>
        <w:t>.</w:t>
      </w:r>
    </w:p>
    <w:p w14:paraId="62A80384" w14:textId="46417B64" w:rsidR="008B400E" w:rsidRPr="008B400E" w:rsidRDefault="008B400E" w:rsidP="008B400E">
      <w:pPr>
        <w:jc w:val="both"/>
        <w:rPr>
          <w:rFonts w:ascii="Arial" w:hAnsi="Arial" w:cs="Arial"/>
          <w:sz w:val="20"/>
          <w:szCs w:val="20"/>
        </w:rPr>
      </w:pPr>
      <w:r w:rsidRPr="00243F85">
        <w:rPr>
          <w:rFonts w:ascii="Arial" w:hAnsi="Arial" w:cs="Arial"/>
          <w:sz w:val="20"/>
          <w:szCs w:val="20"/>
        </w:rPr>
        <w:t>Moisture Content (6.42%) was relatively low, indicating good shelf stability and reduced microbial susceptibility. This is consistent with the vacuum drying technique used, which effectively minimizes water activity.</w:t>
      </w:r>
      <w:r w:rsidR="003A419F" w:rsidRPr="00243F85">
        <w:rPr>
          <w:rFonts w:ascii="Arial" w:hAnsi="Arial" w:cs="Arial"/>
          <w:sz w:val="20"/>
          <w:szCs w:val="20"/>
        </w:rPr>
        <w:t xml:space="preserve"> </w:t>
      </w:r>
      <w:r w:rsidRPr="008B400E">
        <w:rPr>
          <w:rFonts w:ascii="Arial" w:hAnsi="Arial" w:cs="Arial"/>
          <w:sz w:val="20"/>
          <w:szCs w:val="20"/>
        </w:rPr>
        <w:t>Ash Content (2.56%) reflects the presence of essential minerals such as calcium, potassium, and magnesium, which are abundant in citrus and pomegranate peels.</w:t>
      </w:r>
      <w:r w:rsidR="003A419F" w:rsidRPr="00243F85">
        <w:rPr>
          <w:rFonts w:ascii="Arial" w:hAnsi="Arial" w:cs="Arial"/>
          <w:sz w:val="20"/>
          <w:szCs w:val="20"/>
        </w:rPr>
        <w:t xml:space="preserve"> </w:t>
      </w:r>
      <w:r w:rsidRPr="008B400E">
        <w:rPr>
          <w:rFonts w:ascii="Arial" w:hAnsi="Arial" w:cs="Arial"/>
          <w:sz w:val="20"/>
          <w:szCs w:val="20"/>
        </w:rPr>
        <w:t>Crude Fat (</w:t>
      </w:r>
      <w:r w:rsidR="003A419F" w:rsidRPr="00243F85">
        <w:rPr>
          <w:rFonts w:ascii="Arial" w:hAnsi="Arial" w:cs="Arial"/>
          <w:sz w:val="20"/>
          <w:szCs w:val="20"/>
        </w:rPr>
        <w:t>4</w:t>
      </w:r>
      <w:r w:rsidRPr="008B400E">
        <w:rPr>
          <w:rFonts w:ascii="Arial" w:hAnsi="Arial" w:cs="Arial"/>
          <w:sz w:val="20"/>
          <w:szCs w:val="20"/>
        </w:rPr>
        <w:t>.33%)</w:t>
      </w:r>
      <w:r w:rsidR="003A419F" w:rsidRPr="00243F85">
        <w:rPr>
          <w:rFonts w:ascii="Arial" w:hAnsi="Arial" w:cs="Arial"/>
          <w:sz w:val="20"/>
          <w:szCs w:val="20"/>
        </w:rPr>
        <w:t xml:space="preserve"> supports digestive health and satiety. The fibre content, primarily insoluble, originates from the albedo and rind portions of the fruit peels.</w:t>
      </w:r>
      <w:r w:rsidRPr="008B400E">
        <w:rPr>
          <w:rFonts w:ascii="Arial" w:hAnsi="Arial" w:cs="Arial"/>
          <w:sz w:val="20"/>
          <w:szCs w:val="20"/>
        </w:rPr>
        <w:t xml:space="preserve"> Crude Protein (5.86%) suggests moderate protein content, primarily from residual cellular material in the peels. While not a primary protein source, it adds functional value to the formulation.</w:t>
      </w:r>
      <w:r w:rsidR="003A419F" w:rsidRPr="00243F85">
        <w:rPr>
          <w:rFonts w:ascii="Arial" w:hAnsi="Arial" w:cs="Arial"/>
          <w:sz w:val="20"/>
          <w:szCs w:val="20"/>
        </w:rPr>
        <w:t xml:space="preserve"> </w:t>
      </w:r>
      <w:r w:rsidRPr="008B400E">
        <w:rPr>
          <w:rFonts w:ascii="Arial" w:hAnsi="Arial" w:cs="Arial"/>
          <w:sz w:val="20"/>
          <w:szCs w:val="20"/>
        </w:rPr>
        <w:t>Crude Fibre (3.21%) enhances digestive benefits and supports satiety. The presence of insoluble fibre from citrus albedo and pomegranate rind contributes to this value.</w:t>
      </w:r>
      <w:r w:rsidR="003A419F" w:rsidRPr="00243F85">
        <w:rPr>
          <w:rFonts w:ascii="Arial" w:hAnsi="Arial" w:cs="Arial"/>
          <w:sz w:val="20"/>
          <w:szCs w:val="20"/>
        </w:rPr>
        <w:t xml:space="preserve"> </w:t>
      </w:r>
      <w:r w:rsidRPr="008B400E">
        <w:rPr>
          <w:rFonts w:ascii="Arial" w:hAnsi="Arial" w:cs="Arial"/>
          <w:sz w:val="20"/>
          <w:szCs w:val="20"/>
        </w:rPr>
        <w:t>Carbohydrates (61.62%) were the major component, providing mild sweetness and energy. These include simple sugars and complex polysaccharides retained post-drying.</w:t>
      </w:r>
      <w:r w:rsidR="003A419F" w:rsidRPr="00243F85">
        <w:rPr>
          <w:rFonts w:ascii="Arial" w:hAnsi="Arial" w:cs="Arial"/>
          <w:sz w:val="20"/>
          <w:szCs w:val="20"/>
        </w:rPr>
        <w:t xml:space="preserve"> </w:t>
      </w:r>
      <w:r w:rsidRPr="008B400E">
        <w:rPr>
          <w:rFonts w:ascii="Arial" w:hAnsi="Arial" w:cs="Arial"/>
          <w:sz w:val="20"/>
          <w:szCs w:val="20"/>
        </w:rPr>
        <w:t>Energy Value (348.21 kcal/100g) positions the product as a light, functional beverage suitable for health-conscious consumers.</w:t>
      </w:r>
    </w:p>
    <w:p w14:paraId="5073B7A3" w14:textId="445A2F97" w:rsidR="008B400E" w:rsidRPr="00243F85" w:rsidRDefault="008B400E" w:rsidP="008B400E">
      <w:pPr>
        <w:jc w:val="center"/>
        <w:rPr>
          <w:rFonts w:ascii="Arial" w:hAnsi="Arial" w:cs="Arial"/>
          <w:sz w:val="20"/>
          <w:szCs w:val="20"/>
        </w:rPr>
      </w:pPr>
      <w:r w:rsidRPr="00243F85">
        <w:rPr>
          <w:rFonts w:ascii="Arial" w:hAnsi="Arial" w:cs="Arial"/>
          <w:b/>
          <w:bCs/>
          <w:sz w:val="20"/>
          <w:szCs w:val="20"/>
        </w:rPr>
        <w:t>Table 3: Proximate composition of fruit tea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695"/>
        <w:gridCol w:w="1338"/>
      </w:tblGrid>
      <w:tr w:rsidR="006F5A3A" w:rsidRPr="00243F85" w14:paraId="74893F20" w14:textId="77777777" w:rsidTr="00E46BE0">
        <w:trPr>
          <w:jc w:val="center"/>
        </w:trPr>
        <w:tc>
          <w:tcPr>
            <w:tcW w:w="0" w:type="auto"/>
            <w:tcBorders>
              <w:bottom w:val="single" w:sz="4" w:space="0" w:color="auto"/>
            </w:tcBorders>
          </w:tcPr>
          <w:p w14:paraId="1BFACF61" w14:textId="52A8AE3A" w:rsidR="006F5A3A" w:rsidRPr="00243F85" w:rsidRDefault="006F5A3A" w:rsidP="005A785B">
            <w:pPr>
              <w:jc w:val="both"/>
              <w:rPr>
                <w:rFonts w:ascii="Arial" w:hAnsi="Arial" w:cs="Arial"/>
                <w:b/>
                <w:bCs/>
                <w:sz w:val="20"/>
                <w:szCs w:val="20"/>
              </w:rPr>
            </w:pPr>
            <w:r w:rsidRPr="00243F85">
              <w:rPr>
                <w:rFonts w:ascii="Arial" w:hAnsi="Arial" w:cs="Arial"/>
                <w:b/>
                <w:bCs/>
                <w:sz w:val="20"/>
                <w:szCs w:val="20"/>
              </w:rPr>
              <w:t>Sr. No.</w:t>
            </w:r>
          </w:p>
        </w:tc>
        <w:tc>
          <w:tcPr>
            <w:tcW w:w="0" w:type="auto"/>
            <w:tcBorders>
              <w:bottom w:val="single" w:sz="4" w:space="0" w:color="auto"/>
            </w:tcBorders>
          </w:tcPr>
          <w:p w14:paraId="7FF28969" w14:textId="55161B57" w:rsidR="006F5A3A" w:rsidRPr="00243F85" w:rsidRDefault="006F5A3A" w:rsidP="005A785B">
            <w:pPr>
              <w:jc w:val="both"/>
              <w:rPr>
                <w:rFonts w:ascii="Arial" w:hAnsi="Arial" w:cs="Arial"/>
                <w:b/>
                <w:bCs/>
                <w:sz w:val="20"/>
                <w:szCs w:val="20"/>
              </w:rPr>
            </w:pPr>
            <w:r w:rsidRPr="00243F85">
              <w:rPr>
                <w:rFonts w:ascii="Arial" w:hAnsi="Arial" w:cs="Arial"/>
                <w:b/>
                <w:bCs/>
                <w:sz w:val="20"/>
                <w:szCs w:val="20"/>
              </w:rPr>
              <w:t xml:space="preserve">Parameter </w:t>
            </w:r>
          </w:p>
        </w:tc>
        <w:tc>
          <w:tcPr>
            <w:tcW w:w="0" w:type="auto"/>
            <w:tcBorders>
              <w:bottom w:val="single" w:sz="4" w:space="0" w:color="auto"/>
            </w:tcBorders>
          </w:tcPr>
          <w:p w14:paraId="168E84CC" w14:textId="2A32A111" w:rsidR="006F5A3A" w:rsidRPr="00243F85" w:rsidRDefault="006F5A3A" w:rsidP="005A785B">
            <w:pPr>
              <w:jc w:val="both"/>
              <w:rPr>
                <w:rFonts w:ascii="Arial" w:hAnsi="Arial" w:cs="Arial"/>
                <w:b/>
                <w:bCs/>
                <w:sz w:val="20"/>
                <w:szCs w:val="20"/>
              </w:rPr>
            </w:pPr>
            <w:r w:rsidRPr="00243F85">
              <w:rPr>
                <w:rFonts w:ascii="Arial" w:hAnsi="Arial" w:cs="Arial"/>
                <w:b/>
                <w:bCs/>
                <w:sz w:val="20"/>
                <w:szCs w:val="20"/>
              </w:rPr>
              <w:t>Amount (%)</w:t>
            </w:r>
          </w:p>
        </w:tc>
      </w:tr>
      <w:tr w:rsidR="00E46BE0" w:rsidRPr="00243F85" w14:paraId="72C5ED76" w14:textId="77777777" w:rsidTr="00E46BE0">
        <w:trPr>
          <w:jc w:val="center"/>
        </w:trPr>
        <w:tc>
          <w:tcPr>
            <w:tcW w:w="0" w:type="auto"/>
            <w:tcBorders>
              <w:top w:val="single" w:sz="4" w:space="0" w:color="auto"/>
              <w:bottom w:val="nil"/>
            </w:tcBorders>
          </w:tcPr>
          <w:p w14:paraId="5047B798" w14:textId="2CD7F38B" w:rsidR="00E46BE0" w:rsidRPr="00243F85" w:rsidRDefault="00E46BE0" w:rsidP="005A785B">
            <w:pPr>
              <w:jc w:val="both"/>
              <w:rPr>
                <w:rFonts w:ascii="Arial" w:hAnsi="Arial" w:cs="Arial"/>
                <w:sz w:val="20"/>
                <w:szCs w:val="20"/>
              </w:rPr>
            </w:pPr>
            <w:r w:rsidRPr="00243F85">
              <w:rPr>
                <w:rFonts w:ascii="Arial" w:hAnsi="Arial" w:cs="Arial"/>
                <w:sz w:val="20"/>
                <w:szCs w:val="20"/>
              </w:rPr>
              <w:t>1</w:t>
            </w:r>
          </w:p>
        </w:tc>
        <w:tc>
          <w:tcPr>
            <w:tcW w:w="0" w:type="auto"/>
            <w:tcBorders>
              <w:top w:val="single" w:sz="4" w:space="0" w:color="auto"/>
              <w:bottom w:val="nil"/>
            </w:tcBorders>
          </w:tcPr>
          <w:p w14:paraId="6A5B1D8E" w14:textId="661A698F" w:rsidR="00E46BE0" w:rsidRPr="00243F85" w:rsidRDefault="00E46BE0" w:rsidP="005A785B">
            <w:pPr>
              <w:jc w:val="both"/>
              <w:rPr>
                <w:rFonts w:ascii="Arial" w:hAnsi="Arial" w:cs="Arial"/>
                <w:sz w:val="20"/>
                <w:szCs w:val="20"/>
              </w:rPr>
            </w:pPr>
            <w:r w:rsidRPr="00243F85">
              <w:rPr>
                <w:rFonts w:ascii="Arial" w:hAnsi="Arial" w:cs="Arial"/>
                <w:sz w:val="20"/>
                <w:szCs w:val="20"/>
              </w:rPr>
              <w:t>Moisture content</w:t>
            </w:r>
          </w:p>
        </w:tc>
        <w:tc>
          <w:tcPr>
            <w:tcW w:w="0" w:type="auto"/>
            <w:tcBorders>
              <w:top w:val="single" w:sz="4" w:space="0" w:color="auto"/>
              <w:bottom w:val="nil"/>
            </w:tcBorders>
          </w:tcPr>
          <w:p w14:paraId="4489BA89" w14:textId="1E507495" w:rsidR="00E46BE0" w:rsidRPr="00243F85" w:rsidRDefault="00E46BE0" w:rsidP="005A785B">
            <w:pPr>
              <w:jc w:val="both"/>
              <w:rPr>
                <w:rFonts w:ascii="Arial" w:hAnsi="Arial" w:cs="Arial"/>
                <w:sz w:val="20"/>
                <w:szCs w:val="20"/>
              </w:rPr>
            </w:pPr>
            <w:r w:rsidRPr="00243F85">
              <w:rPr>
                <w:rFonts w:ascii="Arial" w:hAnsi="Arial" w:cs="Arial"/>
                <w:sz w:val="20"/>
                <w:szCs w:val="20"/>
              </w:rPr>
              <w:t>6.42</w:t>
            </w:r>
          </w:p>
        </w:tc>
      </w:tr>
      <w:tr w:rsidR="00E46BE0" w:rsidRPr="00243F85" w14:paraId="3AEEF8CD" w14:textId="77777777" w:rsidTr="00E46BE0">
        <w:trPr>
          <w:jc w:val="center"/>
        </w:trPr>
        <w:tc>
          <w:tcPr>
            <w:tcW w:w="0" w:type="auto"/>
            <w:tcBorders>
              <w:top w:val="nil"/>
            </w:tcBorders>
          </w:tcPr>
          <w:p w14:paraId="2E33C3F3" w14:textId="73A6EAD8" w:rsidR="00E46BE0" w:rsidRPr="00243F85" w:rsidRDefault="00E46BE0" w:rsidP="005A785B">
            <w:pPr>
              <w:jc w:val="both"/>
              <w:rPr>
                <w:rFonts w:ascii="Arial" w:hAnsi="Arial" w:cs="Arial"/>
                <w:sz w:val="20"/>
                <w:szCs w:val="20"/>
              </w:rPr>
            </w:pPr>
            <w:r w:rsidRPr="00243F85">
              <w:rPr>
                <w:rFonts w:ascii="Arial" w:hAnsi="Arial" w:cs="Arial"/>
                <w:sz w:val="20"/>
                <w:szCs w:val="20"/>
              </w:rPr>
              <w:t>2</w:t>
            </w:r>
          </w:p>
        </w:tc>
        <w:tc>
          <w:tcPr>
            <w:tcW w:w="0" w:type="auto"/>
            <w:tcBorders>
              <w:top w:val="nil"/>
            </w:tcBorders>
          </w:tcPr>
          <w:p w14:paraId="12F11354" w14:textId="0F95459C" w:rsidR="00E46BE0" w:rsidRPr="00243F85" w:rsidRDefault="00E46BE0" w:rsidP="005A785B">
            <w:pPr>
              <w:jc w:val="both"/>
              <w:rPr>
                <w:rFonts w:ascii="Arial" w:hAnsi="Arial" w:cs="Arial"/>
                <w:sz w:val="20"/>
                <w:szCs w:val="20"/>
              </w:rPr>
            </w:pPr>
            <w:r w:rsidRPr="00243F85">
              <w:rPr>
                <w:rFonts w:ascii="Arial" w:hAnsi="Arial" w:cs="Arial"/>
                <w:sz w:val="20"/>
                <w:szCs w:val="20"/>
              </w:rPr>
              <w:t>Protein</w:t>
            </w:r>
          </w:p>
        </w:tc>
        <w:tc>
          <w:tcPr>
            <w:tcW w:w="0" w:type="auto"/>
            <w:tcBorders>
              <w:top w:val="nil"/>
            </w:tcBorders>
          </w:tcPr>
          <w:p w14:paraId="457F2D05" w14:textId="6C9C1E1A" w:rsidR="00E46BE0" w:rsidRPr="00243F85" w:rsidRDefault="00E46BE0" w:rsidP="005A785B">
            <w:pPr>
              <w:jc w:val="both"/>
              <w:rPr>
                <w:rFonts w:ascii="Arial" w:hAnsi="Arial" w:cs="Arial"/>
                <w:sz w:val="20"/>
                <w:szCs w:val="20"/>
              </w:rPr>
            </w:pPr>
            <w:r w:rsidRPr="00243F85">
              <w:rPr>
                <w:rFonts w:ascii="Arial" w:hAnsi="Arial" w:cs="Arial"/>
                <w:sz w:val="20"/>
                <w:szCs w:val="20"/>
              </w:rPr>
              <w:t>5.86</w:t>
            </w:r>
          </w:p>
        </w:tc>
      </w:tr>
      <w:tr w:rsidR="00E46BE0" w:rsidRPr="00243F85" w14:paraId="6991DDFB" w14:textId="77777777" w:rsidTr="00E46BE0">
        <w:trPr>
          <w:jc w:val="center"/>
        </w:trPr>
        <w:tc>
          <w:tcPr>
            <w:tcW w:w="0" w:type="auto"/>
          </w:tcPr>
          <w:p w14:paraId="7CCB9E18" w14:textId="658C4805" w:rsidR="00E46BE0" w:rsidRPr="00243F85" w:rsidRDefault="00E46BE0" w:rsidP="005A785B">
            <w:pPr>
              <w:jc w:val="both"/>
              <w:rPr>
                <w:rFonts w:ascii="Arial" w:hAnsi="Arial" w:cs="Arial"/>
                <w:sz w:val="20"/>
                <w:szCs w:val="20"/>
              </w:rPr>
            </w:pPr>
            <w:r w:rsidRPr="00243F85">
              <w:rPr>
                <w:rFonts w:ascii="Arial" w:hAnsi="Arial" w:cs="Arial"/>
                <w:sz w:val="20"/>
                <w:szCs w:val="20"/>
              </w:rPr>
              <w:t>3</w:t>
            </w:r>
          </w:p>
        </w:tc>
        <w:tc>
          <w:tcPr>
            <w:tcW w:w="0" w:type="auto"/>
          </w:tcPr>
          <w:p w14:paraId="2A7D05D1" w14:textId="3C3BC0A2" w:rsidR="00E46BE0" w:rsidRPr="00243F85" w:rsidRDefault="00E46BE0" w:rsidP="005A785B">
            <w:pPr>
              <w:jc w:val="both"/>
              <w:rPr>
                <w:rFonts w:ascii="Arial" w:hAnsi="Arial" w:cs="Arial"/>
                <w:sz w:val="20"/>
                <w:szCs w:val="20"/>
              </w:rPr>
            </w:pPr>
            <w:r w:rsidRPr="00243F85">
              <w:rPr>
                <w:rFonts w:ascii="Arial" w:hAnsi="Arial" w:cs="Arial"/>
                <w:sz w:val="20"/>
                <w:szCs w:val="20"/>
              </w:rPr>
              <w:t>Fat</w:t>
            </w:r>
          </w:p>
        </w:tc>
        <w:tc>
          <w:tcPr>
            <w:tcW w:w="0" w:type="auto"/>
          </w:tcPr>
          <w:p w14:paraId="1954E996" w14:textId="3BBCB7A9" w:rsidR="00E46BE0" w:rsidRPr="00243F85" w:rsidRDefault="003A419F" w:rsidP="005A785B">
            <w:pPr>
              <w:jc w:val="both"/>
              <w:rPr>
                <w:rFonts w:ascii="Arial" w:hAnsi="Arial" w:cs="Arial"/>
                <w:sz w:val="20"/>
                <w:szCs w:val="20"/>
              </w:rPr>
            </w:pPr>
            <w:r w:rsidRPr="00243F85">
              <w:rPr>
                <w:rFonts w:ascii="Arial" w:hAnsi="Arial" w:cs="Arial"/>
                <w:sz w:val="20"/>
                <w:szCs w:val="20"/>
              </w:rPr>
              <w:t>4</w:t>
            </w:r>
            <w:r w:rsidR="00E46BE0" w:rsidRPr="00243F85">
              <w:rPr>
                <w:rFonts w:ascii="Arial" w:hAnsi="Arial" w:cs="Arial"/>
                <w:sz w:val="20"/>
                <w:szCs w:val="20"/>
              </w:rPr>
              <w:t>.33</w:t>
            </w:r>
          </w:p>
        </w:tc>
      </w:tr>
      <w:tr w:rsidR="00E46BE0" w:rsidRPr="00243F85" w14:paraId="659EFE7B" w14:textId="77777777" w:rsidTr="00E46BE0">
        <w:trPr>
          <w:jc w:val="center"/>
        </w:trPr>
        <w:tc>
          <w:tcPr>
            <w:tcW w:w="0" w:type="auto"/>
          </w:tcPr>
          <w:p w14:paraId="1BFDD2C2" w14:textId="51B3C2DB" w:rsidR="00E46BE0" w:rsidRPr="00243F85" w:rsidRDefault="00E46BE0" w:rsidP="005A785B">
            <w:pPr>
              <w:jc w:val="both"/>
              <w:rPr>
                <w:rFonts w:ascii="Arial" w:hAnsi="Arial" w:cs="Arial"/>
                <w:sz w:val="20"/>
                <w:szCs w:val="20"/>
              </w:rPr>
            </w:pPr>
            <w:r w:rsidRPr="00243F85">
              <w:rPr>
                <w:rFonts w:ascii="Arial" w:hAnsi="Arial" w:cs="Arial"/>
                <w:sz w:val="20"/>
                <w:szCs w:val="20"/>
              </w:rPr>
              <w:t>4</w:t>
            </w:r>
          </w:p>
        </w:tc>
        <w:tc>
          <w:tcPr>
            <w:tcW w:w="0" w:type="auto"/>
          </w:tcPr>
          <w:p w14:paraId="738B1784" w14:textId="228C3249" w:rsidR="00E46BE0" w:rsidRPr="00243F85" w:rsidRDefault="00E46BE0" w:rsidP="005A785B">
            <w:pPr>
              <w:jc w:val="both"/>
              <w:rPr>
                <w:rFonts w:ascii="Arial" w:hAnsi="Arial" w:cs="Arial"/>
                <w:sz w:val="20"/>
                <w:szCs w:val="20"/>
              </w:rPr>
            </w:pPr>
            <w:r w:rsidRPr="00243F85">
              <w:rPr>
                <w:rFonts w:ascii="Arial" w:hAnsi="Arial" w:cs="Arial"/>
                <w:sz w:val="20"/>
                <w:szCs w:val="20"/>
              </w:rPr>
              <w:t>Carbohydrates</w:t>
            </w:r>
          </w:p>
        </w:tc>
        <w:tc>
          <w:tcPr>
            <w:tcW w:w="0" w:type="auto"/>
          </w:tcPr>
          <w:p w14:paraId="3A122840" w14:textId="7771D808" w:rsidR="00E46BE0" w:rsidRPr="00243F85" w:rsidRDefault="00E46BE0" w:rsidP="005A785B">
            <w:pPr>
              <w:jc w:val="both"/>
              <w:rPr>
                <w:rFonts w:ascii="Arial" w:hAnsi="Arial" w:cs="Arial"/>
                <w:sz w:val="20"/>
                <w:szCs w:val="20"/>
              </w:rPr>
            </w:pPr>
            <w:r w:rsidRPr="00243F85">
              <w:rPr>
                <w:rFonts w:ascii="Arial" w:hAnsi="Arial" w:cs="Arial"/>
                <w:sz w:val="20"/>
                <w:szCs w:val="20"/>
              </w:rPr>
              <w:t>61</w:t>
            </w:r>
          </w:p>
        </w:tc>
      </w:tr>
      <w:tr w:rsidR="00E46BE0" w:rsidRPr="00243F85" w14:paraId="40F27E0B" w14:textId="77777777" w:rsidTr="00E46BE0">
        <w:trPr>
          <w:jc w:val="center"/>
        </w:trPr>
        <w:tc>
          <w:tcPr>
            <w:tcW w:w="0" w:type="auto"/>
          </w:tcPr>
          <w:p w14:paraId="1F95AFB8" w14:textId="784719A1" w:rsidR="00E46BE0" w:rsidRPr="00243F85" w:rsidRDefault="00E46BE0" w:rsidP="005A785B">
            <w:pPr>
              <w:jc w:val="both"/>
              <w:rPr>
                <w:rFonts w:ascii="Arial" w:hAnsi="Arial" w:cs="Arial"/>
                <w:sz w:val="20"/>
                <w:szCs w:val="20"/>
              </w:rPr>
            </w:pPr>
            <w:r w:rsidRPr="00243F85">
              <w:rPr>
                <w:rFonts w:ascii="Arial" w:hAnsi="Arial" w:cs="Arial"/>
                <w:sz w:val="20"/>
                <w:szCs w:val="20"/>
              </w:rPr>
              <w:t>5</w:t>
            </w:r>
          </w:p>
        </w:tc>
        <w:tc>
          <w:tcPr>
            <w:tcW w:w="0" w:type="auto"/>
          </w:tcPr>
          <w:p w14:paraId="4C82E30F" w14:textId="6579AFFA" w:rsidR="00E46BE0" w:rsidRPr="00243F85" w:rsidRDefault="00E46BE0" w:rsidP="005A785B">
            <w:pPr>
              <w:jc w:val="both"/>
              <w:rPr>
                <w:rFonts w:ascii="Arial" w:hAnsi="Arial" w:cs="Arial"/>
                <w:sz w:val="20"/>
                <w:szCs w:val="20"/>
              </w:rPr>
            </w:pPr>
            <w:r w:rsidRPr="00243F85">
              <w:rPr>
                <w:rFonts w:ascii="Arial" w:hAnsi="Arial" w:cs="Arial"/>
                <w:sz w:val="20"/>
                <w:szCs w:val="20"/>
              </w:rPr>
              <w:t>Crude fibre</w:t>
            </w:r>
          </w:p>
        </w:tc>
        <w:tc>
          <w:tcPr>
            <w:tcW w:w="0" w:type="auto"/>
          </w:tcPr>
          <w:p w14:paraId="544D9FA6" w14:textId="0860FA71" w:rsidR="00E46BE0" w:rsidRPr="00243F85" w:rsidRDefault="00E46BE0" w:rsidP="005A785B">
            <w:pPr>
              <w:jc w:val="both"/>
              <w:rPr>
                <w:rFonts w:ascii="Arial" w:hAnsi="Arial" w:cs="Arial"/>
                <w:sz w:val="20"/>
                <w:szCs w:val="20"/>
              </w:rPr>
            </w:pPr>
            <w:r w:rsidRPr="00243F85">
              <w:rPr>
                <w:rFonts w:ascii="Arial" w:hAnsi="Arial" w:cs="Arial"/>
                <w:sz w:val="20"/>
                <w:szCs w:val="20"/>
              </w:rPr>
              <w:t>3.21</w:t>
            </w:r>
          </w:p>
        </w:tc>
      </w:tr>
      <w:tr w:rsidR="00E46BE0" w:rsidRPr="00243F85" w14:paraId="560965CA" w14:textId="77777777" w:rsidTr="00E46BE0">
        <w:trPr>
          <w:jc w:val="center"/>
        </w:trPr>
        <w:tc>
          <w:tcPr>
            <w:tcW w:w="0" w:type="auto"/>
          </w:tcPr>
          <w:p w14:paraId="6B05B436" w14:textId="5AAF4008" w:rsidR="00E46BE0" w:rsidRPr="00243F85" w:rsidRDefault="00E46BE0" w:rsidP="005A785B">
            <w:pPr>
              <w:jc w:val="both"/>
              <w:rPr>
                <w:rFonts w:ascii="Arial" w:hAnsi="Arial" w:cs="Arial"/>
                <w:sz w:val="20"/>
                <w:szCs w:val="20"/>
              </w:rPr>
            </w:pPr>
            <w:r w:rsidRPr="00243F85">
              <w:rPr>
                <w:rFonts w:ascii="Arial" w:hAnsi="Arial" w:cs="Arial"/>
                <w:sz w:val="20"/>
                <w:szCs w:val="20"/>
              </w:rPr>
              <w:t>6</w:t>
            </w:r>
          </w:p>
        </w:tc>
        <w:tc>
          <w:tcPr>
            <w:tcW w:w="0" w:type="auto"/>
          </w:tcPr>
          <w:p w14:paraId="54DF7573" w14:textId="0B7474C1" w:rsidR="00E46BE0" w:rsidRPr="00243F85" w:rsidRDefault="00E46BE0" w:rsidP="005A785B">
            <w:pPr>
              <w:jc w:val="both"/>
              <w:rPr>
                <w:rFonts w:ascii="Arial" w:hAnsi="Arial" w:cs="Arial"/>
                <w:sz w:val="20"/>
                <w:szCs w:val="20"/>
              </w:rPr>
            </w:pPr>
            <w:r w:rsidRPr="00243F85">
              <w:rPr>
                <w:rFonts w:ascii="Arial" w:hAnsi="Arial" w:cs="Arial"/>
                <w:sz w:val="20"/>
                <w:szCs w:val="20"/>
              </w:rPr>
              <w:t>Ash</w:t>
            </w:r>
          </w:p>
        </w:tc>
        <w:tc>
          <w:tcPr>
            <w:tcW w:w="0" w:type="auto"/>
          </w:tcPr>
          <w:p w14:paraId="1BA9A41B" w14:textId="0DAFD055" w:rsidR="00E46BE0" w:rsidRPr="00243F85" w:rsidRDefault="00E46BE0" w:rsidP="005A785B">
            <w:pPr>
              <w:jc w:val="both"/>
              <w:rPr>
                <w:rFonts w:ascii="Arial" w:hAnsi="Arial" w:cs="Arial"/>
                <w:sz w:val="20"/>
                <w:szCs w:val="20"/>
              </w:rPr>
            </w:pPr>
            <w:r w:rsidRPr="00243F85">
              <w:rPr>
                <w:rFonts w:ascii="Arial" w:hAnsi="Arial" w:cs="Arial"/>
                <w:sz w:val="20"/>
                <w:szCs w:val="20"/>
              </w:rPr>
              <w:t>2.56</w:t>
            </w:r>
          </w:p>
        </w:tc>
      </w:tr>
    </w:tbl>
    <w:p w14:paraId="07D2C5E1" w14:textId="77777777" w:rsidR="006F5A3A" w:rsidRPr="00243F85" w:rsidRDefault="006F5A3A" w:rsidP="005F0143">
      <w:pPr>
        <w:spacing w:after="0"/>
        <w:jc w:val="both"/>
        <w:rPr>
          <w:rFonts w:ascii="Arial" w:hAnsi="Arial" w:cs="Arial"/>
          <w:b/>
          <w:bCs/>
          <w:sz w:val="20"/>
          <w:szCs w:val="20"/>
        </w:rPr>
      </w:pPr>
    </w:p>
    <w:p w14:paraId="7415BE3F" w14:textId="184BF914" w:rsidR="00F868DF" w:rsidRPr="00243F85" w:rsidRDefault="005A785B" w:rsidP="005A785B">
      <w:pPr>
        <w:jc w:val="both"/>
        <w:rPr>
          <w:rFonts w:ascii="Arial" w:hAnsi="Arial" w:cs="Arial"/>
          <w:b/>
          <w:bCs/>
          <w:sz w:val="20"/>
          <w:szCs w:val="20"/>
        </w:rPr>
      </w:pPr>
      <w:r w:rsidRPr="00243F85">
        <w:rPr>
          <w:rFonts w:ascii="Arial" w:hAnsi="Arial" w:cs="Arial"/>
          <w:b/>
          <w:bCs/>
          <w:sz w:val="20"/>
          <w:szCs w:val="20"/>
        </w:rPr>
        <w:t xml:space="preserve">3.3 </w:t>
      </w:r>
      <w:r w:rsidR="00F868DF" w:rsidRPr="00097B54">
        <w:rPr>
          <w:rFonts w:ascii="Arial" w:hAnsi="Arial" w:cs="Arial"/>
          <w:b/>
          <w:bCs/>
          <w:sz w:val="20"/>
          <w:szCs w:val="20"/>
          <w:u w:val="single"/>
        </w:rPr>
        <w:t>Phytochemical composition</w:t>
      </w:r>
    </w:p>
    <w:p w14:paraId="016AC3D2" w14:textId="77777777" w:rsidR="0036677F" w:rsidRPr="00243F85" w:rsidRDefault="003A419F" w:rsidP="003A419F">
      <w:pPr>
        <w:jc w:val="both"/>
        <w:rPr>
          <w:rFonts w:ascii="Arial" w:hAnsi="Arial" w:cs="Arial"/>
          <w:sz w:val="20"/>
          <w:szCs w:val="20"/>
        </w:rPr>
      </w:pPr>
      <w:r w:rsidRPr="003A419F">
        <w:rPr>
          <w:rFonts w:ascii="Arial" w:hAnsi="Arial" w:cs="Arial"/>
          <w:sz w:val="20"/>
          <w:szCs w:val="20"/>
        </w:rPr>
        <w:lastRenderedPageBreak/>
        <w:t xml:space="preserve">Phytochemical analysis was conducted to evaluate the functional potential of fruit peel tea formulations, with a focus on bioactive compounds known for their antioxidant, anti-inflammatory, and health-promoting properties. The results for the optimized formulation (Sample S3) are presented in Table </w:t>
      </w:r>
      <w:r w:rsidRPr="00243F85">
        <w:rPr>
          <w:rFonts w:ascii="Arial" w:hAnsi="Arial" w:cs="Arial"/>
          <w:sz w:val="20"/>
          <w:szCs w:val="20"/>
        </w:rPr>
        <w:t>4</w:t>
      </w:r>
      <w:r w:rsidRPr="003A419F">
        <w:rPr>
          <w:rFonts w:ascii="Arial" w:hAnsi="Arial" w:cs="Arial"/>
          <w:sz w:val="20"/>
          <w:szCs w:val="20"/>
        </w:rPr>
        <w:t>.</w:t>
      </w:r>
      <w:r w:rsidR="0036677F" w:rsidRPr="00243F85">
        <w:rPr>
          <w:rFonts w:ascii="Arial" w:hAnsi="Arial" w:cs="Arial"/>
          <w:sz w:val="20"/>
          <w:szCs w:val="20"/>
        </w:rPr>
        <w:t xml:space="preserve"> </w:t>
      </w:r>
    </w:p>
    <w:p w14:paraId="4386ED7A" w14:textId="7BC01563" w:rsidR="003A419F" w:rsidRPr="00243F85" w:rsidRDefault="003A419F" w:rsidP="005A785B">
      <w:pPr>
        <w:jc w:val="both"/>
        <w:rPr>
          <w:rFonts w:ascii="Arial" w:hAnsi="Arial" w:cs="Arial"/>
          <w:sz w:val="20"/>
          <w:szCs w:val="20"/>
        </w:rPr>
      </w:pPr>
      <w:r w:rsidRPr="003A419F">
        <w:rPr>
          <w:rFonts w:ascii="Arial" w:hAnsi="Arial" w:cs="Arial"/>
          <w:sz w:val="20"/>
          <w:szCs w:val="20"/>
        </w:rPr>
        <w:t>Total</w:t>
      </w:r>
      <w:r w:rsidRPr="003A419F">
        <w:rPr>
          <w:rFonts w:ascii="Arial" w:hAnsi="Arial" w:cs="Arial"/>
          <w:b/>
          <w:bCs/>
          <w:sz w:val="20"/>
          <w:szCs w:val="20"/>
        </w:rPr>
        <w:t xml:space="preserve"> </w:t>
      </w:r>
      <w:r w:rsidRPr="003A419F">
        <w:rPr>
          <w:rFonts w:ascii="Arial" w:hAnsi="Arial" w:cs="Arial"/>
          <w:sz w:val="20"/>
          <w:szCs w:val="20"/>
        </w:rPr>
        <w:t>Phenolic Content (TPC) was highest</w:t>
      </w:r>
      <w:r w:rsidR="0036677F" w:rsidRPr="00243F85">
        <w:rPr>
          <w:rFonts w:ascii="Arial" w:hAnsi="Arial" w:cs="Arial"/>
          <w:sz w:val="20"/>
          <w:szCs w:val="20"/>
        </w:rPr>
        <w:t xml:space="preserve"> (</w:t>
      </w:r>
      <w:r w:rsidR="0036677F" w:rsidRPr="00F868DF">
        <w:rPr>
          <w:rFonts w:ascii="Arial" w:eastAsia="Times New Roman" w:hAnsi="Arial" w:cs="Arial"/>
          <w:color w:val="000000"/>
          <w:kern w:val="0"/>
          <w:sz w:val="20"/>
          <w:szCs w:val="20"/>
          <w:lang w:eastAsia="en-IN"/>
          <w14:ligatures w14:val="none"/>
        </w:rPr>
        <w:t>190.67 mg GAE</w:t>
      </w:r>
      <w:r w:rsidR="0036677F" w:rsidRPr="00243F85">
        <w:rPr>
          <w:rFonts w:ascii="Arial" w:eastAsia="Times New Roman" w:hAnsi="Arial" w:cs="Arial"/>
          <w:color w:val="000000"/>
          <w:kern w:val="0"/>
          <w:sz w:val="20"/>
          <w:szCs w:val="20"/>
          <w:lang w:eastAsia="en-IN"/>
          <w14:ligatures w14:val="none"/>
        </w:rPr>
        <w:t>)</w:t>
      </w:r>
      <w:r w:rsidRPr="003A419F">
        <w:rPr>
          <w:rFonts w:ascii="Arial" w:hAnsi="Arial" w:cs="Arial"/>
          <w:sz w:val="20"/>
          <w:szCs w:val="20"/>
        </w:rPr>
        <w:t xml:space="preserve"> in S3, indicating strong antioxidant potential. This is attributed to the inclusion of grape and orange peels, which are rich in polyphenolic compounds such as resveratrol, catechins, and flavanones.</w:t>
      </w:r>
      <w:r w:rsidR="0036677F" w:rsidRPr="00243F85">
        <w:rPr>
          <w:rFonts w:ascii="Arial" w:hAnsi="Arial" w:cs="Arial"/>
          <w:sz w:val="20"/>
          <w:szCs w:val="20"/>
        </w:rPr>
        <w:t xml:space="preserve"> </w:t>
      </w:r>
      <w:r w:rsidRPr="003A419F">
        <w:rPr>
          <w:rFonts w:ascii="Arial" w:hAnsi="Arial" w:cs="Arial"/>
          <w:sz w:val="20"/>
          <w:szCs w:val="20"/>
        </w:rPr>
        <w:t>Flavonoid Content (65.78 mg QE/100 g) reflects the presence of bioactive flavanones (e.g., hesperidin, naringin) from citrus peels and anthocyanins from grape peels. These compounds contribute to both health benefits and sensory attributes like bitterness and astringency.</w:t>
      </w:r>
      <w:r w:rsidR="0036677F" w:rsidRPr="00243F85">
        <w:rPr>
          <w:rFonts w:ascii="Arial" w:hAnsi="Arial" w:cs="Arial"/>
          <w:sz w:val="20"/>
          <w:szCs w:val="20"/>
        </w:rPr>
        <w:t xml:space="preserve"> </w:t>
      </w:r>
      <w:r w:rsidRPr="003A419F">
        <w:rPr>
          <w:rFonts w:ascii="Arial" w:hAnsi="Arial" w:cs="Arial"/>
          <w:sz w:val="20"/>
          <w:szCs w:val="20"/>
        </w:rPr>
        <w:t>Anthocyanin Content (42.33 mg/100 g) was notably high due to the elevated grape peel level (0.60 g in S3). Anthocyanins are known for their anti-inflammatory properties and contribute to the deep coloration of the infusion.</w:t>
      </w:r>
      <w:r w:rsidR="0036677F" w:rsidRPr="00243F85">
        <w:rPr>
          <w:rFonts w:ascii="Arial" w:hAnsi="Arial" w:cs="Arial"/>
          <w:sz w:val="20"/>
          <w:szCs w:val="20"/>
        </w:rPr>
        <w:t xml:space="preserve"> </w:t>
      </w:r>
      <w:r w:rsidRPr="003A419F">
        <w:rPr>
          <w:rFonts w:ascii="Arial" w:hAnsi="Arial" w:cs="Arial"/>
          <w:sz w:val="20"/>
          <w:szCs w:val="20"/>
        </w:rPr>
        <w:t>Vitamin C (54.23 mg/100 g) was retained effectively, suggesting minimal degradation during vacuum drying. Its presence enhances antioxidant synergy and supports immune health.</w:t>
      </w:r>
      <w:r w:rsidR="0036677F" w:rsidRPr="00243F85">
        <w:rPr>
          <w:rFonts w:ascii="Arial" w:hAnsi="Arial" w:cs="Arial"/>
          <w:sz w:val="20"/>
          <w:szCs w:val="20"/>
        </w:rPr>
        <w:t xml:space="preserve"> </w:t>
      </w:r>
      <w:r w:rsidRPr="003A419F">
        <w:rPr>
          <w:rFonts w:ascii="Arial" w:hAnsi="Arial" w:cs="Arial"/>
          <w:sz w:val="20"/>
          <w:szCs w:val="20"/>
        </w:rPr>
        <w:t>Tannin Content (36.67 mg/100 g) contributes to mouthfeel and antimicrobial activity. Moderate levels ensure palatability without excessive astringency, balancing functional and sensory appeal.</w:t>
      </w:r>
    </w:p>
    <w:p w14:paraId="54ED4858" w14:textId="0E2C9A5F" w:rsidR="008B400E" w:rsidRPr="00243F85" w:rsidRDefault="008B400E" w:rsidP="008B400E">
      <w:pPr>
        <w:jc w:val="center"/>
        <w:rPr>
          <w:rFonts w:ascii="Arial" w:hAnsi="Arial" w:cs="Arial"/>
          <w:b/>
          <w:bCs/>
          <w:sz w:val="20"/>
          <w:szCs w:val="20"/>
        </w:rPr>
      </w:pPr>
      <w:r w:rsidRPr="00243F85">
        <w:rPr>
          <w:rFonts w:ascii="Arial" w:hAnsi="Arial" w:cs="Arial"/>
          <w:b/>
          <w:bCs/>
          <w:sz w:val="20"/>
          <w:szCs w:val="20"/>
        </w:rPr>
        <w:t>Table 4: Phytochemical composition of fruit tea</w:t>
      </w:r>
    </w:p>
    <w:tbl>
      <w:tblPr>
        <w:tblStyle w:val="TableGrid"/>
        <w:tblW w:w="0" w:type="auto"/>
        <w:jc w:val="center"/>
        <w:tblLook w:val="04A0" w:firstRow="1" w:lastRow="0" w:firstColumn="1" w:lastColumn="0" w:noHBand="0" w:noVBand="1"/>
      </w:tblPr>
      <w:tblGrid>
        <w:gridCol w:w="2829"/>
        <w:gridCol w:w="1817"/>
      </w:tblGrid>
      <w:tr w:rsidR="00F868DF" w:rsidRPr="00F868DF" w14:paraId="6DA26C29" w14:textId="77777777" w:rsidTr="00F868DF">
        <w:trPr>
          <w:trHeight w:val="20"/>
          <w:jc w:val="center"/>
        </w:trPr>
        <w:tc>
          <w:tcPr>
            <w:tcW w:w="0" w:type="auto"/>
            <w:vAlign w:val="center"/>
            <w:hideMark/>
          </w:tcPr>
          <w:p w14:paraId="052B5F60" w14:textId="77777777" w:rsidR="00F868DF" w:rsidRPr="00F868DF" w:rsidRDefault="00F868DF" w:rsidP="005A785B">
            <w:pPr>
              <w:jc w:val="both"/>
              <w:rPr>
                <w:rFonts w:ascii="Arial" w:eastAsia="Times New Roman" w:hAnsi="Arial" w:cs="Arial"/>
                <w:b/>
                <w:bCs/>
                <w:color w:val="000000"/>
                <w:kern w:val="0"/>
                <w:sz w:val="20"/>
                <w:szCs w:val="20"/>
                <w:lang w:eastAsia="en-IN"/>
                <w14:ligatures w14:val="none"/>
              </w:rPr>
            </w:pPr>
            <w:r w:rsidRPr="00F868DF">
              <w:rPr>
                <w:rFonts w:ascii="Arial" w:eastAsia="Times New Roman" w:hAnsi="Arial" w:cs="Arial"/>
                <w:b/>
                <w:bCs/>
                <w:color w:val="000000"/>
                <w:kern w:val="0"/>
                <w:sz w:val="20"/>
                <w:szCs w:val="20"/>
                <w:lang w:eastAsia="en-IN"/>
                <w14:ligatures w14:val="none"/>
              </w:rPr>
              <w:t>Parameter</w:t>
            </w:r>
          </w:p>
        </w:tc>
        <w:tc>
          <w:tcPr>
            <w:tcW w:w="0" w:type="auto"/>
            <w:vAlign w:val="center"/>
            <w:hideMark/>
          </w:tcPr>
          <w:p w14:paraId="6BF69441" w14:textId="77777777" w:rsidR="00F868DF" w:rsidRPr="00F868DF" w:rsidRDefault="00F868DF" w:rsidP="005A785B">
            <w:pPr>
              <w:jc w:val="both"/>
              <w:rPr>
                <w:rFonts w:ascii="Arial" w:eastAsia="Times New Roman" w:hAnsi="Arial" w:cs="Arial"/>
                <w:b/>
                <w:bCs/>
                <w:color w:val="000000"/>
                <w:kern w:val="0"/>
                <w:sz w:val="20"/>
                <w:szCs w:val="20"/>
                <w:lang w:eastAsia="en-IN"/>
                <w14:ligatures w14:val="none"/>
              </w:rPr>
            </w:pPr>
            <w:r w:rsidRPr="00F868DF">
              <w:rPr>
                <w:rFonts w:ascii="Arial" w:eastAsia="Times New Roman" w:hAnsi="Arial" w:cs="Arial"/>
                <w:b/>
                <w:bCs/>
                <w:color w:val="000000"/>
                <w:kern w:val="0"/>
                <w:sz w:val="20"/>
                <w:szCs w:val="20"/>
                <w:lang w:eastAsia="en-IN"/>
                <w14:ligatures w14:val="none"/>
              </w:rPr>
              <w:t>Value (per 100 g)</w:t>
            </w:r>
          </w:p>
        </w:tc>
      </w:tr>
      <w:tr w:rsidR="00F868DF" w:rsidRPr="00F868DF" w14:paraId="5E7135BC" w14:textId="77777777" w:rsidTr="00F868DF">
        <w:trPr>
          <w:trHeight w:val="20"/>
          <w:jc w:val="center"/>
        </w:trPr>
        <w:tc>
          <w:tcPr>
            <w:tcW w:w="0" w:type="auto"/>
            <w:vAlign w:val="center"/>
            <w:hideMark/>
          </w:tcPr>
          <w:p w14:paraId="0B1C4620"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Total Phenolic Content (TPC)</w:t>
            </w:r>
          </w:p>
        </w:tc>
        <w:tc>
          <w:tcPr>
            <w:tcW w:w="0" w:type="auto"/>
            <w:vAlign w:val="center"/>
            <w:hideMark/>
          </w:tcPr>
          <w:p w14:paraId="56BAFC63"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190.67 mg GAE</w:t>
            </w:r>
          </w:p>
        </w:tc>
      </w:tr>
      <w:tr w:rsidR="00F868DF" w:rsidRPr="00F868DF" w14:paraId="0CC0F634" w14:textId="77777777" w:rsidTr="00F868DF">
        <w:trPr>
          <w:trHeight w:val="20"/>
          <w:jc w:val="center"/>
        </w:trPr>
        <w:tc>
          <w:tcPr>
            <w:tcW w:w="0" w:type="auto"/>
            <w:vAlign w:val="center"/>
            <w:hideMark/>
          </w:tcPr>
          <w:p w14:paraId="382749FC"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Flavonoid Content</w:t>
            </w:r>
          </w:p>
        </w:tc>
        <w:tc>
          <w:tcPr>
            <w:tcW w:w="0" w:type="auto"/>
            <w:vAlign w:val="center"/>
            <w:hideMark/>
          </w:tcPr>
          <w:p w14:paraId="564E1679"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65.78 mg QE</w:t>
            </w:r>
          </w:p>
        </w:tc>
      </w:tr>
      <w:tr w:rsidR="00F868DF" w:rsidRPr="00F868DF" w14:paraId="2DEE72DA" w14:textId="77777777" w:rsidTr="00F868DF">
        <w:trPr>
          <w:trHeight w:val="20"/>
          <w:jc w:val="center"/>
        </w:trPr>
        <w:tc>
          <w:tcPr>
            <w:tcW w:w="0" w:type="auto"/>
            <w:vAlign w:val="center"/>
            <w:hideMark/>
          </w:tcPr>
          <w:p w14:paraId="61B1DEFD"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Vitamin C</w:t>
            </w:r>
          </w:p>
        </w:tc>
        <w:tc>
          <w:tcPr>
            <w:tcW w:w="0" w:type="auto"/>
            <w:vAlign w:val="center"/>
            <w:hideMark/>
          </w:tcPr>
          <w:p w14:paraId="7FC46F4A"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54.23 mg</w:t>
            </w:r>
          </w:p>
        </w:tc>
      </w:tr>
      <w:tr w:rsidR="00F868DF" w:rsidRPr="00F868DF" w14:paraId="78B925C0" w14:textId="77777777" w:rsidTr="00F868DF">
        <w:trPr>
          <w:trHeight w:val="20"/>
          <w:jc w:val="center"/>
        </w:trPr>
        <w:tc>
          <w:tcPr>
            <w:tcW w:w="0" w:type="auto"/>
            <w:vAlign w:val="center"/>
            <w:hideMark/>
          </w:tcPr>
          <w:p w14:paraId="2FB8F089"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Tannin Content</w:t>
            </w:r>
          </w:p>
        </w:tc>
        <w:tc>
          <w:tcPr>
            <w:tcW w:w="0" w:type="auto"/>
            <w:vAlign w:val="center"/>
            <w:hideMark/>
          </w:tcPr>
          <w:p w14:paraId="64F07B5A"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36.67 mg</w:t>
            </w:r>
          </w:p>
        </w:tc>
      </w:tr>
      <w:tr w:rsidR="00F868DF" w:rsidRPr="00F868DF" w14:paraId="4437168A" w14:textId="77777777" w:rsidTr="00F868DF">
        <w:trPr>
          <w:trHeight w:val="20"/>
          <w:jc w:val="center"/>
        </w:trPr>
        <w:tc>
          <w:tcPr>
            <w:tcW w:w="0" w:type="auto"/>
            <w:vAlign w:val="center"/>
            <w:hideMark/>
          </w:tcPr>
          <w:p w14:paraId="71EA32D4" w14:textId="77777777" w:rsidR="00F868DF" w:rsidRPr="00F868DF" w:rsidRDefault="00F868DF" w:rsidP="005A785B">
            <w:pPr>
              <w:jc w:val="both"/>
              <w:rPr>
                <w:rFonts w:ascii="Arial" w:eastAsia="Times New Roman" w:hAnsi="Arial" w:cs="Arial"/>
                <w:color w:val="000000"/>
                <w:kern w:val="0"/>
                <w:sz w:val="20"/>
                <w:szCs w:val="20"/>
                <w:lang w:eastAsia="en-IN"/>
                <w14:ligatures w14:val="none"/>
              </w:rPr>
            </w:pPr>
            <w:r w:rsidRPr="00F868DF">
              <w:rPr>
                <w:rFonts w:ascii="Arial" w:eastAsia="Times New Roman" w:hAnsi="Arial" w:cs="Arial"/>
                <w:color w:val="000000"/>
                <w:kern w:val="0"/>
                <w:sz w:val="20"/>
                <w:szCs w:val="20"/>
                <w:lang w:eastAsia="en-IN"/>
                <w14:ligatures w14:val="none"/>
              </w:rPr>
              <w:t>Anthocyanin Content</w:t>
            </w:r>
          </w:p>
        </w:tc>
        <w:tc>
          <w:tcPr>
            <w:tcW w:w="0" w:type="auto"/>
            <w:vAlign w:val="center"/>
            <w:hideMark/>
          </w:tcPr>
          <w:p w14:paraId="40ACE76D" w14:textId="50F1BDDE" w:rsidR="00F868DF" w:rsidRPr="00243F85" w:rsidRDefault="00F868DF" w:rsidP="00243F85">
            <w:pPr>
              <w:pStyle w:val="ListParagraph"/>
              <w:numPr>
                <w:ilvl w:val="1"/>
                <w:numId w:val="26"/>
              </w:numPr>
              <w:jc w:val="both"/>
              <w:rPr>
                <w:rFonts w:ascii="Arial" w:eastAsia="Times New Roman" w:hAnsi="Arial" w:cs="Arial"/>
                <w:color w:val="000000"/>
                <w:kern w:val="0"/>
                <w:sz w:val="20"/>
                <w:szCs w:val="20"/>
                <w:lang w:eastAsia="en-IN"/>
                <w14:ligatures w14:val="none"/>
              </w:rPr>
            </w:pPr>
            <w:r w:rsidRPr="00243F85">
              <w:rPr>
                <w:rFonts w:ascii="Arial" w:eastAsia="Times New Roman" w:hAnsi="Arial" w:cs="Arial"/>
                <w:color w:val="000000"/>
                <w:kern w:val="0"/>
                <w:sz w:val="20"/>
                <w:szCs w:val="20"/>
                <w:lang w:eastAsia="en-IN"/>
                <w14:ligatures w14:val="none"/>
              </w:rPr>
              <w:t>g</w:t>
            </w:r>
          </w:p>
        </w:tc>
      </w:tr>
    </w:tbl>
    <w:p w14:paraId="03DB7C25" w14:textId="77777777" w:rsidR="005F0143" w:rsidRPr="00F5169E" w:rsidRDefault="005F0143" w:rsidP="005F0143">
      <w:pPr>
        <w:spacing w:after="0"/>
        <w:jc w:val="both"/>
        <w:rPr>
          <w:rFonts w:ascii="Arial" w:hAnsi="Arial" w:cs="Arial"/>
          <w:b/>
          <w:bCs/>
          <w:szCs w:val="24"/>
        </w:rPr>
      </w:pPr>
    </w:p>
    <w:bookmarkEnd w:id="7"/>
    <w:p w14:paraId="2FEA3BB3" w14:textId="0FCE094E" w:rsidR="005A785B" w:rsidRPr="00243F85" w:rsidRDefault="003767B5" w:rsidP="00243F85">
      <w:pPr>
        <w:pStyle w:val="ListParagraph"/>
        <w:numPr>
          <w:ilvl w:val="0"/>
          <w:numId w:val="17"/>
        </w:numPr>
        <w:jc w:val="both"/>
        <w:rPr>
          <w:rFonts w:ascii="Arial" w:hAnsi="Arial" w:cs="Arial"/>
          <w:b/>
          <w:bCs/>
          <w:sz w:val="22"/>
          <w:szCs w:val="22"/>
        </w:rPr>
      </w:pPr>
      <w:r w:rsidRPr="00243F85">
        <w:rPr>
          <w:rFonts w:ascii="Arial" w:hAnsi="Arial" w:cs="Arial"/>
          <w:b/>
          <w:bCs/>
          <w:sz w:val="22"/>
          <w:szCs w:val="22"/>
        </w:rPr>
        <w:t>CONCLUSION</w:t>
      </w:r>
    </w:p>
    <w:p w14:paraId="470B61EA" w14:textId="4C782039" w:rsidR="00F85B31" w:rsidRPr="00F85B31" w:rsidRDefault="00F85B31" w:rsidP="00F85B31">
      <w:pPr>
        <w:jc w:val="both"/>
        <w:rPr>
          <w:rFonts w:ascii="Arial" w:hAnsi="Arial" w:cs="Arial"/>
          <w:sz w:val="20"/>
          <w:szCs w:val="20"/>
        </w:rPr>
      </w:pPr>
      <w:r w:rsidRPr="00F85B31">
        <w:rPr>
          <w:rFonts w:ascii="Arial" w:hAnsi="Arial" w:cs="Arial"/>
          <w:sz w:val="20"/>
          <w:szCs w:val="20"/>
        </w:rPr>
        <w:t>This study demonstrates the successful valorization of fruit peels</w:t>
      </w:r>
      <w:r w:rsidRPr="00243F85">
        <w:rPr>
          <w:rFonts w:ascii="Arial" w:hAnsi="Arial" w:cs="Arial"/>
          <w:sz w:val="20"/>
          <w:szCs w:val="20"/>
        </w:rPr>
        <w:t xml:space="preserve">, </w:t>
      </w:r>
      <w:r w:rsidRPr="00F85B31">
        <w:rPr>
          <w:rFonts w:ascii="Arial" w:hAnsi="Arial" w:cs="Arial"/>
          <w:sz w:val="20"/>
          <w:szCs w:val="20"/>
        </w:rPr>
        <w:t>typically considered food waste</w:t>
      </w:r>
      <w:r w:rsidRPr="00243F85">
        <w:rPr>
          <w:rFonts w:ascii="Arial" w:hAnsi="Arial" w:cs="Arial"/>
          <w:sz w:val="20"/>
          <w:szCs w:val="20"/>
        </w:rPr>
        <w:t xml:space="preserve"> </w:t>
      </w:r>
      <w:r w:rsidRPr="00F85B31">
        <w:rPr>
          <w:rFonts w:ascii="Arial" w:hAnsi="Arial" w:cs="Arial"/>
          <w:sz w:val="20"/>
          <w:szCs w:val="20"/>
        </w:rPr>
        <w:t>into a functional tea infusion with promising nutritional and sensory attributes. Among the five formulations tested, Sample S3, comprising higher proportions of grape and citrus peels, emerged as the most preferred based on sensory evaluation, achieving superior scores in colour, aroma, taste, and overall acceptability.</w:t>
      </w:r>
      <w:r w:rsidRPr="00243F85">
        <w:rPr>
          <w:rFonts w:ascii="Arial" w:hAnsi="Arial" w:cs="Arial"/>
          <w:sz w:val="20"/>
          <w:szCs w:val="20"/>
        </w:rPr>
        <w:t xml:space="preserve"> </w:t>
      </w:r>
      <w:r w:rsidRPr="00F85B31">
        <w:rPr>
          <w:rFonts w:ascii="Arial" w:hAnsi="Arial" w:cs="Arial"/>
          <w:sz w:val="20"/>
          <w:szCs w:val="20"/>
        </w:rPr>
        <w:t>Proximate analysis of the optimized formulation revealed a balanced nutritional profile, with notable levels of protein, fiber, and essential minerals, alongside a low moisture content conducive to shelf stability. Phytochemical profiling further confirmed the infusion’s functional potential, with high concentrations of total phenolics, flavonoids, anthocyanins, vitamin C, and tannins</w:t>
      </w:r>
      <w:r w:rsidRPr="00243F85">
        <w:rPr>
          <w:rFonts w:ascii="Arial" w:hAnsi="Arial" w:cs="Arial"/>
          <w:sz w:val="20"/>
          <w:szCs w:val="20"/>
        </w:rPr>
        <w:t xml:space="preserve"> </w:t>
      </w:r>
      <w:r w:rsidRPr="00F85B31">
        <w:rPr>
          <w:rFonts w:ascii="Arial" w:hAnsi="Arial" w:cs="Arial"/>
          <w:sz w:val="20"/>
          <w:szCs w:val="20"/>
        </w:rPr>
        <w:t>compounds known for their antioxidant, anti-inflammatory, and health-promoting properties.</w:t>
      </w:r>
    </w:p>
    <w:p w14:paraId="6814E22D" w14:textId="462A3B31" w:rsidR="00F85B31" w:rsidRDefault="00F85B31" w:rsidP="00F85B31">
      <w:pPr>
        <w:jc w:val="both"/>
        <w:rPr>
          <w:rFonts w:ascii="Arial" w:hAnsi="Arial" w:cs="Arial"/>
          <w:szCs w:val="24"/>
        </w:rPr>
      </w:pPr>
      <w:r w:rsidRPr="00F85B31">
        <w:rPr>
          <w:rFonts w:ascii="Arial" w:hAnsi="Arial" w:cs="Arial"/>
          <w:sz w:val="20"/>
          <w:szCs w:val="20"/>
        </w:rPr>
        <w:t>The findings underscore the feasibility of transforming fruit peel waste into a value-added beverage that aligns with sustainability goals and consumer health trends. By integrating waste valorization with functional food development, this research contributes to circular economy practices and offers a scalable model for eco-conscious innovation in the beverage sector.</w:t>
      </w:r>
      <w:r w:rsidRPr="00243F85">
        <w:rPr>
          <w:rFonts w:ascii="Arial" w:hAnsi="Arial" w:cs="Arial"/>
          <w:sz w:val="20"/>
          <w:szCs w:val="20"/>
        </w:rPr>
        <w:t xml:space="preserve"> </w:t>
      </w:r>
      <w:r w:rsidRPr="00F85B31">
        <w:rPr>
          <w:rFonts w:ascii="Arial" w:hAnsi="Arial" w:cs="Arial"/>
          <w:sz w:val="20"/>
          <w:szCs w:val="20"/>
        </w:rPr>
        <w:t>Future studies may explore advanced extraction techniques, bioavailability assessments, and long-term storage stability to further enhance the therapeutic efficacy and commercial viability of peel-based tea infusions</w:t>
      </w:r>
      <w:r w:rsidRPr="00F85B31">
        <w:rPr>
          <w:rFonts w:ascii="Arial" w:hAnsi="Arial" w:cs="Arial"/>
          <w:szCs w:val="24"/>
        </w:rPr>
        <w:t>.</w:t>
      </w:r>
    </w:p>
    <w:p w14:paraId="1DFE05E3" w14:textId="77777777" w:rsidR="00B320B5" w:rsidRDefault="00B320B5" w:rsidP="005A785B">
      <w:pPr>
        <w:jc w:val="both"/>
        <w:rPr>
          <w:rFonts w:ascii="Arial" w:hAnsi="Arial" w:cs="Arial"/>
          <w:b/>
          <w:bCs/>
          <w:sz w:val="22"/>
          <w:szCs w:val="22"/>
        </w:rPr>
      </w:pPr>
    </w:p>
    <w:p w14:paraId="3BF5EBCF" w14:textId="34FB0BBC" w:rsidR="00621BC7" w:rsidRPr="00B44505" w:rsidRDefault="003767B5" w:rsidP="005A785B">
      <w:pPr>
        <w:jc w:val="both"/>
        <w:rPr>
          <w:rFonts w:ascii="Arial" w:hAnsi="Arial" w:cs="Arial"/>
          <w:b/>
          <w:bCs/>
          <w:sz w:val="22"/>
          <w:szCs w:val="22"/>
        </w:rPr>
      </w:pPr>
      <w:r w:rsidRPr="00B44505">
        <w:rPr>
          <w:rFonts w:ascii="Arial" w:hAnsi="Arial" w:cs="Arial"/>
          <w:b/>
          <w:bCs/>
          <w:sz w:val="22"/>
          <w:szCs w:val="22"/>
        </w:rPr>
        <w:t>REFERENCES</w:t>
      </w:r>
    </w:p>
    <w:p w14:paraId="226FEFD0" w14:textId="490D1443" w:rsidR="00621BC7" w:rsidRPr="00B44505" w:rsidRDefault="00621BC7" w:rsidP="005A785B">
      <w:pPr>
        <w:jc w:val="both"/>
        <w:rPr>
          <w:rFonts w:ascii="Arial" w:hAnsi="Arial" w:cs="Arial"/>
          <w:sz w:val="20"/>
          <w:szCs w:val="20"/>
        </w:rPr>
      </w:pPr>
      <w:r w:rsidRPr="00B44505">
        <w:rPr>
          <w:rFonts w:ascii="Arial" w:hAnsi="Arial" w:cs="Arial"/>
          <w:sz w:val="20"/>
          <w:szCs w:val="20"/>
        </w:rPr>
        <w:t>You, S., Sonne, C., Park, Y. K., Kumar, S., Lin, K. Y. A., Ok, Y. S., &amp; Wang, F. (2022). Food loss and waste: a carbon footprint too big to be ignored. </w:t>
      </w:r>
      <w:r w:rsidRPr="00B44505">
        <w:rPr>
          <w:rFonts w:ascii="Arial" w:hAnsi="Arial" w:cs="Arial"/>
          <w:i/>
          <w:iCs/>
          <w:sz w:val="20"/>
          <w:szCs w:val="20"/>
        </w:rPr>
        <w:t>Sustainable Environment</w:t>
      </w:r>
      <w:r w:rsidRPr="00B44505">
        <w:rPr>
          <w:rFonts w:ascii="Arial" w:hAnsi="Arial" w:cs="Arial"/>
          <w:sz w:val="20"/>
          <w:szCs w:val="20"/>
        </w:rPr>
        <w:t>, </w:t>
      </w:r>
      <w:r w:rsidRPr="00B44505">
        <w:rPr>
          <w:rFonts w:ascii="Arial" w:hAnsi="Arial" w:cs="Arial"/>
          <w:i/>
          <w:iCs/>
          <w:sz w:val="20"/>
          <w:szCs w:val="20"/>
        </w:rPr>
        <w:t>8</w:t>
      </w:r>
      <w:r w:rsidRPr="00B44505">
        <w:rPr>
          <w:rFonts w:ascii="Arial" w:hAnsi="Arial" w:cs="Arial"/>
          <w:sz w:val="20"/>
          <w:szCs w:val="20"/>
        </w:rPr>
        <w:t>(1), 2115685.</w:t>
      </w:r>
    </w:p>
    <w:p w14:paraId="2E26ADE1" w14:textId="46BFF8AD" w:rsidR="00621BC7" w:rsidRPr="00B44505" w:rsidRDefault="00621BC7" w:rsidP="005A785B">
      <w:pPr>
        <w:jc w:val="both"/>
        <w:rPr>
          <w:rFonts w:ascii="Arial" w:hAnsi="Arial" w:cs="Arial"/>
          <w:sz w:val="20"/>
          <w:szCs w:val="20"/>
        </w:rPr>
      </w:pPr>
      <w:r w:rsidRPr="00B44505">
        <w:rPr>
          <w:rFonts w:ascii="Arial" w:hAnsi="Arial" w:cs="Arial"/>
          <w:sz w:val="20"/>
          <w:szCs w:val="20"/>
        </w:rPr>
        <w:t>Wani, N. R., Rather, R. A., Farooq, A., Padder, S. A., Baba, T. R., Sharma, S., ... &amp; Ara, S. (2024). New insights in food security and environmental sustainability through waste food management. </w:t>
      </w:r>
      <w:r w:rsidRPr="00B44505">
        <w:rPr>
          <w:rFonts w:ascii="Arial" w:hAnsi="Arial" w:cs="Arial"/>
          <w:i/>
          <w:iCs/>
          <w:sz w:val="20"/>
          <w:szCs w:val="20"/>
        </w:rPr>
        <w:t>Environmental Science and Pollution Research</w:t>
      </w:r>
      <w:r w:rsidRPr="00B44505">
        <w:rPr>
          <w:rFonts w:ascii="Arial" w:hAnsi="Arial" w:cs="Arial"/>
          <w:sz w:val="20"/>
          <w:szCs w:val="20"/>
        </w:rPr>
        <w:t>, </w:t>
      </w:r>
      <w:r w:rsidRPr="00B44505">
        <w:rPr>
          <w:rFonts w:ascii="Arial" w:hAnsi="Arial" w:cs="Arial"/>
          <w:i/>
          <w:iCs/>
          <w:sz w:val="20"/>
          <w:szCs w:val="20"/>
        </w:rPr>
        <w:t>31</w:t>
      </w:r>
      <w:r w:rsidRPr="00B44505">
        <w:rPr>
          <w:rFonts w:ascii="Arial" w:hAnsi="Arial" w:cs="Arial"/>
          <w:sz w:val="20"/>
          <w:szCs w:val="20"/>
        </w:rPr>
        <w:t>(12), 17835-17857.</w:t>
      </w:r>
    </w:p>
    <w:p w14:paraId="51B8230E" w14:textId="1C52FABE" w:rsidR="00621BC7" w:rsidRPr="00B44505" w:rsidRDefault="00621BC7" w:rsidP="005A785B">
      <w:pPr>
        <w:jc w:val="both"/>
        <w:rPr>
          <w:rFonts w:ascii="Arial" w:hAnsi="Arial" w:cs="Arial"/>
          <w:sz w:val="20"/>
          <w:szCs w:val="20"/>
        </w:rPr>
      </w:pPr>
      <w:r w:rsidRPr="00B44505">
        <w:rPr>
          <w:rFonts w:ascii="Arial" w:hAnsi="Arial" w:cs="Arial"/>
          <w:sz w:val="20"/>
          <w:szCs w:val="20"/>
        </w:rPr>
        <w:lastRenderedPageBreak/>
        <w:t>Swetha, B. S., Prabhakar, I., &amp; Ainapur, S. D. (2024). Food waste reduction and sustainable food systems: Strategies, challenges, and future directions. </w:t>
      </w:r>
      <w:r w:rsidRPr="00B44505">
        <w:rPr>
          <w:rFonts w:ascii="Arial" w:hAnsi="Arial" w:cs="Arial"/>
          <w:i/>
          <w:iCs/>
          <w:sz w:val="20"/>
          <w:szCs w:val="20"/>
        </w:rPr>
        <w:t>Journal of Scientific Research and Reports</w:t>
      </w:r>
      <w:r w:rsidRPr="00B44505">
        <w:rPr>
          <w:rFonts w:ascii="Arial" w:hAnsi="Arial" w:cs="Arial"/>
          <w:sz w:val="20"/>
          <w:szCs w:val="20"/>
        </w:rPr>
        <w:t>, </w:t>
      </w:r>
      <w:r w:rsidRPr="00B44505">
        <w:rPr>
          <w:rFonts w:ascii="Arial" w:hAnsi="Arial" w:cs="Arial"/>
          <w:i/>
          <w:iCs/>
          <w:sz w:val="20"/>
          <w:szCs w:val="20"/>
        </w:rPr>
        <w:t>30</w:t>
      </w:r>
      <w:r w:rsidRPr="00B44505">
        <w:rPr>
          <w:rFonts w:ascii="Arial" w:hAnsi="Arial" w:cs="Arial"/>
          <w:sz w:val="20"/>
          <w:szCs w:val="20"/>
        </w:rPr>
        <w:t>(5), 328-336.</w:t>
      </w:r>
    </w:p>
    <w:p w14:paraId="06071C4D" w14:textId="533BB5A0" w:rsidR="001A1069" w:rsidRPr="00B44505" w:rsidRDefault="001A1069" w:rsidP="005A785B">
      <w:pPr>
        <w:jc w:val="both"/>
        <w:rPr>
          <w:rFonts w:ascii="Arial" w:hAnsi="Arial" w:cs="Arial"/>
          <w:sz w:val="20"/>
          <w:szCs w:val="20"/>
        </w:rPr>
      </w:pPr>
      <w:r w:rsidRPr="00B44505">
        <w:rPr>
          <w:rFonts w:ascii="Arial" w:hAnsi="Arial" w:cs="Arial"/>
          <w:sz w:val="20"/>
          <w:szCs w:val="20"/>
        </w:rPr>
        <w:t>Sousa, R. D., Bragança, L., da Silva, M. V., &amp; Oliveira, R. S. (2024). Challenges and solutions for sustainable food systems: The potential of home hydroponics. </w:t>
      </w:r>
      <w:r w:rsidRPr="00B44505">
        <w:rPr>
          <w:rFonts w:ascii="Arial" w:hAnsi="Arial" w:cs="Arial"/>
          <w:i/>
          <w:iCs/>
          <w:sz w:val="20"/>
          <w:szCs w:val="20"/>
        </w:rPr>
        <w:t>Sustainability</w:t>
      </w:r>
      <w:r w:rsidRPr="00B44505">
        <w:rPr>
          <w:rFonts w:ascii="Arial" w:hAnsi="Arial" w:cs="Arial"/>
          <w:sz w:val="20"/>
          <w:szCs w:val="20"/>
        </w:rPr>
        <w:t>, </w:t>
      </w:r>
      <w:r w:rsidRPr="00B44505">
        <w:rPr>
          <w:rFonts w:ascii="Arial" w:hAnsi="Arial" w:cs="Arial"/>
          <w:i/>
          <w:iCs/>
          <w:sz w:val="20"/>
          <w:szCs w:val="20"/>
        </w:rPr>
        <w:t>16</w:t>
      </w:r>
      <w:r w:rsidRPr="00B44505">
        <w:rPr>
          <w:rFonts w:ascii="Arial" w:hAnsi="Arial" w:cs="Arial"/>
          <w:sz w:val="20"/>
          <w:szCs w:val="20"/>
        </w:rPr>
        <w:t>(2), 817.</w:t>
      </w:r>
    </w:p>
    <w:p w14:paraId="514F6D28" w14:textId="77777777" w:rsidR="00A11562" w:rsidRPr="00B44505" w:rsidRDefault="00A11562" w:rsidP="005A785B">
      <w:pPr>
        <w:jc w:val="both"/>
        <w:rPr>
          <w:rFonts w:ascii="Arial" w:hAnsi="Arial" w:cs="Arial"/>
          <w:sz w:val="20"/>
          <w:szCs w:val="20"/>
        </w:rPr>
      </w:pPr>
      <w:r w:rsidRPr="00B44505">
        <w:rPr>
          <w:rFonts w:ascii="Arial" w:hAnsi="Arial" w:cs="Arial"/>
          <w:sz w:val="20"/>
          <w:szCs w:val="20"/>
        </w:rPr>
        <w:t>Sadef, Y., Javed, T., Javed, R., Mahmood, A., Alwahibi, M. S., Elshikh, M. S., ... &amp; Rasheed, R. A. (2022). Nutritional status, antioxidant activity and total phenolic content of different fruits and vegetables’ peels. Plos one, 17(5), e0265566.</w:t>
      </w:r>
    </w:p>
    <w:p w14:paraId="6F1B861F" w14:textId="77777777" w:rsidR="00A11562" w:rsidRPr="00B44505" w:rsidRDefault="00A11562" w:rsidP="005A785B">
      <w:pPr>
        <w:jc w:val="both"/>
        <w:rPr>
          <w:rFonts w:ascii="Arial" w:hAnsi="Arial" w:cs="Arial"/>
          <w:sz w:val="20"/>
          <w:szCs w:val="20"/>
        </w:rPr>
      </w:pPr>
      <w:r w:rsidRPr="00B44505">
        <w:rPr>
          <w:rFonts w:ascii="Arial" w:hAnsi="Arial" w:cs="Arial"/>
          <w:sz w:val="20"/>
          <w:szCs w:val="20"/>
        </w:rPr>
        <w:t>Hussain, T., Kalhoro, D. H., &amp; Yin, Y. (2023). Identification of nutritional composition and antioxidant activities of fruit peels as a potential source of nutraceuticals. Frontiers in Nutrition, 9, 1065698.</w:t>
      </w:r>
    </w:p>
    <w:p w14:paraId="0DF5575D" w14:textId="77777777" w:rsidR="00A11562" w:rsidRPr="00B44505" w:rsidRDefault="00A11562" w:rsidP="005A785B">
      <w:pPr>
        <w:jc w:val="both"/>
        <w:rPr>
          <w:rFonts w:ascii="Arial" w:hAnsi="Arial" w:cs="Arial"/>
          <w:sz w:val="20"/>
          <w:szCs w:val="20"/>
        </w:rPr>
      </w:pPr>
      <w:r w:rsidRPr="00B44505">
        <w:rPr>
          <w:rFonts w:ascii="Arial" w:hAnsi="Arial" w:cs="Arial"/>
          <w:sz w:val="20"/>
          <w:szCs w:val="20"/>
        </w:rPr>
        <w:t xml:space="preserve">Adeoye Bayo Olufunso et al (2024). Peels of Edible Plants as Treasure Trove of Remarkable Nutraceutical Properties:Prospects for Medical Nutrition Therapy. EAS J Nutr Food Sci, 6(6), 184-196 </w:t>
      </w:r>
    </w:p>
    <w:p w14:paraId="18254741" w14:textId="77777777" w:rsidR="00A11562" w:rsidRPr="00B44505" w:rsidRDefault="00A11562" w:rsidP="005A785B">
      <w:pPr>
        <w:jc w:val="both"/>
        <w:rPr>
          <w:rFonts w:ascii="Arial" w:hAnsi="Arial" w:cs="Arial"/>
          <w:sz w:val="20"/>
          <w:szCs w:val="20"/>
        </w:rPr>
      </w:pPr>
      <w:r w:rsidRPr="00B44505">
        <w:rPr>
          <w:rFonts w:ascii="Arial" w:hAnsi="Arial" w:cs="Arial"/>
          <w:sz w:val="20"/>
          <w:szCs w:val="20"/>
        </w:rPr>
        <w:t>Malek, M. A., B. Gowda, S. G., M. Gangadhara, R., Gowda, D., &amp; Hui, S. P. (2024). Exploration of New Lipid Nutrients and Their Characterization in Herbal Teas Using Non-Targeted Liquid Chromatography–Mass Spectrometry. Foods, 13(12), 1877.</w:t>
      </w:r>
    </w:p>
    <w:p w14:paraId="692B527E" w14:textId="77777777" w:rsidR="00A11562" w:rsidRPr="00B44505" w:rsidRDefault="00A11562" w:rsidP="005A785B">
      <w:pPr>
        <w:jc w:val="both"/>
        <w:rPr>
          <w:rFonts w:ascii="Arial" w:hAnsi="Arial" w:cs="Arial"/>
          <w:sz w:val="20"/>
          <w:szCs w:val="20"/>
        </w:rPr>
      </w:pPr>
      <w:r w:rsidRPr="00B44505">
        <w:rPr>
          <w:rFonts w:ascii="Arial" w:hAnsi="Arial" w:cs="Arial"/>
          <w:sz w:val="20"/>
          <w:szCs w:val="20"/>
        </w:rPr>
        <w:t>Uzuner, S. (2022). Ultrasonication effects on quality of tea-based beverages. Beverages, 9(1), 1.</w:t>
      </w:r>
    </w:p>
    <w:p w14:paraId="3E08895C" w14:textId="77777777" w:rsidR="00A11562" w:rsidRPr="00B44505" w:rsidRDefault="00A11562" w:rsidP="005A785B">
      <w:pPr>
        <w:jc w:val="both"/>
        <w:rPr>
          <w:rFonts w:ascii="Arial" w:hAnsi="Arial" w:cs="Arial"/>
          <w:sz w:val="20"/>
          <w:szCs w:val="20"/>
        </w:rPr>
      </w:pPr>
      <w:r w:rsidRPr="00B44505">
        <w:rPr>
          <w:rFonts w:ascii="Arial" w:hAnsi="Arial" w:cs="Arial"/>
          <w:sz w:val="20"/>
          <w:szCs w:val="20"/>
        </w:rPr>
        <w:t>Lo Turco, V., Nava, V., Potorti, A. G., Sgro, B., Arrigo, M. A., &amp; Di Bella, G. (2024). Total Polyphenol Contents and Mineral Profiles in Commercial Wellness Herbal Infusions: Evaluation of the Differences between Two Preparation Methods. Foods, 13(13), 2145.</w:t>
      </w:r>
    </w:p>
    <w:p w14:paraId="17C7FB90" w14:textId="688A633D" w:rsidR="00A11562" w:rsidRPr="00B44505" w:rsidRDefault="00A11562" w:rsidP="005A785B">
      <w:pPr>
        <w:jc w:val="both"/>
        <w:rPr>
          <w:rFonts w:ascii="Arial" w:hAnsi="Arial" w:cs="Arial"/>
          <w:sz w:val="20"/>
          <w:szCs w:val="20"/>
        </w:rPr>
      </w:pPr>
      <w:r w:rsidRPr="00B44505">
        <w:rPr>
          <w:rFonts w:ascii="Arial" w:hAnsi="Arial" w:cs="Arial"/>
          <w:sz w:val="20"/>
          <w:szCs w:val="20"/>
        </w:rPr>
        <w:t>Singh, K., Kaur, H., Krishania, M., Bains, K., &amp; Kaur, A. (2024). Hot water infusion technique to prepare antioxidant-rich beverage with pomegranate peel: Formulation, nutritional study and cost analysis. Food Chemistry Advances, 4, 100601.</w:t>
      </w:r>
    </w:p>
    <w:p w14:paraId="5C130C44" w14:textId="77777777" w:rsidR="005223B2" w:rsidRPr="005223B2" w:rsidRDefault="005223B2" w:rsidP="005223B2">
      <w:pPr>
        <w:jc w:val="both"/>
        <w:rPr>
          <w:rFonts w:ascii="Arial" w:hAnsi="Arial" w:cs="Arial"/>
          <w:sz w:val="20"/>
          <w:szCs w:val="20"/>
        </w:rPr>
      </w:pPr>
      <w:r w:rsidRPr="005223B2">
        <w:rPr>
          <w:rFonts w:ascii="Arial" w:hAnsi="Arial" w:cs="Arial"/>
          <w:sz w:val="20"/>
          <w:szCs w:val="20"/>
        </w:rPr>
        <w:t>Sanches, A. G., Repolho, R. P. J., Santos, E. X. D., Lima, K. S., &amp; Cordeiro, C. A. M. (2021). Combination effect of citric acid and hot water treatment on the quality of pulp and pericarp of rambutan fruit. Journal of Horticulture and Postharvest Research, 4(2), 151-162.</w:t>
      </w:r>
    </w:p>
    <w:p w14:paraId="61CA6531" w14:textId="77777777" w:rsidR="005223B2" w:rsidRPr="005223B2" w:rsidRDefault="005223B2" w:rsidP="005223B2">
      <w:pPr>
        <w:jc w:val="both"/>
        <w:rPr>
          <w:rFonts w:ascii="Arial" w:hAnsi="Arial" w:cs="Arial"/>
          <w:sz w:val="20"/>
          <w:szCs w:val="20"/>
        </w:rPr>
      </w:pPr>
      <w:r w:rsidRPr="005223B2">
        <w:rPr>
          <w:rFonts w:ascii="Arial" w:hAnsi="Arial" w:cs="Arial"/>
          <w:sz w:val="20"/>
          <w:szCs w:val="20"/>
        </w:rPr>
        <w:t>Suri, S., Singh, A., Nema, P. K., Malakar, S., &amp; Arora, V. K. (2022). Sweet lime (Citrus limetta) peel waste drying approaches and effect on quality attributes, phytochemical and functional properties. Food Bioscience, 48, 101789.</w:t>
      </w:r>
    </w:p>
    <w:p w14:paraId="2C98F67F" w14:textId="77777777" w:rsidR="005223B2" w:rsidRPr="005223B2" w:rsidRDefault="005223B2" w:rsidP="005223B2">
      <w:pPr>
        <w:jc w:val="both"/>
        <w:rPr>
          <w:rFonts w:ascii="Arial" w:hAnsi="Arial" w:cs="Arial"/>
          <w:sz w:val="20"/>
          <w:szCs w:val="20"/>
        </w:rPr>
      </w:pPr>
      <w:r w:rsidRPr="005223B2">
        <w:rPr>
          <w:rFonts w:ascii="Arial" w:hAnsi="Arial" w:cs="Arial"/>
          <w:sz w:val="20"/>
          <w:szCs w:val="20"/>
        </w:rPr>
        <w:t>Farakte, R. A., Yadav, G., Joshi, B., Patwadhan, A. W., &amp; Singh, G. (2016). Role of particle size in tea infusion process. International Journal of Food Engineering, 12(1), 1-16.</w:t>
      </w:r>
    </w:p>
    <w:p w14:paraId="0D64CE8B" w14:textId="77777777" w:rsidR="005223B2" w:rsidRDefault="005223B2" w:rsidP="005223B2">
      <w:pPr>
        <w:jc w:val="both"/>
        <w:rPr>
          <w:rFonts w:ascii="Arial" w:hAnsi="Arial" w:cs="Arial"/>
          <w:sz w:val="20"/>
          <w:szCs w:val="20"/>
        </w:rPr>
      </w:pPr>
      <w:r w:rsidRPr="005223B2">
        <w:rPr>
          <w:rFonts w:ascii="Arial" w:hAnsi="Arial" w:cs="Arial"/>
          <w:sz w:val="20"/>
          <w:szCs w:val="20"/>
        </w:rPr>
        <w:t>Pérez-Burillo, S., Giménez, R., Rufián-Henares, J. A., &amp; Pastoriza, S. (2018). Effect of brewing time and temperature on antioxidant capacity and phenols of white tea: Relationship with sensory properties. Food chemistry, 248, 111-118.</w:t>
      </w:r>
    </w:p>
    <w:p w14:paraId="767A7573" w14:textId="2C7130AB" w:rsidR="005A785B" w:rsidRPr="00B44505" w:rsidRDefault="00CF46A7" w:rsidP="005223B2">
      <w:pPr>
        <w:jc w:val="both"/>
        <w:rPr>
          <w:rFonts w:ascii="Arial" w:hAnsi="Arial" w:cs="Arial"/>
          <w:sz w:val="20"/>
          <w:szCs w:val="20"/>
        </w:rPr>
      </w:pPr>
      <w:r w:rsidRPr="00B44505">
        <w:rPr>
          <w:rFonts w:ascii="Arial" w:hAnsi="Arial" w:cs="Arial"/>
          <w:sz w:val="20"/>
          <w:szCs w:val="20"/>
        </w:rPr>
        <w:t>Zhou J, Yang Q, Zhu X, Lin T, Hao D, Xu J (2020) Antioxidant activities of Clerodendrum cyrtophyllum Turcz leaf extracts and their major components. PLoS ONE 15(6): e0234435. doi: 10.1371/journal.pone.023443</w:t>
      </w:r>
    </w:p>
    <w:p w14:paraId="1350035A" w14:textId="787CAEB7" w:rsidR="00CF46A7" w:rsidRPr="00B44505" w:rsidRDefault="00CF46A7" w:rsidP="00CF46A7">
      <w:pPr>
        <w:jc w:val="both"/>
        <w:rPr>
          <w:rFonts w:ascii="Arial" w:hAnsi="Arial" w:cs="Arial"/>
          <w:sz w:val="20"/>
          <w:szCs w:val="20"/>
        </w:rPr>
      </w:pPr>
      <w:r w:rsidRPr="00B44505">
        <w:rPr>
          <w:rFonts w:ascii="Arial" w:hAnsi="Arial" w:cs="Arial"/>
          <w:sz w:val="20"/>
          <w:szCs w:val="20"/>
        </w:rPr>
        <w:t>Tristantini, D., &amp; Amalia, R. (2019, December). Quercetin concentration and total flavonoid content of anti-atherosclerotic herbs using aluminum chloride colorimetric assay. In </w:t>
      </w:r>
      <w:r w:rsidRPr="00B44505">
        <w:rPr>
          <w:rFonts w:ascii="Arial" w:hAnsi="Arial" w:cs="Arial"/>
          <w:i/>
          <w:iCs/>
          <w:sz w:val="20"/>
          <w:szCs w:val="20"/>
        </w:rPr>
        <w:t>AIP conference proceedings</w:t>
      </w:r>
      <w:r w:rsidRPr="00B44505">
        <w:rPr>
          <w:rFonts w:ascii="Arial" w:hAnsi="Arial" w:cs="Arial"/>
          <w:sz w:val="20"/>
          <w:szCs w:val="20"/>
        </w:rPr>
        <w:t> (Vol. Amarowicz, R., Karamać, M., Dueñas, M., &amp; Pegg, R. B. (2017). Antioxidant activity and phenolic composition of a red bean (Phasoelus vulgaris) extract and its fractions. </w:t>
      </w:r>
      <w:r w:rsidRPr="00B44505">
        <w:rPr>
          <w:rFonts w:ascii="Arial" w:hAnsi="Arial" w:cs="Arial"/>
          <w:i/>
          <w:iCs/>
          <w:sz w:val="20"/>
          <w:szCs w:val="20"/>
        </w:rPr>
        <w:t>Natural Product Communications</w:t>
      </w:r>
      <w:r w:rsidRPr="00B44505">
        <w:rPr>
          <w:rFonts w:ascii="Arial" w:hAnsi="Arial" w:cs="Arial"/>
          <w:sz w:val="20"/>
          <w:szCs w:val="20"/>
        </w:rPr>
        <w:t>, </w:t>
      </w:r>
      <w:r w:rsidRPr="00B44505">
        <w:rPr>
          <w:rFonts w:ascii="Arial" w:hAnsi="Arial" w:cs="Arial"/>
          <w:i/>
          <w:iCs/>
          <w:sz w:val="20"/>
          <w:szCs w:val="20"/>
        </w:rPr>
        <w:t>12</w:t>
      </w:r>
      <w:r w:rsidRPr="00B44505">
        <w:rPr>
          <w:rFonts w:ascii="Arial" w:hAnsi="Arial" w:cs="Arial"/>
          <w:sz w:val="20"/>
          <w:szCs w:val="20"/>
        </w:rPr>
        <w:t>(4), 1934578X1701200420.1, p. 030012). AIP Publishing LLC.</w:t>
      </w:r>
    </w:p>
    <w:p w14:paraId="7D55FE39" w14:textId="1EF13E1B" w:rsidR="00CF46A7" w:rsidRPr="00B44505" w:rsidRDefault="00CF46A7" w:rsidP="00CF46A7">
      <w:pPr>
        <w:jc w:val="both"/>
        <w:rPr>
          <w:rFonts w:ascii="Arial" w:hAnsi="Arial" w:cs="Arial"/>
          <w:sz w:val="20"/>
          <w:szCs w:val="20"/>
        </w:rPr>
      </w:pPr>
      <w:r w:rsidRPr="00B44505">
        <w:rPr>
          <w:rFonts w:ascii="Arial" w:hAnsi="Arial" w:cs="Arial"/>
          <w:sz w:val="20"/>
          <w:szCs w:val="20"/>
        </w:rPr>
        <w:t>Modenese, B., &amp; Barra, P. (2011). How do the vitamin C levels in fruit juices in the market today compare to the values in the Food Tables?. </w:t>
      </w:r>
      <w:r w:rsidRPr="00B44505">
        <w:rPr>
          <w:rFonts w:ascii="Arial" w:hAnsi="Arial" w:cs="Arial"/>
          <w:i/>
          <w:iCs/>
          <w:sz w:val="20"/>
          <w:szCs w:val="20"/>
        </w:rPr>
        <w:t>Proceedings of the Nutrition Society</w:t>
      </w:r>
      <w:r w:rsidRPr="00B44505">
        <w:rPr>
          <w:rFonts w:ascii="Arial" w:hAnsi="Arial" w:cs="Arial"/>
          <w:sz w:val="20"/>
          <w:szCs w:val="20"/>
        </w:rPr>
        <w:t>, </w:t>
      </w:r>
      <w:r w:rsidRPr="00B44505">
        <w:rPr>
          <w:rFonts w:ascii="Arial" w:hAnsi="Arial" w:cs="Arial"/>
          <w:i/>
          <w:iCs/>
          <w:sz w:val="20"/>
          <w:szCs w:val="20"/>
        </w:rPr>
        <w:t>70</w:t>
      </w:r>
      <w:r w:rsidRPr="00B44505">
        <w:rPr>
          <w:rFonts w:ascii="Arial" w:hAnsi="Arial" w:cs="Arial"/>
          <w:sz w:val="20"/>
          <w:szCs w:val="20"/>
        </w:rPr>
        <w:t>(OCE4), E141.</w:t>
      </w:r>
    </w:p>
    <w:p w14:paraId="5153D3B9" w14:textId="58A38C12" w:rsidR="00CF46A7" w:rsidRPr="00B44505" w:rsidRDefault="00CF46A7" w:rsidP="00CF46A7">
      <w:pPr>
        <w:jc w:val="both"/>
        <w:rPr>
          <w:rFonts w:ascii="Arial" w:hAnsi="Arial" w:cs="Arial"/>
          <w:sz w:val="20"/>
          <w:szCs w:val="20"/>
        </w:rPr>
      </w:pPr>
      <w:r w:rsidRPr="00B44505">
        <w:rPr>
          <w:rFonts w:ascii="Arial" w:hAnsi="Arial" w:cs="Arial"/>
          <w:sz w:val="20"/>
          <w:szCs w:val="20"/>
        </w:rPr>
        <w:lastRenderedPageBreak/>
        <w:t>Lee, J., Durst, R. W., Wrolstad, R. E., &amp; Collaborators: Eisele T Giusti MM Hach J Hofsommer H Koswig S Krueger DA Kupina; S Martin SK Martinsen BK Miller TC Paquette F Ryabkova A Skrede G Trenn U Wightman JD. (2005). Determination of total monomeric anthocyanin pigment content of fruit juices, beverages, natural colorants, and wines by the pH differential method: collaborative study. </w:t>
      </w:r>
      <w:r w:rsidRPr="00B44505">
        <w:rPr>
          <w:rFonts w:ascii="Arial" w:hAnsi="Arial" w:cs="Arial"/>
          <w:i/>
          <w:iCs/>
          <w:sz w:val="20"/>
          <w:szCs w:val="20"/>
        </w:rPr>
        <w:t>Journal of AOAC international</w:t>
      </w:r>
      <w:r w:rsidRPr="00B44505">
        <w:rPr>
          <w:rFonts w:ascii="Arial" w:hAnsi="Arial" w:cs="Arial"/>
          <w:sz w:val="20"/>
          <w:szCs w:val="20"/>
        </w:rPr>
        <w:t>, </w:t>
      </w:r>
      <w:r w:rsidRPr="00B44505">
        <w:rPr>
          <w:rFonts w:ascii="Arial" w:hAnsi="Arial" w:cs="Arial"/>
          <w:i/>
          <w:iCs/>
          <w:sz w:val="20"/>
          <w:szCs w:val="20"/>
        </w:rPr>
        <w:t>88</w:t>
      </w:r>
      <w:r w:rsidRPr="00B44505">
        <w:rPr>
          <w:rFonts w:ascii="Arial" w:hAnsi="Arial" w:cs="Arial"/>
          <w:sz w:val="20"/>
          <w:szCs w:val="20"/>
        </w:rPr>
        <w:t>(5), 1269-1278.</w:t>
      </w:r>
    </w:p>
    <w:sectPr w:rsidR="00CF46A7" w:rsidRPr="00B4450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admin" w:date="2025-07-29T21:49:00Z" w:initials="a">
    <w:p w14:paraId="462E424E" w14:textId="1BED4AE3" w:rsidR="00E44B6F" w:rsidRDefault="00E44B6F">
      <w:pPr>
        <w:pStyle w:val="CommentText"/>
      </w:pPr>
      <w:r>
        <w:rPr>
          <w:rStyle w:val="CommentReference"/>
        </w:rPr>
        <w:annotationRef/>
      </w:r>
      <w:r w:rsidR="001C6037">
        <w:rPr>
          <w:noProof/>
        </w:rPr>
        <w:t>It is tea infusion please modify.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2E424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62312" w14:textId="77777777" w:rsidR="001C6037" w:rsidRDefault="001C6037" w:rsidP="00F5169E">
      <w:pPr>
        <w:spacing w:after="0" w:line="240" w:lineRule="auto"/>
      </w:pPr>
      <w:r>
        <w:separator/>
      </w:r>
    </w:p>
  </w:endnote>
  <w:endnote w:type="continuationSeparator" w:id="0">
    <w:p w14:paraId="3C8E34B4" w14:textId="77777777" w:rsidR="001C6037" w:rsidRDefault="001C6037" w:rsidP="00F5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322BB" w14:textId="77777777" w:rsidR="00B320B5" w:rsidRDefault="00B320B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63FF0" w14:textId="77777777" w:rsidR="00B320B5" w:rsidRDefault="00B320B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A8F42" w14:textId="77777777" w:rsidR="00B320B5" w:rsidRDefault="00B320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96084" w14:textId="77777777" w:rsidR="001C6037" w:rsidRDefault="001C6037" w:rsidP="00F5169E">
      <w:pPr>
        <w:spacing w:after="0" w:line="240" w:lineRule="auto"/>
      </w:pPr>
      <w:r>
        <w:separator/>
      </w:r>
    </w:p>
  </w:footnote>
  <w:footnote w:type="continuationSeparator" w:id="0">
    <w:p w14:paraId="24572C11" w14:textId="77777777" w:rsidR="001C6037" w:rsidRDefault="001C6037" w:rsidP="00F51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CD59E" w14:textId="750890BB" w:rsidR="00B320B5" w:rsidRDefault="001C6037">
    <w:pPr>
      <w:pStyle w:val="Header"/>
    </w:pPr>
    <w:r>
      <w:rPr>
        <w:noProof/>
      </w:rPr>
      <w:pict w14:anchorId="789B3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09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ECE9" w14:textId="55658194" w:rsidR="00B320B5" w:rsidRDefault="001C6037">
    <w:pPr>
      <w:pStyle w:val="Header"/>
    </w:pPr>
    <w:r>
      <w:rPr>
        <w:noProof/>
      </w:rPr>
      <w:pict w14:anchorId="4BA00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09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7B337" w14:textId="099FC62B" w:rsidR="00B320B5" w:rsidRDefault="001C6037">
    <w:pPr>
      <w:pStyle w:val="Header"/>
    </w:pPr>
    <w:r>
      <w:rPr>
        <w:noProof/>
      </w:rPr>
      <w:pict w14:anchorId="1EE31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09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468"/>
    <w:multiLevelType w:val="multilevel"/>
    <w:tmpl w:val="1494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EC4"/>
    <w:multiLevelType w:val="multilevel"/>
    <w:tmpl w:val="DD9C2D26"/>
    <w:lvl w:ilvl="0">
      <w:start w:val="3"/>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494253"/>
    <w:multiLevelType w:val="multilevel"/>
    <w:tmpl w:val="76F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30864"/>
    <w:multiLevelType w:val="multilevel"/>
    <w:tmpl w:val="2DDC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97355"/>
    <w:multiLevelType w:val="multilevel"/>
    <w:tmpl w:val="C73CD11C"/>
    <w:lvl w:ilvl="0">
      <w:start w:val="42"/>
      <w:numFmt w:val="decimal"/>
      <w:lvlText w:val="%1"/>
      <w:lvlJc w:val="left"/>
      <w:pPr>
        <w:ind w:left="492" w:hanging="492"/>
      </w:pPr>
      <w:rPr>
        <w:rFonts w:hint="default"/>
      </w:rPr>
    </w:lvl>
    <w:lvl w:ilvl="1">
      <w:start w:val="33"/>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E42F2E"/>
    <w:multiLevelType w:val="multilevel"/>
    <w:tmpl w:val="4FD88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670B4"/>
    <w:multiLevelType w:val="multilevel"/>
    <w:tmpl w:val="EE0A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A681F"/>
    <w:multiLevelType w:val="multilevel"/>
    <w:tmpl w:val="855A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E69EF"/>
    <w:multiLevelType w:val="multilevel"/>
    <w:tmpl w:val="7C6E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F4123"/>
    <w:multiLevelType w:val="multilevel"/>
    <w:tmpl w:val="4B18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74784"/>
    <w:multiLevelType w:val="multilevel"/>
    <w:tmpl w:val="CD14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24B64"/>
    <w:multiLevelType w:val="multilevel"/>
    <w:tmpl w:val="1F0C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137F5"/>
    <w:multiLevelType w:val="hybridMultilevel"/>
    <w:tmpl w:val="1F42922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20D20A5"/>
    <w:multiLevelType w:val="hybridMultilevel"/>
    <w:tmpl w:val="2FBA50E4"/>
    <w:lvl w:ilvl="0" w:tplc="C9CE8860">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7596058"/>
    <w:multiLevelType w:val="multilevel"/>
    <w:tmpl w:val="D7C2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1C460F"/>
    <w:multiLevelType w:val="multilevel"/>
    <w:tmpl w:val="D7D0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E55AE"/>
    <w:multiLevelType w:val="multilevel"/>
    <w:tmpl w:val="8168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921A2F"/>
    <w:multiLevelType w:val="multilevel"/>
    <w:tmpl w:val="547A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1C7C33"/>
    <w:multiLevelType w:val="multilevel"/>
    <w:tmpl w:val="E760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20D8C"/>
    <w:multiLevelType w:val="hybridMultilevel"/>
    <w:tmpl w:val="BEB4BA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9FC26BC"/>
    <w:multiLevelType w:val="multilevel"/>
    <w:tmpl w:val="6134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B17D1"/>
    <w:multiLevelType w:val="multilevel"/>
    <w:tmpl w:val="BE0C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598E"/>
    <w:multiLevelType w:val="multilevel"/>
    <w:tmpl w:val="B0AA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013930"/>
    <w:multiLevelType w:val="multilevel"/>
    <w:tmpl w:val="3798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6E1082"/>
    <w:multiLevelType w:val="multilevel"/>
    <w:tmpl w:val="03A6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B1667"/>
    <w:multiLevelType w:val="multilevel"/>
    <w:tmpl w:val="2BAE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6F3612"/>
    <w:multiLevelType w:val="multilevel"/>
    <w:tmpl w:val="2FB6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1"/>
  </w:num>
  <w:num w:numId="4">
    <w:abstractNumId w:val="2"/>
  </w:num>
  <w:num w:numId="5">
    <w:abstractNumId w:val="3"/>
  </w:num>
  <w:num w:numId="6">
    <w:abstractNumId w:val="6"/>
  </w:num>
  <w:num w:numId="7">
    <w:abstractNumId w:val="20"/>
  </w:num>
  <w:num w:numId="8">
    <w:abstractNumId w:val="8"/>
  </w:num>
  <w:num w:numId="9">
    <w:abstractNumId w:val="22"/>
  </w:num>
  <w:num w:numId="10">
    <w:abstractNumId w:val="21"/>
  </w:num>
  <w:num w:numId="11">
    <w:abstractNumId w:val="7"/>
  </w:num>
  <w:num w:numId="12">
    <w:abstractNumId w:val="17"/>
  </w:num>
  <w:num w:numId="13">
    <w:abstractNumId w:val="14"/>
  </w:num>
  <w:num w:numId="14">
    <w:abstractNumId w:val="0"/>
  </w:num>
  <w:num w:numId="15">
    <w:abstractNumId w:val="23"/>
  </w:num>
  <w:num w:numId="16">
    <w:abstractNumId w:val="12"/>
  </w:num>
  <w:num w:numId="17">
    <w:abstractNumId w:val="1"/>
  </w:num>
  <w:num w:numId="18">
    <w:abstractNumId w:val="24"/>
  </w:num>
  <w:num w:numId="19">
    <w:abstractNumId w:val="15"/>
  </w:num>
  <w:num w:numId="20">
    <w:abstractNumId w:val="19"/>
  </w:num>
  <w:num w:numId="21">
    <w:abstractNumId w:val="26"/>
  </w:num>
  <w:num w:numId="22">
    <w:abstractNumId w:val="16"/>
  </w:num>
  <w:num w:numId="23">
    <w:abstractNumId w:val="10"/>
  </w:num>
  <w:num w:numId="24">
    <w:abstractNumId w:val="25"/>
  </w:num>
  <w:num w:numId="25">
    <w:abstractNumId w:val="18"/>
  </w:num>
  <w:num w:numId="26">
    <w:abstractNumId w:val="4"/>
  </w:num>
  <w:num w:numId="27">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C7"/>
    <w:rsid w:val="000075BA"/>
    <w:rsid w:val="00017261"/>
    <w:rsid w:val="00045805"/>
    <w:rsid w:val="0007082C"/>
    <w:rsid w:val="00097B54"/>
    <w:rsid w:val="000A47FD"/>
    <w:rsid w:val="000C1ED6"/>
    <w:rsid w:val="000C301D"/>
    <w:rsid w:val="000C4A1E"/>
    <w:rsid w:val="000C5CBF"/>
    <w:rsid w:val="000C7717"/>
    <w:rsid w:val="0010043B"/>
    <w:rsid w:val="00101BED"/>
    <w:rsid w:val="00123609"/>
    <w:rsid w:val="001639D3"/>
    <w:rsid w:val="00187B77"/>
    <w:rsid w:val="001A1069"/>
    <w:rsid w:val="001C6037"/>
    <w:rsid w:val="001F4F7A"/>
    <w:rsid w:val="001F6716"/>
    <w:rsid w:val="00214510"/>
    <w:rsid w:val="00225EDE"/>
    <w:rsid w:val="00231368"/>
    <w:rsid w:val="00235845"/>
    <w:rsid w:val="002411D2"/>
    <w:rsid w:val="00243F85"/>
    <w:rsid w:val="0026088B"/>
    <w:rsid w:val="00273E96"/>
    <w:rsid w:val="00283E8A"/>
    <w:rsid w:val="00294BBD"/>
    <w:rsid w:val="002A01C3"/>
    <w:rsid w:val="002B3F73"/>
    <w:rsid w:val="002C0A68"/>
    <w:rsid w:val="002E04F1"/>
    <w:rsid w:val="00307B85"/>
    <w:rsid w:val="003127F7"/>
    <w:rsid w:val="003200C0"/>
    <w:rsid w:val="00362863"/>
    <w:rsid w:val="0036677F"/>
    <w:rsid w:val="003767B5"/>
    <w:rsid w:val="00386825"/>
    <w:rsid w:val="003A18C5"/>
    <w:rsid w:val="003A419F"/>
    <w:rsid w:val="003D6C83"/>
    <w:rsid w:val="003F0AD3"/>
    <w:rsid w:val="00405D4E"/>
    <w:rsid w:val="004338DA"/>
    <w:rsid w:val="0043721D"/>
    <w:rsid w:val="00445C35"/>
    <w:rsid w:val="004509C1"/>
    <w:rsid w:val="00452D77"/>
    <w:rsid w:val="00454186"/>
    <w:rsid w:val="004A6E06"/>
    <w:rsid w:val="004B1983"/>
    <w:rsid w:val="004D28DA"/>
    <w:rsid w:val="004F187C"/>
    <w:rsid w:val="005223B2"/>
    <w:rsid w:val="00525282"/>
    <w:rsid w:val="005423F3"/>
    <w:rsid w:val="005571F9"/>
    <w:rsid w:val="00565462"/>
    <w:rsid w:val="0057786D"/>
    <w:rsid w:val="0058145C"/>
    <w:rsid w:val="005817E5"/>
    <w:rsid w:val="00592016"/>
    <w:rsid w:val="005A785B"/>
    <w:rsid w:val="005F0143"/>
    <w:rsid w:val="005F305C"/>
    <w:rsid w:val="005F6681"/>
    <w:rsid w:val="00621BC7"/>
    <w:rsid w:val="006573BE"/>
    <w:rsid w:val="006A5808"/>
    <w:rsid w:val="006B336E"/>
    <w:rsid w:val="006D5F40"/>
    <w:rsid w:val="006D737B"/>
    <w:rsid w:val="006D7B23"/>
    <w:rsid w:val="006F5A3A"/>
    <w:rsid w:val="00721030"/>
    <w:rsid w:val="007371A4"/>
    <w:rsid w:val="00755761"/>
    <w:rsid w:val="00760CF1"/>
    <w:rsid w:val="007820F4"/>
    <w:rsid w:val="00790AA6"/>
    <w:rsid w:val="007A6E6A"/>
    <w:rsid w:val="0086760F"/>
    <w:rsid w:val="008738CF"/>
    <w:rsid w:val="00883B7B"/>
    <w:rsid w:val="008B400E"/>
    <w:rsid w:val="008C7850"/>
    <w:rsid w:val="008E766B"/>
    <w:rsid w:val="0090142A"/>
    <w:rsid w:val="00904DA0"/>
    <w:rsid w:val="009514E5"/>
    <w:rsid w:val="009554B2"/>
    <w:rsid w:val="0096144B"/>
    <w:rsid w:val="00977659"/>
    <w:rsid w:val="009808B8"/>
    <w:rsid w:val="00981F5B"/>
    <w:rsid w:val="009E69A4"/>
    <w:rsid w:val="00A11562"/>
    <w:rsid w:val="00A12643"/>
    <w:rsid w:val="00A15555"/>
    <w:rsid w:val="00A174BF"/>
    <w:rsid w:val="00A37EEE"/>
    <w:rsid w:val="00A46ECB"/>
    <w:rsid w:val="00A530D2"/>
    <w:rsid w:val="00A537BC"/>
    <w:rsid w:val="00A73AEB"/>
    <w:rsid w:val="00AB189B"/>
    <w:rsid w:val="00AE08C8"/>
    <w:rsid w:val="00AE1ABA"/>
    <w:rsid w:val="00AE2909"/>
    <w:rsid w:val="00B320B5"/>
    <w:rsid w:val="00B44505"/>
    <w:rsid w:val="00B458B0"/>
    <w:rsid w:val="00B534FA"/>
    <w:rsid w:val="00B53E0F"/>
    <w:rsid w:val="00B702D7"/>
    <w:rsid w:val="00B70A60"/>
    <w:rsid w:val="00B77A20"/>
    <w:rsid w:val="00B87E18"/>
    <w:rsid w:val="00BB136D"/>
    <w:rsid w:val="00BB18D2"/>
    <w:rsid w:val="00BB5917"/>
    <w:rsid w:val="00BC04F1"/>
    <w:rsid w:val="00BD411E"/>
    <w:rsid w:val="00C00F4D"/>
    <w:rsid w:val="00C11828"/>
    <w:rsid w:val="00C427F7"/>
    <w:rsid w:val="00C85BDE"/>
    <w:rsid w:val="00CA3435"/>
    <w:rsid w:val="00CB6259"/>
    <w:rsid w:val="00CF46A7"/>
    <w:rsid w:val="00D51F47"/>
    <w:rsid w:val="00D719B6"/>
    <w:rsid w:val="00D81495"/>
    <w:rsid w:val="00D83154"/>
    <w:rsid w:val="00D86B44"/>
    <w:rsid w:val="00DB1706"/>
    <w:rsid w:val="00DC5A37"/>
    <w:rsid w:val="00E2050F"/>
    <w:rsid w:val="00E44B6F"/>
    <w:rsid w:val="00E46BE0"/>
    <w:rsid w:val="00E63498"/>
    <w:rsid w:val="00EA48D2"/>
    <w:rsid w:val="00EB0F6A"/>
    <w:rsid w:val="00ED4D74"/>
    <w:rsid w:val="00F20A2A"/>
    <w:rsid w:val="00F227C8"/>
    <w:rsid w:val="00F370B8"/>
    <w:rsid w:val="00F5169E"/>
    <w:rsid w:val="00F6753B"/>
    <w:rsid w:val="00F85B31"/>
    <w:rsid w:val="00F868DF"/>
    <w:rsid w:val="00FE34A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DDA2F1"/>
  <w15:chartTrackingRefBased/>
  <w15:docId w15:val="{CAF695EB-EA2C-4FD9-A7E4-3DCC8584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1BC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21BC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21BC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21B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1B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1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C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21BC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21BC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21B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1B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1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BC7"/>
    <w:rPr>
      <w:rFonts w:eastAsiaTheme="majorEastAsia" w:cstheme="majorBidi"/>
      <w:color w:val="272727" w:themeColor="text1" w:themeTint="D8"/>
    </w:rPr>
  </w:style>
  <w:style w:type="paragraph" w:styleId="Title">
    <w:name w:val="Title"/>
    <w:basedOn w:val="Normal"/>
    <w:next w:val="Normal"/>
    <w:link w:val="TitleChar"/>
    <w:uiPriority w:val="10"/>
    <w:qFormat/>
    <w:rsid w:val="00621BC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21BC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21BC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21BC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21BC7"/>
    <w:pPr>
      <w:spacing w:before="160"/>
      <w:jc w:val="center"/>
    </w:pPr>
    <w:rPr>
      <w:i/>
      <w:iCs/>
      <w:color w:val="404040" w:themeColor="text1" w:themeTint="BF"/>
    </w:rPr>
  </w:style>
  <w:style w:type="character" w:customStyle="1" w:styleId="QuoteChar">
    <w:name w:val="Quote Char"/>
    <w:basedOn w:val="DefaultParagraphFont"/>
    <w:link w:val="Quote"/>
    <w:uiPriority w:val="29"/>
    <w:rsid w:val="00621BC7"/>
    <w:rPr>
      <w:i/>
      <w:iCs/>
      <w:color w:val="404040" w:themeColor="text1" w:themeTint="BF"/>
    </w:rPr>
  </w:style>
  <w:style w:type="paragraph" w:styleId="ListParagraph">
    <w:name w:val="List Paragraph"/>
    <w:basedOn w:val="Normal"/>
    <w:uiPriority w:val="34"/>
    <w:qFormat/>
    <w:rsid w:val="00621BC7"/>
    <w:pPr>
      <w:ind w:left="720"/>
      <w:contextualSpacing/>
    </w:pPr>
  </w:style>
  <w:style w:type="character" w:styleId="IntenseEmphasis">
    <w:name w:val="Intense Emphasis"/>
    <w:basedOn w:val="DefaultParagraphFont"/>
    <w:uiPriority w:val="21"/>
    <w:qFormat/>
    <w:rsid w:val="00621BC7"/>
    <w:rPr>
      <w:i/>
      <w:iCs/>
      <w:color w:val="2F5496" w:themeColor="accent1" w:themeShade="BF"/>
    </w:rPr>
  </w:style>
  <w:style w:type="paragraph" w:styleId="IntenseQuote">
    <w:name w:val="Intense Quote"/>
    <w:basedOn w:val="Normal"/>
    <w:next w:val="Normal"/>
    <w:link w:val="IntenseQuoteChar"/>
    <w:uiPriority w:val="30"/>
    <w:qFormat/>
    <w:rsid w:val="00621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1BC7"/>
    <w:rPr>
      <w:i/>
      <w:iCs/>
      <w:color w:val="2F5496" w:themeColor="accent1" w:themeShade="BF"/>
    </w:rPr>
  </w:style>
  <w:style w:type="character" w:styleId="IntenseReference">
    <w:name w:val="Intense Reference"/>
    <w:basedOn w:val="DefaultParagraphFont"/>
    <w:uiPriority w:val="32"/>
    <w:qFormat/>
    <w:rsid w:val="00621BC7"/>
    <w:rPr>
      <w:b/>
      <w:bCs/>
      <w:smallCaps/>
      <w:color w:val="2F5496" w:themeColor="accent1" w:themeShade="BF"/>
      <w:spacing w:val="5"/>
    </w:rPr>
  </w:style>
  <w:style w:type="table" w:styleId="TableGrid">
    <w:name w:val="Table Grid"/>
    <w:basedOn w:val="TableNormal"/>
    <w:uiPriority w:val="39"/>
    <w:rsid w:val="00D86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1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69E"/>
  </w:style>
  <w:style w:type="paragraph" w:styleId="Footer">
    <w:name w:val="footer"/>
    <w:basedOn w:val="Normal"/>
    <w:link w:val="FooterChar"/>
    <w:uiPriority w:val="99"/>
    <w:unhideWhenUsed/>
    <w:rsid w:val="00F51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69E"/>
  </w:style>
  <w:style w:type="character" w:styleId="Hyperlink">
    <w:name w:val="Hyperlink"/>
    <w:basedOn w:val="DefaultParagraphFont"/>
    <w:uiPriority w:val="99"/>
    <w:unhideWhenUsed/>
    <w:rsid w:val="00981F5B"/>
    <w:rPr>
      <w:color w:val="0563C1" w:themeColor="hyperlink"/>
      <w:u w:val="single"/>
    </w:rPr>
  </w:style>
  <w:style w:type="character" w:customStyle="1" w:styleId="UnresolvedMention1">
    <w:name w:val="Unresolved Mention1"/>
    <w:basedOn w:val="DefaultParagraphFont"/>
    <w:uiPriority w:val="99"/>
    <w:semiHidden/>
    <w:unhideWhenUsed/>
    <w:rsid w:val="00981F5B"/>
    <w:rPr>
      <w:color w:val="605E5C"/>
      <w:shd w:val="clear" w:color="auto" w:fill="E1DFDD"/>
    </w:rPr>
  </w:style>
  <w:style w:type="character" w:styleId="CommentReference">
    <w:name w:val="annotation reference"/>
    <w:basedOn w:val="DefaultParagraphFont"/>
    <w:uiPriority w:val="99"/>
    <w:semiHidden/>
    <w:unhideWhenUsed/>
    <w:rsid w:val="00E44B6F"/>
    <w:rPr>
      <w:sz w:val="16"/>
      <w:szCs w:val="16"/>
    </w:rPr>
  </w:style>
  <w:style w:type="paragraph" w:styleId="CommentText">
    <w:name w:val="annotation text"/>
    <w:basedOn w:val="Normal"/>
    <w:link w:val="CommentTextChar"/>
    <w:uiPriority w:val="99"/>
    <w:semiHidden/>
    <w:unhideWhenUsed/>
    <w:rsid w:val="00E44B6F"/>
    <w:pPr>
      <w:spacing w:line="240" w:lineRule="auto"/>
    </w:pPr>
    <w:rPr>
      <w:sz w:val="20"/>
      <w:szCs w:val="18"/>
    </w:rPr>
  </w:style>
  <w:style w:type="character" w:customStyle="1" w:styleId="CommentTextChar">
    <w:name w:val="Comment Text Char"/>
    <w:basedOn w:val="DefaultParagraphFont"/>
    <w:link w:val="CommentText"/>
    <w:uiPriority w:val="99"/>
    <w:semiHidden/>
    <w:rsid w:val="00E44B6F"/>
    <w:rPr>
      <w:sz w:val="20"/>
      <w:szCs w:val="18"/>
    </w:rPr>
  </w:style>
  <w:style w:type="paragraph" w:styleId="CommentSubject">
    <w:name w:val="annotation subject"/>
    <w:basedOn w:val="CommentText"/>
    <w:next w:val="CommentText"/>
    <w:link w:val="CommentSubjectChar"/>
    <w:uiPriority w:val="99"/>
    <w:semiHidden/>
    <w:unhideWhenUsed/>
    <w:rsid w:val="00E44B6F"/>
    <w:rPr>
      <w:b/>
      <w:bCs/>
    </w:rPr>
  </w:style>
  <w:style w:type="character" w:customStyle="1" w:styleId="CommentSubjectChar">
    <w:name w:val="Comment Subject Char"/>
    <w:basedOn w:val="CommentTextChar"/>
    <w:link w:val="CommentSubject"/>
    <w:uiPriority w:val="99"/>
    <w:semiHidden/>
    <w:rsid w:val="00E44B6F"/>
    <w:rPr>
      <w:b/>
      <w:bCs/>
      <w:sz w:val="20"/>
      <w:szCs w:val="18"/>
    </w:rPr>
  </w:style>
  <w:style w:type="paragraph" w:styleId="Revision">
    <w:name w:val="Revision"/>
    <w:hidden/>
    <w:uiPriority w:val="99"/>
    <w:semiHidden/>
    <w:rsid w:val="00E44B6F"/>
    <w:pPr>
      <w:spacing w:after="0" w:line="240" w:lineRule="auto"/>
    </w:pPr>
  </w:style>
  <w:style w:type="paragraph" w:styleId="BalloonText">
    <w:name w:val="Balloon Text"/>
    <w:basedOn w:val="Normal"/>
    <w:link w:val="BalloonTextChar"/>
    <w:uiPriority w:val="99"/>
    <w:semiHidden/>
    <w:unhideWhenUsed/>
    <w:rsid w:val="00E44B6F"/>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E44B6F"/>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Pages>
  <Words>3737</Words>
  <Characters>21306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 JADHAV</dc:creator>
  <cp:keywords/>
  <dc:description/>
  <cp:lastModifiedBy>admin</cp:lastModifiedBy>
  <cp:revision>124</cp:revision>
  <dcterms:created xsi:type="dcterms:W3CDTF">2025-07-25T04:56:00Z</dcterms:created>
  <dcterms:modified xsi:type="dcterms:W3CDTF">2025-07-29T17:20:00Z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f796f500-2905-4c54-8a59-e23dc8acc8b3</vt:lpwstr>
  </property>
</Properties>
</file>