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FFB0F" w14:textId="77777777" w:rsidR="00754C9A" w:rsidRDefault="00754C9A" w:rsidP="00441B6F">
      <w:pPr>
        <w:pStyle w:val="Title"/>
        <w:spacing w:after="0"/>
        <w:jc w:val="both"/>
        <w:rPr>
          <w:rFonts w:ascii="Arial" w:hAnsi="Arial" w:cs="Arial"/>
        </w:rPr>
      </w:pPr>
    </w:p>
    <w:p w14:paraId="2A5F3C27" w14:textId="77777777" w:rsidR="00163BC4" w:rsidRPr="00163BC4" w:rsidRDefault="0045443B" w:rsidP="00441B6F">
      <w:pPr>
        <w:pStyle w:val="Author"/>
        <w:spacing w:line="240" w:lineRule="auto"/>
        <w:rPr>
          <w:rFonts w:ascii="Arial" w:hAnsi="Arial" w:cs="Arial"/>
          <w:bCs/>
          <w:iCs/>
          <w:kern w:val="28"/>
          <w:sz w:val="36"/>
        </w:rPr>
      </w:pPr>
      <w:r w:rsidRPr="0045443B">
        <w:rPr>
          <w:rFonts w:ascii="Arial" w:hAnsi="Arial" w:cs="Arial"/>
          <w:bCs/>
          <w:sz w:val="36"/>
          <w:szCs w:val="36"/>
        </w:rPr>
        <w:t>DEVELOPMENT AND QUALITY EVALUATION OF NUTRIENT ENRICHED BREAD FROM WHEAT, SOYBEAN, AND CARROT FLOUR BLENDS</w:t>
      </w:r>
      <w:r>
        <w:rPr>
          <w:rFonts w:ascii="Arial" w:hAnsi="Arial" w:cs="Arial"/>
          <w:bCs/>
          <w:iCs/>
          <w:kern w:val="28"/>
          <w:sz w:val="36"/>
        </w:rPr>
        <w:t xml:space="preserve"> </w:t>
      </w:r>
    </w:p>
    <w:p w14:paraId="22936582" w14:textId="77777777" w:rsidR="00A258C3" w:rsidRPr="00790ADA" w:rsidRDefault="00A258C3" w:rsidP="00441B6F">
      <w:pPr>
        <w:pStyle w:val="Author"/>
        <w:spacing w:line="240" w:lineRule="auto"/>
        <w:jc w:val="both"/>
        <w:rPr>
          <w:rFonts w:ascii="Arial" w:hAnsi="Arial" w:cs="Arial"/>
          <w:sz w:val="36"/>
        </w:rPr>
      </w:pPr>
    </w:p>
    <w:p w14:paraId="25E63FB8" w14:textId="77777777" w:rsidR="002C57D2" w:rsidRPr="00FB3A86" w:rsidRDefault="002C57D2" w:rsidP="00441B6F">
      <w:pPr>
        <w:pStyle w:val="Affiliation"/>
        <w:spacing w:after="0" w:line="240" w:lineRule="auto"/>
        <w:jc w:val="both"/>
        <w:rPr>
          <w:rFonts w:ascii="Arial" w:hAnsi="Arial" w:cs="Arial"/>
        </w:rPr>
      </w:pPr>
    </w:p>
    <w:p w14:paraId="0D272BCC" w14:textId="77777777" w:rsidR="00B01FCD" w:rsidRPr="00FB3A86" w:rsidRDefault="00000000" w:rsidP="00441B6F">
      <w:pPr>
        <w:pStyle w:val="Copyright"/>
        <w:spacing w:after="0" w:line="240" w:lineRule="auto"/>
        <w:jc w:val="both"/>
        <w:rPr>
          <w:rFonts w:ascii="Arial" w:hAnsi="Arial" w:cs="Arial"/>
        </w:rPr>
        <w:sectPr w:rsidR="00B01FCD" w:rsidRPr="00FB3A86" w:rsidSect="000467E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3E50967">
          <v:shapetype id="_x0000_t32" coordsize="21600,21600" o:spt="32" o:oned="t" path="m,l21600,21600e" filled="f">
            <v:path arrowok="t" fillok="f" o:connecttype="none"/>
            <o:lock v:ext="edit" shapetype="t"/>
          </v:shapetype>
          <v:shape id="_x0000_s2050"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32C7DC32" w14:textId="77777777" w:rsidR="00790ADA" w:rsidRPr="00FB3A86" w:rsidRDefault="00B01FCD" w:rsidP="00441B6F">
      <w:pPr>
        <w:pStyle w:val="AbstHead"/>
        <w:spacing w:after="0"/>
        <w:jc w:val="both"/>
        <w:rPr>
          <w:rFonts w:ascii="Arial" w:hAnsi="Arial" w:cs="Arial"/>
        </w:rPr>
      </w:pPr>
      <w:commentRangeStart w:id="0"/>
      <w:r w:rsidRPr="00FB3A86">
        <w:rPr>
          <w:rFonts w:ascii="Arial" w:hAnsi="Arial" w:cs="Arial"/>
        </w:rPr>
        <w:t>ABSTRACT</w:t>
      </w:r>
      <w:commentRangeEnd w:id="0"/>
      <w:r w:rsidR="00654727">
        <w:rPr>
          <w:rStyle w:val="CommentReference"/>
          <w:rFonts w:ascii="Times New Roman" w:hAnsi="Times New Roman"/>
          <w:b w:val="0"/>
          <w:caps w:val="0"/>
          <w:lang w:val="nb-NO" w:eastAsia="nb-NO"/>
        </w:rPr>
        <w:commentReference w:id="0"/>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3739D6D" w14:textId="77777777" w:rsidTr="001E44FE">
        <w:tc>
          <w:tcPr>
            <w:tcW w:w="9576" w:type="dxa"/>
            <w:shd w:val="clear" w:color="auto" w:fill="F2F2F2"/>
          </w:tcPr>
          <w:p w14:paraId="38572EA6" w14:textId="77777777" w:rsidR="00A03B96" w:rsidRDefault="00A03B96" w:rsidP="00441B6F">
            <w:pPr>
              <w:pStyle w:val="Body"/>
              <w:spacing w:after="0"/>
              <w:rPr>
                <w:rFonts w:ascii="Arial" w:eastAsia="Calibri" w:hAnsi="Arial" w:cs="Arial"/>
                <w:szCs w:val="22"/>
              </w:rPr>
            </w:pPr>
          </w:p>
          <w:p w14:paraId="03A570E6" w14:textId="77777777" w:rsidR="0045443B" w:rsidRPr="00BC044D" w:rsidRDefault="0045443B" w:rsidP="0045443B">
            <w:pPr>
              <w:jc w:val="both"/>
              <w:rPr>
                <w:rFonts w:ascii="Arial" w:hAnsi="Arial" w:cs="Arial"/>
              </w:rPr>
            </w:pPr>
            <w:r w:rsidRPr="00BC044D">
              <w:rPr>
                <w:rFonts w:ascii="Arial" w:hAnsi="Arial" w:cs="Arial"/>
                <w:b/>
                <w:bCs/>
              </w:rPr>
              <w:t>Aim:</w:t>
            </w:r>
            <w:r w:rsidRPr="00BC044D">
              <w:rPr>
                <w:rFonts w:ascii="Arial" w:hAnsi="Arial" w:cs="Arial"/>
              </w:rPr>
              <w:t xml:space="preserve"> The increasing demand for nutritious, affordable, and sustainable food products calls for innovative strategies that enhance the resilience of food systems while improving livelihoods. This study investigates the development of nutrient-dense bread using composite flours made from wheat, soybeans, and carrots—three ingredients that are locally available and </w:t>
            </w:r>
            <w:proofErr w:type="spellStart"/>
            <w:r w:rsidRPr="00BC044D">
              <w:rPr>
                <w:rFonts w:ascii="Arial" w:hAnsi="Arial" w:cs="Arial"/>
              </w:rPr>
              <w:t>utilised</w:t>
            </w:r>
            <w:proofErr w:type="spellEnd"/>
            <w:r w:rsidRPr="00BC044D">
              <w:rPr>
                <w:rFonts w:ascii="Arial" w:hAnsi="Arial" w:cs="Arial"/>
              </w:rPr>
              <w:t xml:space="preserve"> in many regions. </w:t>
            </w:r>
          </w:p>
          <w:p w14:paraId="7CE8CBD1" w14:textId="77777777" w:rsidR="0045443B" w:rsidRPr="00BC044D" w:rsidRDefault="0045443B" w:rsidP="0045443B">
            <w:pPr>
              <w:jc w:val="both"/>
              <w:rPr>
                <w:rFonts w:ascii="Arial" w:hAnsi="Arial" w:cs="Arial"/>
              </w:rPr>
            </w:pPr>
            <w:r w:rsidRPr="00BC044D">
              <w:rPr>
                <w:rFonts w:ascii="Arial" w:hAnsi="Arial" w:cs="Arial"/>
                <w:b/>
                <w:bCs/>
              </w:rPr>
              <w:t>Materials</w:t>
            </w:r>
            <w:r w:rsidR="00B56CE9" w:rsidRPr="00BC044D">
              <w:rPr>
                <w:rFonts w:ascii="Arial" w:hAnsi="Arial" w:cs="Arial"/>
                <w:b/>
                <w:bCs/>
              </w:rPr>
              <w:t xml:space="preserve"> and Methods</w:t>
            </w:r>
            <w:r w:rsidRPr="00BC044D">
              <w:rPr>
                <w:rFonts w:ascii="Arial" w:hAnsi="Arial" w:cs="Arial"/>
                <w:b/>
                <w:bCs/>
              </w:rPr>
              <w:t>:</w:t>
            </w:r>
            <w:r w:rsidRPr="00BC044D">
              <w:rPr>
                <w:rFonts w:ascii="Arial" w:hAnsi="Arial" w:cs="Arial"/>
              </w:rPr>
              <w:t xml:space="preserve"> </w:t>
            </w:r>
            <w:commentRangeStart w:id="1"/>
            <w:r w:rsidRPr="00BC044D">
              <w:rPr>
                <w:rFonts w:ascii="Arial" w:hAnsi="Arial" w:cs="Arial"/>
              </w:rPr>
              <w:t xml:space="preserve">Wheat flour, fresh carrots, and soybeans were the primary ingredients used for bread production. All ingredients </w:t>
            </w:r>
            <w:commentRangeEnd w:id="1"/>
            <w:r w:rsidR="00DC2421">
              <w:rPr>
                <w:rStyle w:val="CommentReference"/>
                <w:rFonts w:ascii="Times New Roman" w:hAnsi="Times New Roman"/>
                <w:lang w:val="nb-NO" w:eastAsia="nb-NO"/>
              </w:rPr>
              <w:commentReference w:id="1"/>
            </w:r>
            <w:r w:rsidRPr="00BC044D">
              <w:rPr>
                <w:rFonts w:ascii="Arial" w:hAnsi="Arial" w:cs="Arial"/>
              </w:rPr>
              <w:t xml:space="preserve">were sourced from local markets. </w:t>
            </w:r>
            <w:commentRangeStart w:id="2"/>
            <w:r w:rsidRPr="00BC044D">
              <w:rPr>
                <w:rFonts w:ascii="Arial" w:hAnsi="Arial" w:cs="Arial"/>
              </w:rPr>
              <w:t>Four composite flour ratios were formulated and tested: 80:10:10, 70:25:5, 70:20:10, and 50:30:10 (wheat: soybean: carrot), using 100% wheat bread as the control.</w:t>
            </w:r>
            <w:commentRangeEnd w:id="2"/>
            <w:r w:rsidR="003B620D">
              <w:rPr>
                <w:rStyle w:val="CommentReference"/>
                <w:rFonts w:ascii="Times New Roman" w:hAnsi="Times New Roman"/>
                <w:lang w:val="nb-NO" w:eastAsia="nb-NO"/>
              </w:rPr>
              <w:commentReference w:id="2"/>
            </w:r>
            <w:r w:rsidRPr="00BC044D">
              <w:rPr>
                <w:rFonts w:ascii="Arial" w:hAnsi="Arial" w:cs="Arial"/>
              </w:rPr>
              <w:t xml:space="preserve"> </w:t>
            </w:r>
            <w:r w:rsidR="00B56CE9" w:rsidRPr="00BC044D">
              <w:rPr>
                <w:rFonts w:ascii="Arial" w:hAnsi="Arial" w:cs="Arial"/>
              </w:rPr>
              <w:t>Proximate,</w:t>
            </w:r>
            <w:r w:rsidR="00D37E27" w:rsidRPr="00BC044D">
              <w:rPr>
                <w:rFonts w:ascii="Arial" w:hAnsi="Arial" w:cs="Arial"/>
              </w:rPr>
              <w:t xml:space="preserve"> mineral,</w:t>
            </w:r>
            <w:r w:rsidR="00B56CE9" w:rsidRPr="00BC044D">
              <w:rPr>
                <w:rFonts w:ascii="Arial" w:hAnsi="Arial" w:cs="Arial"/>
              </w:rPr>
              <w:t xml:space="preserve"> vitamin, and antinutrient analysis were carried out on all the samples</w:t>
            </w:r>
            <w:r w:rsidR="00D37E27" w:rsidRPr="00BC044D">
              <w:rPr>
                <w:rFonts w:ascii="Arial" w:hAnsi="Arial" w:cs="Arial"/>
              </w:rPr>
              <w:t xml:space="preserve"> as well as f</w:t>
            </w:r>
            <w:r w:rsidR="00B56CE9" w:rsidRPr="00BC044D">
              <w:rPr>
                <w:rFonts w:ascii="Arial" w:hAnsi="Arial" w:cs="Arial"/>
              </w:rPr>
              <w:t>unct</w:t>
            </w:r>
            <w:r w:rsidR="00D37E27" w:rsidRPr="00BC044D">
              <w:rPr>
                <w:rFonts w:ascii="Arial" w:hAnsi="Arial" w:cs="Arial"/>
              </w:rPr>
              <w:t>ional and sensory evaluation.</w:t>
            </w:r>
          </w:p>
          <w:p w14:paraId="09E00DD6" w14:textId="77777777" w:rsidR="0045443B" w:rsidRPr="00BC044D" w:rsidRDefault="0045443B" w:rsidP="0045443B">
            <w:pPr>
              <w:jc w:val="both"/>
              <w:rPr>
                <w:rFonts w:ascii="Arial" w:hAnsi="Arial" w:cs="Arial"/>
              </w:rPr>
            </w:pPr>
            <w:commentRangeStart w:id="3"/>
            <w:r w:rsidRPr="00BC044D">
              <w:rPr>
                <w:rFonts w:ascii="Arial" w:hAnsi="Arial" w:cs="Arial"/>
                <w:b/>
                <w:bCs/>
              </w:rPr>
              <w:t>Result:</w:t>
            </w:r>
            <w:commentRangeEnd w:id="3"/>
            <w:r w:rsidR="00A32366">
              <w:rPr>
                <w:rStyle w:val="CommentReference"/>
                <w:rFonts w:ascii="Times New Roman" w:hAnsi="Times New Roman"/>
                <w:lang w:val="nb-NO" w:eastAsia="nb-NO"/>
              </w:rPr>
              <w:commentReference w:id="3"/>
            </w:r>
            <w:r w:rsidRPr="00BC044D">
              <w:rPr>
                <w:rFonts w:ascii="Arial" w:hAnsi="Arial" w:cs="Arial"/>
              </w:rPr>
              <w:t xml:space="preserve"> The proximate analysis revealed significant improvements in nutrient profiles with increased incorporation of carrot and soybean. Moisture content ranged from 5.42% to 7.15%, and ash content from 2.60% to 14.15%, indicating enhanced mineral density.</w:t>
            </w:r>
            <w:r w:rsidR="00D37E27" w:rsidRPr="00BC044D">
              <w:rPr>
                <w:rFonts w:ascii="Arial" w:hAnsi="Arial" w:cs="Arial"/>
              </w:rPr>
              <w:t xml:space="preserve"> Vitamin analysis revealed that the 80:10:10 formulation contained the highest levels of vitamin B1 (0.34 mg) and vitamin B3 (0.35 mg). Antinutrient levels such as tannins (0.4964–0.8802 mg) and oxalates (0.1795–0.2428 mg) remained within safe consumption limits.</w:t>
            </w:r>
            <w:r w:rsidRPr="00BC044D">
              <w:rPr>
                <w:rFonts w:ascii="Arial" w:hAnsi="Arial" w:cs="Arial"/>
              </w:rPr>
              <w:t xml:space="preserve"> Functional properties such as water absorption (53.33%–91.33%) and swelling capacity (3.81–5.52%) improved with higher levels of carrot and soybean</w:t>
            </w:r>
            <w:r w:rsidR="00D37E27" w:rsidRPr="00BC044D">
              <w:rPr>
                <w:rFonts w:ascii="Arial" w:hAnsi="Arial" w:cs="Arial"/>
              </w:rPr>
              <w:t xml:space="preserve">. </w:t>
            </w:r>
            <w:r w:rsidRPr="00BC044D">
              <w:rPr>
                <w:rFonts w:ascii="Arial" w:hAnsi="Arial" w:cs="Arial"/>
              </w:rPr>
              <w:t xml:space="preserve">Microbial analysis further indicated that the 50:30:10 sample had the lowest total plate count (1.50 × 10³ CFU/g), reflecting improved shelf stability and food safety. Sensory evaluation revealed that the 70:25:5 blend achieved the highest overall acceptability (6.40 ± 1.58), while the 70:20:10 sample scored best for texture, aroma, and color. </w:t>
            </w:r>
          </w:p>
          <w:p w14:paraId="737F766C" w14:textId="77777777" w:rsidR="0045443B" w:rsidRPr="00BC044D" w:rsidRDefault="0045443B" w:rsidP="0045443B">
            <w:pPr>
              <w:jc w:val="both"/>
              <w:rPr>
                <w:rFonts w:ascii="Arial" w:hAnsi="Arial" w:cs="Arial"/>
              </w:rPr>
            </w:pPr>
            <w:commentRangeStart w:id="4"/>
            <w:r w:rsidRPr="00BC044D">
              <w:rPr>
                <w:rFonts w:ascii="Arial" w:hAnsi="Arial" w:cs="Arial"/>
                <w:b/>
                <w:bCs/>
              </w:rPr>
              <w:t>Conclusion</w:t>
            </w:r>
            <w:commentRangeEnd w:id="4"/>
            <w:r w:rsidR="006D29D9">
              <w:rPr>
                <w:rStyle w:val="CommentReference"/>
                <w:rFonts w:ascii="Times New Roman" w:hAnsi="Times New Roman"/>
                <w:lang w:val="nb-NO" w:eastAsia="nb-NO"/>
              </w:rPr>
              <w:commentReference w:id="4"/>
            </w:r>
            <w:r w:rsidRPr="00BC044D">
              <w:rPr>
                <w:rFonts w:ascii="Arial" w:hAnsi="Arial" w:cs="Arial"/>
                <w:b/>
                <w:bCs/>
              </w:rPr>
              <w:t xml:space="preserve">: </w:t>
            </w:r>
            <w:r w:rsidRPr="00BC044D">
              <w:rPr>
                <w:rFonts w:ascii="Arial" w:hAnsi="Arial" w:cs="Arial"/>
              </w:rPr>
              <w:t xml:space="preserve">This study demonstrates that incorporating carrot and soybean into wheat-based bread enhances its nutritional and functional properties and provides a practical, low-cost solution for diversifying diets and improving food system resilience. </w:t>
            </w:r>
          </w:p>
          <w:p w14:paraId="7BEF0976" w14:textId="77777777" w:rsidR="00E3114E" w:rsidRDefault="00E3114E" w:rsidP="00441B6F">
            <w:pPr>
              <w:pStyle w:val="Body"/>
              <w:spacing w:after="0"/>
              <w:rPr>
                <w:rFonts w:ascii="Arial" w:eastAsia="Calibri" w:hAnsi="Arial" w:cs="Arial"/>
                <w:szCs w:val="22"/>
              </w:rPr>
            </w:pPr>
          </w:p>
          <w:p w14:paraId="1C4AFA5E" w14:textId="77777777" w:rsidR="00505F06" w:rsidRPr="00BA1B01" w:rsidRDefault="00505F06" w:rsidP="00441B6F">
            <w:pPr>
              <w:pStyle w:val="Body"/>
              <w:spacing w:after="0"/>
              <w:rPr>
                <w:rFonts w:ascii="Arial" w:eastAsia="Calibri" w:hAnsi="Arial" w:cs="Arial"/>
                <w:szCs w:val="22"/>
              </w:rPr>
            </w:pPr>
          </w:p>
        </w:tc>
      </w:tr>
    </w:tbl>
    <w:p w14:paraId="056B17B2" w14:textId="77777777" w:rsidR="00636EB2" w:rsidRDefault="00636EB2" w:rsidP="00441B6F">
      <w:pPr>
        <w:pStyle w:val="Body"/>
        <w:spacing w:after="0"/>
        <w:rPr>
          <w:rFonts w:ascii="Arial" w:hAnsi="Arial" w:cs="Arial"/>
          <w:i/>
        </w:rPr>
      </w:pPr>
    </w:p>
    <w:p w14:paraId="7878CADF" w14:textId="77777777" w:rsidR="00BC044D" w:rsidRPr="00FB057C" w:rsidRDefault="00A24E7E" w:rsidP="00BC044D">
      <w:pPr>
        <w:rPr>
          <w:rFonts w:ascii="Arial" w:hAnsi="Arial" w:cs="Arial"/>
        </w:rPr>
      </w:pPr>
      <w:commentRangeStart w:id="5"/>
      <w:r>
        <w:rPr>
          <w:rFonts w:ascii="Arial" w:hAnsi="Arial" w:cs="Arial"/>
          <w:i/>
        </w:rPr>
        <w:t>Keywords:</w:t>
      </w:r>
      <w:commentRangeEnd w:id="5"/>
      <w:r w:rsidR="006D29D9">
        <w:rPr>
          <w:rStyle w:val="CommentReference"/>
          <w:rFonts w:ascii="Times New Roman" w:hAnsi="Times New Roman"/>
          <w:lang w:val="nb-NO" w:eastAsia="nb-NO"/>
        </w:rPr>
        <w:commentReference w:id="5"/>
      </w:r>
      <w:r>
        <w:rPr>
          <w:rFonts w:ascii="Arial" w:hAnsi="Arial" w:cs="Arial"/>
          <w:i/>
        </w:rPr>
        <w:t xml:space="preserve"> </w:t>
      </w:r>
      <w:r w:rsidR="00BC044D" w:rsidRPr="00BC044D">
        <w:rPr>
          <w:rFonts w:ascii="Arial" w:hAnsi="Arial" w:cs="Arial"/>
          <w:i/>
        </w:rPr>
        <w:t>(Composite flour, local crops, bread, sustainable food, nutrient-dense</w:t>
      </w:r>
      <w:r w:rsidR="00BC044D">
        <w:rPr>
          <w:rFonts w:ascii="Arial" w:hAnsi="Arial" w:cs="Arial"/>
          <w:i/>
        </w:rPr>
        <w:t>)</w:t>
      </w:r>
    </w:p>
    <w:p w14:paraId="4D0BCA97" w14:textId="77777777" w:rsidR="00A24E7E" w:rsidRDefault="00A24E7E" w:rsidP="00441B6F">
      <w:pPr>
        <w:pStyle w:val="Body"/>
        <w:spacing w:after="0"/>
        <w:rPr>
          <w:rFonts w:ascii="Arial" w:hAnsi="Arial" w:cs="Arial"/>
          <w:i/>
        </w:rPr>
      </w:pPr>
    </w:p>
    <w:p w14:paraId="5867ED2D" w14:textId="77777777" w:rsidR="00505F06" w:rsidRPr="00A24E7E" w:rsidRDefault="00505F06" w:rsidP="00441B6F">
      <w:pPr>
        <w:pStyle w:val="Body"/>
        <w:spacing w:after="0"/>
        <w:rPr>
          <w:rFonts w:ascii="Arial" w:hAnsi="Arial" w:cs="Arial"/>
          <w:i/>
        </w:rPr>
      </w:pPr>
    </w:p>
    <w:p w14:paraId="2602CDE3" w14:textId="77777777" w:rsidR="007F7B32" w:rsidRDefault="00902823" w:rsidP="008519D0">
      <w:pPr>
        <w:pStyle w:val="AbstHead"/>
        <w:spacing w:after="0"/>
        <w:rPr>
          <w:rFonts w:ascii="Arial" w:hAnsi="Arial" w:cs="Arial"/>
        </w:rPr>
      </w:pPr>
      <w:r>
        <w:rPr>
          <w:rFonts w:ascii="Arial" w:hAnsi="Arial" w:cs="Arial"/>
        </w:rPr>
        <w:t xml:space="preserve">1. </w:t>
      </w:r>
      <w:commentRangeStart w:id="6"/>
      <w:r w:rsidR="00B01FCD" w:rsidRPr="00FB3A86">
        <w:rPr>
          <w:rFonts w:ascii="Arial" w:hAnsi="Arial" w:cs="Arial"/>
        </w:rPr>
        <w:t>INTRODUCTION</w:t>
      </w:r>
      <w:commentRangeEnd w:id="6"/>
      <w:r w:rsidR="00575628">
        <w:rPr>
          <w:rStyle w:val="CommentReference"/>
          <w:rFonts w:ascii="Times New Roman" w:hAnsi="Times New Roman"/>
          <w:b w:val="0"/>
          <w:caps w:val="0"/>
          <w:lang w:val="nb-NO" w:eastAsia="nb-NO"/>
        </w:rPr>
        <w:commentReference w:id="6"/>
      </w:r>
      <w:r w:rsidR="007F7B32">
        <w:rPr>
          <w:rFonts w:ascii="Arial" w:hAnsi="Arial" w:cs="Arial"/>
        </w:rPr>
        <w:t xml:space="preserve"> </w:t>
      </w:r>
    </w:p>
    <w:p w14:paraId="54A13E94" w14:textId="77777777" w:rsidR="00790ADA" w:rsidRPr="00FB3A86" w:rsidRDefault="00790ADA" w:rsidP="00441B6F">
      <w:pPr>
        <w:pStyle w:val="AbstHead"/>
        <w:spacing w:after="0"/>
        <w:jc w:val="both"/>
        <w:rPr>
          <w:rFonts w:ascii="Arial" w:hAnsi="Arial" w:cs="Arial"/>
        </w:rPr>
      </w:pPr>
    </w:p>
    <w:p w14:paraId="48EA87AF" w14:textId="77777777" w:rsidR="00BC044D" w:rsidRPr="00FB057C" w:rsidRDefault="00BC044D" w:rsidP="00BC044D">
      <w:pPr>
        <w:jc w:val="both"/>
        <w:rPr>
          <w:rFonts w:ascii="Arial" w:hAnsi="Arial" w:cs="Arial"/>
        </w:rPr>
      </w:pPr>
      <w:commentRangeStart w:id="7"/>
      <w:r w:rsidRPr="00FB057C">
        <w:rPr>
          <w:rFonts w:ascii="Arial" w:hAnsi="Arial" w:cs="Arial"/>
        </w:rPr>
        <w:t>Bread is a widely consumed staple food across the globe</w:t>
      </w:r>
      <w:commentRangeEnd w:id="7"/>
      <w:r w:rsidR="005329D2">
        <w:rPr>
          <w:rStyle w:val="CommentReference"/>
          <w:rFonts w:ascii="Times New Roman" w:hAnsi="Times New Roman"/>
          <w:lang w:val="nb-NO" w:eastAsia="nb-NO"/>
        </w:rPr>
        <w:commentReference w:id="7"/>
      </w:r>
      <w:r w:rsidRPr="00FB057C">
        <w:rPr>
          <w:rFonts w:ascii="Arial" w:hAnsi="Arial" w:cs="Arial"/>
        </w:rPr>
        <w:t xml:space="preserve">, often serving as a significant source of energy and nutrients in many diets. Conventionally produced from wheat flour, bread offers appreciable amounts of refined carbohydrates and some essential nutrients. However, wheat-based bread is limited in certain nutrients, particularly dietary fiber, essential amino acids like lysine, and bioactive compounds such as β-carotene and antioxidants (Akinwande et al., 2022). In earlier </w:t>
      </w:r>
      <w:proofErr w:type="spellStart"/>
      <w:r w:rsidRPr="00FB057C">
        <w:rPr>
          <w:rFonts w:ascii="Arial" w:hAnsi="Arial" w:cs="Arial"/>
        </w:rPr>
        <w:t>civilisations</w:t>
      </w:r>
      <w:proofErr w:type="spellEnd"/>
      <w:r w:rsidRPr="00FB057C">
        <w:rPr>
          <w:rFonts w:ascii="Arial" w:hAnsi="Arial" w:cs="Arial"/>
        </w:rPr>
        <w:t xml:space="preserve">, bread was seen as a vital and reliable source of nourishment and sustenance. However, nowadays, </w:t>
      </w:r>
      <w:commentRangeStart w:id="8"/>
      <w:r w:rsidRPr="00FB057C">
        <w:rPr>
          <w:rFonts w:ascii="Arial" w:hAnsi="Arial" w:cs="Arial"/>
        </w:rPr>
        <w:t>there are growing health concerns about bread consumption, particularly its possible links to a higher risk of overweight, type 2 diabetes, and cardiovascular diseases.</w:t>
      </w:r>
      <w:commentRangeEnd w:id="8"/>
      <w:r w:rsidR="001E225A">
        <w:rPr>
          <w:rStyle w:val="CommentReference"/>
          <w:rFonts w:ascii="Times New Roman" w:hAnsi="Times New Roman"/>
          <w:lang w:val="nb-NO" w:eastAsia="nb-NO"/>
        </w:rPr>
        <w:commentReference w:id="8"/>
      </w:r>
      <w:r w:rsidRPr="00FB057C">
        <w:rPr>
          <w:rFonts w:ascii="Arial" w:hAnsi="Arial" w:cs="Arial"/>
        </w:rPr>
        <w:t xml:space="preserve"> As consumers become more health-conscious and demand more functional foods, </w:t>
      </w:r>
      <w:r w:rsidRPr="00FB057C">
        <w:rPr>
          <w:rFonts w:ascii="Arial" w:hAnsi="Arial" w:cs="Arial"/>
        </w:rPr>
        <w:lastRenderedPageBreak/>
        <w:t>there has been a growing interest in enriching bakery products with nutrient-dense plant-based ingredients (Adeyanju et al., 2021; Singh &amp; Verma, 2023).</w:t>
      </w:r>
    </w:p>
    <w:p w14:paraId="68642F32" w14:textId="77777777" w:rsidR="00BC044D" w:rsidRPr="00FB057C" w:rsidRDefault="00BC044D" w:rsidP="00BC044D">
      <w:pPr>
        <w:jc w:val="both"/>
        <w:rPr>
          <w:rFonts w:ascii="Arial" w:hAnsi="Arial" w:cs="Arial"/>
        </w:rPr>
      </w:pPr>
    </w:p>
    <w:p w14:paraId="66737D35" w14:textId="77777777" w:rsidR="00BC044D" w:rsidRPr="00FB057C" w:rsidRDefault="00BC044D" w:rsidP="00BC044D">
      <w:pPr>
        <w:jc w:val="both"/>
        <w:rPr>
          <w:rFonts w:ascii="Arial" w:hAnsi="Arial" w:cs="Arial"/>
        </w:rPr>
      </w:pPr>
      <w:r w:rsidRPr="00FB057C">
        <w:rPr>
          <w:rFonts w:ascii="Arial" w:hAnsi="Arial" w:cs="Arial"/>
        </w:rPr>
        <w:t>Soybeans (</w:t>
      </w:r>
      <w:commentRangeStart w:id="9"/>
      <w:r w:rsidRPr="00FB057C">
        <w:rPr>
          <w:rFonts w:ascii="Arial" w:hAnsi="Arial" w:cs="Arial"/>
        </w:rPr>
        <w:t>Glycine max</w:t>
      </w:r>
      <w:commentRangeEnd w:id="9"/>
      <w:r w:rsidR="003E765C">
        <w:rPr>
          <w:rStyle w:val="CommentReference"/>
          <w:rFonts w:ascii="Times New Roman" w:hAnsi="Times New Roman"/>
          <w:lang w:val="nb-NO" w:eastAsia="nb-NO"/>
        </w:rPr>
        <w:commentReference w:id="9"/>
      </w:r>
      <w:r w:rsidRPr="00FB057C">
        <w:rPr>
          <w:rFonts w:ascii="Arial" w:hAnsi="Arial" w:cs="Arial"/>
        </w:rPr>
        <w:t>) are legumes known for their high-quality protein content. It is one of the most affordable and nutrient-rich sources of plant protein available to help millions of people meet their nutritional needs (Ojo et al., 2022). Soybean is the only plant source that contains all of the essential amino acids and is particularly rich in lysine, making it an ideal complement to wheat’s amino acid profile. Soybean has a high fat content, predominantly composed of unsaturated fatty acids. Specifically, about 63% are polyunsaturated (mainly linoleic acid), 23% are monounsaturated (primarily oleic acid), and 14% are saturated (mainly palmitic acid) (Ojo et al., 2022). Soybeans also contribute B vitamins, minerals, and isoflavones that promote cardiovascular and metabolic health (Choi et al., 2023).</w:t>
      </w:r>
    </w:p>
    <w:p w14:paraId="7797579B" w14:textId="77777777" w:rsidR="00BC044D" w:rsidRPr="00FB057C" w:rsidRDefault="00BC044D" w:rsidP="00BC044D">
      <w:pPr>
        <w:jc w:val="both"/>
        <w:rPr>
          <w:rFonts w:ascii="Arial" w:hAnsi="Arial" w:cs="Arial"/>
        </w:rPr>
      </w:pPr>
    </w:p>
    <w:p w14:paraId="0408D118" w14:textId="77777777" w:rsidR="00BC044D" w:rsidRPr="00FB057C" w:rsidRDefault="00BC044D" w:rsidP="00BC044D">
      <w:pPr>
        <w:jc w:val="both"/>
        <w:rPr>
          <w:rFonts w:ascii="Arial" w:hAnsi="Arial" w:cs="Arial"/>
        </w:rPr>
      </w:pPr>
      <w:r w:rsidRPr="00FB057C">
        <w:rPr>
          <w:rFonts w:ascii="Arial" w:hAnsi="Arial" w:cs="Arial"/>
        </w:rPr>
        <w:t>Carrots (</w:t>
      </w:r>
      <w:commentRangeStart w:id="10"/>
      <w:r w:rsidRPr="00FB057C">
        <w:rPr>
          <w:rFonts w:ascii="Arial" w:hAnsi="Arial" w:cs="Arial"/>
        </w:rPr>
        <w:t>Daucus carota</w:t>
      </w:r>
      <w:commentRangeEnd w:id="10"/>
      <w:r w:rsidR="000863D3">
        <w:rPr>
          <w:rStyle w:val="CommentReference"/>
          <w:rFonts w:ascii="Times New Roman" w:hAnsi="Times New Roman"/>
          <w:lang w:val="nb-NO" w:eastAsia="nb-NO"/>
        </w:rPr>
        <w:commentReference w:id="10"/>
      </w:r>
      <w:r w:rsidRPr="00FB057C">
        <w:rPr>
          <w:rFonts w:ascii="Arial" w:hAnsi="Arial" w:cs="Arial"/>
        </w:rPr>
        <w:t xml:space="preserve">) are root vegetables rich in dietary fiber, vitamins, especially provitamin A (β-carotene), and antioxidants, which can significantly improve the nutritional value and health benefits of baked products (Kumar et al., 2022). Carrots' dietary fiber is primarily made up of cellulose, along with smaller amounts of hemicelluloses, lignin, and starch. It also consists of natural sugars like sucrose, glucose, and fructose (Boadi et al., 2021). These dietary components contribute to overall health by promoting proper digestion, assisting in blood sugar regulation, and potentially lowering cholesterol levels and reducing the risk of cardiovascular diseases. In particular, fiber such as cellulose is essential for maintaining regular bowel movements and preventing conditions like constipation and diverticulosis. Additionally, </w:t>
      </w:r>
      <w:commentRangeStart w:id="11"/>
      <w:r w:rsidRPr="00FB057C">
        <w:rPr>
          <w:rFonts w:ascii="Arial" w:hAnsi="Arial" w:cs="Arial"/>
        </w:rPr>
        <w:t>Carrots</w:t>
      </w:r>
      <w:commentRangeEnd w:id="11"/>
      <w:r w:rsidR="000863D3">
        <w:rPr>
          <w:rStyle w:val="CommentReference"/>
          <w:rFonts w:ascii="Times New Roman" w:hAnsi="Times New Roman"/>
          <w:lang w:val="nb-NO" w:eastAsia="nb-NO"/>
        </w:rPr>
        <w:commentReference w:id="11"/>
      </w:r>
      <w:r w:rsidRPr="00FB057C">
        <w:rPr>
          <w:rFonts w:ascii="Arial" w:hAnsi="Arial" w:cs="Arial"/>
        </w:rPr>
        <w:t xml:space="preserve"> are abundant in antioxidants like alpha- and beta-carotene, which contribute to </w:t>
      </w:r>
      <w:proofErr w:type="spellStart"/>
      <w:proofErr w:type="gramStart"/>
      <w:r w:rsidRPr="00FB057C">
        <w:rPr>
          <w:rFonts w:ascii="Arial" w:hAnsi="Arial" w:cs="Arial"/>
        </w:rPr>
        <w:t>it’s</w:t>
      </w:r>
      <w:proofErr w:type="spellEnd"/>
      <w:proofErr w:type="gramEnd"/>
      <w:r w:rsidRPr="00FB057C">
        <w:rPr>
          <w:rFonts w:ascii="Arial" w:hAnsi="Arial" w:cs="Arial"/>
        </w:rPr>
        <w:t xml:space="preserve"> characteristic orange color (Boadi et al., 2021). The body transforms this carotene into vitamin A, which is vital for maintaining good vision, supporting immune function, and promoting healthy bones.</w:t>
      </w:r>
    </w:p>
    <w:p w14:paraId="614A3BE4" w14:textId="77777777" w:rsidR="00BC044D" w:rsidRPr="00FB057C" w:rsidRDefault="00BC044D" w:rsidP="00BC044D">
      <w:pPr>
        <w:jc w:val="both"/>
        <w:rPr>
          <w:rFonts w:ascii="Arial" w:hAnsi="Arial" w:cs="Arial"/>
        </w:rPr>
      </w:pPr>
    </w:p>
    <w:p w14:paraId="77E8802D" w14:textId="77777777" w:rsidR="00BC044D" w:rsidRPr="00FB057C" w:rsidRDefault="00BC044D" w:rsidP="00BC044D">
      <w:pPr>
        <w:jc w:val="both"/>
        <w:rPr>
          <w:rFonts w:ascii="Arial" w:hAnsi="Arial" w:cs="Arial"/>
        </w:rPr>
      </w:pPr>
      <w:r w:rsidRPr="00FB057C">
        <w:rPr>
          <w:rFonts w:ascii="Arial" w:hAnsi="Arial" w:cs="Arial"/>
        </w:rPr>
        <w:t xml:space="preserve">The integration of carrots and soybeans into wheat-based bread formulations has the potential not only to enhance the nutritional profile of the final product but also to influence sensory attributes such as flavor, texture, and color. Previous studies have shown that appropriate substitution levels can yield bread that is both nutritionally superior and organoleptically acceptable (Okafor &amp; </w:t>
      </w:r>
      <w:proofErr w:type="spellStart"/>
      <w:r w:rsidRPr="00FB057C">
        <w:rPr>
          <w:rFonts w:ascii="Arial" w:hAnsi="Arial" w:cs="Arial"/>
        </w:rPr>
        <w:t>Uchegbu</w:t>
      </w:r>
      <w:proofErr w:type="spellEnd"/>
      <w:r w:rsidRPr="00FB057C">
        <w:rPr>
          <w:rFonts w:ascii="Arial" w:hAnsi="Arial" w:cs="Arial"/>
        </w:rPr>
        <w:t>, 2021; Bello et al., 2020). However, the optimal blend ratios that maximize both nutritional enhancement and consumer acceptance remain under active investigation.</w:t>
      </w:r>
    </w:p>
    <w:p w14:paraId="2D8A4332" w14:textId="77777777" w:rsidR="00BC044D" w:rsidRPr="00FB057C" w:rsidRDefault="00BC044D" w:rsidP="00BC044D">
      <w:pPr>
        <w:rPr>
          <w:rFonts w:ascii="Arial" w:hAnsi="Arial" w:cs="Arial"/>
        </w:rPr>
      </w:pPr>
    </w:p>
    <w:p w14:paraId="2C40B0F4" w14:textId="77777777" w:rsidR="00B01FCD" w:rsidRDefault="00BC044D" w:rsidP="00BC044D">
      <w:pPr>
        <w:jc w:val="both"/>
        <w:rPr>
          <w:rFonts w:ascii="Arial" w:hAnsi="Arial" w:cs="Arial"/>
        </w:rPr>
      </w:pPr>
      <w:commentRangeStart w:id="12"/>
      <w:r w:rsidRPr="00FB057C">
        <w:rPr>
          <w:rFonts w:ascii="Arial" w:hAnsi="Arial" w:cs="Arial"/>
        </w:rPr>
        <w:t xml:space="preserve">Thus, </w:t>
      </w:r>
      <w:commentRangeStart w:id="13"/>
      <w:r w:rsidRPr="00FB057C">
        <w:rPr>
          <w:rFonts w:ascii="Arial" w:hAnsi="Arial" w:cs="Arial"/>
        </w:rPr>
        <w:t xml:space="preserve">this study </w:t>
      </w:r>
      <w:commentRangeEnd w:id="13"/>
      <w:r w:rsidR="000863D3">
        <w:rPr>
          <w:rStyle w:val="CommentReference"/>
          <w:rFonts w:ascii="Times New Roman" w:hAnsi="Times New Roman"/>
          <w:lang w:val="nb-NO" w:eastAsia="nb-NO"/>
        </w:rPr>
        <w:commentReference w:id="13"/>
      </w:r>
      <w:r w:rsidRPr="00FB057C">
        <w:rPr>
          <w:rFonts w:ascii="Arial" w:hAnsi="Arial" w:cs="Arial"/>
        </w:rPr>
        <w:t>aims to evaluate the nutritional composition and sensory properties of bread produced from composite flours containing wheat, soybean, and carrot. The findings are expected to contribute to the development of affordable, functional bakery products that address nutritional deficiencies, particularly in low- and middle-income populations.</w:t>
      </w:r>
      <w:commentRangeEnd w:id="12"/>
      <w:r w:rsidR="00E33235">
        <w:rPr>
          <w:rStyle w:val="CommentReference"/>
          <w:rFonts w:ascii="Times New Roman" w:hAnsi="Times New Roman"/>
          <w:lang w:val="nb-NO" w:eastAsia="nb-NO"/>
        </w:rPr>
        <w:commentReference w:id="12"/>
      </w:r>
    </w:p>
    <w:p w14:paraId="48D147AC" w14:textId="77777777" w:rsidR="00790ADA" w:rsidRPr="00FB3A86" w:rsidRDefault="00790ADA" w:rsidP="00441B6F">
      <w:pPr>
        <w:pStyle w:val="Body"/>
        <w:spacing w:after="0"/>
        <w:rPr>
          <w:rFonts w:ascii="Arial" w:hAnsi="Arial" w:cs="Arial"/>
        </w:rPr>
      </w:pPr>
    </w:p>
    <w:p w14:paraId="1FB772D2" w14:textId="77777777" w:rsidR="00790ADA" w:rsidRPr="00FB3A86" w:rsidRDefault="00902823" w:rsidP="008519D0">
      <w:pPr>
        <w:pStyle w:val="AbstHead"/>
        <w:spacing w:after="0"/>
        <w:rPr>
          <w:rFonts w:ascii="Arial" w:hAnsi="Arial" w:cs="Arial"/>
        </w:rPr>
      </w:pPr>
      <w:r>
        <w:rPr>
          <w:rFonts w:ascii="Arial" w:hAnsi="Arial" w:cs="Arial"/>
        </w:rPr>
        <w:t>2. material and method</w:t>
      </w:r>
      <w:r w:rsidR="00000F8F">
        <w:rPr>
          <w:rFonts w:ascii="Arial" w:hAnsi="Arial" w:cs="Arial"/>
        </w:rPr>
        <w:t xml:space="preserve">s </w:t>
      </w:r>
    </w:p>
    <w:p w14:paraId="5BBC93E4" w14:textId="77777777" w:rsidR="008519D0" w:rsidRPr="009B38DC" w:rsidRDefault="008519D0" w:rsidP="008519D0">
      <w:pPr>
        <w:rPr>
          <w:rFonts w:ascii="Arial" w:hAnsi="Arial" w:cs="Arial"/>
          <w:b/>
          <w:bCs/>
          <w:sz w:val="22"/>
          <w:szCs w:val="22"/>
        </w:rPr>
      </w:pPr>
      <w:r w:rsidRPr="009B38DC">
        <w:rPr>
          <w:rFonts w:ascii="Arial" w:hAnsi="Arial" w:cs="Arial"/>
          <w:b/>
          <w:bCs/>
          <w:sz w:val="22"/>
          <w:szCs w:val="22"/>
        </w:rPr>
        <w:t>2.1 Materials</w:t>
      </w:r>
    </w:p>
    <w:p w14:paraId="6C82751B" w14:textId="77777777" w:rsidR="008519D0" w:rsidRPr="009B38DC" w:rsidRDefault="008519D0" w:rsidP="008519D0">
      <w:pPr>
        <w:rPr>
          <w:rFonts w:ascii="Arial" w:hAnsi="Arial" w:cs="Arial"/>
          <w:sz w:val="22"/>
          <w:szCs w:val="22"/>
        </w:rPr>
      </w:pPr>
    </w:p>
    <w:p w14:paraId="63D3807F" w14:textId="77777777" w:rsidR="008519D0" w:rsidRPr="00FB057C" w:rsidRDefault="008519D0" w:rsidP="008519D0">
      <w:pPr>
        <w:jc w:val="both"/>
        <w:rPr>
          <w:rFonts w:ascii="Arial" w:hAnsi="Arial" w:cs="Arial"/>
        </w:rPr>
      </w:pPr>
      <w:commentRangeStart w:id="14"/>
      <w:commentRangeStart w:id="15"/>
      <w:r w:rsidRPr="00FB057C">
        <w:rPr>
          <w:rFonts w:ascii="Arial" w:hAnsi="Arial" w:cs="Arial"/>
        </w:rPr>
        <w:t xml:space="preserve">Wheat flour, fresh carrots, and soybeans were the primary ingredients used for bread production. All ingredients were sourced from local markets in </w:t>
      </w:r>
      <w:proofErr w:type="spellStart"/>
      <w:r w:rsidRPr="00FB057C">
        <w:rPr>
          <w:rFonts w:ascii="Arial" w:hAnsi="Arial" w:cs="Arial"/>
        </w:rPr>
        <w:t>Ogbomoso</w:t>
      </w:r>
      <w:proofErr w:type="spellEnd"/>
      <w:r w:rsidRPr="00FB057C">
        <w:rPr>
          <w:rFonts w:ascii="Arial" w:hAnsi="Arial" w:cs="Arial"/>
        </w:rPr>
        <w:t xml:space="preserve">, and other baking materials such as yeast, sugar, salt, and vegetable oil were of food-grade quality. The milling machine used to produce the composite flour is within the food processing laboratory of the Ladoke Akintola University of Technology, </w:t>
      </w:r>
      <w:proofErr w:type="spellStart"/>
      <w:r w:rsidRPr="00FB057C">
        <w:rPr>
          <w:rFonts w:ascii="Arial" w:hAnsi="Arial" w:cs="Arial"/>
        </w:rPr>
        <w:t>Ogbomoso</w:t>
      </w:r>
      <w:proofErr w:type="spellEnd"/>
      <w:r w:rsidRPr="00FB057C">
        <w:rPr>
          <w:rFonts w:ascii="Arial" w:hAnsi="Arial" w:cs="Arial"/>
        </w:rPr>
        <w:t>, Oyo State, Nigeria.</w:t>
      </w:r>
      <w:commentRangeEnd w:id="14"/>
      <w:r w:rsidR="0099206C">
        <w:rPr>
          <w:rStyle w:val="CommentReference"/>
          <w:rFonts w:ascii="Times New Roman" w:hAnsi="Times New Roman"/>
          <w:lang w:val="nb-NO" w:eastAsia="nb-NO"/>
        </w:rPr>
        <w:commentReference w:id="14"/>
      </w:r>
      <w:commentRangeEnd w:id="15"/>
      <w:r w:rsidR="0099206C">
        <w:rPr>
          <w:rStyle w:val="CommentReference"/>
          <w:rFonts w:ascii="Times New Roman" w:hAnsi="Times New Roman"/>
          <w:lang w:val="nb-NO" w:eastAsia="nb-NO"/>
        </w:rPr>
        <w:commentReference w:id="15"/>
      </w:r>
    </w:p>
    <w:p w14:paraId="43F5735C" w14:textId="77777777" w:rsidR="008519D0" w:rsidRPr="00FB057C" w:rsidRDefault="008519D0" w:rsidP="008519D0">
      <w:pPr>
        <w:jc w:val="both"/>
        <w:rPr>
          <w:rFonts w:ascii="Arial" w:hAnsi="Arial" w:cs="Arial"/>
        </w:rPr>
      </w:pPr>
    </w:p>
    <w:p w14:paraId="3A57677D" w14:textId="77777777" w:rsidR="008519D0" w:rsidRPr="009B38DC" w:rsidRDefault="008519D0" w:rsidP="008519D0">
      <w:pPr>
        <w:rPr>
          <w:rFonts w:ascii="Arial" w:hAnsi="Arial" w:cs="Arial"/>
          <w:b/>
          <w:bCs/>
          <w:sz w:val="22"/>
          <w:szCs w:val="22"/>
        </w:rPr>
      </w:pPr>
      <w:r w:rsidRPr="009B38DC">
        <w:rPr>
          <w:rFonts w:ascii="Arial" w:hAnsi="Arial" w:cs="Arial"/>
          <w:b/>
          <w:bCs/>
          <w:sz w:val="22"/>
          <w:szCs w:val="22"/>
        </w:rPr>
        <w:t>2.2 Method</w:t>
      </w:r>
    </w:p>
    <w:p w14:paraId="462A02CC" w14:textId="77777777" w:rsidR="008519D0" w:rsidRPr="009B38DC" w:rsidRDefault="008519D0" w:rsidP="008519D0">
      <w:pPr>
        <w:rPr>
          <w:rFonts w:ascii="Arial" w:hAnsi="Arial" w:cs="Arial"/>
          <w:sz w:val="22"/>
          <w:szCs w:val="22"/>
        </w:rPr>
      </w:pPr>
    </w:p>
    <w:p w14:paraId="54BA2486" w14:textId="77777777" w:rsidR="008519D0" w:rsidRPr="00FB057C" w:rsidRDefault="008519D0" w:rsidP="008519D0">
      <w:pPr>
        <w:rPr>
          <w:rFonts w:ascii="Arial" w:hAnsi="Arial" w:cs="Arial"/>
          <w:b/>
          <w:bCs/>
          <w:u w:val="single"/>
        </w:rPr>
      </w:pPr>
      <w:r w:rsidRPr="00FB057C">
        <w:rPr>
          <w:rFonts w:ascii="Arial" w:hAnsi="Arial" w:cs="Arial"/>
          <w:b/>
          <w:bCs/>
          <w:u w:val="single"/>
        </w:rPr>
        <w:t>2.2.1 Production of Composite Flours</w:t>
      </w:r>
    </w:p>
    <w:p w14:paraId="04180F69" w14:textId="77777777" w:rsidR="008519D0" w:rsidRPr="00FB057C" w:rsidRDefault="008519D0" w:rsidP="008519D0">
      <w:pPr>
        <w:rPr>
          <w:rFonts w:ascii="Arial" w:hAnsi="Arial" w:cs="Arial"/>
        </w:rPr>
      </w:pPr>
    </w:p>
    <w:p w14:paraId="2A13E3BF" w14:textId="77777777" w:rsidR="008519D0" w:rsidRPr="00FB057C" w:rsidRDefault="008519D0" w:rsidP="008519D0">
      <w:pPr>
        <w:jc w:val="both"/>
        <w:rPr>
          <w:rFonts w:ascii="Arial" w:hAnsi="Arial" w:cs="Arial"/>
        </w:rPr>
      </w:pPr>
      <w:commentRangeStart w:id="16"/>
      <w:r w:rsidRPr="00FB057C">
        <w:rPr>
          <w:rFonts w:ascii="Arial" w:hAnsi="Arial" w:cs="Arial"/>
        </w:rPr>
        <w:t xml:space="preserve">Wheat flour was obtained by sorting the wheat, weighing, soaking, drying, and milling. </w:t>
      </w:r>
      <w:commentRangeEnd w:id="16"/>
      <w:r w:rsidR="00F456F1">
        <w:rPr>
          <w:rStyle w:val="CommentReference"/>
          <w:rFonts w:ascii="Times New Roman" w:hAnsi="Times New Roman"/>
          <w:lang w:val="nb-NO" w:eastAsia="nb-NO"/>
        </w:rPr>
        <w:commentReference w:id="16"/>
      </w:r>
      <w:commentRangeStart w:id="17"/>
      <w:r w:rsidRPr="00FB057C">
        <w:rPr>
          <w:rFonts w:ascii="Arial" w:hAnsi="Arial" w:cs="Arial"/>
        </w:rPr>
        <w:t>Carrots were washed, peeled, and grated</w:t>
      </w:r>
      <w:commentRangeEnd w:id="17"/>
      <w:r w:rsidR="00B142EB">
        <w:rPr>
          <w:rStyle w:val="CommentReference"/>
          <w:rFonts w:ascii="Times New Roman" w:hAnsi="Times New Roman"/>
          <w:lang w:val="nb-NO" w:eastAsia="nb-NO"/>
        </w:rPr>
        <w:commentReference w:id="17"/>
      </w:r>
      <w:r w:rsidRPr="00FB057C">
        <w:rPr>
          <w:rFonts w:ascii="Arial" w:hAnsi="Arial" w:cs="Arial"/>
        </w:rPr>
        <w:t xml:space="preserve">, while </w:t>
      </w:r>
      <w:commentRangeStart w:id="18"/>
      <w:r w:rsidRPr="00FB057C">
        <w:rPr>
          <w:rFonts w:ascii="Arial" w:hAnsi="Arial" w:cs="Arial"/>
        </w:rPr>
        <w:t>soybeans were cleaned, soaked, boiled, dehulled, dried, and milled into flour</w:t>
      </w:r>
      <w:commentRangeEnd w:id="18"/>
      <w:r w:rsidR="00B142EB">
        <w:rPr>
          <w:rStyle w:val="CommentReference"/>
          <w:rFonts w:ascii="Times New Roman" w:hAnsi="Times New Roman"/>
          <w:lang w:val="nb-NO" w:eastAsia="nb-NO"/>
        </w:rPr>
        <w:commentReference w:id="18"/>
      </w:r>
      <w:r w:rsidRPr="00FB057C">
        <w:rPr>
          <w:rFonts w:ascii="Arial" w:hAnsi="Arial" w:cs="Arial"/>
        </w:rPr>
        <w:t>. Composite flours were prepared by blending wheat flour with varying proportions of carrot and soybean flours as follows: A= 85:10:5, B=70:20:10, C=60:25:15. D= 50:30:20 and E=100:0:0.</w:t>
      </w:r>
    </w:p>
    <w:p w14:paraId="5814DD7E" w14:textId="77777777" w:rsidR="008519D0" w:rsidRDefault="008519D0" w:rsidP="008519D0">
      <w:pPr>
        <w:pStyle w:val="Heading3"/>
        <w:jc w:val="both"/>
        <w:rPr>
          <w:rStyle w:val="Strong"/>
          <w:sz w:val="20"/>
          <w:szCs w:val="20"/>
        </w:rPr>
      </w:pPr>
    </w:p>
    <w:p w14:paraId="33821313" w14:textId="62E0E560" w:rsidR="008519D0" w:rsidRPr="00FB057C" w:rsidRDefault="008519D0" w:rsidP="008519D0">
      <w:pPr>
        <w:pStyle w:val="Heading3"/>
        <w:jc w:val="both"/>
        <w:rPr>
          <w:rFonts w:ascii="Arial" w:hAnsi="Arial" w:cs="Arial"/>
          <w:b/>
          <w:bCs/>
          <w:sz w:val="20"/>
          <w:szCs w:val="20"/>
        </w:rPr>
      </w:pPr>
      <w:commentRangeStart w:id="19"/>
      <w:r w:rsidRPr="00FB057C">
        <w:rPr>
          <w:rStyle w:val="Strong"/>
          <w:rFonts w:ascii="Arial" w:hAnsi="Arial" w:cs="Arial"/>
          <w:sz w:val="20"/>
          <w:szCs w:val="20"/>
        </w:rPr>
        <w:t xml:space="preserve">Table </w:t>
      </w:r>
      <w:r w:rsidR="005144F3">
        <w:rPr>
          <w:rStyle w:val="Strong"/>
          <w:rFonts w:ascii="Arial" w:hAnsi="Arial" w:cs="Arial"/>
          <w:sz w:val="20"/>
          <w:szCs w:val="20"/>
        </w:rPr>
        <w:t>1</w:t>
      </w:r>
      <w:r w:rsidRPr="00FB057C">
        <w:rPr>
          <w:rStyle w:val="Strong"/>
          <w:rFonts w:ascii="Arial" w:hAnsi="Arial" w:cs="Arial"/>
          <w:sz w:val="20"/>
          <w:szCs w:val="20"/>
        </w:rPr>
        <w:t>: Composite Flour Formulations for Bread Production</w:t>
      </w:r>
      <w:commentRangeEnd w:id="19"/>
      <w:r w:rsidR="00B142EB">
        <w:rPr>
          <w:rStyle w:val="CommentReference"/>
          <w:rFonts w:ascii="Times New Roman" w:eastAsia="Times New Roman" w:hAnsi="Times New Roman" w:cs="Times New Roman"/>
          <w:color w:val="auto"/>
          <w:lang w:val="nb-NO" w:eastAsia="nb-NO"/>
        </w:rPr>
        <w:commentReference w:id="19"/>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429"/>
        <w:gridCol w:w="1583"/>
        <w:gridCol w:w="1816"/>
        <w:gridCol w:w="1598"/>
      </w:tblGrid>
      <w:tr w:rsidR="008519D0" w:rsidRPr="00FB057C" w14:paraId="1CEBF74C" w14:textId="77777777" w:rsidTr="001B1C87">
        <w:trPr>
          <w:tblHeader/>
          <w:tblCellSpacing w:w="15" w:type="dxa"/>
        </w:trPr>
        <w:tc>
          <w:tcPr>
            <w:tcW w:w="1384" w:type="dxa"/>
            <w:tcBorders>
              <w:top w:val="single" w:sz="4" w:space="0" w:color="auto"/>
              <w:bottom w:val="single" w:sz="4" w:space="0" w:color="auto"/>
            </w:tcBorders>
            <w:vAlign w:val="center"/>
            <w:hideMark/>
          </w:tcPr>
          <w:p w14:paraId="202293C0" w14:textId="77777777" w:rsidR="008519D0" w:rsidRPr="00FB057C" w:rsidRDefault="008519D0" w:rsidP="001B1C87">
            <w:pPr>
              <w:jc w:val="both"/>
              <w:rPr>
                <w:rFonts w:ascii="Arial" w:hAnsi="Arial" w:cs="Arial"/>
                <w:b/>
                <w:bCs/>
                <w:color w:val="000000" w:themeColor="text1"/>
              </w:rPr>
            </w:pPr>
            <w:r w:rsidRPr="00FB057C">
              <w:rPr>
                <w:rFonts w:ascii="Arial" w:hAnsi="Arial" w:cs="Arial"/>
                <w:b/>
                <w:bCs/>
                <w:color w:val="000000" w:themeColor="text1"/>
              </w:rPr>
              <w:t>Sample Code</w:t>
            </w:r>
          </w:p>
        </w:tc>
        <w:tc>
          <w:tcPr>
            <w:tcW w:w="0" w:type="auto"/>
            <w:tcBorders>
              <w:top w:val="single" w:sz="4" w:space="0" w:color="auto"/>
              <w:bottom w:val="single" w:sz="4" w:space="0" w:color="auto"/>
            </w:tcBorders>
            <w:vAlign w:val="center"/>
            <w:hideMark/>
          </w:tcPr>
          <w:p w14:paraId="698AEA0A" w14:textId="77777777" w:rsidR="008519D0" w:rsidRPr="00FB057C" w:rsidRDefault="008519D0" w:rsidP="001B1C87">
            <w:pPr>
              <w:jc w:val="both"/>
              <w:rPr>
                <w:rFonts w:ascii="Arial" w:hAnsi="Arial" w:cs="Arial"/>
                <w:b/>
                <w:bCs/>
                <w:color w:val="000000" w:themeColor="text1"/>
              </w:rPr>
            </w:pPr>
            <w:r w:rsidRPr="00FB057C">
              <w:rPr>
                <w:rFonts w:ascii="Arial" w:hAnsi="Arial" w:cs="Arial"/>
                <w:b/>
                <w:bCs/>
                <w:color w:val="000000" w:themeColor="text1"/>
              </w:rPr>
              <w:t>Wheat Flour (%)</w:t>
            </w:r>
          </w:p>
        </w:tc>
        <w:tc>
          <w:tcPr>
            <w:tcW w:w="0" w:type="auto"/>
            <w:tcBorders>
              <w:top w:val="single" w:sz="4" w:space="0" w:color="auto"/>
              <w:bottom w:val="single" w:sz="4" w:space="0" w:color="auto"/>
            </w:tcBorders>
            <w:vAlign w:val="center"/>
            <w:hideMark/>
          </w:tcPr>
          <w:p w14:paraId="114171CE" w14:textId="77777777" w:rsidR="008519D0" w:rsidRPr="00FB057C" w:rsidRDefault="008519D0" w:rsidP="001B1C87">
            <w:pPr>
              <w:jc w:val="both"/>
              <w:rPr>
                <w:rFonts w:ascii="Arial" w:hAnsi="Arial" w:cs="Arial"/>
                <w:b/>
                <w:bCs/>
                <w:color w:val="000000" w:themeColor="text1"/>
              </w:rPr>
            </w:pPr>
            <w:r w:rsidRPr="00FB057C">
              <w:rPr>
                <w:rFonts w:ascii="Arial" w:hAnsi="Arial" w:cs="Arial"/>
                <w:b/>
                <w:bCs/>
                <w:color w:val="000000" w:themeColor="text1"/>
              </w:rPr>
              <w:t>Soybean Flour (%)</w:t>
            </w:r>
          </w:p>
        </w:tc>
        <w:tc>
          <w:tcPr>
            <w:tcW w:w="0" w:type="auto"/>
            <w:tcBorders>
              <w:top w:val="single" w:sz="4" w:space="0" w:color="auto"/>
              <w:bottom w:val="single" w:sz="4" w:space="0" w:color="auto"/>
            </w:tcBorders>
            <w:vAlign w:val="center"/>
            <w:hideMark/>
          </w:tcPr>
          <w:p w14:paraId="16B79C18" w14:textId="77777777" w:rsidR="008519D0" w:rsidRPr="00FB057C" w:rsidRDefault="008519D0" w:rsidP="001B1C87">
            <w:pPr>
              <w:jc w:val="both"/>
              <w:rPr>
                <w:rFonts w:ascii="Arial" w:hAnsi="Arial" w:cs="Arial"/>
                <w:b/>
                <w:bCs/>
                <w:color w:val="000000" w:themeColor="text1"/>
              </w:rPr>
            </w:pPr>
            <w:r w:rsidRPr="00FB057C">
              <w:rPr>
                <w:rFonts w:ascii="Arial" w:hAnsi="Arial" w:cs="Arial"/>
                <w:b/>
                <w:bCs/>
                <w:color w:val="000000" w:themeColor="text1"/>
              </w:rPr>
              <w:t>Carrot Flour (%)</w:t>
            </w:r>
          </w:p>
        </w:tc>
      </w:tr>
      <w:tr w:rsidR="008519D0" w:rsidRPr="00FB057C" w14:paraId="6D46506B" w14:textId="77777777" w:rsidTr="001B1C87">
        <w:trPr>
          <w:tblCellSpacing w:w="15" w:type="dxa"/>
        </w:trPr>
        <w:tc>
          <w:tcPr>
            <w:tcW w:w="1384" w:type="dxa"/>
            <w:vAlign w:val="center"/>
            <w:hideMark/>
          </w:tcPr>
          <w:p w14:paraId="237AE964"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A</w:t>
            </w:r>
          </w:p>
        </w:tc>
        <w:tc>
          <w:tcPr>
            <w:tcW w:w="0" w:type="auto"/>
            <w:vAlign w:val="center"/>
            <w:hideMark/>
          </w:tcPr>
          <w:p w14:paraId="3D585F72"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85</w:t>
            </w:r>
          </w:p>
        </w:tc>
        <w:tc>
          <w:tcPr>
            <w:tcW w:w="0" w:type="auto"/>
            <w:vAlign w:val="center"/>
            <w:hideMark/>
          </w:tcPr>
          <w:p w14:paraId="02526226"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10</w:t>
            </w:r>
          </w:p>
        </w:tc>
        <w:tc>
          <w:tcPr>
            <w:tcW w:w="0" w:type="auto"/>
            <w:vAlign w:val="center"/>
            <w:hideMark/>
          </w:tcPr>
          <w:p w14:paraId="2D8BF517"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5</w:t>
            </w:r>
          </w:p>
        </w:tc>
      </w:tr>
      <w:tr w:rsidR="008519D0" w:rsidRPr="00FB057C" w14:paraId="6E2DA78D" w14:textId="77777777" w:rsidTr="001B1C87">
        <w:trPr>
          <w:tblCellSpacing w:w="15" w:type="dxa"/>
        </w:trPr>
        <w:tc>
          <w:tcPr>
            <w:tcW w:w="1384" w:type="dxa"/>
            <w:vAlign w:val="center"/>
            <w:hideMark/>
          </w:tcPr>
          <w:p w14:paraId="3D87FA47"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B</w:t>
            </w:r>
          </w:p>
        </w:tc>
        <w:tc>
          <w:tcPr>
            <w:tcW w:w="0" w:type="auto"/>
            <w:vAlign w:val="center"/>
            <w:hideMark/>
          </w:tcPr>
          <w:p w14:paraId="249954BB"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70</w:t>
            </w:r>
          </w:p>
        </w:tc>
        <w:tc>
          <w:tcPr>
            <w:tcW w:w="0" w:type="auto"/>
            <w:vAlign w:val="center"/>
            <w:hideMark/>
          </w:tcPr>
          <w:p w14:paraId="295442BB"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20</w:t>
            </w:r>
          </w:p>
        </w:tc>
        <w:tc>
          <w:tcPr>
            <w:tcW w:w="0" w:type="auto"/>
            <w:vAlign w:val="center"/>
            <w:hideMark/>
          </w:tcPr>
          <w:p w14:paraId="2090CDA3"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10</w:t>
            </w:r>
          </w:p>
        </w:tc>
      </w:tr>
      <w:tr w:rsidR="008519D0" w:rsidRPr="00FB057C" w14:paraId="16F1E3D7" w14:textId="77777777" w:rsidTr="001B1C87">
        <w:trPr>
          <w:tblCellSpacing w:w="15" w:type="dxa"/>
        </w:trPr>
        <w:tc>
          <w:tcPr>
            <w:tcW w:w="1384" w:type="dxa"/>
            <w:vAlign w:val="center"/>
            <w:hideMark/>
          </w:tcPr>
          <w:p w14:paraId="6881B50C"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C</w:t>
            </w:r>
          </w:p>
        </w:tc>
        <w:tc>
          <w:tcPr>
            <w:tcW w:w="0" w:type="auto"/>
            <w:vAlign w:val="center"/>
            <w:hideMark/>
          </w:tcPr>
          <w:p w14:paraId="530B6BB1"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60</w:t>
            </w:r>
          </w:p>
        </w:tc>
        <w:tc>
          <w:tcPr>
            <w:tcW w:w="0" w:type="auto"/>
            <w:vAlign w:val="center"/>
            <w:hideMark/>
          </w:tcPr>
          <w:p w14:paraId="782F5970"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25</w:t>
            </w:r>
          </w:p>
        </w:tc>
        <w:tc>
          <w:tcPr>
            <w:tcW w:w="0" w:type="auto"/>
            <w:vAlign w:val="center"/>
            <w:hideMark/>
          </w:tcPr>
          <w:p w14:paraId="4B870C5B"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15</w:t>
            </w:r>
          </w:p>
        </w:tc>
      </w:tr>
      <w:tr w:rsidR="008519D0" w:rsidRPr="00FB057C" w14:paraId="5330D246" w14:textId="77777777" w:rsidTr="001B1C87">
        <w:trPr>
          <w:tblCellSpacing w:w="15" w:type="dxa"/>
        </w:trPr>
        <w:tc>
          <w:tcPr>
            <w:tcW w:w="1384" w:type="dxa"/>
            <w:vAlign w:val="center"/>
            <w:hideMark/>
          </w:tcPr>
          <w:p w14:paraId="58BE6E58"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 xml:space="preserve">D </w:t>
            </w:r>
          </w:p>
        </w:tc>
        <w:tc>
          <w:tcPr>
            <w:tcW w:w="0" w:type="auto"/>
            <w:vAlign w:val="center"/>
            <w:hideMark/>
          </w:tcPr>
          <w:p w14:paraId="1C9C0B80"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50</w:t>
            </w:r>
          </w:p>
        </w:tc>
        <w:tc>
          <w:tcPr>
            <w:tcW w:w="0" w:type="auto"/>
            <w:vAlign w:val="center"/>
            <w:hideMark/>
          </w:tcPr>
          <w:p w14:paraId="2971E5B3"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30</w:t>
            </w:r>
          </w:p>
        </w:tc>
        <w:tc>
          <w:tcPr>
            <w:tcW w:w="0" w:type="auto"/>
            <w:vAlign w:val="center"/>
            <w:hideMark/>
          </w:tcPr>
          <w:p w14:paraId="1185C059"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20</w:t>
            </w:r>
          </w:p>
        </w:tc>
      </w:tr>
      <w:tr w:rsidR="008519D0" w:rsidRPr="00FB057C" w14:paraId="649335F0" w14:textId="77777777" w:rsidTr="001B1C87">
        <w:trPr>
          <w:tblCellSpacing w:w="15" w:type="dxa"/>
        </w:trPr>
        <w:tc>
          <w:tcPr>
            <w:tcW w:w="1384" w:type="dxa"/>
            <w:vAlign w:val="center"/>
          </w:tcPr>
          <w:p w14:paraId="12FFAD43"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E(Control)</w:t>
            </w:r>
          </w:p>
        </w:tc>
        <w:tc>
          <w:tcPr>
            <w:tcW w:w="0" w:type="auto"/>
            <w:vAlign w:val="center"/>
          </w:tcPr>
          <w:p w14:paraId="75A6910B"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100</w:t>
            </w:r>
          </w:p>
        </w:tc>
        <w:tc>
          <w:tcPr>
            <w:tcW w:w="0" w:type="auto"/>
            <w:vAlign w:val="center"/>
          </w:tcPr>
          <w:p w14:paraId="12174B8F"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0</w:t>
            </w:r>
          </w:p>
        </w:tc>
        <w:tc>
          <w:tcPr>
            <w:tcW w:w="0" w:type="auto"/>
            <w:vAlign w:val="center"/>
          </w:tcPr>
          <w:p w14:paraId="22BA6A78" w14:textId="77777777" w:rsidR="008519D0" w:rsidRPr="00FB057C" w:rsidRDefault="008519D0" w:rsidP="001B1C87">
            <w:pPr>
              <w:jc w:val="both"/>
              <w:rPr>
                <w:rFonts w:ascii="Arial" w:hAnsi="Arial" w:cs="Arial"/>
                <w:color w:val="000000" w:themeColor="text1"/>
              </w:rPr>
            </w:pPr>
            <w:r w:rsidRPr="00FB057C">
              <w:rPr>
                <w:rFonts w:ascii="Arial" w:hAnsi="Arial" w:cs="Arial"/>
                <w:color w:val="000000" w:themeColor="text1"/>
              </w:rPr>
              <w:t>0</w:t>
            </w:r>
          </w:p>
        </w:tc>
      </w:tr>
    </w:tbl>
    <w:p w14:paraId="7E8928CD" w14:textId="77777777" w:rsidR="008519D0" w:rsidRPr="009B38DC" w:rsidRDefault="008519D0" w:rsidP="008519D0">
      <w:pPr>
        <w:rPr>
          <w:rFonts w:ascii="Arial" w:hAnsi="Arial" w:cs="Arial"/>
          <w:sz w:val="22"/>
          <w:szCs w:val="22"/>
        </w:rPr>
      </w:pPr>
    </w:p>
    <w:p w14:paraId="6EEF40E6" w14:textId="77777777" w:rsidR="008519D0" w:rsidRPr="001A072B" w:rsidRDefault="008519D0" w:rsidP="008519D0">
      <w:pPr>
        <w:rPr>
          <w:rFonts w:ascii="Arial" w:hAnsi="Arial" w:cs="Arial"/>
          <w:b/>
          <w:bCs/>
          <w:sz w:val="22"/>
          <w:szCs w:val="22"/>
        </w:rPr>
      </w:pPr>
      <w:r w:rsidRPr="001A072B">
        <w:rPr>
          <w:rFonts w:ascii="Arial" w:hAnsi="Arial" w:cs="Arial"/>
          <w:b/>
          <w:bCs/>
          <w:sz w:val="22"/>
          <w:szCs w:val="22"/>
        </w:rPr>
        <w:lastRenderedPageBreak/>
        <w:t>2.</w:t>
      </w:r>
      <w:r>
        <w:rPr>
          <w:rFonts w:ascii="Arial" w:hAnsi="Arial" w:cs="Arial"/>
          <w:b/>
          <w:bCs/>
          <w:sz w:val="22"/>
          <w:szCs w:val="22"/>
        </w:rPr>
        <w:t>2.2.</w:t>
      </w:r>
      <w:r w:rsidRPr="001A072B">
        <w:rPr>
          <w:rFonts w:ascii="Arial" w:hAnsi="Arial" w:cs="Arial"/>
          <w:b/>
          <w:bCs/>
          <w:sz w:val="22"/>
          <w:szCs w:val="22"/>
        </w:rPr>
        <w:t xml:space="preserve"> </w:t>
      </w:r>
      <w:commentRangeStart w:id="20"/>
      <w:r w:rsidRPr="00200398">
        <w:rPr>
          <w:rFonts w:ascii="Arial" w:hAnsi="Arial" w:cs="Arial"/>
          <w:b/>
          <w:bCs/>
          <w:u w:val="single"/>
        </w:rPr>
        <w:t>Bread Preparation</w:t>
      </w:r>
      <w:commentRangeEnd w:id="20"/>
      <w:r w:rsidR="00E41C29">
        <w:rPr>
          <w:rStyle w:val="CommentReference"/>
          <w:rFonts w:ascii="Times New Roman" w:hAnsi="Times New Roman"/>
          <w:lang w:val="nb-NO" w:eastAsia="nb-NO"/>
        </w:rPr>
        <w:commentReference w:id="20"/>
      </w:r>
    </w:p>
    <w:p w14:paraId="6B999E47" w14:textId="77777777" w:rsidR="008519D0" w:rsidRPr="009B38DC" w:rsidRDefault="008519D0" w:rsidP="008519D0">
      <w:pPr>
        <w:rPr>
          <w:rFonts w:ascii="Arial" w:hAnsi="Arial" w:cs="Arial"/>
          <w:sz w:val="22"/>
          <w:szCs w:val="22"/>
        </w:rPr>
      </w:pPr>
    </w:p>
    <w:p w14:paraId="7F5A0B31" w14:textId="77777777" w:rsidR="008519D0" w:rsidRPr="00FB057C" w:rsidRDefault="008519D0" w:rsidP="008519D0">
      <w:pPr>
        <w:jc w:val="both"/>
        <w:rPr>
          <w:rFonts w:ascii="Arial" w:hAnsi="Arial" w:cs="Arial"/>
        </w:rPr>
      </w:pPr>
      <w:commentRangeStart w:id="21"/>
      <w:r w:rsidRPr="00FB057C">
        <w:rPr>
          <w:rFonts w:ascii="Arial" w:hAnsi="Arial" w:cs="Arial"/>
        </w:rPr>
        <w:t xml:space="preserve">The bread was produced using the straight dough method. </w:t>
      </w:r>
      <w:commentRangeEnd w:id="21"/>
      <w:r w:rsidR="00E41C29">
        <w:rPr>
          <w:rStyle w:val="CommentReference"/>
          <w:rFonts w:ascii="Times New Roman" w:hAnsi="Times New Roman"/>
          <w:lang w:val="nb-NO" w:eastAsia="nb-NO"/>
        </w:rPr>
        <w:commentReference w:id="21"/>
      </w:r>
      <w:r w:rsidRPr="00FB057C">
        <w:rPr>
          <w:rFonts w:ascii="Arial" w:hAnsi="Arial" w:cs="Arial"/>
        </w:rPr>
        <w:t xml:space="preserve">The ingredients were weighed and mixed to form a uniform dough, which was kneaded, proofed, molded, and </w:t>
      </w:r>
      <w:commentRangeStart w:id="22"/>
      <w:r w:rsidRPr="00FB057C">
        <w:rPr>
          <w:rFonts w:ascii="Arial" w:hAnsi="Arial" w:cs="Arial"/>
        </w:rPr>
        <w:t>baked at 180°C for 30 minutes</w:t>
      </w:r>
      <w:commentRangeEnd w:id="22"/>
      <w:r w:rsidR="00E41C29">
        <w:rPr>
          <w:rStyle w:val="CommentReference"/>
          <w:rFonts w:ascii="Times New Roman" w:hAnsi="Times New Roman"/>
          <w:lang w:val="nb-NO" w:eastAsia="nb-NO"/>
        </w:rPr>
        <w:commentReference w:id="22"/>
      </w:r>
      <w:r w:rsidRPr="00FB057C">
        <w:rPr>
          <w:rFonts w:ascii="Arial" w:hAnsi="Arial" w:cs="Arial"/>
        </w:rPr>
        <w:t>. The loaves were cooled at room temperature before analysis.</w:t>
      </w:r>
    </w:p>
    <w:p w14:paraId="3C6C4B51" w14:textId="77777777" w:rsidR="008519D0" w:rsidRPr="00FB057C" w:rsidRDefault="008519D0" w:rsidP="008519D0">
      <w:pPr>
        <w:jc w:val="both"/>
        <w:rPr>
          <w:rFonts w:ascii="Arial" w:hAnsi="Arial" w:cs="Arial"/>
        </w:rPr>
      </w:pPr>
    </w:p>
    <w:p w14:paraId="21922749" w14:textId="77777777" w:rsidR="008519D0" w:rsidRDefault="008519D0" w:rsidP="008519D0">
      <w:pPr>
        <w:rPr>
          <w:rFonts w:ascii="Arial" w:hAnsi="Arial" w:cs="Arial"/>
          <w:b/>
          <w:bCs/>
          <w:sz w:val="22"/>
          <w:szCs w:val="22"/>
        </w:rPr>
      </w:pPr>
      <w:r w:rsidRPr="001A072B">
        <w:rPr>
          <w:rFonts w:ascii="Arial" w:hAnsi="Arial" w:cs="Arial"/>
          <w:b/>
          <w:bCs/>
          <w:sz w:val="22"/>
          <w:szCs w:val="22"/>
        </w:rPr>
        <w:t>2.3.</w:t>
      </w:r>
      <w:r>
        <w:rPr>
          <w:rFonts w:ascii="Arial" w:hAnsi="Arial" w:cs="Arial"/>
          <w:b/>
          <w:bCs/>
          <w:sz w:val="22"/>
          <w:szCs w:val="22"/>
        </w:rPr>
        <w:t xml:space="preserve"> </w:t>
      </w:r>
      <w:r w:rsidRPr="001A072B">
        <w:rPr>
          <w:rFonts w:ascii="Arial" w:hAnsi="Arial" w:cs="Arial"/>
          <w:b/>
          <w:bCs/>
          <w:sz w:val="22"/>
          <w:szCs w:val="22"/>
        </w:rPr>
        <w:t>Analysis</w:t>
      </w:r>
    </w:p>
    <w:p w14:paraId="7EF9F295" w14:textId="77777777" w:rsidR="008519D0" w:rsidRPr="001A072B" w:rsidRDefault="008519D0" w:rsidP="008519D0">
      <w:pPr>
        <w:rPr>
          <w:rFonts w:ascii="Arial" w:hAnsi="Arial" w:cs="Arial"/>
          <w:b/>
          <w:bCs/>
          <w:sz w:val="22"/>
          <w:szCs w:val="22"/>
        </w:rPr>
      </w:pPr>
    </w:p>
    <w:p w14:paraId="55DC40E1" w14:textId="77777777" w:rsidR="008519D0" w:rsidRPr="00FB057C" w:rsidRDefault="008519D0" w:rsidP="008519D0">
      <w:pPr>
        <w:rPr>
          <w:rFonts w:ascii="Arial" w:hAnsi="Arial" w:cs="Arial"/>
          <w:b/>
          <w:bCs/>
          <w:u w:val="single"/>
        </w:rPr>
      </w:pPr>
      <w:r w:rsidRPr="00FB057C">
        <w:rPr>
          <w:rFonts w:ascii="Arial" w:hAnsi="Arial" w:cs="Arial"/>
          <w:b/>
          <w:bCs/>
          <w:u w:val="single"/>
        </w:rPr>
        <w:t>2.3.1 Proximate Analysis</w:t>
      </w:r>
    </w:p>
    <w:p w14:paraId="7DB1D03A" w14:textId="77777777" w:rsidR="008519D0" w:rsidRPr="00FB057C" w:rsidRDefault="008519D0" w:rsidP="008519D0">
      <w:pPr>
        <w:rPr>
          <w:rFonts w:ascii="Arial" w:hAnsi="Arial" w:cs="Arial"/>
        </w:rPr>
      </w:pPr>
    </w:p>
    <w:p w14:paraId="298E2EC4" w14:textId="77777777" w:rsidR="008519D0" w:rsidRDefault="008519D0" w:rsidP="008519D0">
      <w:pPr>
        <w:jc w:val="both"/>
        <w:rPr>
          <w:rFonts w:ascii="Arial" w:hAnsi="Arial" w:cs="Arial"/>
        </w:rPr>
      </w:pPr>
      <w:r w:rsidRPr="00FB057C">
        <w:rPr>
          <w:rFonts w:ascii="Arial" w:hAnsi="Arial" w:cs="Arial"/>
        </w:rPr>
        <w:t>Proximate composition (moisture, ash, crude protein, fat, and carbohydrate) was determined using standard AOAC (2019) methods. β-carotene content was analysed using spectrophotometric techniques.</w:t>
      </w:r>
    </w:p>
    <w:p w14:paraId="4EA4EC0B" w14:textId="77777777" w:rsidR="008519D0" w:rsidRDefault="008519D0" w:rsidP="008519D0">
      <w:pPr>
        <w:jc w:val="both"/>
        <w:rPr>
          <w:rFonts w:ascii="Arial" w:hAnsi="Arial" w:cs="Arial"/>
        </w:rPr>
      </w:pPr>
    </w:p>
    <w:p w14:paraId="28004FD8" w14:textId="77777777" w:rsidR="008519D0" w:rsidRPr="00FB057C" w:rsidRDefault="008519D0" w:rsidP="008519D0">
      <w:pPr>
        <w:rPr>
          <w:rFonts w:ascii="Arial" w:hAnsi="Arial" w:cs="Arial"/>
          <w:b/>
          <w:bCs/>
          <w:u w:val="single"/>
        </w:rPr>
      </w:pPr>
      <w:r w:rsidRPr="00FB057C">
        <w:rPr>
          <w:rFonts w:ascii="Arial" w:hAnsi="Arial" w:cs="Arial"/>
          <w:b/>
          <w:bCs/>
          <w:u w:val="single"/>
        </w:rPr>
        <w:t>2.3.</w:t>
      </w:r>
      <w:r>
        <w:rPr>
          <w:rFonts w:ascii="Arial" w:hAnsi="Arial" w:cs="Arial"/>
          <w:b/>
          <w:bCs/>
          <w:u w:val="single"/>
        </w:rPr>
        <w:t>2</w:t>
      </w:r>
      <w:r w:rsidRPr="00FB057C">
        <w:rPr>
          <w:rFonts w:ascii="Arial" w:hAnsi="Arial" w:cs="Arial"/>
          <w:b/>
          <w:bCs/>
          <w:u w:val="single"/>
        </w:rPr>
        <w:t xml:space="preserve"> Mineral Analysis</w:t>
      </w:r>
    </w:p>
    <w:p w14:paraId="2F03CFE3" w14:textId="77777777" w:rsidR="008519D0" w:rsidRPr="00FB057C" w:rsidRDefault="008519D0" w:rsidP="008519D0">
      <w:pPr>
        <w:rPr>
          <w:rFonts w:ascii="Arial" w:hAnsi="Arial" w:cs="Arial"/>
        </w:rPr>
      </w:pPr>
    </w:p>
    <w:p w14:paraId="404AF6B4" w14:textId="77777777" w:rsidR="008519D0" w:rsidRPr="00FB057C" w:rsidRDefault="008519D0" w:rsidP="008519D0">
      <w:pPr>
        <w:jc w:val="both"/>
        <w:rPr>
          <w:rFonts w:ascii="Arial" w:hAnsi="Arial" w:cs="Arial"/>
        </w:rPr>
      </w:pPr>
      <w:commentRangeStart w:id="23"/>
      <w:r w:rsidRPr="00FB057C">
        <w:rPr>
          <w:rFonts w:ascii="Arial" w:hAnsi="Arial" w:cs="Arial"/>
        </w:rPr>
        <w:t>Mineral composition is a key indicator of the nutritional value of food products and provides essential information for evaluating dietary quality.</w:t>
      </w:r>
      <w:commentRangeEnd w:id="23"/>
      <w:r w:rsidR="005B4A88">
        <w:rPr>
          <w:rStyle w:val="CommentReference"/>
          <w:rFonts w:ascii="Times New Roman" w:hAnsi="Times New Roman"/>
          <w:lang w:val="nb-NO" w:eastAsia="nb-NO"/>
        </w:rPr>
        <w:commentReference w:id="23"/>
      </w:r>
      <w:r w:rsidRPr="00FB057C">
        <w:rPr>
          <w:rFonts w:ascii="Arial" w:hAnsi="Arial" w:cs="Arial"/>
        </w:rPr>
        <w:t xml:space="preserve"> In this study, the levels of iron, calcium, and potassium in the bread samples were determined using standard instrumental methods validated for food analysis (Adegboye et al., 2022; </w:t>
      </w:r>
      <w:proofErr w:type="spellStart"/>
      <w:r w:rsidRPr="00FB057C">
        <w:rPr>
          <w:rFonts w:ascii="Arial" w:hAnsi="Arial" w:cs="Arial"/>
        </w:rPr>
        <w:t>Onwuliri</w:t>
      </w:r>
      <w:proofErr w:type="spellEnd"/>
      <w:r w:rsidRPr="00FB057C">
        <w:rPr>
          <w:rFonts w:ascii="Arial" w:hAnsi="Arial" w:cs="Arial"/>
        </w:rPr>
        <w:t xml:space="preserve"> &amp; Dike, 2021).</w:t>
      </w:r>
    </w:p>
    <w:p w14:paraId="16E73CEC" w14:textId="77777777" w:rsidR="008519D0" w:rsidRPr="00FB057C" w:rsidRDefault="008519D0" w:rsidP="008519D0">
      <w:pPr>
        <w:rPr>
          <w:rFonts w:ascii="Arial" w:hAnsi="Arial" w:cs="Arial"/>
        </w:rPr>
      </w:pPr>
    </w:p>
    <w:p w14:paraId="4018E1EE" w14:textId="77777777" w:rsidR="008519D0" w:rsidRPr="008519D0" w:rsidRDefault="008519D0" w:rsidP="008519D0">
      <w:pPr>
        <w:rPr>
          <w:rFonts w:ascii="Arial" w:hAnsi="Arial" w:cs="Arial"/>
          <w:b/>
          <w:bCs/>
          <w:i/>
          <w:iCs/>
        </w:rPr>
      </w:pPr>
      <w:r w:rsidRPr="008519D0">
        <w:rPr>
          <w:rFonts w:ascii="Arial" w:hAnsi="Arial" w:cs="Arial"/>
          <w:b/>
          <w:bCs/>
          <w:i/>
          <w:iCs/>
        </w:rPr>
        <w:t>2.3.2.1 Iron</w:t>
      </w:r>
    </w:p>
    <w:p w14:paraId="15A04A25" w14:textId="77777777" w:rsidR="008519D0" w:rsidRPr="00FB057C" w:rsidRDefault="008519D0" w:rsidP="008519D0">
      <w:pPr>
        <w:rPr>
          <w:rFonts w:ascii="Arial" w:hAnsi="Arial" w:cs="Arial"/>
        </w:rPr>
      </w:pPr>
    </w:p>
    <w:p w14:paraId="41492962" w14:textId="77777777" w:rsidR="008519D0" w:rsidRPr="00FB057C" w:rsidRDefault="008519D0" w:rsidP="008519D0">
      <w:pPr>
        <w:jc w:val="both"/>
        <w:rPr>
          <w:rFonts w:ascii="Arial" w:hAnsi="Arial" w:cs="Arial"/>
        </w:rPr>
      </w:pPr>
      <w:r w:rsidRPr="00FB057C">
        <w:rPr>
          <w:rFonts w:ascii="Arial" w:hAnsi="Arial" w:cs="Arial"/>
        </w:rPr>
        <w:t>The iron content was determined using atomic absorption spectrophotometry (AAS), as described by Abubakar et al. (2020). Approximately 1 g of each composite flour sample was digested using a mixture of concentrated nitric acid (HNO</w:t>
      </w:r>
      <w:r w:rsidRPr="00FB057C">
        <w:rPr>
          <w:rFonts w:ascii="Cambria Math" w:hAnsi="Cambria Math" w:cs="Cambria Math"/>
        </w:rPr>
        <w:t>₃</w:t>
      </w:r>
      <w:r w:rsidRPr="00FB057C">
        <w:rPr>
          <w:rFonts w:ascii="Arial" w:hAnsi="Arial" w:cs="Arial"/>
        </w:rPr>
        <w:t>) and hydrogen peroxide (H</w:t>
      </w:r>
      <w:r w:rsidRPr="00FB057C">
        <w:rPr>
          <w:rFonts w:ascii="Cambria Math" w:hAnsi="Cambria Math" w:cs="Cambria Math"/>
        </w:rPr>
        <w:t>₂</w:t>
      </w:r>
      <w:r w:rsidRPr="00FB057C">
        <w:rPr>
          <w:rFonts w:ascii="Arial" w:hAnsi="Arial" w:cs="Arial"/>
        </w:rPr>
        <w:t>O</w:t>
      </w:r>
      <w:r w:rsidRPr="00FB057C">
        <w:rPr>
          <w:rFonts w:ascii="Cambria Math" w:hAnsi="Cambria Math" w:cs="Cambria Math"/>
        </w:rPr>
        <w:t>₂</w:t>
      </w:r>
      <w:r w:rsidRPr="00FB057C">
        <w:rPr>
          <w:rFonts w:ascii="Arial" w:hAnsi="Arial" w:cs="Arial"/>
        </w:rPr>
        <w:t>) under controlled heating. The resulting solution was filtered and diluted appropriately. Iron concentration was measured at a wavelength of 248.3 nm using an atomic absorption spectrophotometer. Quantification was achieved by referencing a standard calibration curve prepared from iron standard solutions (Ogunyemi et al., 2023).</w:t>
      </w:r>
    </w:p>
    <w:p w14:paraId="2EC57A6E" w14:textId="77777777" w:rsidR="008519D0" w:rsidRPr="008519D0" w:rsidRDefault="008519D0" w:rsidP="008519D0">
      <w:pPr>
        <w:rPr>
          <w:rFonts w:ascii="Arial" w:hAnsi="Arial" w:cs="Arial"/>
          <w:i/>
          <w:iCs/>
        </w:rPr>
      </w:pPr>
    </w:p>
    <w:p w14:paraId="68F6A207" w14:textId="77777777" w:rsidR="008519D0" w:rsidRPr="008519D0" w:rsidRDefault="008519D0" w:rsidP="008519D0">
      <w:pPr>
        <w:rPr>
          <w:rFonts w:ascii="Arial" w:hAnsi="Arial" w:cs="Arial"/>
          <w:b/>
          <w:bCs/>
          <w:i/>
          <w:iCs/>
        </w:rPr>
      </w:pPr>
      <w:r w:rsidRPr="008519D0">
        <w:rPr>
          <w:rFonts w:ascii="Arial" w:hAnsi="Arial" w:cs="Arial"/>
          <w:b/>
          <w:bCs/>
          <w:i/>
          <w:iCs/>
        </w:rPr>
        <w:t>2.3.2.2 Calcium</w:t>
      </w:r>
    </w:p>
    <w:p w14:paraId="58B2DF1A" w14:textId="77777777" w:rsidR="008519D0" w:rsidRPr="00FB057C" w:rsidRDefault="008519D0" w:rsidP="008519D0">
      <w:pPr>
        <w:rPr>
          <w:rFonts w:ascii="Arial" w:hAnsi="Arial" w:cs="Arial"/>
          <w:b/>
          <w:bCs/>
        </w:rPr>
      </w:pPr>
    </w:p>
    <w:p w14:paraId="6125CC40" w14:textId="77777777" w:rsidR="008519D0" w:rsidRPr="00FB057C" w:rsidRDefault="008519D0" w:rsidP="008519D0">
      <w:pPr>
        <w:jc w:val="both"/>
        <w:rPr>
          <w:rFonts w:ascii="Arial" w:hAnsi="Arial" w:cs="Arial"/>
        </w:rPr>
      </w:pPr>
      <w:r w:rsidRPr="00FB057C">
        <w:rPr>
          <w:rFonts w:ascii="Arial" w:hAnsi="Arial" w:cs="Arial"/>
        </w:rPr>
        <w:t xml:space="preserve">Calcium determination was similarly carried out using AAS, following the method outlined by </w:t>
      </w:r>
      <w:proofErr w:type="spellStart"/>
      <w:r w:rsidRPr="00FB057C">
        <w:rPr>
          <w:rFonts w:ascii="Arial" w:hAnsi="Arial" w:cs="Arial"/>
        </w:rPr>
        <w:t>Fasakin</w:t>
      </w:r>
      <w:proofErr w:type="spellEnd"/>
      <w:r w:rsidRPr="00FB057C">
        <w:rPr>
          <w:rFonts w:ascii="Arial" w:hAnsi="Arial" w:cs="Arial"/>
        </w:rPr>
        <w:t xml:space="preserve"> and Olayinka (2022). The digested sample solutions were analyzed at a wavelength of 422.7 nm. Calibration was done using known concentrations of calcium standards, and results were expressed in mg/100 g of the sample. This method provides high specificity and sensitivity for calcium quantification in composite flour products (Okorie et al., 2021).</w:t>
      </w:r>
    </w:p>
    <w:p w14:paraId="02198AFF" w14:textId="77777777" w:rsidR="008519D0" w:rsidRPr="00FB057C" w:rsidRDefault="008519D0" w:rsidP="008519D0">
      <w:pPr>
        <w:jc w:val="both"/>
        <w:rPr>
          <w:rFonts w:ascii="Arial" w:hAnsi="Arial" w:cs="Arial"/>
        </w:rPr>
      </w:pPr>
    </w:p>
    <w:p w14:paraId="28F600A6" w14:textId="77777777" w:rsidR="008519D0" w:rsidRPr="008519D0" w:rsidRDefault="008519D0" w:rsidP="008519D0">
      <w:pPr>
        <w:rPr>
          <w:rFonts w:ascii="Arial" w:hAnsi="Arial" w:cs="Arial"/>
          <w:b/>
          <w:bCs/>
          <w:i/>
          <w:iCs/>
        </w:rPr>
      </w:pPr>
      <w:r w:rsidRPr="008519D0">
        <w:rPr>
          <w:rFonts w:ascii="Arial" w:hAnsi="Arial" w:cs="Arial"/>
          <w:b/>
          <w:bCs/>
          <w:i/>
          <w:iCs/>
        </w:rPr>
        <w:t>2.3.2.3 Potassium</w:t>
      </w:r>
    </w:p>
    <w:p w14:paraId="0083BA00" w14:textId="77777777" w:rsidR="008519D0" w:rsidRPr="00FB057C" w:rsidRDefault="008519D0" w:rsidP="008519D0">
      <w:pPr>
        <w:rPr>
          <w:rFonts w:ascii="Arial" w:hAnsi="Arial" w:cs="Arial"/>
          <w:b/>
          <w:bCs/>
        </w:rPr>
      </w:pPr>
    </w:p>
    <w:p w14:paraId="58834660" w14:textId="77777777" w:rsidR="008519D0" w:rsidRPr="00FB057C" w:rsidRDefault="008519D0" w:rsidP="008519D0">
      <w:pPr>
        <w:jc w:val="both"/>
        <w:rPr>
          <w:rFonts w:ascii="Arial" w:hAnsi="Arial" w:cs="Arial"/>
        </w:rPr>
      </w:pPr>
      <w:r w:rsidRPr="00FB057C">
        <w:rPr>
          <w:rFonts w:ascii="Arial" w:hAnsi="Arial" w:cs="Arial"/>
        </w:rPr>
        <w:t>Potassium content was assessed using flame photometry, a method suited for the detection of alkali metals in food matrices (Chinedu et al., 2023). The digested samples were aspirated into a flame photometer, and emission intensity was recorded at 766.5 nm. A calibration curve generated using potassium standard solutions was used to determine potassium concentration in the samples. Flame photometry remains a widely accepted method for potassium estimation due to its simplicity and rapid detection capacity (Nwankwo et al., 2020).</w:t>
      </w:r>
    </w:p>
    <w:p w14:paraId="3F2FA971" w14:textId="77777777" w:rsidR="008519D0" w:rsidRDefault="008519D0" w:rsidP="008519D0">
      <w:pPr>
        <w:jc w:val="both"/>
        <w:rPr>
          <w:rFonts w:ascii="Arial" w:hAnsi="Arial" w:cs="Arial"/>
        </w:rPr>
      </w:pPr>
    </w:p>
    <w:p w14:paraId="22842DD1" w14:textId="77777777" w:rsidR="008519D0" w:rsidRPr="00FB057C" w:rsidRDefault="008519D0" w:rsidP="008519D0">
      <w:pPr>
        <w:rPr>
          <w:rFonts w:ascii="Arial" w:hAnsi="Arial" w:cs="Arial"/>
          <w:b/>
          <w:bCs/>
          <w:u w:val="single"/>
        </w:rPr>
      </w:pPr>
      <w:r w:rsidRPr="00FB057C">
        <w:rPr>
          <w:rFonts w:ascii="Arial" w:hAnsi="Arial" w:cs="Arial"/>
          <w:b/>
          <w:bCs/>
          <w:u w:val="single"/>
        </w:rPr>
        <w:t>2.3.</w:t>
      </w:r>
      <w:r>
        <w:rPr>
          <w:rFonts w:ascii="Arial" w:hAnsi="Arial" w:cs="Arial"/>
          <w:b/>
          <w:bCs/>
          <w:u w:val="single"/>
        </w:rPr>
        <w:t xml:space="preserve">3 </w:t>
      </w:r>
      <w:r w:rsidRPr="00FB057C">
        <w:rPr>
          <w:rFonts w:ascii="Arial" w:hAnsi="Arial" w:cs="Arial"/>
          <w:b/>
          <w:bCs/>
          <w:u w:val="single"/>
        </w:rPr>
        <w:t>Vitamin Analysis</w:t>
      </w:r>
    </w:p>
    <w:p w14:paraId="43DE75A1" w14:textId="77777777" w:rsidR="008519D0" w:rsidRPr="00FB057C" w:rsidRDefault="008519D0" w:rsidP="008519D0">
      <w:pPr>
        <w:rPr>
          <w:rFonts w:ascii="Arial" w:hAnsi="Arial" w:cs="Arial"/>
          <w:b/>
          <w:bCs/>
        </w:rPr>
      </w:pPr>
    </w:p>
    <w:p w14:paraId="48537F00" w14:textId="77777777" w:rsidR="008519D0" w:rsidRPr="008519D0" w:rsidRDefault="008519D0" w:rsidP="008519D0">
      <w:pPr>
        <w:rPr>
          <w:rFonts w:ascii="Arial" w:hAnsi="Arial" w:cs="Arial"/>
          <w:b/>
          <w:bCs/>
          <w:i/>
          <w:iCs/>
        </w:rPr>
      </w:pPr>
      <w:r w:rsidRPr="008519D0">
        <w:rPr>
          <w:rFonts w:ascii="Arial" w:hAnsi="Arial" w:cs="Arial"/>
          <w:b/>
          <w:bCs/>
          <w:i/>
          <w:iCs/>
        </w:rPr>
        <w:t>2.3.3.1 Vitamin B1 (Thiamine)</w:t>
      </w:r>
    </w:p>
    <w:p w14:paraId="463BF0DA" w14:textId="77777777" w:rsidR="008519D0" w:rsidRPr="00FB057C" w:rsidRDefault="008519D0" w:rsidP="008519D0">
      <w:pPr>
        <w:rPr>
          <w:rFonts w:ascii="Arial" w:hAnsi="Arial" w:cs="Arial"/>
          <w:b/>
          <w:bCs/>
        </w:rPr>
      </w:pPr>
    </w:p>
    <w:p w14:paraId="0493AA79" w14:textId="77777777" w:rsidR="008519D0" w:rsidRPr="00FB057C" w:rsidRDefault="008519D0" w:rsidP="008519D0">
      <w:pPr>
        <w:jc w:val="both"/>
        <w:rPr>
          <w:rFonts w:ascii="Arial" w:hAnsi="Arial" w:cs="Arial"/>
        </w:rPr>
      </w:pPr>
      <w:r w:rsidRPr="00FB057C">
        <w:rPr>
          <w:rFonts w:ascii="Arial" w:hAnsi="Arial" w:cs="Arial"/>
        </w:rPr>
        <w:t>The vitamin B1 content was determined using a spectrophotometric method. The samples were digested in acid, and the solution was filtered. The absorbance of the filtrate was measured at 366 nm using a UV spectrophotometer. The concentration of vitamin B1 was calculated using a standard calibration curve.</w:t>
      </w:r>
    </w:p>
    <w:p w14:paraId="2FFF9E2D" w14:textId="77777777" w:rsidR="008519D0" w:rsidRPr="00FB057C" w:rsidRDefault="008519D0" w:rsidP="008519D0">
      <w:pPr>
        <w:rPr>
          <w:rFonts w:ascii="Arial" w:hAnsi="Arial" w:cs="Arial"/>
        </w:rPr>
      </w:pPr>
    </w:p>
    <w:p w14:paraId="7C64035A" w14:textId="77777777" w:rsidR="008519D0" w:rsidRPr="008519D0" w:rsidRDefault="008519D0" w:rsidP="008519D0">
      <w:pPr>
        <w:rPr>
          <w:rFonts w:ascii="Arial" w:hAnsi="Arial" w:cs="Arial"/>
          <w:b/>
          <w:bCs/>
          <w:i/>
          <w:iCs/>
        </w:rPr>
      </w:pPr>
      <w:r w:rsidRPr="008519D0">
        <w:rPr>
          <w:rFonts w:ascii="Arial" w:hAnsi="Arial" w:cs="Arial"/>
          <w:b/>
          <w:bCs/>
          <w:i/>
          <w:iCs/>
        </w:rPr>
        <w:t>2.3.3.2 Vitamin B3 (Niacin)</w:t>
      </w:r>
    </w:p>
    <w:p w14:paraId="23E1A030" w14:textId="77777777" w:rsidR="008519D0" w:rsidRPr="00FB057C" w:rsidRDefault="008519D0" w:rsidP="008519D0">
      <w:pPr>
        <w:rPr>
          <w:rFonts w:ascii="Arial" w:hAnsi="Arial" w:cs="Arial"/>
        </w:rPr>
      </w:pPr>
    </w:p>
    <w:p w14:paraId="21CB1B18" w14:textId="77777777" w:rsidR="008519D0" w:rsidRPr="00FB057C" w:rsidRDefault="008519D0" w:rsidP="008519D0">
      <w:pPr>
        <w:jc w:val="both"/>
        <w:rPr>
          <w:rFonts w:ascii="Arial" w:hAnsi="Arial" w:cs="Arial"/>
        </w:rPr>
      </w:pPr>
      <w:r w:rsidRPr="00FB057C">
        <w:rPr>
          <w:rFonts w:ascii="Arial" w:hAnsi="Arial" w:cs="Arial"/>
        </w:rPr>
        <w:t>Vitamin B3 was analysed using the same spectrophotometric technique as vitamin B1. The samples were digested, and the absorbance was measured at a wavelength of 430 nm. The concentration of vitamin B3 was determined based on a standard curve.</w:t>
      </w:r>
    </w:p>
    <w:p w14:paraId="07DB3067" w14:textId="77777777" w:rsidR="008519D0" w:rsidRPr="00FB057C" w:rsidRDefault="008519D0" w:rsidP="008519D0">
      <w:pPr>
        <w:jc w:val="both"/>
        <w:rPr>
          <w:rFonts w:ascii="Arial" w:hAnsi="Arial" w:cs="Arial"/>
        </w:rPr>
      </w:pPr>
    </w:p>
    <w:p w14:paraId="7EDC9A3C" w14:textId="77777777" w:rsidR="008519D0" w:rsidRPr="008519D0" w:rsidRDefault="008519D0" w:rsidP="008519D0">
      <w:pPr>
        <w:rPr>
          <w:rFonts w:ascii="Arial" w:hAnsi="Arial" w:cs="Arial"/>
          <w:b/>
          <w:bCs/>
          <w:i/>
          <w:iCs/>
        </w:rPr>
      </w:pPr>
      <w:r w:rsidRPr="008519D0">
        <w:rPr>
          <w:rFonts w:ascii="Arial" w:hAnsi="Arial" w:cs="Arial"/>
          <w:b/>
          <w:bCs/>
          <w:i/>
          <w:iCs/>
        </w:rPr>
        <w:t>2.3.3.3 β-Carotene Analysis</w:t>
      </w:r>
    </w:p>
    <w:p w14:paraId="7015E030" w14:textId="77777777" w:rsidR="008519D0" w:rsidRPr="00FB057C" w:rsidRDefault="008519D0" w:rsidP="008519D0">
      <w:pPr>
        <w:rPr>
          <w:rFonts w:ascii="Arial" w:hAnsi="Arial" w:cs="Arial"/>
          <w:b/>
          <w:bCs/>
        </w:rPr>
      </w:pPr>
    </w:p>
    <w:p w14:paraId="12467CF6" w14:textId="77777777" w:rsidR="008519D0" w:rsidRPr="00FB057C" w:rsidRDefault="008519D0" w:rsidP="008519D0">
      <w:pPr>
        <w:jc w:val="both"/>
        <w:rPr>
          <w:rFonts w:ascii="Arial" w:hAnsi="Arial" w:cs="Arial"/>
        </w:rPr>
      </w:pPr>
      <w:r w:rsidRPr="00FB057C">
        <w:rPr>
          <w:rFonts w:ascii="Arial" w:hAnsi="Arial" w:cs="Arial"/>
        </w:rPr>
        <w:t xml:space="preserve">The β-carotene content of the bread samples was determined using the acetone–hexane extraction method as described by Rodriguez-Amaya and Kimura (2021), with slight modifications to suit the composite matrix. Approximately 1 g of the </w:t>
      </w:r>
      <w:r w:rsidRPr="00FB057C">
        <w:rPr>
          <w:rFonts w:ascii="Arial" w:hAnsi="Arial" w:cs="Arial"/>
        </w:rPr>
        <w:lastRenderedPageBreak/>
        <w:t>sample was homogenized with a mixture of cold acetone and hexane (2:3 v/v) to extract the carotenoids. The mixture was centrifuged at 4000 rpm for 10 minutes, and the upper layer containing the carotenoids was collected. The absorbance was measured at 453 nm using a UV-Vis spectrophotometer, and β-carotene content was calculated using a standard curve derived from pure β-carotene (Oluwatosin et al., 2023). This method is widely recognized for its accuracy in assessing provitamin A levels in plant-based and composite foods (Chinedu &amp; Balogun, 2022).</w:t>
      </w:r>
    </w:p>
    <w:p w14:paraId="3534B605" w14:textId="77777777" w:rsidR="008519D0" w:rsidRPr="00FB057C" w:rsidRDefault="008519D0" w:rsidP="008519D0">
      <w:pPr>
        <w:jc w:val="both"/>
        <w:rPr>
          <w:rFonts w:ascii="Arial" w:hAnsi="Arial" w:cs="Arial"/>
        </w:rPr>
      </w:pPr>
    </w:p>
    <w:p w14:paraId="4237B0B0" w14:textId="77777777" w:rsidR="008519D0" w:rsidRPr="00FB057C" w:rsidRDefault="008519D0" w:rsidP="008519D0">
      <w:pPr>
        <w:rPr>
          <w:rFonts w:ascii="Arial" w:hAnsi="Arial" w:cs="Arial"/>
          <w:b/>
          <w:bCs/>
          <w:u w:val="single"/>
        </w:rPr>
      </w:pPr>
      <w:r w:rsidRPr="00FB057C">
        <w:rPr>
          <w:rFonts w:ascii="Arial" w:hAnsi="Arial" w:cs="Arial"/>
          <w:b/>
          <w:bCs/>
          <w:u w:val="single"/>
        </w:rPr>
        <w:t>2.3.4 Antinutrient Analysis</w:t>
      </w:r>
    </w:p>
    <w:p w14:paraId="6D8225BA" w14:textId="77777777" w:rsidR="008519D0" w:rsidRPr="00FB057C" w:rsidRDefault="008519D0" w:rsidP="008519D0">
      <w:pPr>
        <w:rPr>
          <w:rFonts w:ascii="Arial" w:hAnsi="Arial" w:cs="Arial"/>
          <w:b/>
          <w:bCs/>
        </w:rPr>
      </w:pPr>
    </w:p>
    <w:p w14:paraId="34EE4FF3" w14:textId="77777777" w:rsidR="008519D0" w:rsidRPr="00FB057C" w:rsidRDefault="008519D0" w:rsidP="008519D0">
      <w:pPr>
        <w:jc w:val="both"/>
        <w:rPr>
          <w:rFonts w:ascii="Arial" w:hAnsi="Arial" w:cs="Arial"/>
        </w:rPr>
      </w:pPr>
      <w:commentRangeStart w:id="24"/>
      <w:r w:rsidRPr="00FB057C">
        <w:rPr>
          <w:rFonts w:ascii="Arial" w:hAnsi="Arial" w:cs="Arial"/>
        </w:rPr>
        <w:t xml:space="preserve">Antinutrients are bioactive compounds that may interfere with the bioavailability of essential nutrients. </w:t>
      </w:r>
      <w:commentRangeEnd w:id="24"/>
      <w:r w:rsidR="00BA7B5C">
        <w:rPr>
          <w:rStyle w:val="CommentReference"/>
          <w:rFonts w:ascii="Times New Roman" w:hAnsi="Times New Roman"/>
          <w:lang w:val="nb-NO" w:eastAsia="nb-NO"/>
        </w:rPr>
        <w:commentReference w:id="24"/>
      </w:r>
      <w:r w:rsidRPr="00FB057C">
        <w:rPr>
          <w:rFonts w:ascii="Arial" w:hAnsi="Arial" w:cs="Arial"/>
        </w:rPr>
        <w:t xml:space="preserve">In this study, the levels of tannins and oxalates in the bread samples were determined using standard biochemical methods, as described by recent food science research (Onwuka, 2021; </w:t>
      </w:r>
      <w:proofErr w:type="spellStart"/>
      <w:r w:rsidRPr="00FB057C">
        <w:rPr>
          <w:rFonts w:ascii="Arial" w:hAnsi="Arial" w:cs="Arial"/>
        </w:rPr>
        <w:t>Ezeonu</w:t>
      </w:r>
      <w:proofErr w:type="spellEnd"/>
      <w:r w:rsidRPr="00FB057C">
        <w:rPr>
          <w:rFonts w:ascii="Arial" w:hAnsi="Arial" w:cs="Arial"/>
        </w:rPr>
        <w:t xml:space="preserve"> et al., 2023).</w:t>
      </w:r>
    </w:p>
    <w:p w14:paraId="357DEF06" w14:textId="77777777" w:rsidR="008519D0" w:rsidRPr="00FB057C" w:rsidRDefault="008519D0" w:rsidP="008519D0">
      <w:pPr>
        <w:jc w:val="both"/>
        <w:rPr>
          <w:rFonts w:ascii="Arial" w:hAnsi="Arial" w:cs="Arial"/>
        </w:rPr>
      </w:pPr>
    </w:p>
    <w:p w14:paraId="3B47998A" w14:textId="77777777" w:rsidR="008519D0" w:rsidRPr="008519D0" w:rsidRDefault="008519D0" w:rsidP="008519D0">
      <w:pPr>
        <w:rPr>
          <w:rFonts w:ascii="Arial" w:hAnsi="Arial" w:cs="Arial"/>
          <w:b/>
          <w:bCs/>
          <w:i/>
          <w:iCs/>
        </w:rPr>
      </w:pPr>
      <w:r w:rsidRPr="008519D0">
        <w:rPr>
          <w:rFonts w:ascii="Arial" w:hAnsi="Arial" w:cs="Arial"/>
          <w:b/>
          <w:bCs/>
          <w:i/>
          <w:iCs/>
        </w:rPr>
        <w:t>2.3.4.1 Tannin Determination</w:t>
      </w:r>
    </w:p>
    <w:p w14:paraId="44DA0D3D" w14:textId="77777777" w:rsidR="008519D0" w:rsidRPr="00FB057C" w:rsidRDefault="008519D0" w:rsidP="008519D0">
      <w:pPr>
        <w:rPr>
          <w:rFonts w:ascii="Arial" w:hAnsi="Arial" w:cs="Arial"/>
          <w:b/>
          <w:bCs/>
        </w:rPr>
      </w:pPr>
    </w:p>
    <w:p w14:paraId="7C3AA949" w14:textId="77777777" w:rsidR="008519D0" w:rsidRPr="00FB057C" w:rsidRDefault="008519D0" w:rsidP="008519D0">
      <w:pPr>
        <w:jc w:val="both"/>
        <w:rPr>
          <w:rFonts w:ascii="Arial" w:hAnsi="Arial" w:cs="Arial"/>
        </w:rPr>
      </w:pPr>
      <w:r w:rsidRPr="00FB057C">
        <w:rPr>
          <w:rFonts w:ascii="Arial" w:hAnsi="Arial" w:cs="Arial"/>
        </w:rPr>
        <w:t>Tannin content was quantified using the Folin–Denis spectrophotometric method, which is reliable for plant-based foods (Okoye &amp; Njoku, 2022). About 0.5 g of each sample was extracted with 50 mL of 70% methanol by shaking for 2 hours at room temperature. The extract was filtered, and 1 mL of the filtrate was mixed with 0.5 mL of Folin–Denis reagent and 1 mL of sodium carbonate solution. The mixture was incubated at room temperature for 30 minutes, and absorbance was measured at 760 nm using a UV-Vis spectrophotometer. Tannin content was calculated from a standard curve prepared with tannic acid (Ibrahim &amp; Afolayan, 2020).</w:t>
      </w:r>
    </w:p>
    <w:p w14:paraId="717D4456" w14:textId="77777777" w:rsidR="008519D0" w:rsidRPr="00FB057C" w:rsidRDefault="008519D0" w:rsidP="008519D0">
      <w:pPr>
        <w:rPr>
          <w:rFonts w:ascii="Arial" w:hAnsi="Arial" w:cs="Arial"/>
        </w:rPr>
      </w:pPr>
    </w:p>
    <w:p w14:paraId="6DB389F4" w14:textId="77777777" w:rsidR="008519D0" w:rsidRPr="008519D0" w:rsidRDefault="008519D0" w:rsidP="008519D0">
      <w:pPr>
        <w:rPr>
          <w:rFonts w:ascii="Arial" w:hAnsi="Arial" w:cs="Arial"/>
          <w:b/>
          <w:bCs/>
          <w:i/>
          <w:iCs/>
        </w:rPr>
      </w:pPr>
      <w:r w:rsidRPr="008519D0">
        <w:rPr>
          <w:rFonts w:ascii="Arial" w:hAnsi="Arial" w:cs="Arial"/>
          <w:b/>
          <w:bCs/>
          <w:i/>
          <w:iCs/>
        </w:rPr>
        <w:t>2.3.4.2 Oxalate Determination</w:t>
      </w:r>
    </w:p>
    <w:p w14:paraId="1BC05971" w14:textId="77777777" w:rsidR="008519D0" w:rsidRPr="00FB057C" w:rsidRDefault="008519D0" w:rsidP="008519D0">
      <w:pPr>
        <w:rPr>
          <w:rFonts w:ascii="Arial" w:hAnsi="Arial" w:cs="Arial"/>
        </w:rPr>
      </w:pPr>
    </w:p>
    <w:p w14:paraId="3D340B02" w14:textId="77777777" w:rsidR="008519D0" w:rsidRPr="00FB057C" w:rsidRDefault="008519D0" w:rsidP="008519D0">
      <w:pPr>
        <w:jc w:val="both"/>
        <w:rPr>
          <w:rFonts w:ascii="Arial" w:hAnsi="Arial" w:cs="Arial"/>
        </w:rPr>
      </w:pPr>
      <w:r w:rsidRPr="00FB057C">
        <w:rPr>
          <w:rFonts w:ascii="Arial" w:hAnsi="Arial" w:cs="Arial"/>
        </w:rPr>
        <w:t>Oxalate content was determined using the permanganate titration method, a validated technique for evaluating oxalate levels in food (Adekunle et al., 2021). Approximately 1 g of the sample was digested with 75 mL of 3 M sulfuric acid for 1 hour and filtered. The filtrate was heated to 90°C, and oxalate was precipitated with calcium chloride. The precipitate was dissolved in hot distilled water and titrated against 0.05 M potassium permanganate until a pink color persisted for 30 seconds. Oxalate concentration was calculated and expressed in mg/100 g of sample (Chukwuma &amp; Eze, 2023).</w:t>
      </w:r>
    </w:p>
    <w:p w14:paraId="10972618" w14:textId="77777777" w:rsidR="008519D0" w:rsidRPr="009B38DC" w:rsidRDefault="008519D0" w:rsidP="008519D0">
      <w:pPr>
        <w:rPr>
          <w:rFonts w:ascii="Arial" w:hAnsi="Arial" w:cs="Arial"/>
          <w:sz w:val="22"/>
          <w:szCs w:val="22"/>
        </w:rPr>
      </w:pPr>
    </w:p>
    <w:p w14:paraId="119D1C72" w14:textId="77777777" w:rsidR="008519D0" w:rsidRPr="00FB057C" w:rsidRDefault="008519D0" w:rsidP="008519D0">
      <w:pPr>
        <w:rPr>
          <w:rFonts w:ascii="Arial" w:hAnsi="Arial" w:cs="Arial"/>
          <w:b/>
          <w:bCs/>
          <w:u w:val="single"/>
        </w:rPr>
      </w:pPr>
      <w:r w:rsidRPr="00FB057C">
        <w:rPr>
          <w:rFonts w:ascii="Arial" w:hAnsi="Arial" w:cs="Arial"/>
          <w:b/>
          <w:bCs/>
          <w:u w:val="single"/>
        </w:rPr>
        <w:t>2.</w:t>
      </w:r>
      <w:r>
        <w:rPr>
          <w:rFonts w:ascii="Arial" w:hAnsi="Arial" w:cs="Arial"/>
          <w:b/>
          <w:bCs/>
          <w:u w:val="single"/>
        </w:rPr>
        <w:t xml:space="preserve">3.5 </w:t>
      </w:r>
      <w:r w:rsidRPr="00FB057C">
        <w:rPr>
          <w:rFonts w:ascii="Arial" w:hAnsi="Arial" w:cs="Arial"/>
          <w:b/>
          <w:bCs/>
          <w:u w:val="single"/>
        </w:rPr>
        <w:t xml:space="preserve">Functional Properties                                                                  </w:t>
      </w:r>
    </w:p>
    <w:p w14:paraId="5358FDF5" w14:textId="77777777" w:rsidR="008519D0" w:rsidRPr="00FB057C" w:rsidRDefault="008519D0" w:rsidP="008519D0">
      <w:pPr>
        <w:rPr>
          <w:rFonts w:ascii="Arial" w:hAnsi="Arial" w:cs="Arial"/>
        </w:rPr>
      </w:pPr>
    </w:p>
    <w:p w14:paraId="181370DB" w14:textId="77777777" w:rsidR="008519D0" w:rsidRPr="00FB057C" w:rsidRDefault="008519D0" w:rsidP="008519D0">
      <w:pPr>
        <w:jc w:val="both"/>
        <w:rPr>
          <w:rFonts w:ascii="Arial" w:hAnsi="Arial" w:cs="Arial"/>
        </w:rPr>
      </w:pPr>
      <w:r w:rsidRPr="00FB057C">
        <w:rPr>
          <w:rFonts w:ascii="Arial" w:hAnsi="Arial" w:cs="Arial"/>
        </w:rPr>
        <w:t xml:space="preserve">Functional properties such as water absorption capacity, swelling capacity, and solubility index are critical in determining the behavior of flour blends during processing and their suitability for baked products like bread. These properties influence dough handling, texture, and moisture retention of the final product (Adeyemi &amp; Olagunju, 2021; </w:t>
      </w:r>
      <w:proofErr w:type="spellStart"/>
      <w:r w:rsidRPr="00FB057C">
        <w:rPr>
          <w:rFonts w:ascii="Arial" w:hAnsi="Arial" w:cs="Arial"/>
        </w:rPr>
        <w:t>Ezeocha</w:t>
      </w:r>
      <w:proofErr w:type="spellEnd"/>
      <w:r w:rsidRPr="00FB057C">
        <w:rPr>
          <w:rFonts w:ascii="Arial" w:hAnsi="Arial" w:cs="Arial"/>
        </w:rPr>
        <w:t xml:space="preserve"> et al., 2023).</w:t>
      </w:r>
    </w:p>
    <w:p w14:paraId="3CDD34A9" w14:textId="77777777" w:rsidR="008519D0" w:rsidRPr="00FB057C" w:rsidRDefault="008519D0" w:rsidP="008519D0">
      <w:pPr>
        <w:rPr>
          <w:rFonts w:ascii="Arial" w:hAnsi="Arial" w:cs="Arial"/>
        </w:rPr>
      </w:pPr>
    </w:p>
    <w:p w14:paraId="0D3A0C97" w14:textId="77777777" w:rsidR="008519D0" w:rsidRPr="008519D0" w:rsidRDefault="008519D0" w:rsidP="008519D0">
      <w:pPr>
        <w:rPr>
          <w:rFonts w:ascii="Arial" w:hAnsi="Arial" w:cs="Arial"/>
          <w:b/>
          <w:bCs/>
          <w:i/>
          <w:iCs/>
        </w:rPr>
      </w:pPr>
      <w:r w:rsidRPr="008519D0">
        <w:rPr>
          <w:rFonts w:ascii="Arial" w:hAnsi="Arial" w:cs="Arial"/>
          <w:b/>
          <w:bCs/>
          <w:i/>
          <w:iCs/>
        </w:rPr>
        <w:t>2.3.5.1 Water Absorption Capacity (WAC)</w:t>
      </w:r>
    </w:p>
    <w:p w14:paraId="0701C47E" w14:textId="77777777" w:rsidR="008519D0" w:rsidRPr="00FB057C" w:rsidRDefault="008519D0" w:rsidP="008519D0">
      <w:pPr>
        <w:rPr>
          <w:rFonts w:ascii="Arial" w:hAnsi="Arial" w:cs="Arial"/>
        </w:rPr>
      </w:pPr>
    </w:p>
    <w:p w14:paraId="69DBBBC3" w14:textId="77777777" w:rsidR="008519D0" w:rsidRPr="00FB057C" w:rsidRDefault="008519D0" w:rsidP="008519D0">
      <w:pPr>
        <w:jc w:val="both"/>
        <w:rPr>
          <w:rFonts w:ascii="Arial" w:hAnsi="Arial" w:cs="Arial"/>
        </w:rPr>
      </w:pPr>
      <w:r w:rsidRPr="00FB057C">
        <w:rPr>
          <w:rFonts w:ascii="Arial" w:hAnsi="Arial" w:cs="Arial"/>
        </w:rPr>
        <w:t>The water absorption capacity was determined following the modified method described by Okafor et al. (2020). One gram of each composite flour sample was mixed with 10 mL of distilled water in a centrifuge tube and allowed to stand at room temperature for 30 minutes. The mixture was then centrifuged at 3000 rpm for 30 minutes. The supernatant was carefully decanted, and the sediment-containing tube was weighed. The WAC was expressed as the weight of water retained per gram of dry sample. This parameter reflects the flour's ability to retain moisture and its potential influence on dough yield and bread texture (Oluwole et al., 2022).</w:t>
      </w:r>
    </w:p>
    <w:p w14:paraId="2DBF0534" w14:textId="77777777" w:rsidR="008519D0" w:rsidRPr="00FB057C" w:rsidRDefault="008519D0" w:rsidP="008519D0">
      <w:pPr>
        <w:jc w:val="both"/>
        <w:rPr>
          <w:rFonts w:ascii="Arial" w:hAnsi="Arial" w:cs="Arial"/>
        </w:rPr>
      </w:pPr>
    </w:p>
    <w:p w14:paraId="14375BCF" w14:textId="77777777" w:rsidR="008519D0" w:rsidRPr="00FB057C" w:rsidRDefault="008519D0" w:rsidP="008519D0">
      <w:pPr>
        <w:rPr>
          <w:rFonts w:ascii="Arial" w:hAnsi="Arial" w:cs="Arial"/>
          <w:b/>
          <w:bCs/>
        </w:rPr>
      </w:pPr>
      <w:r w:rsidRPr="008519D0">
        <w:rPr>
          <w:rFonts w:ascii="Arial" w:hAnsi="Arial" w:cs="Arial"/>
          <w:b/>
          <w:bCs/>
          <w:i/>
          <w:iCs/>
        </w:rPr>
        <w:t>2.3.5.2 Swelling Capacity (SC</w:t>
      </w:r>
      <w:r w:rsidRPr="00FB057C">
        <w:rPr>
          <w:rFonts w:ascii="Arial" w:hAnsi="Arial" w:cs="Arial"/>
          <w:b/>
          <w:bCs/>
        </w:rPr>
        <w:t>)</w:t>
      </w:r>
    </w:p>
    <w:p w14:paraId="2AC9C55B" w14:textId="77777777" w:rsidR="008519D0" w:rsidRPr="00FB057C" w:rsidRDefault="008519D0" w:rsidP="008519D0">
      <w:pPr>
        <w:rPr>
          <w:rFonts w:ascii="Arial" w:hAnsi="Arial" w:cs="Arial"/>
        </w:rPr>
      </w:pPr>
    </w:p>
    <w:p w14:paraId="19A4ED88" w14:textId="77777777" w:rsidR="008519D0" w:rsidRPr="00FB057C" w:rsidRDefault="008519D0" w:rsidP="008519D0">
      <w:pPr>
        <w:jc w:val="both"/>
        <w:rPr>
          <w:rFonts w:ascii="Arial" w:hAnsi="Arial" w:cs="Arial"/>
        </w:rPr>
      </w:pPr>
      <w:r w:rsidRPr="00FB057C">
        <w:rPr>
          <w:rFonts w:ascii="Arial" w:hAnsi="Arial" w:cs="Arial"/>
        </w:rPr>
        <w:t>Swelling capacity was assessed using the method outlined by Chikwendu and Nwankwo (2021). One gram of the flour sample was placed in a 10 mL graduated cylinder containing distilled water and allowed to stand for 24 hours at room temperature. The final volume of the swollen material was recorded, and the swelling capacity was calculated as the increase in volume (mL) per gram of flour. This property provides insight into the hydration behavior of the flour, which affects loaf expansion and crumb structure (Bello et al., 2022).</w:t>
      </w:r>
    </w:p>
    <w:p w14:paraId="67393A18" w14:textId="77777777" w:rsidR="008519D0" w:rsidRPr="008519D0" w:rsidRDefault="008519D0" w:rsidP="008519D0">
      <w:pPr>
        <w:rPr>
          <w:rFonts w:ascii="Arial" w:hAnsi="Arial" w:cs="Arial"/>
          <w:i/>
          <w:iCs/>
        </w:rPr>
      </w:pPr>
    </w:p>
    <w:p w14:paraId="197693B2" w14:textId="77777777" w:rsidR="008519D0" w:rsidRPr="008519D0" w:rsidRDefault="008519D0" w:rsidP="008519D0">
      <w:pPr>
        <w:rPr>
          <w:rFonts w:ascii="Arial" w:hAnsi="Arial" w:cs="Arial"/>
          <w:b/>
          <w:bCs/>
          <w:i/>
          <w:iCs/>
        </w:rPr>
      </w:pPr>
      <w:r w:rsidRPr="008519D0">
        <w:rPr>
          <w:rFonts w:ascii="Arial" w:hAnsi="Arial" w:cs="Arial"/>
          <w:b/>
          <w:bCs/>
          <w:i/>
          <w:iCs/>
        </w:rPr>
        <w:t>2.3.5.3 Solubility Index (SI)</w:t>
      </w:r>
    </w:p>
    <w:p w14:paraId="750CD97F" w14:textId="77777777" w:rsidR="008519D0" w:rsidRPr="00FB057C" w:rsidRDefault="008519D0" w:rsidP="008519D0">
      <w:pPr>
        <w:rPr>
          <w:rFonts w:ascii="Arial" w:hAnsi="Arial" w:cs="Arial"/>
        </w:rPr>
      </w:pPr>
    </w:p>
    <w:p w14:paraId="0900C212" w14:textId="77777777" w:rsidR="008519D0" w:rsidRPr="00FB057C" w:rsidRDefault="008519D0" w:rsidP="008519D0">
      <w:pPr>
        <w:jc w:val="both"/>
        <w:rPr>
          <w:rFonts w:ascii="Arial" w:hAnsi="Arial" w:cs="Arial"/>
        </w:rPr>
      </w:pPr>
      <w:r w:rsidRPr="00FB057C">
        <w:rPr>
          <w:rFonts w:ascii="Arial" w:hAnsi="Arial" w:cs="Arial"/>
        </w:rPr>
        <w:t xml:space="preserve">The solubility index was measured using a modified procedure from Nwosu and Dike (2023). One gram of the flour sample was dispersed in 10 mL of distilled water and stirred continuously for 30 minutes. The mixture was left to settle before being filtered through Whatman No. 1 filter paper. The volume of the clear filtrate was measured, and the solubility index was expressed as the percentage of the sample that dissolved in water. The SI reflects the degree of solubilized </w:t>
      </w:r>
      <w:r w:rsidRPr="00FB057C">
        <w:rPr>
          <w:rFonts w:ascii="Arial" w:hAnsi="Arial" w:cs="Arial"/>
        </w:rPr>
        <w:lastRenderedPageBreak/>
        <w:t>components, such as proteins and soluble carbohydrates, which can influence flavor release and mouthfeel in baked products (</w:t>
      </w:r>
      <w:proofErr w:type="spellStart"/>
      <w:r w:rsidRPr="00FB057C">
        <w:rPr>
          <w:rFonts w:ascii="Arial" w:hAnsi="Arial" w:cs="Arial"/>
        </w:rPr>
        <w:t>Fasakin</w:t>
      </w:r>
      <w:proofErr w:type="spellEnd"/>
      <w:r w:rsidRPr="00FB057C">
        <w:rPr>
          <w:rFonts w:ascii="Arial" w:hAnsi="Arial" w:cs="Arial"/>
        </w:rPr>
        <w:t xml:space="preserve"> et al., 2021).</w:t>
      </w:r>
    </w:p>
    <w:p w14:paraId="7D21D36C" w14:textId="77777777" w:rsidR="008519D0" w:rsidRPr="00FB057C" w:rsidRDefault="008519D0" w:rsidP="008519D0">
      <w:pPr>
        <w:rPr>
          <w:rFonts w:ascii="Arial" w:hAnsi="Arial" w:cs="Arial"/>
        </w:rPr>
      </w:pPr>
    </w:p>
    <w:p w14:paraId="15B8E0DB" w14:textId="77777777" w:rsidR="008519D0" w:rsidRPr="00FB057C" w:rsidRDefault="008519D0" w:rsidP="008519D0">
      <w:pPr>
        <w:rPr>
          <w:rFonts w:ascii="Arial" w:hAnsi="Arial" w:cs="Arial"/>
          <w:b/>
          <w:bCs/>
          <w:u w:val="single"/>
        </w:rPr>
      </w:pPr>
      <w:r w:rsidRPr="00FB057C">
        <w:rPr>
          <w:rFonts w:ascii="Arial" w:hAnsi="Arial" w:cs="Arial"/>
          <w:b/>
          <w:bCs/>
          <w:u w:val="single"/>
        </w:rPr>
        <w:t>2.3.6 Microbial Analysis</w:t>
      </w:r>
    </w:p>
    <w:p w14:paraId="7096E688" w14:textId="77777777" w:rsidR="008519D0" w:rsidRPr="00FB057C" w:rsidRDefault="008519D0" w:rsidP="008519D0">
      <w:pPr>
        <w:rPr>
          <w:rFonts w:ascii="Arial" w:hAnsi="Arial" w:cs="Arial"/>
          <w:b/>
          <w:bCs/>
        </w:rPr>
      </w:pPr>
    </w:p>
    <w:p w14:paraId="6816D95A" w14:textId="77777777" w:rsidR="008519D0" w:rsidRPr="00FB057C" w:rsidRDefault="008519D0" w:rsidP="008519D0">
      <w:pPr>
        <w:jc w:val="both"/>
        <w:rPr>
          <w:rFonts w:ascii="Arial" w:hAnsi="Arial" w:cs="Arial"/>
        </w:rPr>
      </w:pPr>
      <w:commentRangeStart w:id="25"/>
      <w:r w:rsidRPr="00FB057C">
        <w:rPr>
          <w:rFonts w:ascii="Arial" w:hAnsi="Arial" w:cs="Arial"/>
        </w:rPr>
        <w:t>Microbial analysis is essential for evaluating the safety and shelf stability of bread and other bakery products.</w:t>
      </w:r>
      <w:commentRangeEnd w:id="25"/>
      <w:r w:rsidR="00E15D27">
        <w:rPr>
          <w:rStyle w:val="CommentReference"/>
          <w:rFonts w:ascii="Times New Roman" w:hAnsi="Times New Roman"/>
          <w:lang w:val="nb-NO" w:eastAsia="nb-NO"/>
        </w:rPr>
        <w:commentReference w:id="25"/>
      </w:r>
      <w:r w:rsidRPr="00FB057C">
        <w:rPr>
          <w:rFonts w:ascii="Arial" w:hAnsi="Arial" w:cs="Arial"/>
        </w:rPr>
        <w:t xml:space="preserve"> The microbiological quality of the bread samples was assessed by determining the total coliform count, lactic acid bacteria (LAB), and fungal load using standard culture techniques, as described by recent guidelines (FAO, 2021; Olaniran et al., 2022; </w:t>
      </w:r>
      <w:proofErr w:type="spellStart"/>
      <w:r w:rsidRPr="00FB057C">
        <w:rPr>
          <w:rFonts w:ascii="Arial" w:hAnsi="Arial" w:cs="Arial"/>
        </w:rPr>
        <w:t>Ezeonu</w:t>
      </w:r>
      <w:proofErr w:type="spellEnd"/>
      <w:r w:rsidRPr="00FB057C">
        <w:rPr>
          <w:rFonts w:ascii="Arial" w:hAnsi="Arial" w:cs="Arial"/>
        </w:rPr>
        <w:t xml:space="preserve"> &amp; Ogbonna, 2023).</w:t>
      </w:r>
    </w:p>
    <w:p w14:paraId="4F9D4BE7" w14:textId="77777777" w:rsidR="008519D0" w:rsidRPr="00FB057C" w:rsidRDefault="008519D0" w:rsidP="008519D0">
      <w:pPr>
        <w:rPr>
          <w:rFonts w:ascii="Arial" w:hAnsi="Arial" w:cs="Arial"/>
        </w:rPr>
      </w:pPr>
    </w:p>
    <w:p w14:paraId="6075C092" w14:textId="77777777" w:rsidR="008519D0" w:rsidRPr="008519D0" w:rsidRDefault="008519D0" w:rsidP="008519D0">
      <w:pPr>
        <w:rPr>
          <w:rFonts w:ascii="Arial" w:hAnsi="Arial" w:cs="Arial"/>
          <w:b/>
          <w:bCs/>
          <w:i/>
          <w:iCs/>
        </w:rPr>
      </w:pPr>
      <w:r w:rsidRPr="008519D0">
        <w:rPr>
          <w:rFonts w:ascii="Arial" w:hAnsi="Arial" w:cs="Arial"/>
          <w:b/>
          <w:bCs/>
          <w:i/>
          <w:iCs/>
        </w:rPr>
        <w:t>2.3.6.1 Coliform Count</w:t>
      </w:r>
    </w:p>
    <w:p w14:paraId="20699135" w14:textId="77777777" w:rsidR="008519D0" w:rsidRPr="00FB057C" w:rsidRDefault="008519D0" w:rsidP="008519D0">
      <w:pPr>
        <w:rPr>
          <w:rFonts w:ascii="Arial" w:hAnsi="Arial" w:cs="Arial"/>
          <w:b/>
          <w:bCs/>
        </w:rPr>
      </w:pPr>
    </w:p>
    <w:p w14:paraId="0CF474E0" w14:textId="77777777" w:rsidR="008519D0" w:rsidRPr="00FB057C" w:rsidRDefault="008519D0" w:rsidP="008519D0">
      <w:pPr>
        <w:jc w:val="both"/>
        <w:rPr>
          <w:rFonts w:ascii="Arial" w:hAnsi="Arial" w:cs="Arial"/>
        </w:rPr>
      </w:pPr>
      <w:r w:rsidRPr="00FB057C">
        <w:rPr>
          <w:rFonts w:ascii="Arial" w:hAnsi="Arial" w:cs="Arial"/>
        </w:rPr>
        <w:t xml:space="preserve">Coliform enumeration was performed using Eosin Methylene Blue (EMB) agar, following the method of </w:t>
      </w:r>
      <w:proofErr w:type="spellStart"/>
      <w:r w:rsidRPr="00FB057C">
        <w:rPr>
          <w:rFonts w:ascii="Arial" w:hAnsi="Arial" w:cs="Arial"/>
        </w:rPr>
        <w:t>Akinbinu</w:t>
      </w:r>
      <w:proofErr w:type="spellEnd"/>
      <w:r w:rsidRPr="00FB057C">
        <w:rPr>
          <w:rFonts w:ascii="Arial" w:hAnsi="Arial" w:cs="Arial"/>
        </w:rPr>
        <w:t xml:space="preserve"> and Bello (2020). Bread samples were serially diluted in sterile peptone water and plated in duplicates onto EMB agar. The plates were incubated at 37°C for 24 hours, and </w:t>
      </w:r>
      <w:commentRangeStart w:id="26"/>
      <w:r w:rsidRPr="00FB057C">
        <w:rPr>
          <w:rFonts w:ascii="Arial" w:hAnsi="Arial" w:cs="Arial"/>
        </w:rPr>
        <w:t xml:space="preserve">no visible colonies were seen after incubation. </w:t>
      </w:r>
      <w:commentRangeEnd w:id="26"/>
      <w:r w:rsidR="00167A87">
        <w:rPr>
          <w:rStyle w:val="CommentReference"/>
          <w:rFonts w:ascii="Times New Roman" w:hAnsi="Times New Roman"/>
          <w:lang w:val="nb-NO" w:eastAsia="nb-NO"/>
        </w:rPr>
        <w:commentReference w:id="26"/>
      </w:r>
      <w:r w:rsidRPr="00FB057C">
        <w:rPr>
          <w:rFonts w:ascii="Arial" w:hAnsi="Arial" w:cs="Arial"/>
        </w:rPr>
        <w:t>This method is widely used to assess sanitary quality and potential fecal contamination in food samples (Oluwatosin et al., 2023).</w:t>
      </w:r>
    </w:p>
    <w:p w14:paraId="193467F4" w14:textId="77777777" w:rsidR="008519D0" w:rsidRPr="00FB057C" w:rsidRDefault="008519D0" w:rsidP="008519D0">
      <w:pPr>
        <w:rPr>
          <w:rFonts w:ascii="Arial" w:hAnsi="Arial" w:cs="Arial"/>
        </w:rPr>
      </w:pPr>
    </w:p>
    <w:p w14:paraId="0A84C66C" w14:textId="77777777" w:rsidR="008519D0" w:rsidRPr="008519D0" w:rsidRDefault="008519D0" w:rsidP="008519D0">
      <w:pPr>
        <w:rPr>
          <w:rFonts w:ascii="Arial" w:hAnsi="Arial" w:cs="Arial"/>
          <w:b/>
          <w:bCs/>
          <w:i/>
          <w:iCs/>
        </w:rPr>
      </w:pPr>
      <w:r w:rsidRPr="008519D0">
        <w:rPr>
          <w:rFonts w:ascii="Arial" w:hAnsi="Arial" w:cs="Arial"/>
          <w:b/>
          <w:bCs/>
          <w:i/>
          <w:iCs/>
        </w:rPr>
        <w:t>2.3.6.2 Lactic Acid Bacteria Count</w:t>
      </w:r>
    </w:p>
    <w:p w14:paraId="22BCDB5A" w14:textId="77777777" w:rsidR="008519D0" w:rsidRPr="00FB057C" w:rsidRDefault="008519D0" w:rsidP="008519D0">
      <w:pPr>
        <w:rPr>
          <w:rFonts w:ascii="Arial" w:hAnsi="Arial" w:cs="Arial"/>
          <w:b/>
          <w:bCs/>
        </w:rPr>
      </w:pPr>
    </w:p>
    <w:p w14:paraId="4237D56D" w14:textId="77777777" w:rsidR="008519D0" w:rsidRPr="00FB057C" w:rsidRDefault="008519D0" w:rsidP="008519D0">
      <w:pPr>
        <w:jc w:val="both"/>
        <w:rPr>
          <w:rFonts w:ascii="Arial" w:hAnsi="Arial" w:cs="Arial"/>
        </w:rPr>
      </w:pPr>
      <w:r w:rsidRPr="00FB057C">
        <w:rPr>
          <w:rFonts w:ascii="Arial" w:hAnsi="Arial" w:cs="Arial"/>
        </w:rPr>
        <w:t xml:space="preserve">Lactic acid bacteria were enumerated using de Man, </w:t>
      </w:r>
      <w:proofErr w:type="spellStart"/>
      <w:r w:rsidRPr="00FB057C">
        <w:rPr>
          <w:rFonts w:ascii="Arial" w:hAnsi="Arial" w:cs="Arial"/>
        </w:rPr>
        <w:t>Rogosa</w:t>
      </w:r>
      <w:proofErr w:type="spellEnd"/>
      <w:r w:rsidRPr="00FB057C">
        <w:rPr>
          <w:rFonts w:ascii="Arial" w:hAnsi="Arial" w:cs="Arial"/>
        </w:rPr>
        <w:t>, and Sharpe (MRS) agar, a selective medium suitable for LAB growth (Olowe et al., 2022). Serially diluted samples were inoculated and incubated anaerobically at 37°C for 24 hours using an anaerobic jar system. Distinct colonies were counted, and the LAB count was expressed in CFU/</w:t>
      </w:r>
      <w:proofErr w:type="spellStart"/>
      <w:r w:rsidRPr="00FB057C">
        <w:rPr>
          <w:rFonts w:ascii="Arial" w:hAnsi="Arial" w:cs="Arial"/>
        </w:rPr>
        <w:t>mL.</w:t>
      </w:r>
      <w:proofErr w:type="spellEnd"/>
      <w:r w:rsidRPr="00FB057C">
        <w:rPr>
          <w:rFonts w:ascii="Arial" w:hAnsi="Arial" w:cs="Arial"/>
        </w:rPr>
        <w:t xml:space="preserve"> LAB are known for their role in food preservation, safety, and gut health (Chukwu et al., 2021).</w:t>
      </w:r>
    </w:p>
    <w:p w14:paraId="7303863E" w14:textId="77777777" w:rsidR="008519D0" w:rsidRPr="00FB057C" w:rsidRDefault="008519D0" w:rsidP="008519D0">
      <w:pPr>
        <w:rPr>
          <w:rFonts w:ascii="Arial" w:hAnsi="Arial" w:cs="Arial"/>
        </w:rPr>
      </w:pPr>
    </w:p>
    <w:p w14:paraId="6941FBF2" w14:textId="77777777" w:rsidR="008519D0" w:rsidRPr="008519D0" w:rsidRDefault="008519D0" w:rsidP="008519D0">
      <w:pPr>
        <w:rPr>
          <w:rFonts w:ascii="Arial" w:hAnsi="Arial" w:cs="Arial"/>
          <w:b/>
          <w:bCs/>
          <w:i/>
          <w:iCs/>
        </w:rPr>
      </w:pPr>
      <w:r w:rsidRPr="008519D0">
        <w:rPr>
          <w:rFonts w:ascii="Arial" w:hAnsi="Arial" w:cs="Arial"/>
          <w:b/>
          <w:bCs/>
          <w:i/>
          <w:iCs/>
        </w:rPr>
        <w:t>2.3.6.3 Fungal Count</w:t>
      </w:r>
    </w:p>
    <w:p w14:paraId="236B63D5" w14:textId="77777777" w:rsidR="008519D0" w:rsidRPr="00FB057C" w:rsidRDefault="008519D0" w:rsidP="008519D0">
      <w:pPr>
        <w:rPr>
          <w:rFonts w:ascii="Arial" w:hAnsi="Arial" w:cs="Arial"/>
        </w:rPr>
      </w:pPr>
    </w:p>
    <w:p w14:paraId="69E1B1F3" w14:textId="77777777" w:rsidR="008519D0" w:rsidRPr="00FB057C" w:rsidRDefault="008519D0" w:rsidP="008519D0">
      <w:pPr>
        <w:jc w:val="both"/>
        <w:rPr>
          <w:rFonts w:ascii="Arial" w:hAnsi="Arial" w:cs="Arial"/>
        </w:rPr>
      </w:pPr>
      <w:r w:rsidRPr="00FB057C">
        <w:rPr>
          <w:rFonts w:ascii="Arial" w:hAnsi="Arial" w:cs="Arial"/>
        </w:rPr>
        <w:t>Fungal contamination was evaluated using Potato Dextrose Agar (PDA). The diluted samples were plated and incubated at room temperature (25–28°C) for 5–7 days as outlined by Onwuka et al. (2020). Fungal colonies, including molds and yeasts, were enumerated and recorded as CFU/g of the sample. Monitoring fungal load is critical due to the potential risk of mycotoxin production in bakery products (Ibrahim et al., 2022).</w:t>
      </w:r>
    </w:p>
    <w:p w14:paraId="1274B3BD" w14:textId="77777777" w:rsidR="008519D0" w:rsidRPr="00FB057C" w:rsidRDefault="008519D0" w:rsidP="008519D0">
      <w:pPr>
        <w:rPr>
          <w:rFonts w:ascii="Arial" w:hAnsi="Arial" w:cs="Arial"/>
        </w:rPr>
      </w:pPr>
    </w:p>
    <w:p w14:paraId="222001D3" w14:textId="77777777" w:rsidR="008519D0" w:rsidRPr="00FB057C" w:rsidRDefault="008519D0" w:rsidP="008519D0">
      <w:pPr>
        <w:rPr>
          <w:rFonts w:ascii="Arial" w:hAnsi="Arial" w:cs="Arial"/>
          <w:b/>
          <w:bCs/>
          <w:u w:val="single"/>
        </w:rPr>
      </w:pPr>
      <w:r w:rsidRPr="00FB057C">
        <w:rPr>
          <w:rFonts w:ascii="Arial" w:hAnsi="Arial" w:cs="Arial"/>
          <w:b/>
          <w:bCs/>
          <w:u w:val="single"/>
        </w:rPr>
        <w:t>2.3.7 Sensory Evaluation</w:t>
      </w:r>
    </w:p>
    <w:p w14:paraId="40F2BCEA" w14:textId="77777777" w:rsidR="008519D0" w:rsidRPr="00FB057C" w:rsidRDefault="008519D0" w:rsidP="008519D0">
      <w:pPr>
        <w:rPr>
          <w:rFonts w:ascii="Arial" w:hAnsi="Arial" w:cs="Arial"/>
          <w:b/>
          <w:bCs/>
        </w:rPr>
      </w:pPr>
    </w:p>
    <w:p w14:paraId="3B463EDD" w14:textId="77777777" w:rsidR="008519D0" w:rsidRPr="00FB057C" w:rsidRDefault="008519D0" w:rsidP="008519D0">
      <w:pPr>
        <w:jc w:val="both"/>
        <w:rPr>
          <w:rFonts w:ascii="Arial" w:hAnsi="Arial" w:cs="Arial"/>
        </w:rPr>
      </w:pPr>
      <w:r w:rsidRPr="00FB057C">
        <w:rPr>
          <w:rFonts w:ascii="Arial" w:hAnsi="Arial" w:cs="Arial"/>
        </w:rPr>
        <w:t xml:space="preserve">Sensory evaluation was conducted to assess consumer acceptability of the bread samples, focusing on key sensory attributes that influence purchase decisions and consumption. The evaluation was carried out using a structured </w:t>
      </w:r>
      <w:commentRangeStart w:id="27"/>
      <w:r w:rsidRPr="00FB057C">
        <w:rPr>
          <w:rFonts w:ascii="Arial" w:hAnsi="Arial" w:cs="Arial"/>
        </w:rPr>
        <w:t>9-point hedonic scale</w:t>
      </w:r>
      <w:commentRangeEnd w:id="27"/>
      <w:r w:rsidR="00CF6915">
        <w:rPr>
          <w:rStyle w:val="CommentReference"/>
          <w:rFonts w:ascii="Times New Roman" w:hAnsi="Times New Roman"/>
          <w:lang w:val="nb-NO" w:eastAsia="nb-NO"/>
        </w:rPr>
        <w:commentReference w:id="27"/>
      </w:r>
      <w:r w:rsidRPr="00FB057C">
        <w:rPr>
          <w:rFonts w:ascii="Arial" w:hAnsi="Arial" w:cs="Arial"/>
        </w:rPr>
        <w:t>, as recommended by sensory analysis protocols (ISO 13299:2016; Anyanwu &amp; Nwosu, 2021).</w:t>
      </w:r>
    </w:p>
    <w:p w14:paraId="10E686AB" w14:textId="77777777" w:rsidR="008519D0" w:rsidRPr="00FB057C" w:rsidRDefault="008519D0" w:rsidP="008519D0">
      <w:pPr>
        <w:jc w:val="both"/>
        <w:rPr>
          <w:rFonts w:ascii="Arial" w:hAnsi="Arial" w:cs="Arial"/>
        </w:rPr>
      </w:pPr>
    </w:p>
    <w:p w14:paraId="76C9148D" w14:textId="77777777" w:rsidR="008519D0" w:rsidRDefault="008519D0" w:rsidP="008519D0">
      <w:pPr>
        <w:jc w:val="both"/>
        <w:rPr>
          <w:rFonts w:ascii="Arial" w:hAnsi="Arial" w:cs="Arial"/>
        </w:rPr>
      </w:pPr>
      <w:r w:rsidRPr="00FB057C">
        <w:rPr>
          <w:rFonts w:ascii="Arial" w:hAnsi="Arial" w:cs="Arial"/>
        </w:rPr>
        <w:t>A panel of 20 semi-trained individuals was selected from staff and students familiar with bread products. Each panelist evaluated the bread samples in terms of visual appeal (color and shape), aroma profile, taste, mouthfeel (texture), and overall acceptability. Samples were coded and presented in random order under standardized lighting and hygienic conditions to avoid bias (Okonkwo et al., 2023). Panelists were instructed to rinse their mouths with water between samples to minimize carryover effects.</w:t>
      </w:r>
    </w:p>
    <w:p w14:paraId="7388ACE1" w14:textId="77777777" w:rsidR="00814258" w:rsidRDefault="00814258" w:rsidP="008519D0">
      <w:pPr>
        <w:jc w:val="both"/>
        <w:rPr>
          <w:rFonts w:ascii="Arial" w:hAnsi="Arial" w:cs="Arial"/>
        </w:rPr>
      </w:pPr>
    </w:p>
    <w:p w14:paraId="5B64F8E2" w14:textId="5D9930A4" w:rsidR="00814258" w:rsidRPr="00814258" w:rsidRDefault="00814258" w:rsidP="008519D0">
      <w:pPr>
        <w:jc w:val="both"/>
        <w:rPr>
          <w:rFonts w:ascii="Arial" w:hAnsi="Arial" w:cs="Arial"/>
          <w:b/>
          <w:bCs/>
        </w:rPr>
      </w:pPr>
      <w:commentRangeStart w:id="28"/>
      <w:r w:rsidRPr="00814258">
        <w:rPr>
          <w:rFonts w:ascii="Arial" w:hAnsi="Arial" w:cs="Arial"/>
          <w:b/>
          <w:bCs/>
        </w:rPr>
        <w:t>Statistical Analysis</w:t>
      </w:r>
      <w:commentRangeEnd w:id="28"/>
      <w:r>
        <w:rPr>
          <w:rStyle w:val="CommentReference"/>
          <w:rFonts w:ascii="Times New Roman" w:hAnsi="Times New Roman"/>
          <w:lang w:val="nb-NO" w:eastAsia="nb-NO"/>
        </w:rPr>
        <w:commentReference w:id="28"/>
      </w:r>
    </w:p>
    <w:p w14:paraId="1B265B89" w14:textId="77777777" w:rsidR="00790ADA" w:rsidRPr="00FB3A86" w:rsidRDefault="00790ADA" w:rsidP="00441B6F">
      <w:pPr>
        <w:pStyle w:val="Body"/>
        <w:spacing w:after="0"/>
        <w:rPr>
          <w:rFonts w:ascii="Arial" w:hAnsi="Arial" w:cs="Arial"/>
        </w:rPr>
      </w:pPr>
    </w:p>
    <w:p w14:paraId="2992696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0E2EEC2" w14:textId="77777777" w:rsidR="00790ADA" w:rsidRPr="00FB3A86" w:rsidRDefault="00790ADA" w:rsidP="00441B6F">
      <w:pPr>
        <w:pStyle w:val="Head1"/>
        <w:spacing w:after="0"/>
        <w:jc w:val="both"/>
        <w:rPr>
          <w:rFonts w:ascii="Arial" w:hAnsi="Arial" w:cs="Arial"/>
        </w:rPr>
      </w:pPr>
    </w:p>
    <w:p w14:paraId="4CEE6DDB" w14:textId="77777777" w:rsidR="008519D0" w:rsidRPr="001A072B" w:rsidRDefault="008519D0" w:rsidP="008519D0">
      <w:pPr>
        <w:rPr>
          <w:rFonts w:ascii="Arial" w:hAnsi="Arial" w:cs="Arial"/>
          <w:b/>
          <w:bCs/>
          <w:sz w:val="22"/>
          <w:szCs w:val="22"/>
        </w:rPr>
      </w:pPr>
      <w:r w:rsidRPr="001A072B">
        <w:rPr>
          <w:rFonts w:ascii="Arial" w:hAnsi="Arial" w:cs="Arial"/>
          <w:b/>
          <w:bCs/>
          <w:sz w:val="22"/>
          <w:szCs w:val="22"/>
        </w:rPr>
        <w:t>3.1 Proximate Analysis</w:t>
      </w:r>
    </w:p>
    <w:p w14:paraId="71F93B41" w14:textId="77777777" w:rsidR="008519D0" w:rsidRPr="009B38DC" w:rsidRDefault="008519D0" w:rsidP="008519D0">
      <w:pPr>
        <w:rPr>
          <w:rFonts w:ascii="Arial" w:hAnsi="Arial" w:cs="Arial"/>
          <w:sz w:val="22"/>
          <w:szCs w:val="22"/>
        </w:rPr>
      </w:pPr>
    </w:p>
    <w:p w14:paraId="01631E82" w14:textId="07FAA62E" w:rsidR="008519D0" w:rsidRPr="00FB057C" w:rsidRDefault="008519D0" w:rsidP="008519D0">
      <w:pPr>
        <w:jc w:val="both"/>
        <w:rPr>
          <w:rFonts w:ascii="Arial" w:hAnsi="Arial" w:cs="Arial"/>
        </w:rPr>
      </w:pPr>
      <w:commentRangeStart w:id="29"/>
      <w:r w:rsidRPr="00FB057C">
        <w:rPr>
          <w:rFonts w:ascii="Arial" w:hAnsi="Arial" w:cs="Arial"/>
        </w:rPr>
        <w:t>The result of the proximate composition is shown in Table.1.</w:t>
      </w:r>
      <w:commentRangeEnd w:id="29"/>
      <w:r w:rsidR="00E66948">
        <w:rPr>
          <w:rStyle w:val="CommentReference"/>
          <w:rFonts w:ascii="Times New Roman" w:hAnsi="Times New Roman"/>
          <w:lang w:val="nb-NO" w:eastAsia="nb-NO"/>
        </w:rPr>
        <w:commentReference w:id="29"/>
      </w:r>
      <w:r w:rsidRPr="00FB057C">
        <w:rPr>
          <w:rFonts w:ascii="Arial" w:hAnsi="Arial" w:cs="Arial"/>
        </w:rPr>
        <w:t xml:space="preserve"> The proximate analysis evaluates the moisture, ash, protein, and fat content in the bread samples and is essential for understanding their nutritional makeup and overall quality. These components affect the shelf life, texture, and stability of food products. As reported by Fellows (2017), moisture content is a key factor in microbial growth and spoilage potential in food. Lower moisture levels generally extend shelf life by reducing bacterial growth. In this study, moisture content varied significantly among the samples, with Sample A having the highest moisture at 7.15%, while Sample C had the lowest at 5.42%. The higher moisture in Sample A suggests it may be more prone to spoilage, whereas the lower moisture in Sample C indicates better storage stability.</w:t>
      </w:r>
    </w:p>
    <w:p w14:paraId="5296184C" w14:textId="77777777" w:rsidR="008519D0" w:rsidRPr="00FB057C" w:rsidRDefault="008519D0" w:rsidP="008519D0">
      <w:pPr>
        <w:jc w:val="both"/>
        <w:rPr>
          <w:rFonts w:ascii="Arial" w:hAnsi="Arial" w:cs="Arial"/>
        </w:rPr>
      </w:pPr>
    </w:p>
    <w:p w14:paraId="632F08DB" w14:textId="77777777" w:rsidR="008519D0" w:rsidRPr="00FB057C" w:rsidRDefault="008519D0" w:rsidP="008519D0">
      <w:pPr>
        <w:jc w:val="both"/>
        <w:rPr>
          <w:rFonts w:ascii="Arial" w:hAnsi="Arial" w:cs="Arial"/>
        </w:rPr>
      </w:pPr>
      <w:r w:rsidRPr="00FB057C">
        <w:rPr>
          <w:rFonts w:ascii="Arial" w:hAnsi="Arial" w:cs="Arial"/>
        </w:rPr>
        <w:t xml:space="preserve">Ash content represents the mineral content in the bread samples, which is important for assessing nutritional value. In agreement with work done by Sharma et al. (2016), higher ash content suggests a richer mineral composition. In this analysis, Sample B stood out with the highest ash content at 14.15%, suggesting a better supply of essential minerals like </w:t>
      </w:r>
      <w:r w:rsidRPr="00FB057C">
        <w:rPr>
          <w:rFonts w:ascii="Arial" w:hAnsi="Arial" w:cs="Arial"/>
        </w:rPr>
        <w:lastRenderedPageBreak/>
        <w:t>calcium and potassium compared to other samples. Sample C, with an ash content of 2.60%, exhibited the lowest mineral content, indicating that it may have fewer nutritional benefits in terms of mineral content.</w:t>
      </w:r>
    </w:p>
    <w:p w14:paraId="1E73986C" w14:textId="77777777" w:rsidR="008519D0" w:rsidRPr="00FB057C" w:rsidRDefault="008519D0" w:rsidP="008519D0">
      <w:pPr>
        <w:jc w:val="both"/>
        <w:rPr>
          <w:rFonts w:ascii="Arial" w:hAnsi="Arial" w:cs="Arial"/>
        </w:rPr>
      </w:pPr>
    </w:p>
    <w:p w14:paraId="53AB1910" w14:textId="77777777" w:rsidR="008519D0" w:rsidRPr="00FB057C" w:rsidRDefault="008519D0" w:rsidP="008519D0">
      <w:pPr>
        <w:jc w:val="both"/>
        <w:rPr>
          <w:rFonts w:ascii="Arial" w:hAnsi="Arial" w:cs="Arial"/>
        </w:rPr>
      </w:pPr>
      <w:r w:rsidRPr="00FB057C">
        <w:rPr>
          <w:rFonts w:ascii="Arial" w:hAnsi="Arial" w:cs="Arial"/>
        </w:rPr>
        <w:t xml:space="preserve">Protein and fat content also play an important role in determining the nutritional quality of bread. As described by Slavin (2015), protein is essential for body repair and maintenance, while fat provides energy and helps in the absorption of fat-soluble vitamins. In this study, the </w:t>
      </w:r>
      <w:commentRangeStart w:id="30"/>
      <w:r w:rsidRPr="00FB057C">
        <w:rPr>
          <w:rFonts w:ascii="Arial" w:hAnsi="Arial" w:cs="Arial"/>
        </w:rPr>
        <w:t xml:space="preserve">protein content ranged from 12.91% in Sample E </w:t>
      </w:r>
      <w:commentRangeEnd w:id="30"/>
      <w:r w:rsidR="00030E4A">
        <w:rPr>
          <w:rStyle w:val="CommentReference"/>
          <w:rFonts w:ascii="Times New Roman" w:hAnsi="Times New Roman"/>
          <w:lang w:val="nb-NO" w:eastAsia="nb-NO"/>
        </w:rPr>
        <w:commentReference w:id="30"/>
      </w:r>
      <w:r w:rsidRPr="00FB057C">
        <w:rPr>
          <w:rFonts w:ascii="Arial" w:hAnsi="Arial" w:cs="Arial"/>
        </w:rPr>
        <w:t>to 18.65% in Sample D, highlighting the variation in nutritional density between the samples. Fat content, while relatively consistent, ranged from 8.00% to 8.15%, contributing to the overall caloric content of the bread.</w:t>
      </w:r>
    </w:p>
    <w:p w14:paraId="65ED4CA2" w14:textId="77777777" w:rsidR="008519D0" w:rsidRPr="00FB057C" w:rsidRDefault="008519D0" w:rsidP="008519D0">
      <w:pPr>
        <w:jc w:val="both"/>
        <w:rPr>
          <w:rFonts w:ascii="Arial" w:hAnsi="Arial" w:cs="Arial"/>
        </w:rPr>
      </w:pPr>
    </w:p>
    <w:p w14:paraId="5BA1CA2D" w14:textId="77777777" w:rsidR="008519D0" w:rsidRDefault="008519D0" w:rsidP="008519D0">
      <w:pPr>
        <w:jc w:val="both"/>
        <w:rPr>
          <w:rFonts w:ascii="Arial" w:hAnsi="Arial" w:cs="Arial"/>
        </w:rPr>
      </w:pPr>
      <w:r w:rsidRPr="00FB057C">
        <w:rPr>
          <w:rFonts w:ascii="Arial" w:hAnsi="Arial" w:cs="Arial"/>
        </w:rPr>
        <w:t>Overall, the proximate analysis shows that Sample B has the highest mineral density, while Sample C may appeal to those looking for a bread with lower moisture content and longer shelf life. However, Sample D demonstrates the highest protein content, making it a nutritionally dense option for consumers prioritizing protein intake. These findings align with the established importance of proximate composition in determining food quality and consumer preference as discussed by Sharma et al. (2016)</w:t>
      </w:r>
    </w:p>
    <w:p w14:paraId="68D60CB1" w14:textId="77777777" w:rsidR="008519D0" w:rsidRPr="00FB057C" w:rsidRDefault="008519D0" w:rsidP="008519D0">
      <w:pPr>
        <w:jc w:val="both"/>
        <w:rPr>
          <w:rFonts w:ascii="Arial" w:hAnsi="Arial" w:cs="Arial"/>
        </w:rPr>
      </w:pPr>
    </w:p>
    <w:p w14:paraId="76B1D52A" w14:textId="796CDF70" w:rsidR="008519D0" w:rsidRPr="00FB057C" w:rsidRDefault="008519D0" w:rsidP="008519D0">
      <w:pPr>
        <w:rPr>
          <w:rFonts w:ascii="Arial" w:hAnsi="Arial" w:cs="Arial"/>
        </w:rPr>
      </w:pPr>
      <w:commentRangeStart w:id="31"/>
      <w:r w:rsidRPr="00FB057C">
        <w:rPr>
          <w:rFonts w:ascii="Arial" w:hAnsi="Arial" w:cs="Arial"/>
        </w:rPr>
        <w:t xml:space="preserve">Table </w:t>
      </w:r>
      <w:r w:rsidR="005144F3">
        <w:rPr>
          <w:rFonts w:ascii="Arial" w:hAnsi="Arial" w:cs="Arial"/>
        </w:rPr>
        <w:t>2</w:t>
      </w:r>
      <w:r w:rsidRPr="00FB057C">
        <w:rPr>
          <w:rFonts w:ascii="Arial" w:hAnsi="Arial" w:cs="Arial"/>
        </w:rPr>
        <w:t>: Proximate Analysis</w:t>
      </w:r>
      <w:commentRangeEnd w:id="31"/>
      <w:r w:rsidR="007C4B23">
        <w:rPr>
          <w:rStyle w:val="CommentReference"/>
          <w:rFonts w:ascii="Times New Roman" w:hAnsi="Times New Roman"/>
          <w:lang w:val="nb-NO" w:eastAsia="nb-NO"/>
        </w:rPr>
        <w:commentReference w:id="31"/>
      </w:r>
    </w:p>
    <w:p w14:paraId="1F4B978F" w14:textId="77777777" w:rsidR="008519D0" w:rsidRPr="00FB057C" w:rsidRDefault="008519D0" w:rsidP="008519D0">
      <w:pPr>
        <w:jc w:val="both"/>
        <w:rPr>
          <w:rFonts w:ascii="Times New Roman" w:hAnsi="Times New Roman"/>
          <w:color w:val="000000"/>
        </w:rPr>
      </w:pPr>
    </w:p>
    <w:tbl>
      <w:tblPr>
        <w:tblStyle w:val="TableGrid"/>
        <w:tblW w:w="925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1660"/>
        <w:gridCol w:w="1350"/>
        <w:gridCol w:w="1350"/>
        <w:gridCol w:w="2021"/>
        <w:gridCol w:w="1490"/>
      </w:tblGrid>
      <w:tr w:rsidR="008519D0" w:rsidRPr="00FB057C" w14:paraId="577DC1A7" w14:textId="77777777" w:rsidTr="001B1C87">
        <w:tc>
          <w:tcPr>
            <w:tcW w:w="1383" w:type="dxa"/>
            <w:tcBorders>
              <w:top w:val="single" w:sz="4" w:space="0" w:color="auto"/>
              <w:bottom w:val="single" w:sz="4" w:space="0" w:color="auto"/>
            </w:tcBorders>
          </w:tcPr>
          <w:p w14:paraId="3202009F" w14:textId="77777777" w:rsidR="008519D0" w:rsidRPr="00FB057C" w:rsidRDefault="008519D0"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SAMPLE</w:t>
            </w:r>
          </w:p>
        </w:tc>
        <w:tc>
          <w:tcPr>
            <w:tcW w:w="1660" w:type="dxa"/>
            <w:tcBorders>
              <w:top w:val="single" w:sz="4" w:space="0" w:color="auto"/>
              <w:bottom w:val="single" w:sz="4" w:space="0" w:color="auto"/>
            </w:tcBorders>
          </w:tcPr>
          <w:p w14:paraId="11DEAC08" w14:textId="77777777" w:rsidR="008519D0" w:rsidRPr="00FB057C" w:rsidRDefault="008519D0" w:rsidP="001B1C87">
            <w:pPr>
              <w:rPr>
                <w:rFonts w:ascii="Arial" w:eastAsia="Times New Roman" w:hAnsi="Arial" w:cs="Arial"/>
                <w:b/>
                <w:bCs/>
                <w:color w:val="000000"/>
                <w:sz w:val="20"/>
                <w:szCs w:val="20"/>
              </w:rPr>
            </w:pPr>
            <w:commentRangeStart w:id="32"/>
            <w:r w:rsidRPr="00FB057C">
              <w:rPr>
                <w:rFonts w:ascii="Arial" w:eastAsia="Times New Roman" w:hAnsi="Arial" w:cs="Arial"/>
                <w:b/>
                <w:bCs/>
                <w:color w:val="000000"/>
                <w:sz w:val="20"/>
                <w:szCs w:val="20"/>
              </w:rPr>
              <w:t>CP%</w:t>
            </w:r>
          </w:p>
        </w:tc>
        <w:tc>
          <w:tcPr>
            <w:tcW w:w="1350" w:type="dxa"/>
            <w:tcBorders>
              <w:top w:val="single" w:sz="4" w:space="0" w:color="auto"/>
              <w:bottom w:val="single" w:sz="4" w:space="0" w:color="auto"/>
            </w:tcBorders>
          </w:tcPr>
          <w:p w14:paraId="267A6156" w14:textId="77777777" w:rsidR="008519D0" w:rsidRPr="00FB057C" w:rsidRDefault="008519D0" w:rsidP="001B1C87">
            <w:pPr>
              <w:rPr>
                <w:rFonts w:ascii="Arial" w:eastAsia="Times New Roman" w:hAnsi="Arial" w:cs="Arial"/>
                <w:b/>
                <w:bCs/>
                <w:sz w:val="20"/>
                <w:szCs w:val="20"/>
              </w:rPr>
            </w:pPr>
            <w:r w:rsidRPr="00FB057C">
              <w:rPr>
                <w:rFonts w:ascii="Arial" w:eastAsia="Times New Roman" w:hAnsi="Arial" w:cs="Arial"/>
                <w:b/>
                <w:bCs/>
                <w:color w:val="000000"/>
                <w:sz w:val="20"/>
                <w:szCs w:val="20"/>
              </w:rPr>
              <w:t xml:space="preserve">CF% </w:t>
            </w:r>
          </w:p>
          <w:p w14:paraId="3FF4DD16" w14:textId="77777777" w:rsidR="008519D0" w:rsidRPr="00FB057C" w:rsidRDefault="008519D0" w:rsidP="001B1C87">
            <w:pPr>
              <w:rPr>
                <w:rFonts w:ascii="Arial" w:eastAsia="Times New Roman" w:hAnsi="Arial" w:cs="Arial"/>
                <w:b/>
                <w:bCs/>
                <w:color w:val="000000"/>
                <w:sz w:val="20"/>
                <w:szCs w:val="20"/>
              </w:rPr>
            </w:pPr>
          </w:p>
        </w:tc>
        <w:tc>
          <w:tcPr>
            <w:tcW w:w="1350" w:type="dxa"/>
            <w:tcBorders>
              <w:top w:val="single" w:sz="4" w:space="0" w:color="auto"/>
              <w:bottom w:val="single" w:sz="4" w:space="0" w:color="auto"/>
            </w:tcBorders>
          </w:tcPr>
          <w:p w14:paraId="2FD25B5A" w14:textId="77777777" w:rsidR="008519D0" w:rsidRPr="00FB057C" w:rsidRDefault="008519D0" w:rsidP="001B1C87">
            <w:pPr>
              <w:rPr>
                <w:rFonts w:ascii="Arial" w:eastAsia="Times New Roman" w:hAnsi="Arial" w:cs="Arial"/>
                <w:b/>
                <w:bCs/>
                <w:sz w:val="20"/>
                <w:szCs w:val="20"/>
              </w:rPr>
            </w:pPr>
            <w:r w:rsidRPr="00FB057C">
              <w:rPr>
                <w:rFonts w:ascii="Arial" w:eastAsia="Times New Roman" w:hAnsi="Arial" w:cs="Arial"/>
                <w:b/>
                <w:bCs/>
                <w:color w:val="000000"/>
                <w:sz w:val="20"/>
                <w:szCs w:val="20"/>
              </w:rPr>
              <w:t xml:space="preserve">EE% </w:t>
            </w:r>
            <w:commentRangeEnd w:id="32"/>
            <w:r w:rsidR="007C4B23">
              <w:rPr>
                <w:rStyle w:val="CommentReference"/>
                <w:rFonts w:ascii="Times New Roman" w:eastAsia="Times New Roman" w:hAnsi="Times New Roman"/>
                <w:lang w:val="nb-NO" w:eastAsia="nb-NO"/>
              </w:rPr>
              <w:commentReference w:id="32"/>
            </w:r>
          </w:p>
          <w:p w14:paraId="340754AD" w14:textId="77777777" w:rsidR="008519D0" w:rsidRPr="00FB057C" w:rsidRDefault="008519D0" w:rsidP="001B1C87">
            <w:pPr>
              <w:rPr>
                <w:rFonts w:ascii="Arial" w:eastAsia="Times New Roman" w:hAnsi="Arial" w:cs="Arial"/>
                <w:b/>
                <w:bCs/>
                <w:color w:val="000000"/>
                <w:sz w:val="20"/>
                <w:szCs w:val="20"/>
              </w:rPr>
            </w:pPr>
          </w:p>
        </w:tc>
        <w:tc>
          <w:tcPr>
            <w:tcW w:w="2021" w:type="dxa"/>
            <w:tcBorders>
              <w:top w:val="single" w:sz="4" w:space="0" w:color="auto"/>
              <w:bottom w:val="single" w:sz="4" w:space="0" w:color="auto"/>
            </w:tcBorders>
          </w:tcPr>
          <w:p w14:paraId="1848478B" w14:textId="77777777" w:rsidR="008519D0" w:rsidRPr="00FB057C" w:rsidRDefault="008519D0"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MOISTURE%</w:t>
            </w:r>
          </w:p>
        </w:tc>
        <w:tc>
          <w:tcPr>
            <w:tcW w:w="1490" w:type="dxa"/>
            <w:tcBorders>
              <w:top w:val="single" w:sz="4" w:space="0" w:color="auto"/>
              <w:bottom w:val="single" w:sz="4" w:space="0" w:color="auto"/>
            </w:tcBorders>
          </w:tcPr>
          <w:p w14:paraId="27ED590B" w14:textId="77777777" w:rsidR="008519D0" w:rsidRPr="00FB057C" w:rsidRDefault="008519D0"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ASH%</w:t>
            </w:r>
          </w:p>
        </w:tc>
      </w:tr>
      <w:tr w:rsidR="008519D0" w:rsidRPr="00FB057C" w14:paraId="00B638F2" w14:textId="77777777" w:rsidTr="001B1C87">
        <w:trPr>
          <w:trHeight w:val="491"/>
        </w:trPr>
        <w:tc>
          <w:tcPr>
            <w:tcW w:w="1383" w:type="dxa"/>
            <w:tcBorders>
              <w:top w:val="single" w:sz="4" w:space="0" w:color="auto"/>
              <w:bottom w:val="nil"/>
              <w:right w:val="nil"/>
            </w:tcBorders>
          </w:tcPr>
          <w:p w14:paraId="0E7B0886"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A</w:t>
            </w:r>
          </w:p>
        </w:tc>
        <w:tc>
          <w:tcPr>
            <w:tcW w:w="1660" w:type="dxa"/>
            <w:tcBorders>
              <w:top w:val="single" w:sz="4" w:space="0" w:color="auto"/>
              <w:left w:val="nil"/>
              <w:bottom w:val="nil"/>
              <w:right w:val="nil"/>
            </w:tcBorders>
          </w:tcPr>
          <w:p w14:paraId="2102C2E4"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16.91±0.15</w:t>
            </w:r>
            <w:r w:rsidRPr="00FB057C">
              <w:rPr>
                <w:rFonts w:ascii="Arial" w:eastAsia="Times New Roman" w:hAnsi="Arial" w:cs="Arial"/>
                <w:color w:val="000000"/>
                <w:sz w:val="20"/>
                <w:szCs w:val="20"/>
                <w:vertAlign w:val="subscript"/>
              </w:rPr>
              <w:t>ab</w:t>
            </w:r>
          </w:p>
        </w:tc>
        <w:tc>
          <w:tcPr>
            <w:tcW w:w="1350" w:type="dxa"/>
            <w:tcBorders>
              <w:top w:val="single" w:sz="4" w:space="0" w:color="auto"/>
              <w:left w:val="nil"/>
              <w:bottom w:val="nil"/>
              <w:right w:val="nil"/>
            </w:tcBorders>
          </w:tcPr>
          <w:p w14:paraId="01FB5FE0"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5.20±0.14 </w:t>
            </w:r>
            <w:r w:rsidRPr="00FB057C">
              <w:rPr>
                <w:rFonts w:ascii="Arial" w:eastAsia="Times New Roman" w:hAnsi="Arial" w:cs="Arial"/>
                <w:color w:val="000000"/>
                <w:sz w:val="20"/>
                <w:szCs w:val="20"/>
                <w:vertAlign w:val="subscript"/>
              </w:rPr>
              <w:t>a</w:t>
            </w:r>
          </w:p>
        </w:tc>
        <w:tc>
          <w:tcPr>
            <w:tcW w:w="1350" w:type="dxa"/>
            <w:tcBorders>
              <w:top w:val="single" w:sz="4" w:space="0" w:color="auto"/>
              <w:left w:val="nil"/>
              <w:bottom w:val="nil"/>
              <w:right w:val="nil"/>
            </w:tcBorders>
          </w:tcPr>
          <w:p w14:paraId="2399CCF3"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8.00±0.28 </w:t>
            </w:r>
            <w:r w:rsidRPr="00FB057C">
              <w:rPr>
                <w:rFonts w:ascii="Arial" w:eastAsia="Times New Roman" w:hAnsi="Arial" w:cs="Arial"/>
                <w:color w:val="000000"/>
                <w:sz w:val="20"/>
                <w:szCs w:val="20"/>
                <w:vertAlign w:val="subscript"/>
              </w:rPr>
              <w:t>a</w:t>
            </w:r>
          </w:p>
        </w:tc>
        <w:tc>
          <w:tcPr>
            <w:tcW w:w="2021" w:type="dxa"/>
            <w:tcBorders>
              <w:top w:val="single" w:sz="4" w:space="0" w:color="auto"/>
              <w:left w:val="nil"/>
              <w:bottom w:val="nil"/>
              <w:right w:val="nil"/>
            </w:tcBorders>
          </w:tcPr>
          <w:p w14:paraId="5E583F13"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7.15±0.07</w:t>
            </w:r>
            <w:r w:rsidRPr="00FB057C">
              <w:rPr>
                <w:rFonts w:ascii="Arial" w:eastAsia="Times New Roman" w:hAnsi="Arial" w:cs="Arial"/>
                <w:color w:val="000000"/>
                <w:sz w:val="20"/>
                <w:szCs w:val="20"/>
                <w:vertAlign w:val="subscript"/>
              </w:rPr>
              <w:t xml:space="preserve"> d</w:t>
            </w:r>
          </w:p>
        </w:tc>
        <w:tc>
          <w:tcPr>
            <w:tcW w:w="1490" w:type="dxa"/>
            <w:tcBorders>
              <w:top w:val="single" w:sz="4" w:space="0" w:color="auto"/>
              <w:left w:val="nil"/>
              <w:bottom w:val="nil"/>
            </w:tcBorders>
          </w:tcPr>
          <w:p w14:paraId="7A78A09A"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9.00±0.00 </w:t>
            </w:r>
            <w:r w:rsidRPr="00FB057C">
              <w:rPr>
                <w:rFonts w:ascii="Arial" w:eastAsia="Times New Roman" w:hAnsi="Arial" w:cs="Arial"/>
                <w:color w:val="000000"/>
                <w:sz w:val="20"/>
                <w:szCs w:val="20"/>
                <w:vertAlign w:val="subscript"/>
              </w:rPr>
              <w:t>c</w:t>
            </w:r>
          </w:p>
        </w:tc>
      </w:tr>
      <w:tr w:rsidR="008519D0" w:rsidRPr="00FB057C" w14:paraId="1954368C" w14:textId="77777777" w:rsidTr="001B1C87">
        <w:tc>
          <w:tcPr>
            <w:tcW w:w="1383" w:type="dxa"/>
            <w:tcBorders>
              <w:top w:val="nil"/>
              <w:bottom w:val="nil"/>
              <w:right w:val="nil"/>
            </w:tcBorders>
          </w:tcPr>
          <w:p w14:paraId="69B35F46"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B</w:t>
            </w:r>
          </w:p>
        </w:tc>
        <w:tc>
          <w:tcPr>
            <w:tcW w:w="1660" w:type="dxa"/>
            <w:tcBorders>
              <w:top w:val="nil"/>
              <w:left w:val="nil"/>
              <w:bottom w:val="nil"/>
              <w:right w:val="nil"/>
            </w:tcBorders>
          </w:tcPr>
          <w:p w14:paraId="215AE596"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16.49±0.12</w:t>
            </w:r>
            <w:r w:rsidRPr="00FB057C">
              <w:rPr>
                <w:rFonts w:ascii="Arial" w:eastAsia="Times New Roman" w:hAnsi="Arial" w:cs="Arial"/>
                <w:color w:val="000000"/>
                <w:sz w:val="20"/>
                <w:szCs w:val="20"/>
                <w:vertAlign w:val="subscript"/>
              </w:rPr>
              <w:t xml:space="preserve"> b</w:t>
            </w:r>
            <w:r w:rsidRPr="00FB057C">
              <w:rPr>
                <w:rFonts w:ascii="Arial" w:eastAsia="Times New Roman" w:hAnsi="Arial" w:cs="Arial"/>
                <w:color w:val="000000"/>
                <w:sz w:val="20"/>
                <w:szCs w:val="20"/>
              </w:rPr>
              <w:t xml:space="preserve"> </w:t>
            </w:r>
          </w:p>
          <w:p w14:paraId="372672AD" w14:textId="77777777" w:rsidR="008519D0" w:rsidRPr="00FB057C" w:rsidRDefault="008519D0" w:rsidP="001B1C87">
            <w:pPr>
              <w:rPr>
                <w:rFonts w:ascii="Arial" w:eastAsia="Times New Roman" w:hAnsi="Arial" w:cs="Arial"/>
                <w:color w:val="000000"/>
                <w:sz w:val="20"/>
                <w:szCs w:val="20"/>
              </w:rPr>
            </w:pPr>
          </w:p>
        </w:tc>
        <w:tc>
          <w:tcPr>
            <w:tcW w:w="1350" w:type="dxa"/>
            <w:tcBorders>
              <w:top w:val="nil"/>
              <w:left w:val="nil"/>
              <w:bottom w:val="nil"/>
              <w:right w:val="nil"/>
            </w:tcBorders>
          </w:tcPr>
          <w:p w14:paraId="590A1FC0"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5.00±0.14 </w:t>
            </w:r>
            <w:r w:rsidRPr="00FB057C">
              <w:rPr>
                <w:rFonts w:ascii="Arial" w:eastAsia="Times New Roman" w:hAnsi="Arial" w:cs="Arial"/>
                <w:color w:val="000000"/>
                <w:sz w:val="20"/>
                <w:szCs w:val="20"/>
                <w:vertAlign w:val="subscript"/>
              </w:rPr>
              <w:t>a</w:t>
            </w:r>
          </w:p>
        </w:tc>
        <w:tc>
          <w:tcPr>
            <w:tcW w:w="1350" w:type="dxa"/>
            <w:tcBorders>
              <w:top w:val="nil"/>
              <w:left w:val="nil"/>
              <w:bottom w:val="nil"/>
              <w:right w:val="nil"/>
            </w:tcBorders>
          </w:tcPr>
          <w:p w14:paraId="7470FED6"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8.15±0.07 </w:t>
            </w:r>
            <w:r w:rsidRPr="00FB057C">
              <w:rPr>
                <w:rFonts w:ascii="Arial" w:eastAsia="Times New Roman" w:hAnsi="Arial" w:cs="Arial"/>
                <w:color w:val="000000"/>
                <w:sz w:val="20"/>
                <w:szCs w:val="20"/>
                <w:vertAlign w:val="subscript"/>
              </w:rPr>
              <w:t xml:space="preserve">a </w:t>
            </w:r>
          </w:p>
          <w:p w14:paraId="2DED3BC6" w14:textId="77777777" w:rsidR="008519D0" w:rsidRPr="00FB057C" w:rsidRDefault="008519D0" w:rsidP="001B1C87">
            <w:pPr>
              <w:rPr>
                <w:rFonts w:ascii="Arial" w:eastAsia="Times New Roman" w:hAnsi="Arial" w:cs="Arial"/>
                <w:color w:val="000000"/>
                <w:sz w:val="20"/>
                <w:szCs w:val="20"/>
              </w:rPr>
            </w:pPr>
          </w:p>
        </w:tc>
        <w:tc>
          <w:tcPr>
            <w:tcW w:w="2021" w:type="dxa"/>
            <w:tcBorders>
              <w:top w:val="nil"/>
              <w:left w:val="nil"/>
              <w:bottom w:val="nil"/>
              <w:right w:val="nil"/>
            </w:tcBorders>
          </w:tcPr>
          <w:p w14:paraId="011AE14B"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7.00±0.00 </w:t>
            </w:r>
            <w:r w:rsidRPr="00FB057C">
              <w:rPr>
                <w:rFonts w:ascii="Arial" w:eastAsia="Times New Roman" w:hAnsi="Arial" w:cs="Arial"/>
                <w:color w:val="000000"/>
                <w:sz w:val="20"/>
                <w:szCs w:val="20"/>
                <w:vertAlign w:val="subscript"/>
              </w:rPr>
              <w:t>c</w:t>
            </w:r>
            <w:r w:rsidRPr="00FB057C">
              <w:rPr>
                <w:rFonts w:ascii="Arial" w:eastAsia="Times New Roman" w:hAnsi="Arial" w:cs="Arial"/>
                <w:color w:val="000000"/>
                <w:sz w:val="20"/>
                <w:szCs w:val="20"/>
              </w:rPr>
              <w:t xml:space="preserve"> </w:t>
            </w:r>
          </w:p>
          <w:p w14:paraId="7F419CDC" w14:textId="77777777" w:rsidR="008519D0" w:rsidRPr="00FB057C" w:rsidRDefault="008519D0" w:rsidP="001B1C87">
            <w:pPr>
              <w:rPr>
                <w:rFonts w:ascii="Arial" w:eastAsia="Times New Roman" w:hAnsi="Arial" w:cs="Arial"/>
                <w:color w:val="000000"/>
                <w:sz w:val="20"/>
                <w:szCs w:val="20"/>
              </w:rPr>
            </w:pPr>
          </w:p>
        </w:tc>
        <w:tc>
          <w:tcPr>
            <w:tcW w:w="1490" w:type="dxa"/>
            <w:tcBorders>
              <w:top w:val="nil"/>
              <w:left w:val="nil"/>
              <w:bottom w:val="nil"/>
            </w:tcBorders>
          </w:tcPr>
          <w:p w14:paraId="132BA0FB"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14.15±0.07 </w:t>
            </w:r>
            <w:r w:rsidRPr="00FB057C">
              <w:rPr>
                <w:rFonts w:ascii="Arial" w:eastAsia="Times New Roman" w:hAnsi="Arial" w:cs="Arial"/>
                <w:color w:val="000000"/>
                <w:sz w:val="20"/>
                <w:szCs w:val="20"/>
                <w:vertAlign w:val="subscript"/>
              </w:rPr>
              <w:t xml:space="preserve">d </w:t>
            </w:r>
          </w:p>
          <w:p w14:paraId="0BCB8259" w14:textId="77777777" w:rsidR="008519D0" w:rsidRPr="00FB057C" w:rsidRDefault="008519D0" w:rsidP="001B1C87">
            <w:pPr>
              <w:rPr>
                <w:rFonts w:ascii="Arial" w:eastAsia="Times New Roman" w:hAnsi="Arial" w:cs="Arial"/>
                <w:color w:val="000000"/>
                <w:sz w:val="20"/>
                <w:szCs w:val="20"/>
              </w:rPr>
            </w:pPr>
          </w:p>
        </w:tc>
      </w:tr>
      <w:tr w:rsidR="008519D0" w:rsidRPr="00FB057C" w14:paraId="48CE4521" w14:textId="77777777" w:rsidTr="001B1C87">
        <w:tc>
          <w:tcPr>
            <w:tcW w:w="1383" w:type="dxa"/>
            <w:tcBorders>
              <w:top w:val="nil"/>
              <w:bottom w:val="nil"/>
              <w:right w:val="nil"/>
            </w:tcBorders>
          </w:tcPr>
          <w:p w14:paraId="4EBD64C3"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C</w:t>
            </w:r>
          </w:p>
        </w:tc>
        <w:tc>
          <w:tcPr>
            <w:tcW w:w="1660" w:type="dxa"/>
            <w:tcBorders>
              <w:top w:val="nil"/>
              <w:left w:val="nil"/>
              <w:bottom w:val="nil"/>
              <w:right w:val="nil"/>
            </w:tcBorders>
          </w:tcPr>
          <w:p w14:paraId="52CF66C1"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17.64±1.61 </w:t>
            </w:r>
            <w:r w:rsidRPr="00FB057C">
              <w:rPr>
                <w:rFonts w:ascii="Arial" w:eastAsia="Times New Roman" w:hAnsi="Arial" w:cs="Arial"/>
                <w:color w:val="000000"/>
                <w:sz w:val="20"/>
                <w:szCs w:val="20"/>
                <w:vertAlign w:val="subscript"/>
              </w:rPr>
              <w:t>ab</w:t>
            </w:r>
            <w:r w:rsidRPr="00FB057C">
              <w:rPr>
                <w:rFonts w:ascii="Arial" w:eastAsia="Times New Roman" w:hAnsi="Arial" w:cs="Arial"/>
                <w:color w:val="000000"/>
                <w:sz w:val="20"/>
                <w:szCs w:val="20"/>
              </w:rPr>
              <w:t xml:space="preserve"> </w:t>
            </w:r>
          </w:p>
          <w:p w14:paraId="79A5D2C0"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 </w:t>
            </w:r>
          </w:p>
        </w:tc>
        <w:tc>
          <w:tcPr>
            <w:tcW w:w="1350" w:type="dxa"/>
            <w:tcBorders>
              <w:top w:val="nil"/>
              <w:left w:val="nil"/>
              <w:bottom w:val="nil"/>
              <w:right w:val="nil"/>
            </w:tcBorders>
          </w:tcPr>
          <w:p w14:paraId="69930B61"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5.10±0.14 </w:t>
            </w:r>
            <w:r w:rsidRPr="00FB057C">
              <w:rPr>
                <w:rFonts w:ascii="Arial" w:eastAsia="Times New Roman" w:hAnsi="Arial" w:cs="Arial"/>
                <w:color w:val="000000"/>
                <w:sz w:val="20"/>
                <w:szCs w:val="20"/>
                <w:vertAlign w:val="subscript"/>
              </w:rPr>
              <w:t xml:space="preserve">a </w:t>
            </w:r>
          </w:p>
          <w:p w14:paraId="49287D5A" w14:textId="77777777" w:rsidR="008519D0" w:rsidRPr="00FB057C" w:rsidRDefault="008519D0" w:rsidP="001B1C87">
            <w:pPr>
              <w:rPr>
                <w:rFonts w:ascii="Arial" w:eastAsia="Times New Roman" w:hAnsi="Arial" w:cs="Arial"/>
                <w:color w:val="000000"/>
                <w:sz w:val="20"/>
                <w:szCs w:val="20"/>
              </w:rPr>
            </w:pPr>
          </w:p>
        </w:tc>
        <w:tc>
          <w:tcPr>
            <w:tcW w:w="1350" w:type="dxa"/>
            <w:tcBorders>
              <w:top w:val="nil"/>
              <w:left w:val="nil"/>
              <w:bottom w:val="nil"/>
              <w:right w:val="nil"/>
            </w:tcBorders>
          </w:tcPr>
          <w:p w14:paraId="315DBBDD"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8.15±0.07 </w:t>
            </w:r>
            <w:r w:rsidRPr="00FB057C">
              <w:rPr>
                <w:rFonts w:ascii="Arial" w:eastAsia="Times New Roman" w:hAnsi="Arial" w:cs="Arial"/>
                <w:color w:val="000000"/>
                <w:sz w:val="20"/>
                <w:szCs w:val="20"/>
                <w:vertAlign w:val="subscript"/>
              </w:rPr>
              <w:t xml:space="preserve">a </w:t>
            </w:r>
          </w:p>
          <w:p w14:paraId="73FCE2C7" w14:textId="77777777" w:rsidR="008519D0" w:rsidRPr="00FB057C" w:rsidRDefault="008519D0" w:rsidP="001B1C87">
            <w:pPr>
              <w:rPr>
                <w:rFonts w:ascii="Arial" w:eastAsia="Times New Roman" w:hAnsi="Arial" w:cs="Arial"/>
                <w:color w:val="000000"/>
                <w:sz w:val="20"/>
                <w:szCs w:val="20"/>
              </w:rPr>
            </w:pPr>
          </w:p>
        </w:tc>
        <w:tc>
          <w:tcPr>
            <w:tcW w:w="2021" w:type="dxa"/>
            <w:tcBorders>
              <w:top w:val="nil"/>
              <w:left w:val="nil"/>
              <w:bottom w:val="nil"/>
              <w:right w:val="nil"/>
            </w:tcBorders>
          </w:tcPr>
          <w:p w14:paraId="4794CFCC"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5.43±0.04 </w:t>
            </w:r>
            <w:r w:rsidRPr="00FB057C">
              <w:rPr>
                <w:rFonts w:ascii="Arial" w:eastAsia="Times New Roman" w:hAnsi="Arial" w:cs="Arial"/>
                <w:color w:val="000000"/>
                <w:sz w:val="20"/>
                <w:szCs w:val="20"/>
                <w:vertAlign w:val="subscript"/>
              </w:rPr>
              <w:t xml:space="preserve">a </w:t>
            </w:r>
          </w:p>
          <w:p w14:paraId="32F4A757" w14:textId="77777777" w:rsidR="008519D0" w:rsidRPr="00FB057C" w:rsidRDefault="008519D0" w:rsidP="001B1C87">
            <w:pPr>
              <w:rPr>
                <w:rFonts w:ascii="Arial" w:eastAsia="Times New Roman" w:hAnsi="Arial" w:cs="Arial"/>
                <w:color w:val="000000"/>
                <w:sz w:val="20"/>
                <w:szCs w:val="20"/>
              </w:rPr>
            </w:pPr>
          </w:p>
        </w:tc>
        <w:tc>
          <w:tcPr>
            <w:tcW w:w="1490" w:type="dxa"/>
            <w:tcBorders>
              <w:top w:val="nil"/>
              <w:left w:val="nil"/>
              <w:bottom w:val="nil"/>
            </w:tcBorders>
          </w:tcPr>
          <w:p w14:paraId="6EC49376"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2.60±0.28</w:t>
            </w:r>
            <w:r w:rsidRPr="00FB057C">
              <w:rPr>
                <w:rFonts w:ascii="Arial" w:eastAsia="Times New Roman" w:hAnsi="Arial" w:cs="Arial"/>
                <w:color w:val="000000"/>
                <w:sz w:val="20"/>
                <w:szCs w:val="20"/>
                <w:vertAlign w:val="subscript"/>
              </w:rPr>
              <w:t xml:space="preserve"> a</w:t>
            </w:r>
            <w:r w:rsidRPr="00FB057C">
              <w:rPr>
                <w:rFonts w:ascii="Arial" w:eastAsia="Times New Roman" w:hAnsi="Arial" w:cs="Arial"/>
                <w:color w:val="000000"/>
                <w:sz w:val="20"/>
                <w:szCs w:val="20"/>
              </w:rPr>
              <w:t xml:space="preserve"> </w:t>
            </w:r>
          </w:p>
          <w:p w14:paraId="065A146D" w14:textId="77777777" w:rsidR="008519D0" w:rsidRPr="00FB057C" w:rsidRDefault="008519D0" w:rsidP="001B1C87">
            <w:pPr>
              <w:rPr>
                <w:rFonts w:ascii="Arial" w:eastAsia="Times New Roman" w:hAnsi="Arial" w:cs="Arial"/>
                <w:color w:val="000000"/>
                <w:sz w:val="20"/>
                <w:szCs w:val="20"/>
              </w:rPr>
            </w:pPr>
          </w:p>
        </w:tc>
      </w:tr>
      <w:tr w:rsidR="008519D0" w:rsidRPr="00FB057C" w14:paraId="122510B2" w14:textId="77777777" w:rsidTr="001B1C87">
        <w:tc>
          <w:tcPr>
            <w:tcW w:w="1383" w:type="dxa"/>
            <w:tcBorders>
              <w:top w:val="nil"/>
              <w:bottom w:val="nil"/>
              <w:right w:val="nil"/>
            </w:tcBorders>
          </w:tcPr>
          <w:p w14:paraId="2C3EF149"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D</w:t>
            </w:r>
          </w:p>
        </w:tc>
        <w:tc>
          <w:tcPr>
            <w:tcW w:w="1660" w:type="dxa"/>
            <w:tcBorders>
              <w:top w:val="nil"/>
              <w:left w:val="nil"/>
              <w:bottom w:val="nil"/>
              <w:right w:val="nil"/>
            </w:tcBorders>
          </w:tcPr>
          <w:p w14:paraId="05BB3F63"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18.65±0.40</w:t>
            </w:r>
            <w:r w:rsidRPr="00FB057C">
              <w:rPr>
                <w:rFonts w:ascii="Arial" w:eastAsia="Times New Roman" w:hAnsi="Arial" w:cs="Arial"/>
                <w:color w:val="000000"/>
                <w:sz w:val="20"/>
                <w:szCs w:val="20"/>
                <w:vertAlign w:val="subscript"/>
              </w:rPr>
              <w:t xml:space="preserve"> c</w:t>
            </w:r>
            <w:r w:rsidRPr="00FB057C">
              <w:rPr>
                <w:rFonts w:ascii="Arial" w:eastAsia="Times New Roman" w:hAnsi="Arial" w:cs="Arial"/>
                <w:color w:val="000000"/>
                <w:sz w:val="20"/>
                <w:szCs w:val="20"/>
              </w:rPr>
              <w:t xml:space="preserve"> </w:t>
            </w:r>
          </w:p>
          <w:p w14:paraId="7B7B5F7A"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 </w:t>
            </w:r>
          </w:p>
        </w:tc>
        <w:tc>
          <w:tcPr>
            <w:tcW w:w="1350" w:type="dxa"/>
            <w:tcBorders>
              <w:top w:val="nil"/>
              <w:left w:val="nil"/>
              <w:bottom w:val="nil"/>
              <w:right w:val="nil"/>
            </w:tcBorders>
          </w:tcPr>
          <w:p w14:paraId="470AB319"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4.75±0.35 </w:t>
            </w:r>
            <w:r w:rsidRPr="00FB057C">
              <w:rPr>
                <w:rFonts w:ascii="Arial" w:eastAsia="Times New Roman" w:hAnsi="Arial" w:cs="Arial"/>
                <w:color w:val="000000"/>
                <w:sz w:val="20"/>
                <w:szCs w:val="20"/>
                <w:vertAlign w:val="subscript"/>
              </w:rPr>
              <w:t xml:space="preserve">a </w:t>
            </w:r>
          </w:p>
          <w:p w14:paraId="00858F97" w14:textId="77777777" w:rsidR="008519D0" w:rsidRPr="00FB057C" w:rsidRDefault="008519D0" w:rsidP="001B1C87">
            <w:pPr>
              <w:rPr>
                <w:rFonts w:ascii="Arial" w:eastAsia="Times New Roman" w:hAnsi="Arial" w:cs="Arial"/>
                <w:color w:val="000000"/>
                <w:sz w:val="20"/>
                <w:szCs w:val="20"/>
              </w:rPr>
            </w:pPr>
          </w:p>
        </w:tc>
        <w:tc>
          <w:tcPr>
            <w:tcW w:w="1350" w:type="dxa"/>
            <w:tcBorders>
              <w:top w:val="nil"/>
              <w:left w:val="nil"/>
              <w:bottom w:val="nil"/>
              <w:right w:val="nil"/>
            </w:tcBorders>
          </w:tcPr>
          <w:p w14:paraId="1EE24E9A"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8.10±0.00 </w:t>
            </w:r>
            <w:r w:rsidRPr="00FB057C">
              <w:rPr>
                <w:rFonts w:ascii="Arial" w:eastAsia="Times New Roman" w:hAnsi="Arial" w:cs="Arial"/>
                <w:color w:val="000000"/>
                <w:sz w:val="20"/>
                <w:szCs w:val="20"/>
                <w:vertAlign w:val="subscript"/>
              </w:rPr>
              <w:t xml:space="preserve">a </w:t>
            </w:r>
          </w:p>
          <w:p w14:paraId="6AEE2D01" w14:textId="77777777" w:rsidR="008519D0" w:rsidRPr="00FB057C" w:rsidRDefault="008519D0" w:rsidP="001B1C87">
            <w:pPr>
              <w:rPr>
                <w:rFonts w:ascii="Arial" w:eastAsia="Times New Roman" w:hAnsi="Arial" w:cs="Arial"/>
                <w:color w:val="000000"/>
                <w:sz w:val="20"/>
                <w:szCs w:val="20"/>
              </w:rPr>
            </w:pPr>
          </w:p>
        </w:tc>
        <w:tc>
          <w:tcPr>
            <w:tcW w:w="2021" w:type="dxa"/>
            <w:tcBorders>
              <w:top w:val="nil"/>
              <w:left w:val="nil"/>
              <w:bottom w:val="nil"/>
              <w:right w:val="nil"/>
            </w:tcBorders>
          </w:tcPr>
          <w:p w14:paraId="4E417A82"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6.15±0.07 </w:t>
            </w:r>
            <w:r w:rsidRPr="00FB057C">
              <w:rPr>
                <w:rFonts w:ascii="Arial" w:eastAsia="Times New Roman" w:hAnsi="Arial" w:cs="Arial"/>
                <w:color w:val="000000"/>
                <w:sz w:val="20"/>
                <w:szCs w:val="20"/>
                <w:vertAlign w:val="subscript"/>
              </w:rPr>
              <w:t>b</w:t>
            </w:r>
          </w:p>
        </w:tc>
        <w:tc>
          <w:tcPr>
            <w:tcW w:w="1490" w:type="dxa"/>
            <w:tcBorders>
              <w:top w:val="nil"/>
              <w:left w:val="nil"/>
              <w:bottom w:val="nil"/>
            </w:tcBorders>
          </w:tcPr>
          <w:p w14:paraId="4105A81D"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4.15±0.07</w:t>
            </w:r>
            <w:r w:rsidRPr="00FB057C">
              <w:rPr>
                <w:rFonts w:ascii="Arial" w:eastAsia="Times New Roman" w:hAnsi="Arial" w:cs="Arial"/>
                <w:color w:val="000000"/>
                <w:sz w:val="20"/>
                <w:szCs w:val="20"/>
                <w:vertAlign w:val="subscript"/>
              </w:rPr>
              <w:t xml:space="preserve"> b </w:t>
            </w:r>
          </w:p>
          <w:p w14:paraId="110F470A" w14:textId="77777777" w:rsidR="008519D0" w:rsidRPr="00FB057C" w:rsidRDefault="008519D0" w:rsidP="001B1C87">
            <w:pPr>
              <w:rPr>
                <w:rFonts w:ascii="Arial" w:eastAsia="Times New Roman" w:hAnsi="Arial" w:cs="Arial"/>
                <w:color w:val="000000"/>
                <w:sz w:val="20"/>
                <w:szCs w:val="20"/>
              </w:rPr>
            </w:pPr>
          </w:p>
        </w:tc>
      </w:tr>
      <w:tr w:rsidR="008519D0" w:rsidRPr="00FB057C" w14:paraId="02932EA3" w14:textId="77777777" w:rsidTr="001B1C87">
        <w:trPr>
          <w:trHeight w:val="590"/>
        </w:trPr>
        <w:tc>
          <w:tcPr>
            <w:tcW w:w="1383" w:type="dxa"/>
            <w:tcBorders>
              <w:top w:val="nil"/>
              <w:bottom w:val="single" w:sz="4" w:space="0" w:color="auto"/>
              <w:right w:val="nil"/>
            </w:tcBorders>
          </w:tcPr>
          <w:p w14:paraId="32FE29C6"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E</w:t>
            </w:r>
          </w:p>
        </w:tc>
        <w:tc>
          <w:tcPr>
            <w:tcW w:w="1660" w:type="dxa"/>
            <w:tcBorders>
              <w:top w:val="nil"/>
              <w:left w:val="nil"/>
              <w:bottom w:val="single" w:sz="4" w:space="0" w:color="auto"/>
              <w:right w:val="nil"/>
            </w:tcBorders>
          </w:tcPr>
          <w:p w14:paraId="5B9551BE"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12.91±0.01</w:t>
            </w:r>
            <w:r w:rsidRPr="00FB057C">
              <w:rPr>
                <w:rFonts w:ascii="Arial" w:eastAsia="Times New Roman" w:hAnsi="Arial" w:cs="Arial"/>
                <w:color w:val="000000"/>
                <w:sz w:val="20"/>
                <w:szCs w:val="20"/>
                <w:vertAlign w:val="subscript"/>
              </w:rPr>
              <w:t xml:space="preserve"> a</w:t>
            </w:r>
            <w:r w:rsidRPr="00FB057C">
              <w:rPr>
                <w:rFonts w:ascii="Arial" w:eastAsia="Times New Roman" w:hAnsi="Arial" w:cs="Arial"/>
                <w:color w:val="000000"/>
                <w:sz w:val="20"/>
                <w:szCs w:val="20"/>
              </w:rPr>
              <w:t xml:space="preserve"> </w:t>
            </w:r>
          </w:p>
        </w:tc>
        <w:tc>
          <w:tcPr>
            <w:tcW w:w="1350" w:type="dxa"/>
            <w:tcBorders>
              <w:top w:val="nil"/>
              <w:left w:val="nil"/>
              <w:bottom w:val="single" w:sz="4" w:space="0" w:color="auto"/>
              <w:right w:val="nil"/>
            </w:tcBorders>
          </w:tcPr>
          <w:p w14:paraId="0A6DC470" w14:textId="77777777" w:rsidR="008519D0" w:rsidRPr="00FB057C" w:rsidRDefault="008519D0"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3.95±0.35 </w:t>
            </w:r>
            <w:r w:rsidRPr="00FB057C">
              <w:rPr>
                <w:rFonts w:ascii="Arial" w:eastAsia="Times New Roman" w:hAnsi="Arial" w:cs="Arial"/>
                <w:color w:val="000000"/>
                <w:sz w:val="20"/>
                <w:szCs w:val="20"/>
                <w:vertAlign w:val="subscript"/>
              </w:rPr>
              <w:t xml:space="preserve">b </w:t>
            </w:r>
          </w:p>
        </w:tc>
        <w:tc>
          <w:tcPr>
            <w:tcW w:w="1350" w:type="dxa"/>
            <w:tcBorders>
              <w:top w:val="nil"/>
              <w:left w:val="nil"/>
              <w:bottom w:val="single" w:sz="4" w:space="0" w:color="auto"/>
              <w:right w:val="nil"/>
            </w:tcBorders>
          </w:tcPr>
          <w:p w14:paraId="3015AB12"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8.05±0.07 </w:t>
            </w:r>
            <w:r w:rsidRPr="00FB057C">
              <w:rPr>
                <w:rFonts w:ascii="Arial" w:eastAsia="Times New Roman" w:hAnsi="Arial" w:cs="Arial"/>
                <w:color w:val="000000"/>
                <w:sz w:val="20"/>
                <w:szCs w:val="20"/>
                <w:vertAlign w:val="subscript"/>
              </w:rPr>
              <w:t>a</w:t>
            </w:r>
          </w:p>
        </w:tc>
        <w:tc>
          <w:tcPr>
            <w:tcW w:w="2021" w:type="dxa"/>
            <w:tcBorders>
              <w:top w:val="nil"/>
              <w:left w:val="nil"/>
              <w:bottom w:val="single" w:sz="4" w:space="0" w:color="auto"/>
              <w:right w:val="nil"/>
            </w:tcBorders>
          </w:tcPr>
          <w:p w14:paraId="4A5095B9"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6.05±0.07</w:t>
            </w:r>
            <w:r w:rsidRPr="00FB057C">
              <w:rPr>
                <w:rFonts w:ascii="Arial" w:eastAsia="Times New Roman" w:hAnsi="Arial" w:cs="Arial"/>
                <w:color w:val="000000"/>
                <w:sz w:val="20"/>
                <w:szCs w:val="20"/>
                <w:vertAlign w:val="subscript"/>
              </w:rPr>
              <w:t xml:space="preserve"> b</w:t>
            </w:r>
          </w:p>
        </w:tc>
        <w:tc>
          <w:tcPr>
            <w:tcW w:w="1490" w:type="dxa"/>
            <w:tcBorders>
              <w:top w:val="nil"/>
              <w:left w:val="nil"/>
              <w:bottom w:val="single" w:sz="4" w:space="0" w:color="auto"/>
            </w:tcBorders>
          </w:tcPr>
          <w:p w14:paraId="108CBF4A" w14:textId="77777777" w:rsidR="008519D0" w:rsidRPr="00FB057C" w:rsidRDefault="008519D0"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2.50±0.14 </w:t>
            </w:r>
            <w:r w:rsidRPr="00FB057C">
              <w:rPr>
                <w:rFonts w:ascii="Arial" w:eastAsia="Times New Roman" w:hAnsi="Arial" w:cs="Arial"/>
                <w:color w:val="000000"/>
                <w:sz w:val="20"/>
                <w:szCs w:val="20"/>
                <w:vertAlign w:val="subscript"/>
              </w:rPr>
              <w:t>a</w:t>
            </w:r>
          </w:p>
        </w:tc>
      </w:tr>
    </w:tbl>
    <w:p w14:paraId="6370D1E5" w14:textId="77777777" w:rsidR="008519D0" w:rsidRPr="00FB057C" w:rsidRDefault="008519D0" w:rsidP="008519D0">
      <w:pPr>
        <w:rPr>
          <w:rFonts w:ascii="Arial" w:hAnsi="Arial" w:cs="Arial"/>
        </w:rPr>
      </w:pPr>
    </w:p>
    <w:p w14:paraId="7A311E40" w14:textId="77777777" w:rsidR="008519D0" w:rsidRPr="00FB057C" w:rsidRDefault="008519D0" w:rsidP="008519D0">
      <w:pPr>
        <w:jc w:val="both"/>
        <w:rPr>
          <w:rFonts w:ascii="Arial" w:hAnsi="Arial" w:cs="Arial"/>
        </w:rPr>
      </w:pPr>
      <w:r w:rsidRPr="00FB057C">
        <w:rPr>
          <w:rFonts w:ascii="Arial" w:hAnsi="Arial" w:cs="Arial"/>
        </w:rPr>
        <w:t>Mean values are of duplicates ± standard deviation. The value within the rows with different superscripts is significantly (P&lt;0.05) different.</w:t>
      </w:r>
    </w:p>
    <w:p w14:paraId="496268D9" w14:textId="77777777" w:rsidR="008519D0" w:rsidRPr="00FB057C" w:rsidRDefault="008519D0" w:rsidP="008519D0">
      <w:pPr>
        <w:jc w:val="both"/>
        <w:rPr>
          <w:rFonts w:ascii="Arial" w:hAnsi="Arial" w:cs="Arial"/>
        </w:rPr>
      </w:pPr>
    </w:p>
    <w:p w14:paraId="5F5D2060" w14:textId="77777777" w:rsidR="008519D0" w:rsidRPr="00FB057C" w:rsidRDefault="008519D0" w:rsidP="008519D0">
      <w:pPr>
        <w:jc w:val="both"/>
        <w:rPr>
          <w:rFonts w:ascii="Arial" w:hAnsi="Arial" w:cs="Arial"/>
        </w:rPr>
      </w:pPr>
      <w:r w:rsidRPr="00FB057C">
        <w:rPr>
          <w:rFonts w:ascii="Arial" w:hAnsi="Arial" w:cs="Arial"/>
        </w:rPr>
        <w:t>Key:</w:t>
      </w:r>
    </w:p>
    <w:p w14:paraId="12AFF106" w14:textId="77777777" w:rsidR="008519D0" w:rsidRPr="00FB057C" w:rsidRDefault="008519D0" w:rsidP="008519D0">
      <w:pPr>
        <w:jc w:val="both"/>
        <w:rPr>
          <w:rFonts w:ascii="Arial" w:hAnsi="Arial" w:cs="Arial"/>
        </w:rPr>
      </w:pPr>
      <w:r w:rsidRPr="00FB057C">
        <w:rPr>
          <w:rFonts w:ascii="Arial" w:hAnsi="Arial" w:cs="Arial"/>
        </w:rPr>
        <w:t>Sample A = 85% Wheat flour, 10% Soybean flour, and 5% Carrot flour</w:t>
      </w:r>
    </w:p>
    <w:p w14:paraId="02BE271C" w14:textId="77777777" w:rsidR="008519D0" w:rsidRPr="00FB057C" w:rsidRDefault="008519D0" w:rsidP="008519D0">
      <w:pPr>
        <w:jc w:val="both"/>
        <w:rPr>
          <w:rFonts w:ascii="Arial" w:hAnsi="Arial" w:cs="Arial"/>
        </w:rPr>
      </w:pPr>
      <w:r w:rsidRPr="00FB057C">
        <w:rPr>
          <w:rFonts w:ascii="Arial" w:hAnsi="Arial" w:cs="Arial"/>
        </w:rPr>
        <w:t>Sample B = 70% Wheat flour, 20% Soybean flour, and 10% Carrot flour</w:t>
      </w:r>
    </w:p>
    <w:p w14:paraId="53EF0BED" w14:textId="77777777" w:rsidR="008519D0" w:rsidRPr="00FB057C" w:rsidRDefault="008519D0" w:rsidP="008519D0">
      <w:pPr>
        <w:jc w:val="both"/>
        <w:rPr>
          <w:rFonts w:ascii="Arial" w:hAnsi="Arial" w:cs="Arial"/>
        </w:rPr>
      </w:pPr>
      <w:r w:rsidRPr="00FB057C">
        <w:rPr>
          <w:rFonts w:ascii="Arial" w:hAnsi="Arial" w:cs="Arial"/>
        </w:rPr>
        <w:t>Sample C = 60% Wheat flour, 25% Soybean flour, and 15% Carrot flour</w:t>
      </w:r>
    </w:p>
    <w:p w14:paraId="14A96A21" w14:textId="77777777" w:rsidR="008519D0" w:rsidRPr="00FB057C" w:rsidRDefault="008519D0" w:rsidP="008519D0">
      <w:pPr>
        <w:jc w:val="both"/>
        <w:rPr>
          <w:rFonts w:ascii="Arial" w:hAnsi="Arial" w:cs="Arial"/>
        </w:rPr>
      </w:pPr>
      <w:r w:rsidRPr="00FB057C">
        <w:rPr>
          <w:rFonts w:ascii="Arial" w:hAnsi="Arial" w:cs="Arial"/>
        </w:rPr>
        <w:t>Sample D = 50% Wheat flour, 30% Soybean flour, and 20% Carrot flour</w:t>
      </w:r>
    </w:p>
    <w:p w14:paraId="4259351A" w14:textId="77777777" w:rsidR="008519D0" w:rsidRDefault="008519D0" w:rsidP="008519D0">
      <w:pPr>
        <w:jc w:val="both"/>
        <w:rPr>
          <w:rFonts w:ascii="Arial" w:hAnsi="Arial" w:cs="Arial"/>
        </w:rPr>
      </w:pPr>
      <w:r w:rsidRPr="00FB057C">
        <w:rPr>
          <w:rFonts w:ascii="Arial" w:hAnsi="Arial" w:cs="Arial"/>
        </w:rPr>
        <w:t>Sample E = 100% Wheat flour (Control)</w:t>
      </w:r>
    </w:p>
    <w:p w14:paraId="7356FA5D" w14:textId="77777777" w:rsidR="00CE516D" w:rsidRDefault="00CE516D" w:rsidP="008519D0">
      <w:pPr>
        <w:jc w:val="both"/>
        <w:rPr>
          <w:rFonts w:ascii="Arial" w:hAnsi="Arial" w:cs="Arial"/>
        </w:rPr>
      </w:pPr>
    </w:p>
    <w:p w14:paraId="6ACFAC68" w14:textId="77777777" w:rsidR="00CE516D" w:rsidRPr="001A072B" w:rsidRDefault="00CE516D" w:rsidP="00CE516D">
      <w:pPr>
        <w:rPr>
          <w:rFonts w:ascii="Arial" w:hAnsi="Arial" w:cs="Arial"/>
          <w:b/>
          <w:bCs/>
          <w:sz w:val="22"/>
          <w:szCs w:val="22"/>
        </w:rPr>
      </w:pPr>
      <w:r w:rsidRPr="001A072B">
        <w:rPr>
          <w:rFonts w:ascii="Arial" w:hAnsi="Arial" w:cs="Arial"/>
          <w:b/>
          <w:bCs/>
          <w:sz w:val="22"/>
          <w:szCs w:val="22"/>
        </w:rPr>
        <w:t>3.</w:t>
      </w:r>
      <w:r>
        <w:rPr>
          <w:rFonts w:ascii="Arial" w:hAnsi="Arial" w:cs="Arial"/>
          <w:b/>
          <w:bCs/>
          <w:sz w:val="22"/>
          <w:szCs w:val="22"/>
        </w:rPr>
        <w:t>2</w:t>
      </w:r>
      <w:r w:rsidRPr="001A072B">
        <w:rPr>
          <w:rFonts w:ascii="Arial" w:hAnsi="Arial" w:cs="Arial"/>
          <w:b/>
          <w:bCs/>
          <w:sz w:val="22"/>
          <w:szCs w:val="22"/>
        </w:rPr>
        <w:t xml:space="preserve"> Mineral Analysis</w:t>
      </w:r>
    </w:p>
    <w:p w14:paraId="3C15FDE7" w14:textId="77777777" w:rsidR="00CE516D" w:rsidRPr="009B38DC" w:rsidRDefault="00CE516D" w:rsidP="00CE516D">
      <w:pPr>
        <w:rPr>
          <w:rFonts w:ascii="Arial" w:hAnsi="Arial" w:cs="Arial"/>
          <w:sz w:val="22"/>
          <w:szCs w:val="22"/>
        </w:rPr>
      </w:pPr>
    </w:p>
    <w:p w14:paraId="32BA64F4" w14:textId="5C42CBA0" w:rsidR="00CE516D" w:rsidRPr="00954317" w:rsidRDefault="00CE516D" w:rsidP="00CE516D">
      <w:pPr>
        <w:jc w:val="both"/>
        <w:rPr>
          <w:rFonts w:ascii="Arial" w:hAnsi="Arial" w:cs="Arial"/>
        </w:rPr>
      </w:pPr>
      <w:r w:rsidRPr="00954317">
        <w:rPr>
          <w:rFonts w:ascii="Arial" w:hAnsi="Arial" w:cs="Arial"/>
        </w:rPr>
        <w:t xml:space="preserve">The result of the mineral analysis is shown in Table </w:t>
      </w:r>
      <w:r w:rsidR="005144F3">
        <w:rPr>
          <w:rFonts w:ascii="Arial" w:hAnsi="Arial" w:cs="Arial"/>
        </w:rPr>
        <w:t>3</w:t>
      </w:r>
      <w:r w:rsidRPr="00954317">
        <w:rPr>
          <w:rFonts w:ascii="Arial" w:hAnsi="Arial" w:cs="Arial"/>
        </w:rPr>
        <w:t>. Minerals are essential micronutrients required for various physiological functions, including bone development, muscle contraction, nerve function, and blood oxygenation. The mineral content of bread plays a significant role in determining its nutritional value. In this study, the key minerals analyzed were potassium, calcium, and iron, which are critical for maintaining good health. In agreement with research by Weaver et al. (2016), adequate levels of these minerals help prevent conditions such as osteoporosis, anemia, and hypertension.</w:t>
      </w:r>
    </w:p>
    <w:p w14:paraId="33BFBCE8" w14:textId="77777777" w:rsidR="00CE516D" w:rsidRPr="00954317" w:rsidRDefault="00CE516D" w:rsidP="00CE516D">
      <w:pPr>
        <w:jc w:val="both"/>
        <w:rPr>
          <w:rFonts w:ascii="Arial" w:hAnsi="Arial" w:cs="Arial"/>
        </w:rPr>
      </w:pPr>
    </w:p>
    <w:p w14:paraId="5DBEE912" w14:textId="77777777" w:rsidR="00CE516D" w:rsidRPr="00954317" w:rsidRDefault="00CE516D" w:rsidP="00CE516D">
      <w:pPr>
        <w:jc w:val="both"/>
        <w:rPr>
          <w:rFonts w:ascii="Arial" w:hAnsi="Arial" w:cs="Arial"/>
        </w:rPr>
      </w:pPr>
      <w:r w:rsidRPr="00954317">
        <w:rPr>
          <w:rFonts w:ascii="Arial" w:hAnsi="Arial" w:cs="Arial"/>
        </w:rPr>
        <w:t>In this analysis, Sample D exhibited the highest mineral content, particularly for potassium, calcium, and iron. Sample D had 256.92 mg of potassium, which is essential for maintaining proper heart function and regulating fluid balance within the body. As reported by Weaver et al. (2016), potassium is also effective in counteracting the negative effects of sodium on blood pressure, making Sample D a suitable choice for individuals aiming to maintain cardiovascular health. Sample D also had the highest calcium content at 235.74 mg, making it beneficial for bone health and preventing osteoporosis, a condition that affects bone density and strength, particularly in older adults. The iron content in Sample D was 1.14 mg, which is crucial for hemoglobin production, aiding in the transport of oxygen throughout the body and helping prevent iron-deficiency anemia.</w:t>
      </w:r>
    </w:p>
    <w:p w14:paraId="00003AC0" w14:textId="77777777" w:rsidR="00CE516D" w:rsidRPr="00954317" w:rsidRDefault="00CE516D" w:rsidP="00CE516D">
      <w:pPr>
        <w:jc w:val="both"/>
        <w:rPr>
          <w:rFonts w:ascii="Arial" w:hAnsi="Arial" w:cs="Arial"/>
        </w:rPr>
      </w:pPr>
    </w:p>
    <w:p w14:paraId="23DA77BF" w14:textId="77777777" w:rsidR="00CE516D" w:rsidRPr="00954317" w:rsidRDefault="00CE516D" w:rsidP="00CE516D">
      <w:pPr>
        <w:jc w:val="both"/>
        <w:rPr>
          <w:rFonts w:ascii="Arial" w:hAnsi="Arial" w:cs="Arial"/>
        </w:rPr>
      </w:pPr>
      <w:r w:rsidRPr="00954317">
        <w:rPr>
          <w:rFonts w:ascii="Arial" w:hAnsi="Arial" w:cs="Arial"/>
        </w:rPr>
        <w:lastRenderedPageBreak/>
        <w:t>Sample E had the lowest mineral content, with 84.53 mg of potassium, 96.29 mg of calcium, and 0.38 mg of iron. This suggests that Sample E may offer fewer health benefits, particularly for individuals who need higher intakes of these essential minerals. Low levels of calcium and potassium, in particular, could limit its effectiveness in promoting bone and heart health, respectively. In research by Abbaspour et al. (2018), lower iron content in foods is linked to a higher risk of developing anemia, especially in women and children, indicating that Sample E might not be suitable for those with higher mineral needs.</w:t>
      </w:r>
    </w:p>
    <w:p w14:paraId="0F30A35F" w14:textId="77777777" w:rsidR="00CE516D" w:rsidRPr="00954317" w:rsidRDefault="00CE516D" w:rsidP="00CE516D">
      <w:pPr>
        <w:jc w:val="both"/>
        <w:rPr>
          <w:rFonts w:ascii="Arial" w:hAnsi="Arial" w:cs="Arial"/>
        </w:rPr>
      </w:pPr>
    </w:p>
    <w:p w14:paraId="57F831A0" w14:textId="77777777" w:rsidR="00CE516D" w:rsidRPr="00954317" w:rsidRDefault="00CE516D" w:rsidP="00CE516D">
      <w:pPr>
        <w:jc w:val="both"/>
        <w:rPr>
          <w:rFonts w:ascii="Arial" w:hAnsi="Arial" w:cs="Arial"/>
        </w:rPr>
      </w:pPr>
      <w:r w:rsidRPr="00954317">
        <w:rPr>
          <w:rFonts w:ascii="Arial" w:hAnsi="Arial" w:cs="Arial"/>
        </w:rPr>
        <w:t>The other samples, A, B, and C, showed moderate mineral content. For example, Sample A had 198.25 mg of potassium and 156.45 mg of calcium, offering a balanced supply of these nutrients, though not as rich as Sample D. Sample B, with 206.71 mg of potassium and 194.56 mg of calcium, similarly provides a good nutritional profile, particularly for consumers looking for a balance between taste and nutritional benefits.</w:t>
      </w:r>
    </w:p>
    <w:p w14:paraId="6794B737" w14:textId="77777777" w:rsidR="00CE516D" w:rsidRPr="00954317" w:rsidRDefault="00CE516D" w:rsidP="00CE516D">
      <w:pPr>
        <w:jc w:val="both"/>
        <w:rPr>
          <w:rFonts w:ascii="Arial" w:hAnsi="Arial" w:cs="Arial"/>
        </w:rPr>
      </w:pPr>
    </w:p>
    <w:p w14:paraId="4F45AEFE" w14:textId="77777777" w:rsidR="00CE516D" w:rsidRDefault="00CE516D" w:rsidP="00CE516D">
      <w:pPr>
        <w:jc w:val="both"/>
        <w:rPr>
          <w:rFonts w:ascii="Arial" w:hAnsi="Arial" w:cs="Arial"/>
        </w:rPr>
      </w:pPr>
      <w:r w:rsidRPr="00954317">
        <w:rPr>
          <w:rFonts w:ascii="Arial" w:hAnsi="Arial" w:cs="Arial"/>
        </w:rPr>
        <w:t xml:space="preserve">In conclusion, Sample D stands out as the most mineral-rich option, particularly for potassium, calcium, and iron, making it the best choice for consumers seeking a nutritionally dense bread option. Sample E, with its lower mineral content, may be less suitable for those with specific mineral requirements, while Samples A and B offer moderate amounts of essential minerals. These findings align with the importance of mineral content for overall health, as highlighted by </w:t>
      </w:r>
      <w:commentRangeStart w:id="33"/>
      <w:r w:rsidRPr="00954317">
        <w:rPr>
          <w:rFonts w:ascii="Arial" w:hAnsi="Arial" w:cs="Arial"/>
        </w:rPr>
        <w:t>Weaver et al. (20</w:t>
      </w:r>
      <w:commentRangeEnd w:id="33"/>
      <w:r w:rsidR="001A62B9">
        <w:rPr>
          <w:rStyle w:val="CommentReference"/>
          <w:rFonts w:ascii="Times New Roman" w:hAnsi="Times New Roman"/>
          <w:lang w:val="nb-NO" w:eastAsia="nb-NO"/>
        </w:rPr>
        <w:commentReference w:id="33"/>
      </w:r>
    </w:p>
    <w:p w14:paraId="3F572356" w14:textId="77777777" w:rsidR="00CE516D" w:rsidRPr="00954317" w:rsidRDefault="00CE516D" w:rsidP="00CE516D">
      <w:pPr>
        <w:jc w:val="both"/>
        <w:rPr>
          <w:rFonts w:ascii="Arial" w:hAnsi="Arial" w:cs="Arial"/>
        </w:rPr>
      </w:pPr>
    </w:p>
    <w:p w14:paraId="0CF364A6" w14:textId="1762F24E" w:rsidR="00CE516D" w:rsidRPr="00954317" w:rsidRDefault="00CE516D" w:rsidP="00CE516D">
      <w:pPr>
        <w:rPr>
          <w:rFonts w:ascii="Arial" w:hAnsi="Arial" w:cs="Arial"/>
        </w:rPr>
      </w:pPr>
      <w:commentRangeStart w:id="34"/>
      <w:r w:rsidRPr="00954317">
        <w:rPr>
          <w:rFonts w:ascii="Arial" w:hAnsi="Arial" w:cs="Arial"/>
        </w:rPr>
        <w:t xml:space="preserve">Table </w:t>
      </w:r>
      <w:r w:rsidR="005144F3">
        <w:rPr>
          <w:rFonts w:ascii="Arial" w:hAnsi="Arial" w:cs="Arial"/>
        </w:rPr>
        <w:t>3</w:t>
      </w:r>
      <w:r w:rsidRPr="00954317">
        <w:rPr>
          <w:rFonts w:ascii="Arial" w:hAnsi="Arial" w:cs="Arial"/>
        </w:rPr>
        <w:t>: Minerals Analysis Result</w:t>
      </w:r>
      <w:commentRangeEnd w:id="34"/>
      <w:r w:rsidR="00B6726C">
        <w:rPr>
          <w:rStyle w:val="CommentReference"/>
          <w:rFonts w:ascii="Times New Roman" w:hAnsi="Times New Roman"/>
          <w:lang w:val="nb-NO" w:eastAsia="nb-NO"/>
        </w:rPr>
        <w:commentReference w:id="34"/>
      </w:r>
    </w:p>
    <w:p w14:paraId="7068F5F0" w14:textId="77777777" w:rsidR="00CE516D" w:rsidRPr="009B38DC" w:rsidRDefault="00CE516D" w:rsidP="00CE516D">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CE516D" w:rsidRPr="00954317" w14:paraId="05DBC0C6" w14:textId="77777777" w:rsidTr="001B1C87">
        <w:tc>
          <w:tcPr>
            <w:tcW w:w="2337" w:type="dxa"/>
            <w:tcBorders>
              <w:top w:val="single" w:sz="4" w:space="0" w:color="auto"/>
              <w:bottom w:val="single" w:sz="4" w:space="0" w:color="auto"/>
            </w:tcBorders>
          </w:tcPr>
          <w:p w14:paraId="05AFFCE4" w14:textId="77777777" w:rsidR="00CE516D" w:rsidRPr="00954317" w:rsidRDefault="00CE516D" w:rsidP="001B1C87">
            <w:pPr>
              <w:rPr>
                <w:rFonts w:ascii="Arial" w:eastAsia="Times New Roman" w:hAnsi="Arial" w:cs="Arial"/>
                <w:b/>
                <w:bCs/>
                <w:color w:val="000000"/>
                <w:sz w:val="20"/>
                <w:szCs w:val="20"/>
              </w:rPr>
            </w:pPr>
            <w:r w:rsidRPr="00954317">
              <w:rPr>
                <w:rFonts w:ascii="Arial" w:eastAsia="Times New Roman" w:hAnsi="Arial" w:cs="Arial"/>
                <w:b/>
                <w:bCs/>
                <w:color w:val="000000"/>
                <w:sz w:val="20"/>
                <w:szCs w:val="20"/>
              </w:rPr>
              <w:t>SAMPLE</w:t>
            </w:r>
          </w:p>
        </w:tc>
        <w:tc>
          <w:tcPr>
            <w:tcW w:w="2337" w:type="dxa"/>
            <w:tcBorders>
              <w:top w:val="single" w:sz="4" w:space="0" w:color="auto"/>
              <w:bottom w:val="single" w:sz="4" w:space="0" w:color="auto"/>
            </w:tcBorders>
          </w:tcPr>
          <w:p w14:paraId="4B855E51" w14:textId="77777777" w:rsidR="00CE516D" w:rsidRPr="00954317" w:rsidRDefault="00CE516D" w:rsidP="001B1C87">
            <w:pPr>
              <w:rPr>
                <w:rFonts w:ascii="Arial" w:eastAsia="Times New Roman" w:hAnsi="Arial" w:cs="Arial"/>
                <w:b/>
                <w:bCs/>
                <w:sz w:val="20"/>
                <w:szCs w:val="20"/>
              </w:rPr>
            </w:pPr>
            <w:r w:rsidRPr="00954317">
              <w:rPr>
                <w:rFonts w:ascii="Arial" w:eastAsia="Times New Roman" w:hAnsi="Arial" w:cs="Arial"/>
                <w:b/>
                <w:bCs/>
                <w:color w:val="000000"/>
                <w:sz w:val="20"/>
                <w:szCs w:val="20"/>
              </w:rPr>
              <w:t xml:space="preserve">IRON </w:t>
            </w:r>
          </w:p>
          <w:p w14:paraId="568018B3" w14:textId="77777777" w:rsidR="00CE516D" w:rsidRPr="00954317" w:rsidRDefault="00CE516D" w:rsidP="001B1C87">
            <w:pPr>
              <w:rPr>
                <w:rFonts w:ascii="Arial" w:eastAsia="Times New Roman" w:hAnsi="Arial" w:cs="Arial"/>
                <w:b/>
                <w:bCs/>
                <w:sz w:val="20"/>
                <w:szCs w:val="20"/>
              </w:rPr>
            </w:pPr>
            <w:r w:rsidRPr="00954317">
              <w:rPr>
                <w:rFonts w:ascii="Arial" w:eastAsia="Times New Roman" w:hAnsi="Arial" w:cs="Arial"/>
                <w:b/>
                <w:bCs/>
                <w:color w:val="000000"/>
                <w:sz w:val="20"/>
                <w:szCs w:val="20"/>
              </w:rPr>
              <w:t xml:space="preserve">Mg/100g </w:t>
            </w:r>
          </w:p>
          <w:p w14:paraId="0B406B9D" w14:textId="77777777" w:rsidR="00CE516D" w:rsidRPr="00954317" w:rsidRDefault="00CE516D" w:rsidP="001B1C87">
            <w:pPr>
              <w:rPr>
                <w:rFonts w:ascii="Arial" w:eastAsia="Times New Roman" w:hAnsi="Arial" w:cs="Arial"/>
                <w:b/>
                <w:bCs/>
                <w:color w:val="000000"/>
                <w:sz w:val="20"/>
                <w:szCs w:val="20"/>
              </w:rPr>
            </w:pPr>
          </w:p>
        </w:tc>
        <w:tc>
          <w:tcPr>
            <w:tcW w:w="2338" w:type="dxa"/>
            <w:tcBorders>
              <w:top w:val="single" w:sz="4" w:space="0" w:color="auto"/>
              <w:bottom w:val="single" w:sz="4" w:space="0" w:color="auto"/>
            </w:tcBorders>
          </w:tcPr>
          <w:p w14:paraId="416D1EAE" w14:textId="77777777" w:rsidR="00CE516D" w:rsidRPr="00954317" w:rsidRDefault="00CE516D" w:rsidP="001B1C87">
            <w:pPr>
              <w:rPr>
                <w:rFonts w:ascii="Arial" w:eastAsia="Times New Roman" w:hAnsi="Arial" w:cs="Arial"/>
                <w:b/>
                <w:bCs/>
                <w:sz w:val="20"/>
                <w:szCs w:val="20"/>
              </w:rPr>
            </w:pPr>
            <w:r w:rsidRPr="00954317">
              <w:rPr>
                <w:rFonts w:ascii="Arial" w:eastAsia="Times New Roman" w:hAnsi="Arial" w:cs="Arial"/>
                <w:b/>
                <w:bCs/>
                <w:color w:val="000000"/>
                <w:sz w:val="20"/>
                <w:szCs w:val="20"/>
              </w:rPr>
              <w:t xml:space="preserve">CALCIUM </w:t>
            </w:r>
          </w:p>
          <w:p w14:paraId="123EDF57" w14:textId="77777777" w:rsidR="00CE516D" w:rsidRPr="00954317" w:rsidRDefault="00CE516D" w:rsidP="001B1C87">
            <w:pPr>
              <w:rPr>
                <w:rFonts w:ascii="Arial" w:eastAsia="Times New Roman" w:hAnsi="Arial" w:cs="Arial"/>
                <w:b/>
                <w:bCs/>
                <w:sz w:val="20"/>
                <w:szCs w:val="20"/>
              </w:rPr>
            </w:pPr>
            <w:r w:rsidRPr="00954317">
              <w:rPr>
                <w:rFonts w:ascii="Arial" w:eastAsia="Times New Roman" w:hAnsi="Arial" w:cs="Arial"/>
                <w:b/>
                <w:bCs/>
                <w:color w:val="000000"/>
                <w:sz w:val="20"/>
                <w:szCs w:val="20"/>
              </w:rPr>
              <w:t xml:space="preserve">Mg/100g </w:t>
            </w:r>
          </w:p>
          <w:p w14:paraId="110AD630" w14:textId="77777777" w:rsidR="00CE516D" w:rsidRPr="00954317" w:rsidRDefault="00CE516D" w:rsidP="001B1C87">
            <w:pPr>
              <w:rPr>
                <w:rFonts w:ascii="Arial" w:eastAsia="Times New Roman" w:hAnsi="Arial" w:cs="Arial"/>
                <w:b/>
                <w:bCs/>
                <w:color w:val="000000"/>
                <w:sz w:val="20"/>
                <w:szCs w:val="20"/>
              </w:rPr>
            </w:pPr>
          </w:p>
        </w:tc>
        <w:tc>
          <w:tcPr>
            <w:tcW w:w="2338" w:type="dxa"/>
            <w:tcBorders>
              <w:top w:val="single" w:sz="4" w:space="0" w:color="auto"/>
              <w:bottom w:val="single" w:sz="4" w:space="0" w:color="auto"/>
            </w:tcBorders>
          </w:tcPr>
          <w:p w14:paraId="67C7B126" w14:textId="77777777" w:rsidR="00CE516D" w:rsidRPr="00954317" w:rsidRDefault="00CE516D" w:rsidP="001B1C87">
            <w:pPr>
              <w:rPr>
                <w:rFonts w:ascii="Arial" w:eastAsia="Times New Roman" w:hAnsi="Arial" w:cs="Arial"/>
                <w:b/>
                <w:bCs/>
                <w:sz w:val="20"/>
                <w:szCs w:val="20"/>
              </w:rPr>
            </w:pPr>
            <w:r w:rsidRPr="00954317">
              <w:rPr>
                <w:rFonts w:ascii="Arial" w:eastAsia="Times New Roman" w:hAnsi="Arial" w:cs="Arial"/>
                <w:b/>
                <w:bCs/>
                <w:color w:val="000000"/>
                <w:sz w:val="20"/>
                <w:szCs w:val="20"/>
              </w:rPr>
              <w:t xml:space="preserve">POTASIUM </w:t>
            </w:r>
          </w:p>
          <w:p w14:paraId="72E3E41B" w14:textId="77777777" w:rsidR="00CE516D" w:rsidRPr="00954317" w:rsidRDefault="00CE516D" w:rsidP="001B1C87">
            <w:pPr>
              <w:rPr>
                <w:rFonts w:ascii="Arial" w:eastAsia="Times New Roman" w:hAnsi="Arial" w:cs="Arial"/>
                <w:b/>
                <w:bCs/>
                <w:sz w:val="20"/>
                <w:szCs w:val="20"/>
              </w:rPr>
            </w:pPr>
            <w:r w:rsidRPr="00954317">
              <w:rPr>
                <w:rFonts w:ascii="Arial" w:eastAsia="Times New Roman" w:hAnsi="Arial" w:cs="Arial"/>
                <w:b/>
                <w:bCs/>
                <w:color w:val="000000"/>
                <w:sz w:val="20"/>
                <w:szCs w:val="20"/>
              </w:rPr>
              <w:t xml:space="preserve">Mg/100g </w:t>
            </w:r>
          </w:p>
          <w:p w14:paraId="2BB2CFD4" w14:textId="77777777" w:rsidR="00CE516D" w:rsidRPr="00954317" w:rsidRDefault="00CE516D" w:rsidP="001B1C87">
            <w:pPr>
              <w:rPr>
                <w:rFonts w:ascii="Arial" w:eastAsia="Times New Roman" w:hAnsi="Arial" w:cs="Arial"/>
                <w:b/>
                <w:bCs/>
                <w:color w:val="000000"/>
                <w:sz w:val="20"/>
                <w:szCs w:val="20"/>
              </w:rPr>
            </w:pPr>
          </w:p>
        </w:tc>
      </w:tr>
      <w:tr w:rsidR="00CE516D" w:rsidRPr="00954317" w14:paraId="3F8B60F2" w14:textId="77777777" w:rsidTr="001B1C87">
        <w:tc>
          <w:tcPr>
            <w:tcW w:w="2337" w:type="dxa"/>
            <w:tcBorders>
              <w:top w:val="single" w:sz="4" w:space="0" w:color="auto"/>
            </w:tcBorders>
          </w:tcPr>
          <w:p w14:paraId="5A7F2DB7"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A</w:t>
            </w:r>
          </w:p>
        </w:tc>
        <w:tc>
          <w:tcPr>
            <w:tcW w:w="2337" w:type="dxa"/>
            <w:tcBorders>
              <w:top w:val="single" w:sz="4" w:space="0" w:color="auto"/>
            </w:tcBorders>
          </w:tcPr>
          <w:p w14:paraId="5C09B1C0" w14:textId="77777777" w:rsidR="00CE516D" w:rsidRPr="00954317" w:rsidRDefault="00CE516D" w:rsidP="001B1C87">
            <w:pPr>
              <w:rPr>
                <w:rFonts w:ascii="Arial" w:eastAsia="Times New Roman" w:hAnsi="Arial" w:cs="Arial"/>
                <w:sz w:val="20"/>
                <w:szCs w:val="20"/>
              </w:rPr>
            </w:pPr>
            <w:r w:rsidRPr="00954317">
              <w:rPr>
                <w:rFonts w:ascii="Arial" w:eastAsia="Times New Roman" w:hAnsi="Arial" w:cs="Arial"/>
                <w:color w:val="000000"/>
                <w:sz w:val="20"/>
                <w:szCs w:val="20"/>
              </w:rPr>
              <w:t>0.90±0.01</w:t>
            </w:r>
            <w:r w:rsidRPr="00954317">
              <w:rPr>
                <w:rFonts w:ascii="Arial" w:eastAsia="Times New Roman" w:hAnsi="Arial" w:cs="Arial"/>
                <w:color w:val="000000"/>
                <w:sz w:val="20"/>
                <w:szCs w:val="20"/>
                <w:vertAlign w:val="subscript"/>
              </w:rPr>
              <w:t xml:space="preserve"> c</w:t>
            </w:r>
            <w:r w:rsidRPr="00954317">
              <w:rPr>
                <w:rFonts w:ascii="Arial" w:eastAsia="Times New Roman" w:hAnsi="Arial" w:cs="Arial"/>
                <w:color w:val="000000"/>
                <w:sz w:val="20"/>
                <w:szCs w:val="20"/>
              </w:rPr>
              <w:t xml:space="preserve"> </w:t>
            </w:r>
          </w:p>
          <w:p w14:paraId="7AF4FEA5" w14:textId="77777777" w:rsidR="00CE516D" w:rsidRPr="00954317" w:rsidRDefault="00CE516D" w:rsidP="001B1C87">
            <w:pPr>
              <w:rPr>
                <w:rFonts w:ascii="Arial" w:eastAsia="Times New Roman" w:hAnsi="Arial" w:cs="Arial"/>
                <w:color w:val="000000"/>
                <w:sz w:val="20"/>
                <w:szCs w:val="20"/>
              </w:rPr>
            </w:pPr>
          </w:p>
        </w:tc>
        <w:tc>
          <w:tcPr>
            <w:tcW w:w="2338" w:type="dxa"/>
            <w:tcBorders>
              <w:top w:val="single" w:sz="4" w:space="0" w:color="auto"/>
            </w:tcBorders>
          </w:tcPr>
          <w:p w14:paraId="23D9EF5D" w14:textId="77777777" w:rsidR="00CE516D" w:rsidRPr="00954317" w:rsidRDefault="00CE516D" w:rsidP="001B1C87">
            <w:pPr>
              <w:rPr>
                <w:rFonts w:ascii="Arial" w:eastAsia="Times New Roman" w:hAnsi="Arial" w:cs="Arial"/>
                <w:sz w:val="20"/>
                <w:szCs w:val="20"/>
              </w:rPr>
            </w:pPr>
            <w:r w:rsidRPr="00954317">
              <w:rPr>
                <w:rFonts w:ascii="Arial" w:eastAsia="Times New Roman" w:hAnsi="Arial" w:cs="Arial"/>
                <w:color w:val="000000"/>
                <w:sz w:val="20"/>
                <w:szCs w:val="20"/>
              </w:rPr>
              <w:t>200.88±0.00</w:t>
            </w:r>
            <w:r w:rsidRPr="00954317">
              <w:rPr>
                <w:rFonts w:ascii="Arial" w:eastAsia="Times New Roman" w:hAnsi="Arial" w:cs="Arial"/>
                <w:color w:val="000000"/>
                <w:sz w:val="20"/>
                <w:szCs w:val="20"/>
                <w:vertAlign w:val="subscript"/>
              </w:rPr>
              <w:t xml:space="preserve"> b</w:t>
            </w:r>
            <w:r w:rsidRPr="00954317">
              <w:rPr>
                <w:rFonts w:ascii="Arial" w:eastAsia="Times New Roman" w:hAnsi="Arial" w:cs="Arial"/>
                <w:color w:val="000000"/>
                <w:sz w:val="20"/>
                <w:szCs w:val="20"/>
              </w:rPr>
              <w:t xml:space="preserve"> </w:t>
            </w:r>
          </w:p>
          <w:p w14:paraId="7AC07A27" w14:textId="77777777" w:rsidR="00CE516D" w:rsidRPr="00954317" w:rsidRDefault="00CE516D" w:rsidP="001B1C87">
            <w:pPr>
              <w:rPr>
                <w:rFonts w:ascii="Arial" w:eastAsia="Times New Roman" w:hAnsi="Arial" w:cs="Arial"/>
                <w:color w:val="000000"/>
                <w:sz w:val="20"/>
                <w:szCs w:val="20"/>
              </w:rPr>
            </w:pPr>
          </w:p>
        </w:tc>
        <w:tc>
          <w:tcPr>
            <w:tcW w:w="2338" w:type="dxa"/>
            <w:tcBorders>
              <w:top w:val="single" w:sz="4" w:space="0" w:color="auto"/>
            </w:tcBorders>
          </w:tcPr>
          <w:p w14:paraId="451B3349"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203.34±4.04 </w:t>
            </w:r>
            <w:r w:rsidRPr="00954317">
              <w:rPr>
                <w:rFonts w:ascii="Arial" w:eastAsia="Times New Roman" w:hAnsi="Arial" w:cs="Arial"/>
                <w:color w:val="000000"/>
                <w:sz w:val="20"/>
                <w:szCs w:val="20"/>
                <w:vertAlign w:val="subscript"/>
              </w:rPr>
              <w:t>c</w:t>
            </w:r>
          </w:p>
        </w:tc>
      </w:tr>
      <w:tr w:rsidR="00CE516D" w:rsidRPr="00954317" w14:paraId="2833BA4E" w14:textId="77777777" w:rsidTr="001B1C87">
        <w:tc>
          <w:tcPr>
            <w:tcW w:w="2337" w:type="dxa"/>
          </w:tcPr>
          <w:p w14:paraId="6112ED31"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B</w:t>
            </w:r>
          </w:p>
        </w:tc>
        <w:tc>
          <w:tcPr>
            <w:tcW w:w="2337" w:type="dxa"/>
          </w:tcPr>
          <w:p w14:paraId="2E22635E"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0.83±0.00 </w:t>
            </w:r>
            <w:r w:rsidRPr="00954317">
              <w:rPr>
                <w:rFonts w:ascii="Arial" w:eastAsia="Times New Roman" w:hAnsi="Arial" w:cs="Arial"/>
                <w:color w:val="000000"/>
                <w:sz w:val="20"/>
                <w:szCs w:val="20"/>
                <w:vertAlign w:val="subscript"/>
              </w:rPr>
              <w:t>b</w:t>
            </w:r>
          </w:p>
        </w:tc>
        <w:tc>
          <w:tcPr>
            <w:tcW w:w="2338" w:type="dxa"/>
          </w:tcPr>
          <w:p w14:paraId="784ADC92"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235.74±0.00 </w:t>
            </w:r>
            <w:r w:rsidRPr="00954317">
              <w:rPr>
                <w:rFonts w:ascii="Arial" w:eastAsia="Times New Roman" w:hAnsi="Arial" w:cs="Arial"/>
                <w:color w:val="000000"/>
                <w:sz w:val="20"/>
                <w:szCs w:val="20"/>
                <w:vertAlign w:val="subscript"/>
              </w:rPr>
              <w:t>c</w:t>
            </w:r>
          </w:p>
        </w:tc>
        <w:tc>
          <w:tcPr>
            <w:tcW w:w="2338" w:type="dxa"/>
          </w:tcPr>
          <w:p w14:paraId="6AFCBB8E" w14:textId="77777777" w:rsidR="00CE516D" w:rsidRPr="00954317" w:rsidRDefault="00CE516D" w:rsidP="001B1C87">
            <w:pPr>
              <w:rPr>
                <w:rFonts w:ascii="Arial" w:eastAsia="Times New Roman" w:hAnsi="Arial" w:cs="Arial"/>
                <w:sz w:val="20"/>
                <w:szCs w:val="20"/>
              </w:rPr>
            </w:pPr>
            <w:r w:rsidRPr="00954317">
              <w:rPr>
                <w:rFonts w:ascii="Arial" w:eastAsia="Times New Roman" w:hAnsi="Arial" w:cs="Arial"/>
                <w:color w:val="000000"/>
                <w:sz w:val="20"/>
                <w:szCs w:val="20"/>
              </w:rPr>
              <w:t xml:space="preserve">187.03±0.00 </w:t>
            </w:r>
            <w:r w:rsidRPr="00954317">
              <w:rPr>
                <w:rFonts w:ascii="Arial" w:eastAsia="Times New Roman" w:hAnsi="Arial" w:cs="Arial"/>
                <w:color w:val="000000"/>
                <w:sz w:val="20"/>
                <w:szCs w:val="20"/>
                <w:vertAlign w:val="subscript"/>
              </w:rPr>
              <w:t xml:space="preserve">b </w:t>
            </w:r>
          </w:p>
          <w:p w14:paraId="7CB433CA" w14:textId="77777777" w:rsidR="00CE516D" w:rsidRPr="00954317" w:rsidRDefault="00CE516D" w:rsidP="001B1C87">
            <w:pPr>
              <w:rPr>
                <w:rFonts w:ascii="Arial" w:eastAsia="Times New Roman" w:hAnsi="Arial" w:cs="Arial"/>
                <w:color w:val="000000"/>
                <w:sz w:val="20"/>
                <w:szCs w:val="20"/>
              </w:rPr>
            </w:pPr>
          </w:p>
        </w:tc>
      </w:tr>
      <w:tr w:rsidR="00CE516D" w:rsidRPr="00954317" w14:paraId="79A9001C" w14:textId="77777777" w:rsidTr="001B1C87">
        <w:tc>
          <w:tcPr>
            <w:tcW w:w="2337" w:type="dxa"/>
          </w:tcPr>
          <w:p w14:paraId="637F07CB"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C</w:t>
            </w:r>
          </w:p>
        </w:tc>
        <w:tc>
          <w:tcPr>
            <w:tcW w:w="2337" w:type="dxa"/>
          </w:tcPr>
          <w:p w14:paraId="1B5ADF33" w14:textId="77777777" w:rsidR="00CE516D" w:rsidRPr="00954317" w:rsidRDefault="00CE516D" w:rsidP="001B1C87">
            <w:pPr>
              <w:rPr>
                <w:rFonts w:ascii="Arial" w:eastAsia="Times New Roman" w:hAnsi="Arial" w:cs="Arial"/>
                <w:sz w:val="20"/>
                <w:szCs w:val="20"/>
              </w:rPr>
            </w:pPr>
            <w:r w:rsidRPr="00954317">
              <w:rPr>
                <w:rFonts w:ascii="Arial" w:eastAsia="Times New Roman" w:hAnsi="Arial" w:cs="Arial"/>
                <w:color w:val="000000"/>
                <w:sz w:val="20"/>
                <w:szCs w:val="20"/>
              </w:rPr>
              <w:t xml:space="preserve">1.12±0.04 </w:t>
            </w:r>
            <w:r w:rsidRPr="00954317">
              <w:rPr>
                <w:rFonts w:ascii="Arial" w:eastAsia="Times New Roman" w:hAnsi="Arial" w:cs="Arial"/>
                <w:color w:val="000000"/>
                <w:sz w:val="20"/>
                <w:szCs w:val="20"/>
                <w:vertAlign w:val="subscript"/>
              </w:rPr>
              <w:t>d</w:t>
            </w:r>
            <w:r w:rsidRPr="00954317">
              <w:rPr>
                <w:rFonts w:ascii="Arial" w:eastAsia="Times New Roman" w:hAnsi="Arial" w:cs="Arial"/>
                <w:color w:val="000000"/>
                <w:sz w:val="20"/>
                <w:szCs w:val="20"/>
              </w:rPr>
              <w:t xml:space="preserve"> </w:t>
            </w:r>
          </w:p>
          <w:p w14:paraId="083162F3" w14:textId="77777777" w:rsidR="00CE516D" w:rsidRPr="00954317" w:rsidRDefault="00CE516D" w:rsidP="001B1C87">
            <w:pPr>
              <w:rPr>
                <w:rFonts w:ascii="Arial" w:eastAsia="Times New Roman" w:hAnsi="Arial" w:cs="Arial"/>
                <w:color w:val="000000"/>
                <w:sz w:val="20"/>
                <w:szCs w:val="20"/>
              </w:rPr>
            </w:pPr>
          </w:p>
        </w:tc>
        <w:tc>
          <w:tcPr>
            <w:tcW w:w="2338" w:type="dxa"/>
          </w:tcPr>
          <w:p w14:paraId="69ADB953"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200.88±0.00 </w:t>
            </w:r>
            <w:r w:rsidRPr="00954317">
              <w:rPr>
                <w:rFonts w:ascii="Arial" w:eastAsia="Times New Roman" w:hAnsi="Arial" w:cs="Arial"/>
                <w:color w:val="000000"/>
                <w:sz w:val="20"/>
                <w:szCs w:val="20"/>
                <w:vertAlign w:val="subscript"/>
              </w:rPr>
              <w:t>b</w:t>
            </w:r>
          </w:p>
        </w:tc>
        <w:tc>
          <w:tcPr>
            <w:tcW w:w="2338" w:type="dxa"/>
          </w:tcPr>
          <w:p w14:paraId="48AB9612"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252.26±8.07 </w:t>
            </w:r>
            <w:r w:rsidRPr="00954317">
              <w:rPr>
                <w:rFonts w:ascii="Arial" w:eastAsia="Times New Roman" w:hAnsi="Arial" w:cs="Arial"/>
                <w:color w:val="000000"/>
                <w:sz w:val="20"/>
                <w:szCs w:val="20"/>
                <w:vertAlign w:val="subscript"/>
              </w:rPr>
              <w:t>d</w:t>
            </w:r>
          </w:p>
        </w:tc>
      </w:tr>
      <w:tr w:rsidR="00CE516D" w:rsidRPr="00954317" w14:paraId="3ABFBD10" w14:textId="77777777" w:rsidTr="001B1C87">
        <w:tc>
          <w:tcPr>
            <w:tcW w:w="2337" w:type="dxa"/>
          </w:tcPr>
          <w:p w14:paraId="63762EA0"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D</w:t>
            </w:r>
          </w:p>
        </w:tc>
        <w:tc>
          <w:tcPr>
            <w:tcW w:w="2337" w:type="dxa"/>
          </w:tcPr>
          <w:p w14:paraId="47E7A517" w14:textId="77777777" w:rsidR="00CE516D" w:rsidRPr="00954317" w:rsidRDefault="00CE516D" w:rsidP="001B1C87">
            <w:pPr>
              <w:rPr>
                <w:rFonts w:ascii="Arial" w:eastAsia="Times New Roman" w:hAnsi="Arial" w:cs="Arial"/>
                <w:sz w:val="20"/>
                <w:szCs w:val="20"/>
              </w:rPr>
            </w:pPr>
            <w:r w:rsidRPr="00954317">
              <w:rPr>
                <w:rFonts w:ascii="Arial" w:eastAsia="Times New Roman" w:hAnsi="Arial" w:cs="Arial"/>
                <w:color w:val="000000"/>
                <w:sz w:val="20"/>
                <w:szCs w:val="20"/>
              </w:rPr>
              <w:t>1.14±0.00</w:t>
            </w:r>
            <w:r w:rsidRPr="00954317">
              <w:rPr>
                <w:rFonts w:ascii="Arial" w:eastAsia="Times New Roman" w:hAnsi="Arial" w:cs="Arial"/>
                <w:color w:val="000000"/>
                <w:sz w:val="20"/>
                <w:szCs w:val="20"/>
                <w:vertAlign w:val="subscript"/>
              </w:rPr>
              <w:t xml:space="preserve"> d</w:t>
            </w:r>
            <w:r w:rsidRPr="00954317">
              <w:rPr>
                <w:rFonts w:ascii="Arial" w:eastAsia="Times New Roman" w:hAnsi="Arial" w:cs="Arial"/>
                <w:color w:val="000000"/>
                <w:sz w:val="20"/>
                <w:szCs w:val="20"/>
              </w:rPr>
              <w:t xml:space="preserve"> </w:t>
            </w:r>
          </w:p>
          <w:p w14:paraId="1CB52B97" w14:textId="77777777" w:rsidR="00CE516D" w:rsidRPr="00954317" w:rsidRDefault="00CE516D" w:rsidP="001B1C87">
            <w:pPr>
              <w:rPr>
                <w:rFonts w:ascii="Arial" w:eastAsia="Times New Roman" w:hAnsi="Arial" w:cs="Arial"/>
                <w:sz w:val="20"/>
                <w:szCs w:val="20"/>
              </w:rPr>
            </w:pPr>
          </w:p>
          <w:p w14:paraId="6D55F73A" w14:textId="77777777" w:rsidR="00CE516D" w:rsidRPr="00954317" w:rsidRDefault="00CE516D" w:rsidP="001B1C87">
            <w:pPr>
              <w:rPr>
                <w:rFonts w:ascii="Arial" w:eastAsia="Times New Roman" w:hAnsi="Arial" w:cs="Arial"/>
                <w:color w:val="000000"/>
                <w:sz w:val="20"/>
                <w:szCs w:val="20"/>
              </w:rPr>
            </w:pPr>
          </w:p>
        </w:tc>
        <w:tc>
          <w:tcPr>
            <w:tcW w:w="2338" w:type="dxa"/>
          </w:tcPr>
          <w:p w14:paraId="15FA4ED4"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235.74±0.00 </w:t>
            </w:r>
            <w:r w:rsidRPr="00954317">
              <w:rPr>
                <w:rFonts w:ascii="Arial" w:eastAsia="Times New Roman" w:hAnsi="Arial" w:cs="Arial"/>
                <w:color w:val="000000"/>
                <w:sz w:val="20"/>
                <w:szCs w:val="20"/>
                <w:vertAlign w:val="subscript"/>
              </w:rPr>
              <w:t>c</w:t>
            </w:r>
          </w:p>
        </w:tc>
        <w:tc>
          <w:tcPr>
            <w:tcW w:w="2338" w:type="dxa"/>
          </w:tcPr>
          <w:p w14:paraId="3EAEDE14" w14:textId="77777777" w:rsidR="00CE516D" w:rsidRPr="00954317" w:rsidRDefault="00CE516D" w:rsidP="001B1C87">
            <w:pPr>
              <w:rPr>
                <w:rFonts w:ascii="Arial" w:eastAsia="Times New Roman" w:hAnsi="Arial" w:cs="Arial"/>
                <w:sz w:val="20"/>
                <w:szCs w:val="20"/>
              </w:rPr>
            </w:pPr>
            <w:r w:rsidRPr="00954317">
              <w:rPr>
                <w:rFonts w:ascii="Arial" w:eastAsia="Times New Roman" w:hAnsi="Arial" w:cs="Arial"/>
                <w:color w:val="000000"/>
                <w:sz w:val="20"/>
                <w:szCs w:val="20"/>
              </w:rPr>
              <w:t xml:space="preserve">256.92±0.00 </w:t>
            </w:r>
            <w:r w:rsidRPr="00954317">
              <w:rPr>
                <w:rFonts w:ascii="Arial" w:eastAsia="Times New Roman" w:hAnsi="Arial" w:cs="Arial"/>
                <w:color w:val="000000"/>
                <w:sz w:val="20"/>
                <w:szCs w:val="20"/>
                <w:vertAlign w:val="subscript"/>
              </w:rPr>
              <w:t xml:space="preserve">d </w:t>
            </w:r>
          </w:p>
          <w:p w14:paraId="558A6E8B" w14:textId="77777777" w:rsidR="00CE516D" w:rsidRPr="00954317" w:rsidRDefault="00CE516D" w:rsidP="001B1C87">
            <w:pPr>
              <w:rPr>
                <w:rFonts w:ascii="Arial" w:eastAsia="Times New Roman" w:hAnsi="Arial" w:cs="Arial"/>
                <w:color w:val="000000"/>
                <w:sz w:val="20"/>
                <w:szCs w:val="20"/>
              </w:rPr>
            </w:pPr>
          </w:p>
        </w:tc>
      </w:tr>
      <w:tr w:rsidR="00CE516D" w:rsidRPr="00954317" w14:paraId="2F80877D" w14:textId="77777777" w:rsidTr="001B1C87">
        <w:tc>
          <w:tcPr>
            <w:tcW w:w="2337" w:type="dxa"/>
            <w:tcBorders>
              <w:bottom w:val="single" w:sz="4" w:space="0" w:color="auto"/>
            </w:tcBorders>
          </w:tcPr>
          <w:p w14:paraId="68C4DE3C"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E</w:t>
            </w:r>
          </w:p>
        </w:tc>
        <w:tc>
          <w:tcPr>
            <w:tcW w:w="2337" w:type="dxa"/>
            <w:tcBorders>
              <w:bottom w:val="single" w:sz="4" w:space="0" w:color="auto"/>
            </w:tcBorders>
          </w:tcPr>
          <w:p w14:paraId="638E9250"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0.38±0.04 </w:t>
            </w:r>
            <w:r w:rsidRPr="00954317">
              <w:rPr>
                <w:rFonts w:ascii="Arial" w:eastAsia="Times New Roman" w:hAnsi="Arial" w:cs="Arial"/>
                <w:color w:val="000000"/>
                <w:sz w:val="20"/>
                <w:szCs w:val="20"/>
                <w:vertAlign w:val="subscript"/>
              </w:rPr>
              <w:t>a</w:t>
            </w:r>
          </w:p>
        </w:tc>
        <w:tc>
          <w:tcPr>
            <w:tcW w:w="2338" w:type="dxa"/>
            <w:tcBorders>
              <w:bottom w:val="single" w:sz="4" w:space="0" w:color="auto"/>
            </w:tcBorders>
          </w:tcPr>
          <w:p w14:paraId="6F900431" w14:textId="77777777" w:rsidR="00CE516D" w:rsidRPr="00954317" w:rsidRDefault="00CE516D" w:rsidP="001B1C87">
            <w:pPr>
              <w:rPr>
                <w:rFonts w:ascii="Arial" w:eastAsia="Times New Roman" w:hAnsi="Arial" w:cs="Arial"/>
                <w:sz w:val="20"/>
                <w:szCs w:val="20"/>
              </w:rPr>
            </w:pPr>
            <w:r w:rsidRPr="00954317">
              <w:rPr>
                <w:rFonts w:ascii="Arial" w:eastAsia="Times New Roman" w:hAnsi="Arial" w:cs="Arial"/>
                <w:color w:val="000000"/>
                <w:sz w:val="20"/>
                <w:szCs w:val="20"/>
              </w:rPr>
              <w:t xml:space="preserve">96.29±0.00 </w:t>
            </w:r>
            <w:r w:rsidRPr="00954317">
              <w:rPr>
                <w:rFonts w:ascii="Arial" w:eastAsia="Times New Roman" w:hAnsi="Arial" w:cs="Arial"/>
                <w:color w:val="000000"/>
                <w:sz w:val="20"/>
                <w:szCs w:val="20"/>
                <w:vertAlign w:val="subscript"/>
              </w:rPr>
              <w:t>a</w:t>
            </w:r>
          </w:p>
          <w:p w14:paraId="02FDB2AE" w14:textId="77777777" w:rsidR="00CE516D" w:rsidRPr="00954317" w:rsidRDefault="00CE516D" w:rsidP="001B1C87">
            <w:pPr>
              <w:rPr>
                <w:rFonts w:ascii="Arial" w:eastAsia="Times New Roman" w:hAnsi="Arial" w:cs="Arial"/>
                <w:color w:val="000000"/>
                <w:sz w:val="20"/>
                <w:szCs w:val="20"/>
              </w:rPr>
            </w:pPr>
          </w:p>
        </w:tc>
        <w:tc>
          <w:tcPr>
            <w:tcW w:w="2338" w:type="dxa"/>
            <w:tcBorders>
              <w:bottom w:val="single" w:sz="4" w:space="0" w:color="auto"/>
            </w:tcBorders>
          </w:tcPr>
          <w:p w14:paraId="59BC7FD2" w14:textId="77777777" w:rsidR="00CE516D" w:rsidRPr="00954317" w:rsidRDefault="00CE516D" w:rsidP="001B1C87">
            <w:pPr>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84.53±8.07 </w:t>
            </w:r>
            <w:r w:rsidRPr="00954317">
              <w:rPr>
                <w:rFonts w:ascii="Arial" w:eastAsia="Times New Roman" w:hAnsi="Arial" w:cs="Arial"/>
                <w:color w:val="000000"/>
                <w:sz w:val="20"/>
                <w:szCs w:val="20"/>
                <w:vertAlign w:val="subscript"/>
              </w:rPr>
              <w:t>a</w:t>
            </w:r>
          </w:p>
        </w:tc>
      </w:tr>
    </w:tbl>
    <w:p w14:paraId="70DA9BFA" w14:textId="77777777" w:rsidR="00CE516D" w:rsidRPr="00954317" w:rsidRDefault="00CE516D" w:rsidP="00CE516D">
      <w:pPr>
        <w:rPr>
          <w:rFonts w:ascii="Arial" w:hAnsi="Arial" w:cs="Arial"/>
        </w:rPr>
      </w:pPr>
    </w:p>
    <w:p w14:paraId="0D9EB04C" w14:textId="77777777" w:rsidR="00CE516D" w:rsidRPr="00954317" w:rsidRDefault="00CE516D" w:rsidP="00CE516D">
      <w:pPr>
        <w:jc w:val="both"/>
        <w:rPr>
          <w:rFonts w:ascii="Arial" w:hAnsi="Arial" w:cs="Arial"/>
        </w:rPr>
      </w:pPr>
      <w:r w:rsidRPr="00954317">
        <w:rPr>
          <w:rFonts w:ascii="Arial" w:hAnsi="Arial" w:cs="Arial"/>
        </w:rPr>
        <w:t>Mean values are of duplicates ± standard deviation. The value within the rows with different superscripts is significantly (P&lt;0.05) different.</w:t>
      </w:r>
    </w:p>
    <w:p w14:paraId="1BDE0B6F" w14:textId="77777777" w:rsidR="00CE516D" w:rsidRPr="00954317" w:rsidRDefault="00CE516D" w:rsidP="00CE516D">
      <w:pPr>
        <w:jc w:val="both"/>
        <w:rPr>
          <w:rFonts w:ascii="Arial" w:hAnsi="Arial" w:cs="Arial"/>
        </w:rPr>
      </w:pPr>
    </w:p>
    <w:p w14:paraId="3069612A" w14:textId="77777777" w:rsidR="00CE516D" w:rsidRPr="00954317" w:rsidRDefault="00CE516D" w:rsidP="00CE516D">
      <w:pPr>
        <w:rPr>
          <w:rFonts w:ascii="Arial" w:hAnsi="Arial" w:cs="Arial"/>
        </w:rPr>
      </w:pPr>
      <w:r w:rsidRPr="00954317">
        <w:rPr>
          <w:rFonts w:ascii="Arial" w:hAnsi="Arial" w:cs="Arial"/>
        </w:rPr>
        <w:t>Key:</w:t>
      </w:r>
    </w:p>
    <w:p w14:paraId="55C158CE" w14:textId="77777777" w:rsidR="00CE516D" w:rsidRPr="00954317" w:rsidRDefault="00CE516D" w:rsidP="00CE516D">
      <w:pPr>
        <w:rPr>
          <w:rFonts w:ascii="Arial" w:hAnsi="Arial" w:cs="Arial"/>
        </w:rPr>
      </w:pPr>
      <w:r w:rsidRPr="00954317">
        <w:rPr>
          <w:rFonts w:ascii="Arial" w:hAnsi="Arial" w:cs="Arial"/>
        </w:rPr>
        <w:t>Sample A = 85% Wheat flour, 10% Soybean flour, and 5% Carrot flour</w:t>
      </w:r>
    </w:p>
    <w:p w14:paraId="7578BACA" w14:textId="77777777" w:rsidR="00CE516D" w:rsidRPr="00954317" w:rsidRDefault="00CE516D" w:rsidP="00CE516D">
      <w:pPr>
        <w:rPr>
          <w:rFonts w:ascii="Arial" w:hAnsi="Arial" w:cs="Arial"/>
        </w:rPr>
      </w:pPr>
      <w:r w:rsidRPr="00954317">
        <w:rPr>
          <w:rFonts w:ascii="Arial" w:hAnsi="Arial" w:cs="Arial"/>
        </w:rPr>
        <w:t>Sample B = 70% Wheat flour, 20% Soybean flour, and 10% Carrot flour</w:t>
      </w:r>
    </w:p>
    <w:p w14:paraId="33A2BD10" w14:textId="77777777" w:rsidR="00CE516D" w:rsidRPr="00954317" w:rsidRDefault="00CE516D" w:rsidP="00CE516D">
      <w:pPr>
        <w:rPr>
          <w:rFonts w:ascii="Arial" w:hAnsi="Arial" w:cs="Arial"/>
        </w:rPr>
      </w:pPr>
      <w:r w:rsidRPr="00954317">
        <w:rPr>
          <w:rFonts w:ascii="Arial" w:hAnsi="Arial" w:cs="Arial"/>
        </w:rPr>
        <w:t>Sample C = 60% Wheat flour, 25% Soybean flour, and 15% Carrot flour</w:t>
      </w:r>
    </w:p>
    <w:p w14:paraId="053BD506" w14:textId="77777777" w:rsidR="00CE516D" w:rsidRPr="00954317" w:rsidRDefault="00CE516D" w:rsidP="00CE516D">
      <w:pPr>
        <w:rPr>
          <w:rFonts w:ascii="Arial" w:hAnsi="Arial" w:cs="Arial"/>
        </w:rPr>
      </w:pPr>
      <w:r w:rsidRPr="00954317">
        <w:rPr>
          <w:rFonts w:ascii="Arial" w:hAnsi="Arial" w:cs="Arial"/>
        </w:rPr>
        <w:t>Sample D = 50% Wheat flour, 30% Soybean flour, and 20% Carrot flour</w:t>
      </w:r>
    </w:p>
    <w:p w14:paraId="63680239" w14:textId="77777777" w:rsidR="00CE516D" w:rsidRDefault="00CE516D" w:rsidP="00CE516D">
      <w:pPr>
        <w:rPr>
          <w:rFonts w:ascii="Arial" w:hAnsi="Arial" w:cs="Arial"/>
        </w:rPr>
      </w:pPr>
      <w:r w:rsidRPr="00954317">
        <w:rPr>
          <w:rFonts w:ascii="Arial" w:hAnsi="Arial" w:cs="Arial"/>
        </w:rPr>
        <w:t>Sample E = 100% Wheat flour (Control)</w:t>
      </w:r>
    </w:p>
    <w:p w14:paraId="282A23A5" w14:textId="77777777" w:rsidR="00CE516D" w:rsidRDefault="00CE516D" w:rsidP="00CE516D">
      <w:pPr>
        <w:rPr>
          <w:rFonts w:ascii="Arial" w:hAnsi="Arial" w:cs="Arial"/>
        </w:rPr>
      </w:pPr>
    </w:p>
    <w:p w14:paraId="73A629BC" w14:textId="77777777" w:rsidR="00CE516D" w:rsidRPr="001A072B" w:rsidRDefault="00CE516D" w:rsidP="00CE516D">
      <w:pPr>
        <w:rPr>
          <w:rFonts w:ascii="Arial" w:hAnsi="Arial" w:cs="Arial"/>
          <w:b/>
          <w:bCs/>
          <w:sz w:val="22"/>
          <w:szCs w:val="22"/>
        </w:rPr>
      </w:pPr>
      <w:r w:rsidRPr="001A072B">
        <w:rPr>
          <w:rFonts w:ascii="Arial" w:hAnsi="Arial" w:cs="Arial"/>
          <w:b/>
          <w:bCs/>
          <w:sz w:val="22"/>
          <w:szCs w:val="22"/>
        </w:rPr>
        <w:t>3.3 Vitamin Analysis</w:t>
      </w:r>
    </w:p>
    <w:p w14:paraId="489C055C" w14:textId="77777777" w:rsidR="00CE516D" w:rsidRPr="009B38DC" w:rsidRDefault="00CE516D" w:rsidP="00CE516D">
      <w:pPr>
        <w:rPr>
          <w:rFonts w:ascii="Arial" w:hAnsi="Arial" w:cs="Arial"/>
          <w:sz w:val="22"/>
          <w:szCs w:val="22"/>
        </w:rPr>
      </w:pPr>
    </w:p>
    <w:p w14:paraId="24868233" w14:textId="28FF764F" w:rsidR="00CE516D" w:rsidRPr="00FB057C" w:rsidRDefault="00CE516D" w:rsidP="00CE516D">
      <w:pPr>
        <w:jc w:val="both"/>
        <w:rPr>
          <w:rFonts w:ascii="Arial" w:hAnsi="Arial" w:cs="Arial"/>
        </w:rPr>
      </w:pPr>
      <w:r w:rsidRPr="00FB057C">
        <w:rPr>
          <w:rFonts w:ascii="Arial" w:hAnsi="Arial" w:cs="Arial"/>
        </w:rPr>
        <w:t xml:space="preserve">The result of the vitamin analysis is shown in Table </w:t>
      </w:r>
      <w:r w:rsidR="005144F3">
        <w:rPr>
          <w:rFonts w:ascii="Arial" w:hAnsi="Arial" w:cs="Arial"/>
        </w:rPr>
        <w:t>4</w:t>
      </w:r>
      <w:r w:rsidRPr="00FB057C">
        <w:rPr>
          <w:rFonts w:ascii="Arial" w:hAnsi="Arial" w:cs="Arial"/>
        </w:rPr>
        <w:t>. Vitamins are essential nutrients that play a significant role in maintaining overall health, and their presence in bread can enhance its nutritional value. In particular, B vitamins like thiamine (B1) and niacin (B3) are important for energy metabolism, nerve function, and overall vitality. In research by Gropper et al. (2018), thiamine is identified as crucial for converting carbohydrates into energy, while niacin is essential for maintaining skin health, proper digestion, and improving cardiovascular function.</w:t>
      </w:r>
    </w:p>
    <w:p w14:paraId="573DA7F5" w14:textId="77777777" w:rsidR="00CE516D" w:rsidRPr="00FB057C" w:rsidRDefault="00CE516D" w:rsidP="00CE516D">
      <w:pPr>
        <w:jc w:val="both"/>
        <w:rPr>
          <w:rFonts w:ascii="Arial" w:hAnsi="Arial" w:cs="Arial"/>
        </w:rPr>
      </w:pPr>
    </w:p>
    <w:p w14:paraId="73613C24" w14:textId="77777777" w:rsidR="00CE516D" w:rsidRPr="00FB057C" w:rsidRDefault="00CE516D" w:rsidP="00CE516D">
      <w:pPr>
        <w:jc w:val="both"/>
        <w:rPr>
          <w:rFonts w:ascii="Arial" w:hAnsi="Arial" w:cs="Arial"/>
        </w:rPr>
      </w:pPr>
      <w:r w:rsidRPr="00FB057C">
        <w:rPr>
          <w:rFonts w:ascii="Arial" w:hAnsi="Arial" w:cs="Arial"/>
        </w:rPr>
        <w:t>In this study, Sample A had the highest amount of vitamin B1 (0.34 mg) and vitamin B3 (0.35 mg), making it nutritionally superior in terms of vitamin content. As reported by Gropper et al. (2018), thiamine helps maintain a healthy nervous system, and its higher concentration in Sample A could provide better support for energy metabolism and neurological health compared to other samples. Vitamin B3, also present in higher amounts in Sample A, is beneficial for reducing cholesterol levels and improving skin and cardiovascular health, making it a valuable option for health-conscious consumers.</w:t>
      </w:r>
    </w:p>
    <w:p w14:paraId="744D1E9F" w14:textId="77777777" w:rsidR="00CE516D" w:rsidRPr="00FB057C" w:rsidRDefault="00CE516D" w:rsidP="00CE516D">
      <w:pPr>
        <w:jc w:val="both"/>
        <w:rPr>
          <w:rFonts w:ascii="Arial" w:hAnsi="Arial" w:cs="Arial"/>
        </w:rPr>
      </w:pPr>
    </w:p>
    <w:p w14:paraId="4D9CA92E" w14:textId="77777777" w:rsidR="00CE516D" w:rsidRPr="00FB057C" w:rsidRDefault="00CE516D" w:rsidP="00CE516D">
      <w:pPr>
        <w:jc w:val="both"/>
        <w:rPr>
          <w:rFonts w:ascii="Arial" w:hAnsi="Arial" w:cs="Arial"/>
        </w:rPr>
      </w:pPr>
      <w:r w:rsidRPr="00FB057C">
        <w:rPr>
          <w:rFonts w:ascii="Arial" w:hAnsi="Arial" w:cs="Arial"/>
        </w:rPr>
        <w:lastRenderedPageBreak/>
        <w:t>On the other hand, Sample E had the lowest content of both vitamins, with 0.32 mg of vitamin B1 and 0.12 mg of vitamin B3. In agreement with the work done by Miller et al. (2020), lower vitamin content could reduce the overall nutritional benefits of the bread, particularly for individuals looking to improve their vitamin intake for energy or skin health. Sample E might be less suitable for individuals with higher vitamin requirements, especially those needing a boost in thiamine and niacin.</w:t>
      </w:r>
    </w:p>
    <w:p w14:paraId="0E132773" w14:textId="77777777" w:rsidR="00CE516D" w:rsidRPr="00FB057C" w:rsidRDefault="00CE516D" w:rsidP="00CE516D">
      <w:pPr>
        <w:jc w:val="both"/>
        <w:rPr>
          <w:rFonts w:ascii="Arial" w:hAnsi="Arial" w:cs="Arial"/>
        </w:rPr>
      </w:pPr>
    </w:p>
    <w:p w14:paraId="0FDD232C" w14:textId="77777777" w:rsidR="00CE516D" w:rsidRPr="00FB057C" w:rsidRDefault="00CE516D" w:rsidP="00CE516D">
      <w:pPr>
        <w:jc w:val="both"/>
        <w:rPr>
          <w:rFonts w:ascii="Arial" w:hAnsi="Arial" w:cs="Arial"/>
        </w:rPr>
      </w:pPr>
      <w:r w:rsidRPr="00FB057C">
        <w:rPr>
          <w:rFonts w:ascii="Arial" w:hAnsi="Arial" w:cs="Arial"/>
        </w:rPr>
        <w:t xml:space="preserve">Samples B, C, and D showed moderate levels of both vitamins. For example, Sample D had 0.33 mg of vitamin B1 and 0.31 mg of vitamin B3, making it a balanced option for individuals who want a bread that provides a decent amount of essential nutrients without being as vitamin-rich as Sample A. In research by Tang et al. (2019), </w:t>
      </w:r>
      <w:r w:rsidR="00AF071A">
        <w:rPr>
          <w:rFonts w:ascii="Arial" w:hAnsi="Arial" w:cs="Arial"/>
        </w:rPr>
        <w:t xml:space="preserve">a </w:t>
      </w:r>
      <w:r w:rsidRPr="00FB057C">
        <w:rPr>
          <w:rFonts w:ascii="Arial" w:hAnsi="Arial" w:cs="Arial"/>
        </w:rPr>
        <w:t xml:space="preserve">balanced vitamin content is </w:t>
      </w:r>
      <w:r w:rsidR="00AF071A">
        <w:rPr>
          <w:rFonts w:ascii="Arial" w:hAnsi="Arial" w:cs="Arial"/>
        </w:rPr>
        <w:t>crucial</w:t>
      </w:r>
      <w:r w:rsidRPr="00FB057C">
        <w:rPr>
          <w:rFonts w:ascii="Arial" w:hAnsi="Arial" w:cs="Arial"/>
        </w:rPr>
        <w:t xml:space="preserve"> </w:t>
      </w:r>
      <w:r w:rsidR="00AF071A">
        <w:rPr>
          <w:rFonts w:ascii="Arial" w:hAnsi="Arial" w:cs="Arial"/>
        </w:rPr>
        <w:t>for</w:t>
      </w:r>
      <w:r w:rsidRPr="00FB057C">
        <w:rPr>
          <w:rFonts w:ascii="Arial" w:hAnsi="Arial" w:cs="Arial"/>
        </w:rPr>
        <w:t xml:space="preserve"> maintaining health without excess, and these moderate levels could be appealing to a wider range of consumers.</w:t>
      </w:r>
    </w:p>
    <w:p w14:paraId="319B11E6" w14:textId="77777777" w:rsidR="00CE516D" w:rsidRPr="00FB057C" w:rsidRDefault="00CE516D" w:rsidP="00CE516D">
      <w:pPr>
        <w:jc w:val="both"/>
        <w:rPr>
          <w:rFonts w:ascii="Arial" w:hAnsi="Arial" w:cs="Arial"/>
        </w:rPr>
      </w:pPr>
    </w:p>
    <w:p w14:paraId="250A5FE6" w14:textId="77777777" w:rsidR="00CE516D" w:rsidRPr="00FB057C" w:rsidRDefault="00CE516D" w:rsidP="00CE516D">
      <w:pPr>
        <w:jc w:val="both"/>
        <w:rPr>
          <w:rFonts w:ascii="Arial" w:hAnsi="Arial" w:cs="Arial"/>
        </w:rPr>
      </w:pPr>
      <w:r w:rsidRPr="00FB057C">
        <w:rPr>
          <w:rFonts w:ascii="Arial" w:hAnsi="Arial" w:cs="Arial"/>
        </w:rPr>
        <w:t xml:space="preserve">In conclusion, Sample A stands out as the most vitamin-rich, offering the highest levels of both vitamin B1 and B3, </w:t>
      </w:r>
      <w:r w:rsidR="00AF071A">
        <w:rPr>
          <w:rFonts w:ascii="Arial" w:hAnsi="Arial" w:cs="Arial"/>
        </w:rPr>
        <w:t>making</w:t>
      </w:r>
      <w:r w:rsidRPr="00FB057C">
        <w:rPr>
          <w:rFonts w:ascii="Arial" w:hAnsi="Arial" w:cs="Arial"/>
        </w:rPr>
        <w:t xml:space="preserve"> it an excellent option for consumers </w:t>
      </w:r>
      <w:r w:rsidR="00AF071A">
        <w:rPr>
          <w:rFonts w:ascii="Arial" w:hAnsi="Arial" w:cs="Arial"/>
        </w:rPr>
        <w:t>see</w:t>
      </w:r>
      <w:r w:rsidRPr="00FB057C">
        <w:rPr>
          <w:rFonts w:ascii="Arial" w:hAnsi="Arial" w:cs="Arial"/>
        </w:rPr>
        <w:t>king to enhance their intake of essential vitamins. Sample E, while lower in vitamin content, may still be suitable for individuals with less demanding nutritional requirements. Samples B, C, and D provide moderate levels of vitamins, ensuring that they remain nutritionally relevant for a broad consumer base. These findings a</w:t>
      </w:r>
      <w:r w:rsidR="00AF071A">
        <w:rPr>
          <w:rFonts w:ascii="Arial" w:hAnsi="Arial" w:cs="Arial"/>
        </w:rPr>
        <w:t>lign</w:t>
      </w:r>
      <w:r w:rsidRPr="00FB057C">
        <w:rPr>
          <w:rFonts w:ascii="Arial" w:hAnsi="Arial" w:cs="Arial"/>
        </w:rPr>
        <w:t xml:space="preserve"> with previous research</w:t>
      </w:r>
      <w:r w:rsidR="00AF071A">
        <w:rPr>
          <w:rFonts w:ascii="Arial" w:hAnsi="Arial" w:cs="Arial"/>
        </w:rPr>
        <w:t>,</w:t>
      </w:r>
      <w:r w:rsidRPr="00FB057C">
        <w:rPr>
          <w:rFonts w:ascii="Arial" w:hAnsi="Arial" w:cs="Arial"/>
        </w:rPr>
        <w:t xml:space="preserve"> </w:t>
      </w:r>
      <w:r w:rsidR="00AF071A">
        <w:rPr>
          <w:rFonts w:ascii="Arial" w:hAnsi="Arial" w:cs="Arial"/>
        </w:rPr>
        <w:t>which highlights</w:t>
      </w:r>
      <w:r w:rsidRPr="00FB057C">
        <w:rPr>
          <w:rFonts w:ascii="Arial" w:hAnsi="Arial" w:cs="Arial"/>
        </w:rPr>
        <w:t xml:space="preserve"> the importance of vitamin content in maintaining health and energy metabolism (Gropper et al., 2018).</w:t>
      </w:r>
    </w:p>
    <w:p w14:paraId="1A0DCF00" w14:textId="77777777" w:rsidR="00CE516D" w:rsidRPr="009B38DC" w:rsidRDefault="00CE516D" w:rsidP="00CE516D">
      <w:pPr>
        <w:jc w:val="both"/>
        <w:rPr>
          <w:rFonts w:ascii="Arial" w:hAnsi="Arial" w:cs="Arial"/>
          <w:sz w:val="22"/>
          <w:szCs w:val="22"/>
        </w:rPr>
      </w:pPr>
    </w:p>
    <w:p w14:paraId="1ECB01AD" w14:textId="3B006FDC" w:rsidR="00CE516D" w:rsidRPr="00FB057C" w:rsidRDefault="00CE516D" w:rsidP="00CE516D">
      <w:pPr>
        <w:rPr>
          <w:rFonts w:ascii="Arial" w:hAnsi="Arial" w:cs="Arial"/>
        </w:rPr>
      </w:pPr>
      <w:commentRangeStart w:id="35"/>
      <w:r w:rsidRPr="00FB057C">
        <w:rPr>
          <w:rFonts w:ascii="Arial" w:hAnsi="Arial" w:cs="Arial"/>
        </w:rPr>
        <w:t xml:space="preserve">Table </w:t>
      </w:r>
      <w:r w:rsidR="005144F3">
        <w:rPr>
          <w:rFonts w:ascii="Arial" w:hAnsi="Arial" w:cs="Arial"/>
        </w:rPr>
        <w:t>4</w:t>
      </w:r>
      <w:r w:rsidRPr="00FB057C">
        <w:rPr>
          <w:rFonts w:ascii="Arial" w:hAnsi="Arial" w:cs="Arial"/>
        </w:rPr>
        <w:t>: Vitamin Analysis</w:t>
      </w:r>
      <w:commentRangeEnd w:id="35"/>
      <w:r w:rsidR="00452B66">
        <w:rPr>
          <w:rStyle w:val="CommentReference"/>
          <w:rFonts w:ascii="Times New Roman" w:hAnsi="Times New Roman"/>
          <w:lang w:val="nb-NO" w:eastAsia="nb-NO"/>
        </w:rPr>
        <w:commentReference w:id="35"/>
      </w:r>
    </w:p>
    <w:p w14:paraId="6D0C190B" w14:textId="77777777" w:rsidR="00CE516D" w:rsidRPr="00FB057C" w:rsidRDefault="00CE516D" w:rsidP="00CE516D">
      <w:pPr>
        <w:rPr>
          <w:rFonts w:ascii="Arial" w:hAnsi="Arial" w:cs="Arial"/>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E516D" w:rsidRPr="00FB057C" w14:paraId="2A61CAFD" w14:textId="77777777" w:rsidTr="001B1C87">
        <w:tc>
          <w:tcPr>
            <w:tcW w:w="3116" w:type="dxa"/>
            <w:tcBorders>
              <w:top w:val="single" w:sz="4" w:space="0" w:color="auto"/>
              <w:bottom w:val="single" w:sz="4" w:space="0" w:color="auto"/>
            </w:tcBorders>
          </w:tcPr>
          <w:p w14:paraId="0429BAFA" w14:textId="77777777" w:rsidR="00CE516D" w:rsidRPr="00FB057C" w:rsidRDefault="00CE516D"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SAMPLES</w:t>
            </w:r>
          </w:p>
        </w:tc>
        <w:tc>
          <w:tcPr>
            <w:tcW w:w="3117" w:type="dxa"/>
            <w:tcBorders>
              <w:top w:val="single" w:sz="4" w:space="0" w:color="auto"/>
              <w:bottom w:val="single" w:sz="4" w:space="0" w:color="auto"/>
            </w:tcBorders>
          </w:tcPr>
          <w:p w14:paraId="4FF6C596" w14:textId="77777777" w:rsidR="00CE516D" w:rsidRPr="00FB057C" w:rsidRDefault="00CE516D"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VITAMIN B1</w:t>
            </w:r>
          </w:p>
        </w:tc>
        <w:tc>
          <w:tcPr>
            <w:tcW w:w="3117" w:type="dxa"/>
            <w:tcBorders>
              <w:top w:val="single" w:sz="4" w:space="0" w:color="auto"/>
              <w:bottom w:val="single" w:sz="4" w:space="0" w:color="auto"/>
            </w:tcBorders>
          </w:tcPr>
          <w:p w14:paraId="4906F13F" w14:textId="77777777" w:rsidR="00CE516D" w:rsidRPr="00FB057C" w:rsidRDefault="00CE516D" w:rsidP="001B1C87">
            <w:pPr>
              <w:rPr>
                <w:rFonts w:ascii="Arial" w:eastAsia="Times New Roman" w:hAnsi="Arial" w:cs="Arial"/>
                <w:b/>
                <w:bCs/>
                <w:color w:val="000000"/>
                <w:sz w:val="20"/>
                <w:szCs w:val="20"/>
              </w:rPr>
            </w:pPr>
            <w:commentRangeStart w:id="36"/>
            <w:r w:rsidRPr="00FB057C">
              <w:rPr>
                <w:rFonts w:ascii="Arial" w:eastAsia="Times New Roman" w:hAnsi="Arial" w:cs="Arial"/>
                <w:b/>
                <w:bCs/>
                <w:color w:val="000000"/>
                <w:sz w:val="20"/>
                <w:szCs w:val="20"/>
              </w:rPr>
              <w:t>VITAMIN B2</w:t>
            </w:r>
            <w:commentRangeEnd w:id="36"/>
            <w:r w:rsidR="00452B66">
              <w:rPr>
                <w:rStyle w:val="CommentReference"/>
                <w:rFonts w:ascii="Times New Roman" w:eastAsia="Times New Roman" w:hAnsi="Times New Roman"/>
                <w:lang w:val="nb-NO" w:eastAsia="nb-NO"/>
              </w:rPr>
              <w:commentReference w:id="36"/>
            </w:r>
          </w:p>
        </w:tc>
      </w:tr>
      <w:tr w:rsidR="00CE516D" w:rsidRPr="00FB057C" w14:paraId="3AE0D62E" w14:textId="77777777" w:rsidTr="001B1C87">
        <w:tc>
          <w:tcPr>
            <w:tcW w:w="3116" w:type="dxa"/>
            <w:tcBorders>
              <w:top w:val="single" w:sz="4" w:space="0" w:color="auto"/>
              <w:bottom w:val="nil"/>
            </w:tcBorders>
          </w:tcPr>
          <w:p w14:paraId="04B5223B"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A</w:t>
            </w:r>
          </w:p>
        </w:tc>
        <w:tc>
          <w:tcPr>
            <w:tcW w:w="3117" w:type="dxa"/>
            <w:tcBorders>
              <w:top w:val="single" w:sz="4" w:space="0" w:color="auto"/>
              <w:bottom w:val="nil"/>
            </w:tcBorders>
          </w:tcPr>
          <w:p w14:paraId="33EEEE80"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0.34±0.00 </w:t>
            </w:r>
            <w:r w:rsidRPr="00FB057C">
              <w:rPr>
                <w:rFonts w:ascii="Arial" w:eastAsia="Times New Roman" w:hAnsi="Arial" w:cs="Arial"/>
                <w:color w:val="000000"/>
                <w:sz w:val="20"/>
                <w:szCs w:val="20"/>
                <w:vertAlign w:val="subscript"/>
              </w:rPr>
              <w:t>d</w:t>
            </w:r>
            <w:r w:rsidRPr="00FB057C">
              <w:rPr>
                <w:rFonts w:ascii="Arial" w:eastAsia="Times New Roman" w:hAnsi="Arial" w:cs="Arial"/>
                <w:color w:val="000000"/>
                <w:sz w:val="20"/>
                <w:szCs w:val="20"/>
              </w:rPr>
              <w:t xml:space="preserve"> </w:t>
            </w:r>
          </w:p>
          <w:p w14:paraId="70407FC3" w14:textId="77777777" w:rsidR="00CE516D" w:rsidRPr="00FB057C" w:rsidRDefault="00CE516D" w:rsidP="001B1C87">
            <w:pPr>
              <w:rPr>
                <w:rFonts w:ascii="Arial" w:eastAsia="Times New Roman" w:hAnsi="Arial" w:cs="Arial"/>
                <w:color w:val="000000"/>
                <w:sz w:val="20"/>
                <w:szCs w:val="20"/>
              </w:rPr>
            </w:pPr>
          </w:p>
        </w:tc>
        <w:tc>
          <w:tcPr>
            <w:tcW w:w="3117" w:type="dxa"/>
            <w:tcBorders>
              <w:top w:val="single" w:sz="4" w:space="0" w:color="auto"/>
              <w:bottom w:val="nil"/>
            </w:tcBorders>
          </w:tcPr>
          <w:p w14:paraId="75723ED1"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0.35±0.00 </w:t>
            </w:r>
            <w:r w:rsidRPr="00FB057C">
              <w:rPr>
                <w:rFonts w:ascii="Arial" w:eastAsia="Times New Roman" w:hAnsi="Arial" w:cs="Arial"/>
                <w:color w:val="000000"/>
                <w:sz w:val="20"/>
                <w:szCs w:val="20"/>
                <w:vertAlign w:val="subscript"/>
              </w:rPr>
              <w:t>e</w:t>
            </w:r>
          </w:p>
        </w:tc>
      </w:tr>
      <w:tr w:rsidR="00CE516D" w:rsidRPr="00FB057C" w14:paraId="71E85381" w14:textId="77777777" w:rsidTr="001B1C87">
        <w:tc>
          <w:tcPr>
            <w:tcW w:w="3116" w:type="dxa"/>
            <w:tcBorders>
              <w:top w:val="nil"/>
              <w:bottom w:val="nil"/>
            </w:tcBorders>
          </w:tcPr>
          <w:p w14:paraId="5E857F19"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B</w:t>
            </w:r>
          </w:p>
        </w:tc>
        <w:tc>
          <w:tcPr>
            <w:tcW w:w="3117" w:type="dxa"/>
            <w:tcBorders>
              <w:top w:val="nil"/>
              <w:bottom w:val="nil"/>
            </w:tcBorders>
          </w:tcPr>
          <w:p w14:paraId="4269BA7F"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0.33±0.00 </w:t>
            </w:r>
            <w:r w:rsidRPr="00FB057C">
              <w:rPr>
                <w:rFonts w:ascii="Arial" w:eastAsia="Times New Roman" w:hAnsi="Arial" w:cs="Arial"/>
                <w:color w:val="000000"/>
                <w:sz w:val="20"/>
                <w:szCs w:val="20"/>
                <w:vertAlign w:val="subscript"/>
              </w:rPr>
              <w:t>c</w:t>
            </w:r>
            <w:r w:rsidRPr="00FB057C">
              <w:rPr>
                <w:rFonts w:ascii="Arial" w:eastAsia="Times New Roman" w:hAnsi="Arial" w:cs="Arial"/>
                <w:color w:val="000000"/>
                <w:sz w:val="20"/>
                <w:szCs w:val="20"/>
              </w:rPr>
              <w:t xml:space="preserve"> </w:t>
            </w:r>
          </w:p>
          <w:p w14:paraId="6D2480DC" w14:textId="77777777" w:rsidR="00CE516D" w:rsidRPr="00FB057C" w:rsidRDefault="00CE516D" w:rsidP="001B1C87">
            <w:pPr>
              <w:rPr>
                <w:rFonts w:ascii="Arial" w:eastAsia="Times New Roman" w:hAnsi="Arial" w:cs="Arial"/>
                <w:color w:val="000000"/>
                <w:sz w:val="20"/>
                <w:szCs w:val="20"/>
              </w:rPr>
            </w:pPr>
          </w:p>
        </w:tc>
        <w:tc>
          <w:tcPr>
            <w:tcW w:w="3117" w:type="dxa"/>
            <w:tcBorders>
              <w:top w:val="nil"/>
              <w:bottom w:val="nil"/>
            </w:tcBorders>
          </w:tcPr>
          <w:p w14:paraId="2C707940"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0.25±0.00 </w:t>
            </w:r>
            <w:r w:rsidRPr="00FB057C">
              <w:rPr>
                <w:rFonts w:ascii="Arial" w:eastAsia="Times New Roman" w:hAnsi="Arial" w:cs="Arial"/>
                <w:color w:val="000000"/>
                <w:sz w:val="20"/>
                <w:szCs w:val="20"/>
                <w:vertAlign w:val="subscript"/>
              </w:rPr>
              <w:t>c</w:t>
            </w:r>
          </w:p>
        </w:tc>
      </w:tr>
      <w:tr w:rsidR="00CE516D" w:rsidRPr="00FB057C" w14:paraId="08EB95CD" w14:textId="77777777" w:rsidTr="001B1C87">
        <w:tc>
          <w:tcPr>
            <w:tcW w:w="3116" w:type="dxa"/>
            <w:tcBorders>
              <w:top w:val="nil"/>
              <w:bottom w:val="nil"/>
            </w:tcBorders>
          </w:tcPr>
          <w:p w14:paraId="78D87219"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C</w:t>
            </w:r>
          </w:p>
        </w:tc>
        <w:tc>
          <w:tcPr>
            <w:tcW w:w="3117" w:type="dxa"/>
            <w:tcBorders>
              <w:top w:val="nil"/>
              <w:bottom w:val="nil"/>
            </w:tcBorders>
          </w:tcPr>
          <w:p w14:paraId="229E1B33"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0.32±0.00 </w:t>
            </w:r>
            <w:r w:rsidRPr="00FB057C">
              <w:rPr>
                <w:rFonts w:ascii="Arial" w:eastAsia="Times New Roman" w:hAnsi="Arial" w:cs="Arial"/>
                <w:color w:val="000000"/>
                <w:sz w:val="20"/>
                <w:szCs w:val="20"/>
                <w:vertAlign w:val="subscript"/>
              </w:rPr>
              <w:t>a</w:t>
            </w:r>
            <w:r w:rsidRPr="00FB057C">
              <w:rPr>
                <w:rFonts w:ascii="Arial" w:eastAsia="Times New Roman" w:hAnsi="Arial" w:cs="Arial"/>
                <w:color w:val="000000"/>
                <w:sz w:val="20"/>
                <w:szCs w:val="20"/>
              </w:rPr>
              <w:t xml:space="preserve"> </w:t>
            </w:r>
          </w:p>
          <w:p w14:paraId="26863F95" w14:textId="77777777" w:rsidR="00CE516D" w:rsidRPr="00FB057C" w:rsidRDefault="00CE516D" w:rsidP="001B1C87">
            <w:pPr>
              <w:rPr>
                <w:rFonts w:ascii="Arial" w:eastAsia="Times New Roman" w:hAnsi="Arial" w:cs="Arial"/>
                <w:color w:val="000000"/>
                <w:sz w:val="20"/>
                <w:szCs w:val="20"/>
              </w:rPr>
            </w:pPr>
          </w:p>
        </w:tc>
        <w:tc>
          <w:tcPr>
            <w:tcW w:w="3117" w:type="dxa"/>
            <w:tcBorders>
              <w:top w:val="nil"/>
              <w:bottom w:val="nil"/>
            </w:tcBorders>
          </w:tcPr>
          <w:p w14:paraId="0741F89F"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0.22±0.00 </w:t>
            </w:r>
            <w:r w:rsidRPr="00FB057C">
              <w:rPr>
                <w:rFonts w:ascii="Arial" w:eastAsia="Times New Roman" w:hAnsi="Arial" w:cs="Arial"/>
                <w:color w:val="000000"/>
                <w:sz w:val="20"/>
                <w:szCs w:val="20"/>
                <w:vertAlign w:val="subscript"/>
              </w:rPr>
              <w:t>b</w:t>
            </w:r>
          </w:p>
        </w:tc>
      </w:tr>
      <w:tr w:rsidR="00CE516D" w:rsidRPr="00FB057C" w14:paraId="3E903E44" w14:textId="77777777" w:rsidTr="001B1C87">
        <w:tc>
          <w:tcPr>
            <w:tcW w:w="3116" w:type="dxa"/>
            <w:tcBorders>
              <w:top w:val="nil"/>
              <w:bottom w:val="nil"/>
            </w:tcBorders>
          </w:tcPr>
          <w:p w14:paraId="50DE8920"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D</w:t>
            </w:r>
          </w:p>
        </w:tc>
        <w:tc>
          <w:tcPr>
            <w:tcW w:w="3117" w:type="dxa"/>
            <w:tcBorders>
              <w:top w:val="nil"/>
              <w:bottom w:val="nil"/>
            </w:tcBorders>
          </w:tcPr>
          <w:p w14:paraId="043F7E8C" w14:textId="77777777" w:rsidR="00CE516D" w:rsidRPr="00FB057C" w:rsidRDefault="00CE516D" w:rsidP="001B1C87">
            <w:pPr>
              <w:rPr>
                <w:rFonts w:ascii="Arial" w:eastAsia="Times New Roman" w:hAnsi="Arial" w:cs="Arial"/>
                <w:color w:val="000000"/>
                <w:sz w:val="20"/>
                <w:szCs w:val="20"/>
                <w:vertAlign w:val="subscript"/>
              </w:rPr>
            </w:pPr>
            <w:r w:rsidRPr="00FB057C">
              <w:rPr>
                <w:rFonts w:ascii="Arial" w:eastAsia="Times New Roman" w:hAnsi="Arial" w:cs="Arial"/>
                <w:color w:val="000000"/>
                <w:sz w:val="20"/>
                <w:szCs w:val="20"/>
              </w:rPr>
              <w:t xml:space="preserve">0.33±0.00 </w:t>
            </w:r>
            <w:r w:rsidRPr="00FB057C">
              <w:rPr>
                <w:rFonts w:ascii="Arial" w:eastAsia="Times New Roman" w:hAnsi="Arial" w:cs="Arial"/>
                <w:color w:val="000000"/>
                <w:sz w:val="20"/>
                <w:szCs w:val="20"/>
                <w:vertAlign w:val="subscript"/>
              </w:rPr>
              <w:t>b</w:t>
            </w:r>
          </w:p>
          <w:p w14:paraId="12E6863F" w14:textId="77777777" w:rsidR="00CE516D" w:rsidRPr="00FB057C" w:rsidRDefault="00CE516D" w:rsidP="001B1C87">
            <w:pPr>
              <w:rPr>
                <w:rFonts w:ascii="Arial" w:eastAsia="Times New Roman" w:hAnsi="Arial" w:cs="Arial"/>
                <w:color w:val="000000"/>
                <w:sz w:val="20"/>
                <w:szCs w:val="20"/>
              </w:rPr>
            </w:pPr>
          </w:p>
        </w:tc>
        <w:tc>
          <w:tcPr>
            <w:tcW w:w="3117" w:type="dxa"/>
            <w:tcBorders>
              <w:top w:val="nil"/>
              <w:bottom w:val="nil"/>
            </w:tcBorders>
          </w:tcPr>
          <w:p w14:paraId="30B8DA02"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0.31±0.00 </w:t>
            </w:r>
            <w:r w:rsidRPr="00FB057C">
              <w:rPr>
                <w:rFonts w:ascii="Arial" w:eastAsia="Times New Roman" w:hAnsi="Arial" w:cs="Arial"/>
                <w:color w:val="000000"/>
                <w:sz w:val="20"/>
                <w:szCs w:val="20"/>
                <w:vertAlign w:val="subscript"/>
              </w:rPr>
              <w:t>d</w:t>
            </w:r>
          </w:p>
        </w:tc>
      </w:tr>
      <w:tr w:rsidR="00CE516D" w:rsidRPr="00FB057C" w14:paraId="0960B316" w14:textId="77777777" w:rsidTr="001B1C87">
        <w:tc>
          <w:tcPr>
            <w:tcW w:w="3116" w:type="dxa"/>
            <w:tcBorders>
              <w:top w:val="nil"/>
              <w:bottom w:val="single" w:sz="4" w:space="0" w:color="auto"/>
            </w:tcBorders>
          </w:tcPr>
          <w:p w14:paraId="3EB191BE"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E</w:t>
            </w:r>
          </w:p>
        </w:tc>
        <w:tc>
          <w:tcPr>
            <w:tcW w:w="3117" w:type="dxa"/>
            <w:tcBorders>
              <w:top w:val="nil"/>
              <w:bottom w:val="single" w:sz="4" w:space="0" w:color="auto"/>
            </w:tcBorders>
          </w:tcPr>
          <w:p w14:paraId="3D30F419"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0.32±0.00 </w:t>
            </w:r>
            <w:r w:rsidRPr="00FB057C">
              <w:rPr>
                <w:rFonts w:ascii="Arial" w:eastAsia="Times New Roman" w:hAnsi="Arial" w:cs="Arial"/>
                <w:color w:val="000000"/>
                <w:sz w:val="20"/>
                <w:szCs w:val="20"/>
                <w:vertAlign w:val="subscript"/>
              </w:rPr>
              <w:t>a</w:t>
            </w:r>
            <w:r w:rsidRPr="00FB057C">
              <w:rPr>
                <w:rFonts w:ascii="Arial" w:eastAsia="Times New Roman" w:hAnsi="Arial" w:cs="Arial"/>
                <w:color w:val="000000"/>
                <w:sz w:val="20"/>
                <w:szCs w:val="20"/>
              </w:rPr>
              <w:t xml:space="preserve"> </w:t>
            </w:r>
          </w:p>
          <w:p w14:paraId="1A114744" w14:textId="77777777" w:rsidR="00CE516D" w:rsidRPr="00FB057C" w:rsidRDefault="00CE516D" w:rsidP="001B1C87">
            <w:pPr>
              <w:rPr>
                <w:rFonts w:ascii="Arial" w:eastAsia="Times New Roman" w:hAnsi="Arial" w:cs="Arial"/>
                <w:color w:val="000000"/>
                <w:sz w:val="20"/>
                <w:szCs w:val="20"/>
              </w:rPr>
            </w:pPr>
          </w:p>
        </w:tc>
        <w:tc>
          <w:tcPr>
            <w:tcW w:w="3117" w:type="dxa"/>
            <w:tcBorders>
              <w:top w:val="nil"/>
              <w:bottom w:val="single" w:sz="4" w:space="0" w:color="auto"/>
            </w:tcBorders>
          </w:tcPr>
          <w:p w14:paraId="23E7A990"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0.12±0.01 </w:t>
            </w:r>
            <w:r w:rsidRPr="00FB057C">
              <w:rPr>
                <w:rFonts w:ascii="Arial" w:eastAsia="Times New Roman" w:hAnsi="Arial" w:cs="Arial"/>
                <w:color w:val="000000"/>
                <w:sz w:val="20"/>
                <w:szCs w:val="20"/>
                <w:vertAlign w:val="subscript"/>
              </w:rPr>
              <w:t>a</w:t>
            </w:r>
          </w:p>
        </w:tc>
      </w:tr>
    </w:tbl>
    <w:p w14:paraId="5DC30831" w14:textId="77777777" w:rsidR="00CE516D" w:rsidRPr="00FB057C" w:rsidRDefault="00CE516D" w:rsidP="00CE516D">
      <w:pPr>
        <w:rPr>
          <w:rFonts w:ascii="Arial" w:hAnsi="Arial" w:cs="Arial"/>
        </w:rPr>
      </w:pPr>
    </w:p>
    <w:p w14:paraId="1E1E184B" w14:textId="77777777" w:rsidR="00CE516D" w:rsidRPr="00FB057C" w:rsidRDefault="00CE516D" w:rsidP="00CE516D">
      <w:pPr>
        <w:jc w:val="both"/>
        <w:rPr>
          <w:rFonts w:ascii="Arial" w:hAnsi="Arial" w:cs="Arial"/>
        </w:rPr>
      </w:pPr>
      <w:r w:rsidRPr="00FB057C">
        <w:rPr>
          <w:rFonts w:ascii="Arial" w:hAnsi="Arial" w:cs="Arial"/>
        </w:rPr>
        <w:t>Mean values are of duplicates ± standard deviation. The value within the rows with different superscripts is significantly (P&lt;0.05) different.</w:t>
      </w:r>
    </w:p>
    <w:p w14:paraId="0396BC95" w14:textId="77777777" w:rsidR="00CE516D" w:rsidRPr="00FB057C" w:rsidRDefault="00CE516D" w:rsidP="00CE516D">
      <w:pPr>
        <w:jc w:val="both"/>
        <w:rPr>
          <w:rFonts w:ascii="Arial" w:hAnsi="Arial" w:cs="Arial"/>
        </w:rPr>
      </w:pPr>
    </w:p>
    <w:p w14:paraId="48CD509B" w14:textId="77777777" w:rsidR="00CE516D" w:rsidRPr="00FB057C" w:rsidRDefault="00CE516D" w:rsidP="00CE516D">
      <w:pPr>
        <w:jc w:val="both"/>
        <w:rPr>
          <w:rFonts w:ascii="Arial" w:hAnsi="Arial" w:cs="Arial"/>
        </w:rPr>
      </w:pPr>
      <w:r w:rsidRPr="00FB057C">
        <w:rPr>
          <w:rFonts w:ascii="Arial" w:hAnsi="Arial" w:cs="Arial"/>
        </w:rPr>
        <w:t>Key:</w:t>
      </w:r>
    </w:p>
    <w:p w14:paraId="079A3828" w14:textId="77777777" w:rsidR="00CE516D" w:rsidRPr="00FB057C" w:rsidRDefault="00CE516D" w:rsidP="00CE516D">
      <w:pPr>
        <w:jc w:val="both"/>
        <w:rPr>
          <w:rFonts w:ascii="Arial" w:hAnsi="Arial" w:cs="Arial"/>
        </w:rPr>
      </w:pPr>
      <w:r w:rsidRPr="00FB057C">
        <w:rPr>
          <w:rFonts w:ascii="Arial" w:hAnsi="Arial" w:cs="Arial"/>
        </w:rPr>
        <w:t>Sample A = 85% Wheat flour, 10% Soybean flour, and 5% Carrot flour</w:t>
      </w:r>
    </w:p>
    <w:p w14:paraId="426914F2" w14:textId="77777777" w:rsidR="00CE516D" w:rsidRPr="00FB057C" w:rsidRDefault="00CE516D" w:rsidP="00CE516D">
      <w:pPr>
        <w:jc w:val="both"/>
        <w:rPr>
          <w:rFonts w:ascii="Arial" w:hAnsi="Arial" w:cs="Arial"/>
        </w:rPr>
      </w:pPr>
      <w:r w:rsidRPr="00FB057C">
        <w:rPr>
          <w:rFonts w:ascii="Arial" w:hAnsi="Arial" w:cs="Arial"/>
        </w:rPr>
        <w:t>Sample B = 70% Wheat flour, 20% Soybean flour, and 10% Carrot flour</w:t>
      </w:r>
    </w:p>
    <w:p w14:paraId="54556D84" w14:textId="77777777" w:rsidR="00CE516D" w:rsidRPr="00FB057C" w:rsidRDefault="00CE516D" w:rsidP="00CE516D">
      <w:pPr>
        <w:jc w:val="both"/>
        <w:rPr>
          <w:rFonts w:ascii="Arial" w:hAnsi="Arial" w:cs="Arial"/>
        </w:rPr>
      </w:pPr>
      <w:r w:rsidRPr="00FB057C">
        <w:rPr>
          <w:rFonts w:ascii="Arial" w:hAnsi="Arial" w:cs="Arial"/>
        </w:rPr>
        <w:t>Sample C = 60% Wheat flour, 25% Soybean flour, and 15% Carrot flour</w:t>
      </w:r>
    </w:p>
    <w:p w14:paraId="6C57467B" w14:textId="77777777" w:rsidR="00CE516D" w:rsidRPr="00FB057C" w:rsidRDefault="00CE516D" w:rsidP="00CE516D">
      <w:pPr>
        <w:jc w:val="both"/>
        <w:rPr>
          <w:rFonts w:ascii="Arial" w:hAnsi="Arial" w:cs="Arial"/>
        </w:rPr>
      </w:pPr>
      <w:r w:rsidRPr="00FB057C">
        <w:rPr>
          <w:rFonts w:ascii="Arial" w:hAnsi="Arial" w:cs="Arial"/>
        </w:rPr>
        <w:t>Sample D = 50% Wheat flour, 30% Soybean flour, and 20% Carrot flour</w:t>
      </w:r>
    </w:p>
    <w:p w14:paraId="6B37BB3E" w14:textId="77777777" w:rsidR="00CE516D" w:rsidRPr="00FB057C" w:rsidRDefault="00CE516D" w:rsidP="00CE516D">
      <w:pPr>
        <w:jc w:val="both"/>
        <w:rPr>
          <w:rFonts w:ascii="Arial" w:hAnsi="Arial" w:cs="Arial"/>
        </w:rPr>
      </w:pPr>
      <w:r w:rsidRPr="00FB057C">
        <w:rPr>
          <w:rFonts w:ascii="Arial" w:hAnsi="Arial" w:cs="Arial"/>
        </w:rPr>
        <w:t>Sample E = 100% Wheat flour (Control)</w:t>
      </w:r>
    </w:p>
    <w:p w14:paraId="54171C5A" w14:textId="77777777" w:rsidR="00CE516D" w:rsidRDefault="00CE516D" w:rsidP="008519D0">
      <w:pPr>
        <w:jc w:val="both"/>
        <w:rPr>
          <w:rFonts w:ascii="Arial" w:hAnsi="Arial" w:cs="Arial"/>
        </w:rPr>
      </w:pPr>
    </w:p>
    <w:p w14:paraId="15A79904" w14:textId="77777777" w:rsidR="00CE516D" w:rsidRPr="001A072B" w:rsidRDefault="00CE516D" w:rsidP="00CE516D">
      <w:pPr>
        <w:rPr>
          <w:rFonts w:ascii="Arial" w:hAnsi="Arial" w:cs="Arial"/>
          <w:b/>
          <w:bCs/>
          <w:sz w:val="22"/>
          <w:szCs w:val="22"/>
        </w:rPr>
      </w:pPr>
      <w:r w:rsidRPr="001A072B">
        <w:rPr>
          <w:rFonts w:ascii="Arial" w:hAnsi="Arial" w:cs="Arial"/>
          <w:b/>
          <w:bCs/>
          <w:sz w:val="22"/>
          <w:szCs w:val="22"/>
        </w:rPr>
        <w:t>3.4 Antinutrient Analysis</w:t>
      </w:r>
    </w:p>
    <w:p w14:paraId="59A5ECA4" w14:textId="77777777" w:rsidR="00CE516D" w:rsidRPr="009B38DC" w:rsidRDefault="00CE516D" w:rsidP="00CE516D">
      <w:pPr>
        <w:rPr>
          <w:rFonts w:ascii="Arial" w:hAnsi="Arial" w:cs="Arial"/>
          <w:sz w:val="22"/>
          <w:szCs w:val="22"/>
        </w:rPr>
      </w:pPr>
    </w:p>
    <w:p w14:paraId="4D7446A4" w14:textId="285C3CDB" w:rsidR="00CE516D" w:rsidRPr="00FB057C" w:rsidRDefault="00CE516D" w:rsidP="00CE516D">
      <w:pPr>
        <w:jc w:val="both"/>
        <w:rPr>
          <w:rFonts w:ascii="Arial" w:hAnsi="Arial" w:cs="Arial"/>
        </w:rPr>
      </w:pPr>
      <w:r w:rsidRPr="00FB057C">
        <w:rPr>
          <w:rFonts w:ascii="Arial" w:hAnsi="Arial" w:cs="Arial"/>
        </w:rPr>
        <w:t xml:space="preserve">The result of the antinutrient analysis is shown in Table </w:t>
      </w:r>
      <w:r w:rsidR="005144F3">
        <w:rPr>
          <w:rFonts w:ascii="Arial" w:hAnsi="Arial" w:cs="Arial"/>
        </w:rPr>
        <w:t>5</w:t>
      </w:r>
      <w:r w:rsidRPr="00FB057C">
        <w:rPr>
          <w:rFonts w:ascii="Arial" w:hAnsi="Arial" w:cs="Arial"/>
        </w:rPr>
        <w:t>. Antinutrients, such as tannins and oxalates, are naturally occurring compounds in food that can interfere with the absorption of essential nutrients, particularly minerals like calcium and iron. These compounds can reduce the bioavailability of nutrients, which may affect the nutritional quality of food products (Sharma et al., 2019). In agreement with the work done by Kumar et al. (2020), the presence of antinutrients in food is particularly important in bread formulations where mineral fortification may be compromised by high levels of these compounds.</w:t>
      </w:r>
    </w:p>
    <w:p w14:paraId="00C6CD1C" w14:textId="77777777" w:rsidR="00CE516D" w:rsidRPr="00FB057C" w:rsidRDefault="00CE516D" w:rsidP="00CE516D">
      <w:pPr>
        <w:jc w:val="both"/>
        <w:rPr>
          <w:rFonts w:ascii="Arial" w:hAnsi="Arial" w:cs="Arial"/>
        </w:rPr>
      </w:pPr>
    </w:p>
    <w:p w14:paraId="65B7623E" w14:textId="77777777" w:rsidR="00CE516D" w:rsidRPr="00FB057C" w:rsidRDefault="00CE516D" w:rsidP="00CE516D">
      <w:pPr>
        <w:jc w:val="both"/>
        <w:rPr>
          <w:rFonts w:ascii="Arial" w:hAnsi="Arial" w:cs="Arial"/>
        </w:rPr>
      </w:pPr>
      <w:r w:rsidRPr="00FB057C">
        <w:rPr>
          <w:rFonts w:ascii="Arial" w:hAnsi="Arial" w:cs="Arial"/>
        </w:rPr>
        <w:t>In this analysis, Sample E had the highest tannin content at 0.8802 mg, which may affect the absorption of iron and other essential minerals. As reported by Kumar et al. (2020), tannins can form insoluble complexes with iron, thereby inhibiting its absorption in the digestive tract. Consumers relying on iron-rich diets might find Sample E less suitable, as the high tannin content could impair iron absorption, potentially leading to issues such as iron deficiency anemia. Sample D, with the lowest tannin content at 0.4964 mg, presents a more favorable option for individuals concerned about mineral absorption.</w:t>
      </w:r>
    </w:p>
    <w:p w14:paraId="4740D1C5" w14:textId="77777777" w:rsidR="00CE516D" w:rsidRPr="00FB057C" w:rsidRDefault="00CE516D" w:rsidP="00CE516D">
      <w:pPr>
        <w:jc w:val="both"/>
        <w:rPr>
          <w:rFonts w:ascii="Arial" w:hAnsi="Arial" w:cs="Arial"/>
        </w:rPr>
      </w:pPr>
    </w:p>
    <w:p w14:paraId="1CBC516E" w14:textId="77777777" w:rsidR="00CE516D" w:rsidRPr="00FB057C" w:rsidRDefault="00CE516D" w:rsidP="00CE516D">
      <w:pPr>
        <w:jc w:val="both"/>
        <w:rPr>
          <w:rFonts w:ascii="Arial" w:hAnsi="Arial" w:cs="Arial"/>
        </w:rPr>
      </w:pPr>
      <w:r w:rsidRPr="00FB057C">
        <w:rPr>
          <w:rFonts w:ascii="Arial" w:hAnsi="Arial" w:cs="Arial"/>
        </w:rPr>
        <w:lastRenderedPageBreak/>
        <w:t>Oxalate content, another antinutrient that binds to calcium, was found to be highest in Sample A at 0.2428 mg. In research by Noonan and Savage (2019), oxalates are known to form complexes with calcium, reducing its absorption and possibly contributing to the formation of kidney stones in susceptible individuals. Therefore, Sample A, despite its higher nutritional value in other categories, may not be ideal for individuals needing to maximize their calcium intake or those with a predisposition to kidney issues. Sample E, with the lowest oxalate content at 0.1795 mg, is a better option for those concerned with calcium absorption and bone health.</w:t>
      </w:r>
    </w:p>
    <w:p w14:paraId="7F8C9AC9" w14:textId="77777777" w:rsidR="00CE516D" w:rsidRPr="00FB057C" w:rsidRDefault="00CE516D" w:rsidP="00CE516D">
      <w:pPr>
        <w:jc w:val="both"/>
        <w:rPr>
          <w:rFonts w:ascii="Arial" w:hAnsi="Arial" w:cs="Arial"/>
        </w:rPr>
      </w:pPr>
    </w:p>
    <w:p w14:paraId="501B0934" w14:textId="77777777" w:rsidR="00CE516D" w:rsidRPr="00FB057C" w:rsidRDefault="00CE516D" w:rsidP="00CE516D">
      <w:pPr>
        <w:jc w:val="both"/>
        <w:rPr>
          <w:rFonts w:ascii="Arial" w:hAnsi="Arial" w:cs="Arial"/>
        </w:rPr>
      </w:pPr>
      <w:r w:rsidRPr="00FB057C">
        <w:rPr>
          <w:rFonts w:ascii="Arial" w:hAnsi="Arial" w:cs="Arial"/>
        </w:rPr>
        <w:t>Overall, antinutrient levels varied across the samples, with Sample E having the highest tannin content and Sample A the highest oxalate content. These results suggest that while certain samples may offer higher mineral or vitamin content, the presence of antinutrients like tannins and oxalates could limit their bioavailability. As reported by Sharma et al. (2019), balancing the benefits of nutritional content with the impact of antinutrients is critical in ensuring that food products meet dietary needs effectively. Sample D, with its lower tannin and moderate oxalate content, offers a balanced option that minimizes the negative effects of antinutrients while still providing essential nutrients.</w:t>
      </w:r>
    </w:p>
    <w:p w14:paraId="383CF738" w14:textId="77777777" w:rsidR="00CE516D" w:rsidRPr="00FB057C" w:rsidRDefault="00CE516D" w:rsidP="00CE516D">
      <w:pPr>
        <w:rPr>
          <w:rFonts w:ascii="Arial" w:hAnsi="Arial" w:cs="Arial"/>
        </w:rPr>
      </w:pPr>
    </w:p>
    <w:p w14:paraId="15E4E554" w14:textId="303BFC28" w:rsidR="00CE516D" w:rsidRPr="00FB057C" w:rsidRDefault="00CE516D" w:rsidP="00CE516D">
      <w:pPr>
        <w:rPr>
          <w:rFonts w:ascii="Arial" w:hAnsi="Arial" w:cs="Arial"/>
        </w:rPr>
      </w:pPr>
      <w:commentRangeStart w:id="37"/>
      <w:r w:rsidRPr="00FB057C">
        <w:rPr>
          <w:rFonts w:ascii="Arial" w:hAnsi="Arial" w:cs="Arial"/>
        </w:rPr>
        <w:t xml:space="preserve">Table </w:t>
      </w:r>
      <w:r w:rsidR="005144F3">
        <w:rPr>
          <w:rFonts w:ascii="Arial" w:hAnsi="Arial" w:cs="Arial"/>
        </w:rPr>
        <w:t>5</w:t>
      </w:r>
      <w:r w:rsidRPr="00FB057C">
        <w:rPr>
          <w:rFonts w:ascii="Arial" w:hAnsi="Arial" w:cs="Arial"/>
        </w:rPr>
        <w:t>: Antinutrient Analysis</w:t>
      </w:r>
      <w:commentRangeEnd w:id="37"/>
      <w:r w:rsidR="00BD400C">
        <w:rPr>
          <w:rStyle w:val="CommentReference"/>
          <w:rFonts w:ascii="Times New Roman" w:hAnsi="Times New Roman"/>
          <w:lang w:val="nb-NO" w:eastAsia="nb-NO"/>
        </w:rPr>
        <w:commentReference w:id="37"/>
      </w:r>
    </w:p>
    <w:p w14:paraId="093E9405" w14:textId="77777777" w:rsidR="00CE516D" w:rsidRPr="00FB057C" w:rsidRDefault="00CE516D" w:rsidP="00CE516D">
      <w:pPr>
        <w:rPr>
          <w:rFonts w:ascii="Arial" w:hAnsi="Arial" w:cs="Arial"/>
        </w:rPr>
      </w:pPr>
    </w:p>
    <w:tbl>
      <w:tblPr>
        <w:tblStyle w:val="TableGrid"/>
        <w:tblW w:w="0" w:type="auto"/>
        <w:tblBorders>
          <w:top w:val="single" w:sz="4"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116"/>
        <w:gridCol w:w="3117"/>
        <w:gridCol w:w="3117"/>
      </w:tblGrid>
      <w:tr w:rsidR="00CE516D" w:rsidRPr="00FB057C" w14:paraId="39E41EA4" w14:textId="77777777" w:rsidTr="001B1C87">
        <w:trPr>
          <w:trHeight w:val="666"/>
        </w:trPr>
        <w:tc>
          <w:tcPr>
            <w:tcW w:w="3116" w:type="dxa"/>
            <w:tcBorders>
              <w:bottom w:val="single" w:sz="4" w:space="0" w:color="auto"/>
            </w:tcBorders>
          </w:tcPr>
          <w:p w14:paraId="40C148C0"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sz w:val="20"/>
                <w:szCs w:val="20"/>
              </w:rPr>
              <w:t>SAMPLE</w:t>
            </w:r>
          </w:p>
        </w:tc>
        <w:tc>
          <w:tcPr>
            <w:tcW w:w="3117" w:type="dxa"/>
            <w:tcBorders>
              <w:bottom w:val="single" w:sz="4" w:space="0" w:color="auto"/>
            </w:tcBorders>
          </w:tcPr>
          <w:p w14:paraId="5210CBC9"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TANNIN </w:t>
            </w:r>
          </w:p>
          <w:p w14:paraId="6966B648"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Mg/g</w:t>
            </w:r>
          </w:p>
        </w:tc>
        <w:tc>
          <w:tcPr>
            <w:tcW w:w="3117" w:type="dxa"/>
            <w:tcBorders>
              <w:bottom w:val="single" w:sz="4" w:space="0" w:color="auto"/>
            </w:tcBorders>
          </w:tcPr>
          <w:p w14:paraId="246BE750"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OXALATE </w:t>
            </w:r>
          </w:p>
          <w:p w14:paraId="5A95A4E7"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Mg/g </w:t>
            </w:r>
          </w:p>
        </w:tc>
      </w:tr>
      <w:tr w:rsidR="00CE516D" w:rsidRPr="00FB057C" w14:paraId="60E995EB" w14:textId="77777777" w:rsidTr="001B1C87">
        <w:tc>
          <w:tcPr>
            <w:tcW w:w="3116" w:type="dxa"/>
            <w:tcBorders>
              <w:top w:val="single" w:sz="4" w:space="0" w:color="auto"/>
              <w:bottom w:val="nil"/>
            </w:tcBorders>
          </w:tcPr>
          <w:p w14:paraId="7F78428E"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sz w:val="20"/>
                <w:szCs w:val="20"/>
              </w:rPr>
              <w:t>A</w:t>
            </w:r>
          </w:p>
        </w:tc>
        <w:tc>
          <w:tcPr>
            <w:tcW w:w="3117" w:type="dxa"/>
            <w:tcBorders>
              <w:top w:val="single" w:sz="4" w:space="0" w:color="auto"/>
              <w:bottom w:val="nil"/>
            </w:tcBorders>
          </w:tcPr>
          <w:p w14:paraId="439E3EA4"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0.6247±0.00 </w:t>
            </w:r>
            <w:r w:rsidRPr="00FB057C">
              <w:rPr>
                <w:rFonts w:ascii="Arial" w:eastAsia="Times New Roman" w:hAnsi="Arial" w:cs="Arial"/>
                <w:color w:val="000000"/>
                <w:sz w:val="20"/>
                <w:szCs w:val="20"/>
                <w:vertAlign w:val="subscript"/>
              </w:rPr>
              <w:t xml:space="preserve">b </w:t>
            </w:r>
          </w:p>
          <w:p w14:paraId="28D5F990" w14:textId="77777777" w:rsidR="00CE516D" w:rsidRPr="00FB057C" w:rsidRDefault="00CE516D" w:rsidP="001B1C87">
            <w:pPr>
              <w:rPr>
                <w:rFonts w:ascii="Arial" w:eastAsia="Times New Roman" w:hAnsi="Arial" w:cs="Arial"/>
                <w:sz w:val="20"/>
                <w:szCs w:val="20"/>
              </w:rPr>
            </w:pPr>
          </w:p>
        </w:tc>
        <w:tc>
          <w:tcPr>
            <w:tcW w:w="3117" w:type="dxa"/>
            <w:tcBorders>
              <w:top w:val="single" w:sz="4" w:space="0" w:color="auto"/>
              <w:bottom w:val="nil"/>
            </w:tcBorders>
          </w:tcPr>
          <w:p w14:paraId="33D3D6F0"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0.2428±0.00</w:t>
            </w:r>
            <w:r w:rsidRPr="00FB057C">
              <w:rPr>
                <w:rFonts w:ascii="Arial" w:eastAsia="Times New Roman" w:hAnsi="Arial" w:cs="Arial"/>
                <w:color w:val="000000"/>
                <w:sz w:val="20"/>
                <w:szCs w:val="20"/>
                <w:vertAlign w:val="subscript"/>
              </w:rPr>
              <w:t xml:space="preserve"> c</w:t>
            </w:r>
          </w:p>
        </w:tc>
      </w:tr>
      <w:tr w:rsidR="00CE516D" w:rsidRPr="00FB057C" w14:paraId="0B66F7C6" w14:textId="77777777" w:rsidTr="001B1C87">
        <w:tc>
          <w:tcPr>
            <w:tcW w:w="3116" w:type="dxa"/>
            <w:tcBorders>
              <w:top w:val="nil"/>
              <w:bottom w:val="nil"/>
            </w:tcBorders>
          </w:tcPr>
          <w:p w14:paraId="7C294550"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sz w:val="20"/>
                <w:szCs w:val="20"/>
              </w:rPr>
              <w:t>B</w:t>
            </w:r>
          </w:p>
        </w:tc>
        <w:tc>
          <w:tcPr>
            <w:tcW w:w="3117" w:type="dxa"/>
            <w:tcBorders>
              <w:top w:val="nil"/>
              <w:bottom w:val="nil"/>
            </w:tcBorders>
          </w:tcPr>
          <w:p w14:paraId="5655124F" w14:textId="77777777" w:rsidR="00CE516D" w:rsidRPr="00FB057C" w:rsidRDefault="00CE516D" w:rsidP="001B1C87">
            <w:pPr>
              <w:rPr>
                <w:rFonts w:ascii="Arial" w:eastAsia="Times New Roman" w:hAnsi="Arial" w:cs="Arial"/>
                <w:color w:val="000000"/>
                <w:sz w:val="20"/>
                <w:szCs w:val="20"/>
                <w:vertAlign w:val="subscript"/>
              </w:rPr>
            </w:pPr>
            <w:r w:rsidRPr="00FB057C">
              <w:rPr>
                <w:rFonts w:ascii="Arial" w:eastAsia="Times New Roman" w:hAnsi="Arial" w:cs="Arial"/>
                <w:color w:val="000000"/>
                <w:sz w:val="20"/>
                <w:szCs w:val="20"/>
              </w:rPr>
              <w:t xml:space="preserve">0.7694±0.00 </w:t>
            </w:r>
            <w:r w:rsidRPr="00FB057C">
              <w:rPr>
                <w:rFonts w:ascii="Arial" w:eastAsia="Times New Roman" w:hAnsi="Arial" w:cs="Arial"/>
                <w:color w:val="000000"/>
                <w:sz w:val="20"/>
                <w:szCs w:val="20"/>
                <w:vertAlign w:val="subscript"/>
              </w:rPr>
              <w:t>c</w:t>
            </w:r>
          </w:p>
          <w:p w14:paraId="18AC5178" w14:textId="77777777" w:rsidR="00CE516D" w:rsidRPr="00FB057C" w:rsidRDefault="00CE516D" w:rsidP="001B1C87">
            <w:pPr>
              <w:rPr>
                <w:rFonts w:ascii="Arial" w:eastAsia="Times New Roman" w:hAnsi="Arial" w:cs="Arial"/>
                <w:sz w:val="20"/>
                <w:szCs w:val="20"/>
              </w:rPr>
            </w:pPr>
          </w:p>
        </w:tc>
        <w:tc>
          <w:tcPr>
            <w:tcW w:w="3117" w:type="dxa"/>
            <w:tcBorders>
              <w:top w:val="nil"/>
              <w:bottom w:val="nil"/>
            </w:tcBorders>
          </w:tcPr>
          <w:p w14:paraId="25BE2A3C"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0.2407±0.00</w:t>
            </w:r>
            <w:r w:rsidRPr="00FB057C">
              <w:rPr>
                <w:rFonts w:ascii="Arial" w:eastAsia="Times New Roman" w:hAnsi="Arial" w:cs="Arial"/>
                <w:color w:val="000000"/>
                <w:sz w:val="20"/>
                <w:szCs w:val="20"/>
                <w:vertAlign w:val="subscript"/>
              </w:rPr>
              <w:t xml:space="preserve"> c</w:t>
            </w:r>
          </w:p>
        </w:tc>
      </w:tr>
      <w:tr w:rsidR="00CE516D" w:rsidRPr="00FB057C" w14:paraId="1DDE5A33" w14:textId="77777777" w:rsidTr="001B1C87">
        <w:tc>
          <w:tcPr>
            <w:tcW w:w="3116" w:type="dxa"/>
            <w:tcBorders>
              <w:top w:val="nil"/>
              <w:bottom w:val="nil"/>
            </w:tcBorders>
          </w:tcPr>
          <w:p w14:paraId="083C0E59"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sz w:val="20"/>
                <w:szCs w:val="20"/>
              </w:rPr>
              <w:t>C</w:t>
            </w:r>
          </w:p>
        </w:tc>
        <w:tc>
          <w:tcPr>
            <w:tcW w:w="3117" w:type="dxa"/>
            <w:tcBorders>
              <w:top w:val="nil"/>
              <w:bottom w:val="nil"/>
            </w:tcBorders>
          </w:tcPr>
          <w:p w14:paraId="02FF0E47"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0.5052±0.00 </w:t>
            </w:r>
            <w:r w:rsidRPr="00FB057C">
              <w:rPr>
                <w:rFonts w:ascii="Arial" w:eastAsia="Times New Roman" w:hAnsi="Arial" w:cs="Arial"/>
                <w:color w:val="000000"/>
                <w:sz w:val="20"/>
                <w:szCs w:val="20"/>
                <w:vertAlign w:val="subscript"/>
              </w:rPr>
              <w:t>a</w:t>
            </w:r>
          </w:p>
        </w:tc>
        <w:tc>
          <w:tcPr>
            <w:tcW w:w="3117" w:type="dxa"/>
            <w:tcBorders>
              <w:top w:val="nil"/>
              <w:bottom w:val="nil"/>
            </w:tcBorders>
          </w:tcPr>
          <w:p w14:paraId="0DD37823"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0.2313±0.00</w:t>
            </w:r>
            <w:r w:rsidRPr="00FB057C">
              <w:rPr>
                <w:rFonts w:ascii="Arial" w:eastAsia="Times New Roman" w:hAnsi="Arial" w:cs="Arial"/>
                <w:color w:val="000000"/>
                <w:sz w:val="20"/>
                <w:szCs w:val="20"/>
                <w:vertAlign w:val="subscript"/>
              </w:rPr>
              <w:t xml:space="preserve"> c</w:t>
            </w:r>
            <w:r w:rsidRPr="00FB057C">
              <w:rPr>
                <w:rFonts w:ascii="Arial" w:eastAsia="Times New Roman" w:hAnsi="Arial" w:cs="Arial"/>
                <w:color w:val="000000"/>
                <w:sz w:val="20"/>
                <w:szCs w:val="20"/>
              </w:rPr>
              <w:t xml:space="preserve"> </w:t>
            </w:r>
          </w:p>
          <w:p w14:paraId="04B48EFE" w14:textId="77777777" w:rsidR="00CE516D" w:rsidRPr="00FB057C" w:rsidRDefault="00CE516D" w:rsidP="001B1C87">
            <w:pPr>
              <w:rPr>
                <w:rFonts w:ascii="Arial" w:eastAsia="Times New Roman" w:hAnsi="Arial" w:cs="Arial"/>
                <w:sz w:val="20"/>
                <w:szCs w:val="20"/>
              </w:rPr>
            </w:pPr>
          </w:p>
        </w:tc>
      </w:tr>
      <w:tr w:rsidR="00CE516D" w:rsidRPr="00FB057C" w14:paraId="2F4A0716" w14:textId="77777777" w:rsidTr="001B1C87">
        <w:tc>
          <w:tcPr>
            <w:tcW w:w="3116" w:type="dxa"/>
            <w:tcBorders>
              <w:top w:val="nil"/>
              <w:bottom w:val="nil"/>
            </w:tcBorders>
          </w:tcPr>
          <w:p w14:paraId="76372BA5"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sz w:val="20"/>
                <w:szCs w:val="20"/>
              </w:rPr>
              <w:t>D</w:t>
            </w:r>
          </w:p>
        </w:tc>
        <w:tc>
          <w:tcPr>
            <w:tcW w:w="3117" w:type="dxa"/>
            <w:tcBorders>
              <w:top w:val="nil"/>
              <w:bottom w:val="nil"/>
            </w:tcBorders>
          </w:tcPr>
          <w:p w14:paraId="3D923FF8"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0.4964±0.00 </w:t>
            </w:r>
            <w:r w:rsidRPr="00FB057C">
              <w:rPr>
                <w:rFonts w:ascii="Arial" w:eastAsia="Times New Roman" w:hAnsi="Arial" w:cs="Arial"/>
                <w:color w:val="000000"/>
                <w:sz w:val="20"/>
                <w:szCs w:val="20"/>
                <w:vertAlign w:val="subscript"/>
              </w:rPr>
              <w:t>a</w:t>
            </w:r>
          </w:p>
        </w:tc>
        <w:tc>
          <w:tcPr>
            <w:tcW w:w="3117" w:type="dxa"/>
            <w:tcBorders>
              <w:top w:val="nil"/>
              <w:bottom w:val="nil"/>
            </w:tcBorders>
          </w:tcPr>
          <w:p w14:paraId="2EACDDA5"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0.2022±0.00</w:t>
            </w:r>
            <w:r w:rsidRPr="00FB057C">
              <w:rPr>
                <w:rFonts w:ascii="Arial" w:eastAsia="Times New Roman" w:hAnsi="Arial" w:cs="Arial"/>
                <w:color w:val="000000"/>
                <w:sz w:val="20"/>
                <w:szCs w:val="20"/>
                <w:vertAlign w:val="subscript"/>
              </w:rPr>
              <w:t xml:space="preserve"> b </w:t>
            </w:r>
          </w:p>
          <w:p w14:paraId="38BFC089" w14:textId="77777777" w:rsidR="00CE516D" w:rsidRPr="00FB057C" w:rsidRDefault="00CE516D" w:rsidP="001B1C87">
            <w:pPr>
              <w:rPr>
                <w:rFonts w:ascii="Arial" w:eastAsia="Times New Roman" w:hAnsi="Arial" w:cs="Arial"/>
                <w:sz w:val="20"/>
                <w:szCs w:val="20"/>
              </w:rPr>
            </w:pPr>
          </w:p>
        </w:tc>
      </w:tr>
      <w:tr w:rsidR="00CE516D" w:rsidRPr="00FB057C" w14:paraId="6C4B1D8B" w14:textId="77777777" w:rsidTr="001B1C87">
        <w:tc>
          <w:tcPr>
            <w:tcW w:w="3116" w:type="dxa"/>
            <w:tcBorders>
              <w:top w:val="nil"/>
              <w:bottom w:val="single" w:sz="4" w:space="0" w:color="auto"/>
            </w:tcBorders>
          </w:tcPr>
          <w:p w14:paraId="45FE9D20"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sz w:val="20"/>
                <w:szCs w:val="20"/>
              </w:rPr>
              <w:t>E</w:t>
            </w:r>
          </w:p>
        </w:tc>
        <w:tc>
          <w:tcPr>
            <w:tcW w:w="3117" w:type="dxa"/>
            <w:tcBorders>
              <w:top w:val="nil"/>
              <w:bottom w:val="single" w:sz="4" w:space="0" w:color="auto"/>
            </w:tcBorders>
          </w:tcPr>
          <w:p w14:paraId="53DEAF10"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0.8802±0.00 </w:t>
            </w:r>
            <w:r w:rsidRPr="00FB057C">
              <w:rPr>
                <w:rFonts w:ascii="Arial" w:eastAsia="Times New Roman" w:hAnsi="Arial" w:cs="Arial"/>
                <w:color w:val="000000"/>
                <w:sz w:val="20"/>
                <w:szCs w:val="20"/>
                <w:vertAlign w:val="subscript"/>
              </w:rPr>
              <w:t>d</w:t>
            </w:r>
            <w:r w:rsidRPr="00FB057C">
              <w:rPr>
                <w:rFonts w:ascii="Arial" w:eastAsia="Times New Roman" w:hAnsi="Arial" w:cs="Arial"/>
                <w:color w:val="000000"/>
                <w:sz w:val="20"/>
                <w:szCs w:val="20"/>
              </w:rPr>
              <w:t xml:space="preserve"> </w:t>
            </w:r>
          </w:p>
          <w:p w14:paraId="20EEDBDF" w14:textId="77777777" w:rsidR="00CE516D" w:rsidRPr="00FB057C" w:rsidRDefault="00CE516D" w:rsidP="001B1C87">
            <w:pPr>
              <w:rPr>
                <w:rFonts w:ascii="Arial" w:eastAsia="Times New Roman" w:hAnsi="Arial" w:cs="Arial"/>
                <w:sz w:val="20"/>
                <w:szCs w:val="20"/>
              </w:rPr>
            </w:pPr>
          </w:p>
        </w:tc>
        <w:tc>
          <w:tcPr>
            <w:tcW w:w="3117" w:type="dxa"/>
            <w:tcBorders>
              <w:top w:val="nil"/>
              <w:bottom w:val="single" w:sz="4" w:space="0" w:color="auto"/>
            </w:tcBorders>
          </w:tcPr>
          <w:p w14:paraId="0675B270"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0.1795±0.00 </w:t>
            </w:r>
            <w:r w:rsidRPr="00FB057C">
              <w:rPr>
                <w:rFonts w:ascii="Arial" w:eastAsia="Times New Roman" w:hAnsi="Arial" w:cs="Arial"/>
                <w:color w:val="000000"/>
                <w:sz w:val="20"/>
                <w:szCs w:val="20"/>
                <w:vertAlign w:val="subscript"/>
              </w:rPr>
              <w:t>a</w:t>
            </w:r>
          </w:p>
        </w:tc>
      </w:tr>
    </w:tbl>
    <w:p w14:paraId="18B959CE" w14:textId="77777777" w:rsidR="00CE516D" w:rsidRPr="00FB057C" w:rsidRDefault="00CE516D" w:rsidP="00CE516D">
      <w:pPr>
        <w:rPr>
          <w:rFonts w:ascii="Times New Roman" w:hAnsi="Times New Roman"/>
        </w:rPr>
      </w:pPr>
    </w:p>
    <w:p w14:paraId="19B6F480" w14:textId="77777777" w:rsidR="00CE516D" w:rsidRPr="00FB057C" w:rsidRDefault="00CE516D" w:rsidP="00CE516D">
      <w:pPr>
        <w:jc w:val="both"/>
        <w:rPr>
          <w:rFonts w:ascii="Arial" w:hAnsi="Arial" w:cs="Arial"/>
        </w:rPr>
      </w:pPr>
      <w:r w:rsidRPr="00FB057C">
        <w:rPr>
          <w:rFonts w:ascii="Arial" w:hAnsi="Arial" w:cs="Arial"/>
        </w:rPr>
        <w:t>Mean values are of duplicates ± standard deviation. The value within the rows with different superscripts is significantly (P&lt;0.05) different.</w:t>
      </w:r>
    </w:p>
    <w:p w14:paraId="1ACEA2FA" w14:textId="77777777" w:rsidR="00CE516D" w:rsidRPr="00FB057C" w:rsidRDefault="00CE516D" w:rsidP="00CE516D">
      <w:pPr>
        <w:jc w:val="both"/>
        <w:rPr>
          <w:rFonts w:ascii="Arial" w:hAnsi="Arial" w:cs="Arial"/>
        </w:rPr>
      </w:pPr>
    </w:p>
    <w:p w14:paraId="044F0772" w14:textId="77777777" w:rsidR="00CE516D" w:rsidRPr="00FB057C" w:rsidRDefault="00CE516D" w:rsidP="00CE516D">
      <w:pPr>
        <w:jc w:val="both"/>
        <w:rPr>
          <w:rFonts w:ascii="Arial" w:hAnsi="Arial" w:cs="Arial"/>
        </w:rPr>
      </w:pPr>
      <w:r w:rsidRPr="00FB057C">
        <w:rPr>
          <w:rFonts w:ascii="Arial" w:hAnsi="Arial" w:cs="Arial"/>
        </w:rPr>
        <w:t>Key:</w:t>
      </w:r>
    </w:p>
    <w:p w14:paraId="66DD63D9" w14:textId="77777777" w:rsidR="00CE516D" w:rsidRPr="00FB057C" w:rsidRDefault="00CE516D" w:rsidP="00CE516D">
      <w:pPr>
        <w:jc w:val="both"/>
        <w:rPr>
          <w:rFonts w:ascii="Arial" w:hAnsi="Arial" w:cs="Arial"/>
        </w:rPr>
      </w:pPr>
      <w:r w:rsidRPr="00FB057C">
        <w:rPr>
          <w:rFonts w:ascii="Arial" w:hAnsi="Arial" w:cs="Arial"/>
        </w:rPr>
        <w:t>Sample A = 85% Wheat flour, 10% Soybean flour, and 5% Carrot flour</w:t>
      </w:r>
    </w:p>
    <w:p w14:paraId="564C67F4" w14:textId="77777777" w:rsidR="00CE516D" w:rsidRPr="00FB057C" w:rsidRDefault="00CE516D" w:rsidP="00CE516D">
      <w:pPr>
        <w:jc w:val="both"/>
        <w:rPr>
          <w:rFonts w:ascii="Arial" w:hAnsi="Arial" w:cs="Arial"/>
        </w:rPr>
      </w:pPr>
      <w:r w:rsidRPr="00FB057C">
        <w:rPr>
          <w:rFonts w:ascii="Arial" w:hAnsi="Arial" w:cs="Arial"/>
        </w:rPr>
        <w:t>Sample B = 70% Wheat flour, 20% Soybean flour, and 10% Carrot flour</w:t>
      </w:r>
    </w:p>
    <w:p w14:paraId="4C3CD99A" w14:textId="77777777" w:rsidR="00CE516D" w:rsidRPr="00FB057C" w:rsidRDefault="00CE516D" w:rsidP="00CE516D">
      <w:pPr>
        <w:jc w:val="both"/>
        <w:rPr>
          <w:rFonts w:ascii="Arial" w:hAnsi="Arial" w:cs="Arial"/>
        </w:rPr>
      </w:pPr>
      <w:r w:rsidRPr="00FB057C">
        <w:rPr>
          <w:rFonts w:ascii="Arial" w:hAnsi="Arial" w:cs="Arial"/>
        </w:rPr>
        <w:t>Sample C = 60% Wheat flour, 25% Soybean flour, and 15% Carrot flour</w:t>
      </w:r>
    </w:p>
    <w:p w14:paraId="5574BA3E" w14:textId="77777777" w:rsidR="00CE516D" w:rsidRPr="00FB057C" w:rsidRDefault="00CE516D" w:rsidP="00CE516D">
      <w:pPr>
        <w:jc w:val="both"/>
        <w:rPr>
          <w:rFonts w:ascii="Arial" w:hAnsi="Arial" w:cs="Arial"/>
        </w:rPr>
      </w:pPr>
      <w:r w:rsidRPr="00FB057C">
        <w:rPr>
          <w:rFonts w:ascii="Arial" w:hAnsi="Arial" w:cs="Arial"/>
        </w:rPr>
        <w:t>Sample D = 50% Wheat flour, 30% Soybean flour, and 20% Carrot flour</w:t>
      </w:r>
    </w:p>
    <w:p w14:paraId="7A19B96E" w14:textId="77777777" w:rsidR="00CE516D" w:rsidRDefault="00CE516D" w:rsidP="00CE516D">
      <w:pPr>
        <w:jc w:val="both"/>
        <w:rPr>
          <w:rFonts w:ascii="Arial" w:hAnsi="Arial" w:cs="Arial"/>
        </w:rPr>
      </w:pPr>
      <w:r w:rsidRPr="00FB057C">
        <w:rPr>
          <w:rFonts w:ascii="Arial" w:hAnsi="Arial" w:cs="Arial"/>
        </w:rPr>
        <w:t>Sample E = 100% Wheat flour (Control)</w:t>
      </w:r>
    </w:p>
    <w:p w14:paraId="47EBBA28" w14:textId="77777777" w:rsidR="00CE516D" w:rsidRDefault="00CE516D" w:rsidP="00CE516D">
      <w:pPr>
        <w:jc w:val="both"/>
        <w:rPr>
          <w:rFonts w:ascii="Arial" w:hAnsi="Arial" w:cs="Arial"/>
        </w:rPr>
      </w:pPr>
    </w:p>
    <w:p w14:paraId="39515A7C" w14:textId="77777777" w:rsidR="00CE516D" w:rsidRPr="001A072B" w:rsidRDefault="00CE516D" w:rsidP="00CE516D">
      <w:pPr>
        <w:rPr>
          <w:rFonts w:ascii="Arial" w:hAnsi="Arial" w:cs="Arial"/>
          <w:b/>
          <w:bCs/>
          <w:sz w:val="22"/>
          <w:szCs w:val="22"/>
        </w:rPr>
      </w:pPr>
      <w:r w:rsidRPr="001A072B">
        <w:rPr>
          <w:rFonts w:ascii="Arial" w:hAnsi="Arial" w:cs="Arial"/>
          <w:b/>
          <w:bCs/>
          <w:sz w:val="22"/>
          <w:szCs w:val="22"/>
        </w:rPr>
        <w:t>3.</w:t>
      </w:r>
      <w:r w:rsidR="00CC52BE">
        <w:rPr>
          <w:rFonts w:ascii="Arial" w:hAnsi="Arial" w:cs="Arial"/>
          <w:b/>
          <w:bCs/>
          <w:sz w:val="22"/>
          <w:szCs w:val="22"/>
        </w:rPr>
        <w:t>5</w:t>
      </w:r>
      <w:r w:rsidRPr="001A072B">
        <w:rPr>
          <w:rFonts w:ascii="Arial" w:hAnsi="Arial" w:cs="Arial"/>
          <w:b/>
          <w:bCs/>
          <w:sz w:val="22"/>
          <w:szCs w:val="22"/>
        </w:rPr>
        <w:t xml:space="preserve"> Functional Properties Analysis</w:t>
      </w:r>
    </w:p>
    <w:p w14:paraId="01092B9B" w14:textId="77777777" w:rsidR="00CE516D" w:rsidRPr="009B38DC" w:rsidRDefault="00CE516D" w:rsidP="00CE516D">
      <w:pPr>
        <w:rPr>
          <w:rFonts w:ascii="Arial" w:hAnsi="Arial" w:cs="Arial"/>
          <w:sz w:val="22"/>
          <w:szCs w:val="22"/>
        </w:rPr>
      </w:pPr>
    </w:p>
    <w:p w14:paraId="57DA83A4" w14:textId="73A1AABC" w:rsidR="00CE516D" w:rsidRPr="00FB057C" w:rsidRDefault="00CE516D" w:rsidP="00CE516D">
      <w:pPr>
        <w:jc w:val="both"/>
        <w:rPr>
          <w:rFonts w:ascii="Arial" w:hAnsi="Arial" w:cs="Arial"/>
        </w:rPr>
      </w:pPr>
      <w:r w:rsidRPr="00FB057C">
        <w:rPr>
          <w:rFonts w:ascii="Arial" w:hAnsi="Arial" w:cs="Arial"/>
        </w:rPr>
        <w:t xml:space="preserve">The result of the functional properties is shown in Table </w:t>
      </w:r>
      <w:r w:rsidR="005144F3">
        <w:rPr>
          <w:rFonts w:ascii="Arial" w:hAnsi="Arial" w:cs="Arial"/>
        </w:rPr>
        <w:t>6</w:t>
      </w:r>
      <w:r w:rsidRPr="00FB057C">
        <w:rPr>
          <w:rFonts w:ascii="Arial" w:hAnsi="Arial" w:cs="Arial"/>
        </w:rPr>
        <w:t>. Functional properties such as water absorption capacity, swelling capacity, and solubility index play a crucial role in determining the usability and performance of composite flours in bread production. These properties affect the dough’s handling characteristics, texture, and overall quality of the final product. In agreement with the work done by Kinsella et al. (2017), high water absorption capacity indicates the ability of flour to retain moisture during mixing and baking, which is crucial for producing soft, moist bread.</w:t>
      </w:r>
    </w:p>
    <w:p w14:paraId="74F91C78" w14:textId="77777777" w:rsidR="00CE516D" w:rsidRPr="00FB057C" w:rsidRDefault="00CE516D" w:rsidP="00CE516D">
      <w:pPr>
        <w:jc w:val="both"/>
        <w:rPr>
          <w:rFonts w:ascii="Arial" w:hAnsi="Arial" w:cs="Arial"/>
        </w:rPr>
      </w:pPr>
    </w:p>
    <w:p w14:paraId="13C6107F" w14:textId="77777777" w:rsidR="00CE516D" w:rsidRPr="00FB057C" w:rsidRDefault="00CE516D" w:rsidP="00CE516D">
      <w:pPr>
        <w:jc w:val="both"/>
        <w:rPr>
          <w:rFonts w:ascii="Arial" w:hAnsi="Arial" w:cs="Arial"/>
        </w:rPr>
      </w:pPr>
      <w:r w:rsidRPr="00FB057C">
        <w:rPr>
          <w:rFonts w:ascii="Arial" w:hAnsi="Arial" w:cs="Arial"/>
        </w:rPr>
        <w:t>In this analysis, Sample D showed the highest water absorption capacity at 91.33%, indicating that this formulation can hold more water, resulting in bread that is likely to be softer and retain moisture for a longer time. Sample E had the lowest water absorption at 53.33%, suggesting that bread made from this formulation might be drier and more suitable for applications where a crispier texture is desired.</w:t>
      </w:r>
    </w:p>
    <w:p w14:paraId="30739701" w14:textId="77777777" w:rsidR="00CE516D" w:rsidRPr="00FB057C" w:rsidRDefault="00CE516D" w:rsidP="00CE516D">
      <w:pPr>
        <w:jc w:val="both"/>
        <w:rPr>
          <w:rFonts w:ascii="Arial" w:hAnsi="Arial" w:cs="Arial"/>
        </w:rPr>
      </w:pPr>
    </w:p>
    <w:p w14:paraId="5D74C40C" w14:textId="77777777" w:rsidR="00CE516D" w:rsidRPr="00FB057C" w:rsidRDefault="00CE516D" w:rsidP="00CE516D">
      <w:pPr>
        <w:jc w:val="both"/>
        <w:rPr>
          <w:rFonts w:ascii="Arial" w:hAnsi="Arial" w:cs="Arial"/>
        </w:rPr>
      </w:pPr>
      <w:r w:rsidRPr="00FB057C">
        <w:rPr>
          <w:rFonts w:ascii="Arial" w:hAnsi="Arial" w:cs="Arial"/>
        </w:rPr>
        <w:t>Swelling capacity is another important functional property that affects the volume and texture of bread. It measures how much a product increases in volume when water is absorbed. As reported by Adebowale et al. (2015), higher swelling capacity is desirable for products like bread, where a light and fluffy texture is preferred. Sample D once again had the highest swelling capacity at 5.52%, suggesting that it would produce bread with a good rise and a lighter crumb. Sample E, with the lowest swelling capacity at 3.81%, would likely produce a denser, more compact loaf, which might appeal to consumers looking for a firmer bread texture.</w:t>
      </w:r>
    </w:p>
    <w:p w14:paraId="6391F386" w14:textId="77777777" w:rsidR="00CE516D" w:rsidRPr="00FB057C" w:rsidRDefault="00CE516D" w:rsidP="00CE516D">
      <w:pPr>
        <w:jc w:val="both"/>
        <w:rPr>
          <w:rFonts w:ascii="Arial" w:hAnsi="Arial" w:cs="Arial"/>
        </w:rPr>
      </w:pPr>
    </w:p>
    <w:p w14:paraId="71383C7C" w14:textId="77777777" w:rsidR="00CE516D" w:rsidRPr="00FB057C" w:rsidRDefault="00CE516D" w:rsidP="00CE516D">
      <w:pPr>
        <w:jc w:val="both"/>
        <w:rPr>
          <w:rFonts w:ascii="Arial" w:hAnsi="Arial" w:cs="Arial"/>
        </w:rPr>
      </w:pPr>
      <w:r w:rsidRPr="00FB057C">
        <w:rPr>
          <w:rFonts w:ascii="Arial" w:hAnsi="Arial" w:cs="Arial"/>
        </w:rPr>
        <w:lastRenderedPageBreak/>
        <w:t>The solubility index reflects the ability of the flour to dissolve in water, which is particularly important in products that require easy hydration during processing. In research by Tang and Zhai (2019), high solubility is linked to better dispersibility, making it an important property for flours used in beverages or batters. In this study, Sample D also ranked highest in solubility index at 10.67%, making it ideal for bread formulations where quick hydration and smooth dough formation are necessary. Sample C, with the lowest solubility index at 4.33%, may not dissolve as easily, which could affect the smoothness of the dough during preparation.</w:t>
      </w:r>
    </w:p>
    <w:p w14:paraId="157554F7" w14:textId="77777777" w:rsidR="00CE516D" w:rsidRPr="00FB057C" w:rsidRDefault="00CE516D" w:rsidP="00CE516D">
      <w:pPr>
        <w:jc w:val="both"/>
        <w:rPr>
          <w:rFonts w:ascii="Arial" w:hAnsi="Arial" w:cs="Arial"/>
        </w:rPr>
      </w:pPr>
    </w:p>
    <w:p w14:paraId="51493B35" w14:textId="77777777" w:rsidR="00CE516D" w:rsidRPr="00FB057C" w:rsidRDefault="00CE516D" w:rsidP="00CE516D">
      <w:pPr>
        <w:jc w:val="both"/>
        <w:rPr>
          <w:rFonts w:ascii="Arial" w:hAnsi="Arial" w:cs="Arial"/>
        </w:rPr>
      </w:pPr>
      <w:r w:rsidRPr="00FB057C">
        <w:rPr>
          <w:rFonts w:ascii="Arial" w:hAnsi="Arial" w:cs="Arial"/>
        </w:rPr>
        <w:t xml:space="preserve">In conclusion, Sample D emerged as the best-performing sample in terms of functional properties, with high water absorption, swelling capacity, and solubility index, making it a versatile option for producing soft, moist, and well-risen bread. Sample E, while lower in these properties, could be useful for producing denser, crispier bread. These findings </w:t>
      </w:r>
      <w:proofErr w:type="gramStart"/>
      <w:r w:rsidRPr="00FB057C">
        <w:rPr>
          <w:rFonts w:ascii="Arial" w:hAnsi="Arial" w:cs="Arial"/>
        </w:rPr>
        <w:t>are in agreement</w:t>
      </w:r>
      <w:proofErr w:type="gramEnd"/>
      <w:r w:rsidRPr="00FB057C">
        <w:rPr>
          <w:rFonts w:ascii="Arial" w:hAnsi="Arial" w:cs="Arial"/>
        </w:rPr>
        <w:t xml:space="preserve"> with the functional requirements outlined by Kinsella et al. (2017), which highlight the importance of these properties in determining bread quality.</w:t>
      </w:r>
    </w:p>
    <w:p w14:paraId="017131EE" w14:textId="77777777" w:rsidR="00CE516D" w:rsidRPr="00FB057C" w:rsidRDefault="00CE516D" w:rsidP="00CE516D">
      <w:pPr>
        <w:rPr>
          <w:rFonts w:ascii="Arial" w:hAnsi="Arial" w:cs="Arial"/>
        </w:rPr>
      </w:pPr>
    </w:p>
    <w:p w14:paraId="6E952A7C" w14:textId="3AEF98DF" w:rsidR="00CE516D" w:rsidRPr="00FB057C" w:rsidRDefault="00CE516D" w:rsidP="00CE516D">
      <w:pPr>
        <w:rPr>
          <w:rFonts w:ascii="Arial" w:hAnsi="Arial" w:cs="Arial"/>
        </w:rPr>
      </w:pPr>
      <w:r w:rsidRPr="00FB057C">
        <w:rPr>
          <w:rFonts w:ascii="Arial" w:hAnsi="Arial" w:cs="Arial"/>
        </w:rPr>
        <w:t xml:space="preserve">Table </w:t>
      </w:r>
      <w:r w:rsidR="005144F3">
        <w:rPr>
          <w:rFonts w:ascii="Arial" w:hAnsi="Arial" w:cs="Arial"/>
        </w:rPr>
        <w:t>6</w:t>
      </w:r>
      <w:r w:rsidRPr="00FB057C">
        <w:rPr>
          <w:rFonts w:ascii="Arial" w:hAnsi="Arial" w:cs="Arial"/>
        </w:rPr>
        <w:t>: Functional Properties</w:t>
      </w:r>
    </w:p>
    <w:p w14:paraId="6B8BCBA2" w14:textId="77777777" w:rsidR="00CE516D" w:rsidRPr="00FB057C" w:rsidRDefault="00CE516D" w:rsidP="00CE516D">
      <w:pPr>
        <w:rPr>
          <w:rFonts w:ascii="Arial" w:hAnsi="Arial" w:cs="Aria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tblGrid>
      <w:tr w:rsidR="00CE516D" w:rsidRPr="00FB057C" w14:paraId="31801CB8" w14:textId="77777777" w:rsidTr="001B1C87">
        <w:tc>
          <w:tcPr>
            <w:tcW w:w="1870" w:type="dxa"/>
            <w:tcBorders>
              <w:top w:val="single" w:sz="4" w:space="0" w:color="auto"/>
              <w:bottom w:val="single" w:sz="4" w:space="0" w:color="auto"/>
            </w:tcBorders>
          </w:tcPr>
          <w:p w14:paraId="6D100381" w14:textId="77777777" w:rsidR="00CE516D" w:rsidRPr="00FB057C" w:rsidRDefault="00CE516D"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SAMPLES</w:t>
            </w:r>
          </w:p>
        </w:tc>
        <w:tc>
          <w:tcPr>
            <w:tcW w:w="1870" w:type="dxa"/>
            <w:tcBorders>
              <w:top w:val="single" w:sz="4" w:space="0" w:color="auto"/>
              <w:bottom w:val="single" w:sz="4" w:space="0" w:color="auto"/>
            </w:tcBorders>
          </w:tcPr>
          <w:p w14:paraId="1A635D3B" w14:textId="77777777" w:rsidR="00CE516D" w:rsidRPr="00FB057C" w:rsidRDefault="00CE516D"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WATER ABSORPTION CAPACITY (%)</w:t>
            </w:r>
          </w:p>
        </w:tc>
        <w:tc>
          <w:tcPr>
            <w:tcW w:w="1870" w:type="dxa"/>
            <w:tcBorders>
              <w:top w:val="single" w:sz="4" w:space="0" w:color="auto"/>
              <w:bottom w:val="single" w:sz="4" w:space="0" w:color="auto"/>
            </w:tcBorders>
          </w:tcPr>
          <w:p w14:paraId="70FC7387" w14:textId="77777777" w:rsidR="00CE516D" w:rsidRPr="00FB057C" w:rsidRDefault="00CE516D"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SWELLING CAPACITY (%)</w:t>
            </w:r>
          </w:p>
        </w:tc>
        <w:tc>
          <w:tcPr>
            <w:tcW w:w="1870" w:type="dxa"/>
            <w:tcBorders>
              <w:top w:val="single" w:sz="4" w:space="0" w:color="auto"/>
              <w:bottom w:val="single" w:sz="4" w:space="0" w:color="auto"/>
            </w:tcBorders>
          </w:tcPr>
          <w:p w14:paraId="1FE8ECBE" w14:textId="77777777" w:rsidR="00CE516D" w:rsidRPr="00FB057C" w:rsidRDefault="00CE516D"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 xml:space="preserve">SOLUBILITY INDEX </w:t>
            </w:r>
          </w:p>
          <w:p w14:paraId="45CF01AD" w14:textId="77777777" w:rsidR="00CE516D" w:rsidRPr="00FB057C" w:rsidRDefault="00CE516D" w:rsidP="001B1C87">
            <w:pPr>
              <w:rPr>
                <w:rFonts w:ascii="Arial" w:eastAsia="Times New Roman" w:hAnsi="Arial" w:cs="Arial"/>
                <w:b/>
                <w:bCs/>
                <w:color w:val="000000"/>
                <w:sz w:val="20"/>
                <w:szCs w:val="20"/>
              </w:rPr>
            </w:pPr>
            <w:r w:rsidRPr="00FB057C">
              <w:rPr>
                <w:rFonts w:ascii="Arial" w:eastAsia="Times New Roman" w:hAnsi="Arial" w:cs="Arial"/>
                <w:b/>
                <w:bCs/>
                <w:color w:val="000000"/>
                <w:sz w:val="20"/>
                <w:szCs w:val="20"/>
              </w:rPr>
              <w:t>(%)</w:t>
            </w:r>
          </w:p>
        </w:tc>
      </w:tr>
      <w:tr w:rsidR="00CE516D" w:rsidRPr="00FB057C" w14:paraId="7A7784AC" w14:textId="77777777" w:rsidTr="001B1C87">
        <w:tc>
          <w:tcPr>
            <w:tcW w:w="1870" w:type="dxa"/>
            <w:tcBorders>
              <w:top w:val="single" w:sz="4" w:space="0" w:color="auto"/>
              <w:bottom w:val="nil"/>
              <w:right w:val="nil"/>
            </w:tcBorders>
          </w:tcPr>
          <w:p w14:paraId="1ADA94A4"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A</w:t>
            </w:r>
          </w:p>
        </w:tc>
        <w:tc>
          <w:tcPr>
            <w:tcW w:w="1870" w:type="dxa"/>
            <w:tcBorders>
              <w:top w:val="single" w:sz="4" w:space="0" w:color="auto"/>
              <w:left w:val="nil"/>
              <w:bottom w:val="nil"/>
              <w:right w:val="nil"/>
            </w:tcBorders>
          </w:tcPr>
          <w:p w14:paraId="4E850A3B"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79.33±0.57 </w:t>
            </w:r>
            <w:r w:rsidRPr="00FB057C">
              <w:rPr>
                <w:rFonts w:ascii="Arial" w:eastAsia="Times New Roman" w:hAnsi="Arial" w:cs="Arial"/>
                <w:color w:val="000000"/>
                <w:sz w:val="20"/>
                <w:szCs w:val="20"/>
                <w:vertAlign w:val="subscript"/>
              </w:rPr>
              <w:t>c</w:t>
            </w:r>
            <w:r w:rsidRPr="00FB057C">
              <w:rPr>
                <w:rFonts w:ascii="Arial" w:eastAsia="Times New Roman" w:hAnsi="Arial" w:cs="Arial"/>
                <w:color w:val="000000"/>
                <w:sz w:val="20"/>
                <w:szCs w:val="20"/>
              </w:rPr>
              <w:t xml:space="preserve"> </w:t>
            </w:r>
          </w:p>
          <w:p w14:paraId="60E64B2E" w14:textId="77777777" w:rsidR="00CE516D" w:rsidRPr="00FB057C" w:rsidRDefault="00CE516D" w:rsidP="001B1C87">
            <w:pPr>
              <w:rPr>
                <w:rFonts w:ascii="Arial" w:eastAsia="Times New Roman" w:hAnsi="Arial" w:cs="Arial"/>
                <w:color w:val="000000"/>
                <w:sz w:val="20"/>
                <w:szCs w:val="20"/>
              </w:rPr>
            </w:pPr>
          </w:p>
        </w:tc>
        <w:tc>
          <w:tcPr>
            <w:tcW w:w="1870" w:type="dxa"/>
            <w:tcBorders>
              <w:top w:val="single" w:sz="4" w:space="0" w:color="auto"/>
              <w:left w:val="nil"/>
              <w:bottom w:val="nil"/>
              <w:right w:val="nil"/>
            </w:tcBorders>
          </w:tcPr>
          <w:p w14:paraId="7DDF0411"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5.42±0.04</w:t>
            </w:r>
            <w:r w:rsidRPr="00FB057C">
              <w:rPr>
                <w:rFonts w:ascii="Arial" w:eastAsia="Times New Roman" w:hAnsi="Arial" w:cs="Arial"/>
                <w:color w:val="000000"/>
                <w:sz w:val="20"/>
                <w:szCs w:val="20"/>
                <w:vertAlign w:val="subscript"/>
              </w:rPr>
              <w:t xml:space="preserve"> c</w:t>
            </w:r>
            <w:r w:rsidRPr="00FB057C">
              <w:rPr>
                <w:rFonts w:ascii="Arial" w:eastAsia="Times New Roman" w:hAnsi="Arial" w:cs="Arial"/>
                <w:color w:val="000000"/>
                <w:sz w:val="20"/>
                <w:szCs w:val="20"/>
              </w:rPr>
              <w:t xml:space="preserve"> </w:t>
            </w:r>
          </w:p>
          <w:p w14:paraId="6FABF0A4" w14:textId="77777777" w:rsidR="00CE516D" w:rsidRPr="00FB057C" w:rsidRDefault="00CE516D" w:rsidP="001B1C87">
            <w:pPr>
              <w:rPr>
                <w:rFonts w:ascii="Arial" w:eastAsia="Times New Roman" w:hAnsi="Arial" w:cs="Arial"/>
                <w:color w:val="000000"/>
                <w:sz w:val="20"/>
                <w:szCs w:val="20"/>
              </w:rPr>
            </w:pPr>
          </w:p>
        </w:tc>
        <w:tc>
          <w:tcPr>
            <w:tcW w:w="1870" w:type="dxa"/>
            <w:tcBorders>
              <w:top w:val="single" w:sz="4" w:space="0" w:color="auto"/>
              <w:left w:val="nil"/>
              <w:bottom w:val="nil"/>
            </w:tcBorders>
          </w:tcPr>
          <w:p w14:paraId="323BB625"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4.67±1.15</w:t>
            </w:r>
            <w:r w:rsidRPr="00FB057C">
              <w:rPr>
                <w:rFonts w:ascii="Arial" w:eastAsia="Times New Roman" w:hAnsi="Arial" w:cs="Arial"/>
                <w:color w:val="000000"/>
                <w:sz w:val="20"/>
                <w:szCs w:val="20"/>
                <w:vertAlign w:val="subscript"/>
              </w:rPr>
              <w:t xml:space="preserve"> a</w:t>
            </w:r>
            <w:r w:rsidRPr="00FB057C">
              <w:rPr>
                <w:rFonts w:ascii="Arial" w:eastAsia="Times New Roman" w:hAnsi="Arial" w:cs="Arial"/>
                <w:color w:val="000000"/>
                <w:sz w:val="20"/>
                <w:szCs w:val="20"/>
              </w:rPr>
              <w:t xml:space="preserve"> </w:t>
            </w:r>
          </w:p>
          <w:p w14:paraId="37C778F1" w14:textId="77777777" w:rsidR="00CE516D" w:rsidRPr="00FB057C" w:rsidRDefault="00CE516D" w:rsidP="001B1C87">
            <w:pPr>
              <w:rPr>
                <w:rFonts w:ascii="Arial" w:eastAsia="Times New Roman" w:hAnsi="Arial" w:cs="Arial"/>
                <w:color w:val="000000"/>
                <w:sz w:val="20"/>
                <w:szCs w:val="20"/>
              </w:rPr>
            </w:pPr>
          </w:p>
        </w:tc>
      </w:tr>
      <w:tr w:rsidR="00CE516D" w:rsidRPr="00FB057C" w14:paraId="5BA37796" w14:textId="77777777" w:rsidTr="001B1C87">
        <w:tc>
          <w:tcPr>
            <w:tcW w:w="1870" w:type="dxa"/>
            <w:tcBorders>
              <w:top w:val="nil"/>
              <w:bottom w:val="nil"/>
              <w:right w:val="nil"/>
            </w:tcBorders>
          </w:tcPr>
          <w:p w14:paraId="5629B37E"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B</w:t>
            </w:r>
          </w:p>
        </w:tc>
        <w:tc>
          <w:tcPr>
            <w:tcW w:w="1870" w:type="dxa"/>
            <w:tcBorders>
              <w:top w:val="nil"/>
              <w:left w:val="nil"/>
              <w:bottom w:val="nil"/>
              <w:right w:val="nil"/>
            </w:tcBorders>
          </w:tcPr>
          <w:p w14:paraId="18D7D01A"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70.66±1.15 </w:t>
            </w:r>
            <w:r w:rsidRPr="00FB057C">
              <w:rPr>
                <w:rFonts w:ascii="Arial" w:eastAsia="Times New Roman" w:hAnsi="Arial" w:cs="Arial"/>
                <w:color w:val="000000"/>
                <w:sz w:val="20"/>
                <w:szCs w:val="20"/>
                <w:vertAlign w:val="subscript"/>
              </w:rPr>
              <w:t>b</w:t>
            </w:r>
            <w:r w:rsidRPr="00FB057C">
              <w:rPr>
                <w:rFonts w:ascii="Arial" w:eastAsia="Times New Roman" w:hAnsi="Arial" w:cs="Arial"/>
                <w:color w:val="000000"/>
                <w:sz w:val="20"/>
                <w:szCs w:val="20"/>
              </w:rPr>
              <w:t xml:space="preserve"> </w:t>
            </w:r>
          </w:p>
          <w:p w14:paraId="2A573B6E" w14:textId="77777777" w:rsidR="00CE516D" w:rsidRPr="00FB057C" w:rsidRDefault="00CE516D" w:rsidP="001B1C87">
            <w:pPr>
              <w:rPr>
                <w:rFonts w:ascii="Arial" w:eastAsia="Times New Roman" w:hAnsi="Arial" w:cs="Arial"/>
                <w:color w:val="000000"/>
                <w:sz w:val="20"/>
                <w:szCs w:val="20"/>
              </w:rPr>
            </w:pPr>
          </w:p>
        </w:tc>
        <w:tc>
          <w:tcPr>
            <w:tcW w:w="1870" w:type="dxa"/>
            <w:tcBorders>
              <w:top w:val="nil"/>
              <w:left w:val="nil"/>
              <w:bottom w:val="nil"/>
              <w:right w:val="nil"/>
            </w:tcBorders>
          </w:tcPr>
          <w:p w14:paraId="6F8FB776"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4.55±0.37 </w:t>
            </w:r>
            <w:r w:rsidRPr="00FB057C">
              <w:rPr>
                <w:rFonts w:ascii="Arial" w:eastAsia="Times New Roman" w:hAnsi="Arial" w:cs="Arial"/>
                <w:color w:val="000000"/>
                <w:sz w:val="20"/>
                <w:szCs w:val="20"/>
                <w:vertAlign w:val="subscript"/>
              </w:rPr>
              <w:t>b</w:t>
            </w:r>
          </w:p>
        </w:tc>
        <w:tc>
          <w:tcPr>
            <w:tcW w:w="1870" w:type="dxa"/>
            <w:tcBorders>
              <w:top w:val="nil"/>
              <w:left w:val="nil"/>
              <w:bottom w:val="nil"/>
            </w:tcBorders>
          </w:tcPr>
          <w:p w14:paraId="777E1529"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5.33±0.58 </w:t>
            </w:r>
            <w:r w:rsidRPr="00FB057C">
              <w:rPr>
                <w:rFonts w:ascii="Arial" w:eastAsia="Times New Roman" w:hAnsi="Arial" w:cs="Arial"/>
                <w:color w:val="000000"/>
                <w:sz w:val="20"/>
                <w:szCs w:val="20"/>
                <w:vertAlign w:val="subscript"/>
              </w:rPr>
              <w:t xml:space="preserve">a </w:t>
            </w:r>
          </w:p>
          <w:p w14:paraId="3AFECA4B" w14:textId="77777777" w:rsidR="00CE516D" w:rsidRPr="00FB057C" w:rsidRDefault="00CE516D" w:rsidP="001B1C87">
            <w:pPr>
              <w:rPr>
                <w:rFonts w:ascii="Arial" w:eastAsia="Times New Roman" w:hAnsi="Arial" w:cs="Arial"/>
                <w:color w:val="000000"/>
                <w:sz w:val="20"/>
                <w:szCs w:val="20"/>
              </w:rPr>
            </w:pPr>
          </w:p>
        </w:tc>
      </w:tr>
      <w:tr w:rsidR="00CE516D" w:rsidRPr="00FB057C" w14:paraId="35F83AF5" w14:textId="77777777" w:rsidTr="001B1C87">
        <w:tc>
          <w:tcPr>
            <w:tcW w:w="1870" w:type="dxa"/>
            <w:tcBorders>
              <w:top w:val="nil"/>
              <w:bottom w:val="nil"/>
              <w:right w:val="nil"/>
            </w:tcBorders>
          </w:tcPr>
          <w:p w14:paraId="292F9541"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C</w:t>
            </w:r>
          </w:p>
        </w:tc>
        <w:tc>
          <w:tcPr>
            <w:tcW w:w="1870" w:type="dxa"/>
            <w:tcBorders>
              <w:top w:val="nil"/>
              <w:left w:val="nil"/>
              <w:bottom w:val="nil"/>
              <w:right w:val="nil"/>
            </w:tcBorders>
          </w:tcPr>
          <w:p w14:paraId="217D9756"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85.00±1.00 </w:t>
            </w:r>
            <w:r w:rsidRPr="00FB057C">
              <w:rPr>
                <w:rFonts w:ascii="Arial" w:eastAsia="Times New Roman" w:hAnsi="Arial" w:cs="Arial"/>
                <w:color w:val="000000"/>
                <w:sz w:val="20"/>
                <w:szCs w:val="20"/>
                <w:vertAlign w:val="subscript"/>
              </w:rPr>
              <w:t>d</w:t>
            </w:r>
            <w:r w:rsidRPr="00FB057C">
              <w:rPr>
                <w:rFonts w:ascii="Arial" w:eastAsia="Times New Roman" w:hAnsi="Arial" w:cs="Arial"/>
                <w:color w:val="000000"/>
                <w:sz w:val="20"/>
                <w:szCs w:val="20"/>
              </w:rPr>
              <w:t xml:space="preserve"> </w:t>
            </w:r>
          </w:p>
          <w:p w14:paraId="6A2384F9"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 </w:t>
            </w:r>
          </w:p>
        </w:tc>
        <w:tc>
          <w:tcPr>
            <w:tcW w:w="1870" w:type="dxa"/>
            <w:tcBorders>
              <w:top w:val="nil"/>
              <w:left w:val="nil"/>
              <w:bottom w:val="nil"/>
              <w:right w:val="nil"/>
            </w:tcBorders>
          </w:tcPr>
          <w:p w14:paraId="6FB13047"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5.38±0.14</w:t>
            </w:r>
            <w:r w:rsidRPr="00FB057C">
              <w:rPr>
                <w:rFonts w:ascii="Arial" w:eastAsia="Times New Roman" w:hAnsi="Arial" w:cs="Arial"/>
                <w:color w:val="000000"/>
                <w:sz w:val="20"/>
                <w:szCs w:val="20"/>
                <w:vertAlign w:val="subscript"/>
              </w:rPr>
              <w:t xml:space="preserve">c </w:t>
            </w:r>
          </w:p>
          <w:p w14:paraId="7B95FC3D" w14:textId="77777777" w:rsidR="00CE516D" w:rsidRPr="00FB057C" w:rsidRDefault="00CE516D" w:rsidP="001B1C87">
            <w:pPr>
              <w:rPr>
                <w:rFonts w:ascii="Arial" w:eastAsia="Times New Roman" w:hAnsi="Arial" w:cs="Arial"/>
                <w:color w:val="000000"/>
                <w:sz w:val="20"/>
                <w:szCs w:val="20"/>
              </w:rPr>
            </w:pPr>
          </w:p>
        </w:tc>
        <w:tc>
          <w:tcPr>
            <w:tcW w:w="1870" w:type="dxa"/>
            <w:tcBorders>
              <w:top w:val="nil"/>
              <w:left w:val="nil"/>
              <w:bottom w:val="nil"/>
            </w:tcBorders>
          </w:tcPr>
          <w:p w14:paraId="43FAB874"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4.33±0.58 </w:t>
            </w:r>
            <w:r w:rsidRPr="00FB057C">
              <w:rPr>
                <w:rFonts w:ascii="Arial" w:eastAsia="Times New Roman" w:hAnsi="Arial" w:cs="Arial"/>
                <w:color w:val="000000"/>
                <w:sz w:val="20"/>
                <w:szCs w:val="20"/>
                <w:vertAlign w:val="subscript"/>
              </w:rPr>
              <w:t>a</w:t>
            </w:r>
            <w:r w:rsidRPr="00FB057C">
              <w:rPr>
                <w:rFonts w:ascii="Arial" w:eastAsia="Times New Roman" w:hAnsi="Arial" w:cs="Arial"/>
                <w:color w:val="000000"/>
                <w:sz w:val="20"/>
                <w:szCs w:val="20"/>
              </w:rPr>
              <w:t xml:space="preserve"> </w:t>
            </w:r>
          </w:p>
          <w:p w14:paraId="04832392" w14:textId="77777777" w:rsidR="00CE516D" w:rsidRPr="00FB057C" w:rsidRDefault="00CE516D" w:rsidP="001B1C87">
            <w:pPr>
              <w:rPr>
                <w:rFonts w:ascii="Arial" w:eastAsia="Times New Roman" w:hAnsi="Arial" w:cs="Arial"/>
                <w:color w:val="000000"/>
                <w:sz w:val="20"/>
                <w:szCs w:val="20"/>
              </w:rPr>
            </w:pPr>
          </w:p>
        </w:tc>
      </w:tr>
      <w:tr w:rsidR="00CE516D" w:rsidRPr="00FB057C" w14:paraId="087A626C" w14:textId="77777777" w:rsidTr="001B1C87">
        <w:tc>
          <w:tcPr>
            <w:tcW w:w="1870" w:type="dxa"/>
            <w:tcBorders>
              <w:top w:val="nil"/>
              <w:bottom w:val="nil"/>
              <w:right w:val="nil"/>
            </w:tcBorders>
          </w:tcPr>
          <w:p w14:paraId="0EFA9536"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D</w:t>
            </w:r>
          </w:p>
        </w:tc>
        <w:tc>
          <w:tcPr>
            <w:tcW w:w="1870" w:type="dxa"/>
            <w:tcBorders>
              <w:top w:val="nil"/>
              <w:left w:val="nil"/>
              <w:bottom w:val="nil"/>
              <w:right w:val="nil"/>
            </w:tcBorders>
          </w:tcPr>
          <w:p w14:paraId="3E3AE1AE"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91.33±1.53 </w:t>
            </w:r>
            <w:r w:rsidRPr="00FB057C">
              <w:rPr>
                <w:rFonts w:ascii="Arial" w:eastAsia="Times New Roman" w:hAnsi="Arial" w:cs="Arial"/>
                <w:color w:val="000000"/>
                <w:sz w:val="20"/>
                <w:szCs w:val="20"/>
                <w:vertAlign w:val="subscript"/>
              </w:rPr>
              <w:t xml:space="preserve">e </w:t>
            </w:r>
          </w:p>
          <w:p w14:paraId="73F0985D" w14:textId="77777777" w:rsidR="00CE516D" w:rsidRPr="00FB057C" w:rsidRDefault="00CE516D" w:rsidP="001B1C87">
            <w:pPr>
              <w:rPr>
                <w:rFonts w:ascii="Arial" w:eastAsia="Times New Roman" w:hAnsi="Arial" w:cs="Arial"/>
                <w:color w:val="000000"/>
                <w:sz w:val="20"/>
                <w:szCs w:val="20"/>
              </w:rPr>
            </w:pPr>
          </w:p>
        </w:tc>
        <w:tc>
          <w:tcPr>
            <w:tcW w:w="1870" w:type="dxa"/>
            <w:tcBorders>
              <w:top w:val="nil"/>
              <w:left w:val="nil"/>
              <w:bottom w:val="nil"/>
              <w:right w:val="nil"/>
            </w:tcBorders>
          </w:tcPr>
          <w:p w14:paraId="701224EA"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5.52±0.13</w:t>
            </w:r>
            <w:r w:rsidRPr="00FB057C">
              <w:rPr>
                <w:rFonts w:ascii="Arial" w:eastAsia="Times New Roman" w:hAnsi="Arial" w:cs="Arial"/>
                <w:color w:val="000000"/>
                <w:sz w:val="20"/>
                <w:szCs w:val="20"/>
                <w:vertAlign w:val="subscript"/>
              </w:rPr>
              <w:t xml:space="preserve"> c</w:t>
            </w:r>
            <w:r w:rsidRPr="00FB057C">
              <w:rPr>
                <w:rFonts w:ascii="Arial" w:eastAsia="Times New Roman" w:hAnsi="Arial" w:cs="Arial"/>
                <w:color w:val="000000"/>
                <w:sz w:val="20"/>
                <w:szCs w:val="20"/>
              </w:rPr>
              <w:t xml:space="preserve"> </w:t>
            </w:r>
          </w:p>
          <w:p w14:paraId="031F0C0A" w14:textId="77777777" w:rsidR="00CE516D" w:rsidRPr="00FB057C" w:rsidRDefault="00CE516D" w:rsidP="001B1C87">
            <w:pPr>
              <w:rPr>
                <w:rFonts w:ascii="Arial" w:eastAsia="Times New Roman" w:hAnsi="Arial" w:cs="Arial"/>
                <w:color w:val="000000"/>
                <w:sz w:val="20"/>
                <w:szCs w:val="20"/>
              </w:rPr>
            </w:pPr>
          </w:p>
        </w:tc>
        <w:tc>
          <w:tcPr>
            <w:tcW w:w="1870" w:type="dxa"/>
            <w:tcBorders>
              <w:top w:val="nil"/>
              <w:left w:val="nil"/>
              <w:bottom w:val="nil"/>
            </w:tcBorders>
          </w:tcPr>
          <w:p w14:paraId="591D85D1"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10.67±1.15</w:t>
            </w:r>
            <w:r w:rsidRPr="00FB057C">
              <w:rPr>
                <w:rFonts w:ascii="Arial" w:eastAsia="Times New Roman" w:hAnsi="Arial" w:cs="Arial"/>
                <w:color w:val="000000"/>
                <w:sz w:val="20"/>
                <w:szCs w:val="20"/>
                <w:vertAlign w:val="subscript"/>
              </w:rPr>
              <w:t xml:space="preserve"> c</w:t>
            </w:r>
            <w:r w:rsidRPr="00FB057C">
              <w:rPr>
                <w:rFonts w:ascii="Arial" w:eastAsia="Times New Roman" w:hAnsi="Arial" w:cs="Arial"/>
                <w:color w:val="000000"/>
                <w:sz w:val="20"/>
                <w:szCs w:val="20"/>
              </w:rPr>
              <w:t xml:space="preserve"> </w:t>
            </w:r>
          </w:p>
          <w:p w14:paraId="5CA386E2" w14:textId="77777777" w:rsidR="00CE516D" w:rsidRPr="00FB057C" w:rsidRDefault="00CE516D" w:rsidP="001B1C87">
            <w:pPr>
              <w:rPr>
                <w:rFonts w:ascii="Arial" w:eastAsia="Times New Roman" w:hAnsi="Arial" w:cs="Arial"/>
                <w:color w:val="000000"/>
                <w:sz w:val="20"/>
                <w:szCs w:val="20"/>
              </w:rPr>
            </w:pPr>
          </w:p>
        </w:tc>
      </w:tr>
      <w:tr w:rsidR="00CE516D" w:rsidRPr="00FB057C" w14:paraId="5C008585" w14:textId="77777777" w:rsidTr="001B1C87">
        <w:tc>
          <w:tcPr>
            <w:tcW w:w="1870" w:type="dxa"/>
            <w:tcBorders>
              <w:top w:val="nil"/>
              <w:bottom w:val="single" w:sz="4" w:space="0" w:color="auto"/>
              <w:right w:val="nil"/>
            </w:tcBorders>
          </w:tcPr>
          <w:p w14:paraId="5A1E864D"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E</w:t>
            </w:r>
          </w:p>
        </w:tc>
        <w:tc>
          <w:tcPr>
            <w:tcW w:w="1870" w:type="dxa"/>
            <w:tcBorders>
              <w:top w:val="nil"/>
              <w:left w:val="nil"/>
              <w:bottom w:val="single" w:sz="4" w:space="0" w:color="auto"/>
              <w:right w:val="nil"/>
            </w:tcBorders>
          </w:tcPr>
          <w:p w14:paraId="6013133C"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53.33±1.53 </w:t>
            </w:r>
            <w:r w:rsidRPr="00FB057C">
              <w:rPr>
                <w:rFonts w:ascii="Arial" w:eastAsia="Times New Roman" w:hAnsi="Arial" w:cs="Arial"/>
                <w:color w:val="000000"/>
                <w:sz w:val="20"/>
                <w:szCs w:val="20"/>
                <w:vertAlign w:val="subscript"/>
              </w:rPr>
              <w:t>a</w:t>
            </w:r>
          </w:p>
        </w:tc>
        <w:tc>
          <w:tcPr>
            <w:tcW w:w="1870" w:type="dxa"/>
            <w:tcBorders>
              <w:top w:val="nil"/>
              <w:left w:val="nil"/>
              <w:bottom w:val="single" w:sz="4" w:space="0" w:color="auto"/>
              <w:right w:val="nil"/>
            </w:tcBorders>
          </w:tcPr>
          <w:p w14:paraId="56D5C7C7" w14:textId="77777777" w:rsidR="00CE516D" w:rsidRPr="00FB057C" w:rsidRDefault="00CE516D" w:rsidP="001B1C87">
            <w:pPr>
              <w:rPr>
                <w:rFonts w:ascii="Arial" w:eastAsia="Times New Roman" w:hAnsi="Arial" w:cs="Arial"/>
                <w:sz w:val="20"/>
                <w:szCs w:val="20"/>
              </w:rPr>
            </w:pPr>
            <w:r w:rsidRPr="00FB057C">
              <w:rPr>
                <w:rFonts w:ascii="Arial" w:eastAsia="Times New Roman" w:hAnsi="Arial" w:cs="Arial"/>
                <w:color w:val="000000"/>
                <w:sz w:val="20"/>
                <w:szCs w:val="20"/>
              </w:rPr>
              <w:t xml:space="preserve">3.81±0.04 </w:t>
            </w:r>
            <w:r w:rsidRPr="00FB057C">
              <w:rPr>
                <w:rFonts w:ascii="Arial" w:eastAsia="Times New Roman" w:hAnsi="Arial" w:cs="Arial"/>
                <w:color w:val="000000"/>
                <w:sz w:val="20"/>
                <w:szCs w:val="20"/>
                <w:vertAlign w:val="subscript"/>
              </w:rPr>
              <w:t>a</w:t>
            </w:r>
            <w:r w:rsidRPr="00FB057C">
              <w:rPr>
                <w:rFonts w:ascii="Arial" w:eastAsia="Times New Roman" w:hAnsi="Arial" w:cs="Arial"/>
                <w:color w:val="000000"/>
                <w:sz w:val="20"/>
                <w:szCs w:val="20"/>
              </w:rPr>
              <w:t xml:space="preserve"> </w:t>
            </w:r>
          </w:p>
          <w:p w14:paraId="625DF51B" w14:textId="77777777" w:rsidR="00CE516D" w:rsidRPr="00FB057C" w:rsidRDefault="00CE516D" w:rsidP="001B1C87">
            <w:pPr>
              <w:rPr>
                <w:rFonts w:ascii="Arial" w:eastAsia="Times New Roman" w:hAnsi="Arial" w:cs="Arial"/>
                <w:color w:val="000000"/>
                <w:sz w:val="20"/>
                <w:szCs w:val="20"/>
              </w:rPr>
            </w:pPr>
          </w:p>
        </w:tc>
        <w:tc>
          <w:tcPr>
            <w:tcW w:w="1870" w:type="dxa"/>
            <w:tcBorders>
              <w:top w:val="nil"/>
              <w:left w:val="nil"/>
              <w:bottom w:val="single" w:sz="4" w:space="0" w:color="auto"/>
            </w:tcBorders>
          </w:tcPr>
          <w:p w14:paraId="49910884" w14:textId="77777777" w:rsidR="00CE516D" w:rsidRPr="00FB057C" w:rsidRDefault="00CE516D" w:rsidP="001B1C87">
            <w:pPr>
              <w:rPr>
                <w:rFonts w:ascii="Arial" w:eastAsia="Times New Roman" w:hAnsi="Arial" w:cs="Arial"/>
                <w:color w:val="000000"/>
                <w:sz w:val="20"/>
                <w:szCs w:val="20"/>
              </w:rPr>
            </w:pPr>
            <w:r w:rsidRPr="00FB057C">
              <w:rPr>
                <w:rFonts w:ascii="Arial" w:eastAsia="Times New Roman" w:hAnsi="Arial" w:cs="Arial"/>
                <w:color w:val="000000"/>
                <w:sz w:val="20"/>
                <w:szCs w:val="20"/>
              </w:rPr>
              <w:t xml:space="preserve">6.67±1.15 </w:t>
            </w:r>
            <w:r w:rsidRPr="00FB057C">
              <w:rPr>
                <w:rFonts w:ascii="Arial" w:eastAsia="Times New Roman" w:hAnsi="Arial" w:cs="Arial"/>
                <w:color w:val="000000"/>
                <w:sz w:val="20"/>
                <w:szCs w:val="20"/>
                <w:vertAlign w:val="subscript"/>
              </w:rPr>
              <w:t>b</w:t>
            </w:r>
          </w:p>
        </w:tc>
      </w:tr>
    </w:tbl>
    <w:p w14:paraId="1B0F29CB" w14:textId="77777777" w:rsidR="00CE516D" w:rsidRPr="00FB057C" w:rsidRDefault="00CE516D" w:rsidP="00CE516D">
      <w:pPr>
        <w:rPr>
          <w:rFonts w:ascii="Arial" w:hAnsi="Arial" w:cs="Arial"/>
        </w:rPr>
      </w:pPr>
    </w:p>
    <w:p w14:paraId="2FC3087E" w14:textId="77777777" w:rsidR="00CE516D" w:rsidRPr="00FB057C" w:rsidRDefault="00CE516D" w:rsidP="00CE516D">
      <w:pPr>
        <w:jc w:val="both"/>
        <w:rPr>
          <w:rFonts w:ascii="Arial" w:hAnsi="Arial" w:cs="Arial"/>
        </w:rPr>
      </w:pPr>
      <w:r w:rsidRPr="00FB057C">
        <w:rPr>
          <w:rFonts w:ascii="Arial" w:hAnsi="Arial" w:cs="Arial"/>
        </w:rPr>
        <w:t>Mean values are of duplicates ± standard deviation. The value within the rows with different superscripts is significantly (P&lt;0.05) different.</w:t>
      </w:r>
    </w:p>
    <w:p w14:paraId="6829A901" w14:textId="77777777" w:rsidR="00CE516D" w:rsidRPr="00FB057C" w:rsidRDefault="00CE516D" w:rsidP="00CE516D">
      <w:pPr>
        <w:jc w:val="both"/>
        <w:rPr>
          <w:rFonts w:ascii="Arial" w:hAnsi="Arial" w:cs="Arial"/>
        </w:rPr>
      </w:pPr>
    </w:p>
    <w:p w14:paraId="21458666" w14:textId="77777777" w:rsidR="00CE516D" w:rsidRPr="00FB057C" w:rsidRDefault="00CE516D" w:rsidP="00CE516D">
      <w:pPr>
        <w:jc w:val="both"/>
        <w:rPr>
          <w:rFonts w:ascii="Arial" w:hAnsi="Arial" w:cs="Arial"/>
        </w:rPr>
      </w:pPr>
      <w:r w:rsidRPr="00FB057C">
        <w:rPr>
          <w:rFonts w:ascii="Arial" w:hAnsi="Arial" w:cs="Arial"/>
        </w:rPr>
        <w:t>Key:</w:t>
      </w:r>
    </w:p>
    <w:p w14:paraId="0341B446" w14:textId="77777777" w:rsidR="00CE516D" w:rsidRPr="00FB057C" w:rsidRDefault="00CE516D" w:rsidP="00CE516D">
      <w:pPr>
        <w:jc w:val="both"/>
        <w:rPr>
          <w:rFonts w:ascii="Arial" w:hAnsi="Arial" w:cs="Arial"/>
        </w:rPr>
      </w:pPr>
      <w:r w:rsidRPr="00FB057C">
        <w:rPr>
          <w:rFonts w:ascii="Arial" w:hAnsi="Arial" w:cs="Arial"/>
        </w:rPr>
        <w:t>Sample A = 85% Wheat flour, 10% Soybean flour, and 5% Carrot flour</w:t>
      </w:r>
    </w:p>
    <w:p w14:paraId="0AADA445" w14:textId="77777777" w:rsidR="00CE516D" w:rsidRPr="00FB057C" w:rsidRDefault="00CE516D" w:rsidP="00CE516D">
      <w:pPr>
        <w:jc w:val="both"/>
        <w:rPr>
          <w:rFonts w:ascii="Arial" w:hAnsi="Arial" w:cs="Arial"/>
        </w:rPr>
      </w:pPr>
      <w:r w:rsidRPr="00FB057C">
        <w:rPr>
          <w:rFonts w:ascii="Arial" w:hAnsi="Arial" w:cs="Arial"/>
        </w:rPr>
        <w:t>Sample B = 70% Wheat flour, 20% Soybean flour, and 10% Carrot flour</w:t>
      </w:r>
    </w:p>
    <w:p w14:paraId="42839F72" w14:textId="77777777" w:rsidR="00CE516D" w:rsidRPr="00FB057C" w:rsidRDefault="00CE516D" w:rsidP="00CE516D">
      <w:pPr>
        <w:jc w:val="both"/>
        <w:rPr>
          <w:rFonts w:ascii="Arial" w:hAnsi="Arial" w:cs="Arial"/>
        </w:rPr>
      </w:pPr>
      <w:r w:rsidRPr="00FB057C">
        <w:rPr>
          <w:rFonts w:ascii="Arial" w:hAnsi="Arial" w:cs="Arial"/>
        </w:rPr>
        <w:t>Sample C = 60% Wheat flour, 25% Soybean flour, and 15% Carrot flour</w:t>
      </w:r>
    </w:p>
    <w:p w14:paraId="4E88A19C" w14:textId="77777777" w:rsidR="00CE516D" w:rsidRPr="00FB057C" w:rsidRDefault="00CE516D" w:rsidP="00CE516D">
      <w:pPr>
        <w:jc w:val="both"/>
        <w:rPr>
          <w:rFonts w:ascii="Arial" w:hAnsi="Arial" w:cs="Arial"/>
        </w:rPr>
      </w:pPr>
      <w:r w:rsidRPr="00FB057C">
        <w:rPr>
          <w:rFonts w:ascii="Arial" w:hAnsi="Arial" w:cs="Arial"/>
        </w:rPr>
        <w:t>Sample D = 50% Wheat flour, 30% Soybean flour, and 20% Carrot flour</w:t>
      </w:r>
    </w:p>
    <w:p w14:paraId="6AACB9FB" w14:textId="77777777" w:rsidR="00CE516D" w:rsidRDefault="00CE516D" w:rsidP="00CE516D">
      <w:pPr>
        <w:jc w:val="both"/>
        <w:rPr>
          <w:rFonts w:ascii="Arial" w:hAnsi="Arial" w:cs="Arial"/>
        </w:rPr>
      </w:pPr>
      <w:r w:rsidRPr="00FB057C">
        <w:rPr>
          <w:rFonts w:ascii="Arial" w:hAnsi="Arial" w:cs="Arial"/>
        </w:rPr>
        <w:t>Sample E = 100% Wheat flour (Control)</w:t>
      </w:r>
    </w:p>
    <w:p w14:paraId="7F67C9FE" w14:textId="77777777" w:rsidR="008519D0" w:rsidRDefault="008519D0" w:rsidP="008519D0">
      <w:pPr>
        <w:rPr>
          <w:rFonts w:ascii="Arial" w:hAnsi="Arial" w:cs="Arial"/>
        </w:rPr>
      </w:pPr>
    </w:p>
    <w:p w14:paraId="4BBD001F" w14:textId="77777777" w:rsidR="00CE516D" w:rsidRPr="00CC52BE" w:rsidRDefault="00CE516D" w:rsidP="00CE516D">
      <w:pPr>
        <w:rPr>
          <w:rFonts w:ascii="Arial" w:hAnsi="Arial" w:cs="Arial"/>
          <w:b/>
          <w:bCs/>
          <w:u w:val="single"/>
        </w:rPr>
      </w:pPr>
      <w:r w:rsidRPr="00CC52BE">
        <w:rPr>
          <w:rFonts w:ascii="Arial" w:hAnsi="Arial" w:cs="Arial"/>
          <w:b/>
          <w:bCs/>
          <w:u w:val="single"/>
        </w:rPr>
        <w:t>3.</w:t>
      </w:r>
      <w:r w:rsidR="00CC52BE" w:rsidRPr="00CC52BE">
        <w:rPr>
          <w:rFonts w:ascii="Arial" w:hAnsi="Arial" w:cs="Arial"/>
          <w:b/>
          <w:bCs/>
          <w:u w:val="single"/>
        </w:rPr>
        <w:t>5.1</w:t>
      </w:r>
      <w:r w:rsidRPr="00CC52BE">
        <w:rPr>
          <w:rFonts w:ascii="Arial" w:hAnsi="Arial" w:cs="Arial"/>
          <w:b/>
          <w:bCs/>
          <w:u w:val="single"/>
        </w:rPr>
        <w:t xml:space="preserve"> Loaf Test</w:t>
      </w:r>
    </w:p>
    <w:p w14:paraId="2CBA8000" w14:textId="77777777" w:rsidR="00CE516D" w:rsidRPr="009B38DC" w:rsidRDefault="00CE516D" w:rsidP="00CE516D">
      <w:pPr>
        <w:rPr>
          <w:rFonts w:ascii="Arial" w:hAnsi="Arial" w:cs="Arial"/>
          <w:sz w:val="22"/>
          <w:szCs w:val="22"/>
        </w:rPr>
      </w:pPr>
    </w:p>
    <w:p w14:paraId="09CD5892" w14:textId="5AAE613A" w:rsidR="00CE516D" w:rsidRPr="00954317" w:rsidRDefault="00CE516D" w:rsidP="00CE516D">
      <w:pPr>
        <w:jc w:val="both"/>
        <w:rPr>
          <w:rFonts w:ascii="Arial" w:hAnsi="Arial" w:cs="Arial"/>
        </w:rPr>
      </w:pPr>
      <w:r w:rsidRPr="00954317">
        <w:rPr>
          <w:rFonts w:ascii="Arial" w:hAnsi="Arial" w:cs="Arial"/>
        </w:rPr>
        <w:t xml:space="preserve">The result of the loaf test is shown in Table </w:t>
      </w:r>
      <w:r w:rsidR="005144F3">
        <w:rPr>
          <w:rFonts w:ascii="Arial" w:hAnsi="Arial" w:cs="Arial"/>
        </w:rPr>
        <w:t>7</w:t>
      </w:r>
      <w:r w:rsidRPr="00954317">
        <w:rPr>
          <w:rFonts w:ascii="Arial" w:hAnsi="Arial" w:cs="Arial"/>
        </w:rPr>
        <w:t>. The loaf test results provide valuable insights into the structural characteristics of the bread samples, particularly in terms of height, volume, weight, and mass-to-volume ratio. All samples had the same height of 13.5 cm, indicating that the rise during baking was consistent across the different formulations, suggesting uniformity in the baking process and gas retention.</w:t>
      </w:r>
    </w:p>
    <w:p w14:paraId="25CB80FA" w14:textId="77777777" w:rsidR="00CE516D" w:rsidRPr="00954317" w:rsidRDefault="00CE516D" w:rsidP="00CE516D">
      <w:pPr>
        <w:jc w:val="both"/>
        <w:rPr>
          <w:rFonts w:ascii="Arial" w:hAnsi="Arial" w:cs="Arial"/>
        </w:rPr>
      </w:pPr>
    </w:p>
    <w:p w14:paraId="0B1FC98B" w14:textId="77777777" w:rsidR="00CE516D" w:rsidRPr="00954317" w:rsidRDefault="00CE516D" w:rsidP="00CE516D">
      <w:pPr>
        <w:jc w:val="both"/>
        <w:rPr>
          <w:rFonts w:ascii="Arial" w:hAnsi="Arial" w:cs="Arial"/>
        </w:rPr>
      </w:pPr>
      <w:commentRangeStart w:id="38"/>
      <w:r w:rsidRPr="00954317">
        <w:rPr>
          <w:rFonts w:ascii="Arial" w:hAnsi="Arial" w:cs="Arial"/>
        </w:rPr>
        <w:t xml:space="preserve">When it comes to loaf volume, Samples A and B exhibited the highest volume at 500 g, </w:t>
      </w:r>
      <w:commentRangeEnd w:id="38"/>
      <w:r w:rsidR="00E12C57">
        <w:rPr>
          <w:rStyle w:val="CommentReference"/>
          <w:rFonts w:ascii="Times New Roman" w:hAnsi="Times New Roman"/>
          <w:lang w:val="nb-NO" w:eastAsia="nb-NO"/>
        </w:rPr>
        <w:commentReference w:id="38"/>
      </w:r>
      <w:r w:rsidRPr="00954317">
        <w:rPr>
          <w:rFonts w:ascii="Arial" w:hAnsi="Arial" w:cs="Arial"/>
        </w:rPr>
        <w:t>which indicates better gas retention during baking, leading to lighter and airier bread. Sample E followed with a volume of 450 g, while Samples C and D had the lowest volumes at 400 g, which may indicate a denser crumb structure in these samples.</w:t>
      </w:r>
    </w:p>
    <w:p w14:paraId="5D83A15A" w14:textId="77777777" w:rsidR="00CE516D" w:rsidRPr="00954317" w:rsidRDefault="00CE516D" w:rsidP="00CE516D">
      <w:pPr>
        <w:jc w:val="both"/>
        <w:rPr>
          <w:rFonts w:ascii="Arial" w:hAnsi="Arial" w:cs="Arial"/>
        </w:rPr>
      </w:pPr>
    </w:p>
    <w:p w14:paraId="1DD1DAF4" w14:textId="77777777" w:rsidR="00CE516D" w:rsidRPr="00954317" w:rsidRDefault="00CE516D" w:rsidP="00CE516D">
      <w:pPr>
        <w:jc w:val="both"/>
        <w:rPr>
          <w:rFonts w:ascii="Arial" w:hAnsi="Arial" w:cs="Arial"/>
        </w:rPr>
      </w:pPr>
      <w:r w:rsidRPr="00954317">
        <w:rPr>
          <w:rFonts w:ascii="Arial" w:hAnsi="Arial" w:cs="Arial"/>
        </w:rPr>
        <w:t>In terms of weight, Sample B and Sample E were the heaviest, each weighing 300 g, suggesting they are denser loaves. Samples A and C were lighter at 250 g, while Sample D weighed 280 g, reflecting some variation in the overall bread density among the samples.</w:t>
      </w:r>
    </w:p>
    <w:p w14:paraId="16C993A4" w14:textId="77777777" w:rsidR="00CE516D" w:rsidRPr="00954317" w:rsidRDefault="00CE516D" w:rsidP="00CE516D">
      <w:pPr>
        <w:jc w:val="both"/>
        <w:rPr>
          <w:rFonts w:ascii="Arial" w:hAnsi="Arial" w:cs="Arial"/>
        </w:rPr>
      </w:pPr>
    </w:p>
    <w:p w14:paraId="4E31BB9E" w14:textId="77777777" w:rsidR="00CE516D" w:rsidRPr="00954317" w:rsidRDefault="00CE516D" w:rsidP="00CE516D">
      <w:pPr>
        <w:jc w:val="both"/>
        <w:rPr>
          <w:rFonts w:ascii="Arial" w:hAnsi="Arial" w:cs="Arial"/>
        </w:rPr>
      </w:pPr>
      <w:r w:rsidRPr="00954317">
        <w:rPr>
          <w:rFonts w:ascii="Arial" w:hAnsi="Arial" w:cs="Arial"/>
        </w:rPr>
        <w:t>The mass-to-volume ratio further highlights the density of the bread. Sample D had the highest ratio at 0.70 g/cm³, indicating it was the densest loaf, followed by Sample E at 0.67 g/cm³ and Sample C at 0.63 g/cm³. Sample B had a ratio of 0.60 g/cm³, while Sample A was the lightest and most aerated loaf with a ratio of 0.50 g/cm³. This suggests that Sample A had a lighter, more open crumb structure, while Samples D and E were firmer and denser.</w:t>
      </w:r>
    </w:p>
    <w:p w14:paraId="64F76959" w14:textId="77777777" w:rsidR="00CE516D" w:rsidRPr="00954317" w:rsidRDefault="00CE516D" w:rsidP="00CE516D">
      <w:pPr>
        <w:jc w:val="both"/>
        <w:rPr>
          <w:rFonts w:ascii="Arial" w:hAnsi="Arial" w:cs="Arial"/>
        </w:rPr>
      </w:pPr>
    </w:p>
    <w:p w14:paraId="02916A15" w14:textId="77777777" w:rsidR="00CE516D" w:rsidRPr="009B38DC" w:rsidRDefault="00CE516D" w:rsidP="00CE516D">
      <w:pPr>
        <w:jc w:val="both"/>
        <w:rPr>
          <w:rFonts w:ascii="Arial" w:hAnsi="Arial" w:cs="Arial"/>
          <w:sz w:val="22"/>
          <w:szCs w:val="22"/>
        </w:rPr>
      </w:pPr>
      <w:r w:rsidRPr="00954317">
        <w:rPr>
          <w:rFonts w:ascii="Arial" w:hAnsi="Arial" w:cs="Arial"/>
        </w:rPr>
        <w:lastRenderedPageBreak/>
        <w:t>Sample A is characterized by a lighter, more aerated texture, making it potentially more appealing to consumers who prefer soft bread. On the other hand, Samples D and E are denser and firmer, which might suit those who prefer more substantial, heavier loaves. The results highlight the diversity in texture and density among the different bread formulations</w:t>
      </w:r>
      <w:r w:rsidRPr="009B38DC">
        <w:rPr>
          <w:rFonts w:ascii="Arial" w:hAnsi="Arial" w:cs="Arial"/>
          <w:sz w:val="22"/>
          <w:szCs w:val="22"/>
        </w:rPr>
        <w:t>.</w:t>
      </w:r>
    </w:p>
    <w:p w14:paraId="1F9F4694" w14:textId="77777777" w:rsidR="00CE516D" w:rsidRPr="009B38DC" w:rsidRDefault="00CE516D" w:rsidP="00CE516D">
      <w:pPr>
        <w:rPr>
          <w:rFonts w:ascii="Arial" w:hAnsi="Arial" w:cs="Arial"/>
          <w:sz w:val="22"/>
          <w:szCs w:val="22"/>
        </w:rPr>
      </w:pPr>
    </w:p>
    <w:p w14:paraId="3C634FEB" w14:textId="461A87A3" w:rsidR="00CE516D" w:rsidRPr="00954317" w:rsidRDefault="00CE516D" w:rsidP="00CE516D">
      <w:pPr>
        <w:jc w:val="both"/>
        <w:rPr>
          <w:rFonts w:ascii="Arial" w:hAnsi="Arial" w:cs="Arial"/>
        </w:rPr>
      </w:pPr>
      <w:commentRangeStart w:id="39"/>
      <w:r w:rsidRPr="00954317">
        <w:rPr>
          <w:rFonts w:ascii="Arial" w:hAnsi="Arial" w:cs="Arial"/>
        </w:rPr>
        <w:t xml:space="preserve">Table </w:t>
      </w:r>
      <w:r w:rsidR="005144F3">
        <w:rPr>
          <w:rFonts w:ascii="Arial" w:hAnsi="Arial" w:cs="Arial"/>
        </w:rPr>
        <w:t>7</w:t>
      </w:r>
      <w:r w:rsidRPr="00954317">
        <w:rPr>
          <w:rFonts w:ascii="Arial" w:hAnsi="Arial" w:cs="Arial"/>
        </w:rPr>
        <w:t>: Loaf Test Result</w:t>
      </w:r>
      <w:commentRangeEnd w:id="39"/>
      <w:r w:rsidR="000A3309">
        <w:rPr>
          <w:rStyle w:val="CommentReference"/>
          <w:rFonts w:ascii="Times New Roman" w:hAnsi="Times New Roman"/>
          <w:lang w:val="nb-NO" w:eastAsia="nb-NO"/>
        </w:rPr>
        <w:commentReference w:id="39"/>
      </w:r>
    </w:p>
    <w:p w14:paraId="48FDC509" w14:textId="77777777" w:rsidR="00CE516D" w:rsidRPr="00954317" w:rsidRDefault="00CE516D" w:rsidP="00CE516D">
      <w:pPr>
        <w:jc w:val="both"/>
        <w:rPr>
          <w:rFonts w:ascii="Arial" w:hAnsi="Arial" w:cs="Arial"/>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870"/>
        <w:gridCol w:w="1870"/>
        <w:gridCol w:w="1870"/>
        <w:gridCol w:w="1870"/>
        <w:gridCol w:w="1870"/>
      </w:tblGrid>
      <w:tr w:rsidR="00CE516D" w:rsidRPr="00954317" w14:paraId="3A9C6C68" w14:textId="77777777" w:rsidTr="001B1C87">
        <w:tc>
          <w:tcPr>
            <w:tcW w:w="1870" w:type="dxa"/>
            <w:tcBorders>
              <w:bottom w:val="single" w:sz="4" w:space="0" w:color="auto"/>
            </w:tcBorders>
          </w:tcPr>
          <w:p w14:paraId="4A7CBBDE" w14:textId="77777777" w:rsidR="00CE516D" w:rsidRPr="00954317" w:rsidRDefault="00CE516D" w:rsidP="001B1C87">
            <w:pPr>
              <w:jc w:val="both"/>
              <w:rPr>
                <w:rFonts w:ascii="Arial" w:eastAsia="Times New Roman" w:hAnsi="Arial" w:cs="Arial"/>
                <w:b/>
                <w:bCs/>
                <w:sz w:val="20"/>
                <w:szCs w:val="20"/>
              </w:rPr>
            </w:pPr>
            <w:r w:rsidRPr="00954317">
              <w:rPr>
                <w:rFonts w:ascii="Arial" w:eastAsia="Times New Roman" w:hAnsi="Arial" w:cs="Arial"/>
                <w:b/>
                <w:bCs/>
                <w:sz w:val="20"/>
                <w:szCs w:val="20"/>
              </w:rPr>
              <w:t>SAMPLE</w:t>
            </w:r>
          </w:p>
        </w:tc>
        <w:tc>
          <w:tcPr>
            <w:tcW w:w="1870" w:type="dxa"/>
            <w:tcBorders>
              <w:bottom w:val="single" w:sz="4" w:space="0" w:color="auto"/>
            </w:tcBorders>
          </w:tcPr>
          <w:p w14:paraId="2E400612" w14:textId="77777777" w:rsidR="00CE516D" w:rsidRPr="00954317" w:rsidRDefault="00CE516D" w:rsidP="001B1C87">
            <w:pPr>
              <w:jc w:val="both"/>
              <w:rPr>
                <w:rFonts w:ascii="Arial" w:eastAsia="Times New Roman" w:hAnsi="Arial" w:cs="Arial"/>
                <w:b/>
                <w:bCs/>
                <w:sz w:val="20"/>
                <w:szCs w:val="20"/>
              </w:rPr>
            </w:pPr>
            <w:r w:rsidRPr="00954317">
              <w:rPr>
                <w:rFonts w:ascii="Arial" w:eastAsia="Times New Roman" w:hAnsi="Arial" w:cs="Arial"/>
                <w:b/>
                <w:bCs/>
                <w:color w:val="000000"/>
                <w:sz w:val="20"/>
                <w:szCs w:val="20"/>
              </w:rPr>
              <w:t xml:space="preserve">HEIGHT </w:t>
            </w:r>
          </w:p>
          <w:p w14:paraId="6935B2E2" w14:textId="77777777" w:rsidR="00CE516D" w:rsidRPr="00954317" w:rsidRDefault="00CE516D" w:rsidP="001B1C87">
            <w:pPr>
              <w:jc w:val="both"/>
              <w:rPr>
                <w:rFonts w:ascii="Arial" w:eastAsia="Times New Roman" w:hAnsi="Arial" w:cs="Arial"/>
                <w:b/>
                <w:bCs/>
                <w:sz w:val="20"/>
                <w:szCs w:val="20"/>
              </w:rPr>
            </w:pPr>
            <w:r w:rsidRPr="00954317">
              <w:rPr>
                <w:rFonts w:ascii="Arial" w:eastAsia="Times New Roman" w:hAnsi="Arial" w:cs="Arial"/>
                <w:b/>
                <w:bCs/>
                <w:color w:val="000000"/>
                <w:sz w:val="20"/>
                <w:szCs w:val="20"/>
              </w:rPr>
              <w:t xml:space="preserve">(cm) </w:t>
            </w:r>
          </w:p>
          <w:p w14:paraId="4C1C79D8" w14:textId="77777777" w:rsidR="00CE516D" w:rsidRPr="00954317" w:rsidRDefault="00CE516D" w:rsidP="001B1C87">
            <w:pPr>
              <w:jc w:val="both"/>
              <w:rPr>
                <w:rFonts w:ascii="Arial" w:eastAsia="Times New Roman" w:hAnsi="Arial" w:cs="Arial"/>
                <w:b/>
                <w:bCs/>
                <w:sz w:val="20"/>
                <w:szCs w:val="20"/>
              </w:rPr>
            </w:pPr>
          </w:p>
        </w:tc>
        <w:tc>
          <w:tcPr>
            <w:tcW w:w="1870" w:type="dxa"/>
            <w:tcBorders>
              <w:bottom w:val="single" w:sz="4" w:space="0" w:color="auto"/>
            </w:tcBorders>
          </w:tcPr>
          <w:p w14:paraId="7B7B22F7" w14:textId="77777777" w:rsidR="00CE516D" w:rsidRPr="00954317" w:rsidRDefault="00CE516D" w:rsidP="001B1C87">
            <w:pPr>
              <w:jc w:val="both"/>
              <w:rPr>
                <w:rFonts w:ascii="Arial" w:eastAsia="Times New Roman" w:hAnsi="Arial" w:cs="Arial"/>
                <w:b/>
                <w:bCs/>
                <w:sz w:val="20"/>
                <w:szCs w:val="20"/>
              </w:rPr>
            </w:pPr>
            <w:r w:rsidRPr="00954317">
              <w:rPr>
                <w:rFonts w:ascii="Arial" w:eastAsia="Times New Roman" w:hAnsi="Arial" w:cs="Arial"/>
                <w:b/>
                <w:bCs/>
                <w:color w:val="000000"/>
                <w:sz w:val="20"/>
                <w:szCs w:val="20"/>
              </w:rPr>
              <w:t xml:space="preserve">VOLUME </w:t>
            </w:r>
          </w:p>
          <w:p w14:paraId="3DF95338" w14:textId="77777777" w:rsidR="00CE516D" w:rsidRPr="00954317" w:rsidRDefault="00CE516D" w:rsidP="001B1C87">
            <w:pPr>
              <w:jc w:val="both"/>
              <w:rPr>
                <w:rFonts w:ascii="Arial" w:eastAsia="Times New Roman" w:hAnsi="Arial" w:cs="Arial"/>
                <w:b/>
                <w:bCs/>
                <w:sz w:val="20"/>
                <w:szCs w:val="20"/>
              </w:rPr>
            </w:pPr>
            <w:r w:rsidRPr="00954317">
              <w:rPr>
                <w:rFonts w:ascii="Arial" w:eastAsia="Times New Roman" w:hAnsi="Arial" w:cs="Arial"/>
                <w:b/>
                <w:bCs/>
                <w:color w:val="000000"/>
                <w:sz w:val="20"/>
                <w:szCs w:val="20"/>
              </w:rPr>
              <w:t xml:space="preserve">(g) </w:t>
            </w:r>
          </w:p>
          <w:p w14:paraId="20FA5DFE" w14:textId="77777777" w:rsidR="00CE516D" w:rsidRPr="00954317" w:rsidRDefault="00CE516D" w:rsidP="001B1C87">
            <w:pPr>
              <w:jc w:val="both"/>
              <w:rPr>
                <w:rFonts w:ascii="Arial" w:eastAsia="Times New Roman" w:hAnsi="Arial" w:cs="Arial"/>
                <w:b/>
                <w:bCs/>
                <w:sz w:val="20"/>
                <w:szCs w:val="20"/>
              </w:rPr>
            </w:pPr>
          </w:p>
        </w:tc>
        <w:tc>
          <w:tcPr>
            <w:tcW w:w="1870" w:type="dxa"/>
            <w:tcBorders>
              <w:bottom w:val="single" w:sz="4" w:space="0" w:color="auto"/>
            </w:tcBorders>
          </w:tcPr>
          <w:p w14:paraId="3FF49A29" w14:textId="77777777" w:rsidR="00CE516D" w:rsidRPr="00954317" w:rsidRDefault="00CE516D" w:rsidP="001B1C87">
            <w:pPr>
              <w:jc w:val="both"/>
              <w:rPr>
                <w:rFonts w:ascii="Arial" w:eastAsia="Times New Roman" w:hAnsi="Arial" w:cs="Arial"/>
                <w:b/>
                <w:bCs/>
                <w:sz w:val="20"/>
                <w:szCs w:val="20"/>
              </w:rPr>
            </w:pPr>
            <w:r w:rsidRPr="00954317">
              <w:rPr>
                <w:rFonts w:ascii="Arial" w:eastAsia="Times New Roman" w:hAnsi="Arial" w:cs="Arial"/>
                <w:b/>
                <w:bCs/>
                <w:color w:val="000000"/>
                <w:sz w:val="20"/>
                <w:szCs w:val="20"/>
              </w:rPr>
              <w:t xml:space="preserve">WEIGHT </w:t>
            </w:r>
          </w:p>
          <w:p w14:paraId="25CAFC46" w14:textId="77777777" w:rsidR="00CE516D" w:rsidRPr="00954317" w:rsidRDefault="00CE516D" w:rsidP="001B1C87">
            <w:pPr>
              <w:jc w:val="both"/>
              <w:rPr>
                <w:rFonts w:ascii="Arial" w:eastAsia="Times New Roman" w:hAnsi="Arial" w:cs="Arial"/>
                <w:b/>
                <w:bCs/>
                <w:sz w:val="20"/>
                <w:szCs w:val="20"/>
              </w:rPr>
            </w:pPr>
            <w:r w:rsidRPr="00954317">
              <w:rPr>
                <w:rFonts w:ascii="Arial" w:eastAsia="Times New Roman" w:hAnsi="Arial" w:cs="Arial"/>
                <w:b/>
                <w:bCs/>
                <w:color w:val="000000"/>
                <w:sz w:val="20"/>
                <w:szCs w:val="20"/>
              </w:rPr>
              <w:t xml:space="preserve">(g) </w:t>
            </w:r>
          </w:p>
          <w:p w14:paraId="773CDA0D" w14:textId="77777777" w:rsidR="00CE516D" w:rsidRPr="00954317" w:rsidRDefault="00CE516D" w:rsidP="001B1C87">
            <w:pPr>
              <w:jc w:val="both"/>
              <w:rPr>
                <w:rFonts w:ascii="Arial" w:eastAsia="Times New Roman" w:hAnsi="Arial" w:cs="Arial"/>
                <w:b/>
                <w:bCs/>
                <w:sz w:val="20"/>
                <w:szCs w:val="20"/>
              </w:rPr>
            </w:pPr>
          </w:p>
        </w:tc>
        <w:tc>
          <w:tcPr>
            <w:tcW w:w="1870" w:type="dxa"/>
            <w:tcBorders>
              <w:bottom w:val="single" w:sz="4" w:space="0" w:color="auto"/>
            </w:tcBorders>
          </w:tcPr>
          <w:p w14:paraId="74860FA4" w14:textId="77777777" w:rsidR="00CE516D" w:rsidRPr="00954317" w:rsidRDefault="00CE516D" w:rsidP="001B1C87">
            <w:pPr>
              <w:jc w:val="both"/>
              <w:rPr>
                <w:rFonts w:ascii="Arial" w:eastAsia="Times New Roman" w:hAnsi="Arial" w:cs="Arial"/>
                <w:b/>
                <w:bCs/>
                <w:sz w:val="20"/>
                <w:szCs w:val="20"/>
              </w:rPr>
            </w:pPr>
            <w:r w:rsidRPr="00954317">
              <w:rPr>
                <w:rFonts w:ascii="Arial" w:eastAsia="Times New Roman" w:hAnsi="Arial" w:cs="Arial"/>
                <w:b/>
                <w:bCs/>
                <w:color w:val="000000"/>
                <w:sz w:val="20"/>
                <w:szCs w:val="20"/>
              </w:rPr>
              <w:t xml:space="preserve">MASS/VOLUME </w:t>
            </w:r>
          </w:p>
          <w:p w14:paraId="56130E92" w14:textId="77777777" w:rsidR="00CE516D" w:rsidRPr="00954317" w:rsidRDefault="00CE516D" w:rsidP="001B1C87">
            <w:pPr>
              <w:jc w:val="both"/>
              <w:rPr>
                <w:rFonts w:ascii="Arial" w:eastAsia="Times New Roman" w:hAnsi="Arial" w:cs="Arial"/>
                <w:b/>
                <w:bCs/>
                <w:sz w:val="20"/>
                <w:szCs w:val="20"/>
              </w:rPr>
            </w:pPr>
            <w:r w:rsidRPr="00954317">
              <w:rPr>
                <w:rFonts w:ascii="Arial" w:eastAsia="Times New Roman" w:hAnsi="Arial" w:cs="Arial"/>
                <w:b/>
                <w:bCs/>
                <w:color w:val="000000"/>
                <w:sz w:val="20"/>
                <w:szCs w:val="20"/>
              </w:rPr>
              <w:t xml:space="preserve">(g/cm³) </w:t>
            </w:r>
          </w:p>
          <w:p w14:paraId="3422EAF4" w14:textId="77777777" w:rsidR="00CE516D" w:rsidRPr="00954317" w:rsidRDefault="00CE516D" w:rsidP="001B1C87">
            <w:pPr>
              <w:jc w:val="both"/>
              <w:rPr>
                <w:rFonts w:ascii="Arial" w:eastAsia="Times New Roman" w:hAnsi="Arial" w:cs="Arial"/>
                <w:b/>
                <w:bCs/>
                <w:sz w:val="20"/>
                <w:szCs w:val="20"/>
              </w:rPr>
            </w:pPr>
          </w:p>
        </w:tc>
      </w:tr>
      <w:tr w:rsidR="00CE516D" w:rsidRPr="00954317" w14:paraId="13AF5B93" w14:textId="77777777" w:rsidTr="001B1C87">
        <w:trPr>
          <w:trHeight w:val="411"/>
        </w:trPr>
        <w:tc>
          <w:tcPr>
            <w:tcW w:w="1870" w:type="dxa"/>
            <w:tcBorders>
              <w:top w:val="single" w:sz="4" w:space="0" w:color="auto"/>
              <w:bottom w:val="nil"/>
            </w:tcBorders>
          </w:tcPr>
          <w:p w14:paraId="1DF79C7D"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A</w:t>
            </w:r>
          </w:p>
        </w:tc>
        <w:tc>
          <w:tcPr>
            <w:tcW w:w="1870" w:type="dxa"/>
            <w:tcBorders>
              <w:top w:val="single" w:sz="4" w:space="0" w:color="auto"/>
              <w:bottom w:val="nil"/>
            </w:tcBorders>
          </w:tcPr>
          <w:p w14:paraId="3F3B1E8F"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13.5 </w:t>
            </w:r>
          </w:p>
        </w:tc>
        <w:tc>
          <w:tcPr>
            <w:tcW w:w="1870" w:type="dxa"/>
            <w:tcBorders>
              <w:top w:val="single" w:sz="4" w:space="0" w:color="auto"/>
              <w:bottom w:val="nil"/>
            </w:tcBorders>
          </w:tcPr>
          <w:p w14:paraId="5A1021CC"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color w:val="000000"/>
                <w:sz w:val="20"/>
                <w:szCs w:val="20"/>
              </w:rPr>
              <w:t>500</w:t>
            </w:r>
          </w:p>
        </w:tc>
        <w:tc>
          <w:tcPr>
            <w:tcW w:w="1870" w:type="dxa"/>
            <w:tcBorders>
              <w:top w:val="single" w:sz="4" w:space="0" w:color="auto"/>
              <w:bottom w:val="nil"/>
            </w:tcBorders>
          </w:tcPr>
          <w:p w14:paraId="37ED84BF"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color w:val="000000"/>
                <w:sz w:val="20"/>
                <w:szCs w:val="20"/>
              </w:rPr>
              <w:t>250</w:t>
            </w:r>
          </w:p>
        </w:tc>
        <w:tc>
          <w:tcPr>
            <w:tcW w:w="1870" w:type="dxa"/>
            <w:tcBorders>
              <w:top w:val="single" w:sz="4" w:space="0" w:color="auto"/>
              <w:bottom w:val="nil"/>
            </w:tcBorders>
          </w:tcPr>
          <w:p w14:paraId="2E0A73F9"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0.50 </w:t>
            </w:r>
          </w:p>
          <w:p w14:paraId="620FD01A" w14:textId="77777777" w:rsidR="00CE516D" w:rsidRPr="00954317" w:rsidRDefault="00CE516D" w:rsidP="001B1C87">
            <w:pPr>
              <w:jc w:val="both"/>
              <w:rPr>
                <w:rFonts w:ascii="Arial" w:eastAsia="Times New Roman" w:hAnsi="Arial" w:cs="Arial"/>
                <w:sz w:val="20"/>
                <w:szCs w:val="20"/>
              </w:rPr>
            </w:pPr>
          </w:p>
        </w:tc>
      </w:tr>
      <w:tr w:rsidR="00CE516D" w:rsidRPr="00954317" w14:paraId="7C53FCC8" w14:textId="77777777" w:rsidTr="001B1C87">
        <w:trPr>
          <w:trHeight w:val="319"/>
        </w:trPr>
        <w:tc>
          <w:tcPr>
            <w:tcW w:w="1870" w:type="dxa"/>
            <w:tcBorders>
              <w:top w:val="nil"/>
              <w:bottom w:val="nil"/>
            </w:tcBorders>
          </w:tcPr>
          <w:p w14:paraId="4958DFFB"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B</w:t>
            </w:r>
          </w:p>
        </w:tc>
        <w:tc>
          <w:tcPr>
            <w:tcW w:w="1870" w:type="dxa"/>
            <w:tcBorders>
              <w:top w:val="nil"/>
              <w:bottom w:val="nil"/>
            </w:tcBorders>
          </w:tcPr>
          <w:p w14:paraId="71958842"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13.5 </w:t>
            </w:r>
          </w:p>
          <w:p w14:paraId="10993148" w14:textId="77777777" w:rsidR="00CE516D" w:rsidRPr="00954317" w:rsidRDefault="00CE516D" w:rsidP="001B1C87">
            <w:pPr>
              <w:jc w:val="both"/>
              <w:rPr>
                <w:rFonts w:ascii="Arial" w:eastAsia="Times New Roman" w:hAnsi="Arial" w:cs="Arial"/>
                <w:sz w:val="20"/>
                <w:szCs w:val="20"/>
              </w:rPr>
            </w:pPr>
          </w:p>
        </w:tc>
        <w:tc>
          <w:tcPr>
            <w:tcW w:w="1870" w:type="dxa"/>
            <w:tcBorders>
              <w:top w:val="nil"/>
              <w:bottom w:val="nil"/>
            </w:tcBorders>
          </w:tcPr>
          <w:p w14:paraId="600460CF"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500</w:t>
            </w:r>
          </w:p>
        </w:tc>
        <w:tc>
          <w:tcPr>
            <w:tcW w:w="1870" w:type="dxa"/>
            <w:tcBorders>
              <w:top w:val="nil"/>
              <w:bottom w:val="nil"/>
            </w:tcBorders>
          </w:tcPr>
          <w:p w14:paraId="2302D43F"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300</w:t>
            </w:r>
          </w:p>
        </w:tc>
        <w:tc>
          <w:tcPr>
            <w:tcW w:w="1870" w:type="dxa"/>
            <w:tcBorders>
              <w:top w:val="nil"/>
              <w:bottom w:val="nil"/>
            </w:tcBorders>
          </w:tcPr>
          <w:p w14:paraId="3E952FB5"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0.60</w:t>
            </w:r>
          </w:p>
        </w:tc>
      </w:tr>
      <w:tr w:rsidR="00CE516D" w:rsidRPr="00954317" w14:paraId="11CB7A6A" w14:textId="77777777" w:rsidTr="001B1C87">
        <w:tc>
          <w:tcPr>
            <w:tcW w:w="1870" w:type="dxa"/>
            <w:tcBorders>
              <w:top w:val="nil"/>
              <w:bottom w:val="nil"/>
            </w:tcBorders>
          </w:tcPr>
          <w:p w14:paraId="3D15702E"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C</w:t>
            </w:r>
          </w:p>
        </w:tc>
        <w:tc>
          <w:tcPr>
            <w:tcW w:w="1870" w:type="dxa"/>
            <w:tcBorders>
              <w:top w:val="nil"/>
              <w:bottom w:val="nil"/>
            </w:tcBorders>
          </w:tcPr>
          <w:p w14:paraId="7A7D615C"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13.5</w:t>
            </w:r>
          </w:p>
          <w:p w14:paraId="370CFFA8" w14:textId="77777777" w:rsidR="00CE516D" w:rsidRPr="00954317" w:rsidRDefault="00CE516D" w:rsidP="001B1C87">
            <w:pPr>
              <w:jc w:val="both"/>
              <w:rPr>
                <w:rFonts w:ascii="Arial" w:eastAsia="Times New Roman" w:hAnsi="Arial" w:cs="Arial"/>
                <w:sz w:val="20"/>
                <w:szCs w:val="20"/>
              </w:rPr>
            </w:pPr>
          </w:p>
        </w:tc>
        <w:tc>
          <w:tcPr>
            <w:tcW w:w="1870" w:type="dxa"/>
            <w:tcBorders>
              <w:top w:val="nil"/>
              <w:bottom w:val="nil"/>
            </w:tcBorders>
          </w:tcPr>
          <w:p w14:paraId="08B8A5FA"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400</w:t>
            </w:r>
          </w:p>
        </w:tc>
        <w:tc>
          <w:tcPr>
            <w:tcW w:w="1870" w:type="dxa"/>
            <w:tcBorders>
              <w:top w:val="nil"/>
              <w:bottom w:val="nil"/>
            </w:tcBorders>
          </w:tcPr>
          <w:p w14:paraId="2EC42869"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250</w:t>
            </w:r>
          </w:p>
        </w:tc>
        <w:tc>
          <w:tcPr>
            <w:tcW w:w="1870" w:type="dxa"/>
            <w:tcBorders>
              <w:top w:val="nil"/>
              <w:bottom w:val="nil"/>
            </w:tcBorders>
          </w:tcPr>
          <w:p w14:paraId="364F0DA6"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0.63</w:t>
            </w:r>
          </w:p>
        </w:tc>
      </w:tr>
      <w:tr w:rsidR="00CE516D" w:rsidRPr="00954317" w14:paraId="0BE5E030" w14:textId="77777777" w:rsidTr="001B1C87">
        <w:tc>
          <w:tcPr>
            <w:tcW w:w="1870" w:type="dxa"/>
            <w:tcBorders>
              <w:top w:val="nil"/>
              <w:bottom w:val="nil"/>
            </w:tcBorders>
          </w:tcPr>
          <w:p w14:paraId="4623F792"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D</w:t>
            </w:r>
          </w:p>
        </w:tc>
        <w:tc>
          <w:tcPr>
            <w:tcW w:w="1870" w:type="dxa"/>
            <w:tcBorders>
              <w:top w:val="nil"/>
              <w:bottom w:val="nil"/>
            </w:tcBorders>
          </w:tcPr>
          <w:p w14:paraId="6CDD6551"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13.5</w:t>
            </w:r>
          </w:p>
          <w:p w14:paraId="0484C6FF" w14:textId="77777777" w:rsidR="00CE516D" w:rsidRPr="00954317" w:rsidRDefault="00CE516D" w:rsidP="001B1C87">
            <w:pPr>
              <w:jc w:val="both"/>
              <w:rPr>
                <w:rFonts w:ascii="Arial" w:eastAsia="Times New Roman" w:hAnsi="Arial" w:cs="Arial"/>
                <w:sz w:val="20"/>
                <w:szCs w:val="20"/>
              </w:rPr>
            </w:pPr>
          </w:p>
        </w:tc>
        <w:tc>
          <w:tcPr>
            <w:tcW w:w="1870" w:type="dxa"/>
            <w:tcBorders>
              <w:top w:val="nil"/>
              <w:bottom w:val="nil"/>
            </w:tcBorders>
          </w:tcPr>
          <w:p w14:paraId="74D2CDC5"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400</w:t>
            </w:r>
          </w:p>
        </w:tc>
        <w:tc>
          <w:tcPr>
            <w:tcW w:w="1870" w:type="dxa"/>
            <w:tcBorders>
              <w:top w:val="nil"/>
              <w:bottom w:val="nil"/>
            </w:tcBorders>
          </w:tcPr>
          <w:p w14:paraId="562CF40E"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280</w:t>
            </w:r>
          </w:p>
        </w:tc>
        <w:tc>
          <w:tcPr>
            <w:tcW w:w="1870" w:type="dxa"/>
            <w:tcBorders>
              <w:top w:val="nil"/>
              <w:bottom w:val="nil"/>
            </w:tcBorders>
          </w:tcPr>
          <w:p w14:paraId="159B8FBC"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0.70</w:t>
            </w:r>
          </w:p>
        </w:tc>
      </w:tr>
      <w:tr w:rsidR="00CE516D" w:rsidRPr="00954317" w14:paraId="31584EAB" w14:textId="77777777" w:rsidTr="001B1C87">
        <w:tc>
          <w:tcPr>
            <w:tcW w:w="1870" w:type="dxa"/>
            <w:tcBorders>
              <w:top w:val="nil"/>
              <w:bottom w:val="single" w:sz="4" w:space="0" w:color="auto"/>
            </w:tcBorders>
          </w:tcPr>
          <w:p w14:paraId="0CD65075"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E</w:t>
            </w:r>
          </w:p>
        </w:tc>
        <w:tc>
          <w:tcPr>
            <w:tcW w:w="1870" w:type="dxa"/>
            <w:tcBorders>
              <w:top w:val="nil"/>
              <w:bottom w:val="single" w:sz="4" w:space="0" w:color="auto"/>
            </w:tcBorders>
          </w:tcPr>
          <w:p w14:paraId="14D942C4"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13.5</w:t>
            </w:r>
          </w:p>
          <w:p w14:paraId="6DE31DC3" w14:textId="77777777" w:rsidR="00CE516D" w:rsidRPr="00954317" w:rsidRDefault="00CE516D" w:rsidP="001B1C87">
            <w:pPr>
              <w:jc w:val="both"/>
              <w:rPr>
                <w:rFonts w:ascii="Arial" w:eastAsia="Times New Roman" w:hAnsi="Arial" w:cs="Arial"/>
                <w:sz w:val="20"/>
                <w:szCs w:val="20"/>
              </w:rPr>
            </w:pPr>
          </w:p>
        </w:tc>
        <w:tc>
          <w:tcPr>
            <w:tcW w:w="1870" w:type="dxa"/>
            <w:tcBorders>
              <w:top w:val="nil"/>
              <w:bottom w:val="single" w:sz="4" w:space="0" w:color="auto"/>
            </w:tcBorders>
          </w:tcPr>
          <w:p w14:paraId="3CF9A366"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450</w:t>
            </w:r>
          </w:p>
        </w:tc>
        <w:tc>
          <w:tcPr>
            <w:tcW w:w="1870" w:type="dxa"/>
            <w:tcBorders>
              <w:top w:val="nil"/>
              <w:bottom w:val="single" w:sz="4" w:space="0" w:color="auto"/>
            </w:tcBorders>
          </w:tcPr>
          <w:p w14:paraId="4FFE46B6"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300</w:t>
            </w:r>
          </w:p>
        </w:tc>
        <w:tc>
          <w:tcPr>
            <w:tcW w:w="1870" w:type="dxa"/>
            <w:tcBorders>
              <w:top w:val="nil"/>
              <w:bottom w:val="single" w:sz="4" w:space="0" w:color="auto"/>
            </w:tcBorders>
          </w:tcPr>
          <w:p w14:paraId="68EB98F8" w14:textId="77777777" w:rsidR="00CE516D" w:rsidRPr="00954317" w:rsidRDefault="00CE516D" w:rsidP="001B1C87">
            <w:pPr>
              <w:jc w:val="both"/>
              <w:rPr>
                <w:rFonts w:ascii="Arial" w:eastAsia="Times New Roman" w:hAnsi="Arial" w:cs="Arial"/>
                <w:sz w:val="20"/>
                <w:szCs w:val="20"/>
              </w:rPr>
            </w:pPr>
            <w:r w:rsidRPr="00954317">
              <w:rPr>
                <w:rFonts w:ascii="Arial" w:eastAsia="Times New Roman" w:hAnsi="Arial" w:cs="Arial"/>
                <w:sz w:val="20"/>
                <w:szCs w:val="20"/>
              </w:rPr>
              <w:t>0.67</w:t>
            </w:r>
          </w:p>
        </w:tc>
      </w:tr>
    </w:tbl>
    <w:p w14:paraId="23CEB12B" w14:textId="77777777" w:rsidR="00CE516D" w:rsidRPr="00954317" w:rsidRDefault="00CE516D" w:rsidP="00CE516D">
      <w:pPr>
        <w:jc w:val="both"/>
        <w:rPr>
          <w:rFonts w:ascii="Arial" w:hAnsi="Arial" w:cs="Arial"/>
        </w:rPr>
      </w:pPr>
    </w:p>
    <w:p w14:paraId="4B6F7731" w14:textId="77777777" w:rsidR="00CE516D" w:rsidRPr="00954317" w:rsidRDefault="00CE516D" w:rsidP="00CE516D">
      <w:pPr>
        <w:jc w:val="both"/>
        <w:rPr>
          <w:rFonts w:ascii="Arial" w:hAnsi="Arial" w:cs="Arial"/>
        </w:rPr>
      </w:pPr>
      <w:r w:rsidRPr="00954317">
        <w:rPr>
          <w:rFonts w:ascii="Arial" w:hAnsi="Arial" w:cs="Arial"/>
        </w:rPr>
        <w:t>Key:</w:t>
      </w:r>
    </w:p>
    <w:p w14:paraId="0E3C71F7" w14:textId="77777777" w:rsidR="00CE516D" w:rsidRPr="00954317" w:rsidRDefault="00CE516D" w:rsidP="00CE516D">
      <w:pPr>
        <w:jc w:val="both"/>
        <w:rPr>
          <w:rFonts w:ascii="Arial" w:hAnsi="Arial" w:cs="Arial"/>
        </w:rPr>
      </w:pPr>
      <w:r w:rsidRPr="00954317">
        <w:rPr>
          <w:rFonts w:ascii="Arial" w:hAnsi="Arial" w:cs="Arial"/>
        </w:rPr>
        <w:t>Sample A = 85% Wheat flour, 10% Soybean flour, and 5% Carrot flour</w:t>
      </w:r>
    </w:p>
    <w:p w14:paraId="3FECB811" w14:textId="77777777" w:rsidR="00CE516D" w:rsidRPr="00954317" w:rsidRDefault="00CE516D" w:rsidP="00CE516D">
      <w:pPr>
        <w:jc w:val="both"/>
        <w:rPr>
          <w:rFonts w:ascii="Arial" w:hAnsi="Arial" w:cs="Arial"/>
        </w:rPr>
      </w:pPr>
      <w:r w:rsidRPr="00954317">
        <w:rPr>
          <w:rFonts w:ascii="Arial" w:hAnsi="Arial" w:cs="Arial"/>
        </w:rPr>
        <w:t>Sample B = 70% Wheat flour, 20% Soybean flour, and 10% Carrot flour</w:t>
      </w:r>
    </w:p>
    <w:p w14:paraId="775E4BE0" w14:textId="77777777" w:rsidR="00CE516D" w:rsidRPr="00954317" w:rsidRDefault="00CE516D" w:rsidP="00CE516D">
      <w:pPr>
        <w:jc w:val="both"/>
        <w:rPr>
          <w:rFonts w:ascii="Arial" w:hAnsi="Arial" w:cs="Arial"/>
        </w:rPr>
      </w:pPr>
      <w:r w:rsidRPr="00954317">
        <w:rPr>
          <w:rFonts w:ascii="Arial" w:hAnsi="Arial" w:cs="Arial"/>
        </w:rPr>
        <w:t>Sample C = 60% Wheat flour, 25% Soybean flour, and 15% Carrot flour</w:t>
      </w:r>
    </w:p>
    <w:p w14:paraId="7791B932" w14:textId="77777777" w:rsidR="00CE516D" w:rsidRPr="00954317" w:rsidRDefault="00CE516D" w:rsidP="00CE516D">
      <w:pPr>
        <w:jc w:val="both"/>
        <w:rPr>
          <w:rFonts w:ascii="Arial" w:hAnsi="Arial" w:cs="Arial"/>
        </w:rPr>
      </w:pPr>
      <w:r w:rsidRPr="00954317">
        <w:rPr>
          <w:rFonts w:ascii="Arial" w:hAnsi="Arial" w:cs="Arial"/>
        </w:rPr>
        <w:t>Sample D = 50% Wheat flour, 30% Soybean flour, and 20% Carrot flour</w:t>
      </w:r>
    </w:p>
    <w:p w14:paraId="2C7AB7DD" w14:textId="77777777" w:rsidR="00CE516D" w:rsidRPr="00954317" w:rsidRDefault="00CE516D" w:rsidP="00CE516D">
      <w:pPr>
        <w:jc w:val="both"/>
        <w:rPr>
          <w:rFonts w:ascii="Arial" w:hAnsi="Arial" w:cs="Arial"/>
        </w:rPr>
      </w:pPr>
      <w:r w:rsidRPr="00954317">
        <w:rPr>
          <w:rFonts w:ascii="Arial" w:hAnsi="Arial" w:cs="Arial"/>
        </w:rPr>
        <w:t>Sample E = 100% Wheat flour (Control)</w:t>
      </w:r>
    </w:p>
    <w:p w14:paraId="7AEC6722" w14:textId="77777777" w:rsidR="00CE516D" w:rsidRPr="00954317" w:rsidRDefault="00CE516D" w:rsidP="00CE516D">
      <w:pPr>
        <w:jc w:val="both"/>
        <w:rPr>
          <w:rFonts w:ascii="Arial" w:hAnsi="Arial" w:cs="Arial"/>
        </w:rPr>
      </w:pPr>
    </w:p>
    <w:p w14:paraId="5A3D78FD" w14:textId="77777777" w:rsidR="00CE516D" w:rsidRPr="00954317" w:rsidRDefault="00CE516D" w:rsidP="00CE516D">
      <w:pPr>
        <w:jc w:val="both"/>
        <w:rPr>
          <w:rFonts w:ascii="Arial" w:hAnsi="Arial" w:cs="Arial"/>
        </w:rPr>
      </w:pPr>
      <w:r w:rsidRPr="00954317">
        <w:rPr>
          <w:rFonts w:ascii="Arial" w:hAnsi="Arial" w:cs="Arial"/>
        </w:rPr>
        <w:t>Based on the loaf test results, there is no significant difference in the height of the bread samples, as all samples had the same height of 13.5 cm. However, there is a notable difference in the volume, weight, and mass-to-volume ratios among the samples, with Sample A being the lightest and most aerated, and Sample D being the densest. These variations suggest significant differences in bread density and texture across the different formulations.</w:t>
      </w:r>
    </w:p>
    <w:p w14:paraId="035762A6" w14:textId="77777777" w:rsidR="00CE516D" w:rsidRPr="00954317" w:rsidRDefault="00CE516D" w:rsidP="008519D0">
      <w:pPr>
        <w:rPr>
          <w:rFonts w:ascii="Arial" w:hAnsi="Arial" w:cs="Arial"/>
        </w:rPr>
      </w:pPr>
    </w:p>
    <w:p w14:paraId="4A701A86" w14:textId="77777777" w:rsidR="008519D0" w:rsidRPr="001A072B" w:rsidRDefault="008519D0" w:rsidP="008519D0">
      <w:pPr>
        <w:rPr>
          <w:rFonts w:ascii="Arial" w:hAnsi="Arial" w:cs="Arial"/>
          <w:b/>
          <w:bCs/>
          <w:sz w:val="22"/>
          <w:szCs w:val="22"/>
        </w:rPr>
      </w:pPr>
      <w:r w:rsidRPr="001A072B">
        <w:rPr>
          <w:rFonts w:ascii="Arial" w:hAnsi="Arial" w:cs="Arial"/>
          <w:b/>
          <w:bCs/>
          <w:sz w:val="22"/>
          <w:szCs w:val="22"/>
        </w:rPr>
        <w:t>3.6 Microbial Analysis</w:t>
      </w:r>
    </w:p>
    <w:p w14:paraId="49B66491" w14:textId="77777777" w:rsidR="008519D0" w:rsidRPr="009B38DC" w:rsidRDefault="008519D0" w:rsidP="008519D0">
      <w:pPr>
        <w:rPr>
          <w:rFonts w:ascii="Arial" w:hAnsi="Arial" w:cs="Arial"/>
          <w:sz w:val="22"/>
          <w:szCs w:val="22"/>
        </w:rPr>
      </w:pPr>
    </w:p>
    <w:p w14:paraId="753CD900" w14:textId="1D1D533D" w:rsidR="008519D0" w:rsidRPr="00954317" w:rsidRDefault="008519D0" w:rsidP="008519D0">
      <w:pPr>
        <w:jc w:val="both"/>
        <w:rPr>
          <w:rFonts w:ascii="Arial" w:hAnsi="Arial" w:cs="Arial"/>
        </w:rPr>
      </w:pPr>
      <w:r w:rsidRPr="00954317">
        <w:rPr>
          <w:rFonts w:ascii="Arial" w:hAnsi="Arial" w:cs="Arial"/>
        </w:rPr>
        <w:t xml:space="preserve">The result of the Microbial Analysis is shown in Table </w:t>
      </w:r>
      <w:r w:rsidR="005144F3">
        <w:rPr>
          <w:rFonts w:ascii="Arial" w:hAnsi="Arial" w:cs="Arial"/>
        </w:rPr>
        <w:t>8</w:t>
      </w:r>
      <w:r w:rsidRPr="00954317">
        <w:rPr>
          <w:rFonts w:ascii="Arial" w:hAnsi="Arial" w:cs="Arial"/>
        </w:rPr>
        <w:t>. Microbial analysis is a critical aspect of food safety, ensuring that products are free from harmful microorganisms such as bacteria, yeast, and molds that can cause foodborne illnesses or spoilage. Microbial load, especially total plate count (TPC), coliform count, and yeast and mold count, provides insights into the hygiene and storage conditions of food products (Ray &amp; Bhunia, 2019). In this study, the microbial safety of bread samples was assessed to ensure their suitability for consumption.</w:t>
      </w:r>
    </w:p>
    <w:p w14:paraId="3A5DDC65" w14:textId="77777777" w:rsidR="008519D0" w:rsidRPr="00954317" w:rsidRDefault="008519D0" w:rsidP="008519D0">
      <w:pPr>
        <w:jc w:val="both"/>
        <w:rPr>
          <w:rFonts w:ascii="Arial" w:hAnsi="Arial" w:cs="Arial"/>
        </w:rPr>
      </w:pPr>
    </w:p>
    <w:p w14:paraId="3DDCF139" w14:textId="77777777" w:rsidR="008519D0" w:rsidRPr="00954317" w:rsidRDefault="008519D0" w:rsidP="008519D0">
      <w:pPr>
        <w:jc w:val="both"/>
        <w:rPr>
          <w:rFonts w:ascii="Arial" w:hAnsi="Arial" w:cs="Arial"/>
        </w:rPr>
      </w:pPr>
      <w:r w:rsidRPr="00954317">
        <w:rPr>
          <w:rFonts w:ascii="Arial" w:hAnsi="Arial" w:cs="Arial"/>
        </w:rPr>
        <w:t>Sample A exhibited the highest total plate count (TPC) at 3.60 × 10³ CFU/g, indicating a higher microbial load compared to the other samples. While this value is still within acceptable limits as reported by the International Commission on Microbiological Specifications for Foods (ICMSF, 2021), the elevated microbial load suggests that Sample A might have a shorter shelf life and be more prone to spoilage if not stored properly. To mitigate further microbial growth, Sample A would require stricter storage controls such as refrigeration or airtight packaging.</w:t>
      </w:r>
    </w:p>
    <w:p w14:paraId="601EEC13" w14:textId="77777777" w:rsidR="008519D0" w:rsidRPr="00954317" w:rsidRDefault="008519D0" w:rsidP="008519D0">
      <w:pPr>
        <w:jc w:val="both"/>
        <w:rPr>
          <w:rFonts w:ascii="Arial" w:hAnsi="Arial" w:cs="Arial"/>
        </w:rPr>
      </w:pPr>
    </w:p>
    <w:p w14:paraId="1D5382F9" w14:textId="77777777" w:rsidR="008519D0" w:rsidRPr="00954317" w:rsidRDefault="008519D0" w:rsidP="008519D0">
      <w:pPr>
        <w:jc w:val="both"/>
        <w:rPr>
          <w:rFonts w:ascii="Arial" w:hAnsi="Arial" w:cs="Arial"/>
        </w:rPr>
      </w:pPr>
      <w:r w:rsidRPr="00954317">
        <w:rPr>
          <w:rFonts w:ascii="Arial" w:hAnsi="Arial" w:cs="Arial"/>
        </w:rPr>
        <w:t>In contrast, Sample D showed the lowest total plate count at 1.50 × 10³ CFU/g, indicating better microbial stability and a lower risk of spoilage. This suggests that Sample D was processed and stored under more hygienic conditions or that its composition offers better natural resistance to microbial growth. As noted in research by Ray &amp; Bhunia (2019), lower microbial counts indicate longer shelf life and better food safety, making Sample D a favorable option for consumers concerned with spoilage and contamination.</w:t>
      </w:r>
    </w:p>
    <w:p w14:paraId="27D45DC7" w14:textId="77777777" w:rsidR="008519D0" w:rsidRPr="00954317" w:rsidRDefault="008519D0" w:rsidP="008519D0">
      <w:pPr>
        <w:jc w:val="both"/>
        <w:rPr>
          <w:rFonts w:ascii="Arial" w:hAnsi="Arial" w:cs="Arial"/>
        </w:rPr>
      </w:pPr>
    </w:p>
    <w:p w14:paraId="191E7489" w14:textId="77777777" w:rsidR="008519D0" w:rsidRPr="00954317" w:rsidRDefault="008519D0" w:rsidP="008519D0">
      <w:pPr>
        <w:jc w:val="both"/>
        <w:rPr>
          <w:rFonts w:ascii="Arial" w:hAnsi="Arial" w:cs="Arial"/>
        </w:rPr>
      </w:pPr>
      <w:r w:rsidRPr="00954317">
        <w:rPr>
          <w:rFonts w:ascii="Arial" w:hAnsi="Arial" w:cs="Arial"/>
        </w:rPr>
        <w:t>None of the samples tested positive for coliform bacteria, which are indicators of fecal contamination or unsanitary processing conditions. In agreement with work done by Jay et al. (2020), the absence of coliform bacteria is a positive sign of proper hygiene during production, reducing the risk of foodborne illnesses. This suggests that all samples were handled and processed under sanitary conditions.</w:t>
      </w:r>
    </w:p>
    <w:p w14:paraId="40696C0F" w14:textId="77777777" w:rsidR="008519D0" w:rsidRPr="00954317" w:rsidRDefault="008519D0" w:rsidP="008519D0">
      <w:pPr>
        <w:jc w:val="both"/>
        <w:rPr>
          <w:rFonts w:ascii="Arial" w:hAnsi="Arial" w:cs="Arial"/>
        </w:rPr>
      </w:pPr>
    </w:p>
    <w:p w14:paraId="27634F72" w14:textId="77777777" w:rsidR="008519D0" w:rsidRPr="00954317" w:rsidRDefault="008519D0" w:rsidP="008519D0">
      <w:pPr>
        <w:jc w:val="both"/>
        <w:rPr>
          <w:rFonts w:ascii="Arial" w:hAnsi="Arial" w:cs="Arial"/>
        </w:rPr>
      </w:pPr>
      <w:r w:rsidRPr="00954317">
        <w:rPr>
          <w:rFonts w:ascii="Arial" w:hAnsi="Arial" w:cs="Arial"/>
        </w:rPr>
        <w:t xml:space="preserve">The yeast and mold counts are also important indicators of potential fungal spoilage. Sample B had the highest yeast and mold count at 4.90 × 10² CFU/g, indicating a higher risk of fungal contamination. Though this count does not pose an </w:t>
      </w:r>
      <w:r w:rsidRPr="00954317">
        <w:rPr>
          <w:rFonts w:ascii="Arial" w:hAnsi="Arial" w:cs="Arial"/>
        </w:rPr>
        <w:lastRenderedPageBreak/>
        <w:t>immediate health risk, it suggests that Sample B may have a shorter shelf life compared to the other samples and may require additional preservation methods, such as freezing, to prevent fungal growth. Sample C exhibited the lowest yeast and mold count at 1.80 × 10² CFU/g, indicating that it is less prone to fungal spoilage and might have better storage stability.</w:t>
      </w:r>
    </w:p>
    <w:p w14:paraId="27EB93A5" w14:textId="77777777" w:rsidR="008519D0" w:rsidRPr="00954317" w:rsidRDefault="008519D0" w:rsidP="008519D0">
      <w:pPr>
        <w:jc w:val="both"/>
        <w:rPr>
          <w:rFonts w:ascii="Arial" w:hAnsi="Arial" w:cs="Arial"/>
        </w:rPr>
      </w:pPr>
    </w:p>
    <w:p w14:paraId="138BE282" w14:textId="77777777" w:rsidR="008519D0" w:rsidRPr="00954317" w:rsidRDefault="008519D0" w:rsidP="008519D0">
      <w:pPr>
        <w:jc w:val="both"/>
        <w:rPr>
          <w:rFonts w:ascii="Arial" w:hAnsi="Arial" w:cs="Arial"/>
        </w:rPr>
      </w:pPr>
      <w:r w:rsidRPr="00954317">
        <w:rPr>
          <w:rFonts w:ascii="Arial" w:hAnsi="Arial" w:cs="Arial"/>
        </w:rPr>
        <w:t>Sample D emerges as the best option from a microbial safety perspective, with the lowest TPC and no coliform contamination, suggesting longer shelf stability and lower risk of microbial spoilage. Sample A, despite having a slightly higher microbial load, remains safe for consumption but would benefit from stricter storage conditions. Sample B, with its higher yeast and mold count, may be more susceptible to fungal contamination but still meets acceptable safety standards. All samples showed no signs of coliform contamination, confirming their hygienic processing and handling, as reported by Ray &amp; Bhunia (2019).</w:t>
      </w:r>
    </w:p>
    <w:p w14:paraId="787D463A" w14:textId="77777777" w:rsidR="008519D0" w:rsidRPr="009B38DC" w:rsidRDefault="008519D0" w:rsidP="008519D0">
      <w:pPr>
        <w:rPr>
          <w:rFonts w:ascii="Arial" w:hAnsi="Arial" w:cs="Arial"/>
          <w:sz w:val="22"/>
          <w:szCs w:val="22"/>
        </w:rPr>
      </w:pPr>
    </w:p>
    <w:p w14:paraId="78FC1754" w14:textId="4DFEFB35" w:rsidR="008519D0" w:rsidRPr="00954317" w:rsidRDefault="008519D0" w:rsidP="008519D0">
      <w:pPr>
        <w:jc w:val="both"/>
        <w:rPr>
          <w:rFonts w:ascii="Arial" w:hAnsi="Arial" w:cs="Arial"/>
        </w:rPr>
      </w:pPr>
      <w:r w:rsidRPr="00954317">
        <w:rPr>
          <w:rFonts w:ascii="Arial" w:hAnsi="Arial" w:cs="Arial"/>
        </w:rPr>
        <w:t xml:space="preserve">Table </w:t>
      </w:r>
      <w:r w:rsidR="005144F3">
        <w:rPr>
          <w:rFonts w:ascii="Arial" w:hAnsi="Arial" w:cs="Arial"/>
        </w:rPr>
        <w:t>8</w:t>
      </w:r>
      <w:r w:rsidRPr="00954317">
        <w:rPr>
          <w:rFonts w:ascii="Arial" w:hAnsi="Arial" w:cs="Arial"/>
        </w:rPr>
        <w:t>: Microbial Analysis Result</w:t>
      </w:r>
    </w:p>
    <w:p w14:paraId="7A17DFE2" w14:textId="77777777" w:rsidR="008519D0" w:rsidRPr="00954317" w:rsidRDefault="008519D0" w:rsidP="008519D0">
      <w:pPr>
        <w:jc w:val="both"/>
        <w:rPr>
          <w:rFonts w:ascii="Arial" w:hAnsi="Arial" w:cs="Arial"/>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341"/>
        <w:gridCol w:w="994"/>
        <w:gridCol w:w="935"/>
        <w:gridCol w:w="1557"/>
        <w:gridCol w:w="1283"/>
        <w:gridCol w:w="994"/>
        <w:gridCol w:w="807"/>
        <w:gridCol w:w="994"/>
        <w:gridCol w:w="2111"/>
      </w:tblGrid>
      <w:tr w:rsidR="008519D0" w:rsidRPr="00954317" w14:paraId="1F441E09" w14:textId="77777777" w:rsidTr="001B1C87">
        <w:tc>
          <w:tcPr>
            <w:tcW w:w="1349" w:type="dxa"/>
            <w:tcBorders>
              <w:bottom w:val="single" w:sz="4" w:space="0" w:color="auto"/>
            </w:tcBorders>
          </w:tcPr>
          <w:p w14:paraId="00F4D060" w14:textId="77777777" w:rsidR="008519D0" w:rsidRPr="00954317" w:rsidRDefault="008519D0" w:rsidP="001B1C87">
            <w:pPr>
              <w:jc w:val="both"/>
              <w:rPr>
                <w:rFonts w:ascii="Arial" w:eastAsia="Times New Roman" w:hAnsi="Arial" w:cs="Arial"/>
                <w:b/>
                <w:bCs/>
                <w:color w:val="000000" w:themeColor="text1"/>
                <w:sz w:val="20"/>
                <w:szCs w:val="20"/>
              </w:rPr>
            </w:pPr>
            <w:commentRangeStart w:id="40"/>
            <w:commentRangeStart w:id="41"/>
            <w:r w:rsidRPr="00954317">
              <w:rPr>
                <w:rFonts w:ascii="Arial" w:eastAsia="Times New Roman" w:hAnsi="Arial" w:cs="Arial"/>
                <w:b/>
                <w:bCs/>
                <w:color w:val="000000" w:themeColor="text1"/>
                <w:sz w:val="20"/>
                <w:szCs w:val="20"/>
              </w:rPr>
              <w:t>SAMPLE</w:t>
            </w:r>
          </w:p>
        </w:tc>
        <w:tc>
          <w:tcPr>
            <w:tcW w:w="1005" w:type="dxa"/>
            <w:tcBorders>
              <w:bottom w:val="single" w:sz="4" w:space="0" w:color="auto"/>
            </w:tcBorders>
          </w:tcPr>
          <w:p w14:paraId="4AEA9C4F" w14:textId="77777777" w:rsidR="008519D0" w:rsidRPr="00954317" w:rsidRDefault="008519D0" w:rsidP="001B1C87">
            <w:pPr>
              <w:jc w:val="both"/>
              <w:rPr>
                <w:rFonts w:ascii="Arial" w:eastAsia="Times New Roman" w:hAnsi="Arial" w:cs="Arial"/>
                <w:b/>
                <w:bCs/>
                <w:color w:val="000000" w:themeColor="text1"/>
                <w:sz w:val="20"/>
                <w:szCs w:val="20"/>
              </w:rPr>
            </w:pPr>
            <w:commentRangeStart w:id="42"/>
            <w:r w:rsidRPr="00954317">
              <w:rPr>
                <w:rFonts w:ascii="Arial" w:eastAsia="Times New Roman" w:hAnsi="Arial" w:cs="Arial"/>
                <w:b/>
                <w:bCs/>
                <w:color w:val="000000" w:themeColor="text1"/>
                <w:sz w:val="20"/>
                <w:szCs w:val="20"/>
              </w:rPr>
              <w:t>TVC (10</w:t>
            </w:r>
            <w:r w:rsidRPr="00954317">
              <w:rPr>
                <w:rFonts w:ascii="Arial" w:eastAsia="Times New Roman" w:hAnsi="Arial" w:cs="Arial"/>
                <w:b/>
                <w:bCs/>
                <w:color w:val="000000" w:themeColor="text1"/>
                <w:sz w:val="20"/>
                <w:szCs w:val="20"/>
                <w:vertAlign w:val="superscript"/>
              </w:rPr>
              <w:t>4</w:t>
            </w:r>
            <w:r w:rsidRPr="00954317">
              <w:rPr>
                <w:rFonts w:ascii="Arial" w:eastAsia="Times New Roman" w:hAnsi="Arial" w:cs="Arial"/>
                <w:b/>
                <w:bCs/>
                <w:color w:val="000000" w:themeColor="text1"/>
                <w:sz w:val="20"/>
                <w:szCs w:val="20"/>
              </w:rPr>
              <w:t>)</w:t>
            </w:r>
          </w:p>
        </w:tc>
        <w:tc>
          <w:tcPr>
            <w:tcW w:w="944" w:type="dxa"/>
            <w:tcBorders>
              <w:bottom w:val="single" w:sz="4" w:space="0" w:color="auto"/>
            </w:tcBorders>
          </w:tcPr>
          <w:p w14:paraId="257B6DB3"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TVC</w:t>
            </w:r>
          </w:p>
          <w:p w14:paraId="0B2C39A8"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(10</w:t>
            </w:r>
            <w:r w:rsidRPr="00954317">
              <w:rPr>
                <w:rFonts w:ascii="Arial" w:eastAsia="Times New Roman" w:hAnsi="Arial" w:cs="Arial"/>
                <w:b/>
                <w:bCs/>
                <w:color w:val="000000" w:themeColor="text1"/>
                <w:sz w:val="20"/>
                <w:szCs w:val="20"/>
                <w:vertAlign w:val="superscript"/>
              </w:rPr>
              <w:t>5</w:t>
            </w:r>
            <w:r w:rsidRPr="00954317">
              <w:rPr>
                <w:rFonts w:ascii="Arial" w:eastAsia="Times New Roman" w:hAnsi="Arial" w:cs="Arial"/>
                <w:b/>
                <w:bCs/>
                <w:color w:val="000000" w:themeColor="text1"/>
                <w:sz w:val="20"/>
                <w:szCs w:val="20"/>
              </w:rPr>
              <w:t>)</w:t>
            </w:r>
          </w:p>
        </w:tc>
        <w:tc>
          <w:tcPr>
            <w:tcW w:w="1565" w:type="dxa"/>
            <w:tcBorders>
              <w:bottom w:val="single" w:sz="4" w:space="0" w:color="auto"/>
            </w:tcBorders>
          </w:tcPr>
          <w:p w14:paraId="3AAC9C67"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COLIFORM</w:t>
            </w:r>
          </w:p>
          <w:p w14:paraId="0AF8E201"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(10</w:t>
            </w:r>
            <w:r w:rsidRPr="00954317">
              <w:rPr>
                <w:rFonts w:ascii="Arial" w:eastAsia="Times New Roman" w:hAnsi="Arial" w:cs="Arial"/>
                <w:b/>
                <w:bCs/>
                <w:color w:val="000000" w:themeColor="text1"/>
                <w:sz w:val="20"/>
                <w:szCs w:val="20"/>
                <w:vertAlign w:val="superscript"/>
              </w:rPr>
              <w:t>4</w:t>
            </w:r>
            <w:r w:rsidRPr="00954317">
              <w:rPr>
                <w:rFonts w:ascii="Arial" w:eastAsia="Times New Roman" w:hAnsi="Arial" w:cs="Arial"/>
                <w:b/>
                <w:bCs/>
                <w:color w:val="000000" w:themeColor="text1"/>
                <w:sz w:val="20"/>
                <w:szCs w:val="20"/>
              </w:rPr>
              <w:t xml:space="preserve">) </w:t>
            </w:r>
          </w:p>
        </w:tc>
        <w:tc>
          <w:tcPr>
            <w:tcW w:w="767" w:type="dxa"/>
            <w:tcBorders>
              <w:bottom w:val="single" w:sz="4" w:space="0" w:color="auto"/>
            </w:tcBorders>
          </w:tcPr>
          <w:p w14:paraId="0902F7E4"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COLIFORM</w:t>
            </w:r>
          </w:p>
          <w:p w14:paraId="51EC89CB"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(10</w:t>
            </w:r>
            <w:r w:rsidRPr="00954317">
              <w:rPr>
                <w:rFonts w:ascii="Arial" w:eastAsia="Times New Roman" w:hAnsi="Arial" w:cs="Arial"/>
                <w:b/>
                <w:bCs/>
                <w:color w:val="000000" w:themeColor="text1"/>
                <w:sz w:val="20"/>
                <w:szCs w:val="20"/>
                <w:vertAlign w:val="superscript"/>
              </w:rPr>
              <w:t>5</w:t>
            </w:r>
            <w:r w:rsidRPr="00954317">
              <w:rPr>
                <w:rFonts w:ascii="Arial" w:eastAsia="Times New Roman" w:hAnsi="Arial" w:cs="Arial"/>
                <w:b/>
                <w:bCs/>
                <w:color w:val="000000" w:themeColor="text1"/>
                <w:sz w:val="20"/>
                <w:szCs w:val="20"/>
              </w:rPr>
              <w:t>)</w:t>
            </w:r>
          </w:p>
        </w:tc>
        <w:tc>
          <w:tcPr>
            <w:tcW w:w="1005" w:type="dxa"/>
            <w:tcBorders>
              <w:bottom w:val="single" w:sz="4" w:space="0" w:color="auto"/>
            </w:tcBorders>
          </w:tcPr>
          <w:p w14:paraId="7A6F11C6"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LAB</w:t>
            </w:r>
          </w:p>
          <w:p w14:paraId="1209E1C0"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(10</w:t>
            </w:r>
            <w:r w:rsidRPr="00954317">
              <w:rPr>
                <w:rFonts w:ascii="Arial" w:eastAsia="Times New Roman" w:hAnsi="Arial" w:cs="Arial"/>
                <w:b/>
                <w:bCs/>
                <w:color w:val="000000" w:themeColor="text1"/>
                <w:sz w:val="20"/>
                <w:szCs w:val="20"/>
                <w:vertAlign w:val="superscript"/>
              </w:rPr>
              <w:t>4</w:t>
            </w:r>
            <w:r w:rsidRPr="00954317">
              <w:rPr>
                <w:rFonts w:ascii="Arial" w:eastAsia="Times New Roman" w:hAnsi="Arial" w:cs="Arial"/>
                <w:b/>
                <w:bCs/>
                <w:color w:val="000000" w:themeColor="text1"/>
                <w:sz w:val="20"/>
                <w:szCs w:val="20"/>
              </w:rPr>
              <w:t>)</w:t>
            </w:r>
          </w:p>
        </w:tc>
        <w:tc>
          <w:tcPr>
            <w:tcW w:w="812" w:type="dxa"/>
            <w:tcBorders>
              <w:bottom w:val="single" w:sz="4" w:space="0" w:color="auto"/>
            </w:tcBorders>
          </w:tcPr>
          <w:p w14:paraId="2026504E"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LAB</w:t>
            </w:r>
          </w:p>
          <w:p w14:paraId="78E373BC"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(10</w:t>
            </w:r>
            <w:r w:rsidRPr="00954317">
              <w:rPr>
                <w:rFonts w:ascii="Arial" w:eastAsia="Times New Roman" w:hAnsi="Arial" w:cs="Arial"/>
                <w:b/>
                <w:bCs/>
                <w:color w:val="000000" w:themeColor="text1"/>
                <w:sz w:val="20"/>
                <w:szCs w:val="20"/>
                <w:vertAlign w:val="superscript"/>
              </w:rPr>
              <w:t>5</w:t>
            </w:r>
            <w:r w:rsidRPr="00954317">
              <w:rPr>
                <w:rFonts w:ascii="Arial" w:eastAsia="Times New Roman" w:hAnsi="Arial" w:cs="Arial"/>
                <w:b/>
                <w:bCs/>
                <w:color w:val="000000" w:themeColor="text1"/>
                <w:sz w:val="20"/>
                <w:szCs w:val="20"/>
              </w:rPr>
              <w:t>)</w:t>
            </w:r>
          </w:p>
        </w:tc>
        <w:tc>
          <w:tcPr>
            <w:tcW w:w="1005" w:type="dxa"/>
            <w:tcBorders>
              <w:bottom w:val="single" w:sz="4" w:space="0" w:color="auto"/>
            </w:tcBorders>
          </w:tcPr>
          <w:p w14:paraId="48DBE45D"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PDA (10</w:t>
            </w:r>
            <w:r w:rsidRPr="00954317">
              <w:rPr>
                <w:rFonts w:ascii="Arial" w:eastAsia="Times New Roman" w:hAnsi="Arial" w:cs="Arial"/>
                <w:b/>
                <w:bCs/>
                <w:color w:val="000000" w:themeColor="text1"/>
                <w:sz w:val="20"/>
                <w:szCs w:val="20"/>
                <w:vertAlign w:val="superscript"/>
              </w:rPr>
              <w:t>4</w:t>
            </w:r>
            <w:r w:rsidRPr="00954317">
              <w:rPr>
                <w:rFonts w:ascii="Arial" w:eastAsia="Times New Roman" w:hAnsi="Arial" w:cs="Arial"/>
                <w:b/>
                <w:bCs/>
                <w:color w:val="000000" w:themeColor="text1"/>
                <w:sz w:val="20"/>
                <w:szCs w:val="20"/>
              </w:rPr>
              <w:t>)</w:t>
            </w:r>
          </w:p>
        </w:tc>
        <w:tc>
          <w:tcPr>
            <w:tcW w:w="898" w:type="dxa"/>
            <w:tcBorders>
              <w:bottom w:val="single" w:sz="4" w:space="0" w:color="auto"/>
            </w:tcBorders>
          </w:tcPr>
          <w:p w14:paraId="36D4A15F"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PDA</w:t>
            </w:r>
          </w:p>
          <w:p w14:paraId="163F8E55" w14:textId="77777777" w:rsidR="008519D0" w:rsidRPr="00954317" w:rsidRDefault="008519D0" w:rsidP="001B1C87">
            <w:pPr>
              <w:jc w:val="both"/>
              <w:rPr>
                <w:rFonts w:ascii="Arial" w:eastAsia="Times New Roman" w:hAnsi="Arial" w:cs="Arial"/>
                <w:b/>
                <w:bCs/>
                <w:color w:val="000000" w:themeColor="text1"/>
                <w:sz w:val="20"/>
                <w:szCs w:val="20"/>
              </w:rPr>
            </w:pPr>
            <w:r w:rsidRPr="00954317">
              <w:rPr>
                <w:rFonts w:ascii="Arial" w:eastAsia="Times New Roman" w:hAnsi="Arial" w:cs="Arial"/>
                <w:b/>
                <w:bCs/>
                <w:color w:val="000000" w:themeColor="text1"/>
                <w:sz w:val="20"/>
                <w:szCs w:val="20"/>
              </w:rPr>
              <w:t>(10</w:t>
            </w:r>
            <w:r w:rsidRPr="00954317">
              <w:rPr>
                <w:rFonts w:ascii="Arial" w:eastAsia="Times New Roman" w:hAnsi="Arial" w:cs="Arial"/>
                <w:b/>
                <w:bCs/>
                <w:color w:val="000000" w:themeColor="text1"/>
                <w:sz w:val="20"/>
                <w:szCs w:val="20"/>
                <w:vertAlign w:val="superscript"/>
              </w:rPr>
              <w:t>5</w:t>
            </w:r>
            <w:r w:rsidRPr="00954317">
              <w:rPr>
                <w:rFonts w:ascii="Arial" w:eastAsia="Times New Roman" w:hAnsi="Arial" w:cs="Arial"/>
                <w:b/>
                <w:bCs/>
                <w:color w:val="000000" w:themeColor="text1"/>
                <w:sz w:val="20"/>
                <w:szCs w:val="20"/>
              </w:rPr>
              <w:t>)</w:t>
            </w:r>
            <w:commentRangeEnd w:id="42"/>
            <w:r w:rsidR="001B3D60">
              <w:rPr>
                <w:rStyle w:val="CommentReference"/>
                <w:rFonts w:ascii="Times New Roman" w:eastAsia="Times New Roman" w:hAnsi="Times New Roman"/>
                <w:lang w:val="nb-NO" w:eastAsia="nb-NO"/>
              </w:rPr>
              <w:commentReference w:id="42"/>
            </w:r>
            <w:r w:rsidR="00932C35">
              <w:rPr>
                <w:rStyle w:val="CommentReference"/>
                <w:rFonts w:ascii="Times New Roman" w:eastAsia="Times New Roman" w:hAnsi="Times New Roman"/>
                <w:lang w:val="nb-NO" w:eastAsia="nb-NO"/>
              </w:rPr>
              <w:commentReference w:id="40"/>
            </w:r>
            <w:r w:rsidR="007D26A4">
              <w:rPr>
                <w:rStyle w:val="CommentReference"/>
                <w:rFonts w:ascii="Times New Roman" w:eastAsia="Times New Roman" w:hAnsi="Times New Roman"/>
                <w:lang w:val="nb-NO" w:eastAsia="nb-NO"/>
              </w:rPr>
              <w:commentReference w:id="41"/>
            </w:r>
          </w:p>
        </w:tc>
      </w:tr>
      <w:commentRangeEnd w:id="40"/>
      <w:commentRangeEnd w:id="41"/>
      <w:tr w:rsidR="008519D0" w:rsidRPr="00954317" w14:paraId="1F282FC3" w14:textId="77777777" w:rsidTr="001B1C87">
        <w:tc>
          <w:tcPr>
            <w:tcW w:w="1349" w:type="dxa"/>
            <w:tcBorders>
              <w:top w:val="single" w:sz="4" w:space="0" w:color="auto"/>
              <w:bottom w:val="nil"/>
            </w:tcBorders>
          </w:tcPr>
          <w:p w14:paraId="1340F9DE"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A</w:t>
            </w:r>
          </w:p>
        </w:tc>
        <w:tc>
          <w:tcPr>
            <w:tcW w:w="1005" w:type="dxa"/>
            <w:tcBorders>
              <w:top w:val="single" w:sz="4" w:space="0" w:color="auto"/>
              <w:bottom w:val="nil"/>
            </w:tcBorders>
          </w:tcPr>
          <w:p w14:paraId="3EBE6EC6"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p w14:paraId="2AAC7374" w14:textId="77777777" w:rsidR="008519D0" w:rsidRPr="00954317" w:rsidRDefault="008519D0" w:rsidP="001B1C87">
            <w:pPr>
              <w:jc w:val="both"/>
              <w:rPr>
                <w:rFonts w:ascii="Arial" w:eastAsia="Times New Roman" w:hAnsi="Arial" w:cs="Arial"/>
                <w:color w:val="000000" w:themeColor="text1"/>
                <w:sz w:val="20"/>
                <w:szCs w:val="20"/>
              </w:rPr>
            </w:pPr>
          </w:p>
        </w:tc>
        <w:tc>
          <w:tcPr>
            <w:tcW w:w="944" w:type="dxa"/>
            <w:tcBorders>
              <w:top w:val="single" w:sz="4" w:space="0" w:color="auto"/>
              <w:bottom w:val="nil"/>
            </w:tcBorders>
          </w:tcPr>
          <w:p w14:paraId="34D5F498"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1565" w:type="dxa"/>
            <w:tcBorders>
              <w:top w:val="single" w:sz="4" w:space="0" w:color="auto"/>
              <w:bottom w:val="nil"/>
            </w:tcBorders>
          </w:tcPr>
          <w:p w14:paraId="0F1541B0"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767" w:type="dxa"/>
            <w:tcBorders>
              <w:top w:val="single" w:sz="4" w:space="0" w:color="auto"/>
              <w:bottom w:val="nil"/>
            </w:tcBorders>
          </w:tcPr>
          <w:p w14:paraId="3D85C7F1"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2</w:t>
            </w:r>
          </w:p>
        </w:tc>
        <w:tc>
          <w:tcPr>
            <w:tcW w:w="1005" w:type="dxa"/>
            <w:tcBorders>
              <w:top w:val="single" w:sz="4" w:space="0" w:color="auto"/>
              <w:bottom w:val="nil"/>
            </w:tcBorders>
          </w:tcPr>
          <w:p w14:paraId="50543B92"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812" w:type="dxa"/>
            <w:tcBorders>
              <w:top w:val="single" w:sz="4" w:space="0" w:color="auto"/>
              <w:bottom w:val="nil"/>
            </w:tcBorders>
          </w:tcPr>
          <w:p w14:paraId="4A7E33C5"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1005" w:type="dxa"/>
            <w:tcBorders>
              <w:top w:val="single" w:sz="4" w:space="0" w:color="auto"/>
              <w:bottom w:val="nil"/>
            </w:tcBorders>
          </w:tcPr>
          <w:p w14:paraId="6694DD56"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5</w:t>
            </w:r>
          </w:p>
        </w:tc>
        <w:tc>
          <w:tcPr>
            <w:tcW w:w="898" w:type="dxa"/>
            <w:tcBorders>
              <w:top w:val="single" w:sz="4" w:space="0" w:color="auto"/>
              <w:bottom w:val="nil"/>
            </w:tcBorders>
          </w:tcPr>
          <w:p w14:paraId="77FC2519"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20</w:t>
            </w:r>
          </w:p>
        </w:tc>
      </w:tr>
      <w:tr w:rsidR="008519D0" w:rsidRPr="00954317" w14:paraId="178DAFAF" w14:textId="77777777" w:rsidTr="001B1C87">
        <w:tc>
          <w:tcPr>
            <w:tcW w:w="1349" w:type="dxa"/>
            <w:tcBorders>
              <w:top w:val="nil"/>
              <w:bottom w:val="nil"/>
            </w:tcBorders>
          </w:tcPr>
          <w:p w14:paraId="63BD1318"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B</w:t>
            </w:r>
          </w:p>
        </w:tc>
        <w:tc>
          <w:tcPr>
            <w:tcW w:w="1005" w:type="dxa"/>
            <w:tcBorders>
              <w:top w:val="nil"/>
              <w:bottom w:val="nil"/>
            </w:tcBorders>
          </w:tcPr>
          <w:p w14:paraId="679275F4"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1</w:t>
            </w:r>
          </w:p>
          <w:p w14:paraId="78C4039A" w14:textId="77777777" w:rsidR="008519D0" w:rsidRPr="00954317" w:rsidRDefault="008519D0" w:rsidP="001B1C87">
            <w:pPr>
              <w:jc w:val="both"/>
              <w:rPr>
                <w:rFonts w:ascii="Arial" w:eastAsia="Times New Roman" w:hAnsi="Arial" w:cs="Arial"/>
                <w:color w:val="000000" w:themeColor="text1"/>
                <w:sz w:val="20"/>
                <w:szCs w:val="20"/>
              </w:rPr>
            </w:pPr>
          </w:p>
        </w:tc>
        <w:tc>
          <w:tcPr>
            <w:tcW w:w="944" w:type="dxa"/>
            <w:tcBorders>
              <w:top w:val="nil"/>
              <w:bottom w:val="nil"/>
            </w:tcBorders>
          </w:tcPr>
          <w:p w14:paraId="12CB35B7"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1</w:t>
            </w:r>
          </w:p>
        </w:tc>
        <w:tc>
          <w:tcPr>
            <w:tcW w:w="1565" w:type="dxa"/>
            <w:tcBorders>
              <w:top w:val="nil"/>
              <w:bottom w:val="nil"/>
            </w:tcBorders>
          </w:tcPr>
          <w:p w14:paraId="18D8703F"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767" w:type="dxa"/>
            <w:tcBorders>
              <w:top w:val="nil"/>
              <w:bottom w:val="nil"/>
            </w:tcBorders>
          </w:tcPr>
          <w:p w14:paraId="4256CE4B"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1005" w:type="dxa"/>
            <w:tcBorders>
              <w:top w:val="nil"/>
              <w:bottom w:val="nil"/>
            </w:tcBorders>
          </w:tcPr>
          <w:p w14:paraId="1734EFEF"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1</w:t>
            </w:r>
          </w:p>
        </w:tc>
        <w:tc>
          <w:tcPr>
            <w:tcW w:w="812" w:type="dxa"/>
            <w:tcBorders>
              <w:top w:val="nil"/>
              <w:bottom w:val="nil"/>
            </w:tcBorders>
          </w:tcPr>
          <w:p w14:paraId="64E571BF"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1005" w:type="dxa"/>
            <w:tcBorders>
              <w:top w:val="nil"/>
              <w:bottom w:val="nil"/>
            </w:tcBorders>
          </w:tcPr>
          <w:p w14:paraId="5149A8FE"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1</w:t>
            </w:r>
          </w:p>
        </w:tc>
        <w:tc>
          <w:tcPr>
            <w:tcW w:w="898" w:type="dxa"/>
            <w:tcBorders>
              <w:top w:val="nil"/>
              <w:bottom w:val="nil"/>
            </w:tcBorders>
          </w:tcPr>
          <w:p w14:paraId="11E4F4BD"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27</w:t>
            </w:r>
          </w:p>
        </w:tc>
      </w:tr>
      <w:tr w:rsidR="008519D0" w:rsidRPr="00954317" w14:paraId="2CED754B" w14:textId="77777777" w:rsidTr="001B1C87">
        <w:tc>
          <w:tcPr>
            <w:tcW w:w="1349" w:type="dxa"/>
            <w:tcBorders>
              <w:top w:val="nil"/>
              <w:bottom w:val="nil"/>
            </w:tcBorders>
          </w:tcPr>
          <w:p w14:paraId="319988D1"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C</w:t>
            </w:r>
          </w:p>
        </w:tc>
        <w:tc>
          <w:tcPr>
            <w:tcW w:w="1005" w:type="dxa"/>
            <w:tcBorders>
              <w:top w:val="nil"/>
              <w:bottom w:val="nil"/>
            </w:tcBorders>
          </w:tcPr>
          <w:p w14:paraId="6A229543"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1</w:t>
            </w:r>
          </w:p>
          <w:p w14:paraId="4BC5154A" w14:textId="77777777" w:rsidR="008519D0" w:rsidRPr="00954317" w:rsidRDefault="008519D0" w:rsidP="001B1C87">
            <w:pPr>
              <w:jc w:val="both"/>
              <w:rPr>
                <w:rFonts w:ascii="Arial" w:eastAsia="Times New Roman" w:hAnsi="Arial" w:cs="Arial"/>
                <w:color w:val="000000" w:themeColor="text1"/>
                <w:sz w:val="20"/>
                <w:szCs w:val="20"/>
              </w:rPr>
            </w:pPr>
          </w:p>
        </w:tc>
        <w:tc>
          <w:tcPr>
            <w:tcW w:w="944" w:type="dxa"/>
            <w:tcBorders>
              <w:top w:val="nil"/>
              <w:bottom w:val="nil"/>
            </w:tcBorders>
          </w:tcPr>
          <w:p w14:paraId="62CE8B93"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1</w:t>
            </w:r>
          </w:p>
        </w:tc>
        <w:tc>
          <w:tcPr>
            <w:tcW w:w="1565" w:type="dxa"/>
            <w:tcBorders>
              <w:top w:val="nil"/>
              <w:bottom w:val="nil"/>
            </w:tcBorders>
          </w:tcPr>
          <w:p w14:paraId="28CD827C"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767" w:type="dxa"/>
            <w:tcBorders>
              <w:top w:val="nil"/>
              <w:bottom w:val="nil"/>
            </w:tcBorders>
          </w:tcPr>
          <w:p w14:paraId="6F13A117"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1005" w:type="dxa"/>
            <w:tcBorders>
              <w:top w:val="nil"/>
              <w:bottom w:val="nil"/>
            </w:tcBorders>
          </w:tcPr>
          <w:p w14:paraId="5F17EB96"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812" w:type="dxa"/>
            <w:tcBorders>
              <w:top w:val="nil"/>
              <w:bottom w:val="nil"/>
            </w:tcBorders>
          </w:tcPr>
          <w:p w14:paraId="33B5B9A0"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1005" w:type="dxa"/>
            <w:tcBorders>
              <w:top w:val="nil"/>
              <w:bottom w:val="nil"/>
            </w:tcBorders>
          </w:tcPr>
          <w:p w14:paraId="5D9F0AB0"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6</w:t>
            </w:r>
          </w:p>
        </w:tc>
        <w:tc>
          <w:tcPr>
            <w:tcW w:w="898" w:type="dxa"/>
            <w:tcBorders>
              <w:top w:val="nil"/>
              <w:bottom w:val="nil"/>
            </w:tcBorders>
          </w:tcPr>
          <w:p w14:paraId="3969DA6E"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35</w:t>
            </w:r>
          </w:p>
        </w:tc>
      </w:tr>
      <w:tr w:rsidR="008519D0" w:rsidRPr="00954317" w14:paraId="4729A59D" w14:textId="77777777" w:rsidTr="001B1C87">
        <w:tc>
          <w:tcPr>
            <w:tcW w:w="1349" w:type="dxa"/>
            <w:tcBorders>
              <w:top w:val="nil"/>
              <w:bottom w:val="nil"/>
            </w:tcBorders>
          </w:tcPr>
          <w:p w14:paraId="2CB99517"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D</w:t>
            </w:r>
          </w:p>
        </w:tc>
        <w:tc>
          <w:tcPr>
            <w:tcW w:w="1005" w:type="dxa"/>
            <w:tcBorders>
              <w:top w:val="nil"/>
              <w:bottom w:val="nil"/>
            </w:tcBorders>
          </w:tcPr>
          <w:p w14:paraId="66995AD6"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6</w:t>
            </w:r>
          </w:p>
          <w:p w14:paraId="243EA886" w14:textId="77777777" w:rsidR="008519D0" w:rsidRPr="00954317" w:rsidRDefault="008519D0" w:rsidP="001B1C87">
            <w:pPr>
              <w:jc w:val="both"/>
              <w:rPr>
                <w:rFonts w:ascii="Arial" w:eastAsia="Times New Roman" w:hAnsi="Arial" w:cs="Arial"/>
                <w:color w:val="000000" w:themeColor="text1"/>
                <w:sz w:val="20"/>
                <w:szCs w:val="20"/>
              </w:rPr>
            </w:pPr>
          </w:p>
        </w:tc>
        <w:tc>
          <w:tcPr>
            <w:tcW w:w="944" w:type="dxa"/>
            <w:tcBorders>
              <w:top w:val="nil"/>
              <w:bottom w:val="nil"/>
            </w:tcBorders>
          </w:tcPr>
          <w:p w14:paraId="12D3DBEC"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2</w:t>
            </w:r>
          </w:p>
        </w:tc>
        <w:tc>
          <w:tcPr>
            <w:tcW w:w="1565" w:type="dxa"/>
            <w:tcBorders>
              <w:top w:val="nil"/>
              <w:bottom w:val="nil"/>
            </w:tcBorders>
          </w:tcPr>
          <w:p w14:paraId="64A8ABE6"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767" w:type="dxa"/>
            <w:tcBorders>
              <w:top w:val="nil"/>
              <w:bottom w:val="nil"/>
            </w:tcBorders>
          </w:tcPr>
          <w:p w14:paraId="35D7751D"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2</w:t>
            </w:r>
          </w:p>
        </w:tc>
        <w:tc>
          <w:tcPr>
            <w:tcW w:w="1005" w:type="dxa"/>
            <w:tcBorders>
              <w:top w:val="nil"/>
              <w:bottom w:val="nil"/>
            </w:tcBorders>
          </w:tcPr>
          <w:p w14:paraId="25B4BC38"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8</w:t>
            </w:r>
          </w:p>
        </w:tc>
        <w:tc>
          <w:tcPr>
            <w:tcW w:w="812" w:type="dxa"/>
            <w:tcBorders>
              <w:top w:val="nil"/>
              <w:bottom w:val="nil"/>
            </w:tcBorders>
          </w:tcPr>
          <w:p w14:paraId="21A56C4A"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6</w:t>
            </w:r>
          </w:p>
        </w:tc>
        <w:tc>
          <w:tcPr>
            <w:tcW w:w="1005" w:type="dxa"/>
            <w:tcBorders>
              <w:top w:val="nil"/>
              <w:bottom w:val="nil"/>
            </w:tcBorders>
          </w:tcPr>
          <w:p w14:paraId="62381258"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38</w:t>
            </w:r>
          </w:p>
        </w:tc>
        <w:tc>
          <w:tcPr>
            <w:tcW w:w="898" w:type="dxa"/>
            <w:tcBorders>
              <w:top w:val="nil"/>
              <w:bottom w:val="nil"/>
            </w:tcBorders>
          </w:tcPr>
          <w:p w14:paraId="1C24B467"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27</w:t>
            </w:r>
          </w:p>
        </w:tc>
      </w:tr>
      <w:tr w:rsidR="008519D0" w:rsidRPr="00954317" w14:paraId="0924BD9B" w14:textId="77777777" w:rsidTr="001B1C87">
        <w:tc>
          <w:tcPr>
            <w:tcW w:w="1349" w:type="dxa"/>
            <w:tcBorders>
              <w:top w:val="nil"/>
              <w:bottom w:val="single" w:sz="4" w:space="0" w:color="auto"/>
            </w:tcBorders>
          </w:tcPr>
          <w:p w14:paraId="23C35BD7"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E</w:t>
            </w:r>
          </w:p>
        </w:tc>
        <w:tc>
          <w:tcPr>
            <w:tcW w:w="1005" w:type="dxa"/>
            <w:tcBorders>
              <w:top w:val="nil"/>
              <w:bottom w:val="single" w:sz="4" w:space="0" w:color="auto"/>
            </w:tcBorders>
          </w:tcPr>
          <w:p w14:paraId="18A71ED9"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12</w:t>
            </w:r>
          </w:p>
          <w:p w14:paraId="5E573935" w14:textId="77777777" w:rsidR="008519D0" w:rsidRPr="00954317" w:rsidRDefault="008519D0" w:rsidP="001B1C87">
            <w:pPr>
              <w:jc w:val="both"/>
              <w:rPr>
                <w:rFonts w:ascii="Arial" w:eastAsia="Times New Roman" w:hAnsi="Arial" w:cs="Arial"/>
                <w:color w:val="000000" w:themeColor="text1"/>
                <w:sz w:val="20"/>
                <w:szCs w:val="20"/>
              </w:rPr>
            </w:pPr>
          </w:p>
        </w:tc>
        <w:tc>
          <w:tcPr>
            <w:tcW w:w="944" w:type="dxa"/>
            <w:tcBorders>
              <w:top w:val="nil"/>
              <w:bottom w:val="single" w:sz="4" w:space="0" w:color="auto"/>
            </w:tcBorders>
          </w:tcPr>
          <w:p w14:paraId="533A7FF1"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14</w:t>
            </w:r>
          </w:p>
        </w:tc>
        <w:tc>
          <w:tcPr>
            <w:tcW w:w="1565" w:type="dxa"/>
            <w:tcBorders>
              <w:top w:val="nil"/>
              <w:bottom w:val="single" w:sz="4" w:space="0" w:color="auto"/>
            </w:tcBorders>
          </w:tcPr>
          <w:p w14:paraId="064B2AA7"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Nil</w:t>
            </w:r>
          </w:p>
        </w:tc>
        <w:tc>
          <w:tcPr>
            <w:tcW w:w="767" w:type="dxa"/>
            <w:tcBorders>
              <w:top w:val="nil"/>
              <w:bottom w:val="single" w:sz="4" w:space="0" w:color="auto"/>
            </w:tcBorders>
          </w:tcPr>
          <w:p w14:paraId="0CB003F1"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8</w:t>
            </w:r>
          </w:p>
        </w:tc>
        <w:tc>
          <w:tcPr>
            <w:tcW w:w="1005" w:type="dxa"/>
            <w:tcBorders>
              <w:top w:val="nil"/>
              <w:bottom w:val="single" w:sz="4" w:space="0" w:color="auto"/>
            </w:tcBorders>
          </w:tcPr>
          <w:p w14:paraId="5793DBAA"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4</w:t>
            </w:r>
          </w:p>
        </w:tc>
        <w:tc>
          <w:tcPr>
            <w:tcW w:w="812" w:type="dxa"/>
            <w:tcBorders>
              <w:top w:val="nil"/>
              <w:bottom w:val="single" w:sz="4" w:space="0" w:color="auto"/>
            </w:tcBorders>
          </w:tcPr>
          <w:p w14:paraId="5E5EDB8D"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9</w:t>
            </w:r>
          </w:p>
        </w:tc>
        <w:tc>
          <w:tcPr>
            <w:tcW w:w="1005" w:type="dxa"/>
            <w:tcBorders>
              <w:top w:val="nil"/>
              <w:bottom w:val="single" w:sz="4" w:space="0" w:color="auto"/>
            </w:tcBorders>
          </w:tcPr>
          <w:p w14:paraId="7819A568"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29</w:t>
            </w:r>
          </w:p>
        </w:tc>
        <w:tc>
          <w:tcPr>
            <w:tcW w:w="898" w:type="dxa"/>
            <w:tcBorders>
              <w:top w:val="nil"/>
              <w:bottom w:val="single" w:sz="4" w:space="0" w:color="auto"/>
            </w:tcBorders>
          </w:tcPr>
          <w:p w14:paraId="0AEB8A49" w14:textId="77777777" w:rsidR="008519D0" w:rsidRPr="00954317" w:rsidRDefault="008519D0" w:rsidP="001B1C87">
            <w:pPr>
              <w:jc w:val="both"/>
              <w:rPr>
                <w:rFonts w:ascii="Arial" w:eastAsia="Times New Roman" w:hAnsi="Arial" w:cs="Arial"/>
                <w:color w:val="000000" w:themeColor="text1"/>
                <w:sz w:val="20"/>
                <w:szCs w:val="20"/>
              </w:rPr>
            </w:pPr>
            <w:r w:rsidRPr="00954317">
              <w:rPr>
                <w:rFonts w:ascii="Arial" w:eastAsia="Times New Roman" w:hAnsi="Arial" w:cs="Arial"/>
                <w:color w:val="000000" w:themeColor="text1"/>
                <w:sz w:val="20"/>
                <w:szCs w:val="20"/>
              </w:rPr>
              <w:t>37</w:t>
            </w:r>
          </w:p>
        </w:tc>
      </w:tr>
    </w:tbl>
    <w:p w14:paraId="618AA7CB" w14:textId="77777777" w:rsidR="008519D0" w:rsidRPr="00954317" w:rsidRDefault="008519D0" w:rsidP="008519D0">
      <w:pPr>
        <w:jc w:val="both"/>
        <w:rPr>
          <w:rFonts w:ascii="Arial" w:hAnsi="Arial" w:cs="Arial"/>
        </w:rPr>
      </w:pPr>
    </w:p>
    <w:p w14:paraId="1F53F156" w14:textId="77777777" w:rsidR="008519D0" w:rsidRPr="00954317" w:rsidRDefault="008519D0" w:rsidP="008519D0">
      <w:pPr>
        <w:jc w:val="both"/>
        <w:rPr>
          <w:rFonts w:ascii="Arial" w:hAnsi="Arial" w:cs="Arial"/>
        </w:rPr>
      </w:pPr>
      <w:r w:rsidRPr="00954317">
        <w:rPr>
          <w:rFonts w:ascii="Arial" w:hAnsi="Arial" w:cs="Arial"/>
        </w:rPr>
        <w:t>Mean values are of duplicates ± standard deviation. The value within the rows with different superscripts is significantly (P&lt;0.05) different.</w:t>
      </w:r>
    </w:p>
    <w:p w14:paraId="725E3ADE" w14:textId="77777777" w:rsidR="008519D0" w:rsidRPr="00954317" w:rsidRDefault="008519D0" w:rsidP="008519D0">
      <w:pPr>
        <w:jc w:val="both"/>
        <w:rPr>
          <w:rFonts w:ascii="Arial" w:hAnsi="Arial" w:cs="Arial"/>
        </w:rPr>
      </w:pPr>
    </w:p>
    <w:p w14:paraId="2405538E" w14:textId="77777777" w:rsidR="008519D0" w:rsidRPr="00954317" w:rsidRDefault="008519D0" w:rsidP="008519D0">
      <w:pPr>
        <w:jc w:val="both"/>
        <w:rPr>
          <w:rFonts w:ascii="Arial" w:hAnsi="Arial" w:cs="Arial"/>
        </w:rPr>
      </w:pPr>
      <w:r w:rsidRPr="00954317">
        <w:rPr>
          <w:rFonts w:ascii="Arial" w:hAnsi="Arial" w:cs="Arial"/>
        </w:rPr>
        <w:t>Key:</w:t>
      </w:r>
    </w:p>
    <w:p w14:paraId="7B6340A1" w14:textId="77777777" w:rsidR="008519D0" w:rsidRPr="00954317" w:rsidRDefault="008519D0" w:rsidP="008519D0">
      <w:pPr>
        <w:jc w:val="both"/>
        <w:rPr>
          <w:rFonts w:ascii="Arial" w:hAnsi="Arial" w:cs="Arial"/>
        </w:rPr>
      </w:pPr>
      <w:r w:rsidRPr="00954317">
        <w:rPr>
          <w:rFonts w:ascii="Arial" w:hAnsi="Arial" w:cs="Arial"/>
        </w:rPr>
        <w:t>Sample A = 85% Wheat flour, 10% Soybean flour, and 5% Carrot flour</w:t>
      </w:r>
    </w:p>
    <w:p w14:paraId="29B35CB9" w14:textId="77777777" w:rsidR="008519D0" w:rsidRPr="00954317" w:rsidRDefault="008519D0" w:rsidP="008519D0">
      <w:pPr>
        <w:jc w:val="both"/>
        <w:rPr>
          <w:rFonts w:ascii="Arial" w:hAnsi="Arial" w:cs="Arial"/>
        </w:rPr>
      </w:pPr>
      <w:r w:rsidRPr="00954317">
        <w:rPr>
          <w:rFonts w:ascii="Arial" w:hAnsi="Arial" w:cs="Arial"/>
        </w:rPr>
        <w:t>Sample B = 70% Wheat flour, 20% Soybean flour, and 10% Carrot flour</w:t>
      </w:r>
    </w:p>
    <w:p w14:paraId="60F8DEFA" w14:textId="77777777" w:rsidR="008519D0" w:rsidRPr="00954317" w:rsidRDefault="008519D0" w:rsidP="008519D0">
      <w:pPr>
        <w:jc w:val="both"/>
        <w:rPr>
          <w:rFonts w:ascii="Arial" w:hAnsi="Arial" w:cs="Arial"/>
        </w:rPr>
      </w:pPr>
      <w:r w:rsidRPr="00954317">
        <w:rPr>
          <w:rFonts w:ascii="Arial" w:hAnsi="Arial" w:cs="Arial"/>
        </w:rPr>
        <w:t>Sample C = 60% Wheat flour, 25% Soybean flour, and 15% Carrot flour</w:t>
      </w:r>
    </w:p>
    <w:p w14:paraId="468EF862" w14:textId="77777777" w:rsidR="008519D0" w:rsidRPr="00954317" w:rsidRDefault="008519D0" w:rsidP="008519D0">
      <w:pPr>
        <w:jc w:val="both"/>
        <w:rPr>
          <w:rFonts w:ascii="Arial" w:hAnsi="Arial" w:cs="Arial"/>
        </w:rPr>
      </w:pPr>
      <w:r w:rsidRPr="00954317">
        <w:rPr>
          <w:rFonts w:ascii="Arial" w:hAnsi="Arial" w:cs="Arial"/>
        </w:rPr>
        <w:t>Sample D = 50% Wheat flour, 30% Soybean flour, and 20% Carrot flour</w:t>
      </w:r>
    </w:p>
    <w:p w14:paraId="75DBA017" w14:textId="77777777" w:rsidR="008519D0" w:rsidRDefault="008519D0" w:rsidP="008519D0">
      <w:pPr>
        <w:jc w:val="both"/>
        <w:rPr>
          <w:rFonts w:ascii="Arial" w:hAnsi="Arial" w:cs="Arial"/>
        </w:rPr>
      </w:pPr>
      <w:r w:rsidRPr="00954317">
        <w:rPr>
          <w:rFonts w:ascii="Arial" w:hAnsi="Arial" w:cs="Arial"/>
        </w:rPr>
        <w:t>Sample E = 100% Wheat flour (Control)</w:t>
      </w:r>
    </w:p>
    <w:p w14:paraId="0599800E" w14:textId="77777777" w:rsidR="00CE516D" w:rsidRPr="00954317" w:rsidRDefault="00CE516D" w:rsidP="008519D0">
      <w:pPr>
        <w:jc w:val="both"/>
        <w:rPr>
          <w:rFonts w:ascii="Arial" w:hAnsi="Arial" w:cs="Arial"/>
        </w:rPr>
      </w:pPr>
    </w:p>
    <w:p w14:paraId="6CD24990" w14:textId="77777777" w:rsidR="008519D0" w:rsidRPr="001A072B" w:rsidRDefault="008519D0" w:rsidP="008519D0">
      <w:pPr>
        <w:jc w:val="both"/>
        <w:rPr>
          <w:rFonts w:ascii="Arial" w:hAnsi="Arial" w:cs="Arial"/>
          <w:b/>
          <w:bCs/>
          <w:sz w:val="22"/>
          <w:szCs w:val="22"/>
        </w:rPr>
      </w:pPr>
      <w:r w:rsidRPr="001A072B">
        <w:rPr>
          <w:rFonts w:ascii="Arial" w:hAnsi="Arial" w:cs="Arial"/>
          <w:b/>
          <w:bCs/>
          <w:sz w:val="22"/>
          <w:szCs w:val="22"/>
        </w:rPr>
        <w:t>3.</w:t>
      </w:r>
      <w:r w:rsidR="00CC52BE">
        <w:rPr>
          <w:rFonts w:ascii="Arial" w:hAnsi="Arial" w:cs="Arial"/>
          <w:b/>
          <w:bCs/>
          <w:sz w:val="22"/>
          <w:szCs w:val="22"/>
        </w:rPr>
        <w:t>7</w:t>
      </w:r>
      <w:r w:rsidRPr="001A072B">
        <w:rPr>
          <w:rFonts w:ascii="Arial" w:hAnsi="Arial" w:cs="Arial"/>
          <w:b/>
          <w:bCs/>
          <w:sz w:val="22"/>
          <w:szCs w:val="22"/>
        </w:rPr>
        <w:t xml:space="preserve"> Sensory </w:t>
      </w:r>
      <w:r w:rsidR="00CC52BE">
        <w:rPr>
          <w:rFonts w:ascii="Arial" w:hAnsi="Arial" w:cs="Arial"/>
          <w:b/>
          <w:bCs/>
          <w:sz w:val="22"/>
          <w:szCs w:val="22"/>
        </w:rPr>
        <w:t>Evaluation</w:t>
      </w:r>
    </w:p>
    <w:p w14:paraId="5A5D0728" w14:textId="77777777" w:rsidR="008519D0" w:rsidRPr="009B38DC" w:rsidRDefault="008519D0" w:rsidP="008519D0">
      <w:pPr>
        <w:jc w:val="both"/>
        <w:rPr>
          <w:rFonts w:ascii="Arial" w:hAnsi="Arial" w:cs="Arial"/>
          <w:sz w:val="22"/>
          <w:szCs w:val="22"/>
        </w:rPr>
      </w:pPr>
    </w:p>
    <w:p w14:paraId="3DE86E76" w14:textId="42BE3573" w:rsidR="008519D0" w:rsidRPr="00954317" w:rsidRDefault="008519D0" w:rsidP="008519D0">
      <w:pPr>
        <w:jc w:val="both"/>
        <w:rPr>
          <w:rFonts w:ascii="Arial" w:hAnsi="Arial" w:cs="Arial"/>
        </w:rPr>
      </w:pPr>
      <w:r w:rsidRPr="00954317">
        <w:rPr>
          <w:rFonts w:ascii="Arial" w:hAnsi="Arial" w:cs="Arial"/>
        </w:rPr>
        <w:t xml:space="preserve">The result of the </w:t>
      </w:r>
      <w:r w:rsidR="00CC52BE">
        <w:rPr>
          <w:rFonts w:ascii="Arial" w:hAnsi="Arial" w:cs="Arial"/>
        </w:rPr>
        <w:t>s</w:t>
      </w:r>
      <w:r w:rsidRPr="00954317">
        <w:rPr>
          <w:rFonts w:ascii="Arial" w:hAnsi="Arial" w:cs="Arial"/>
        </w:rPr>
        <w:t xml:space="preserve">ensory </w:t>
      </w:r>
      <w:r w:rsidR="00CC52BE">
        <w:rPr>
          <w:rFonts w:ascii="Arial" w:hAnsi="Arial" w:cs="Arial"/>
        </w:rPr>
        <w:t>evaluation</w:t>
      </w:r>
      <w:r w:rsidRPr="00954317">
        <w:rPr>
          <w:rFonts w:ascii="Arial" w:hAnsi="Arial" w:cs="Arial"/>
        </w:rPr>
        <w:t xml:space="preserve"> as shown in Table </w:t>
      </w:r>
      <w:r w:rsidR="005144F3">
        <w:rPr>
          <w:rFonts w:ascii="Arial" w:hAnsi="Arial" w:cs="Arial"/>
        </w:rPr>
        <w:t>9</w:t>
      </w:r>
      <w:r w:rsidRPr="00954317">
        <w:rPr>
          <w:rFonts w:ascii="Arial" w:hAnsi="Arial" w:cs="Arial"/>
        </w:rPr>
        <w:t>. The sensory analysis of food products is essential for assessing their acceptability and consumer preference based on key quality attributes such as taste, texture, aroma, appearance, color, and overall acceptability. These factors play a significant role in determining the palatability of the bread samples produced from wheat, soybean, and carrot composite flours. As reported by Stone and Sidel (2019), sensory evaluation is crucial for understanding consumer preferences and enhancing product development in the food industry.</w:t>
      </w:r>
    </w:p>
    <w:p w14:paraId="18E2720C" w14:textId="77777777" w:rsidR="008519D0" w:rsidRPr="00954317" w:rsidRDefault="008519D0" w:rsidP="008519D0">
      <w:pPr>
        <w:jc w:val="both"/>
        <w:rPr>
          <w:rFonts w:ascii="Arial" w:hAnsi="Arial" w:cs="Arial"/>
        </w:rPr>
      </w:pPr>
    </w:p>
    <w:p w14:paraId="423DED48" w14:textId="77777777" w:rsidR="008519D0" w:rsidRPr="00954317" w:rsidRDefault="008519D0" w:rsidP="008519D0">
      <w:pPr>
        <w:jc w:val="both"/>
        <w:rPr>
          <w:rFonts w:ascii="Arial" w:hAnsi="Arial" w:cs="Arial"/>
        </w:rPr>
      </w:pPr>
      <w:r w:rsidRPr="00954317">
        <w:rPr>
          <w:rFonts w:ascii="Arial" w:hAnsi="Arial" w:cs="Arial"/>
        </w:rPr>
        <w:t xml:space="preserve">In this study, Sample B received the highest score for taste, with an </w:t>
      </w:r>
      <w:commentRangeStart w:id="43"/>
      <w:r w:rsidRPr="00954317">
        <w:rPr>
          <w:rFonts w:ascii="Arial" w:hAnsi="Arial" w:cs="Arial"/>
        </w:rPr>
        <w:t xml:space="preserve">average </w:t>
      </w:r>
      <w:commentRangeEnd w:id="43"/>
      <w:r w:rsidR="00897716">
        <w:rPr>
          <w:rStyle w:val="CommentReference"/>
          <w:rFonts w:ascii="Times New Roman" w:hAnsi="Times New Roman"/>
          <w:lang w:val="nb-NO" w:eastAsia="nb-NO"/>
        </w:rPr>
        <w:commentReference w:id="43"/>
      </w:r>
      <w:r w:rsidRPr="00954317">
        <w:rPr>
          <w:rFonts w:ascii="Arial" w:hAnsi="Arial" w:cs="Arial"/>
        </w:rPr>
        <w:t>of 7.80 ± 1.23. This indicates that it was the most well-received in terms of flavor, suggesting a balanced and pleasing taste profile that resonated with the panelists. In agreement with work done by Meilgaard et al. (2016), a well-balanced flavor is crucial for consumer acceptance and overall satisfaction with the product. Sample C followed closely, scoring 7.60 ± 1.17, showing that it was also well-liked but slightly less favored than Sample B. Conversely, Samples A, D, and E received lower taste scores, ranging from 6.50 to 6.80, indicating they were acceptable but did not stand out as much in flavor.</w:t>
      </w:r>
    </w:p>
    <w:p w14:paraId="5CC4C277" w14:textId="77777777" w:rsidR="008519D0" w:rsidRPr="00954317" w:rsidRDefault="008519D0" w:rsidP="008519D0">
      <w:pPr>
        <w:jc w:val="both"/>
        <w:rPr>
          <w:rFonts w:ascii="Arial" w:hAnsi="Arial" w:cs="Arial"/>
        </w:rPr>
      </w:pPr>
    </w:p>
    <w:p w14:paraId="03652ADF" w14:textId="77777777" w:rsidR="008519D0" w:rsidRPr="00954317" w:rsidRDefault="008519D0" w:rsidP="008519D0">
      <w:pPr>
        <w:jc w:val="both"/>
        <w:rPr>
          <w:rFonts w:ascii="Arial" w:hAnsi="Arial" w:cs="Arial"/>
        </w:rPr>
      </w:pPr>
      <w:r w:rsidRPr="00954317">
        <w:rPr>
          <w:rFonts w:ascii="Arial" w:hAnsi="Arial" w:cs="Arial"/>
        </w:rPr>
        <w:t>Texture is another critical sensory attribute influencing overall enjoyment. Sample C excelled in this category, scoring 7.80 ± 1.14, suggesting it had the most appealing texture characterized by a favorable combination of softness and chewiness. This aligns with findings by Szczesniak (2018), who emphasizes that texture greatly affects consumer preferences for baked goods. Sample E also scored well for texture at 7.40 ± 1.17. In contrast, Sample A scored the lowest at 5.60 ± 2.68, indicating potential issues with its mouthfeel.</w:t>
      </w:r>
    </w:p>
    <w:p w14:paraId="5B2A661B" w14:textId="77777777" w:rsidR="008519D0" w:rsidRPr="00954317" w:rsidRDefault="008519D0" w:rsidP="008519D0">
      <w:pPr>
        <w:jc w:val="both"/>
        <w:rPr>
          <w:rFonts w:ascii="Arial" w:hAnsi="Arial" w:cs="Arial"/>
        </w:rPr>
      </w:pPr>
    </w:p>
    <w:p w14:paraId="049C0363" w14:textId="77777777" w:rsidR="008519D0" w:rsidRPr="00954317" w:rsidRDefault="008519D0" w:rsidP="008519D0">
      <w:pPr>
        <w:jc w:val="both"/>
        <w:rPr>
          <w:rFonts w:ascii="Arial" w:hAnsi="Arial" w:cs="Arial"/>
        </w:rPr>
      </w:pPr>
      <w:r w:rsidRPr="00954317">
        <w:rPr>
          <w:rFonts w:ascii="Arial" w:hAnsi="Arial" w:cs="Arial"/>
        </w:rPr>
        <w:t xml:space="preserve">Aroma contributes significantly to the sensory experience and can impact taste perception. In research by Lawless and Heymann (2010), aroma is recognized as a key driver in initial consumer impressions of food products. Sample C scored </w:t>
      </w:r>
      <w:r w:rsidRPr="00954317">
        <w:rPr>
          <w:rFonts w:ascii="Arial" w:hAnsi="Arial" w:cs="Arial"/>
        </w:rPr>
        <w:lastRenderedPageBreak/>
        <w:t>the highest in aroma at 7.60 ± 1.35, indicating a pleasant scent that likely enhanced its overall appeal. Sample E also scored well at 7.20 ± 1.14, while Samples B, D, and A received moderate scores between 6.20 and 6.90.</w:t>
      </w:r>
    </w:p>
    <w:p w14:paraId="703A9DD1" w14:textId="77777777" w:rsidR="008519D0" w:rsidRPr="00954317" w:rsidRDefault="008519D0" w:rsidP="008519D0">
      <w:pPr>
        <w:jc w:val="both"/>
        <w:rPr>
          <w:rFonts w:ascii="Arial" w:hAnsi="Arial" w:cs="Arial"/>
        </w:rPr>
      </w:pPr>
    </w:p>
    <w:p w14:paraId="13C54541" w14:textId="77777777" w:rsidR="008519D0" w:rsidRPr="00954317" w:rsidRDefault="008519D0" w:rsidP="008519D0">
      <w:pPr>
        <w:jc w:val="both"/>
        <w:rPr>
          <w:rFonts w:ascii="Arial" w:hAnsi="Arial" w:cs="Arial"/>
        </w:rPr>
      </w:pPr>
      <w:r w:rsidRPr="00954317">
        <w:rPr>
          <w:rFonts w:ascii="Arial" w:hAnsi="Arial" w:cs="Arial"/>
        </w:rPr>
        <w:t>Appearance is crucial as it sets the first impression of a food product, influencing consumer expectations. Sample C received the highest appearance score of 6.90 ± 1.73, indicating it was visually appealing. This is essential as visual characteristics can significantly impact consumer choice (Hutchings, 2019).</w:t>
      </w:r>
    </w:p>
    <w:p w14:paraId="11FE7880" w14:textId="77777777" w:rsidR="008519D0" w:rsidRPr="00954317" w:rsidRDefault="008519D0" w:rsidP="008519D0">
      <w:pPr>
        <w:jc w:val="both"/>
        <w:rPr>
          <w:rFonts w:ascii="Arial" w:hAnsi="Arial" w:cs="Arial"/>
        </w:rPr>
      </w:pPr>
    </w:p>
    <w:p w14:paraId="6A618E94" w14:textId="77777777" w:rsidR="008519D0" w:rsidRPr="00954317" w:rsidRDefault="008519D0" w:rsidP="008519D0">
      <w:pPr>
        <w:jc w:val="both"/>
        <w:rPr>
          <w:rFonts w:ascii="Arial" w:hAnsi="Arial" w:cs="Arial"/>
        </w:rPr>
      </w:pPr>
      <w:r w:rsidRPr="00954317">
        <w:rPr>
          <w:rFonts w:ascii="Arial" w:hAnsi="Arial" w:cs="Arial"/>
        </w:rPr>
        <w:t>Overall acceptability combines all sensory attributes and reflects the general impression of the product. Sample B had the highest overall acceptability score at 6.40 ± 1.58, suggesting it was the most preferred sample among panelists. Sample C followed closely with a score of 6.30 ± 2.16. The lower overall acceptability scores of Samples D and E (5.90 each) indicate that they were generally acceptable but did not stand out as much as Samples B and C.</w:t>
      </w:r>
    </w:p>
    <w:p w14:paraId="3BA7B9EE" w14:textId="77777777" w:rsidR="008519D0" w:rsidRPr="00954317" w:rsidRDefault="008519D0" w:rsidP="008519D0">
      <w:pPr>
        <w:jc w:val="both"/>
        <w:rPr>
          <w:rFonts w:ascii="Arial" w:hAnsi="Arial" w:cs="Arial"/>
        </w:rPr>
      </w:pPr>
    </w:p>
    <w:p w14:paraId="2C94A419" w14:textId="77777777" w:rsidR="008519D0" w:rsidRPr="00954317" w:rsidRDefault="008519D0" w:rsidP="008519D0">
      <w:pPr>
        <w:jc w:val="both"/>
        <w:rPr>
          <w:rFonts w:ascii="Arial" w:hAnsi="Arial" w:cs="Arial"/>
        </w:rPr>
      </w:pPr>
      <w:r w:rsidRPr="00954317">
        <w:rPr>
          <w:rFonts w:ascii="Arial" w:hAnsi="Arial" w:cs="Arial"/>
        </w:rPr>
        <w:t>Sample B was the most well-received overall, with high scores in taste and overall acceptability, making it the best-balanced sample in terms of sensory attributes. Sample C also performed well, particularly in texture, aroma, and appearance. The sensory analysis reveals clear preferences for Samples B and C, highlighting the importance of sensory attributes in consumer acceptance of bread products.</w:t>
      </w:r>
    </w:p>
    <w:p w14:paraId="5D68153E" w14:textId="77777777" w:rsidR="008519D0" w:rsidRPr="00954317" w:rsidRDefault="008519D0" w:rsidP="008519D0">
      <w:pPr>
        <w:rPr>
          <w:rFonts w:ascii="Arial" w:hAnsi="Arial" w:cs="Arial"/>
        </w:rPr>
      </w:pPr>
    </w:p>
    <w:p w14:paraId="7D03D445" w14:textId="27E278A2" w:rsidR="008519D0" w:rsidRPr="00954317" w:rsidRDefault="008519D0" w:rsidP="008519D0">
      <w:pPr>
        <w:jc w:val="both"/>
        <w:rPr>
          <w:rFonts w:ascii="Arial" w:hAnsi="Arial" w:cs="Arial"/>
        </w:rPr>
      </w:pPr>
      <w:r w:rsidRPr="00954317">
        <w:rPr>
          <w:rFonts w:ascii="Arial" w:hAnsi="Arial" w:cs="Arial"/>
        </w:rPr>
        <w:t xml:space="preserve">Table </w:t>
      </w:r>
      <w:r w:rsidR="005144F3">
        <w:rPr>
          <w:rFonts w:ascii="Arial" w:hAnsi="Arial" w:cs="Arial"/>
        </w:rPr>
        <w:t>9</w:t>
      </w:r>
      <w:r w:rsidRPr="00954317">
        <w:rPr>
          <w:rFonts w:ascii="Arial" w:hAnsi="Arial" w:cs="Arial"/>
        </w:rPr>
        <w:t xml:space="preserve">: Sensory </w:t>
      </w:r>
      <w:r w:rsidR="00CC52BE">
        <w:rPr>
          <w:rFonts w:ascii="Arial" w:hAnsi="Arial" w:cs="Arial"/>
        </w:rPr>
        <w:t>Evaluation</w:t>
      </w:r>
    </w:p>
    <w:p w14:paraId="16F358B9" w14:textId="77777777" w:rsidR="008519D0" w:rsidRPr="00954317" w:rsidRDefault="008519D0" w:rsidP="008519D0">
      <w:pPr>
        <w:jc w:val="both"/>
        <w:rPr>
          <w:rFonts w:ascii="Arial" w:hAnsi="Arial" w:cs="Arial"/>
        </w:rPr>
      </w:pPr>
    </w:p>
    <w:tbl>
      <w:tblPr>
        <w:tblStyle w:val="TableGrid"/>
        <w:tblW w:w="104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1403"/>
        <w:gridCol w:w="1399"/>
        <w:gridCol w:w="1451"/>
        <w:gridCol w:w="1597"/>
        <w:gridCol w:w="1522"/>
        <w:gridCol w:w="1984"/>
      </w:tblGrid>
      <w:tr w:rsidR="008519D0" w:rsidRPr="00954317" w14:paraId="3FB90AC6" w14:textId="77777777" w:rsidTr="001B1C87">
        <w:trPr>
          <w:trHeight w:val="614"/>
        </w:trPr>
        <w:tc>
          <w:tcPr>
            <w:tcW w:w="1135" w:type="dxa"/>
            <w:tcBorders>
              <w:top w:val="single" w:sz="4" w:space="0" w:color="auto"/>
              <w:bottom w:val="single" w:sz="4" w:space="0" w:color="auto"/>
            </w:tcBorders>
          </w:tcPr>
          <w:p w14:paraId="109F7C37"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SAMPLE</w:t>
            </w:r>
          </w:p>
        </w:tc>
        <w:tc>
          <w:tcPr>
            <w:tcW w:w="1403" w:type="dxa"/>
            <w:tcBorders>
              <w:top w:val="single" w:sz="4" w:space="0" w:color="auto"/>
              <w:bottom w:val="single" w:sz="4" w:space="0" w:color="auto"/>
            </w:tcBorders>
          </w:tcPr>
          <w:p w14:paraId="516CF6A3"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TASTE</w:t>
            </w:r>
          </w:p>
        </w:tc>
        <w:tc>
          <w:tcPr>
            <w:tcW w:w="1399" w:type="dxa"/>
            <w:tcBorders>
              <w:top w:val="single" w:sz="4" w:space="0" w:color="auto"/>
              <w:bottom w:val="single" w:sz="4" w:space="0" w:color="auto"/>
            </w:tcBorders>
          </w:tcPr>
          <w:p w14:paraId="5C3EAEF1"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TEXTURE</w:t>
            </w:r>
          </w:p>
        </w:tc>
        <w:tc>
          <w:tcPr>
            <w:tcW w:w="1451" w:type="dxa"/>
            <w:tcBorders>
              <w:top w:val="single" w:sz="4" w:space="0" w:color="auto"/>
              <w:bottom w:val="single" w:sz="4" w:space="0" w:color="auto"/>
            </w:tcBorders>
          </w:tcPr>
          <w:p w14:paraId="6BCA4AAF"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AROMA</w:t>
            </w:r>
          </w:p>
        </w:tc>
        <w:tc>
          <w:tcPr>
            <w:tcW w:w="1597" w:type="dxa"/>
            <w:tcBorders>
              <w:top w:val="single" w:sz="4" w:space="0" w:color="auto"/>
              <w:bottom w:val="single" w:sz="4" w:space="0" w:color="auto"/>
            </w:tcBorders>
          </w:tcPr>
          <w:p w14:paraId="4AA0146F"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APPEARANCE</w:t>
            </w:r>
          </w:p>
        </w:tc>
        <w:tc>
          <w:tcPr>
            <w:tcW w:w="1522" w:type="dxa"/>
            <w:tcBorders>
              <w:top w:val="single" w:sz="4" w:space="0" w:color="auto"/>
              <w:bottom w:val="single" w:sz="4" w:space="0" w:color="auto"/>
            </w:tcBorders>
          </w:tcPr>
          <w:p w14:paraId="7A3CBFB6"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COLOUR</w:t>
            </w:r>
          </w:p>
        </w:tc>
        <w:tc>
          <w:tcPr>
            <w:tcW w:w="1984" w:type="dxa"/>
            <w:tcBorders>
              <w:top w:val="single" w:sz="4" w:space="0" w:color="auto"/>
              <w:bottom w:val="single" w:sz="4" w:space="0" w:color="auto"/>
            </w:tcBorders>
          </w:tcPr>
          <w:p w14:paraId="07939DB6"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OVERALL </w:t>
            </w:r>
          </w:p>
          <w:p w14:paraId="4515F482"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ACCEPTABILITY </w:t>
            </w:r>
          </w:p>
          <w:p w14:paraId="7651EB33" w14:textId="77777777" w:rsidR="008519D0" w:rsidRPr="00954317" w:rsidRDefault="008519D0" w:rsidP="001B1C87">
            <w:pPr>
              <w:jc w:val="both"/>
              <w:rPr>
                <w:rFonts w:ascii="Arial" w:eastAsia="Times New Roman" w:hAnsi="Arial" w:cs="Arial"/>
                <w:color w:val="000000"/>
                <w:sz w:val="20"/>
                <w:szCs w:val="20"/>
              </w:rPr>
            </w:pPr>
          </w:p>
        </w:tc>
      </w:tr>
      <w:tr w:rsidR="008519D0" w:rsidRPr="00954317" w14:paraId="0ACECE98" w14:textId="77777777" w:rsidTr="001B1C87">
        <w:tc>
          <w:tcPr>
            <w:tcW w:w="1135" w:type="dxa"/>
            <w:tcBorders>
              <w:top w:val="single" w:sz="4" w:space="0" w:color="auto"/>
            </w:tcBorders>
          </w:tcPr>
          <w:p w14:paraId="38DF2286"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A</w:t>
            </w:r>
          </w:p>
        </w:tc>
        <w:tc>
          <w:tcPr>
            <w:tcW w:w="1403" w:type="dxa"/>
            <w:tcBorders>
              <w:top w:val="single" w:sz="4" w:space="0" w:color="auto"/>
            </w:tcBorders>
          </w:tcPr>
          <w:p w14:paraId="633C4B4A"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6.80±1.55</w:t>
            </w:r>
            <w:r w:rsidRPr="00954317">
              <w:rPr>
                <w:rFonts w:ascii="Arial" w:eastAsia="Times New Roman" w:hAnsi="Arial" w:cs="Arial"/>
                <w:color w:val="000000"/>
                <w:sz w:val="20"/>
                <w:szCs w:val="20"/>
                <w:vertAlign w:val="subscript"/>
              </w:rPr>
              <w:t>a</w:t>
            </w:r>
            <w:r w:rsidRPr="00954317">
              <w:rPr>
                <w:rFonts w:ascii="Arial" w:eastAsia="Times New Roman" w:hAnsi="Arial" w:cs="Arial"/>
                <w:color w:val="000000"/>
                <w:sz w:val="20"/>
                <w:szCs w:val="20"/>
              </w:rPr>
              <w:t xml:space="preserve"> </w:t>
            </w:r>
          </w:p>
          <w:p w14:paraId="1B214335" w14:textId="77777777" w:rsidR="008519D0" w:rsidRPr="00954317" w:rsidRDefault="008519D0" w:rsidP="001B1C87">
            <w:pPr>
              <w:jc w:val="both"/>
              <w:rPr>
                <w:rFonts w:ascii="Arial" w:eastAsia="Times New Roman" w:hAnsi="Arial" w:cs="Arial"/>
                <w:color w:val="000000"/>
                <w:sz w:val="20"/>
                <w:szCs w:val="20"/>
              </w:rPr>
            </w:pPr>
          </w:p>
        </w:tc>
        <w:tc>
          <w:tcPr>
            <w:tcW w:w="1399" w:type="dxa"/>
            <w:tcBorders>
              <w:top w:val="single" w:sz="4" w:space="0" w:color="auto"/>
            </w:tcBorders>
          </w:tcPr>
          <w:p w14:paraId="661BFC41"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5.60±2.68 </w:t>
            </w:r>
            <w:r w:rsidRPr="00954317">
              <w:rPr>
                <w:rFonts w:ascii="Arial" w:eastAsia="Times New Roman" w:hAnsi="Arial" w:cs="Arial"/>
                <w:color w:val="000000"/>
                <w:sz w:val="20"/>
                <w:szCs w:val="20"/>
                <w:vertAlign w:val="subscript"/>
              </w:rPr>
              <w:t>a</w:t>
            </w:r>
          </w:p>
        </w:tc>
        <w:tc>
          <w:tcPr>
            <w:tcW w:w="1451" w:type="dxa"/>
            <w:tcBorders>
              <w:top w:val="single" w:sz="4" w:space="0" w:color="auto"/>
            </w:tcBorders>
          </w:tcPr>
          <w:p w14:paraId="5AA925B3"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6.20±1.62 </w:t>
            </w:r>
            <w:r w:rsidRPr="00954317">
              <w:rPr>
                <w:rFonts w:ascii="Arial" w:eastAsia="Times New Roman" w:hAnsi="Arial" w:cs="Arial"/>
                <w:color w:val="000000"/>
                <w:sz w:val="20"/>
                <w:szCs w:val="20"/>
                <w:vertAlign w:val="subscript"/>
              </w:rPr>
              <w:t>a</w:t>
            </w:r>
          </w:p>
        </w:tc>
        <w:tc>
          <w:tcPr>
            <w:tcW w:w="1597" w:type="dxa"/>
            <w:tcBorders>
              <w:top w:val="single" w:sz="4" w:space="0" w:color="auto"/>
            </w:tcBorders>
          </w:tcPr>
          <w:p w14:paraId="261826EF"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5.70±1.16 </w:t>
            </w:r>
            <w:r w:rsidRPr="00954317">
              <w:rPr>
                <w:rFonts w:ascii="Arial" w:eastAsia="Times New Roman" w:hAnsi="Arial" w:cs="Arial"/>
                <w:color w:val="000000"/>
                <w:sz w:val="20"/>
                <w:szCs w:val="20"/>
                <w:vertAlign w:val="subscript"/>
              </w:rPr>
              <w:t>a</w:t>
            </w:r>
            <w:r w:rsidRPr="00954317">
              <w:rPr>
                <w:rFonts w:ascii="Arial" w:eastAsia="Times New Roman" w:hAnsi="Arial" w:cs="Arial"/>
                <w:color w:val="000000"/>
                <w:sz w:val="20"/>
                <w:szCs w:val="20"/>
              </w:rPr>
              <w:t xml:space="preserve"> </w:t>
            </w:r>
          </w:p>
          <w:p w14:paraId="079A6FAD" w14:textId="77777777" w:rsidR="008519D0" w:rsidRPr="00954317" w:rsidRDefault="008519D0" w:rsidP="001B1C87">
            <w:pPr>
              <w:jc w:val="both"/>
              <w:rPr>
                <w:rFonts w:ascii="Arial" w:eastAsia="Times New Roman" w:hAnsi="Arial" w:cs="Arial"/>
                <w:color w:val="000000"/>
                <w:sz w:val="20"/>
                <w:szCs w:val="20"/>
              </w:rPr>
            </w:pPr>
          </w:p>
        </w:tc>
        <w:tc>
          <w:tcPr>
            <w:tcW w:w="1522" w:type="dxa"/>
            <w:tcBorders>
              <w:top w:val="single" w:sz="4" w:space="0" w:color="auto"/>
            </w:tcBorders>
          </w:tcPr>
          <w:p w14:paraId="4ABAF2F3"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6.00±2.05 </w:t>
            </w:r>
            <w:r w:rsidRPr="00954317">
              <w:rPr>
                <w:rFonts w:ascii="Arial" w:eastAsia="Times New Roman" w:hAnsi="Arial" w:cs="Arial"/>
                <w:color w:val="000000"/>
                <w:sz w:val="20"/>
                <w:szCs w:val="20"/>
                <w:vertAlign w:val="subscript"/>
              </w:rPr>
              <w:t>a</w:t>
            </w:r>
          </w:p>
        </w:tc>
        <w:tc>
          <w:tcPr>
            <w:tcW w:w="1984" w:type="dxa"/>
            <w:tcBorders>
              <w:top w:val="single" w:sz="4" w:space="0" w:color="auto"/>
            </w:tcBorders>
          </w:tcPr>
          <w:p w14:paraId="0107297A"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5.50±1.51 </w:t>
            </w:r>
            <w:r w:rsidRPr="00954317">
              <w:rPr>
                <w:rFonts w:ascii="Arial" w:eastAsia="Times New Roman" w:hAnsi="Arial" w:cs="Arial"/>
                <w:color w:val="000000"/>
                <w:sz w:val="20"/>
                <w:szCs w:val="20"/>
                <w:vertAlign w:val="subscript"/>
              </w:rPr>
              <w:t>a</w:t>
            </w:r>
          </w:p>
        </w:tc>
      </w:tr>
      <w:tr w:rsidR="008519D0" w:rsidRPr="00954317" w14:paraId="001181DB" w14:textId="77777777" w:rsidTr="001B1C87">
        <w:tc>
          <w:tcPr>
            <w:tcW w:w="1135" w:type="dxa"/>
          </w:tcPr>
          <w:p w14:paraId="3AD84336"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B</w:t>
            </w:r>
          </w:p>
        </w:tc>
        <w:tc>
          <w:tcPr>
            <w:tcW w:w="1403" w:type="dxa"/>
          </w:tcPr>
          <w:p w14:paraId="1597311E"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7.80±1.23 </w:t>
            </w:r>
            <w:r w:rsidRPr="00954317">
              <w:rPr>
                <w:rFonts w:ascii="Arial" w:eastAsia="Times New Roman" w:hAnsi="Arial" w:cs="Arial"/>
                <w:color w:val="000000"/>
                <w:sz w:val="20"/>
                <w:szCs w:val="20"/>
                <w:vertAlign w:val="subscript"/>
              </w:rPr>
              <w:t>a</w:t>
            </w:r>
          </w:p>
          <w:p w14:paraId="64441A6C" w14:textId="77777777" w:rsidR="008519D0" w:rsidRPr="00954317" w:rsidRDefault="008519D0" w:rsidP="001B1C87">
            <w:pPr>
              <w:jc w:val="both"/>
              <w:rPr>
                <w:rFonts w:ascii="Arial" w:eastAsia="Times New Roman" w:hAnsi="Arial" w:cs="Arial"/>
                <w:color w:val="000000"/>
                <w:sz w:val="20"/>
                <w:szCs w:val="20"/>
              </w:rPr>
            </w:pPr>
          </w:p>
        </w:tc>
        <w:tc>
          <w:tcPr>
            <w:tcW w:w="1399" w:type="dxa"/>
          </w:tcPr>
          <w:p w14:paraId="23B688DD"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6.50±1.71 </w:t>
            </w:r>
            <w:r w:rsidRPr="00954317">
              <w:rPr>
                <w:rFonts w:ascii="Arial" w:eastAsia="Times New Roman" w:hAnsi="Arial" w:cs="Arial"/>
                <w:color w:val="000000"/>
                <w:sz w:val="20"/>
                <w:szCs w:val="20"/>
                <w:vertAlign w:val="subscript"/>
              </w:rPr>
              <w:t>a</w:t>
            </w:r>
          </w:p>
          <w:p w14:paraId="2CAD41C8" w14:textId="77777777" w:rsidR="008519D0" w:rsidRPr="00954317" w:rsidRDefault="008519D0" w:rsidP="001B1C87">
            <w:pPr>
              <w:jc w:val="both"/>
              <w:rPr>
                <w:rFonts w:ascii="Arial" w:eastAsia="Times New Roman" w:hAnsi="Arial" w:cs="Arial"/>
                <w:color w:val="000000"/>
                <w:sz w:val="20"/>
                <w:szCs w:val="20"/>
              </w:rPr>
            </w:pPr>
          </w:p>
        </w:tc>
        <w:tc>
          <w:tcPr>
            <w:tcW w:w="1451" w:type="dxa"/>
          </w:tcPr>
          <w:p w14:paraId="0DC151AD"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6.70±2.26 </w:t>
            </w:r>
            <w:r w:rsidRPr="00954317">
              <w:rPr>
                <w:rFonts w:ascii="Arial" w:eastAsia="Times New Roman" w:hAnsi="Arial" w:cs="Arial"/>
                <w:color w:val="000000"/>
                <w:sz w:val="20"/>
                <w:szCs w:val="20"/>
                <w:vertAlign w:val="subscript"/>
              </w:rPr>
              <w:t>a</w:t>
            </w:r>
          </w:p>
          <w:p w14:paraId="4C672048" w14:textId="77777777" w:rsidR="008519D0" w:rsidRPr="00954317" w:rsidRDefault="008519D0" w:rsidP="001B1C87">
            <w:pPr>
              <w:jc w:val="both"/>
              <w:rPr>
                <w:rFonts w:ascii="Arial" w:eastAsia="Times New Roman" w:hAnsi="Arial" w:cs="Arial"/>
                <w:color w:val="000000"/>
                <w:sz w:val="20"/>
                <w:szCs w:val="20"/>
              </w:rPr>
            </w:pPr>
          </w:p>
        </w:tc>
        <w:tc>
          <w:tcPr>
            <w:tcW w:w="1597" w:type="dxa"/>
          </w:tcPr>
          <w:p w14:paraId="2B4E3A1B"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6.50±1.84</w:t>
            </w:r>
            <w:r w:rsidRPr="00954317">
              <w:rPr>
                <w:rFonts w:ascii="Arial" w:eastAsia="Times New Roman" w:hAnsi="Arial" w:cs="Arial"/>
                <w:color w:val="000000"/>
                <w:sz w:val="20"/>
                <w:szCs w:val="20"/>
                <w:vertAlign w:val="subscript"/>
              </w:rPr>
              <w:t xml:space="preserve"> a</w:t>
            </w:r>
          </w:p>
          <w:p w14:paraId="7317F060" w14:textId="77777777" w:rsidR="008519D0" w:rsidRPr="00954317" w:rsidRDefault="008519D0" w:rsidP="001B1C87">
            <w:pPr>
              <w:jc w:val="both"/>
              <w:rPr>
                <w:rFonts w:ascii="Arial" w:eastAsia="Times New Roman" w:hAnsi="Arial" w:cs="Arial"/>
                <w:color w:val="000000"/>
                <w:sz w:val="20"/>
                <w:szCs w:val="20"/>
              </w:rPr>
            </w:pPr>
          </w:p>
        </w:tc>
        <w:tc>
          <w:tcPr>
            <w:tcW w:w="1522" w:type="dxa"/>
          </w:tcPr>
          <w:p w14:paraId="786D9985"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6.50±1.58 </w:t>
            </w:r>
            <w:r w:rsidRPr="00954317">
              <w:rPr>
                <w:rFonts w:ascii="Arial" w:eastAsia="Times New Roman" w:hAnsi="Arial" w:cs="Arial"/>
                <w:color w:val="000000"/>
                <w:sz w:val="20"/>
                <w:szCs w:val="20"/>
                <w:vertAlign w:val="subscript"/>
              </w:rPr>
              <w:t xml:space="preserve">ab </w:t>
            </w:r>
          </w:p>
          <w:p w14:paraId="1FA76CE5" w14:textId="77777777" w:rsidR="008519D0" w:rsidRPr="00954317" w:rsidRDefault="008519D0" w:rsidP="001B1C87">
            <w:pPr>
              <w:jc w:val="both"/>
              <w:rPr>
                <w:rFonts w:ascii="Arial" w:eastAsia="Times New Roman" w:hAnsi="Arial" w:cs="Arial"/>
                <w:color w:val="000000"/>
                <w:sz w:val="20"/>
                <w:szCs w:val="20"/>
              </w:rPr>
            </w:pPr>
          </w:p>
        </w:tc>
        <w:tc>
          <w:tcPr>
            <w:tcW w:w="1984" w:type="dxa"/>
          </w:tcPr>
          <w:p w14:paraId="75093E1E"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6.40±1.58</w:t>
            </w:r>
            <w:r w:rsidRPr="00954317">
              <w:rPr>
                <w:rFonts w:ascii="Arial" w:eastAsia="Times New Roman" w:hAnsi="Arial" w:cs="Arial"/>
                <w:color w:val="000000"/>
                <w:sz w:val="20"/>
                <w:szCs w:val="20"/>
                <w:vertAlign w:val="subscript"/>
              </w:rPr>
              <w:t xml:space="preserve"> a</w:t>
            </w:r>
            <w:r w:rsidRPr="00954317">
              <w:rPr>
                <w:rFonts w:ascii="Arial" w:eastAsia="Times New Roman" w:hAnsi="Arial" w:cs="Arial"/>
                <w:color w:val="000000"/>
                <w:sz w:val="20"/>
                <w:szCs w:val="20"/>
              </w:rPr>
              <w:t xml:space="preserve"> </w:t>
            </w:r>
          </w:p>
          <w:p w14:paraId="7EA0F630" w14:textId="77777777" w:rsidR="008519D0" w:rsidRPr="00954317" w:rsidRDefault="008519D0" w:rsidP="001B1C87">
            <w:pPr>
              <w:jc w:val="both"/>
              <w:rPr>
                <w:rFonts w:ascii="Arial" w:eastAsia="Times New Roman" w:hAnsi="Arial" w:cs="Arial"/>
                <w:color w:val="000000"/>
                <w:sz w:val="20"/>
                <w:szCs w:val="20"/>
              </w:rPr>
            </w:pPr>
          </w:p>
        </w:tc>
      </w:tr>
      <w:tr w:rsidR="008519D0" w:rsidRPr="00954317" w14:paraId="5AF95887" w14:textId="77777777" w:rsidTr="001B1C87">
        <w:tc>
          <w:tcPr>
            <w:tcW w:w="1135" w:type="dxa"/>
          </w:tcPr>
          <w:p w14:paraId="3AAF701F"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C</w:t>
            </w:r>
          </w:p>
        </w:tc>
        <w:tc>
          <w:tcPr>
            <w:tcW w:w="1403" w:type="dxa"/>
          </w:tcPr>
          <w:p w14:paraId="776D2CA0"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7.60±1.17 </w:t>
            </w:r>
            <w:r w:rsidRPr="00954317">
              <w:rPr>
                <w:rFonts w:ascii="Arial" w:eastAsia="Times New Roman" w:hAnsi="Arial" w:cs="Arial"/>
                <w:color w:val="000000"/>
                <w:sz w:val="20"/>
                <w:szCs w:val="20"/>
                <w:vertAlign w:val="subscript"/>
              </w:rPr>
              <w:t>a</w:t>
            </w:r>
          </w:p>
        </w:tc>
        <w:tc>
          <w:tcPr>
            <w:tcW w:w="1399" w:type="dxa"/>
          </w:tcPr>
          <w:p w14:paraId="3255FC06"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7.80±1.14 </w:t>
            </w:r>
            <w:r w:rsidRPr="00954317">
              <w:rPr>
                <w:rFonts w:ascii="Arial" w:eastAsia="Times New Roman" w:hAnsi="Arial" w:cs="Arial"/>
                <w:color w:val="000000"/>
                <w:sz w:val="20"/>
                <w:szCs w:val="20"/>
                <w:vertAlign w:val="subscript"/>
              </w:rPr>
              <w:t>b</w:t>
            </w:r>
          </w:p>
        </w:tc>
        <w:tc>
          <w:tcPr>
            <w:tcW w:w="1451" w:type="dxa"/>
          </w:tcPr>
          <w:p w14:paraId="27B23C6F"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7.60±1.35 </w:t>
            </w:r>
            <w:r w:rsidRPr="00954317">
              <w:rPr>
                <w:rFonts w:ascii="Arial" w:eastAsia="Times New Roman" w:hAnsi="Arial" w:cs="Arial"/>
                <w:color w:val="000000"/>
                <w:sz w:val="20"/>
                <w:szCs w:val="20"/>
                <w:vertAlign w:val="subscript"/>
              </w:rPr>
              <w:t>a</w:t>
            </w:r>
          </w:p>
          <w:p w14:paraId="7BC54862" w14:textId="77777777" w:rsidR="008519D0" w:rsidRPr="00954317" w:rsidRDefault="008519D0" w:rsidP="001B1C87">
            <w:pPr>
              <w:jc w:val="both"/>
              <w:rPr>
                <w:rFonts w:ascii="Arial" w:eastAsia="Times New Roman" w:hAnsi="Arial" w:cs="Arial"/>
                <w:color w:val="000000"/>
                <w:sz w:val="20"/>
                <w:szCs w:val="20"/>
              </w:rPr>
            </w:pPr>
          </w:p>
        </w:tc>
        <w:tc>
          <w:tcPr>
            <w:tcW w:w="1597" w:type="dxa"/>
          </w:tcPr>
          <w:p w14:paraId="5A76E48A"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6.90±1.73</w:t>
            </w:r>
            <w:r w:rsidRPr="00954317">
              <w:rPr>
                <w:rFonts w:ascii="Arial" w:eastAsia="Times New Roman" w:hAnsi="Arial" w:cs="Arial"/>
                <w:color w:val="000000"/>
                <w:sz w:val="20"/>
                <w:szCs w:val="20"/>
                <w:vertAlign w:val="subscript"/>
              </w:rPr>
              <w:t xml:space="preserve"> a</w:t>
            </w:r>
          </w:p>
          <w:p w14:paraId="1E2A759A" w14:textId="77777777" w:rsidR="008519D0" w:rsidRPr="00954317" w:rsidRDefault="008519D0" w:rsidP="001B1C87">
            <w:pPr>
              <w:jc w:val="both"/>
              <w:rPr>
                <w:rFonts w:ascii="Arial" w:eastAsia="Times New Roman" w:hAnsi="Arial" w:cs="Arial"/>
                <w:color w:val="000000"/>
                <w:sz w:val="20"/>
                <w:szCs w:val="20"/>
              </w:rPr>
            </w:pPr>
          </w:p>
        </w:tc>
        <w:tc>
          <w:tcPr>
            <w:tcW w:w="1522" w:type="dxa"/>
          </w:tcPr>
          <w:p w14:paraId="5DEE44E6"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7.70±0.68 </w:t>
            </w:r>
            <w:r w:rsidRPr="00954317">
              <w:rPr>
                <w:rFonts w:ascii="Arial" w:eastAsia="Times New Roman" w:hAnsi="Arial" w:cs="Arial"/>
                <w:color w:val="000000"/>
                <w:sz w:val="20"/>
                <w:szCs w:val="20"/>
                <w:vertAlign w:val="subscript"/>
              </w:rPr>
              <w:t xml:space="preserve">b </w:t>
            </w:r>
          </w:p>
          <w:p w14:paraId="18D60EFD" w14:textId="77777777" w:rsidR="008519D0" w:rsidRPr="00954317" w:rsidRDefault="008519D0" w:rsidP="001B1C87">
            <w:pPr>
              <w:jc w:val="both"/>
              <w:rPr>
                <w:rFonts w:ascii="Arial" w:eastAsia="Times New Roman" w:hAnsi="Arial" w:cs="Arial"/>
                <w:color w:val="000000"/>
                <w:sz w:val="20"/>
                <w:szCs w:val="20"/>
              </w:rPr>
            </w:pPr>
          </w:p>
        </w:tc>
        <w:tc>
          <w:tcPr>
            <w:tcW w:w="1984" w:type="dxa"/>
          </w:tcPr>
          <w:p w14:paraId="6709B4CF"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6.30±2.16</w:t>
            </w:r>
            <w:r w:rsidRPr="00954317">
              <w:rPr>
                <w:rFonts w:ascii="Arial" w:eastAsia="Times New Roman" w:hAnsi="Arial" w:cs="Arial"/>
                <w:color w:val="000000"/>
                <w:sz w:val="20"/>
                <w:szCs w:val="20"/>
                <w:vertAlign w:val="subscript"/>
              </w:rPr>
              <w:t xml:space="preserve"> a</w:t>
            </w:r>
          </w:p>
          <w:p w14:paraId="7A6A4C2D" w14:textId="77777777" w:rsidR="008519D0" w:rsidRPr="00954317" w:rsidRDefault="008519D0" w:rsidP="001B1C87">
            <w:pPr>
              <w:jc w:val="both"/>
              <w:rPr>
                <w:rFonts w:ascii="Arial" w:eastAsia="Times New Roman" w:hAnsi="Arial" w:cs="Arial"/>
                <w:color w:val="000000"/>
                <w:sz w:val="20"/>
                <w:szCs w:val="20"/>
              </w:rPr>
            </w:pPr>
          </w:p>
        </w:tc>
      </w:tr>
      <w:tr w:rsidR="008519D0" w:rsidRPr="00954317" w14:paraId="23EAD30B" w14:textId="77777777" w:rsidTr="001B1C87">
        <w:tc>
          <w:tcPr>
            <w:tcW w:w="1135" w:type="dxa"/>
          </w:tcPr>
          <w:p w14:paraId="2AC60863"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D</w:t>
            </w:r>
          </w:p>
        </w:tc>
        <w:tc>
          <w:tcPr>
            <w:tcW w:w="1403" w:type="dxa"/>
          </w:tcPr>
          <w:p w14:paraId="0A3C9389"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6.50±1.51 </w:t>
            </w:r>
            <w:r w:rsidRPr="00954317">
              <w:rPr>
                <w:rFonts w:ascii="Arial" w:eastAsia="Times New Roman" w:hAnsi="Arial" w:cs="Arial"/>
                <w:color w:val="000000"/>
                <w:sz w:val="20"/>
                <w:szCs w:val="20"/>
                <w:vertAlign w:val="subscript"/>
              </w:rPr>
              <w:t>a</w:t>
            </w:r>
          </w:p>
          <w:p w14:paraId="50F4B2E1" w14:textId="77777777" w:rsidR="008519D0" w:rsidRPr="00954317" w:rsidRDefault="008519D0" w:rsidP="001B1C87">
            <w:pPr>
              <w:jc w:val="both"/>
              <w:rPr>
                <w:rFonts w:ascii="Arial" w:eastAsia="Times New Roman" w:hAnsi="Arial" w:cs="Arial"/>
                <w:color w:val="000000"/>
                <w:sz w:val="20"/>
                <w:szCs w:val="20"/>
              </w:rPr>
            </w:pPr>
          </w:p>
        </w:tc>
        <w:tc>
          <w:tcPr>
            <w:tcW w:w="1399" w:type="dxa"/>
          </w:tcPr>
          <w:p w14:paraId="567F3FD9"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7.00±1.16 </w:t>
            </w:r>
            <w:r w:rsidRPr="00954317">
              <w:rPr>
                <w:rFonts w:ascii="Arial" w:eastAsia="Times New Roman" w:hAnsi="Arial" w:cs="Arial"/>
                <w:color w:val="000000"/>
                <w:sz w:val="20"/>
                <w:szCs w:val="20"/>
                <w:vertAlign w:val="subscript"/>
              </w:rPr>
              <w:t>a</w:t>
            </w:r>
          </w:p>
          <w:p w14:paraId="6AC14710" w14:textId="77777777" w:rsidR="008519D0" w:rsidRPr="00954317" w:rsidRDefault="008519D0" w:rsidP="001B1C87">
            <w:pPr>
              <w:jc w:val="both"/>
              <w:rPr>
                <w:rFonts w:ascii="Arial" w:eastAsia="Times New Roman" w:hAnsi="Arial" w:cs="Arial"/>
                <w:color w:val="000000"/>
                <w:sz w:val="20"/>
                <w:szCs w:val="20"/>
              </w:rPr>
            </w:pPr>
          </w:p>
        </w:tc>
        <w:tc>
          <w:tcPr>
            <w:tcW w:w="1451" w:type="dxa"/>
          </w:tcPr>
          <w:p w14:paraId="13D02BD9"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6.90±1.29 </w:t>
            </w:r>
            <w:r w:rsidRPr="00954317">
              <w:rPr>
                <w:rFonts w:ascii="Arial" w:eastAsia="Times New Roman" w:hAnsi="Arial" w:cs="Arial"/>
                <w:color w:val="000000"/>
                <w:sz w:val="20"/>
                <w:szCs w:val="20"/>
                <w:vertAlign w:val="subscript"/>
              </w:rPr>
              <w:t>a</w:t>
            </w:r>
          </w:p>
          <w:p w14:paraId="342EE10D" w14:textId="77777777" w:rsidR="008519D0" w:rsidRPr="00954317" w:rsidRDefault="008519D0" w:rsidP="001B1C87">
            <w:pPr>
              <w:jc w:val="both"/>
              <w:rPr>
                <w:rFonts w:ascii="Arial" w:eastAsia="Times New Roman" w:hAnsi="Arial" w:cs="Arial"/>
                <w:color w:val="000000"/>
                <w:sz w:val="20"/>
                <w:szCs w:val="20"/>
              </w:rPr>
            </w:pPr>
          </w:p>
        </w:tc>
        <w:tc>
          <w:tcPr>
            <w:tcW w:w="1597" w:type="dxa"/>
          </w:tcPr>
          <w:p w14:paraId="057C7290"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6.80±1.23 </w:t>
            </w:r>
            <w:r w:rsidRPr="00954317">
              <w:rPr>
                <w:rFonts w:ascii="Arial" w:eastAsia="Times New Roman" w:hAnsi="Arial" w:cs="Arial"/>
                <w:color w:val="000000"/>
                <w:sz w:val="20"/>
                <w:szCs w:val="20"/>
                <w:vertAlign w:val="subscript"/>
              </w:rPr>
              <w:t>a</w:t>
            </w:r>
          </w:p>
        </w:tc>
        <w:tc>
          <w:tcPr>
            <w:tcW w:w="1522" w:type="dxa"/>
          </w:tcPr>
          <w:p w14:paraId="1243B2B1"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6.80±1.30 </w:t>
            </w:r>
            <w:r w:rsidRPr="00954317">
              <w:rPr>
                <w:rFonts w:ascii="Arial" w:eastAsia="Times New Roman" w:hAnsi="Arial" w:cs="Arial"/>
                <w:color w:val="000000"/>
                <w:sz w:val="20"/>
                <w:szCs w:val="20"/>
                <w:vertAlign w:val="subscript"/>
              </w:rPr>
              <w:t>ab</w:t>
            </w:r>
            <w:r w:rsidRPr="00954317">
              <w:rPr>
                <w:rFonts w:ascii="Arial" w:eastAsia="Times New Roman" w:hAnsi="Arial" w:cs="Arial"/>
                <w:color w:val="000000"/>
                <w:sz w:val="20"/>
                <w:szCs w:val="20"/>
              </w:rPr>
              <w:t xml:space="preserve"> </w:t>
            </w:r>
          </w:p>
          <w:p w14:paraId="4A2AE281" w14:textId="77777777" w:rsidR="008519D0" w:rsidRPr="00954317" w:rsidRDefault="008519D0" w:rsidP="001B1C87">
            <w:pPr>
              <w:jc w:val="both"/>
              <w:rPr>
                <w:rFonts w:ascii="Arial" w:eastAsia="Times New Roman" w:hAnsi="Arial" w:cs="Arial"/>
                <w:color w:val="000000"/>
                <w:sz w:val="20"/>
                <w:szCs w:val="20"/>
              </w:rPr>
            </w:pPr>
          </w:p>
        </w:tc>
        <w:tc>
          <w:tcPr>
            <w:tcW w:w="1984" w:type="dxa"/>
          </w:tcPr>
          <w:p w14:paraId="6A403D29"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5.90±1.73 </w:t>
            </w:r>
            <w:r w:rsidRPr="00954317">
              <w:rPr>
                <w:rFonts w:ascii="Arial" w:eastAsia="Times New Roman" w:hAnsi="Arial" w:cs="Arial"/>
                <w:color w:val="000000"/>
                <w:sz w:val="20"/>
                <w:szCs w:val="20"/>
                <w:vertAlign w:val="subscript"/>
              </w:rPr>
              <w:t>a</w:t>
            </w:r>
          </w:p>
          <w:p w14:paraId="3D7746FB" w14:textId="77777777" w:rsidR="008519D0" w:rsidRPr="00954317" w:rsidRDefault="008519D0" w:rsidP="001B1C87">
            <w:pPr>
              <w:jc w:val="both"/>
              <w:rPr>
                <w:rFonts w:ascii="Arial" w:eastAsia="Times New Roman" w:hAnsi="Arial" w:cs="Arial"/>
                <w:color w:val="000000"/>
                <w:sz w:val="20"/>
                <w:szCs w:val="20"/>
              </w:rPr>
            </w:pPr>
          </w:p>
        </w:tc>
      </w:tr>
      <w:tr w:rsidR="008519D0" w:rsidRPr="00954317" w14:paraId="5E3E9604" w14:textId="77777777" w:rsidTr="001B1C87">
        <w:tc>
          <w:tcPr>
            <w:tcW w:w="1135" w:type="dxa"/>
            <w:tcBorders>
              <w:bottom w:val="single" w:sz="4" w:space="0" w:color="auto"/>
            </w:tcBorders>
          </w:tcPr>
          <w:p w14:paraId="02AF07E5"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E</w:t>
            </w:r>
          </w:p>
        </w:tc>
        <w:tc>
          <w:tcPr>
            <w:tcW w:w="1403" w:type="dxa"/>
            <w:tcBorders>
              <w:bottom w:val="single" w:sz="4" w:space="0" w:color="auto"/>
            </w:tcBorders>
          </w:tcPr>
          <w:p w14:paraId="0FCE86D4" w14:textId="77777777" w:rsidR="008519D0" w:rsidRPr="00954317" w:rsidRDefault="008519D0" w:rsidP="001B1C87">
            <w:pPr>
              <w:jc w:val="both"/>
              <w:rPr>
                <w:rFonts w:ascii="Arial" w:eastAsia="Times New Roman" w:hAnsi="Arial" w:cs="Arial"/>
                <w:color w:val="000000"/>
                <w:sz w:val="20"/>
                <w:szCs w:val="20"/>
              </w:rPr>
            </w:pPr>
            <w:r w:rsidRPr="00954317">
              <w:rPr>
                <w:rFonts w:ascii="Arial" w:eastAsia="Times New Roman" w:hAnsi="Arial" w:cs="Arial"/>
                <w:color w:val="000000"/>
                <w:sz w:val="20"/>
                <w:szCs w:val="20"/>
              </w:rPr>
              <w:t xml:space="preserve">6.80±1.14 </w:t>
            </w:r>
            <w:r w:rsidRPr="00954317">
              <w:rPr>
                <w:rFonts w:ascii="Arial" w:eastAsia="Times New Roman" w:hAnsi="Arial" w:cs="Arial"/>
                <w:color w:val="000000"/>
                <w:sz w:val="20"/>
                <w:szCs w:val="20"/>
                <w:vertAlign w:val="subscript"/>
              </w:rPr>
              <w:t>a</w:t>
            </w:r>
          </w:p>
        </w:tc>
        <w:tc>
          <w:tcPr>
            <w:tcW w:w="1399" w:type="dxa"/>
            <w:tcBorders>
              <w:bottom w:val="single" w:sz="4" w:space="0" w:color="auto"/>
            </w:tcBorders>
          </w:tcPr>
          <w:p w14:paraId="0117340F"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7.40±1.17 </w:t>
            </w:r>
            <w:r w:rsidRPr="00954317">
              <w:rPr>
                <w:rFonts w:ascii="Arial" w:eastAsia="Times New Roman" w:hAnsi="Arial" w:cs="Arial"/>
                <w:color w:val="000000"/>
                <w:sz w:val="20"/>
                <w:szCs w:val="20"/>
                <w:vertAlign w:val="subscript"/>
              </w:rPr>
              <w:t xml:space="preserve">b </w:t>
            </w:r>
          </w:p>
          <w:p w14:paraId="7234E10A" w14:textId="77777777" w:rsidR="008519D0" w:rsidRPr="00954317" w:rsidRDefault="008519D0" w:rsidP="001B1C87">
            <w:pPr>
              <w:jc w:val="both"/>
              <w:rPr>
                <w:rFonts w:ascii="Arial" w:eastAsia="Times New Roman" w:hAnsi="Arial" w:cs="Arial"/>
                <w:color w:val="000000"/>
                <w:sz w:val="20"/>
                <w:szCs w:val="20"/>
              </w:rPr>
            </w:pPr>
          </w:p>
        </w:tc>
        <w:tc>
          <w:tcPr>
            <w:tcW w:w="1451" w:type="dxa"/>
            <w:tcBorders>
              <w:bottom w:val="single" w:sz="4" w:space="0" w:color="auto"/>
            </w:tcBorders>
          </w:tcPr>
          <w:p w14:paraId="71AA224F"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7.20±1.14 </w:t>
            </w:r>
            <w:r w:rsidRPr="00954317">
              <w:rPr>
                <w:rFonts w:ascii="Arial" w:eastAsia="Times New Roman" w:hAnsi="Arial" w:cs="Arial"/>
                <w:color w:val="000000"/>
                <w:sz w:val="20"/>
                <w:szCs w:val="20"/>
                <w:vertAlign w:val="subscript"/>
              </w:rPr>
              <w:t>a</w:t>
            </w:r>
          </w:p>
          <w:p w14:paraId="26F328D0" w14:textId="77777777" w:rsidR="008519D0" w:rsidRPr="00954317" w:rsidRDefault="008519D0" w:rsidP="001B1C87">
            <w:pPr>
              <w:jc w:val="both"/>
              <w:rPr>
                <w:rFonts w:ascii="Arial" w:eastAsia="Times New Roman" w:hAnsi="Arial" w:cs="Arial"/>
                <w:color w:val="000000"/>
                <w:sz w:val="20"/>
                <w:szCs w:val="20"/>
              </w:rPr>
            </w:pPr>
          </w:p>
        </w:tc>
        <w:tc>
          <w:tcPr>
            <w:tcW w:w="1597" w:type="dxa"/>
            <w:tcBorders>
              <w:bottom w:val="single" w:sz="4" w:space="0" w:color="auto"/>
            </w:tcBorders>
          </w:tcPr>
          <w:p w14:paraId="59716DA1"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6.80±1.93</w:t>
            </w:r>
            <w:r w:rsidRPr="00954317">
              <w:rPr>
                <w:rFonts w:ascii="Arial" w:eastAsia="Times New Roman" w:hAnsi="Arial" w:cs="Arial"/>
                <w:color w:val="000000"/>
                <w:sz w:val="20"/>
                <w:szCs w:val="20"/>
                <w:vertAlign w:val="subscript"/>
              </w:rPr>
              <w:t xml:space="preserve"> a</w:t>
            </w:r>
          </w:p>
          <w:p w14:paraId="6F87B0EC" w14:textId="77777777" w:rsidR="008519D0" w:rsidRPr="00954317" w:rsidRDefault="008519D0" w:rsidP="001B1C87">
            <w:pPr>
              <w:jc w:val="both"/>
              <w:rPr>
                <w:rFonts w:ascii="Arial" w:eastAsia="Times New Roman" w:hAnsi="Arial" w:cs="Arial"/>
                <w:color w:val="000000"/>
                <w:sz w:val="20"/>
                <w:szCs w:val="20"/>
              </w:rPr>
            </w:pPr>
          </w:p>
        </w:tc>
        <w:tc>
          <w:tcPr>
            <w:tcW w:w="1522" w:type="dxa"/>
            <w:tcBorders>
              <w:bottom w:val="single" w:sz="4" w:space="0" w:color="auto"/>
            </w:tcBorders>
          </w:tcPr>
          <w:p w14:paraId="439B3C1B"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6.80±1.14 </w:t>
            </w:r>
            <w:r w:rsidRPr="00954317">
              <w:rPr>
                <w:rFonts w:ascii="Arial" w:eastAsia="Times New Roman" w:hAnsi="Arial" w:cs="Arial"/>
                <w:color w:val="000000"/>
                <w:sz w:val="20"/>
                <w:szCs w:val="20"/>
                <w:vertAlign w:val="subscript"/>
              </w:rPr>
              <w:t xml:space="preserve">ab </w:t>
            </w:r>
          </w:p>
          <w:p w14:paraId="355DA0B7" w14:textId="77777777" w:rsidR="008519D0" w:rsidRPr="00954317" w:rsidRDefault="008519D0" w:rsidP="001B1C87">
            <w:pPr>
              <w:jc w:val="both"/>
              <w:rPr>
                <w:rFonts w:ascii="Arial" w:eastAsia="Times New Roman" w:hAnsi="Arial" w:cs="Arial"/>
                <w:color w:val="000000"/>
                <w:sz w:val="20"/>
                <w:szCs w:val="20"/>
              </w:rPr>
            </w:pPr>
          </w:p>
        </w:tc>
        <w:tc>
          <w:tcPr>
            <w:tcW w:w="1984" w:type="dxa"/>
            <w:tcBorders>
              <w:bottom w:val="single" w:sz="4" w:space="0" w:color="auto"/>
            </w:tcBorders>
          </w:tcPr>
          <w:p w14:paraId="63EB5C34" w14:textId="77777777" w:rsidR="008519D0" w:rsidRPr="00954317" w:rsidRDefault="008519D0" w:rsidP="001B1C87">
            <w:pPr>
              <w:jc w:val="both"/>
              <w:rPr>
                <w:rFonts w:ascii="Arial" w:eastAsia="Times New Roman" w:hAnsi="Arial" w:cs="Arial"/>
                <w:sz w:val="20"/>
                <w:szCs w:val="20"/>
              </w:rPr>
            </w:pPr>
            <w:r w:rsidRPr="00954317">
              <w:rPr>
                <w:rFonts w:ascii="Arial" w:eastAsia="Times New Roman" w:hAnsi="Arial" w:cs="Arial"/>
                <w:color w:val="000000"/>
                <w:sz w:val="20"/>
                <w:szCs w:val="20"/>
              </w:rPr>
              <w:t xml:space="preserve">5.90±2.03 </w:t>
            </w:r>
            <w:r w:rsidRPr="00954317">
              <w:rPr>
                <w:rFonts w:ascii="Arial" w:eastAsia="Times New Roman" w:hAnsi="Arial" w:cs="Arial"/>
                <w:color w:val="000000"/>
                <w:sz w:val="20"/>
                <w:szCs w:val="20"/>
                <w:vertAlign w:val="subscript"/>
              </w:rPr>
              <w:t>a</w:t>
            </w:r>
          </w:p>
          <w:p w14:paraId="573D1AEB" w14:textId="77777777" w:rsidR="008519D0" w:rsidRPr="00954317" w:rsidRDefault="008519D0" w:rsidP="001B1C87">
            <w:pPr>
              <w:jc w:val="both"/>
              <w:rPr>
                <w:rFonts w:ascii="Arial" w:eastAsia="Times New Roman" w:hAnsi="Arial" w:cs="Arial"/>
                <w:color w:val="000000"/>
                <w:sz w:val="20"/>
                <w:szCs w:val="20"/>
              </w:rPr>
            </w:pPr>
          </w:p>
        </w:tc>
      </w:tr>
    </w:tbl>
    <w:p w14:paraId="220DFFD5" w14:textId="77777777" w:rsidR="008519D0" w:rsidRPr="00954317" w:rsidRDefault="008519D0" w:rsidP="008519D0">
      <w:pPr>
        <w:jc w:val="both"/>
        <w:rPr>
          <w:rFonts w:ascii="Arial" w:hAnsi="Arial" w:cs="Arial"/>
        </w:rPr>
      </w:pPr>
    </w:p>
    <w:p w14:paraId="0E1C42D5" w14:textId="77777777" w:rsidR="008519D0" w:rsidRPr="00954317" w:rsidRDefault="008519D0" w:rsidP="008519D0">
      <w:pPr>
        <w:jc w:val="both"/>
        <w:rPr>
          <w:rFonts w:ascii="Arial" w:hAnsi="Arial" w:cs="Arial"/>
        </w:rPr>
      </w:pPr>
      <w:r w:rsidRPr="00954317">
        <w:rPr>
          <w:rFonts w:ascii="Arial" w:hAnsi="Arial" w:cs="Arial"/>
        </w:rPr>
        <w:t>Mean values are of duplicates ± standard deviation. The value within the rows with different superscripts is significantly (P&lt;0.05) different.</w:t>
      </w:r>
    </w:p>
    <w:p w14:paraId="6D3C9E8C" w14:textId="77777777" w:rsidR="008519D0" w:rsidRPr="00954317" w:rsidRDefault="008519D0" w:rsidP="008519D0">
      <w:pPr>
        <w:jc w:val="both"/>
        <w:rPr>
          <w:rFonts w:ascii="Arial" w:hAnsi="Arial" w:cs="Arial"/>
        </w:rPr>
      </w:pPr>
    </w:p>
    <w:p w14:paraId="499B5167" w14:textId="77777777" w:rsidR="008519D0" w:rsidRPr="00954317" w:rsidRDefault="008519D0" w:rsidP="008519D0">
      <w:pPr>
        <w:jc w:val="both"/>
        <w:rPr>
          <w:rFonts w:ascii="Arial" w:hAnsi="Arial" w:cs="Arial"/>
        </w:rPr>
      </w:pPr>
      <w:r w:rsidRPr="00954317">
        <w:rPr>
          <w:rFonts w:ascii="Arial" w:hAnsi="Arial" w:cs="Arial"/>
        </w:rPr>
        <w:t>Key:</w:t>
      </w:r>
    </w:p>
    <w:p w14:paraId="668EAFA9" w14:textId="77777777" w:rsidR="008519D0" w:rsidRPr="00954317" w:rsidRDefault="008519D0" w:rsidP="008519D0">
      <w:pPr>
        <w:jc w:val="both"/>
        <w:rPr>
          <w:rFonts w:ascii="Arial" w:hAnsi="Arial" w:cs="Arial"/>
        </w:rPr>
      </w:pPr>
      <w:r w:rsidRPr="00954317">
        <w:rPr>
          <w:rFonts w:ascii="Arial" w:hAnsi="Arial" w:cs="Arial"/>
        </w:rPr>
        <w:t>Sample A = 85% Wheat flour, 10% Soybean flour, and 5% Carrot flour</w:t>
      </w:r>
    </w:p>
    <w:p w14:paraId="0AF5DF08" w14:textId="77777777" w:rsidR="008519D0" w:rsidRPr="00954317" w:rsidRDefault="008519D0" w:rsidP="008519D0">
      <w:pPr>
        <w:jc w:val="both"/>
        <w:rPr>
          <w:rFonts w:ascii="Arial" w:hAnsi="Arial" w:cs="Arial"/>
        </w:rPr>
      </w:pPr>
      <w:r w:rsidRPr="00954317">
        <w:rPr>
          <w:rFonts w:ascii="Arial" w:hAnsi="Arial" w:cs="Arial"/>
        </w:rPr>
        <w:t>Sample B = 70% Wheat flour, 20% Soybean flour, and 10% Carrot flour</w:t>
      </w:r>
    </w:p>
    <w:p w14:paraId="1579FA52" w14:textId="77777777" w:rsidR="008519D0" w:rsidRPr="00954317" w:rsidRDefault="008519D0" w:rsidP="008519D0">
      <w:pPr>
        <w:jc w:val="both"/>
        <w:rPr>
          <w:rFonts w:ascii="Arial" w:hAnsi="Arial" w:cs="Arial"/>
        </w:rPr>
      </w:pPr>
      <w:r w:rsidRPr="00954317">
        <w:rPr>
          <w:rFonts w:ascii="Arial" w:hAnsi="Arial" w:cs="Arial"/>
        </w:rPr>
        <w:t>Sample C = 60% Wheat flour, 25% Soybean flour, and 15% Carrot flour</w:t>
      </w:r>
    </w:p>
    <w:p w14:paraId="0384C90D" w14:textId="77777777" w:rsidR="008519D0" w:rsidRPr="00954317" w:rsidRDefault="008519D0" w:rsidP="008519D0">
      <w:pPr>
        <w:jc w:val="both"/>
        <w:rPr>
          <w:rFonts w:ascii="Arial" w:hAnsi="Arial" w:cs="Arial"/>
        </w:rPr>
      </w:pPr>
      <w:r w:rsidRPr="00954317">
        <w:rPr>
          <w:rFonts w:ascii="Arial" w:hAnsi="Arial" w:cs="Arial"/>
        </w:rPr>
        <w:t>Sample D = 50% Wheat flour, 30% Soybean flour, and 20% Carrot flour</w:t>
      </w:r>
    </w:p>
    <w:p w14:paraId="1821A01D" w14:textId="77777777" w:rsidR="00927834" w:rsidRPr="00DD33CE" w:rsidRDefault="008519D0" w:rsidP="00DD33CE">
      <w:pPr>
        <w:jc w:val="both"/>
        <w:rPr>
          <w:rFonts w:ascii="Arial" w:hAnsi="Arial" w:cs="Arial"/>
        </w:rPr>
      </w:pPr>
      <w:r w:rsidRPr="00954317">
        <w:rPr>
          <w:rFonts w:ascii="Arial" w:hAnsi="Arial" w:cs="Arial"/>
        </w:rPr>
        <w:t>Sample E = 100% Wheat flour (Control)</w:t>
      </w:r>
    </w:p>
    <w:p w14:paraId="5D082857" w14:textId="77777777" w:rsidR="00790ADA" w:rsidRPr="00FB3A86" w:rsidRDefault="00790ADA" w:rsidP="00441B6F">
      <w:pPr>
        <w:pStyle w:val="Body"/>
        <w:spacing w:after="0"/>
        <w:rPr>
          <w:rFonts w:ascii="Arial" w:hAnsi="Arial" w:cs="Arial"/>
        </w:rPr>
      </w:pPr>
    </w:p>
    <w:p w14:paraId="1D00671A" w14:textId="77777777" w:rsidR="00B01FCD" w:rsidRDefault="00000F8F" w:rsidP="00441B6F">
      <w:pPr>
        <w:pStyle w:val="ConcHead"/>
        <w:spacing w:after="0"/>
        <w:jc w:val="both"/>
        <w:rPr>
          <w:rFonts w:ascii="Arial" w:hAnsi="Arial" w:cs="Arial"/>
        </w:rPr>
      </w:pPr>
      <w:r>
        <w:rPr>
          <w:rFonts w:ascii="Arial" w:hAnsi="Arial" w:cs="Arial"/>
        </w:rPr>
        <w:t xml:space="preserve">4. </w:t>
      </w:r>
      <w:commentRangeStart w:id="44"/>
      <w:r w:rsidR="00B01FCD" w:rsidRPr="00FB3A86">
        <w:rPr>
          <w:rFonts w:ascii="Arial" w:hAnsi="Arial" w:cs="Arial"/>
        </w:rPr>
        <w:t>Conclusion</w:t>
      </w:r>
      <w:commentRangeEnd w:id="44"/>
      <w:r w:rsidR="00731B3D">
        <w:rPr>
          <w:rStyle w:val="CommentReference"/>
          <w:rFonts w:ascii="Times New Roman" w:hAnsi="Times New Roman"/>
          <w:b w:val="0"/>
          <w:caps w:val="0"/>
          <w:lang w:val="nb-NO" w:eastAsia="nb-NO"/>
        </w:rPr>
        <w:commentReference w:id="44"/>
      </w:r>
    </w:p>
    <w:p w14:paraId="33800D96" w14:textId="77777777" w:rsidR="00790ADA" w:rsidRPr="00FB3A86" w:rsidRDefault="00790ADA" w:rsidP="00441B6F">
      <w:pPr>
        <w:pStyle w:val="ConcHead"/>
        <w:spacing w:after="0"/>
        <w:jc w:val="both"/>
        <w:rPr>
          <w:rFonts w:ascii="Arial" w:hAnsi="Arial" w:cs="Arial"/>
        </w:rPr>
      </w:pPr>
    </w:p>
    <w:p w14:paraId="529615B9" w14:textId="77777777" w:rsidR="00CC52BE" w:rsidRPr="00954317" w:rsidRDefault="00CC52BE" w:rsidP="00CC52BE">
      <w:pPr>
        <w:jc w:val="both"/>
        <w:rPr>
          <w:rFonts w:ascii="Arial" w:hAnsi="Arial" w:cs="Arial"/>
        </w:rPr>
      </w:pPr>
      <w:r w:rsidRPr="00954317">
        <w:rPr>
          <w:rFonts w:ascii="Arial" w:hAnsi="Arial" w:cs="Arial"/>
        </w:rPr>
        <w:t xml:space="preserve">This study </w:t>
      </w:r>
      <w:proofErr w:type="spellStart"/>
      <w:r w:rsidRPr="00954317">
        <w:rPr>
          <w:rFonts w:ascii="Arial" w:hAnsi="Arial" w:cs="Arial"/>
        </w:rPr>
        <w:t>emphasises</w:t>
      </w:r>
      <w:proofErr w:type="spellEnd"/>
      <w:r w:rsidRPr="00954317">
        <w:rPr>
          <w:rFonts w:ascii="Arial" w:hAnsi="Arial" w:cs="Arial"/>
        </w:rPr>
        <w:t xml:space="preserve"> the significant potential of enriching wheat-based bread by adding soybean and carrot flours to enhance its nutritional, functional, microbial, and sensory properties. Different combinations of these composite flours notably influenced various aspects of the bread, including nutrient content, vitamin and mineral levels, antinutrients, functional characteristics, safety, and consumer acceptance. For example, Sample D, which contains 50% wheat, 30% soybean, and 20% carrot, emerged as the most nutrient-dense option. It exhibited higher levels of protein, calcium, potassium, and iron, along with excellent functional traits such as water absorption, swelling capacity, and solubility. Its lower microbial count also indicated it could remain fresh longer. Conversely, Sample B, composed of 70% wheat, 20% soybean, and 10% carrot, was the most preferred in taste tests and overall acceptability, demonstrating a good balance between health benefits and flavor.</w:t>
      </w:r>
    </w:p>
    <w:p w14:paraId="62CC3910" w14:textId="77777777" w:rsidR="00CC52BE" w:rsidRPr="00954317" w:rsidRDefault="00CC52BE" w:rsidP="00CC52BE">
      <w:pPr>
        <w:jc w:val="both"/>
        <w:rPr>
          <w:rFonts w:ascii="Arial" w:hAnsi="Arial" w:cs="Arial"/>
        </w:rPr>
      </w:pPr>
    </w:p>
    <w:p w14:paraId="4FB6195E" w14:textId="77777777" w:rsidR="00B01FCD" w:rsidRDefault="00CC52BE" w:rsidP="00CC52BE">
      <w:pPr>
        <w:jc w:val="both"/>
        <w:rPr>
          <w:rFonts w:ascii="Arial" w:hAnsi="Arial" w:cs="Arial"/>
        </w:rPr>
      </w:pPr>
      <w:r w:rsidRPr="00954317">
        <w:rPr>
          <w:rFonts w:ascii="Arial" w:hAnsi="Arial" w:cs="Arial"/>
        </w:rPr>
        <w:t xml:space="preserve">Overall, these findings suggest that blending wheat with soybean and carrot flours can produce affordable, nutritious bread options that are especially beneficial for resource-limited communities. This approach promotes the use of local crops, encourages dietary diversity, and offers a practical solution to address nutritional deficiencies in low- and middle-income populations. Future research could focus on </w:t>
      </w:r>
      <w:proofErr w:type="spellStart"/>
      <w:r w:rsidRPr="00954317">
        <w:rPr>
          <w:rFonts w:ascii="Arial" w:hAnsi="Arial" w:cs="Arial"/>
        </w:rPr>
        <w:t>optimising</w:t>
      </w:r>
      <w:proofErr w:type="spellEnd"/>
      <w:r w:rsidRPr="00954317">
        <w:rPr>
          <w:rFonts w:ascii="Arial" w:hAnsi="Arial" w:cs="Arial"/>
        </w:rPr>
        <w:t xml:space="preserve"> the blend ratios and examining storage stability over time to ensure these breads are both functional and appealing in the marketplace.</w:t>
      </w:r>
    </w:p>
    <w:p w14:paraId="17F7FCF9" w14:textId="77777777" w:rsidR="00790ADA" w:rsidRPr="00FB3A86" w:rsidRDefault="00790ADA" w:rsidP="00441B6F">
      <w:pPr>
        <w:pStyle w:val="Body"/>
        <w:spacing w:after="0"/>
        <w:rPr>
          <w:rFonts w:ascii="Arial" w:hAnsi="Arial" w:cs="Arial"/>
        </w:rPr>
      </w:pPr>
    </w:p>
    <w:p w14:paraId="4FF756F8" w14:textId="77777777" w:rsidR="002B685A" w:rsidRDefault="002B685A" w:rsidP="00441B6F">
      <w:pPr>
        <w:pStyle w:val="ReferHead"/>
        <w:spacing w:after="0"/>
        <w:jc w:val="both"/>
        <w:rPr>
          <w:rFonts w:ascii="Arial" w:hAnsi="Arial" w:cs="Arial"/>
          <w:b w:val="0"/>
          <w:caps w:val="0"/>
          <w:sz w:val="20"/>
        </w:rPr>
      </w:pPr>
    </w:p>
    <w:p w14:paraId="5ED036C4"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r w:rsidR="00B56182">
        <w:rPr>
          <w:rFonts w:ascii="Arial" w:hAnsi="Arial" w:cs="Arial"/>
          <w:bCs/>
        </w:rPr>
        <w:t>NOT</w:t>
      </w:r>
      <w:r>
        <w:rPr>
          <w:rFonts w:ascii="Arial" w:hAnsi="Arial" w:cs="Arial"/>
          <w:bCs/>
        </w:rPr>
        <w:t xml:space="preserve"> applicable)</w:t>
      </w:r>
    </w:p>
    <w:p w14:paraId="74D1F2C3" w14:textId="77777777" w:rsidR="005C784C" w:rsidRDefault="005C784C" w:rsidP="00441B6F">
      <w:pPr>
        <w:pStyle w:val="ReferHead"/>
        <w:spacing w:after="0"/>
        <w:jc w:val="both"/>
        <w:rPr>
          <w:rFonts w:ascii="Arial" w:hAnsi="Arial" w:cs="Arial"/>
          <w:b w:val="0"/>
          <w:caps w:val="0"/>
          <w:sz w:val="20"/>
        </w:rPr>
      </w:pPr>
    </w:p>
    <w:p w14:paraId="355B22D1" w14:textId="77777777" w:rsidR="005C784C" w:rsidRDefault="005C784C" w:rsidP="00441B6F">
      <w:pPr>
        <w:pStyle w:val="ReferHead"/>
        <w:spacing w:after="0"/>
        <w:jc w:val="both"/>
        <w:rPr>
          <w:rFonts w:ascii="Arial" w:hAnsi="Arial" w:cs="Arial"/>
          <w:bCs/>
        </w:rPr>
      </w:pPr>
      <w:r>
        <w:rPr>
          <w:rFonts w:ascii="Arial" w:hAnsi="Arial" w:cs="Arial"/>
          <w:bCs/>
        </w:rPr>
        <w:t>Ethical approval (</w:t>
      </w:r>
      <w:r w:rsidR="00B56182">
        <w:rPr>
          <w:rFonts w:ascii="Arial" w:hAnsi="Arial" w:cs="Arial"/>
          <w:bCs/>
        </w:rPr>
        <w:t xml:space="preserve">NOT </w:t>
      </w:r>
      <w:r>
        <w:rPr>
          <w:rFonts w:ascii="Arial" w:hAnsi="Arial" w:cs="Arial"/>
          <w:bCs/>
        </w:rPr>
        <w:t>applicable)</w:t>
      </w:r>
    </w:p>
    <w:p w14:paraId="04538F0F" w14:textId="77777777" w:rsidR="00860000" w:rsidRDefault="00860000" w:rsidP="00441B6F">
      <w:pPr>
        <w:pStyle w:val="ReferHead"/>
        <w:spacing w:after="0"/>
        <w:jc w:val="both"/>
        <w:rPr>
          <w:rFonts w:ascii="Arial" w:hAnsi="Arial" w:cs="Arial"/>
        </w:rPr>
      </w:pPr>
    </w:p>
    <w:p w14:paraId="14A3F1D7" w14:textId="77777777" w:rsidR="008B459E" w:rsidRPr="002C57D2" w:rsidRDefault="00B01FCD" w:rsidP="0018777B">
      <w:pPr>
        <w:pStyle w:val="ReferHead"/>
        <w:spacing w:after="0"/>
        <w:jc w:val="both"/>
        <w:rPr>
          <w:rFonts w:ascii="Arial" w:hAnsi="Arial" w:cs="Arial"/>
        </w:rPr>
      </w:pPr>
      <w:r w:rsidRPr="00FB3A86">
        <w:rPr>
          <w:rFonts w:ascii="Arial" w:hAnsi="Arial" w:cs="Arial"/>
        </w:rPr>
        <w:t>References</w:t>
      </w:r>
    </w:p>
    <w:p w14:paraId="70819234" w14:textId="77777777" w:rsidR="00441B6F" w:rsidRDefault="00287E68" w:rsidP="00441B6F">
      <w:pPr>
        <w:pStyle w:val="Body"/>
        <w:spacing w:after="0"/>
      </w:pPr>
      <w:r w:rsidRPr="00287E68">
        <w:t>.</w:t>
      </w:r>
    </w:p>
    <w:p w14:paraId="35D2D192"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Akinwande, B.A., Oladipo, O.A. and Bakare, H.A., 2022. Enhancement of wheat bread with carrot and moringa leaf flour: Nutritional and sensory implications. African Journal of Food </w:t>
      </w:r>
      <w:proofErr w:type="gramStart"/>
      <w:r w:rsidRPr="005E5F2A">
        <w:rPr>
          <w:rFonts w:ascii="Arial" w:hAnsi="Arial" w:cs="Arial"/>
          <w:sz w:val="20"/>
          <w:szCs w:val="20"/>
        </w:rPr>
        <w:t>Science ,</w:t>
      </w:r>
      <w:proofErr w:type="gramEnd"/>
      <w:r w:rsidRPr="005E5F2A">
        <w:rPr>
          <w:rFonts w:ascii="Arial" w:hAnsi="Arial" w:cs="Arial"/>
          <w:sz w:val="20"/>
          <w:szCs w:val="20"/>
        </w:rPr>
        <w:t xml:space="preserve"> 16(5), pp.103–110. https://doi.org/10.5897/AJFS2022.2105</w:t>
      </w:r>
    </w:p>
    <w:p w14:paraId="73BEB177"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Adeyanju, M.M., Adebayo, O.S. and </w:t>
      </w:r>
      <w:proofErr w:type="spellStart"/>
      <w:r w:rsidRPr="005E5F2A">
        <w:rPr>
          <w:rFonts w:ascii="Arial" w:hAnsi="Arial" w:cs="Arial"/>
          <w:sz w:val="20"/>
          <w:szCs w:val="20"/>
        </w:rPr>
        <w:t>Osundahunsi</w:t>
      </w:r>
      <w:proofErr w:type="spellEnd"/>
      <w:r w:rsidRPr="005E5F2A">
        <w:rPr>
          <w:rFonts w:ascii="Arial" w:hAnsi="Arial" w:cs="Arial"/>
          <w:sz w:val="20"/>
          <w:szCs w:val="20"/>
        </w:rPr>
        <w:t xml:space="preserve">, O.F., 2021. Nutritional and sensory properties of wheat bread enriched with fermented plantain and soybean flour. Journal of Food Science and </w:t>
      </w:r>
      <w:proofErr w:type="gramStart"/>
      <w:r w:rsidRPr="005E5F2A">
        <w:rPr>
          <w:rFonts w:ascii="Arial" w:hAnsi="Arial" w:cs="Arial"/>
          <w:sz w:val="20"/>
          <w:szCs w:val="20"/>
        </w:rPr>
        <w:t>Nutrition ,</w:t>
      </w:r>
      <w:proofErr w:type="gramEnd"/>
      <w:r w:rsidRPr="005E5F2A">
        <w:rPr>
          <w:rFonts w:ascii="Arial" w:hAnsi="Arial" w:cs="Arial"/>
          <w:sz w:val="20"/>
          <w:szCs w:val="20"/>
        </w:rPr>
        <w:t xml:space="preserve"> 9(4), pp.234–242. https://doi.org/10.1002/fsn3.2154</w:t>
      </w:r>
    </w:p>
    <w:p w14:paraId="75AB23DA"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Singh, R. and Verma, D., 2023. Composite flour technologies for bakery applications: A review. Journal of Cereal </w:t>
      </w:r>
      <w:proofErr w:type="gramStart"/>
      <w:r w:rsidRPr="005E5F2A">
        <w:rPr>
          <w:rFonts w:ascii="Arial" w:hAnsi="Arial" w:cs="Arial"/>
          <w:sz w:val="20"/>
          <w:szCs w:val="20"/>
        </w:rPr>
        <w:t>Science ,</w:t>
      </w:r>
      <w:proofErr w:type="gramEnd"/>
      <w:r w:rsidRPr="005E5F2A">
        <w:rPr>
          <w:rFonts w:ascii="Arial" w:hAnsi="Arial" w:cs="Arial"/>
          <w:sz w:val="20"/>
          <w:szCs w:val="20"/>
        </w:rPr>
        <w:t xml:space="preserve"> 111, p.103918. https://doi.org/10.1016/j.jcs.2023.103918</w:t>
      </w:r>
    </w:p>
    <w:p w14:paraId="418B6BB0"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Ojo, M.A., </w:t>
      </w:r>
      <w:proofErr w:type="spellStart"/>
      <w:r w:rsidRPr="005E5F2A">
        <w:rPr>
          <w:rFonts w:ascii="Arial" w:hAnsi="Arial" w:cs="Arial"/>
          <w:sz w:val="20"/>
          <w:szCs w:val="20"/>
        </w:rPr>
        <w:t>Ologunde</w:t>
      </w:r>
      <w:proofErr w:type="spellEnd"/>
      <w:r w:rsidRPr="005E5F2A">
        <w:rPr>
          <w:rFonts w:ascii="Arial" w:hAnsi="Arial" w:cs="Arial"/>
          <w:sz w:val="20"/>
          <w:szCs w:val="20"/>
        </w:rPr>
        <w:t xml:space="preserve">, M.O., Alabi, O.D., </w:t>
      </w:r>
      <w:proofErr w:type="spellStart"/>
      <w:r w:rsidRPr="005E5F2A">
        <w:rPr>
          <w:rFonts w:ascii="Arial" w:hAnsi="Arial" w:cs="Arial"/>
          <w:sz w:val="20"/>
          <w:szCs w:val="20"/>
        </w:rPr>
        <w:t>Ohijeagbon</w:t>
      </w:r>
      <w:proofErr w:type="spellEnd"/>
      <w:r w:rsidRPr="005E5F2A">
        <w:rPr>
          <w:rFonts w:ascii="Arial" w:hAnsi="Arial" w:cs="Arial"/>
          <w:sz w:val="20"/>
          <w:szCs w:val="20"/>
        </w:rPr>
        <w:t xml:space="preserve">, O.R. and Ojo, H., 2022. Evaluation of cocoyam-soybean flour blends and sensory properties of the </w:t>
      </w:r>
      <w:proofErr w:type="spellStart"/>
      <w:r w:rsidRPr="005E5F2A">
        <w:rPr>
          <w:rFonts w:ascii="Arial" w:hAnsi="Arial" w:cs="Arial"/>
          <w:sz w:val="20"/>
          <w:szCs w:val="20"/>
        </w:rPr>
        <w:t>amala</w:t>
      </w:r>
      <w:proofErr w:type="spellEnd"/>
      <w:r w:rsidRPr="005E5F2A">
        <w:rPr>
          <w:rFonts w:ascii="Arial" w:hAnsi="Arial" w:cs="Arial"/>
          <w:sz w:val="20"/>
          <w:szCs w:val="20"/>
        </w:rPr>
        <w:t xml:space="preserve"> dumpling. Agriculture and Food Sciences </w:t>
      </w:r>
      <w:proofErr w:type="gramStart"/>
      <w:r w:rsidRPr="005E5F2A">
        <w:rPr>
          <w:rFonts w:ascii="Arial" w:hAnsi="Arial" w:cs="Arial"/>
          <w:sz w:val="20"/>
          <w:szCs w:val="20"/>
        </w:rPr>
        <w:t>Research ,</w:t>
      </w:r>
      <w:proofErr w:type="gramEnd"/>
      <w:r w:rsidRPr="005E5F2A">
        <w:rPr>
          <w:rFonts w:ascii="Arial" w:hAnsi="Arial" w:cs="Arial"/>
          <w:sz w:val="20"/>
          <w:szCs w:val="20"/>
        </w:rPr>
        <w:t xml:space="preserve"> 9(1), pp.44–49.</w:t>
      </w:r>
    </w:p>
    <w:p w14:paraId="1CAF24C4"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Choi, Y.J., Lee, S.M. and Park, H.J., 2023. Health-promoting properties of soy and its application in functional food development. Journal of Nutritional </w:t>
      </w:r>
      <w:proofErr w:type="gramStart"/>
      <w:r w:rsidRPr="005E5F2A">
        <w:rPr>
          <w:rFonts w:ascii="Arial" w:hAnsi="Arial" w:cs="Arial"/>
          <w:sz w:val="20"/>
          <w:szCs w:val="20"/>
        </w:rPr>
        <w:t>Biochemistry ,</w:t>
      </w:r>
      <w:proofErr w:type="gramEnd"/>
      <w:r w:rsidRPr="005E5F2A">
        <w:rPr>
          <w:rFonts w:ascii="Arial" w:hAnsi="Arial" w:cs="Arial"/>
          <w:sz w:val="20"/>
          <w:szCs w:val="20"/>
        </w:rPr>
        <w:t xml:space="preserve"> 117, p.109125. https://doi.org/10.1016/j.jnutbio.2023.109125</w:t>
      </w:r>
    </w:p>
    <w:p w14:paraId="06224747"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Boadi, N.O., Badu, M., Kortei, N.K., Saah, S.A., Annor, B., Mensah, M.B., Okyere, H. and </w:t>
      </w:r>
      <w:proofErr w:type="spellStart"/>
      <w:r w:rsidRPr="005E5F2A">
        <w:rPr>
          <w:rFonts w:ascii="Arial" w:hAnsi="Arial" w:cs="Arial"/>
          <w:sz w:val="20"/>
          <w:szCs w:val="20"/>
        </w:rPr>
        <w:t>Fiebor</w:t>
      </w:r>
      <w:proofErr w:type="spellEnd"/>
      <w:r w:rsidRPr="005E5F2A">
        <w:rPr>
          <w:rFonts w:ascii="Arial" w:hAnsi="Arial" w:cs="Arial"/>
          <w:sz w:val="20"/>
          <w:szCs w:val="20"/>
        </w:rPr>
        <w:t xml:space="preserve">, A., 2021. Nutritional composition and antioxidant properties of three varieties of carrot (Daucus carota). Scientific </w:t>
      </w:r>
      <w:proofErr w:type="gramStart"/>
      <w:r w:rsidRPr="005E5F2A">
        <w:rPr>
          <w:rFonts w:ascii="Arial" w:hAnsi="Arial" w:cs="Arial"/>
          <w:sz w:val="20"/>
          <w:szCs w:val="20"/>
        </w:rPr>
        <w:t>African ,</w:t>
      </w:r>
      <w:proofErr w:type="gramEnd"/>
      <w:r w:rsidRPr="005E5F2A">
        <w:rPr>
          <w:rFonts w:ascii="Arial" w:hAnsi="Arial" w:cs="Arial"/>
          <w:sz w:val="20"/>
          <w:szCs w:val="20"/>
        </w:rPr>
        <w:t xml:space="preserve"> 12, p.e00801.</w:t>
      </w:r>
    </w:p>
    <w:p w14:paraId="6C151AA0"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Kumar, M., Yadav, D.N. and Chawla, P., 2022. Functional bakery products: Technological advances and nutritional perspectives. Food Reviews </w:t>
      </w:r>
      <w:proofErr w:type="gramStart"/>
      <w:r w:rsidRPr="005E5F2A">
        <w:rPr>
          <w:rFonts w:ascii="Arial" w:hAnsi="Arial" w:cs="Arial"/>
          <w:sz w:val="20"/>
          <w:szCs w:val="20"/>
        </w:rPr>
        <w:t>International ,</w:t>
      </w:r>
      <w:proofErr w:type="gramEnd"/>
      <w:r w:rsidRPr="005E5F2A">
        <w:rPr>
          <w:rFonts w:ascii="Arial" w:hAnsi="Arial" w:cs="Arial"/>
          <w:sz w:val="20"/>
          <w:szCs w:val="20"/>
        </w:rPr>
        <w:t xml:space="preserve"> 38(7), pp.1152–1174. https://doi.org/10.1080/87559129.2021.1879283</w:t>
      </w:r>
    </w:p>
    <w:p w14:paraId="00AB4FEF"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Okafor, J.N. and </w:t>
      </w:r>
      <w:proofErr w:type="spellStart"/>
      <w:r w:rsidRPr="005E5F2A">
        <w:rPr>
          <w:rFonts w:ascii="Arial" w:hAnsi="Arial" w:cs="Arial"/>
          <w:sz w:val="20"/>
          <w:szCs w:val="20"/>
        </w:rPr>
        <w:t>Uchegbu</w:t>
      </w:r>
      <w:proofErr w:type="spellEnd"/>
      <w:r w:rsidRPr="005E5F2A">
        <w:rPr>
          <w:rFonts w:ascii="Arial" w:hAnsi="Arial" w:cs="Arial"/>
          <w:sz w:val="20"/>
          <w:szCs w:val="20"/>
        </w:rPr>
        <w:t xml:space="preserve">, E.M., 2021. Physicochemical and sensory attributes of wheat bread supplemented with soy flour and carrot pulp. Nigerian Food </w:t>
      </w:r>
      <w:proofErr w:type="gramStart"/>
      <w:r w:rsidRPr="005E5F2A">
        <w:rPr>
          <w:rFonts w:ascii="Arial" w:hAnsi="Arial" w:cs="Arial"/>
          <w:sz w:val="20"/>
          <w:szCs w:val="20"/>
        </w:rPr>
        <w:t>Journal ,</w:t>
      </w:r>
      <w:proofErr w:type="gramEnd"/>
      <w:r w:rsidRPr="005E5F2A">
        <w:rPr>
          <w:rFonts w:ascii="Arial" w:hAnsi="Arial" w:cs="Arial"/>
          <w:sz w:val="20"/>
          <w:szCs w:val="20"/>
        </w:rPr>
        <w:t xml:space="preserve"> 39(1), pp.90–96. https://doi.org/10.1016/j.nifoj.2021.04.007</w:t>
      </w:r>
    </w:p>
    <w:p w14:paraId="47263534"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Bello, F.A., Sanni, L.O. and Adeyeye, S.A.O., 2020. Quality evaluation of bread from wheat and soybean composite flour. International Journal of Food </w:t>
      </w:r>
      <w:proofErr w:type="gramStart"/>
      <w:r w:rsidRPr="005E5F2A">
        <w:rPr>
          <w:rFonts w:ascii="Arial" w:hAnsi="Arial" w:cs="Arial"/>
          <w:sz w:val="20"/>
          <w:szCs w:val="20"/>
        </w:rPr>
        <w:t>Research ,</w:t>
      </w:r>
      <w:proofErr w:type="gramEnd"/>
      <w:r w:rsidRPr="005E5F2A">
        <w:rPr>
          <w:rFonts w:ascii="Arial" w:hAnsi="Arial" w:cs="Arial"/>
          <w:sz w:val="20"/>
          <w:szCs w:val="20"/>
        </w:rPr>
        <w:t xml:space="preserve"> 27(2), pp.54–60.</w:t>
      </w:r>
    </w:p>
    <w:p w14:paraId="1FD3DA45"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Adegboye, O.R., Omole, A.J. and </w:t>
      </w:r>
      <w:proofErr w:type="spellStart"/>
      <w:r w:rsidRPr="005E5F2A">
        <w:rPr>
          <w:rFonts w:ascii="Arial" w:hAnsi="Arial" w:cs="Arial"/>
          <w:sz w:val="20"/>
          <w:szCs w:val="20"/>
        </w:rPr>
        <w:t>Oyekunle</w:t>
      </w:r>
      <w:proofErr w:type="spellEnd"/>
      <w:r w:rsidRPr="005E5F2A">
        <w:rPr>
          <w:rFonts w:ascii="Arial" w:hAnsi="Arial" w:cs="Arial"/>
          <w:sz w:val="20"/>
          <w:szCs w:val="20"/>
        </w:rPr>
        <w:t xml:space="preserve">, M.A., 2022. Mineral profile of functional flour blends for food formulation. Journal of Food Composition and </w:t>
      </w:r>
      <w:proofErr w:type="gramStart"/>
      <w:r w:rsidRPr="005E5F2A">
        <w:rPr>
          <w:rFonts w:ascii="Arial" w:hAnsi="Arial" w:cs="Arial"/>
          <w:sz w:val="20"/>
          <w:szCs w:val="20"/>
        </w:rPr>
        <w:t>Analysis ,</w:t>
      </w:r>
      <w:proofErr w:type="gramEnd"/>
      <w:r w:rsidRPr="005E5F2A">
        <w:rPr>
          <w:rFonts w:ascii="Arial" w:hAnsi="Arial" w:cs="Arial"/>
          <w:sz w:val="20"/>
          <w:szCs w:val="20"/>
        </w:rPr>
        <w:t xml:space="preserve"> 105, p.104264. https://doi.org/10.1016/j.jfca.2021.104264</w:t>
      </w:r>
    </w:p>
    <w:p w14:paraId="1D6947DC" w14:textId="77777777" w:rsidR="0018777B" w:rsidRPr="005E5F2A" w:rsidRDefault="0018777B" w:rsidP="0018777B">
      <w:pPr>
        <w:pStyle w:val="ListParagraph"/>
        <w:numPr>
          <w:ilvl w:val="0"/>
          <w:numId w:val="32"/>
        </w:numPr>
        <w:jc w:val="both"/>
        <w:rPr>
          <w:rFonts w:ascii="Arial" w:hAnsi="Arial" w:cs="Arial"/>
          <w:sz w:val="20"/>
          <w:szCs w:val="20"/>
        </w:rPr>
      </w:pPr>
      <w:proofErr w:type="spellStart"/>
      <w:r w:rsidRPr="005E5F2A">
        <w:rPr>
          <w:rFonts w:ascii="Arial" w:hAnsi="Arial" w:cs="Arial"/>
          <w:sz w:val="20"/>
          <w:szCs w:val="20"/>
        </w:rPr>
        <w:t>Onwuliri</w:t>
      </w:r>
      <w:proofErr w:type="spellEnd"/>
      <w:r w:rsidRPr="005E5F2A">
        <w:rPr>
          <w:rFonts w:ascii="Arial" w:hAnsi="Arial" w:cs="Arial"/>
          <w:sz w:val="20"/>
          <w:szCs w:val="20"/>
        </w:rPr>
        <w:t xml:space="preserve">, V.A. and Dike, U.C., 2021. Instrumental techniques for mineral composition analysis in food: A review. Current Trends in Analytical </w:t>
      </w:r>
      <w:proofErr w:type="gramStart"/>
      <w:r w:rsidRPr="005E5F2A">
        <w:rPr>
          <w:rFonts w:ascii="Arial" w:hAnsi="Arial" w:cs="Arial"/>
          <w:sz w:val="20"/>
          <w:szCs w:val="20"/>
        </w:rPr>
        <w:t>Chemistry ,</w:t>
      </w:r>
      <w:proofErr w:type="gramEnd"/>
      <w:r w:rsidRPr="005E5F2A">
        <w:rPr>
          <w:rFonts w:ascii="Arial" w:hAnsi="Arial" w:cs="Arial"/>
          <w:sz w:val="20"/>
          <w:szCs w:val="20"/>
        </w:rPr>
        <w:t xml:space="preserve"> 4(1), pp.67–74.</w:t>
      </w:r>
    </w:p>
    <w:p w14:paraId="6AF67EA3" w14:textId="77777777" w:rsidR="0018777B" w:rsidRPr="005E5F2A" w:rsidRDefault="0018777B" w:rsidP="0018777B">
      <w:pPr>
        <w:pStyle w:val="ListParagraph"/>
        <w:numPr>
          <w:ilvl w:val="0"/>
          <w:numId w:val="32"/>
        </w:numPr>
        <w:jc w:val="both"/>
        <w:rPr>
          <w:rFonts w:ascii="Arial" w:hAnsi="Arial" w:cs="Arial"/>
          <w:sz w:val="20"/>
          <w:szCs w:val="20"/>
        </w:rPr>
      </w:pPr>
      <w:proofErr w:type="spellStart"/>
      <w:r w:rsidRPr="005E5F2A">
        <w:rPr>
          <w:rFonts w:ascii="Arial" w:hAnsi="Arial" w:cs="Arial"/>
          <w:sz w:val="20"/>
          <w:szCs w:val="20"/>
        </w:rPr>
        <w:t>Fasakin</w:t>
      </w:r>
      <w:proofErr w:type="spellEnd"/>
      <w:r w:rsidRPr="005E5F2A">
        <w:rPr>
          <w:rFonts w:ascii="Arial" w:hAnsi="Arial" w:cs="Arial"/>
          <w:sz w:val="20"/>
          <w:szCs w:val="20"/>
        </w:rPr>
        <w:t xml:space="preserve">, A.E. and Olayinka, A.F., 2022. Atomic absorption spectrophotometric determination of calcium and magnesium in fortified food blends. International Journal of Food </w:t>
      </w:r>
      <w:proofErr w:type="gramStart"/>
      <w:r w:rsidRPr="005E5F2A">
        <w:rPr>
          <w:rFonts w:ascii="Arial" w:hAnsi="Arial" w:cs="Arial"/>
          <w:sz w:val="20"/>
          <w:szCs w:val="20"/>
        </w:rPr>
        <w:t>Science ,</w:t>
      </w:r>
      <w:proofErr w:type="gramEnd"/>
      <w:r w:rsidRPr="005E5F2A">
        <w:rPr>
          <w:rFonts w:ascii="Arial" w:hAnsi="Arial" w:cs="Arial"/>
          <w:sz w:val="20"/>
          <w:szCs w:val="20"/>
        </w:rPr>
        <w:t xml:space="preserve"> 2022, pp.1–7. https://doi.org/10.1155/2022/9876542</w:t>
      </w:r>
    </w:p>
    <w:p w14:paraId="0D652A81"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Ogunyemi, A.O., </w:t>
      </w:r>
      <w:proofErr w:type="spellStart"/>
      <w:r w:rsidRPr="005E5F2A">
        <w:rPr>
          <w:rFonts w:ascii="Arial" w:hAnsi="Arial" w:cs="Arial"/>
          <w:sz w:val="20"/>
          <w:szCs w:val="20"/>
        </w:rPr>
        <w:t>Oyebanji</w:t>
      </w:r>
      <w:proofErr w:type="spellEnd"/>
      <w:r w:rsidRPr="005E5F2A">
        <w:rPr>
          <w:rFonts w:ascii="Arial" w:hAnsi="Arial" w:cs="Arial"/>
          <w:sz w:val="20"/>
          <w:szCs w:val="20"/>
        </w:rPr>
        <w:t xml:space="preserve">, B.O. and </w:t>
      </w:r>
      <w:proofErr w:type="spellStart"/>
      <w:r w:rsidRPr="005E5F2A">
        <w:rPr>
          <w:rFonts w:ascii="Arial" w:hAnsi="Arial" w:cs="Arial"/>
          <w:sz w:val="20"/>
          <w:szCs w:val="20"/>
        </w:rPr>
        <w:t>Aladesuyi</w:t>
      </w:r>
      <w:proofErr w:type="spellEnd"/>
      <w:r w:rsidRPr="005E5F2A">
        <w:rPr>
          <w:rFonts w:ascii="Arial" w:hAnsi="Arial" w:cs="Arial"/>
          <w:sz w:val="20"/>
          <w:szCs w:val="20"/>
        </w:rPr>
        <w:t xml:space="preserve">, A.A., 2023. Comparative analysis of trace metals in fortified and non-fortified flour products. African Journal of Food </w:t>
      </w:r>
      <w:proofErr w:type="gramStart"/>
      <w:r w:rsidRPr="005E5F2A">
        <w:rPr>
          <w:rFonts w:ascii="Arial" w:hAnsi="Arial" w:cs="Arial"/>
          <w:sz w:val="20"/>
          <w:szCs w:val="20"/>
        </w:rPr>
        <w:t>Science ,</w:t>
      </w:r>
      <w:proofErr w:type="gramEnd"/>
      <w:r w:rsidRPr="005E5F2A">
        <w:rPr>
          <w:rFonts w:ascii="Arial" w:hAnsi="Arial" w:cs="Arial"/>
          <w:sz w:val="20"/>
          <w:szCs w:val="20"/>
        </w:rPr>
        <w:t xml:space="preserve"> 17(2), pp.34–41. https://doi.org/10.5897/AJFS2023.2210</w:t>
      </w:r>
    </w:p>
    <w:p w14:paraId="7D1C50EE"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Okorie, C.A., Udeh, H.O. and Igbokwe, C.E., 2021. Micronutrient fortification and mineral analysis of composite flours for bakery applications. Food and Nutrition </w:t>
      </w:r>
      <w:proofErr w:type="gramStart"/>
      <w:r w:rsidRPr="005E5F2A">
        <w:rPr>
          <w:rFonts w:ascii="Arial" w:hAnsi="Arial" w:cs="Arial"/>
          <w:sz w:val="20"/>
          <w:szCs w:val="20"/>
        </w:rPr>
        <w:t>Bulletin ,</w:t>
      </w:r>
      <w:proofErr w:type="gramEnd"/>
      <w:r w:rsidRPr="005E5F2A">
        <w:rPr>
          <w:rFonts w:ascii="Arial" w:hAnsi="Arial" w:cs="Arial"/>
          <w:sz w:val="20"/>
          <w:szCs w:val="20"/>
        </w:rPr>
        <w:t xml:space="preserve"> 42(3), pp.243–251. https://doi.org/10.1177/03795721211026584</w:t>
      </w:r>
    </w:p>
    <w:p w14:paraId="4259B1E6"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Abubakar, H.A., Umar, A.Y. and Musa, M.T., 2020. Determination of heavy metals in food samples using AAS: A case study of selected local grains. </w:t>
      </w:r>
      <w:proofErr w:type="spellStart"/>
      <w:proofErr w:type="gramStart"/>
      <w:r w:rsidRPr="005E5F2A">
        <w:rPr>
          <w:rFonts w:ascii="Arial" w:hAnsi="Arial" w:cs="Arial"/>
          <w:sz w:val="20"/>
          <w:szCs w:val="20"/>
        </w:rPr>
        <w:t>Heliyon</w:t>
      </w:r>
      <w:proofErr w:type="spellEnd"/>
      <w:r w:rsidRPr="005E5F2A">
        <w:rPr>
          <w:rFonts w:ascii="Arial" w:hAnsi="Arial" w:cs="Arial"/>
          <w:sz w:val="20"/>
          <w:szCs w:val="20"/>
        </w:rPr>
        <w:t xml:space="preserve"> ,</w:t>
      </w:r>
      <w:proofErr w:type="gramEnd"/>
      <w:r w:rsidRPr="005E5F2A">
        <w:rPr>
          <w:rFonts w:ascii="Arial" w:hAnsi="Arial" w:cs="Arial"/>
          <w:sz w:val="20"/>
          <w:szCs w:val="20"/>
        </w:rPr>
        <w:t xml:space="preserve"> 6(11), p.e05328. https://doi.org/10.1016/j.heliyon.2020.e05328</w:t>
      </w:r>
    </w:p>
    <w:p w14:paraId="060A8CB7"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Adekunle, A.A., Bello, M.O. and </w:t>
      </w:r>
      <w:proofErr w:type="spellStart"/>
      <w:r w:rsidRPr="005E5F2A">
        <w:rPr>
          <w:rFonts w:ascii="Arial" w:hAnsi="Arial" w:cs="Arial"/>
          <w:sz w:val="20"/>
          <w:szCs w:val="20"/>
        </w:rPr>
        <w:t>Fasanya</w:t>
      </w:r>
      <w:proofErr w:type="spellEnd"/>
      <w:r w:rsidRPr="005E5F2A">
        <w:rPr>
          <w:rFonts w:ascii="Arial" w:hAnsi="Arial" w:cs="Arial"/>
          <w:sz w:val="20"/>
          <w:szCs w:val="20"/>
        </w:rPr>
        <w:t xml:space="preserve">, O.O., 2021. Comparative analysis of oxalate content in commonly consumed tubers and cereals. Journal of Food Composition and </w:t>
      </w:r>
      <w:proofErr w:type="gramStart"/>
      <w:r w:rsidRPr="005E5F2A">
        <w:rPr>
          <w:rFonts w:ascii="Arial" w:hAnsi="Arial" w:cs="Arial"/>
          <w:sz w:val="20"/>
          <w:szCs w:val="20"/>
        </w:rPr>
        <w:t>Analysis ,</w:t>
      </w:r>
      <w:proofErr w:type="gramEnd"/>
      <w:r w:rsidRPr="005E5F2A">
        <w:rPr>
          <w:rFonts w:ascii="Arial" w:hAnsi="Arial" w:cs="Arial"/>
          <w:sz w:val="20"/>
          <w:szCs w:val="20"/>
        </w:rPr>
        <w:t xml:space="preserve"> 100, p.103942. https://doi.org/10.1016/j.jfca.2021.103942</w:t>
      </w:r>
    </w:p>
    <w:p w14:paraId="5DC4F8E2"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Ibrahim, O.R. and Afolayan, A.J., 2020. Determination of tannin content in enriched cereal flours. Journal of Food </w:t>
      </w:r>
      <w:proofErr w:type="gramStart"/>
      <w:r w:rsidRPr="005E5F2A">
        <w:rPr>
          <w:rFonts w:ascii="Arial" w:hAnsi="Arial" w:cs="Arial"/>
          <w:sz w:val="20"/>
          <w:szCs w:val="20"/>
        </w:rPr>
        <w:t>Biochemistry ,</w:t>
      </w:r>
      <w:proofErr w:type="gramEnd"/>
      <w:r w:rsidRPr="005E5F2A">
        <w:rPr>
          <w:rFonts w:ascii="Arial" w:hAnsi="Arial" w:cs="Arial"/>
          <w:sz w:val="20"/>
          <w:szCs w:val="20"/>
        </w:rPr>
        <w:t xml:space="preserve"> 44(2), p.e13100. https://doi.org/10.1111/jfbc.13100</w:t>
      </w:r>
    </w:p>
    <w:p w14:paraId="688CDCFA"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Chinedu, S.N., </w:t>
      </w:r>
      <w:proofErr w:type="spellStart"/>
      <w:r w:rsidRPr="005E5F2A">
        <w:rPr>
          <w:rFonts w:ascii="Arial" w:hAnsi="Arial" w:cs="Arial"/>
          <w:sz w:val="20"/>
          <w:szCs w:val="20"/>
        </w:rPr>
        <w:t>Emechebe</w:t>
      </w:r>
      <w:proofErr w:type="spellEnd"/>
      <w:r w:rsidRPr="005E5F2A">
        <w:rPr>
          <w:rFonts w:ascii="Arial" w:hAnsi="Arial" w:cs="Arial"/>
          <w:sz w:val="20"/>
          <w:szCs w:val="20"/>
        </w:rPr>
        <w:t xml:space="preserve">, G.I. and Ukaegbu, C.I., 2023. Evaluation of macro and micronutrients in legume-based flour using modern analytical techniques. Nigerian Journal of Nutritional </w:t>
      </w:r>
      <w:proofErr w:type="gramStart"/>
      <w:r w:rsidRPr="005E5F2A">
        <w:rPr>
          <w:rFonts w:ascii="Arial" w:hAnsi="Arial" w:cs="Arial"/>
          <w:sz w:val="20"/>
          <w:szCs w:val="20"/>
        </w:rPr>
        <w:t>Sciences ,</w:t>
      </w:r>
      <w:proofErr w:type="gramEnd"/>
      <w:r w:rsidRPr="005E5F2A">
        <w:rPr>
          <w:rFonts w:ascii="Arial" w:hAnsi="Arial" w:cs="Arial"/>
          <w:sz w:val="20"/>
          <w:szCs w:val="20"/>
        </w:rPr>
        <w:t xml:space="preserve"> 44(1), pp.18–25.</w:t>
      </w:r>
    </w:p>
    <w:p w14:paraId="7F064BB7"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Nwankwo, U.C., Obi, C.L. and Njoku, O.U., 2020. Determination of sodium and potassium in cassava-based foods using flame photometry. Journal of Applied Sciences and Environmental </w:t>
      </w:r>
      <w:proofErr w:type="gramStart"/>
      <w:r w:rsidRPr="005E5F2A">
        <w:rPr>
          <w:rFonts w:ascii="Arial" w:hAnsi="Arial" w:cs="Arial"/>
          <w:sz w:val="20"/>
          <w:szCs w:val="20"/>
        </w:rPr>
        <w:t>Management ,</w:t>
      </w:r>
      <w:proofErr w:type="gramEnd"/>
      <w:r w:rsidRPr="005E5F2A">
        <w:rPr>
          <w:rFonts w:ascii="Arial" w:hAnsi="Arial" w:cs="Arial"/>
          <w:sz w:val="20"/>
          <w:szCs w:val="20"/>
        </w:rPr>
        <w:t xml:space="preserve"> 24(4), pp.629–634. https://doi.org/10.4314/jasem.v24i4.19</w:t>
      </w:r>
    </w:p>
    <w:p w14:paraId="2F93B713"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Rodriguez-Amaya, D.B. and Kimura, M., 2021. </w:t>
      </w:r>
      <w:proofErr w:type="spellStart"/>
      <w:r w:rsidRPr="005E5F2A">
        <w:rPr>
          <w:rFonts w:ascii="Arial" w:hAnsi="Arial" w:cs="Arial"/>
          <w:sz w:val="20"/>
          <w:szCs w:val="20"/>
        </w:rPr>
        <w:t>HarvestPlus</w:t>
      </w:r>
      <w:proofErr w:type="spellEnd"/>
      <w:r w:rsidRPr="005E5F2A">
        <w:rPr>
          <w:rFonts w:ascii="Arial" w:hAnsi="Arial" w:cs="Arial"/>
          <w:sz w:val="20"/>
          <w:szCs w:val="20"/>
        </w:rPr>
        <w:t xml:space="preserve"> Handbook for Carotenoid </w:t>
      </w:r>
      <w:proofErr w:type="gramStart"/>
      <w:r w:rsidRPr="005E5F2A">
        <w:rPr>
          <w:rFonts w:ascii="Arial" w:hAnsi="Arial" w:cs="Arial"/>
          <w:sz w:val="20"/>
          <w:szCs w:val="20"/>
        </w:rPr>
        <w:t>Analysis .</w:t>
      </w:r>
      <w:proofErr w:type="gramEnd"/>
      <w:r w:rsidRPr="005E5F2A">
        <w:rPr>
          <w:rFonts w:ascii="Arial" w:hAnsi="Arial" w:cs="Arial"/>
          <w:sz w:val="20"/>
          <w:szCs w:val="20"/>
        </w:rPr>
        <w:t xml:space="preserve"> International Food Policy Research Institute.</w:t>
      </w:r>
    </w:p>
    <w:p w14:paraId="50E316AA"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Chinedu, O.R. and Balogun, S.T., 2022. β-carotene retention and enhancement in composite flours for functional food applications. African Journal of Food, Agriculture, Nutrition and </w:t>
      </w:r>
      <w:proofErr w:type="gramStart"/>
      <w:r w:rsidRPr="005E5F2A">
        <w:rPr>
          <w:rFonts w:ascii="Arial" w:hAnsi="Arial" w:cs="Arial"/>
          <w:sz w:val="20"/>
          <w:szCs w:val="20"/>
        </w:rPr>
        <w:t>Development ,</w:t>
      </w:r>
      <w:proofErr w:type="gramEnd"/>
      <w:r w:rsidRPr="005E5F2A">
        <w:rPr>
          <w:rFonts w:ascii="Arial" w:hAnsi="Arial" w:cs="Arial"/>
          <w:sz w:val="20"/>
          <w:szCs w:val="20"/>
        </w:rPr>
        <w:t xml:space="preserve"> 22(1), pp.19384–19397.</w:t>
      </w:r>
    </w:p>
    <w:p w14:paraId="32E94B87"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lastRenderedPageBreak/>
        <w:t xml:space="preserve">Oluwatosin, A.F., Odunayo, B.O. and Aluko, S.O., 2023. Nutritional and provitamin A enrichment of bread using composite flours. Journal of Functional </w:t>
      </w:r>
      <w:proofErr w:type="gramStart"/>
      <w:r w:rsidRPr="005E5F2A">
        <w:rPr>
          <w:rFonts w:ascii="Arial" w:hAnsi="Arial" w:cs="Arial"/>
          <w:sz w:val="20"/>
          <w:szCs w:val="20"/>
        </w:rPr>
        <w:t>Foods ,</w:t>
      </w:r>
      <w:proofErr w:type="gramEnd"/>
      <w:r w:rsidRPr="005E5F2A">
        <w:rPr>
          <w:rFonts w:ascii="Arial" w:hAnsi="Arial" w:cs="Arial"/>
          <w:sz w:val="20"/>
          <w:szCs w:val="20"/>
        </w:rPr>
        <w:t xml:space="preserve"> 104, p.105364. https://doi.org/10.1016/j.jff.2023.105364</w:t>
      </w:r>
    </w:p>
    <w:p w14:paraId="3B0356BB" w14:textId="77777777" w:rsidR="0018777B" w:rsidRPr="005E5F2A" w:rsidRDefault="0018777B" w:rsidP="0018777B">
      <w:pPr>
        <w:pStyle w:val="ListParagraph"/>
        <w:numPr>
          <w:ilvl w:val="0"/>
          <w:numId w:val="32"/>
        </w:numPr>
        <w:jc w:val="both"/>
        <w:rPr>
          <w:rFonts w:ascii="Arial" w:hAnsi="Arial" w:cs="Arial"/>
          <w:sz w:val="20"/>
          <w:szCs w:val="20"/>
        </w:rPr>
      </w:pPr>
      <w:proofErr w:type="spellStart"/>
      <w:r w:rsidRPr="005E5F2A">
        <w:rPr>
          <w:rFonts w:ascii="Arial" w:hAnsi="Arial" w:cs="Arial"/>
          <w:sz w:val="20"/>
          <w:szCs w:val="20"/>
        </w:rPr>
        <w:t>Ezeonu</w:t>
      </w:r>
      <w:proofErr w:type="spellEnd"/>
      <w:r w:rsidRPr="005E5F2A">
        <w:rPr>
          <w:rFonts w:ascii="Arial" w:hAnsi="Arial" w:cs="Arial"/>
          <w:sz w:val="20"/>
          <w:szCs w:val="20"/>
        </w:rPr>
        <w:t xml:space="preserve">, M.C., Nwachukwu, E.O. and Ogbonna, A.I., 2023. Evaluation of antinutrient components in high-fiber functional breads. Food Chemistry </w:t>
      </w:r>
      <w:proofErr w:type="gramStart"/>
      <w:r w:rsidRPr="005E5F2A">
        <w:rPr>
          <w:rFonts w:ascii="Arial" w:hAnsi="Arial" w:cs="Arial"/>
          <w:sz w:val="20"/>
          <w:szCs w:val="20"/>
        </w:rPr>
        <w:t>Advances ,</w:t>
      </w:r>
      <w:proofErr w:type="gramEnd"/>
      <w:r w:rsidRPr="005E5F2A">
        <w:rPr>
          <w:rFonts w:ascii="Arial" w:hAnsi="Arial" w:cs="Arial"/>
          <w:sz w:val="20"/>
          <w:szCs w:val="20"/>
        </w:rPr>
        <w:t xml:space="preserve"> 2, p.100145. https://doi.org/10.1016/j.focha.2023.100145</w:t>
      </w:r>
    </w:p>
    <w:p w14:paraId="0A2311DD"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Chukwuma, C.J. and Eze, N.C., 2023. Assessment of oxalate and phytate content in traditional cereal blends. Nigerian Journal of Nutritional </w:t>
      </w:r>
      <w:proofErr w:type="gramStart"/>
      <w:r w:rsidRPr="005E5F2A">
        <w:rPr>
          <w:rFonts w:ascii="Arial" w:hAnsi="Arial" w:cs="Arial"/>
          <w:sz w:val="20"/>
          <w:szCs w:val="20"/>
        </w:rPr>
        <w:t>Sciences ,</w:t>
      </w:r>
      <w:proofErr w:type="gramEnd"/>
      <w:r w:rsidRPr="005E5F2A">
        <w:rPr>
          <w:rFonts w:ascii="Arial" w:hAnsi="Arial" w:cs="Arial"/>
          <w:sz w:val="20"/>
          <w:szCs w:val="20"/>
        </w:rPr>
        <w:t xml:space="preserve"> 44(2), pp.15–22.</w:t>
      </w:r>
    </w:p>
    <w:p w14:paraId="7E70FB29"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Adeyemi, S.A. and Olagunju, O.F., 2021. Functional and rheological properties of composite flours: A review of recent trends. Food Research </w:t>
      </w:r>
      <w:proofErr w:type="gramStart"/>
      <w:r w:rsidRPr="005E5F2A">
        <w:rPr>
          <w:rFonts w:ascii="Arial" w:hAnsi="Arial" w:cs="Arial"/>
          <w:sz w:val="20"/>
          <w:szCs w:val="20"/>
        </w:rPr>
        <w:t>International ,</w:t>
      </w:r>
      <w:proofErr w:type="gramEnd"/>
      <w:r w:rsidRPr="005E5F2A">
        <w:rPr>
          <w:rFonts w:ascii="Arial" w:hAnsi="Arial" w:cs="Arial"/>
          <w:sz w:val="20"/>
          <w:szCs w:val="20"/>
        </w:rPr>
        <w:t xml:space="preserve"> 147, p.110541. https://doi.org/10.1016/j.foodres.2021.110541</w:t>
      </w:r>
    </w:p>
    <w:p w14:paraId="4F6056B8" w14:textId="77777777" w:rsidR="0018777B" w:rsidRPr="005E5F2A" w:rsidRDefault="0018777B" w:rsidP="0018777B">
      <w:pPr>
        <w:pStyle w:val="ListParagraph"/>
        <w:numPr>
          <w:ilvl w:val="0"/>
          <w:numId w:val="32"/>
        </w:numPr>
        <w:jc w:val="both"/>
        <w:rPr>
          <w:rFonts w:ascii="Arial" w:hAnsi="Arial" w:cs="Arial"/>
          <w:sz w:val="20"/>
          <w:szCs w:val="20"/>
        </w:rPr>
      </w:pPr>
      <w:proofErr w:type="spellStart"/>
      <w:r w:rsidRPr="005E5F2A">
        <w:rPr>
          <w:rFonts w:ascii="Arial" w:hAnsi="Arial" w:cs="Arial"/>
          <w:sz w:val="20"/>
          <w:szCs w:val="20"/>
        </w:rPr>
        <w:t>Fasakin</w:t>
      </w:r>
      <w:proofErr w:type="spellEnd"/>
      <w:r w:rsidRPr="005E5F2A">
        <w:rPr>
          <w:rFonts w:ascii="Arial" w:hAnsi="Arial" w:cs="Arial"/>
          <w:sz w:val="20"/>
          <w:szCs w:val="20"/>
        </w:rPr>
        <w:t xml:space="preserve">, A.E., Aluko, O.B. and </w:t>
      </w:r>
      <w:proofErr w:type="spellStart"/>
      <w:r w:rsidRPr="005E5F2A">
        <w:rPr>
          <w:rFonts w:ascii="Arial" w:hAnsi="Arial" w:cs="Arial"/>
          <w:sz w:val="20"/>
          <w:szCs w:val="20"/>
        </w:rPr>
        <w:t>Olayanju</w:t>
      </w:r>
      <w:proofErr w:type="spellEnd"/>
      <w:r w:rsidRPr="005E5F2A">
        <w:rPr>
          <w:rFonts w:ascii="Arial" w:hAnsi="Arial" w:cs="Arial"/>
          <w:sz w:val="20"/>
          <w:szCs w:val="20"/>
        </w:rPr>
        <w:t xml:space="preserve">, T.M., 2021. Solubility and water binding properties of legume-based flour blends: Implications for functional food development. Scientific </w:t>
      </w:r>
      <w:proofErr w:type="gramStart"/>
      <w:r w:rsidRPr="005E5F2A">
        <w:rPr>
          <w:rFonts w:ascii="Arial" w:hAnsi="Arial" w:cs="Arial"/>
          <w:sz w:val="20"/>
          <w:szCs w:val="20"/>
        </w:rPr>
        <w:t>African ,</w:t>
      </w:r>
      <w:proofErr w:type="gramEnd"/>
      <w:r w:rsidRPr="005E5F2A">
        <w:rPr>
          <w:rFonts w:ascii="Arial" w:hAnsi="Arial" w:cs="Arial"/>
          <w:sz w:val="20"/>
          <w:szCs w:val="20"/>
        </w:rPr>
        <w:t xml:space="preserve"> 13, p.e00912. https://doi.org/10.1016/j.sciaf.2021.e00912</w:t>
      </w:r>
    </w:p>
    <w:p w14:paraId="3DEBB061"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Bello, O.A., Akanbi, C.T. and Adebayo, O.S., 2022. Swelling and hydration properties of legume-enriched flours for bakery applications. Journal of Culinary Science &amp; </w:t>
      </w:r>
      <w:proofErr w:type="gramStart"/>
      <w:r w:rsidRPr="005E5F2A">
        <w:rPr>
          <w:rFonts w:ascii="Arial" w:hAnsi="Arial" w:cs="Arial"/>
          <w:sz w:val="20"/>
          <w:szCs w:val="20"/>
        </w:rPr>
        <w:t>Technology ,</w:t>
      </w:r>
      <w:proofErr w:type="gramEnd"/>
      <w:r w:rsidRPr="005E5F2A">
        <w:rPr>
          <w:rFonts w:ascii="Arial" w:hAnsi="Arial" w:cs="Arial"/>
          <w:sz w:val="20"/>
          <w:szCs w:val="20"/>
        </w:rPr>
        <w:t xml:space="preserve"> 20(4), pp.563–574. https://doi.org/10.1080/15428052.2021.1877473</w:t>
      </w:r>
    </w:p>
    <w:p w14:paraId="15DA436C"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Ezeocha, C.V., </w:t>
      </w:r>
      <w:proofErr w:type="spellStart"/>
      <w:r w:rsidRPr="005E5F2A">
        <w:rPr>
          <w:rFonts w:ascii="Arial" w:hAnsi="Arial" w:cs="Arial"/>
          <w:sz w:val="20"/>
          <w:szCs w:val="20"/>
        </w:rPr>
        <w:t>Ofoedu</w:t>
      </w:r>
      <w:proofErr w:type="spellEnd"/>
      <w:r w:rsidRPr="005E5F2A">
        <w:rPr>
          <w:rFonts w:ascii="Arial" w:hAnsi="Arial" w:cs="Arial"/>
          <w:sz w:val="20"/>
          <w:szCs w:val="20"/>
        </w:rPr>
        <w:t xml:space="preserve">, C.E. and </w:t>
      </w:r>
      <w:proofErr w:type="spellStart"/>
      <w:r w:rsidRPr="005E5F2A">
        <w:rPr>
          <w:rFonts w:ascii="Arial" w:hAnsi="Arial" w:cs="Arial"/>
          <w:sz w:val="20"/>
          <w:szCs w:val="20"/>
        </w:rPr>
        <w:t>Udeogu</w:t>
      </w:r>
      <w:proofErr w:type="spellEnd"/>
      <w:r w:rsidRPr="005E5F2A">
        <w:rPr>
          <w:rFonts w:ascii="Arial" w:hAnsi="Arial" w:cs="Arial"/>
          <w:sz w:val="20"/>
          <w:szCs w:val="20"/>
        </w:rPr>
        <w:t xml:space="preserve">, C.E., 2023. Comparative analysis of functional properties of flour blends for bread and pastry production. Journal of Food Measurement and </w:t>
      </w:r>
      <w:proofErr w:type="gramStart"/>
      <w:r w:rsidRPr="005E5F2A">
        <w:rPr>
          <w:rFonts w:ascii="Arial" w:hAnsi="Arial" w:cs="Arial"/>
          <w:sz w:val="20"/>
          <w:szCs w:val="20"/>
        </w:rPr>
        <w:t>Characterization ,</w:t>
      </w:r>
      <w:proofErr w:type="gramEnd"/>
      <w:r w:rsidRPr="005E5F2A">
        <w:rPr>
          <w:rFonts w:ascii="Arial" w:hAnsi="Arial" w:cs="Arial"/>
          <w:sz w:val="20"/>
          <w:szCs w:val="20"/>
        </w:rPr>
        <w:t xml:space="preserve"> 17, pp.1019–1029. https://doi.org/10.1007/s11694-022-01496-y</w:t>
      </w:r>
    </w:p>
    <w:p w14:paraId="715932F7"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Oluwole, O.B., Olatunde, G.O. and Ibrahim, M., 2022. Evaluation of water holding and pasting properties of wheat and non-wheat flour blends. Food Science and </w:t>
      </w:r>
      <w:proofErr w:type="gramStart"/>
      <w:r w:rsidRPr="005E5F2A">
        <w:rPr>
          <w:rFonts w:ascii="Arial" w:hAnsi="Arial" w:cs="Arial"/>
          <w:sz w:val="20"/>
          <w:szCs w:val="20"/>
        </w:rPr>
        <w:t>Nutrition ,</w:t>
      </w:r>
      <w:proofErr w:type="gramEnd"/>
      <w:r w:rsidRPr="005E5F2A">
        <w:rPr>
          <w:rFonts w:ascii="Arial" w:hAnsi="Arial" w:cs="Arial"/>
          <w:sz w:val="20"/>
          <w:szCs w:val="20"/>
        </w:rPr>
        <w:t xml:space="preserve"> 10(7), pp.2158–2165. https://doi.org/10.1002/fsn3.2899</w:t>
      </w:r>
    </w:p>
    <w:p w14:paraId="0605186F"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Nwosu, J.N. and Dike, O.U., 2023. Functional characteristics of composite flours from wheat, </w:t>
      </w:r>
      <w:proofErr w:type="spellStart"/>
      <w:r w:rsidRPr="005E5F2A">
        <w:rPr>
          <w:rFonts w:ascii="Arial" w:hAnsi="Arial" w:cs="Arial"/>
          <w:sz w:val="20"/>
          <w:szCs w:val="20"/>
        </w:rPr>
        <w:t>bambara</w:t>
      </w:r>
      <w:proofErr w:type="spellEnd"/>
      <w:r w:rsidRPr="005E5F2A">
        <w:rPr>
          <w:rFonts w:ascii="Arial" w:hAnsi="Arial" w:cs="Arial"/>
          <w:sz w:val="20"/>
          <w:szCs w:val="20"/>
        </w:rPr>
        <w:t xml:space="preserve"> nut, and carrot for improved food product design. African Journal of Food, Agriculture, Nutrition and </w:t>
      </w:r>
      <w:proofErr w:type="gramStart"/>
      <w:r w:rsidRPr="005E5F2A">
        <w:rPr>
          <w:rFonts w:ascii="Arial" w:hAnsi="Arial" w:cs="Arial"/>
          <w:sz w:val="20"/>
          <w:szCs w:val="20"/>
        </w:rPr>
        <w:t>Development ,</w:t>
      </w:r>
      <w:proofErr w:type="gramEnd"/>
      <w:r w:rsidRPr="005E5F2A">
        <w:rPr>
          <w:rFonts w:ascii="Arial" w:hAnsi="Arial" w:cs="Arial"/>
          <w:sz w:val="20"/>
          <w:szCs w:val="20"/>
        </w:rPr>
        <w:t xml:space="preserve"> 23(2), pp.23456–23468.</w:t>
      </w:r>
    </w:p>
    <w:p w14:paraId="0C87009E"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Chikwendu, J.N. and Nwankwo, U.C., 2021. Evaluation of functional properties of composite flours from wheat, orange-fleshed sweet potato, and soybean. Nigerian Journal of Food Science and </w:t>
      </w:r>
      <w:proofErr w:type="gramStart"/>
      <w:r w:rsidRPr="005E5F2A">
        <w:rPr>
          <w:rFonts w:ascii="Arial" w:hAnsi="Arial" w:cs="Arial"/>
          <w:sz w:val="20"/>
          <w:szCs w:val="20"/>
        </w:rPr>
        <w:t>Technology ,</w:t>
      </w:r>
      <w:proofErr w:type="gramEnd"/>
      <w:r w:rsidRPr="005E5F2A">
        <w:rPr>
          <w:rFonts w:ascii="Arial" w:hAnsi="Arial" w:cs="Arial"/>
          <w:sz w:val="20"/>
          <w:szCs w:val="20"/>
        </w:rPr>
        <w:t xml:space="preserve"> 39(1), pp.45–52.</w:t>
      </w:r>
    </w:p>
    <w:p w14:paraId="322F59E8"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Okafor, J.N., Okolie, N.P. and Eze, C.O., 2020. Functional properties and baking potential of composite flours from wheat and plant-based protein sources. </w:t>
      </w:r>
      <w:proofErr w:type="spellStart"/>
      <w:proofErr w:type="gramStart"/>
      <w:r w:rsidRPr="005E5F2A">
        <w:rPr>
          <w:rFonts w:ascii="Arial" w:hAnsi="Arial" w:cs="Arial"/>
          <w:sz w:val="20"/>
          <w:szCs w:val="20"/>
        </w:rPr>
        <w:t>Heliyon</w:t>
      </w:r>
      <w:proofErr w:type="spellEnd"/>
      <w:r w:rsidRPr="005E5F2A">
        <w:rPr>
          <w:rFonts w:ascii="Arial" w:hAnsi="Arial" w:cs="Arial"/>
          <w:sz w:val="20"/>
          <w:szCs w:val="20"/>
        </w:rPr>
        <w:t xml:space="preserve"> ,</w:t>
      </w:r>
      <w:proofErr w:type="gramEnd"/>
      <w:r w:rsidRPr="005E5F2A">
        <w:rPr>
          <w:rFonts w:ascii="Arial" w:hAnsi="Arial" w:cs="Arial"/>
          <w:sz w:val="20"/>
          <w:szCs w:val="20"/>
        </w:rPr>
        <w:t xml:space="preserve"> 6(9), p.e04952. https://doi.org/10.1016/j.heliyon.2020.e04952</w:t>
      </w:r>
    </w:p>
    <w:p w14:paraId="5D98EF13"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Okoye, M.O. and Njoku, C.J., 2022. Tannin evaluation in processed legume-cereal food systems. Nigerian Journal of Food Science and </w:t>
      </w:r>
      <w:proofErr w:type="gramStart"/>
      <w:r w:rsidRPr="005E5F2A">
        <w:rPr>
          <w:rFonts w:ascii="Arial" w:hAnsi="Arial" w:cs="Arial"/>
          <w:sz w:val="20"/>
          <w:szCs w:val="20"/>
        </w:rPr>
        <w:t>Technology ,</w:t>
      </w:r>
      <w:proofErr w:type="gramEnd"/>
      <w:r w:rsidRPr="005E5F2A">
        <w:rPr>
          <w:rFonts w:ascii="Arial" w:hAnsi="Arial" w:cs="Arial"/>
          <w:sz w:val="20"/>
          <w:szCs w:val="20"/>
        </w:rPr>
        <w:t xml:space="preserve"> 40(1), pp.66–74.</w:t>
      </w:r>
    </w:p>
    <w:p w14:paraId="4F1884EB" w14:textId="77777777" w:rsidR="0018777B" w:rsidRPr="005E5F2A" w:rsidRDefault="0018777B" w:rsidP="0018777B">
      <w:pPr>
        <w:pStyle w:val="ListParagraph"/>
        <w:numPr>
          <w:ilvl w:val="0"/>
          <w:numId w:val="32"/>
        </w:numPr>
        <w:jc w:val="both"/>
        <w:rPr>
          <w:rFonts w:ascii="Arial" w:hAnsi="Arial" w:cs="Arial"/>
          <w:sz w:val="20"/>
          <w:szCs w:val="20"/>
        </w:rPr>
      </w:pPr>
      <w:r w:rsidRPr="005E5F2A">
        <w:rPr>
          <w:rFonts w:ascii="Arial" w:hAnsi="Arial" w:cs="Arial"/>
          <w:sz w:val="20"/>
          <w:szCs w:val="20"/>
        </w:rPr>
        <w:t xml:space="preserve">Onwuka, G.I., 2021. Food analysis and instrumentation: Theory and </w:t>
      </w:r>
      <w:proofErr w:type="gramStart"/>
      <w:r w:rsidRPr="005E5F2A">
        <w:rPr>
          <w:rFonts w:ascii="Arial" w:hAnsi="Arial" w:cs="Arial"/>
          <w:sz w:val="20"/>
          <w:szCs w:val="20"/>
        </w:rPr>
        <w:t>practice .</w:t>
      </w:r>
      <w:proofErr w:type="gramEnd"/>
      <w:r w:rsidRPr="005E5F2A">
        <w:rPr>
          <w:rFonts w:ascii="Arial" w:hAnsi="Arial" w:cs="Arial"/>
          <w:sz w:val="20"/>
          <w:szCs w:val="20"/>
        </w:rPr>
        <w:t xml:space="preserve"> 2nd ed. Naphtali Prints.</w:t>
      </w:r>
    </w:p>
    <w:p w14:paraId="7AAFFD1D" w14:textId="77777777" w:rsidR="00287E68" w:rsidRDefault="00287E68" w:rsidP="00441B6F">
      <w:pPr>
        <w:pStyle w:val="Body"/>
        <w:spacing w:after="0"/>
        <w:rPr>
          <w:rFonts w:ascii="Arial" w:hAnsi="Arial" w:cs="Arial"/>
          <w:b/>
        </w:rPr>
      </w:pPr>
    </w:p>
    <w:p w14:paraId="4C8E4841" w14:textId="77777777" w:rsidR="003763C1" w:rsidRDefault="003763C1" w:rsidP="00441B6F">
      <w:pPr>
        <w:pStyle w:val="Body"/>
        <w:spacing w:after="0"/>
        <w:jc w:val="left"/>
      </w:pPr>
    </w:p>
    <w:p w14:paraId="0976D63C" w14:textId="77777777" w:rsidR="000D689F" w:rsidRDefault="000D689F" w:rsidP="00441B6F">
      <w:pPr>
        <w:pStyle w:val="Body"/>
        <w:spacing w:after="0"/>
      </w:pPr>
    </w:p>
    <w:p w14:paraId="2F056F80" w14:textId="77777777" w:rsidR="00441B6F" w:rsidRDefault="00441B6F" w:rsidP="00441B6F">
      <w:pPr>
        <w:pStyle w:val="Body"/>
        <w:spacing w:after="0"/>
        <w:jc w:val="left"/>
      </w:pPr>
    </w:p>
    <w:p w14:paraId="7E9341B6" w14:textId="77777777" w:rsidR="00441B6F" w:rsidRDefault="00441B6F" w:rsidP="00441B6F">
      <w:pPr>
        <w:pStyle w:val="Body"/>
        <w:spacing w:after="0"/>
        <w:jc w:val="left"/>
        <w:rPr>
          <w:rFonts w:ascii="Arial" w:hAnsi="Arial" w:cs="Arial"/>
        </w:rPr>
      </w:pPr>
    </w:p>
    <w:p w14:paraId="724CD681" w14:textId="77777777" w:rsidR="00B01FCD" w:rsidRPr="00FB3A86" w:rsidRDefault="00B01FCD" w:rsidP="00441B6F">
      <w:pPr>
        <w:pStyle w:val="Reference"/>
        <w:numPr>
          <w:ilvl w:val="0"/>
          <w:numId w:val="0"/>
        </w:numPr>
        <w:spacing w:line="240" w:lineRule="auto"/>
        <w:rPr>
          <w:rFonts w:ascii="Arial" w:hAnsi="Arial" w:cs="Arial"/>
        </w:rPr>
      </w:pPr>
    </w:p>
    <w:p w14:paraId="08CE0894" w14:textId="77777777" w:rsidR="00B01FCD" w:rsidRPr="00FB3A86" w:rsidRDefault="00B01FCD" w:rsidP="00441B6F">
      <w:pPr>
        <w:pStyle w:val="Appendix"/>
        <w:spacing w:after="0"/>
        <w:jc w:val="both"/>
        <w:rPr>
          <w:rFonts w:ascii="Arial" w:hAnsi="Arial" w:cs="Arial"/>
          <w:b w:val="0"/>
        </w:rPr>
      </w:pPr>
    </w:p>
    <w:sectPr w:rsidR="00B01FCD" w:rsidRPr="00FB3A86" w:rsidSect="000467EE">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Qambar Khan Baloch" w:date="2025-07-18T22:18:00Z" w:initials="QB">
    <w:p w14:paraId="7738006C" w14:textId="77777777" w:rsidR="00654727" w:rsidRDefault="00654727" w:rsidP="00654727">
      <w:pPr>
        <w:pStyle w:val="CommentText"/>
      </w:pPr>
      <w:r>
        <w:rPr>
          <w:rStyle w:val="CommentReference"/>
        </w:rPr>
        <w:annotationRef/>
      </w:r>
      <w:r>
        <w:t>Overall, the abstract is well-written but sentence structure needs to be improved for conciseness and clarity.</w:t>
      </w:r>
    </w:p>
  </w:comment>
  <w:comment w:id="1" w:author="Qambar Khan Baloch" w:date="2025-07-18T22:39:00Z" w:initials="QB">
    <w:p w14:paraId="43DEFDA2" w14:textId="77777777" w:rsidR="00DC2421" w:rsidRDefault="00DC2421" w:rsidP="00DC2421">
      <w:pPr>
        <w:pStyle w:val="CommentText"/>
      </w:pPr>
      <w:r>
        <w:rPr>
          <w:rStyle w:val="CommentReference"/>
        </w:rPr>
        <w:annotationRef/>
      </w:r>
      <w:r>
        <w:t>Rewrite it - (Wheat flour, Soybean, and fresh carrots were procured from the local market).</w:t>
      </w:r>
    </w:p>
  </w:comment>
  <w:comment w:id="2" w:author="Qambar Khan Baloch" w:date="2025-07-18T22:42:00Z" w:initials="QB">
    <w:p w14:paraId="628271CE" w14:textId="77777777" w:rsidR="003B620D" w:rsidRDefault="003B620D" w:rsidP="003B620D">
      <w:pPr>
        <w:pStyle w:val="CommentText"/>
      </w:pPr>
      <w:r>
        <w:rPr>
          <w:rStyle w:val="CommentReference"/>
        </w:rPr>
        <w:annotationRef/>
      </w:r>
      <w:r>
        <w:t xml:space="preserve">Mention the treatment plan for better understanding. For example, A (Control), B (Bread with 80% Wheat, 10% Soybean flour, and 10% Carrot flour) etc. </w:t>
      </w:r>
    </w:p>
  </w:comment>
  <w:comment w:id="3" w:author="Qambar Khan Baloch" w:date="2025-07-18T22:49:00Z" w:initials="QB">
    <w:p w14:paraId="7ABEEA34" w14:textId="77777777" w:rsidR="00A32366" w:rsidRDefault="00A32366" w:rsidP="00A32366">
      <w:pPr>
        <w:pStyle w:val="CommentText"/>
      </w:pPr>
      <w:r>
        <w:rPr>
          <w:rStyle w:val="CommentReference"/>
        </w:rPr>
        <w:annotationRef/>
      </w:r>
      <w:r>
        <w:t>Presentation of data needs to be more logical with an improved flow.</w:t>
      </w:r>
    </w:p>
  </w:comment>
  <w:comment w:id="4" w:author="Qambar Khan Baloch" w:date="2025-07-18T22:51:00Z" w:initials="QB">
    <w:p w14:paraId="25327CBB" w14:textId="77777777" w:rsidR="006D29D9" w:rsidRDefault="006D29D9" w:rsidP="006D29D9">
      <w:pPr>
        <w:pStyle w:val="CommentText"/>
      </w:pPr>
      <w:r>
        <w:rPr>
          <w:rStyle w:val="CommentReference"/>
        </w:rPr>
        <w:annotationRef/>
      </w:r>
      <w:r>
        <w:t>Conclusion must reflect with the observed findings of the present study.</w:t>
      </w:r>
    </w:p>
  </w:comment>
  <w:comment w:id="5" w:author="Qambar Khan Baloch" w:date="2025-07-18T22:53:00Z" w:initials="QB">
    <w:p w14:paraId="53DFB5DD" w14:textId="77777777" w:rsidR="006D29D9" w:rsidRDefault="006D29D9" w:rsidP="006D29D9">
      <w:pPr>
        <w:pStyle w:val="CommentText"/>
      </w:pPr>
      <w:r>
        <w:rPr>
          <w:rStyle w:val="CommentReference"/>
        </w:rPr>
        <w:annotationRef/>
      </w:r>
      <w:r>
        <w:t xml:space="preserve">Rewrite the keywords as - (Composite bread, soybean flour, carrot flour, functional properties, sensory evaluation, sustainable food, nutrient enrichment). </w:t>
      </w:r>
    </w:p>
  </w:comment>
  <w:comment w:id="6" w:author="Qambar Khan Baloch" w:date="2025-07-18T23:11:00Z" w:initials="QB">
    <w:p w14:paraId="06B1C120" w14:textId="77777777" w:rsidR="00575628" w:rsidRDefault="00575628" w:rsidP="00575628">
      <w:pPr>
        <w:pStyle w:val="CommentText"/>
      </w:pPr>
      <w:r>
        <w:rPr>
          <w:rStyle w:val="CommentReference"/>
        </w:rPr>
        <w:annotationRef/>
      </w:r>
      <w:r>
        <w:t>Overall, the introduction is well-structured and well-written but needs some minor changes and needs to be evaluated for grammatical mistakes.</w:t>
      </w:r>
    </w:p>
  </w:comment>
  <w:comment w:id="7" w:author="Qambar Khan Baloch" w:date="2025-07-18T23:03:00Z" w:initials="QB">
    <w:p w14:paraId="3669A267" w14:textId="36507B66" w:rsidR="005329D2" w:rsidRDefault="005329D2" w:rsidP="005329D2">
      <w:pPr>
        <w:pStyle w:val="CommentText"/>
      </w:pPr>
      <w:r>
        <w:rPr>
          <w:rStyle w:val="CommentReference"/>
        </w:rPr>
        <w:annotationRef/>
      </w:r>
      <w:r>
        <w:t>Paraphrase it with - (Bread is one of the most widely consumed staple foods globally).</w:t>
      </w:r>
    </w:p>
  </w:comment>
  <w:comment w:id="8" w:author="Qambar Khan Baloch" w:date="2025-07-18T23:01:00Z" w:initials="QB">
    <w:p w14:paraId="0E1EF382" w14:textId="44DC1AE2" w:rsidR="001E225A" w:rsidRDefault="001E225A" w:rsidP="001E225A">
      <w:pPr>
        <w:pStyle w:val="CommentText"/>
      </w:pPr>
      <w:r>
        <w:rPr>
          <w:rStyle w:val="CommentReference"/>
        </w:rPr>
        <w:annotationRef/>
      </w:r>
      <w:r>
        <w:t>Paraphrase it with - (growing health concerns regarding its association with increased risks of overweight, type 2 diabetes, and cardiovascular diseases).</w:t>
      </w:r>
    </w:p>
  </w:comment>
  <w:comment w:id="9" w:author="Qambar Khan Baloch" w:date="2025-07-18T23:04:00Z" w:initials="QB">
    <w:p w14:paraId="7968DEB4" w14:textId="77777777" w:rsidR="003E765C" w:rsidRDefault="003E765C" w:rsidP="003E765C">
      <w:pPr>
        <w:pStyle w:val="CommentText"/>
      </w:pPr>
      <w:r>
        <w:rPr>
          <w:rStyle w:val="CommentReference"/>
        </w:rPr>
        <w:annotationRef/>
      </w:r>
      <w:r>
        <w:t>Italic</w:t>
      </w:r>
    </w:p>
  </w:comment>
  <w:comment w:id="10" w:author="Qambar Khan Baloch" w:date="2025-07-18T23:05:00Z" w:initials="QB">
    <w:p w14:paraId="05FC14CE" w14:textId="77777777" w:rsidR="000863D3" w:rsidRDefault="000863D3" w:rsidP="000863D3">
      <w:pPr>
        <w:pStyle w:val="CommentText"/>
      </w:pPr>
      <w:r>
        <w:rPr>
          <w:rStyle w:val="CommentReference"/>
        </w:rPr>
        <w:annotationRef/>
      </w:r>
      <w:r>
        <w:t>Write it in Italic</w:t>
      </w:r>
    </w:p>
  </w:comment>
  <w:comment w:id="11" w:author="Qambar Khan Baloch" w:date="2025-07-18T23:07:00Z" w:initials="QB">
    <w:p w14:paraId="0360FDC1" w14:textId="77777777" w:rsidR="000863D3" w:rsidRDefault="000863D3" w:rsidP="000863D3">
      <w:pPr>
        <w:pStyle w:val="CommentText"/>
      </w:pPr>
      <w:r>
        <w:rPr>
          <w:rStyle w:val="CommentReference"/>
        </w:rPr>
        <w:annotationRef/>
      </w:r>
      <w:r>
        <w:t>No need to write the carrot with capital C.</w:t>
      </w:r>
    </w:p>
  </w:comment>
  <w:comment w:id="13" w:author="Qambar Khan Baloch" w:date="2025-07-18T23:08:00Z" w:initials="QB">
    <w:p w14:paraId="111F6AE5" w14:textId="77777777" w:rsidR="000863D3" w:rsidRDefault="000863D3" w:rsidP="000863D3">
      <w:pPr>
        <w:pStyle w:val="CommentText"/>
      </w:pPr>
      <w:r>
        <w:rPr>
          <w:rStyle w:val="CommentReference"/>
        </w:rPr>
        <w:annotationRef/>
      </w:r>
      <w:r>
        <w:t>Present study</w:t>
      </w:r>
    </w:p>
  </w:comment>
  <w:comment w:id="12" w:author="Qambar Khan Baloch" w:date="2025-07-18T23:16:00Z" w:initials="QB">
    <w:p w14:paraId="645B08E8" w14:textId="77777777" w:rsidR="00E33235" w:rsidRDefault="00E33235" w:rsidP="00E33235">
      <w:pPr>
        <w:pStyle w:val="CommentText"/>
      </w:pPr>
      <w:r>
        <w:rPr>
          <w:rStyle w:val="CommentReference"/>
        </w:rPr>
        <w:annotationRef/>
      </w:r>
      <w:r>
        <w:t>The present statement needs to be paraphrase - (Therefore, the present study aims to develop and evaluate the bread enriched with soybean and carrot flours, assessing its nutritional and sensory attributes to produce functional bakery products suitable for nutritionally vulnerable populations specially in developing world).</w:t>
      </w:r>
    </w:p>
  </w:comment>
  <w:comment w:id="14" w:author="Qambar Khan Baloch" w:date="2025-07-18T23:27:00Z" w:initials="QB">
    <w:p w14:paraId="2D97A3DC" w14:textId="77777777" w:rsidR="0099206C" w:rsidRDefault="0099206C" w:rsidP="0099206C">
      <w:pPr>
        <w:pStyle w:val="CommentText"/>
      </w:pPr>
      <w:r>
        <w:rPr>
          <w:rStyle w:val="CommentReference"/>
        </w:rPr>
        <w:annotationRef/>
      </w:r>
      <w:r>
        <w:t xml:space="preserve">The statement needs to be paraphrased for a better readability - ( Wheat flour, soybeans, and fresh carrots along with other baking ingredients i.e., sugar, yeast, vegetable oil, and salt were procured from the local markets in Ogbomoso, Nigeria).   </w:t>
      </w:r>
    </w:p>
  </w:comment>
  <w:comment w:id="15" w:author="Qambar Khan Baloch" w:date="2025-07-18T23:29:00Z" w:initials="QB">
    <w:p w14:paraId="43609FD2" w14:textId="77777777" w:rsidR="0099206C" w:rsidRDefault="0099206C" w:rsidP="0099206C">
      <w:pPr>
        <w:pStyle w:val="CommentText"/>
      </w:pPr>
      <w:r>
        <w:rPr>
          <w:rStyle w:val="CommentReference"/>
        </w:rPr>
        <w:annotationRef/>
      </w:r>
      <w:r>
        <w:t>Add further information about the milling machine such as its name, model, capacity, etc.</w:t>
      </w:r>
    </w:p>
  </w:comment>
  <w:comment w:id="16" w:author="Qambar Khan Baloch" w:date="2025-07-19T10:29:00Z" w:initials="QB">
    <w:p w14:paraId="22BC68E4" w14:textId="77777777" w:rsidR="00F456F1" w:rsidRDefault="00F456F1" w:rsidP="00F456F1">
      <w:pPr>
        <w:pStyle w:val="CommentText"/>
      </w:pPr>
      <w:r>
        <w:rPr>
          <w:rStyle w:val="CommentReference"/>
        </w:rPr>
        <w:annotationRef/>
      </w:r>
      <w:r>
        <w:t xml:space="preserve">Add further details on the milling process of wheat to flour. </w:t>
      </w:r>
    </w:p>
  </w:comment>
  <w:comment w:id="17" w:author="Qambar Khan Baloch" w:date="2025-07-19T10:33:00Z" w:initials="QB">
    <w:p w14:paraId="629AEE6A" w14:textId="77777777" w:rsidR="00B142EB" w:rsidRDefault="00B142EB" w:rsidP="00B142EB">
      <w:pPr>
        <w:pStyle w:val="CommentText"/>
      </w:pPr>
      <w:r>
        <w:rPr>
          <w:rStyle w:val="CommentReference"/>
        </w:rPr>
        <w:annotationRef/>
      </w:r>
      <w:r>
        <w:t>How the carrots were dried and grinded into flour? Describe the details of converting fresh carrots into powder.</w:t>
      </w:r>
    </w:p>
  </w:comment>
  <w:comment w:id="18" w:author="Qambar Khan Baloch" w:date="2025-07-19T10:34:00Z" w:initials="QB">
    <w:p w14:paraId="6ADD656A" w14:textId="77777777" w:rsidR="00B142EB" w:rsidRDefault="00B142EB" w:rsidP="00B142EB">
      <w:pPr>
        <w:pStyle w:val="CommentText"/>
      </w:pPr>
      <w:r>
        <w:rPr>
          <w:rStyle w:val="CommentReference"/>
        </w:rPr>
        <w:annotationRef/>
      </w:r>
      <w:r>
        <w:t xml:space="preserve">As the soybeans contain a high content of oil were they defatted before being used in bread making or not? Describe it.  </w:t>
      </w:r>
    </w:p>
  </w:comment>
  <w:comment w:id="19" w:author="Qambar Khan Baloch" w:date="2025-07-19T10:35:00Z" w:initials="QB">
    <w:p w14:paraId="6679A1FB" w14:textId="77777777" w:rsidR="00B142EB" w:rsidRDefault="00B142EB" w:rsidP="00B142EB">
      <w:pPr>
        <w:pStyle w:val="CommentText"/>
      </w:pPr>
      <w:r>
        <w:rPr>
          <w:rStyle w:val="CommentReference"/>
        </w:rPr>
        <w:annotationRef/>
      </w:r>
      <w:r>
        <w:t xml:space="preserve">Write the table title in sentence case. </w:t>
      </w:r>
    </w:p>
  </w:comment>
  <w:comment w:id="20" w:author="Qambar Khan Baloch" w:date="2025-07-19T10:40:00Z" w:initials="QB">
    <w:p w14:paraId="1D7B8225" w14:textId="77777777" w:rsidR="00D86D20" w:rsidRDefault="00E41C29" w:rsidP="00D86D20">
      <w:pPr>
        <w:pStyle w:val="CommentText"/>
      </w:pPr>
      <w:r>
        <w:rPr>
          <w:rStyle w:val="CommentReference"/>
        </w:rPr>
        <w:annotationRef/>
      </w:r>
      <w:r w:rsidR="00D86D20">
        <w:t xml:space="preserve">Briefly state ingredient ratios or reference a standard bread formula for reproducibility. </w:t>
      </w:r>
    </w:p>
  </w:comment>
  <w:comment w:id="21" w:author="Qambar Khan Baloch" w:date="2025-07-19T10:38:00Z" w:initials="QB">
    <w:p w14:paraId="60051FF0" w14:textId="071F1E83" w:rsidR="00E41C29" w:rsidRDefault="00E41C29" w:rsidP="00E41C29">
      <w:pPr>
        <w:pStyle w:val="CommentText"/>
      </w:pPr>
      <w:r>
        <w:rPr>
          <w:rStyle w:val="CommentReference"/>
        </w:rPr>
        <w:annotationRef/>
      </w:r>
      <w:r>
        <w:t>Whose method was followed to develop the bread? Cite the method.</w:t>
      </w:r>
    </w:p>
  </w:comment>
  <w:comment w:id="22" w:author="Qambar Khan Baloch" w:date="2025-07-19T10:40:00Z" w:initials="QB">
    <w:p w14:paraId="51F5AAD2" w14:textId="77777777" w:rsidR="00E41C29" w:rsidRDefault="00E41C29" w:rsidP="00E41C29">
      <w:pPr>
        <w:pStyle w:val="CommentText"/>
      </w:pPr>
      <w:r>
        <w:rPr>
          <w:rStyle w:val="CommentReference"/>
        </w:rPr>
        <w:annotationRef/>
      </w:r>
      <w:r>
        <w:t xml:space="preserve">Which type of oven was used to bake the breads? Add further details </w:t>
      </w:r>
    </w:p>
  </w:comment>
  <w:comment w:id="23" w:author="Qambar Khan Baloch" w:date="2025-07-19T10:43:00Z" w:initials="QB">
    <w:p w14:paraId="07748CC7" w14:textId="77777777" w:rsidR="009B4B04" w:rsidRDefault="005B4A88" w:rsidP="009B4B04">
      <w:pPr>
        <w:pStyle w:val="CommentText"/>
      </w:pPr>
      <w:r>
        <w:rPr>
          <w:rStyle w:val="CommentReference"/>
        </w:rPr>
        <w:annotationRef/>
      </w:r>
      <w:r w:rsidR="009B4B04">
        <w:t>No need to add such statements in materials and methods sections. Remove such statements. Only add methodological content here.</w:t>
      </w:r>
    </w:p>
  </w:comment>
  <w:comment w:id="24" w:author="Qambar Khan Baloch" w:date="2025-07-19T10:49:00Z" w:initials="QB">
    <w:p w14:paraId="50D604DC" w14:textId="77777777" w:rsidR="00BA7B5C" w:rsidRDefault="00BA7B5C" w:rsidP="00BA7B5C">
      <w:pPr>
        <w:pStyle w:val="CommentText"/>
      </w:pPr>
      <w:r>
        <w:rPr>
          <w:rStyle w:val="CommentReference"/>
        </w:rPr>
        <w:annotationRef/>
      </w:r>
      <w:r>
        <w:t xml:space="preserve">Remove the statement. Only add methodological content here. </w:t>
      </w:r>
    </w:p>
  </w:comment>
  <w:comment w:id="25" w:author="Qambar Khan Baloch" w:date="2025-07-19T10:55:00Z" w:initials="QB">
    <w:p w14:paraId="566BD13C" w14:textId="77777777" w:rsidR="00E15D27" w:rsidRDefault="00E15D27" w:rsidP="00E15D27">
      <w:pPr>
        <w:pStyle w:val="CommentText"/>
      </w:pPr>
      <w:r>
        <w:rPr>
          <w:rStyle w:val="CommentReference"/>
        </w:rPr>
        <w:annotationRef/>
      </w:r>
      <w:r>
        <w:t xml:space="preserve">Remove the statement. Only methodological content here. </w:t>
      </w:r>
    </w:p>
  </w:comment>
  <w:comment w:id="26" w:author="Qambar Khan Baloch" w:date="2025-07-19T10:57:00Z" w:initials="QB">
    <w:p w14:paraId="660EF2F1" w14:textId="77777777" w:rsidR="00167A87" w:rsidRDefault="00167A87" w:rsidP="00167A87">
      <w:pPr>
        <w:pStyle w:val="CommentText"/>
      </w:pPr>
      <w:r>
        <w:rPr>
          <w:rStyle w:val="CommentReference"/>
        </w:rPr>
        <w:annotationRef/>
      </w:r>
      <w:r>
        <w:t xml:space="preserve">Here you are stating that no colonies were seen in but still proceeded with fungal and LAB enumeration. </w:t>
      </w:r>
    </w:p>
  </w:comment>
  <w:comment w:id="27" w:author="Qambar Khan Baloch" w:date="2025-07-19T11:00:00Z" w:initials="QB">
    <w:p w14:paraId="0393F4B9" w14:textId="77777777" w:rsidR="00CF6915" w:rsidRDefault="00CF6915" w:rsidP="00CF6915">
      <w:pPr>
        <w:pStyle w:val="CommentText"/>
      </w:pPr>
      <w:r>
        <w:rPr>
          <w:rStyle w:val="CommentReference"/>
        </w:rPr>
        <w:annotationRef/>
      </w:r>
      <w:r>
        <w:t xml:space="preserve">Add the ranges of 9-point hedonic scale from 1 to 9. </w:t>
      </w:r>
    </w:p>
  </w:comment>
  <w:comment w:id="28" w:author="Qambar Khan Baloch" w:date="2025-07-19T11:14:00Z" w:initials="QB">
    <w:p w14:paraId="58EBF698" w14:textId="77777777" w:rsidR="00814258" w:rsidRDefault="00814258" w:rsidP="00814258">
      <w:pPr>
        <w:pStyle w:val="CommentText"/>
      </w:pPr>
      <w:r>
        <w:rPr>
          <w:rStyle w:val="CommentReference"/>
        </w:rPr>
        <w:annotationRef/>
      </w:r>
      <w:r>
        <w:t xml:space="preserve">Statistical analysis section is missing. </w:t>
      </w:r>
    </w:p>
  </w:comment>
  <w:comment w:id="29" w:author="Qambar Khan Baloch" w:date="2025-07-19T11:06:00Z" w:initials="QB">
    <w:p w14:paraId="6C0F18DE" w14:textId="65447652" w:rsidR="00E66948" w:rsidRDefault="00E66948" w:rsidP="00E66948">
      <w:pPr>
        <w:pStyle w:val="CommentText"/>
      </w:pPr>
      <w:r>
        <w:rPr>
          <w:rStyle w:val="CommentReference"/>
        </w:rPr>
        <w:annotationRef/>
      </w:r>
      <w:r>
        <w:t xml:space="preserve">“Table 1” is mentioned in the text, but the actual table is labeled “Table 2.” Similarly, the rest of the tables appear mismatched. Ensure all tables are correctly numbered in order and referred to consistently. </w:t>
      </w:r>
    </w:p>
  </w:comment>
  <w:comment w:id="30" w:author="Qambar Khan Baloch" w:date="2025-07-19T11:16:00Z" w:initials="QB">
    <w:p w14:paraId="55574628" w14:textId="77777777" w:rsidR="00030E4A" w:rsidRDefault="00030E4A" w:rsidP="00030E4A">
      <w:pPr>
        <w:pStyle w:val="CommentText"/>
      </w:pPr>
      <w:r>
        <w:rPr>
          <w:rStyle w:val="CommentReference"/>
        </w:rPr>
        <w:annotationRef/>
      </w:r>
      <w:r>
        <w:t xml:space="preserve">Sample E has the lowest protein content of 12.91% — this should be emphasized more clearly as it is the control sample, underlining the nutritional benefit of enrichment. </w:t>
      </w:r>
    </w:p>
  </w:comment>
  <w:comment w:id="31" w:author="Qambar Khan Baloch" w:date="2025-07-19T11:12:00Z" w:initials="QB">
    <w:p w14:paraId="4025C167" w14:textId="091B981A" w:rsidR="007C4B23" w:rsidRDefault="007C4B23" w:rsidP="007C4B23">
      <w:pPr>
        <w:pStyle w:val="CommentText"/>
      </w:pPr>
      <w:r>
        <w:rPr>
          <w:rStyle w:val="CommentReference"/>
        </w:rPr>
        <w:annotationRef/>
      </w:r>
      <w:r>
        <w:t>Write a detailed title of the table such as Proximate analysis of bread developed from wheat, soybean and carrot flour blend</w:t>
      </w:r>
    </w:p>
  </w:comment>
  <w:comment w:id="32" w:author="Qambar Khan Baloch" w:date="2025-07-19T11:10:00Z" w:initials="QB">
    <w:p w14:paraId="3B766C4E" w14:textId="22CABEF7" w:rsidR="007C4B23" w:rsidRDefault="007C4B23" w:rsidP="007C4B23">
      <w:pPr>
        <w:pStyle w:val="CommentText"/>
      </w:pPr>
      <w:r>
        <w:rPr>
          <w:rStyle w:val="CommentReference"/>
        </w:rPr>
        <w:annotationRef/>
      </w:r>
      <w:r>
        <w:t xml:space="preserve">Write the full forms instead of abbreviations. </w:t>
      </w:r>
    </w:p>
  </w:comment>
  <w:comment w:id="33" w:author="Qambar Khan Baloch" w:date="2025-07-19T11:21:00Z" w:initials="QB">
    <w:p w14:paraId="314AD767" w14:textId="77777777" w:rsidR="001A62B9" w:rsidRDefault="001A62B9" w:rsidP="001A62B9">
      <w:pPr>
        <w:pStyle w:val="CommentText"/>
      </w:pPr>
      <w:r>
        <w:rPr>
          <w:rStyle w:val="CommentReference"/>
        </w:rPr>
        <w:annotationRef/>
      </w:r>
      <w:r>
        <w:t>???</w:t>
      </w:r>
    </w:p>
  </w:comment>
  <w:comment w:id="34" w:author="Qambar Khan Baloch" w:date="2025-07-19T11:21:00Z" w:initials="QB">
    <w:p w14:paraId="4FAD7ABB" w14:textId="77777777" w:rsidR="00B6726C" w:rsidRDefault="00B6726C" w:rsidP="00B6726C">
      <w:pPr>
        <w:pStyle w:val="CommentText"/>
      </w:pPr>
      <w:r>
        <w:rPr>
          <w:rStyle w:val="CommentReference"/>
        </w:rPr>
        <w:annotationRef/>
      </w:r>
      <w:r>
        <w:t>Add a full title to the table.</w:t>
      </w:r>
    </w:p>
  </w:comment>
  <w:comment w:id="35" w:author="Qambar Khan Baloch" w:date="2025-07-19T11:27:00Z" w:initials="QB">
    <w:p w14:paraId="39255606" w14:textId="77777777" w:rsidR="00452B66" w:rsidRDefault="00452B66" w:rsidP="00452B66">
      <w:pPr>
        <w:pStyle w:val="CommentText"/>
      </w:pPr>
      <w:r>
        <w:rPr>
          <w:rStyle w:val="CommentReference"/>
        </w:rPr>
        <w:annotationRef/>
      </w:r>
      <w:r>
        <w:t>Add a full title to the table.</w:t>
      </w:r>
    </w:p>
  </w:comment>
  <w:comment w:id="36" w:author="Qambar Khan Baloch" w:date="2025-07-19T11:26:00Z" w:initials="QB">
    <w:p w14:paraId="6A60C892" w14:textId="1AFA8EE4" w:rsidR="00452B66" w:rsidRDefault="00452B66" w:rsidP="00452B66">
      <w:pPr>
        <w:pStyle w:val="CommentText"/>
      </w:pPr>
      <w:r>
        <w:rPr>
          <w:rStyle w:val="CommentReference"/>
        </w:rPr>
        <w:annotationRef/>
      </w:r>
      <w:r>
        <w:t xml:space="preserve">Table heading is stating "Vitamin B2" while the text discusses "Vitamin B3 (Niacin)." Please clarify and correct. </w:t>
      </w:r>
    </w:p>
  </w:comment>
  <w:comment w:id="37" w:author="Qambar Khan Baloch" w:date="2025-07-19T11:31:00Z" w:initials="QB">
    <w:p w14:paraId="523E4D9E" w14:textId="77777777" w:rsidR="00BD400C" w:rsidRDefault="00BD400C" w:rsidP="00BD400C">
      <w:pPr>
        <w:pStyle w:val="CommentText"/>
      </w:pPr>
      <w:r>
        <w:rPr>
          <w:rStyle w:val="CommentReference"/>
        </w:rPr>
        <w:annotationRef/>
      </w:r>
      <w:r>
        <w:t>Add a detailed title.</w:t>
      </w:r>
    </w:p>
  </w:comment>
  <w:comment w:id="38" w:author="Qambar Khan Baloch" w:date="2025-07-19T11:36:00Z" w:initials="QB">
    <w:p w14:paraId="7C8DE63C" w14:textId="77777777" w:rsidR="00E12C57" w:rsidRDefault="00E12C57" w:rsidP="00E12C57">
      <w:pPr>
        <w:pStyle w:val="CommentText"/>
      </w:pPr>
      <w:r>
        <w:rPr>
          <w:rStyle w:val="CommentReference"/>
        </w:rPr>
        <w:annotationRef/>
      </w:r>
      <w:r>
        <w:t xml:space="preserve">Volume is reported in grams — but volume is typically measured in </w:t>
      </w:r>
      <w:r>
        <w:rPr>
          <w:b/>
          <w:bCs/>
        </w:rPr>
        <w:t>cm³</w:t>
      </w:r>
      <w:r>
        <w:t xml:space="preserve">. Please double-check units for accuracy. If it refers to weight, consider renaming to avoid confusion. </w:t>
      </w:r>
    </w:p>
  </w:comment>
  <w:comment w:id="39" w:author="Qambar Khan Baloch" w:date="2025-07-19T11:37:00Z" w:initials="QB">
    <w:p w14:paraId="5958E5E6" w14:textId="77777777" w:rsidR="000A3309" w:rsidRDefault="000A3309" w:rsidP="000A3309">
      <w:pPr>
        <w:pStyle w:val="CommentText"/>
      </w:pPr>
      <w:r>
        <w:rPr>
          <w:rStyle w:val="CommentReference"/>
        </w:rPr>
        <w:annotationRef/>
      </w:r>
      <w:r>
        <w:t>Add a detailed  title to the table.</w:t>
      </w:r>
    </w:p>
  </w:comment>
  <w:comment w:id="42" w:author="Qambar Khan Baloch" w:date="2025-07-19T11:43:00Z" w:initials="QB">
    <w:p w14:paraId="3BBE0A3D" w14:textId="77777777" w:rsidR="00932C35" w:rsidRDefault="001B3D60" w:rsidP="00932C35">
      <w:pPr>
        <w:pStyle w:val="CommentText"/>
      </w:pPr>
      <w:r>
        <w:rPr>
          <w:rStyle w:val="CommentReference"/>
        </w:rPr>
        <w:annotationRef/>
      </w:r>
      <w:r w:rsidR="00932C35">
        <w:t xml:space="preserve">Table is inconsistent with headings (e.g., “TVC (104)” and “TVC (105)”) — clarify what these mean (possibly different dilution levels?). Also, headings like “PDA” and “LAB” need explanation (e.g., “PDA = Yeast &amp; Mold count on Potato Dextrose Agar”). </w:t>
      </w:r>
    </w:p>
  </w:comment>
  <w:comment w:id="40" w:author="Qambar Khan Baloch" w:date="2025-07-19T11:43:00Z" w:initials="QB">
    <w:p w14:paraId="2149FF8A" w14:textId="77777777" w:rsidR="00932C35" w:rsidRDefault="00932C35" w:rsidP="00932C35">
      <w:pPr>
        <w:pStyle w:val="CommentText"/>
      </w:pPr>
      <w:r>
        <w:rPr>
          <w:rStyle w:val="CommentReference"/>
        </w:rPr>
        <w:annotationRef/>
      </w:r>
      <w:r>
        <w:t xml:space="preserve">data should be consistently shown in either CFU/g or per dilution factor. </w:t>
      </w:r>
    </w:p>
  </w:comment>
  <w:comment w:id="41" w:author="Qambar Khan Baloch" w:date="2025-07-19T11:45:00Z" w:initials="QB">
    <w:p w14:paraId="42FE887B" w14:textId="77777777" w:rsidR="007D26A4" w:rsidRDefault="007D26A4" w:rsidP="007D26A4">
      <w:pPr>
        <w:pStyle w:val="CommentText"/>
      </w:pPr>
      <w:r>
        <w:rPr>
          <w:rStyle w:val="CommentReference"/>
        </w:rPr>
        <w:annotationRef/>
      </w:r>
      <w:r>
        <w:t>Define abbreviations like TVC, PDA, LAB, etc., when first used.</w:t>
      </w:r>
    </w:p>
  </w:comment>
  <w:comment w:id="43" w:author="Qambar Khan Baloch" w:date="2025-07-19T11:46:00Z" w:initials="QB">
    <w:p w14:paraId="52C3E8BD" w14:textId="77777777" w:rsidR="00897716" w:rsidRDefault="00897716" w:rsidP="00897716">
      <w:pPr>
        <w:pStyle w:val="CommentText"/>
      </w:pPr>
      <w:r>
        <w:rPr>
          <w:rStyle w:val="CommentReference"/>
        </w:rPr>
        <w:annotationRef/>
      </w:r>
      <w:r>
        <w:t>Average score of</w:t>
      </w:r>
    </w:p>
  </w:comment>
  <w:comment w:id="44" w:author="Qambar Khan Baloch" w:date="2025-07-19T11:50:00Z" w:initials="QB">
    <w:p w14:paraId="1B0C9315" w14:textId="77777777" w:rsidR="00731B3D" w:rsidRDefault="00731B3D" w:rsidP="00731B3D">
      <w:pPr>
        <w:pStyle w:val="CommentText"/>
      </w:pPr>
      <w:r>
        <w:rPr>
          <w:rStyle w:val="CommentReference"/>
        </w:rPr>
        <w:annotationRef/>
      </w:r>
      <w:r>
        <w:t>Rewrite the conclusion section more concise and sentences should be well-structured and connected.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38006C" w15:done="0"/>
  <w15:commentEx w15:paraId="43DEFDA2" w15:done="0"/>
  <w15:commentEx w15:paraId="628271CE" w15:done="0"/>
  <w15:commentEx w15:paraId="7ABEEA34" w15:done="0"/>
  <w15:commentEx w15:paraId="25327CBB" w15:done="0"/>
  <w15:commentEx w15:paraId="53DFB5DD" w15:done="0"/>
  <w15:commentEx w15:paraId="06B1C120" w15:done="0"/>
  <w15:commentEx w15:paraId="3669A267" w15:done="0"/>
  <w15:commentEx w15:paraId="0E1EF382" w15:done="0"/>
  <w15:commentEx w15:paraId="7968DEB4" w15:done="0"/>
  <w15:commentEx w15:paraId="05FC14CE" w15:done="0"/>
  <w15:commentEx w15:paraId="0360FDC1" w15:done="0"/>
  <w15:commentEx w15:paraId="111F6AE5" w15:done="0"/>
  <w15:commentEx w15:paraId="645B08E8" w15:done="0"/>
  <w15:commentEx w15:paraId="2D97A3DC" w15:done="0"/>
  <w15:commentEx w15:paraId="43609FD2" w15:paraIdParent="2D97A3DC" w15:done="0"/>
  <w15:commentEx w15:paraId="22BC68E4" w15:done="0"/>
  <w15:commentEx w15:paraId="629AEE6A" w15:done="0"/>
  <w15:commentEx w15:paraId="6ADD656A" w15:done="0"/>
  <w15:commentEx w15:paraId="6679A1FB" w15:done="0"/>
  <w15:commentEx w15:paraId="1D7B8225" w15:done="0"/>
  <w15:commentEx w15:paraId="60051FF0" w15:done="0"/>
  <w15:commentEx w15:paraId="51F5AAD2" w15:done="0"/>
  <w15:commentEx w15:paraId="07748CC7" w15:done="0"/>
  <w15:commentEx w15:paraId="50D604DC" w15:done="0"/>
  <w15:commentEx w15:paraId="566BD13C" w15:done="0"/>
  <w15:commentEx w15:paraId="660EF2F1" w15:done="0"/>
  <w15:commentEx w15:paraId="0393F4B9" w15:done="0"/>
  <w15:commentEx w15:paraId="58EBF698" w15:done="0"/>
  <w15:commentEx w15:paraId="6C0F18DE" w15:done="0"/>
  <w15:commentEx w15:paraId="55574628" w15:done="0"/>
  <w15:commentEx w15:paraId="4025C167" w15:done="0"/>
  <w15:commentEx w15:paraId="3B766C4E" w15:done="0"/>
  <w15:commentEx w15:paraId="314AD767" w15:done="0"/>
  <w15:commentEx w15:paraId="4FAD7ABB" w15:done="0"/>
  <w15:commentEx w15:paraId="39255606" w15:done="0"/>
  <w15:commentEx w15:paraId="6A60C892" w15:done="0"/>
  <w15:commentEx w15:paraId="523E4D9E" w15:done="0"/>
  <w15:commentEx w15:paraId="7C8DE63C" w15:done="0"/>
  <w15:commentEx w15:paraId="5958E5E6" w15:done="0"/>
  <w15:commentEx w15:paraId="3BBE0A3D" w15:done="0"/>
  <w15:commentEx w15:paraId="2149FF8A" w15:paraIdParent="3BBE0A3D" w15:done="0"/>
  <w15:commentEx w15:paraId="42FE887B" w15:paraIdParent="3BBE0A3D" w15:done="0"/>
  <w15:commentEx w15:paraId="52C3E8BD" w15:done="0"/>
  <w15:commentEx w15:paraId="1B0C93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6A3A61" w16cex:dateUtc="2025-07-19T05:18:00Z"/>
  <w16cex:commentExtensible w16cex:durableId="09F6792D" w16cex:dateUtc="2025-07-19T05:39:00Z"/>
  <w16cex:commentExtensible w16cex:durableId="0D21CC4A" w16cex:dateUtc="2025-07-19T05:42:00Z"/>
  <w16cex:commentExtensible w16cex:durableId="4519A479" w16cex:dateUtc="2025-07-19T05:49:00Z"/>
  <w16cex:commentExtensible w16cex:durableId="497B4FAB" w16cex:dateUtc="2025-07-19T05:51:00Z"/>
  <w16cex:commentExtensible w16cex:durableId="5046A380" w16cex:dateUtc="2025-07-19T05:53:00Z"/>
  <w16cex:commentExtensible w16cex:durableId="7003FEA8" w16cex:dateUtc="2025-07-19T06:11:00Z"/>
  <w16cex:commentExtensible w16cex:durableId="1688BE10" w16cex:dateUtc="2025-07-19T06:03:00Z"/>
  <w16cex:commentExtensible w16cex:durableId="703D8A14" w16cex:dateUtc="2025-07-19T06:01:00Z"/>
  <w16cex:commentExtensible w16cex:durableId="2E117DDB" w16cex:dateUtc="2025-07-19T06:04:00Z"/>
  <w16cex:commentExtensible w16cex:durableId="1D3649EA" w16cex:dateUtc="2025-07-19T06:05:00Z"/>
  <w16cex:commentExtensible w16cex:durableId="3F8EBEEE" w16cex:dateUtc="2025-07-19T06:07:00Z"/>
  <w16cex:commentExtensible w16cex:durableId="66820F31" w16cex:dateUtc="2025-07-19T06:08:00Z"/>
  <w16cex:commentExtensible w16cex:durableId="46B09594" w16cex:dateUtc="2025-07-19T06:16:00Z"/>
  <w16cex:commentExtensible w16cex:durableId="077671DF" w16cex:dateUtc="2025-07-19T06:27:00Z"/>
  <w16cex:commentExtensible w16cex:durableId="6F53CA21" w16cex:dateUtc="2025-07-19T06:29:00Z"/>
  <w16cex:commentExtensible w16cex:durableId="4F160488" w16cex:dateUtc="2025-07-19T17:29:00Z"/>
  <w16cex:commentExtensible w16cex:durableId="770F750A" w16cex:dateUtc="2025-07-19T17:33:00Z"/>
  <w16cex:commentExtensible w16cex:durableId="29437313" w16cex:dateUtc="2025-07-19T17:34:00Z"/>
  <w16cex:commentExtensible w16cex:durableId="10356B6F" w16cex:dateUtc="2025-07-19T17:35:00Z"/>
  <w16cex:commentExtensible w16cex:durableId="1D0C5E72" w16cex:dateUtc="2025-07-19T17:40:00Z"/>
  <w16cex:commentExtensible w16cex:durableId="27950956" w16cex:dateUtc="2025-07-19T17:38:00Z"/>
  <w16cex:commentExtensible w16cex:durableId="16E25B86" w16cex:dateUtc="2025-07-19T17:40:00Z"/>
  <w16cex:commentExtensible w16cex:durableId="17FF136A" w16cex:dateUtc="2025-07-19T17:43:00Z"/>
  <w16cex:commentExtensible w16cex:durableId="347A4653" w16cex:dateUtc="2025-07-19T17:49:00Z"/>
  <w16cex:commentExtensible w16cex:durableId="790B184C" w16cex:dateUtc="2025-07-19T17:55:00Z"/>
  <w16cex:commentExtensible w16cex:durableId="3308D999" w16cex:dateUtc="2025-07-19T17:57:00Z"/>
  <w16cex:commentExtensible w16cex:durableId="18EA886C" w16cex:dateUtc="2025-07-19T18:00:00Z"/>
  <w16cex:commentExtensible w16cex:durableId="2E31BA73" w16cex:dateUtc="2025-07-19T18:14:00Z"/>
  <w16cex:commentExtensible w16cex:durableId="57040FB9" w16cex:dateUtc="2025-07-19T18:06:00Z"/>
  <w16cex:commentExtensible w16cex:durableId="0F4E9078" w16cex:dateUtc="2025-07-19T18:16:00Z"/>
  <w16cex:commentExtensible w16cex:durableId="10BBB583" w16cex:dateUtc="2025-07-19T18:12:00Z"/>
  <w16cex:commentExtensible w16cex:durableId="789BA28B" w16cex:dateUtc="2025-07-19T18:10:00Z"/>
  <w16cex:commentExtensible w16cex:durableId="5F64C1D0" w16cex:dateUtc="2025-07-19T18:21:00Z"/>
  <w16cex:commentExtensible w16cex:durableId="2EAD9F72" w16cex:dateUtc="2025-07-19T18:21:00Z"/>
  <w16cex:commentExtensible w16cex:durableId="1699754C" w16cex:dateUtc="2025-07-19T18:27:00Z"/>
  <w16cex:commentExtensible w16cex:durableId="2E6BA639" w16cex:dateUtc="2025-07-19T18:26:00Z"/>
  <w16cex:commentExtensible w16cex:durableId="114F5D12" w16cex:dateUtc="2025-07-19T18:31:00Z"/>
  <w16cex:commentExtensible w16cex:durableId="640A942C" w16cex:dateUtc="2025-07-19T18:36:00Z"/>
  <w16cex:commentExtensible w16cex:durableId="4D867DAF" w16cex:dateUtc="2025-07-19T18:37:00Z"/>
  <w16cex:commentExtensible w16cex:durableId="30AFFF26" w16cex:dateUtc="2025-07-19T18:43:00Z"/>
  <w16cex:commentExtensible w16cex:durableId="30A9F0B2" w16cex:dateUtc="2025-07-19T18:43:00Z"/>
  <w16cex:commentExtensible w16cex:durableId="1E5BE9CE" w16cex:dateUtc="2025-07-19T18:45:00Z"/>
  <w16cex:commentExtensible w16cex:durableId="06454B41" w16cex:dateUtc="2025-07-19T18:46:00Z"/>
  <w16cex:commentExtensible w16cex:durableId="2A8EAA88" w16cex:dateUtc="2025-07-19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38006C" w16cid:durableId="696A3A61"/>
  <w16cid:commentId w16cid:paraId="43DEFDA2" w16cid:durableId="09F6792D"/>
  <w16cid:commentId w16cid:paraId="628271CE" w16cid:durableId="0D21CC4A"/>
  <w16cid:commentId w16cid:paraId="7ABEEA34" w16cid:durableId="4519A479"/>
  <w16cid:commentId w16cid:paraId="25327CBB" w16cid:durableId="497B4FAB"/>
  <w16cid:commentId w16cid:paraId="53DFB5DD" w16cid:durableId="5046A380"/>
  <w16cid:commentId w16cid:paraId="06B1C120" w16cid:durableId="7003FEA8"/>
  <w16cid:commentId w16cid:paraId="3669A267" w16cid:durableId="1688BE10"/>
  <w16cid:commentId w16cid:paraId="0E1EF382" w16cid:durableId="703D8A14"/>
  <w16cid:commentId w16cid:paraId="7968DEB4" w16cid:durableId="2E117DDB"/>
  <w16cid:commentId w16cid:paraId="05FC14CE" w16cid:durableId="1D3649EA"/>
  <w16cid:commentId w16cid:paraId="0360FDC1" w16cid:durableId="3F8EBEEE"/>
  <w16cid:commentId w16cid:paraId="111F6AE5" w16cid:durableId="66820F31"/>
  <w16cid:commentId w16cid:paraId="645B08E8" w16cid:durableId="46B09594"/>
  <w16cid:commentId w16cid:paraId="2D97A3DC" w16cid:durableId="077671DF"/>
  <w16cid:commentId w16cid:paraId="43609FD2" w16cid:durableId="6F53CA21"/>
  <w16cid:commentId w16cid:paraId="22BC68E4" w16cid:durableId="4F160488"/>
  <w16cid:commentId w16cid:paraId="629AEE6A" w16cid:durableId="770F750A"/>
  <w16cid:commentId w16cid:paraId="6ADD656A" w16cid:durableId="29437313"/>
  <w16cid:commentId w16cid:paraId="6679A1FB" w16cid:durableId="10356B6F"/>
  <w16cid:commentId w16cid:paraId="1D7B8225" w16cid:durableId="1D0C5E72"/>
  <w16cid:commentId w16cid:paraId="60051FF0" w16cid:durableId="27950956"/>
  <w16cid:commentId w16cid:paraId="51F5AAD2" w16cid:durableId="16E25B86"/>
  <w16cid:commentId w16cid:paraId="07748CC7" w16cid:durableId="17FF136A"/>
  <w16cid:commentId w16cid:paraId="50D604DC" w16cid:durableId="347A4653"/>
  <w16cid:commentId w16cid:paraId="566BD13C" w16cid:durableId="790B184C"/>
  <w16cid:commentId w16cid:paraId="660EF2F1" w16cid:durableId="3308D999"/>
  <w16cid:commentId w16cid:paraId="0393F4B9" w16cid:durableId="18EA886C"/>
  <w16cid:commentId w16cid:paraId="58EBF698" w16cid:durableId="2E31BA73"/>
  <w16cid:commentId w16cid:paraId="6C0F18DE" w16cid:durableId="57040FB9"/>
  <w16cid:commentId w16cid:paraId="55574628" w16cid:durableId="0F4E9078"/>
  <w16cid:commentId w16cid:paraId="4025C167" w16cid:durableId="10BBB583"/>
  <w16cid:commentId w16cid:paraId="3B766C4E" w16cid:durableId="789BA28B"/>
  <w16cid:commentId w16cid:paraId="314AD767" w16cid:durableId="5F64C1D0"/>
  <w16cid:commentId w16cid:paraId="4FAD7ABB" w16cid:durableId="2EAD9F72"/>
  <w16cid:commentId w16cid:paraId="39255606" w16cid:durableId="1699754C"/>
  <w16cid:commentId w16cid:paraId="6A60C892" w16cid:durableId="2E6BA639"/>
  <w16cid:commentId w16cid:paraId="523E4D9E" w16cid:durableId="114F5D12"/>
  <w16cid:commentId w16cid:paraId="7C8DE63C" w16cid:durableId="640A942C"/>
  <w16cid:commentId w16cid:paraId="5958E5E6" w16cid:durableId="4D867DAF"/>
  <w16cid:commentId w16cid:paraId="3BBE0A3D" w16cid:durableId="30AFFF26"/>
  <w16cid:commentId w16cid:paraId="2149FF8A" w16cid:durableId="30A9F0B2"/>
  <w16cid:commentId w16cid:paraId="42FE887B" w16cid:durableId="1E5BE9CE"/>
  <w16cid:commentId w16cid:paraId="52C3E8BD" w16cid:durableId="06454B41"/>
  <w16cid:commentId w16cid:paraId="1B0C9315" w16cid:durableId="2A8EAA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96D9E" w14:textId="77777777" w:rsidR="00EC7C42" w:rsidRDefault="00EC7C42" w:rsidP="00C37E61">
      <w:r>
        <w:separator/>
      </w:r>
    </w:p>
  </w:endnote>
  <w:endnote w:type="continuationSeparator" w:id="0">
    <w:p w14:paraId="2FB5E59C" w14:textId="77777777" w:rsidR="00EC7C42" w:rsidRDefault="00EC7C4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922D5" w14:textId="77777777" w:rsidR="000467EE" w:rsidRDefault="00046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7E3B1" w14:textId="77777777" w:rsidR="000467EE" w:rsidRDefault="000467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3C7EA" w14:textId="4FA3A90E" w:rsidR="00754C9A" w:rsidRPr="000467EE" w:rsidRDefault="00754C9A" w:rsidP="000467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27F8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D138C" w14:textId="77777777" w:rsidR="00EC7C42" w:rsidRDefault="00EC7C42" w:rsidP="00C37E61">
      <w:r>
        <w:separator/>
      </w:r>
    </w:p>
  </w:footnote>
  <w:footnote w:type="continuationSeparator" w:id="0">
    <w:p w14:paraId="411E9E0C" w14:textId="77777777" w:rsidR="00EC7C42" w:rsidRDefault="00EC7C4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76A5A" w14:textId="0A647FBD" w:rsidR="000467EE" w:rsidRDefault="00000000">
    <w:pPr>
      <w:pStyle w:val="Header"/>
    </w:pPr>
    <w:r>
      <w:rPr>
        <w:noProof/>
      </w:rPr>
      <w:pict w14:anchorId="3F506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339766"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97B83" w14:textId="367BE247" w:rsidR="000467EE" w:rsidRDefault="00000000">
    <w:pPr>
      <w:pStyle w:val="Header"/>
    </w:pPr>
    <w:r>
      <w:rPr>
        <w:noProof/>
      </w:rPr>
      <w:pict w14:anchorId="590F2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339767"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72163" w14:textId="3F7FFE4A" w:rsidR="00296529" w:rsidRPr="00296529" w:rsidRDefault="00000000" w:rsidP="00296529">
    <w:pPr>
      <w:ind w:left="2160"/>
      <w:jc w:val="center"/>
      <w:rPr>
        <w:rFonts w:ascii="Times New Roman" w:eastAsia="Calibri" w:hAnsi="Times New Roman"/>
        <w:i/>
        <w:sz w:val="18"/>
        <w:szCs w:val="22"/>
      </w:rPr>
    </w:pPr>
    <w:r>
      <w:rPr>
        <w:noProof/>
      </w:rPr>
      <w:pict w14:anchorId="5F9DB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339765"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4A88D6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145C2B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C4B006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45C46A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30FC55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F1295C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60B0E" w14:textId="3E8E2AE9" w:rsidR="000467EE" w:rsidRDefault="00000000">
    <w:pPr>
      <w:pStyle w:val="Header"/>
    </w:pPr>
    <w:r>
      <w:rPr>
        <w:noProof/>
      </w:rPr>
      <w:pict w14:anchorId="49CFA8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339769"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7590" w14:textId="75024187" w:rsidR="000467EE" w:rsidRDefault="00000000">
    <w:pPr>
      <w:pStyle w:val="Header"/>
    </w:pPr>
    <w:r>
      <w:rPr>
        <w:noProof/>
      </w:rPr>
      <w:pict w14:anchorId="0D2F92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339770"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F8381" w14:textId="35713A67" w:rsidR="000467EE" w:rsidRDefault="00000000">
    <w:pPr>
      <w:pStyle w:val="Header"/>
    </w:pPr>
    <w:r>
      <w:rPr>
        <w:noProof/>
      </w:rPr>
      <w:pict w14:anchorId="252FCA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339768"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020E4B"/>
    <w:multiLevelType w:val="hybridMultilevel"/>
    <w:tmpl w:val="98825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E085DEC"/>
    <w:multiLevelType w:val="multilevel"/>
    <w:tmpl w:val="011AB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0119739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41837004">
    <w:abstractNumId w:val="16"/>
  </w:num>
  <w:num w:numId="3" w16cid:durableId="1221867396">
    <w:abstractNumId w:val="25"/>
  </w:num>
  <w:num w:numId="4" w16cid:durableId="52035986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41403634">
    <w:abstractNumId w:val="8"/>
  </w:num>
  <w:num w:numId="6" w16cid:durableId="1335650588">
    <w:abstractNumId w:val="7"/>
  </w:num>
  <w:num w:numId="7" w16cid:durableId="130753001">
    <w:abstractNumId w:val="1"/>
  </w:num>
  <w:num w:numId="8" w16cid:durableId="1680278170">
    <w:abstractNumId w:val="13"/>
  </w:num>
  <w:num w:numId="9" w16cid:durableId="180778809">
    <w:abstractNumId w:val="27"/>
  </w:num>
  <w:num w:numId="10" w16cid:durableId="2107342726">
    <w:abstractNumId w:val="2"/>
  </w:num>
  <w:num w:numId="11" w16cid:durableId="949780186">
    <w:abstractNumId w:val="20"/>
  </w:num>
  <w:num w:numId="12" w16cid:durableId="1289554564">
    <w:abstractNumId w:val="4"/>
  </w:num>
  <w:num w:numId="13" w16cid:durableId="1293512223">
    <w:abstractNumId w:val="19"/>
  </w:num>
  <w:num w:numId="14" w16cid:durableId="1869947092">
    <w:abstractNumId w:val="9"/>
  </w:num>
  <w:num w:numId="15" w16cid:durableId="311909089">
    <w:abstractNumId w:val="23"/>
  </w:num>
  <w:num w:numId="16" w16cid:durableId="1132553032">
    <w:abstractNumId w:val="6"/>
  </w:num>
  <w:num w:numId="17" w16cid:durableId="2015257337">
    <w:abstractNumId w:val="24"/>
  </w:num>
  <w:num w:numId="18" w16cid:durableId="533542492">
    <w:abstractNumId w:val="15"/>
  </w:num>
  <w:num w:numId="19" w16cid:durableId="87621928">
    <w:abstractNumId w:val="30"/>
  </w:num>
  <w:num w:numId="20" w16cid:durableId="1156725996">
    <w:abstractNumId w:val="12"/>
  </w:num>
  <w:num w:numId="21" w16cid:durableId="1588421426">
    <w:abstractNumId w:val="10"/>
  </w:num>
  <w:num w:numId="22" w16cid:durableId="1973558529">
    <w:abstractNumId w:val="14"/>
  </w:num>
  <w:num w:numId="23" w16cid:durableId="936788309">
    <w:abstractNumId w:val="21"/>
  </w:num>
  <w:num w:numId="24" w16cid:durableId="621959305">
    <w:abstractNumId w:val="28"/>
  </w:num>
  <w:num w:numId="25" w16cid:durableId="1624145888">
    <w:abstractNumId w:val="5"/>
  </w:num>
  <w:num w:numId="26" w16cid:durableId="1029574742">
    <w:abstractNumId w:val="18"/>
  </w:num>
  <w:num w:numId="27" w16cid:durableId="1403606225">
    <w:abstractNumId w:val="22"/>
  </w:num>
  <w:num w:numId="28" w16cid:durableId="956371319">
    <w:abstractNumId w:val="29"/>
  </w:num>
  <w:num w:numId="29" w16cid:durableId="1867332353">
    <w:abstractNumId w:val="26"/>
  </w:num>
  <w:num w:numId="30" w16cid:durableId="1491405320">
    <w:abstractNumId w:val="11"/>
  </w:num>
  <w:num w:numId="31" w16cid:durableId="1507555170">
    <w:abstractNumId w:val="17"/>
  </w:num>
  <w:num w:numId="32" w16cid:durableId="185815807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ambar Khan Baloch">
    <w15:presenceInfo w15:providerId="AD" w15:userId="S::2k18-ht-71@student.sau.edu.pk::8e374cb8-00dd-4d63-9f3f-c78391999f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0E4A"/>
    <w:rsid w:val="0004579C"/>
    <w:rsid w:val="000467EE"/>
    <w:rsid w:val="00065EF9"/>
    <w:rsid w:val="000863D3"/>
    <w:rsid w:val="000A3309"/>
    <w:rsid w:val="000A47FA"/>
    <w:rsid w:val="000A65D3"/>
    <w:rsid w:val="000B1E33"/>
    <w:rsid w:val="000D689F"/>
    <w:rsid w:val="000E7B7B"/>
    <w:rsid w:val="000E7D62"/>
    <w:rsid w:val="00103357"/>
    <w:rsid w:val="00123C9F"/>
    <w:rsid w:val="00126190"/>
    <w:rsid w:val="00130F17"/>
    <w:rsid w:val="001320BF"/>
    <w:rsid w:val="00163BC4"/>
    <w:rsid w:val="00167A87"/>
    <w:rsid w:val="0018777B"/>
    <w:rsid w:val="00191062"/>
    <w:rsid w:val="00192B72"/>
    <w:rsid w:val="001A29D8"/>
    <w:rsid w:val="001A5CAA"/>
    <w:rsid w:val="001A62B9"/>
    <w:rsid w:val="001B0427"/>
    <w:rsid w:val="001B3D60"/>
    <w:rsid w:val="001D3A51"/>
    <w:rsid w:val="001E10D2"/>
    <w:rsid w:val="001E225A"/>
    <w:rsid w:val="001E25B4"/>
    <w:rsid w:val="001E44FE"/>
    <w:rsid w:val="00200595"/>
    <w:rsid w:val="00204835"/>
    <w:rsid w:val="00231920"/>
    <w:rsid w:val="0023195C"/>
    <w:rsid w:val="0024282C"/>
    <w:rsid w:val="002460DC"/>
    <w:rsid w:val="00250985"/>
    <w:rsid w:val="002556F6"/>
    <w:rsid w:val="00283105"/>
    <w:rsid w:val="0028397B"/>
    <w:rsid w:val="00284C4C"/>
    <w:rsid w:val="00287E68"/>
    <w:rsid w:val="00296529"/>
    <w:rsid w:val="002B27FB"/>
    <w:rsid w:val="002B685A"/>
    <w:rsid w:val="002C57D2"/>
    <w:rsid w:val="002E0D56"/>
    <w:rsid w:val="002E1B7A"/>
    <w:rsid w:val="002F22FA"/>
    <w:rsid w:val="00315186"/>
    <w:rsid w:val="0033343E"/>
    <w:rsid w:val="00336ED5"/>
    <w:rsid w:val="003512C2"/>
    <w:rsid w:val="003631D7"/>
    <w:rsid w:val="00371FB6"/>
    <w:rsid w:val="003763C1"/>
    <w:rsid w:val="00376BBE"/>
    <w:rsid w:val="0039224F"/>
    <w:rsid w:val="003A43A4"/>
    <w:rsid w:val="003A7E18"/>
    <w:rsid w:val="003B620D"/>
    <w:rsid w:val="003C4C86"/>
    <w:rsid w:val="003C6258"/>
    <w:rsid w:val="003E2904"/>
    <w:rsid w:val="003E765C"/>
    <w:rsid w:val="00401927"/>
    <w:rsid w:val="00404C57"/>
    <w:rsid w:val="0041027F"/>
    <w:rsid w:val="00412475"/>
    <w:rsid w:val="00423789"/>
    <w:rsid w:val="00423B6A"/>
    <w:rsid w:val="00440F43"/>
    <w:rsid w:val="00441B6F"/>
    <w:rsid w:val="00446221"/>
    <w:rsid w:val="00450E62"/>
    <w:rsid w:val="00452B66"/>
    <w:rsid w:val="004539DB"/>
    <w:rsid w:val="0045443B"/>
    <w:rsid w:val="00471A80"/>
    <w:rsid w:val="004874F1"/>
    <w:rsid w:val="004D305E"/>
    <w:rsid w:val="004D4277"/>
    <w:rsid w:val="004E3CE6"/>
    <w:rsid w:val="00502516"/>
    <w:rsid w:val="00505F06"/>
    <w:rsid w:val="00506828"/>
    <w:rsid w:val="005144F3"/>
    <w:rsid w:val="0053056E"/>
    <w:rsid w:val="005329D2"/>
    <w:rsid w:val="00554FDA"/>
    <w:rsid w:val="00575628"/>
    <w:rsid w:val="005B4A88"/>
    <w:rsid w:val="005C784C"/>
    <w:rsid w:val="005D17F6"/>
    <w:rsid w:val="005E5539"/>
    <w:rsid w:val="00602BF5"/>
    <w:rsid w:val="00617FDD"/>
    <w:rsid w:val="00633614"/>
    <w:rsid w:val="00633F68"/>
    <w:rsid w:val="00636EB2"/>
    <w:rsid w:val="006375B8"/>
    <w:rsid w:val="00646997"/>
    <w:rsid w:val="00654727"/>
    <w:rsid w:val="0066510A"/>
    <w:rsid w:val="00673F9F"/>
    <w:rsid w:val="00686953"/>
    <w:rsid w:val="00687DEA"/>
    <w:rsid w:val="00687E67"/>
    <w:rsid w:val="006967F7"/>
    <w:rsid w:val="006A250C"/>
    <w:rsid w:val="006B21D3"/>
    <w:rsid w:val="006B57D0"/>
    <w:rsid w:val="006D29D9"/>
    <w:rsid w:val="006D30FF"/>
    <w:rsid w:val="006D6940"/>
    <w:rsid w:val="006F11EC"/>
    <w:rsid w:val="0070082C"/>
    <w:rsid w:val="00713848"/>
    <w:rsid w:val="00731B3D"/>
    <w:rsid w:val="007369E6"/>
    <w:rsid w:val="00746E59"/>
    <w:rsid w:val="00754C9A"/>
    <w:rsid w:val="0075599A"/>
    <w:rsid w:val="00761D52"/>
    <w:rsid w:val="007641E7"/>
    <w:rsid w:val="0077749E"/>
    <w:rsid w:val="00790ADA"/>
    <w:rsid w:val="007A7218"/>
    <w:rsid w:val="007C4B23"/>
    <w:rsid w:val="007D2288"/>
    <w:rsid w:val="007D26A4"/>
    <w:rsid w:val="007E088F"/>
    <w:rsid w:val="007E3945"/>
    <w:rsid w:val="007F7B32"/>
    <w:rsid w:val="00804BC2"/>
    <w:rsid w:val="00814258"/>
    <w:rsid w:val="0081431A"/>
    <w:rsid w:val="0083216F"/>
    <w:rsid w:val="008519D0"/>
    <w:rsid w:val="00860000"/>
    <w:rsid w:val="00863BD3"/>
    <w:rsid w:val="008641ED"/>
    <w:rsid w:val="00866D66"/>
    <w:rsid w:val="008671C6"/>
    <w:rsid w:val="00875803"/>
    <w:rsid w:val="00897716"/>
    <w:rsid w:val="008B459E"/>
    <w:rsid w:val="008E13AE"/>
    <w:rsid w:val="008E1506"/>
    <w:rsid w:val="008E710C"/>
    <w:rsid w:val="008F69D6"/>
    <w:rsid w:val="00902823"/>
    <w:rsid w:val="00915CA6"/>
    <w:rsid w:val="00927834"/>
    <w:rsid w:val="00932C35"/>
    <w:rsid w:val="009500A6"/>
    <w:rsid w:val="00957C18"/>
    <w:rsid w:val="009659BA"/>
    <w:rsid w:val="00983040"/>
    <w:rsid w:val="00984DA1"/>
    <w:rsid w:val="0099206C"/>
    <w:rsid w:val="009B3FB9"/>
    <w:rsid w:val="009B4B04"/>
    <w:rsid w:val="009C2465"/>
    <w:rsid w:val="009D35A0"/>
    <w:rsid w:val="009D7EB7"/>
    <w:rsid w:val="009E048A"/>
    <w:rsid w:val="009E08E9"/>
    <w:rsid w:val="009E3DB9"/>
    <w:rsid w:val="009E6E35"/>
    <w:rsid w:val="009F0EDA"/>
    <w:rsid w:val="00A03B96"/>
    <w:rsid w:val="00A05B19"/>
    <w:rsid w:val="00A1134E"/>
    <w:rsid w:val="00A24E7E"/>
    <w:rsid w:val="00A258C3"/>
    <w:rsid w:val="00A32366"/>
    <w:rsid w:val="00A347C0"/>
    <w:rsid w:val="00A37D1B"/>
    <w:rsid w:val="00A51431"/>
    <w:rsid w:val="00A539AD"/>
    <w:rsid w:val="00A72534"/>
    <w:rsid w:val="00A94063"/>
    <w:rsid w:val="00AA2C0F"/>
    <w:rsid w:val="00AA6219"/>
    <w:rsid w:val="00AA74E0"/>
    <w:rsid w:val="00AB3810"/>
    <w:rsid w:val="00AB703F"/>
    <w:rsid w:val="00AC6BB8"/>
    <w:rsid w:val="00AD71F2"/>
    <w:rsid w:val="00AE008F"/>
    <w:rsid w:val="00AF071A"/>
    <w:rsid w:val="00B01FCD"/>
    <w:rsid w:val="00B142EB"/>
    <w:rsid w:val="00B1776C"/>
    <w:rsid w:val="00B52583"/>
    <w:rsid w:val="00B52896"/>
    <w:rsid w:val="00B56182"/>
    <w:rsid w:val="00B56CE9"/>
    <w:rsid w:val="00B6726C"/>
    <w:rsid w:val="00B87543"/>
    <w:rsid w:val="00B95236"/>
    <w:rsid w:val="00B96BD9"/>
    <w:rsid w:val="00BA1B01"/>
    <w:rsid w:val="00BA2641"/>
    <w:rsid w:val="00BA7B5C"/>
    <w:rsid w:val="00BB37AA"/>
    <w:rsid w:val="00BB6D12"/>
    <w:rsid w:val="00BC044D"/>
    <w:rsid w:val="00BC53A0"/>
    <w:rsid w:val="00BD400C"/>
    <w:rsid w:val="00BE62AD"/>
    <w:rsid w:val="00BF121F"/>
    <w:rsid w:val="00BF1F80"/>
    <w:rsid w:val="00C135AE"/>
    <w:rsid w:val="00C166EF"/>
    <w:rsid w:val="00C17EB0"/>
    <w:rsid w:val="00C27F5F"/>
    <w:rsid w:val="00C30A0F"/>
    <w:rsid w:val="00C37E61"/>
    <w:rsid w:val="00C70F1B"/>
    <w:rsid w:val="00C71A47"/>
    <w:rsid w:val="00C7464C"/>
    <w:rsid w:val="00C85588"/>
    <w:rsid w:val="00CB2ACB"/>
    <w:rsid w:val="00CB798E"/>
    <w:rsid w:val="00CC52BE"/>
    <w:rsid w:val="00CD6755"/>
    <w:rsid w:val="00CD6856"/>
    <w:rsid w:val="00CE0089"/>
    <w:rsid w:val="00CE2909"/>
    <w:rsid w:val="00CE516D"/>
    <w:rsid w:val="00CE793C"/>
    <w:rsid w:val="00CF193C"/>
    <w:rsid w:val="00CF6915"/>
    <w:rsid w:val="00D173F1"/>
    <w:rsid w:val="00D37E27"/>
    <w:rsid w:val="00D71EA6"/>
    <w:rsid w:val="00D74CB0"/>
    <w:rsid w:val="00D8295D"/>
    <w:rsid w:val="00D86D20"/>
    <w:rsid w:val="00DC2421"/>
    <w:rsid w:val="00DC2A65"/>
    <w:rsid w:val="00DD33CE"/>
    <w:rsid w:val="00DE15F0"/>
    <w:rsid w:val="00DE5663"/>
    <w:rsid w:val="00DE78AA"/>
    <w:rsid w:val="00E053D0"/>
    <w:rsid w:val="00E12C57"/>
    <w:rsid w:val="00E15994"/>
    <w:rsid w:val="00E15D27"/>
    <w:rsid w:val="00E3114E"/>
    <w:rsid w:val="00E31A70"/>
    <w:rsid w:val="00E33235"/>
    <w:rsid w:val="00E35B02"/>
    <w:rsid w:val="00E41C29"/>
    <w:rsid w:val="00E66496"/>
    <w:rsid w:val="00E66948"/>
    <w:rsid w:val="00E66B35"/>
    <w:rsid w:val="00E66E10"/>
    <w:rsid w:val="00E769F6"/>
    <w:rsid w:val="00E8375D"/>
    <w:rsid w:val="00E8407C"/>
    <w:rsid w:val="00E84F3C"/>
    <w:rsid w:val="00E87CFB"/>
    <w:rsid w:val="00EA012C"/>
    <w:rsid w:val="00EC6A55"/>
    <w:rsid w:val="00EC7C42"/>
    <w:rsid w:val="00ED0288"/>
    <w:rsid w:val="00EE52CB"/>
    <w:rsid w:val="00EF581D"/>
    <w:rsid w:val="00EF7FD8"/>
    <w:rsid w:val="00F02A6F"/>
    <w:rsid w:val="00F06F59"/>
    <w:rsid w:val="00F17988"/>
    <w:rsid w:val="00F456F1"/>
    <w:rsid w:val="00F469F0"/>
    <w:rsid w:val="00F50479"/>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4EC980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8519D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8519D0"/>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8519D0"/>
    <w:rPr>
      <w:b/>
      <w:bCs/>
    </w:rPr>
  </w:style>
  <w:style w:type="paragraph" w:styleId="ListParagraph">
    <w:name w:val="List Paragraph"/>
    <w:basedOn w:val="Normal"/>
    <w:uiPriority w:val="34"/>
    <w:qFormat/>
    <w:rsid w:val="0018777B"/>
    <w:pPr>
      <w:ind w:left="720"/>
      <w:contextualSpacing/>
    </w:pPr>
    <w:rPr>
      <w:rFonts w:asciiTheme="minorHAnsi" w:eastAsiaTheme="minorHAnsi" w:hAnsiTheme="minorHAnsi" w:cstheme="minorBidi"/>
      <w:kern w:val="2"/>
      <w:sz w:val="24"/>
      <w:szCs w:val="24"/>
    </w:rPr>
  </w:style>
  <w:style w:type="paragraph" w:styleId="CommentSubject">
    <w:name w:val="annotation subject"/>
    <w:basedOn w:val="CommentText"/>
    <w:next w:val="CommentText"/>
    <w:link w:val="CommentSubjectChar"/>
    <w:semiHidden/>
    <w:unhideWhenUsed/>
    <w:rsid w:val="00654727"/>
    <w:rPr>
      <w:rFonts w:ascii="Helvetica" w:hAnsi="Helvetica"/>
      <w:b/>
      <w:bCs/>
      <w:lang w:val="en-US" w:eastAsia="en-US"/>
    </w:rPr>
  </w:style>
  <w:style w:type="character" w:customStyle="1" w:styleId="CommentSubjectChar">
    <w:name w:val="Comment Subject Char"/>
    <w:basedOn w:val="CommentTextChar"/>
    <w:link w:val="CommentSubject"/>
    <w:semiHidden/>
    <w:rsid w:val="00654727"/>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9C67E-823C-434C-BD05-8BCCA487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229</TotalTime>
  <Pages>15</Pages>
  <Words>8359</Words>
  <Characters>47647</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55895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Qambar Khan Baloch</cp:lastModifiedBy>
  <cp:revision>60</cp:revision>
  <cp:lastPrinted>1999-07-06T11:00:00Z</cp:lastPrinted>
  <dcterms:created xsi:type="dcterms:W3CDTF">2025-07-17T15:46:00Z</dcterms:created>
  <dcterms:modified xsi:type="dcterms:W3CDTF">2025-07-19T18:50:00Z</dcterms:modified>
</cp:coreProperties>
</file>