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28AB">
      <w:pPr>
        <w:tabs>
          <w:tab w:val="left" w:pos="720"/>
        </w:tabs>
        <w:spacing w:after="140"/>
        <w:jc w:val="center"/>
        <w:rPr>
          <w:rFonts w:ascii="Arial" w:hAnsi="Arial" w:cs="Arial"/>
          <w:b/>
          <w:bCs/>
          <w:i/>
          <w:iCs/>
          <w:color w:val="000000" w:themeColor="text1"/>
          <w:sz w:val="36"/>
          <w:szCs w:val="36"/>
          <w:u w:val="single"/>
          <w14:textFill>
            <w14:solidFill>
              <w14:schemeClr w14:val="tx1"/>
            </w14:solidFill>
          </w14:textFill>
        </w:rPr>
      </w:pPr>
      <w:r>
        <w:rPr>
          <w:rFonts w:ascii="Arial" w:hAnsi="Arial" w:cs="Arial"/>
          <w:b/>
          <w:bCs/>
          <w:i/>
          <w:iCs/>
          <w:color w:val="000000" w:themeColor="text1"/>
          <w:sz w:val="36"/>
          <w:szCs w:val="36"/>
          <w:u w:val="single"/>
          <w14:textFill>
            <w14:solidFill>
              <w14:schemeClr w14:val="tx1"/>
            </w14:solidFill>
          </w14:textFill>
        </w:rPr>
        <w:t>Review Article</w:t>
      </w:r>
    </w:p>
    <w:p w14:paraId="2B76725F">
      <w:pPr>
        <w:tabs>
          <w:tab w:val="left" w:pos="720"/>
        </w:tabs>
        <w:spacing w:after="140"/>
        <w:jc w:val="center"/>
        <w:rPr>
          <w:rFonts w:ascii="Arial" w:hAnsi="Arial" w:cs="Arial"/>
          <w:b/>
          <w:bCs/>
          <w:color w:val="000000" w:themeColor="text1"/>
          <w:sz w:val="36"/>
          <w:szCs w:val="36"/>
          <w14:textFill>
            <w14:solidFill>
              <w14:schemeClr w14:val="tx1"/>
            </w14:solidFill>
          </w14:textFill>
        </w:rPr>
      </w:pPr>
      <w:r>
        <w:rPr>
          <w:rFonts w:ascii="Arial" w:hAnsi="Arial" w:cs="Arial"/>
          <w:b/>
          <w:bCs/>
          <w:color w:val="000000" w:themeColor="text1"/>
          <w:sz w:val="36"/>
          <w:szCs w:val="36"/>
          <w14:textFill>
            <w14:solidFill>
              <w14:schemeClr w14:val="tx1"/>
            </w14:solidFill>
          </w14:textFill>
        </w:rPr>
        <w:t xml:space="preserve">Chemical Weed Management in Sesame: </w:t>
      </w:r>
    </w:p>
    <w:p w14:paraId="52978DBF">
      <w:pPr>
        <w:tabs>
          <w:tab w:val="left" w:pos="720"/>
        </w:tabs>
        <w:spacing w:after="140"/>
        <w:jc w:val="center"/>
        <w:rPr>
          <w:rFonts w:ascii="Arial" w:hAnsi="Arial" w:cs="Arial"/>
          <w:b/>
          <w:bCs/>
          <w:color w:val="000000" w:themeColor="text1"/>
          <w:sz w:val="36"/>
          <w:szCs w:val="36"/>
          <w14:textFill>
            <w14:solidFill>
              <w14:schemeClr w14:val="tx1"/>
            </w14:solidFill>
          </w14:textFill>
        </w:rPr>
      </w:pPr>
      <w:r>
        <w:rPr>
          <w:rFonts w:ascii="Arial" w:hAnsi="Arial" w:cs="Arial"/>
          <w:b/>
          <w:bCs/>
          <w:color w:val="000000" w:themeColor="text1"/>
          <w:sz w:val="36"/>
          <w:szCs w:val="36"/>
          <w14:textFill>
            <w14:solidFill>
              <w14:schemeClr w14:val="tx1"/>
            </w14:solidFill>
          </w14:textFill>
        </w:rPr>
        <w:t>A Review</w:t>
      </w:r>
    </w:p>
    <w:p w14:paraId="5D7AEB77">
      <w:pPr>
        <w:jc w:val="center"/>
        <w:rPr>
          <w:rFonts w:cstheme="minorHAnsi"/>
          <w:b/>
          <w:bCs/>
          <w:lang w:val="sv-SE"/>
        </w:rPr>
      </w:pPr>
    </w:p>
    <w:p w14:paraId="0FC119A4">
      <w:pPr>
        <w:jc w:val="center"/>
        <w:rPr>
          <w:rFonts w:ascii="Arial" w:hAnsi="Arial" w:cs="Arial"/>
          <w:i/>
          <w:iCs/>
          <w:sz w:val="20"/>
          <w:szCs w:val="20"/>
        </w:rPr>
      </w:pPr>
    </w:p>
    <w:p w14:paraId="0FF028C4">
      <w:pPr>
        <w:tabs>
          <w:tab w:val="left" w:pos="720"/>
        </w:tabs>
        <w:spacing w:after="140"/>
        <w:jc w:val="both"/>
        <w:rPr>
          <w:rFonts w:ascii="Arial" w:hAnsi="Arial" w:cs="Arial"/>
          <w:b/>
          <w:bCs/>
          <w:color w:val="000000" w:themeColor="text1"/>
          <w14:textFill>
            <w14:solidFill>
              <w14:schemeClr w14:val="tx1"/>
            </w14:solidFill>
          </w14:textFill>
        </w:rPr>
      </w:pPr>
    </w:p>
    <w:p w14:paraId="5F8F29C3">
      <w:pPr>
        <w:tabs>
          <w:tab w:val="left" w:pos="720"/>
        </w:tabs>
        <w:spacing w:after="14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ABSTRACT</w:t>
      </w:r>
    </w:p>
    <w:p w14:paraId="2E20569E">
      <w:pPr>
        <w:tabs>
          <w:tab w:val="left" w:pos="720"/>
        </w:tabs>
        <w:spacing w:after="140"/>
        <w:jc w:val="both"/>
        <w:rPr>
          <w:rFonts w:ascii="Arial" w:hAnsi="Arial" w:cs="Arial"/>
          <w:color w:val="000000" w:themeColor="text1"/>
          <w:sz w:val="20"/>
          <w:szCs w:val="20"/>
          <w:lang w:val="en-IN"/>
          <w14:textFill>
            <w14:solidFill>
              <w14:schemeClr w14:val="tx1"/>
            </w14:solidFill>
          </w14:textFill>
        </w:rPr>
      </w:pPr>
      <w:r>
        <w:rPr>
          <w:rFonts w:ascii="Arial" w:hAnsi="Arial" w:cs="Arial"/>
          <w:color w:val="000000" w:themeColor="text1"/>
          <w:sz w:val="20"/>
          <w:szCs w:val="20"/>
          <w:lang w:val="en-IN"/>
          <w14:textFill>
            <w14:solidFill>
              <w14:schemeClr w14:val="tx1"/>
            </w14:solidFill>
          </w14:textFill>
        </w:rPr>
        <w:t>Sesame (</w:t>
      </w:r>
      <w:r>
        <w:rPr>
          <w:rFonts w:ascii="Arial" w:hAnsi="Arial" w:cs="Arial"/>
          <w:i/>
          <w:iCs/>
          <w:color w:val="000000" w:themeColor="text1"/>
          <w:sz w:val="20"/>
          <w:szCs w:val="20"/>
          <w:lang w:val="en-IN"/>
          <w14:textFill>
            <w14:solidFill>
              <w14:schemeClr w14:val="tx1"/>
            </w14:solidFill>
          </w14:textFill>
        </w:rPr>
        <w:t>Sesamum indicum</w:t>
      </w:r>
      <w:r>
        <w:rPr>
          <w:rFonts w:ascii="Arial" w:hAnsi="Arial" w:cs="Arial"/>
          <w:color w:val="000000" w:themeColor="text1"/>
          <w:sz w:val="20"/>
          <w:szCs w:val="20"/>
          <w:lang w:val="en-IN"/>
          <w14:textFill>
            <w14:solidFill>
              <w14:schemeClr w14:val="tx1"/>
            </w14:solidFill>
          </w14:textFill>
        </w:rPr>
        <w:t xml:space="preserve"> L.) is a vital traditional </w:t>
      </w:r>
      <w:r>
        <w:rPr>
          <w:rFonts w:ascii="Arial" w:hAnsi="Arial" w:cs="Arial"/>
          <w:color w:val="C00000"/>
          <w:sz w:val="20"/>
          <w:szCs w:val="20"/>
          <w:lang w:val="en-IN"/>
        </w:rPr>
        <w:t>oilseed</w:t>
      </w:r>
      <w:r>
        <w:rPr>
          <w:rFonts w:ascii="Arial" w:hAnsi="Arial" w:cs="Arial"/>
          <w:color w:val="000000" w:themeColor="text1"/>
          <w:sz w:val="20"/>
          <w:szCs w:val="20"/>
          <w:lang w:val="en-IN"/>
          <w14:textFill>
            <w14:solidFill>
              <w14:schemeClr w14:val="tx1"/>
            </w14:solidFill>
          </w14:textFill>
        </w:rPr>
        <w:t xml:space="preserve"> crop in India, ranking next to groundnut, rapeseed, and mustard. Grown mainly in tropical and subtropical regions, it is highly valued for its oil-rich seeds. In 2023–24, India cultivated sesame over 15.31 lakh hectares, producing 8.47 lakh tonnes with an average productivity of 553 kg ha</w:t>
      </w:r>
      <w:r>
        <w:rPr>
          <w:rFonts w:ascii="Cambria Math" w:hAnsi="Cambria Math" w:cs="Cambria Math"/>
          <w:color w:val="000000" w:themeColor="text1"/>
          <w:sz w:val="20"/>
          <w:szCs w:val="20"/>
          <w:lang w:val="en-IN"/>
          <w14:textFill>
            <w14:solidFill>
              <w14:schemeClr w14:val="tx1"/>
            </w14:solidFill>
          </w14:textFill>
        </w:rPr>
        <w:t>⁻</w:t>
      </w:r>
      <w:r>
        <w:rPr>
          <w:rFonts w:ascii="Arial" w:hAnsi="Arial" w:cs="Arial"/>
          <w:color w:val="000000" w:themeColor="text1"/>
          <w:sz w:val="20"/>
          <w:szCs w:val="20"/>
          <w:lang w:val="en-IN"/>
          <w14:textFill>
            <w14:solidFill>
              <w14:schemeClr w14:val="tx1"/>
            </w14:solidFill>
          </w14:textFill>
        </w:rPr>
        <w:t>¹ (India</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 xml:space="preserve">stat, 2023–24). However, sesame yield is significantly reduced by weed infestation, particularly during early growth stages due to the crop’s slow initial development and poor competitive ability. Yield losses from weeds have been reported as high as 64% to 95.9% (Bhavani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xml:space="preserve">., 2023; Aadi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xml:space="preserve">., 2024). Effective weed control, especially during the critical period of 15–30 days after sowing (DAS), is essential for maximizing productivity. Chemical weed control has gained importance for its efficiency and scalability. Pre-emergence herbicides like alachlor, pendimethalin, and </w:t>
      </w:r>
      <w:commentRangeStart w:id="0"/>
      <w:r>
        <w:rPr>
          <w:rFonts w:ascii="Arial" w:hAnsi="Arial" w:cs="Arial"/>
          <w:color w:val="C00000"/>
          <w:sz w:val="20"/>
          <w:szCs w:val="20"/>
          <w:lang w:val="en-IN"/>
        </w:rPr>
        <w:t>pyroxasulfone effectively suppress early weed emergence, while post-emergence herbicides such as quizalofop-p-ethyl, clethodim, and propaquizafop</w:t>
      </w:r>
      <w:r>
        <w:rPr>
          <w:rFonts w:ascii="Arial" w:hAnsi="Arial" w:cs="Arial"/>
          <w:color w:val="000000" w:themeColor="text1"/>
          <w:sz w:val="20"/>
          <w:szCs w:val="20"/>
          <w:lang w:val="en-IN"/>
          <w14:textFill>
            <w14:solidFill>
              <w14:schemeClr w14:val="tx1"/>
            </w14:solidFill>
          </w14:textFill>
        </w:rPr>
        <w:t xml:space="preserve"> </w:t>
      </w:r>
      <w:commentRangeEnd w:id="0"/>
      <w:r>
        <w:commentReference w:id="0"/>
      </w:r>
      <w:r>
        <w:rPr>
          <w:rFonts w:ascii="Arial" w:hAnsi="Arial" w:cs="Arial"/>
          <w:color w:val="000000" w:themeColor="text1"/>
          <w:sz w:val="20"/>
          <w:szCs w:val="20"/>
          <w:lang w:val="en-IN"/>
          <w14:textFill>
            <w14:solidFill>
              <w14:schemeClr w14:val="tx1"/>
            </w14:solidFill>
          </w14:textFill>
        </w:rPr>
        <w:t>control later-emerging grassy weeds. However, selective post-emergence options for broad</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leaf weeds remain limited due to phytotoxicity risks. This review highlights recent research on herbicide efficacy and crop safety, emphasizing integrated strategies for sustainable sesame weed management and improved yield outcomes.</w:t>
      </w:r>
    </w:p>
    <w:p w14:paraId="12421175">
      <w:pPr>
        <w:tabs>
          <w:tab w:val="left" w:pos="720"/>
        </w:tabs>
        <w:spacing w:after="140"/>
        <w:rPr>
          <w:rFonts w:ascii="Arial" w:hAnsi="Arial" w:cs="Arial"/>
          <w:i/>
          <w:iCs/>
          <w:color w:val="000000" w:themeColor="text1"/>
          <w:sz w:val="20"/>
          <w:szCs w:val="20"/>
          <w14:textFill>
            <w14:solidFill>
              <w14:schemeClr w14:val="tx1"/>
            </w14:solidFill>
          </w14:textFill>
        </w:rPr>
      </w:pPr>
      <w:r>
        <w:rPr>
          <w:rFonts w:ascii="Arial" w:hAnsi="Arial" w:cs="Arial"/>
          <w:i/>
          <w:iCs/>
          <w:color w:val="000000" w:themeColor="text1"/>
          <w:sz w:val="20"/>
          <w:szCs w:val="20"/>
          <w14:textFill>
            <w14:solidFill>
              <w14:schemeClr w14:val="tx1"/>
            </w14:solidFill>
          </w14:textFill>
        </w:rPr>
        <w:t>Keywords: Sesame, Pre-emergence herbicides, Post emergence herbicides, Crop toxicity</w:t>
      </w:r>
    </w:p>
    <w:p w14:paraId="0BA47366">
      <w:pPr>
        <w:tabs>
          <w:tab w:val="left" w:pos="720"/>
        </w:tabs>
        <w:spacing w:after="14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1. INTRODUCTION</w:t>
      </w:r>
    </w:p>
    <w:p w14:paraId="6960345C">
      <w:pPr>
        <w:tabs>
          <w:tab w:val="left" w:pos="720"/>
        </w:tabs>
        <w:spacing w:after="140"/>
        <w:jc w:val="both"/>
        <w:rPr>
          <w:rFonts w:ascii="Arial" w:hAnsi="Arial" w:cs="Arial"/>
          <w:color w:val="000000" w:themeColor="text1"/>
          <w:sz w:val="20"/>
          <w:szCs w:val="20"/>
          <w14:textFill>
            <w14:solidFill>
              <w14:schemeClr w14:val="tx1"/>
            </w14:solidFill>
          </w14:textFill>
        </w:rPr>
      </w:pPr>
      <w:bookmarkStart w:id="0" w:name="_Hlk172403033"/>
      <w:r>
        <w:rPr>
          <w:rFonts w:ascii="Arial" w:hAnsi="Arial" w:cs="Arial"/>
          <w:color w:val="000000" w:themeColor="text1"/>
          <w:sz w:val="20"/>
          <w:szCs w:val="20"/>
          <w14:textFill>
            <w14:solidFill>
              <w14:schemeClr w14:val="tx1"/>
            </w14:solidFill>
          </w14:textFill>
        </w:rPr>
        <w:t>Sesame (</w:t>
      </w:r>
      <w:r>
        <w:rPr>
          <w:rFonts w:ascii="Arial" w:hAnsi="Arial" w:cs="Arial"/>
          <w:i/>
          <w:iCs/>
          <w:color w:val="000000" w:themeColor="text1"/>
          <w:sz w:val="20"/>
          <w:szCs w:val="20"/>
          <w14:textFill>
            <w14:solidFill>
              <w14:schemeClr w14:val="tx1"/>
            </w14:solidFill>
          </w14:textFill>
        </w:rPr>
        <w:t>Sesamum indicum</w:t>
      </w:r>
      <w:r>
        <w:rPr>
          <w:rFonts w:ascii="Arial" w:hAnsi="Arial" w:cs="Arial"/>
          <w:color w:val="000000" w:themeColor="text1"/>
          <w:sz w:val="20"/>
          <w:szCs w:val="20"/>
          <w14:textFill>
            <w14:solidFill>
              <w14:schemeClr w14:val="tx1"/>
            </w14:solidFill>
          </w14:textFill>
        </w:rPr>
        <w:t xml:space="preserve"> L.), a tropical annual herb of the family Pedaliaceae, is commonly known as til or </w:t>
      </w:r>
      <w:r>
        <w:rPr>
          <w:rFonts w:ascii="Arial" w:hAnsi="Arial" w:cs="Arial"/>
          <w:color w:val="C00000"/>
          <w:sz w:val="20"/>
          <w:szCs w:val="20"/>
        </w:rPr>
        <w:t>gingelly</w:t>
      </w:r>
      <w:r>
        <w:rPr>
          <w:rFonts w:ascii="Arial" w:hAnsi="Arial" w:cs="Arial"/>
          <w:color w:val="000000" w:themeColor="text1"/>
          <w:sz w:val="20"/>
          <w:szCs w:val="20"/>
          <w14:textFill>
            <w14:solidFill>
              <w14:schemeClr w14:val="tx1"/>
            </w14:solidFill>
          </w14:textFill>
        </w:rPr>
        <w:t>. Sesame (</w:t>
      </w:r>
      <w:r>
        <w:rPr>
          <w:rFonts w:ascii="Arial" w:hAnsi="Arial" w:cs="Arial"/>
          <w:i/>
          <w:color w:val="000000" w:themeColor="text1"/>
          <w:sz w:val="20"/>
          <w:szCs w:val="20"/>
          <w14:textFill>
            <w14:solidFill>
              <w14:schemeClr w14:val="tx1"/>
            </w14:solidFill>
          </w14:textFill>
        </w:rPr>
        <w:t>Sesamum indicum</w:t>
      </w:r>
      <w:r>
        <w:rPr>
          <w:rFonts w:ascii="Arial" w:hAnsi="Arial" w:cs="Arial"/>
          <w:color w:val="000000" w:themeColor="text1"/>
          <w:sz w:val="20"/>
          <w:szCs w:val="20"/>
          <w14:textFill>
            <w14:solidFill>
              <w14:schemeClr w14:val="tx1"/>
            </w14:solidFill>
          </w14:textFill>
        </w:rPr>
        <w:t xml:space="preserve"> L.) holds significant importance as an edible </w:t>
      </w:r>
      <w:r>
        <w:rPr>
          <w:rFonts w:ascii="Arial" w:hAnsi="Arial" w:cs="Arial"/>
          <w:color w:val="C00000"/>
          <w:sz w:val="20"/>
          <w:szCs w:val="20"/>
        </w:rPr>
        <w:t>oilseed</w:t>
      </w:r>
      <w:r>
        <w:rPr>
          <w:rFonts w:ascii="Arial" w:hAnsi="Arial" w:cs="Arial"/>
          <w:color w:val="000000" w:themeColor="text1"/>
          <w:sz w:val="20"/>
          <w:szCs w:val="20"/>
          <w14:textFill>
            <w14:solidFill>
              <w14:schemeClr w14:val="tx1"/>
            </w14:solidFill>
          </w14:textFill>
        </w:rPr>
        <w:t xml:space="preserve"> crop next to groundnut, rapeseed and mustard in India. Sesame is the oldest oil seed crop known to human being and used by man since the ancient past. Sesame is one of the most significant traditional oilseed crops grown in tropical, subtropical, Asian and African nations. India is the world’s largest producer, with 15.31 lakh ha area, 8.47 lakh tonnes production and 553 kg ha</w:t>
      </w:r>
      <w:r>
        <w:rPr>
          <w:rFonts w:ascii="Cambria Math" w:hAnsi="Cambria Math" w:cs="Cambria Math"/>
          <w:color w:val="000000" w:themeColor="text1"/>
          <w:sz w:val="20"/>
          <w:szCs w:val="20"/>
          <w14:textFill>
            <w14:solidFill>
              <w14:schemeClr w14:val="tx1"/>
            </w14:solidFill>
          </w14:textFill>
        </w:rPr>
        <w:t>⁻</w:t>
      </w:r>
      <w:r>
        <w:rPr>
          <w:rFonts w:ascii="Arial" w:hAnsi="Arial" w:cs="Arial"/>
          <w:color w:val="000000" w:themeColor="text1"/>
          <w:sz w:val="20"/>
          <w:szCs w:val="20"/>
          <w14:textFill>
            <w14:solidFill>
              <w14:schemeClr w14:val="tx1"/>
            </w14:solidFill>
          </w14:textFill>
        </w:rPr>
        <w:t>¹ productivity in 2023-24 (India</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14:textFill>
            <w14:solidFill>
              <w14:schemeClr w14:val="tx1"/>
            </w14:solidFill>
          </w14:textFill>
        </w:rPr>
        <w:t xml:space="preserve">stat, 2023-24). Among various biotic stresses, weed infestation is the most serious constraint in sesame production. During the initial stages, sesame seedlings are very small, tender and have very slow growth. Slow growth of sesame and simultaneous emergence and vigorous growth of weeds makes crop poor competitor with weeds for light, moisture, space, nutrients and shows negative impact on sesame yield (Bhadauria </w:t>
      </w:r>
      <w:r>
        <w:rPr>
          <w:rFonts w:ascii="Arial" w:hAnsi="Arial" w:cs="Arial"/>
          <w:i/>
          <w:iCs/>
          <w:color w:val="000000" w:themeColor="text1"/>
          <w:sz w:val="20"/>
          <w:szCs w:val="20"/>
          <w14:textFill>
            <w14:solidFill>
              <w14:schemeClr w14:val="tx1"/>
            </w14:solidFill>
          </w14:textFill>
        </w:rPr>
        <w:t>et al</w:t>
      </w:r>
      <w:r>
        <w:rPr>
          <w:rFonts w:ascii="Arial" w:hAnsi="Arial" w:cs="Arial"/>
          <w:color w:val="000000" w:themeColor="text1"/>
          <w:sz w:val="20"/>
          <w:szCs w:val="20"/>
          <w14:textFill>
            <w14:solidFill>
              <w14:schemeClr w14:val="tx1"/>
            </w14:solidFill>
          </w14:textFill>
        </w:rPr>
        <w:t xml:space="preserve">., 2012). </w:t>
      </w:r>
      <w:r>
        <w:rPr>
          <w:rFonts w:ascii="Arial" w:hAnsi="Arial" w:cs="Arial"/>
          <w:sz w:val="20"/>
          <w:szCs w:val="20"/>
        </w:rPr>
        <w:t xml:space="preserve">According to Aadi </w:t>
      </w:r>
      <w:r>
        <w:rPr>
          <w:rFonts w:ascii="Arial" w:hAnsi="Arial" w:cs="Arial"/>
          <w:i/>
          <w:iCs/>
          <w:sz w:val="20"/>
          <w:szCs w:val="20"/>
        </w:rPr>
        <w:t xml:space="preserve">et al. </w:t>
      </w:r>
      <w:r>
        <w:rPr>
          <w:rFonts w:ascii="Arial" w:hAnsi="Arial" w:cs="Arial"/>
          <w:sz w:val="20"/>
          <w:szCs w:val="20"/>
        </w:rPr>
        <w:t xml:space="preserve">(2024) yield losses resulting from weed competition all over the growing season in sesame ranged from 66.4 to 95.9% during summer. Bhavani </w:t>
      </w:r>
      <w:r>
        <w:rPr>
          <w:rFonts w:ascii="Arial" w:hAnsi="Arial" w:cs="Arial"/>
          <w:i/>
          <w:iCs/>
          <w:sz w:val="20"/>
          <w:szCs w:val="20"/>
        </w:rPr>
        <w:t>et al</w:t>
      </w:r>
      <w:r>
        <w:rPr>
          <w:rFonts w:ascii="Arial" w:hAnsi="Arial" w:cs="Arial"/>
          <w:sz w:val="20"/>
          <w:szCs w:val="20"/>
        </w:rPr>
        <w:t xml:space="preserve">. (2023) reported that the seed yield of sesame due to uncontrolled weeds was reduced by 64-70%. According to Bhaumik </w:t>
      </w:r>
      <w:r>
        <w:rPr>
          <w:rFonts w:ascii="Arial" w:hAnsi="Arial" w:cs="Arial"/>
          <w:i/>
          <w:iCs/>
          <w:sz w:val="20"/>
          <w:szCs w:val="20"/>
        </w:rPr>
        <w:t>et al</w:t>
      </w:r>
      <w:r>
        <w:rPr>
          <w:rFonts w:ascii="Arial" w:hAnsi="Arial" w:cs="Arial"/>
          <w:sz w:val="20"/>
          <w:szCs w:val="20"/>
        </w:rPr>
        <w:t xml:space="preserve">. </w:t>
      </w:r>
      <w:r>
        <w:rPr>
          <w:rFonts w:ascii="Arial" w:hAnsi="Arial" w:cs="Arial"/>
          <w:sz w:val="20"/>
          <w:szCs w:val="20"/>
          <w:lang w:val="en-IN"/>
        </w:rPr>
        <w:t>(2023) 41.6 kg ha</w:t>
      </w:r>
      <w:r>
        <w:rPr>
          <w:rFonts w:ascii="Arial" w:hAnsi="Arial" w:cs="Arial"/>
          <w:sz w:val="20"/>
          <w:szCs w:val="20"/>
          <w:vertAlign w:val="superscript"/>
          <w:lang w:val="en-IN"/>
        </w:rPr>
        <w:t>-1</w:t>
      </w:r>
      <w:r>
        <w:rPr>
          <w:rFonts w:ascii="Arial" w:hAnsi="Arial" w:cs="Arial"/>
          <w:sz w:val="20"/>
          <w:szCs w:val="20"/>
          <w:lang w:val="en-IN"/>
        </w:rPr>
        <w:t xml:space="preserve"> of N, 6.6 kg  ha</w:t>
      </w:r>
      <w:r>
        <w:rPr>
          <w:rFonts w:ascii="Arial" w:hAnsi="Arial" w:cs="Arial"/>
          <w:sz w:val="20"/>
          <w:szCs w:val="20"/>
          <w:vertAlign w:val="superscript"/>
          <w:lang w:val="en-IN"/>
        </w:rPr>
        <w:t>-1</w:t>
      </w:r>
      <w:r>
        <w:rPr>
          <w:rFonts w:ascii="Arial" w:hAnsi="Arial" w:cs="Arial"/>
          <w:sz w:val="20"/>
          <w:szCs w:val="20"/>
          <w:lang w:val="en-IN"/>
        </w:rPr>
        <w:t xml:space="preserve"> of P and 33.3 kg ha</w:t>
      </w:r>
      <w:r>
        <w:rPr>
          <w:rFonts w:ascii="Arial" w:hAnsi="Arial" w:cs="Arial"/>
          <w:sz w:val="20"/>
          <w:szCs w:val="20"/>
          <w:vertAlign w:val="superscript"/>
          <w:lang w:val="en-IN"/>
        </w:rPr>
        <w:t>-1</w:t>
      </w:r>
      <w:r>
        <w:rPr>
          <w:rFonts w:ascii="Arial" w:hAnsi="Arial" w:cs="Arial"/>
          <w:sz w:val="20"/>
          <w:szCs w:val="20"/>
          <w:lang w:val="en-IN"/>
        </w:rPr>
        <w:t xml:space="preserve"> of K were removed by weeds in sesame field. </w:t>
      </w:r>
      <w:r>
        <w:rPr>
          <w:rFonts w:ascii="Arial" w:hAnsi="Arial" w:cs="Arial"/>
          <w:sz w:val="20"/>
          <w:szCs w:val="20"/>
        </w:rPr>
        <w:t xml:space="preserve">The heavy weed infestation in </w:t>
      </w:r>
      <w:r>
        <w:rPr>
          <w:rFonts w:ascii="Arial" w:hAnsi="Arial" w:cs="Arial"/>
          <w:color w:val="C00000"/>
          <w:sz w:val="20"/>
          <w:szCs w:val="20"/>
        </w:rPr>
        <w:t>unweeded</w:t>
      </w:r>
      <w:r>
        <w:rPr>
          <w:rFonts w:ascii="Arial" w:hAnsi="Arial" w:cs="Arial"/>
          <w:sz w:val="20"/>
          <w:szCs w:val="20"/>
        </w:rPr>
        <w:t xml:space="preserve"> check plots resulted in increased weed nutrient uptake upto 44.6, 5.6 and 34.0 kg of N, P and K ha</w:t>
      </w:r>
      <w:r>
        <w:rPr>
          <w:rFonts w:ascii="Arial" w:hAnsi="Arial" w:cs="Arial"/>
          <w:sz w:val="20"/>
          <w:szCs w:val="20"/>
          <w:vertAlign w:val="superscript"/>
        </w:rPr>
        <w:t>-1</w:t>
      </w:r>
      <w:r>
        <w:rPr>
          <w:rFonts w:ascii="Arial" w:hAnsi="Arial" w:cs="Arial"/>
          <w:sz w:val="20"/>
          <w:szCs w:val="20"/>
        </w:rPr>
        <w:t>, respectively in experimental field of sesame (Babu and Subramanyam 2018). The critical period of crop-weed competition during which weed management is very important to increase the yield of sesame is 15-30 DAS</w:t>
      </w:r>
      <w:r>
        <w:rPr>
          <w:rFonts w:ascii="Arial" w:hAnsi="Arial" w:cs="Arial"/>
          <w:color w:val="000000" w:themeColor="text1"/>
          <w:sz w:val="20"/>
          <w:szCs w:val="20"/>
          <w14:textFill>
            <w14:solidFill>
              <w14:schemeClr w14:val="tx1"/>
            </w14:solidFill>
          </w14:textFill>
        </w:rPr>
        <w:t xml:space="preserve"> (</w:t>
      </w:r>
      <w:r>
        <w:rPr>
          <w:rFonts w:ascii="Arial" w:hAnsi="Arial" w:cs="Arial"/>
          <w:sz w:val="20"/>
          <w:szCs w:val="20"/>
        </w:rPr>
        <w:t xml:space="preserve">Bhavani </w:t>
      </w:r>
      <w:r>
        <w:rPr>
          <w:rFonts w:ascii="Arial" w:hAnsi="Arial" w:cs="Arial"/>
          <w:i/>
          <w:iCs/>
          <w:sz w:val="20"/>
          <w:szCs w:val="20"/>
        </w:rPr>
        <w:t>et al.,</w:t>
      </w:r>
      <w:r>
        <w:rPr>
          <w:rFonts w:ascii="Arial" w:hAnsi="Arial" w:cs="Arial"/>
          <w:sz w:val="20"/>
          <w:szCs w:val="20"/>
        </w:rPr>
        <w:t xml:space="preserve"> 2023; Verma </w:t>
      </w:r>
      <w:r>
        <w:rPr>
          <w:rFonts w:ascii="Arial" w:hAnsi="Arial" w:cs="Arial"/>
          <w:i/>
          <w:iCs/>
          <w:sz w:val="20"/>
          <w:szCs w:val="20"/>
        </w:rPr>
        <w:t xml:space="preserve">et al., </w:t>
      </w:r>
      <w:r>
        <w:rPr>
          <w:rFonts w:ascii="Arial" w:hAnsi="Arial" w:cs="Arial"/>
          <w:sz w:val="20"/>
          <w:szCs w:val="20"/>
        </w:rPr>
        <w:t xml:space="preserve">2023; Das </w:t>
      </w:r>
      <w:r>
        <w:rPr>
          <w:rFonts w:ascii="Arial" w:hAnsi="Arial" w:cs="Arial"/>
          <w:i/>
          <w:iCs/>
          <w:sz w:val="20"/>
          <w:szCs w:val="20"/>
        </w:rPr>
        <w:t xml:space="preserve">et al., </w:t>
      </w:r>
      <w:r>
        <w:rPr>
          <w:rFonts w:ascii="Arial" w:hAnsi="Arial" w:cs="Arial"/>
          <w:sz w:val="20"/>
          <w:szCs w:val="20"/>
        </w:rPr>
        <w:t xml:space="preserve">2022; Venu </w:t>
      </w:r>
      <w:r>
        <w:rPr>
          <w:rFonts w:ascii="Arial" w:hAnsi="Arial" w:cs="Arial"/>
          <w:i/>
          <w:iCs/>
          <w:sz w:val="20"/>
          <w:szCs w:val="20"/>
        </w:rPr>
        <w:t xml:space="preserve">et al., </w:t>
      </w:r>
      <w:r>
        <w:rPr>
          <w:rFonts w:ascii="Arial" w:hAnsi="Arial" w:cs="Arial"/>
          <w:sz w:val="20"/>
          <w:szCs w:val="20"/>
        </w:rPr>
        <w:t xml:space="preserve">2022; and Chauhan </w:t>
      </w:r>
      <w:r>
        <w:rPr>
          <w:rFonts w:ascii="Arial" w:hAnsi="Arial" w:cs="Arial"/>
          <w:i/>
          <w:iCs/>
          <w:sz w:val="20"/>
          <w:szCs w:val="20"/>
        </w:rPr>
        <w:t>et al.,</w:t>
      </w:r>
      <w:r>
        <w:rPr>
          <w:rFonts w:ascii="Arial" w:hAnsi="Arial" w:cs="Arial"/>
          <w:sz w:val="20"/>
          <w:szCs w:val="20"/>
        </w:rPr>
        <w:t xml:space="preserve"> 2019). </w:t>
      </w:r>
      <w:r>
        <w:rPr>
          <w:rFonts w:ascii="Arial" w:hAnsi="Arial" w:cs="Arial"/>
          <w:color w:val="000000" w:themeColor="text1"/>
          <w:sz w:val="20"/>
          <w:szCs w:val="20"/>
          <w14:textFill>
            <w14:solidFill>
              <w14:schemeClr w14:val="tx1"/>
            </w14:solidFill>
          </w14:textFill>
        </w:rPr>
        <w:t xml:space="preserve">Hence, weed control at critical stages is essential to reduce yield losses caused by weeds. Weed control makes moisture and nutrient available to the crop and results in higher yield. </w:t>
      </w:r>
    </w:p>
    <w:p w14:paraId="6FDF914D">
      <w:pPr>
        <w:tabs>
          <w:tab w:val="left" w:pos="720"/>
        </w:tabs>
        <w:spacing w:after="140"/>
        <w:jc w:val="both"/>
        <w:rPr>
          <w:rFonts w:ascii="Arial" w:hAnsi="Arial" w:cs="Arial"/>
          <w:b/>
          <w:bCs/>
          <w:color w:val="000000" w:themeColor="text1"/>
          <w:sz w:val="22"/>
          <w:szCs w:val="22"/>
          <w:lang w:val="sv-SE"/>
          <w14:textFill>
            <w14:solidFill>
              <w14:schemeClr w14:val="tx1"/>
            </w14:solidFill>
          </w14:textFill>
        </w:rPr>
      </w:pPr>
      <w:r>
        <w:rPr>
          <w:rFonts w:ascii="Arial" w:hAnsi="Arial" w:cs="Arial"/>
          <w:b/>
          <w:bCs/>
          <w:color w:val="000000" w:themeColor="text1"/>
          <w:sz w:val="22"/>
          <w:szCs w:val="22"/>
          <w:lang w:val="sv-SE"/>
          <w14:textFill>
            <w14:solidFill>
              <w14:schemeClr w14:val="tx1"/>
            </w14:solidFill>
          </w14:textFill>
        </w:rPr>
        <w:t>2. WEED FLORA</w:t>
      </w:r>
    </w:p>
    <w:p w14:paraId="3ECA7F53">
      <w:pPr>
        <w:pStyle w:val="38"/>
        <w:spacing w:after="140"/>
        <w:jc w:val="both"/>
        <w:rPr>
          <w:rFonts w:ascii="Arial" w:hAnsi="Arial" w:cs="Arial"/>
          <w:color w:val="auto"/>
          <w:sz w:val="20"/>
          <w:szCs w:val="20"/>
        </w:rPr>
      </w:pPr>
      <w:r>
        <w:rPr>
          <w:rFonts w:ascii="Arial" w:hAnsi="Arial" w:cs="Arial"/>
          <w:color w:val="auto"/>
          <w:sz w:val="20"/>
          <w:szCs w:val="20"/>
        </w:rPr>
        <w:t xml:space="preserve">Hota </w:t>
      </w:r>
      <w:r>
        <w:rPr>
          <w:rFonts w:ascii="Arial" w:hAnsi="Arial" w:cs="Arial"/>
          <w:i/>
          <w:iCs/>
          <w:color w:val="auto"/>
          <w:sz w:val="20"/>
          <w:szCs w:val="20"/>
        </w:rPr>
        <w:t>et al</w:t>
      </w:r>
      <w:r>
        <w:rPr>
          <w:rFonts w:ascii="Arial" w:hAnsi="Arial" w:cs="Arial"/>
          <w:color w:val="auto"/>
          <w:sz w:val="20"/>
          <w:szCs w:val="20"/>
        </w:rPr>
        <w:t xml:space="preserve">. (2024) observed that </w:t>
      </w:r>
      <w:r>
        <w:rPr>
          <w:rFonts w:ascii="Arial" w:hAnsi="Arial" w:cs="Arial"/>
          <w:i/>
          <w:iCs/>
          <w:color w:val="auto"/>
          <w:sz w:val="20"/>
          <w:szCs w:val="20"/>
        </w:rPr>
        <w:t>Digitaria sanguinalis</w:t>
      </w:r>
      <w:r>
        <w:rPr>
          <w:rFonts w:ascii="Arial" w:hAnsi="Arial" w:cs="Arial"/>
          <w:color w:val="auto"/>
          <w:sz w:val="20"/>
          <w:szCs w:val="20"/>
        </w:rPr>
        <w:t xml:space="preserve">, </w:t>
      </w:r>
      <w:r>
        <w:rPr>
          <w:rFonts w:ascii="Arial" w:hAnsi="Arial" w:cs="Arial"/>
          <w:i/>
          <w:iCs/>
          <w:color w:val="auto"/>
          <w:sz w:val="20"/>
          <w:szCs w:val="20"/>
        </w:rPr>
        <w:t xml:space="preserve">Echinochloa colona, Poa annua </w:t>
      </w:r>
      <w:r>
        <w:rPr>
          <w:rFonts w:ascii="Arial" w:hAnsi="Arial" w:cs="Arial"/>
          <w:color w:val="auto"/>
          <w:sz w:val="20"/>
          <w:szCs w:val="20"/>
        </w:rPr>
        <w:t xml:space="preserve">and </w:t>
      </w:r>
      <w:r>
        <w:rPr>
          <w:rFonts w:ascii="Arial" w:hAnsi="Arial" w:cs="Arial"/>
          <w:i/>
          <w:iCs/>
          <w:color w:val="auto"/>
          <w:sz w:val="20"/>
          <w:szCs w:val="20"/>
        </w:rPr>
        <w:t xml:space="preserve">Dactyloctenium aegyptium </w:t>
      </w:r>
      <w:r>
        <w:rPr>
          <w:rFonts w:ascii="Arial" w:hAnsi="Arial" w:cs="Arial"/>
          <w:color w:val="auto"/>
          <w:sz w:val="20"/>
          <w:szCs w:val="20"/>
        </w:rPr>
        <w:t xml:space="preserve">among the grasses, </w:t>
      </w:r>
      <w:r>
        <w:rPr>
          <w:rFonts w:ascii="Arial" w:hAnsi="Arial" w:cs="Arial"/>
          <w:i/>
          <w:iCs/>
          <w:color w:val="auto"/>
          <w:sz w:val="20"/>
          <w:szCs w:val="20"/>
        </w:rPr>
        <w:t xml:space="preserve">Melochia corchorifolia, Cleome viscosa </w:t>
      </w:r>
      <w:r>
        <w:rPr>
          <w:rFonts w:ascii="Arial" w:hAnsi="Arial" w:cs="Arial"/>
          <w:i w:val="0"/>
          <w:iCs w:val="0"/>
          <w:color w:val="auto"/>
          <w:sz w:val="20"/>
          <w:szCs w:val="20"/>
        </w:rPr>
        <w:t xml:space="preserve">and </w:t>
      </w:r>
      <w:commentRangeStart w:id="1"/>
      <w:r>
        <w:rPr>
          <w:rFonts w:ascii="Arial" w:hAnsi="Arial" w:cs="Arial"/>
          <w:i/>
          <w:iCs/>
          <w:color w:val="auto"/>
          <w:sz w:val="20"/>
          <w:szCs w:val="20"/>
        </w:rPr>
        <w:t>Cassia tora</w:t>
      </w:r>
      <w:commentRangeEnd w:id="1"/>
      <w:r>
        <w:commentReference w:id="1"/>
      </w:r>
      <w:r>
        <w:rPr>
          <w:rFonts w:ascii="Arial" w:hAnsi="Arial" w:cs="Arial"/>
          <w:i/>
          <w:iCs/>
          <w:color w:val="auto"/>
          <w:sz w:val="20"/>
          <w:szCs w:val="20"/>
        </w:rPr>
        <w:t xml:space="preserve"> </w:t>
      </w:r>
      <w:r>
        <w:rPr>
          <w:rFonts w:ascii="Arial" w:hAnsi="Arial" w:cs="Arial"/>
          <w:color w:val="auto"/>
          <w:sz w:val="20"/>
          <w:szCs w:val="20"/>
        </w:rPr>
        <w:t xml:space="preserve">among the broadleaved weeds and </w:t>
      </w:r>
      <w:r>
        <w:rPr>
          <w:rFonts w:ascii="Arial" w:hAnsi="Arial" w:cs="Arial"/>
          <w:i/>
          <w:iCs/>
          <w:color w:val="auto"/>
          <w:sz w:val="20"/>
          <w:szCs w:val="20"/>
        </w:rPr>
        <w:t xml:space="preserve">Cyperus iria </w:t>
      </w:r>
      <w:r>
        <w:rPr>
          <w:rFonts w:ascii="Arial" w:hAnsi="Arial" w:cs="Arial"/>
          <w:color w:val="auto"/>
          <w:sz w:val="20"/>
          <w:szCs w:val="20"/>
        </w:rPr>
        <w:t xml:space="preserve">among sedges were predominantly found in the sesame field in </w:t>
      </w:r>
      <w:r>
        <w:rPr>
          <w:rFonts w:ascii="Arial" w:hAnsi="Arial" w:cs="Arial"/>
          <w:color w:val="C00000"/>
          <w:sz w:val="20"/>
          <w:szCs w:val="20"/>
        </w:rPr>
        <w:t>clayey</w:t>
      </w:r>
      <w:r>
        <w:rPr>
          <w:rFonts w:ascii="Arial" w:hAnsi="Arial" w:cs="Arial"/>
          <w:color w:val="auto"/>
          <w:sz w:val="20"/>
          <w:szCs w:val="20"/>
        </w:rPr>
        <w:t xml:space="preserve"> soils of Odisha during summer. The weed flora of the sesame field comprised five species of grasses - </w:t>
      </w:r>
      <w:r>
        <w:rPr>
          <w:rFonts w:ascii="Arial" w:hAnsi="Arial" w:cs="Arial"/>
          <w:i/>
          <w:iCs/>
          <w:color w:val="auto"/>
          <w:sz w:val="20"/>
          <w:szCs w:val="20"/>
        </w:rPr>
        <w:t xml:space="preserve">Cynodon dactylon, Dactyloctenium aegyptium, Digitaria sanguinalis, Echinochloa colona </w:t>
      </w:r>
      <w:r>
        <w:rPr>
          <w:rFonts w:ascii="Arial" w:hAnsi="Arial" w:cs="Arial"/>
          <w:color w:val="auto"/>
          <w:sz w:val="20"/>
          <w:szCs w:val="20"/>
        </w:rPr>
        <w:t xml:space="preserve">and </w:t>
      </w:r>
      <w:r>
        <w:rPr>
          <w:rFonts w:ascii="Arial" w:hAnsi="Arial" w:cs="Arial"/>
          <w:i/>
          <w:iCs/>
          <w:color w:val="auto"/>
          <w:sz w:val="20"/>
          <w:szCs w:val="20"/>
        </w:rPr>
        <w:t>Eleusine indica</w:t>
      </w:r>
      <w:r>
        <w:rPr>
          <w:rFonts w:ascii="Arial" w:hAnsi="Arial" w:cs="Arial"/>
          <w:color w:val="auto"/>
          <w:sz w:val="20"/>
          <w:szCs w:val="20"/>
        </w:rPr>
        <w:t xml:space="preserve">; two species of sedges - </w:t>
      </w:r>
      <w:r>
        <w:rPr>
          <w:rFonts w:ascii="Arial" w:hAnsi="Arial" w:cs="Arial"/>
          <w:i/>
          <w:iCs/>
          <w:color w:val="auto"/>
          <w:sz w:val="20"/>
          <w:szCs w:val="20"/>
        </w:rPr>
        <w:t xml:space="preserve">Cyperus rotundus </w:t>
      </w:r>
      <w:r>
        <w:rPr>
          <w:rFonts w:ascii="Arial" w:hAnsi="Arial" w:cs="Arial"/>
          <w:color w:val="auto"/>
          <w:sz w:val="20"/>
          <w:szCs w:val="20"/>
        </w:rPr>
        <w:t xml:space="preserve">and </w:t>
      </w:r>
      <w:r>
        <w:rPr>
          <w:rFonts w:ascii="Arial" w:hAnsi="Arial" w:cs="Arial"/>
          <w:i/>
          <w:iCs/>
          <w:color w:val="auto"/>
          <w:sz w:val="20"/>
          <w:szCs w:val="20"/>
        </w:rPr>
        <w:t>Cyperus esculentus</w:t>
      </w:r>
      <w:r>
        <w:rPr>
          <w:rFonts w:ascii="Arial" w:hAnsi="Arial" w:cs="Arial"/>
          <w:color w:val="auto"/>
          <w:sz w:val="20"/>
          <w:szCs w:val="20"/>
        </w:rPr>
        <w:t xml:space="preserve">; five species of broadleaved weeds - </w:t>
      </w:r>
      <w:r>
        <w:rPr>
          <w:rFonts w:ascii="Arial" w:hAnsi="Arial" w:cs="Arial"/>
          <w:i/>
          <w:iCs/>
          <w:color w:val="auto"/>
          <w:sz w:val="20"/>
          <w:szCs w:val="20"/>
        </w:rPr>
        <w:t xml:space="preserve">Alternanthera sessilis, Cleome viscosa, Euphorbia hirta, Heliotropium indicum </w:t>
      </w:r>
      <w:r>
        <w:rPr>
          <w:rFonts w:ascii="Arial" w:hAnsi="Arial" w:cs="Arial"/>
          <w:color w:val="auto"/>
          <w:sz w:val="20"/>
          <w:szCs w:val="20"/>
        </w:rPr>
        <w:t xml:space="preserve">and </w:t>
      </w:r>
      <w:r>
        <w:rPr>
          <w:rFonts w:ascii="Arial" w:hAnsi="Arial" w:cs="Arial"/>
          <w:i/>
          <w:iCs/>
          <w:color w:val="auto"/>
          <w:sz w:val="20"/>
          <w:szCs w:val="20"/>
        </w:rPr>
        <w:t>Trianthema portulacastrum</w:t>
      </w:r>
      <w:r>
        <w:rPr>
          <w:rFonts w:ascii="Arial" w:hAnsi="Arial" w:cs="Arial"/>
          <w:color w:val="auto"/>
          <w:sz w:val="20"/>
          <w:szCs w:val="20"/>
        </w:rPr>
        <w:t xml:space="preserve"> in sandy loam soils of Visva-Bharati, West Bengal during summer (Debnath </w:t>
      </w:r>
      <w:r>
        <w:rPr>
          <w:rFonts w:ascii="Arial" w:hAnsi="Arial" w:cs="Arial"/>
          <w:i/>
          <w:iCs/>
          <w:color w:val="auto"/>
          <w:sz w:val="20"/>
          <w:szCs w:val="20"/>
        </w:rPr>
        <w:t>et al</w:t>
      </w:r>
      <w:r>
        <w:rPr>
          <w:rFonts w:ascii="Arial" w:hAnsi="Arial" w:cs="Arial"/>
          <w:color w:val="auto"/>
          <w:sz w:val="20"/>
          <w:szCs w:val="20"/>
        </w:rPr>
        <w:t>., 2022). Kamani</w:t>
      </w:r>
      <w:r>
        <w:rPr>
          <w:rFonts w:ascii="Arial" w:hAnsi="Arial" w:cs="Arial"/>
          <w:i/>
          <w:iCs/>
          <w:color w:val="auto"/>
          <w:sz w:val="20"/>
          <w:szCs w:val="20"/>
        </w:rPr>
        <w:t xml:space="preserve"> et al. </w:t>
      </w:r>
      <w:r>
        <w:rPr>
          <w:rFonts w:ascii="Arial" w:hAnsi="Arial" w:cs="Arial"/>
          <w:color w:val="auto"/>
          <w:sz w:val="20"/>
          <w:szCs w:val="20"/>
        </w:rPr>
        <w:t xml:space="preserve">(2022) </w:t>
      </w:r>
      <w:bookmarkStart w:id="3" w:name="_GoBack"/>
      <w:bookmarkEnd w:id="3"/>
      <w:r>
        <w:rPr>
          <w:rFonts w:ascii="Arial" w:hAnsi="Arial" w:cs="Arial"/>
          <w:color w:val="auto"/>
          <w:sz w:val="20"/>
          <w:szCs w:val="20"/>
        </w:rPr>
        <w:t xml:space="preserve">reported that the sesame field was infested with </w:t>
      </w:r>
      <w:r>
        <w:rPr>
          <w:rFonts w:ascii="Arial" w:hAnsi="Arial" w:cs="Arial"/>
          <w:i/>
          <w:iCs/>
          <w:color w:val="auto"/>
          <w:sz w:val="20"/>
          <w:szCs w:val="20"/>
        </w:rPr>
        <w:t>Echinochloa crusgalli</w:t>
      </w:r>
      <w:r>
        <w:rPr>
          <w:rFonts w:ascii="Arial" w:hAnsi="Arial" w:cs="Arial"/>
          <w:color w:val="auto"/>
          <w:sz w:val="20"/>
          <w:szCs w:val="20"/>
        </w:rPr>
        <w:t xml:space="preserve">, </w:t>
      </w:r>
      <w:r>
        <w:rPr>
          <w:rFonts w:ascii="Arial" w:hAnsi="Arial" w:cs="Arial"/>
          <w:i/>
          <w:iCs/>
          <w:color w:val="auto"/>
          <w:sz w:val="20"/>
          <w:szCs w:val="20"/>
        </w:rPr>
        <w:t>Digitaria sanguinalis</w:t>
      </w:r>
      <w:r>
        <w:rPr>
          <w:rFonts w:ascii="Arial" w:hAnsi="Arial" w:cs="Arial"/>
          <w:color w:val="auto"/>
          <w:sz w:val="20"/>
          <w:szCs w:val="20"/>
        </w:rPr>
        <w:t xml:space="preserve">, </w:t>
      </w:r>
      <w:r>
        <w:rPr>
          <w:rFonts w:ascii="Arial" w:hAnsi="Arial" w:cs="Arial"/>
          <w:i/>
          <w:iCs/>
          <w:color w:val="auto"/>
          <w:sz w:val="20"/>
          <w:szCs w:val="20"/>
        </w:rPr>
        <w:t>Sorghum halepense</w:t>
      </w:r>
      <w:r>
        <w:rPr>
          <w:rFonts w:ascii="Arial" w:hAnsi="Arial" w:cs="Arial"/>
          <w:color w:val="auto"/>
          <w:sz w:val="20"/>
          <w:szCs w:val="20"/>
        </w:rPr>
        <w:t xml:space="preserve">, </w:t>
      </w:r>
      <w:r>
        <w:rPr>
          <w:rFonts w:ascii="Arial" w:hAnsi="Arial" w:cs="Arial"/>
          <w:i/>
          <w:iCs/>
          <w:color w:val="auto"/>
          <w:sz w:val="20"/>
          <w:szCs w:val="20"/>
        </w:rPr>
        <w:t>Cynodon dactylon</w:t>
      </w:r>
      <w:r>
        <w:rPr>
          <w:rFonts w:ascii="Arial" w:hAnsi="Arial" w:cs="Arial"/>
          <w:color w:val="auto"/>
          <w:sz w:val="20"/>
          <w:szCs w:val="20"/>
        </w:rPr>
        <w:t xml:space="preserve">, </w:t>
      </w:r>
      <w:r>
        <w:rPr>
          <w:rFonts w:ascii="Arial" w:hAnsi="Arial" w:cs="Arial"/>
          <w:i/>
          <w:iCs/>
          <w:color w:val="auto"/>
          <w:sz w:val="20"/>
          <w:szCs w:val="20"/>
        </w:rPr>
        <w:t xml:space="preserve">Bracharia </w:t>
      </w:r>
      <w:r>
        <w:rPr>
          <w:rFonts w:ascii="Arial" w:hAnsi="Arial" w:cs="Arial"/>
          <w:color w:val="auto"/>
          <w:sz w:val="20"/>
          <w:szCs w:val="20"/>
        </w:rPr>
        <w:t xml:space="preserve">spp. among grassy weeds, </w:t>
      </w:r>
      <w:r>
        <w:rPr>
          <w:rFonts w:ascii="Arial" w:hAnsi="Arial" w:cs="Arial"/>
          <w:i/>
          <w:iCs/>
          <w:color w:val="auto"/>
          <w:sz w:val="20"/>
          <w:szCs w:val="20"/>
        </w:rPr>
        <w:t>Amaranthus viridis, Alternanthera sessillis</w:t>
      </w:r>
      <w:r>
        <w:rPr>
          <w:rFonts w:ascii="Arial" w:hAnsi="Arial" w:cs="Arial"/>
          <w:color w:val="auto"/>
          <w:sz w:val="20"/>
          <w:szCs w:val="20"/>
        </w:rPr>
        <w:t xml:space="preserve">, </w:t>
      </w:r>
      <w:r>
        <w:rPr>
          <w:rFonts w:ascii="Arial" w:hAnsi="Arial" w:cs="Arial"/>
          <w:i/>
          <w:iCs/>
          <w:color w:val="auto"/>
          <w:sz w:val="20"/>
          <w:szCs w:val="20"/>
        </w:rPr>
        <w:t>Digera arvensis</w:t>
      </w:r>
      <w:r>
        <w:rPr>
          <w:rFonts w:ascii="Arial" w:hAnsi="Arial" w:cs="Arial"/>
          <w:color w:val="auto"/>
          <w:sz w:val="20"/>
          <w:szCs w:val="20"/>
        </w:rPr>
        <w:t xml:space="preserve">, </w:t>
      </w:r>
      <w:r>
        <w:rPr>
          <w:rFonts w:ascii="Arial" w:hAnsi="Arial" w:cs="Arial"/>
          <w:i/>
          <w:iCs/>
          <w:color w:val="auto"/>
          <w:sz w:val="20"/>
          <w:szCs w:val="20"/>
        </w:rPr>
        <w:t>Convolvulus arvensis</w:t>
      </w:r>
      <w:r>
        <w:rPr>
          <w:rFonts w:ascii="Arial" w:hAnsi="Arial" w:cs="Arial"/>
          <w:color w:val="auto"/>
          <w:sz w:val="20"/>
          <w:szCs w:val="20"/>
        </w:rPr>
        <w:t xml:space="preserve">, </w:t>
      </w:r>
      <w:r>
        <w:rPr>
          <w:rFonts w:ascii="Arial" w:hAnsi="Arial" w:cs="Arial"/>
          <w:i/>
          <w:iCs/>
          <w:color w:val="auto"/>
          <w:sz w:val="20"/>
          <w:szCs w:val="20"/>
        </w:rPr>
        <w:t>Eclipta alba</w:t>
      </w:r>
      <w:r>
        <w:rPr>
          <w:rFonts w:ascii="Arial" w:hAnsi="Arial" w:cs="Arial"/>
          <w:color w:val="auto"/>
          <w:sz w:val="20"/>
          <w:szCs w:val="20"/>
        </w:rPr>
        <w:t xml:space="preserve">, </w:t>
      </w:r>
      <w:r>
        <w:rPr>
          <w:rFonts w:ascii="Arial" w:hAnsi="Arial" w:cs="Arial"/>
          <w:i/>
          <w:iCs/>
          <w:color w:val="auto"/>
          <w:sz w:val="20"/>
          <w:szCs w:val="20"/>
        </w:rPr>
        <w:t>Vernonia cinerea</w:t>
      </w:r>
      <w:r>
        <w:rPr>
          <w:rFonts w:ascii="Arial" w:hAnsi="Arial" w:cs="Arial"/>
          <w:color w:val="auto"/>
          <w:sz w:val="20"/>
          <w:szCs w:val="20"/>
        </w:rPr>
        <w:t xml:space="preserve">, </w:t>
      </w:r>
      <w:r>
        <w:rPr>
          <w:rFonts w:ascii="Arial" w:hAnsi="Arial" w:cs="Arial"/>
          <w:i/>
          <w:iCs/>
          <w:color w:val="auto"/>
          <w:sz w:val="20"/>
          <w:szCs w:val="20"/>
        </w:rPr>
        <w:t>Euphorbia hirta</w:t>
      </w:r>
      <w:r>
        <w:rPr>
          <w:rFonts w:ascii="Arial" w:hAnsi="Arial" w:cs="Arial"/>
          <w:color w:val="auto"/>
          <w:sz w:val="20"/>
          <w:szCs w:val="20"/>
        </w:rPr>
        <w:t xml:space="preserve">, </w:t>
      </w:r>
      <w:r>
        <w:rPr>
          <w:rFonts w:ascii="Arial" w:hAnsi="Arial" w:cs="Arial"/>
          <w:i/>
          <w:iCs/>
          <w:color w:val="auto"/>
          <w:sz w:val="20"/>
          <w:szCs w:val="20"/>
        </w:rPr>
        <w:t>Euphorbia maderaspatensis</w:t>
      </w:r>
      <w:r>
        <w:rPr>
          <w:rFonts w:ascii="Arial" w:hAnsi="Arial" w:cs="Arial"/>
          <w:color w:val="auto"/>
          <w:sz w:val="20"/>
          <w:szCs w:val="20"/>
        </w:rPr>
        <w:t xml:space="preserve">, </w:t>
      </w:r>
      <w:r>
        <w:rPr>
          <w:rFonts w:ascii="Arial" w:hAnsi="Arial" w:cs="Arial"/>
          <w:i/>
          <w:iCs/>
          <w:color w:val="auto"/>
          <w:sz w:val="20"/>
          <w:szCs w:val="20"/>
        </w:rPr>
        <w:t>Cassia tora</w:t>
      </w:r>
      <w:r>
        <w:rPr>
          <w:rFonts w:ascii="Arial" w:hAnsi="Arial" w:cs="Arial"/>
          <w:color w:val="auto"/>
          <w:sz w:val="20"/>
          <w:szCs w:val="20"/>
        </w:rPr>
        <w:t xml:space="preserve">, </w:t>
      </w:r>
      <w:r>
        <w:rPr>
          <w:rFonts w:ascii="Arial" w:hAnsi="Arial" w:cs="Arial"/>
          <w:i/>
          <w:iCs/>
          <w:color w:val="auto"/>
          <w:sz w:val="20"/>
          <w:szCs w:val="20"/>
        </w:rPr>
        <w:t>Physalis minima</w:t>
      </w:r>
      <w:r>
        <w:rPr>
          <w:rFonts w:ascii="Arial" w:hAnsi="Arial" w:cs="Arial"/>
          <w:color w:val="auto"/>
          <w:sz w:val="20"/>
          <w:szCs w:val="20"/>
        </w:rPr>
        <w:t xml:space="preserve">, </w:t>
      </w:r>
      <w:r>
        <w:rPr>
          <w:rFonts w:ascii="Arial" w:hAnsi="Arial" w:cs="Arial"/>
          <w:i/>
          <w:iCs/>
          <w:color w:val="auto"/>
          <w:sz w:val="20"/>
          <w:szCs w:val="20"/>
        </w:rPr>
        <w:t xml:space="preserve">Trianthema portulacastrum </w:t>
      </w:r>
      <w:r>
        <w:rPr>
          <w:rFonts w:ascii="Arial" w:hAnsi="Arial" w:cs="Arial"/>
          <w:color w:val="auto"/>
          <w:sz w:val="20"/>
          <w:szCs w:val="20"/>
        </w:rPr>
        <w:t xml:space="preserve">among broad leaf weeds and </w:t>
      </w:r>
      <w:r>
        <w:rPr>
          <w:rFonts w:ascii="Arial" w:hAnsi="Arial" w:cs="Arial"/>
          <w:i/>
          <w:iCs/>
          <w:color w:val="auto"/>
          <w:sz w:val="20"/>
          <w:szCs w:val="20"/>
        </w:rPr>
        <w:t xml:space="preserve">Cyperus rotundus </w:t>
      </w:r>
      <w:r>
        <w:rPr>
          <w:rFonts w:ascii="Arial" w:hAnsi="Arial" w:cs="Arial"/>
          <w:color w:val="auto"/>
          <w:sz w:val="20"/>
          <w:szCs w:val="20"/>
        </w:rPr>
        <w:t xml:space="preserve">among sedges during summer in </w:t>
      </w:r>
      <w:r>
        <w:rPr>
          <w:rFonts w:ascii="Arial" w:hAnsi="Arial" w:cs="Arial"/>
          <w:color w:val="C00000"/>
          <w:sz w:val="20"/>
          <w:szCs w:val="20"/>
        </w:rPr>
        <w:t>clayey</w:t>
      </w:r>
      <w:r>
        <w:rPr>
          <w:rFonts w:ascii="Arial" w:hAnsi="Arial" w:cs="Arial"/>
          <w:color w:val="auto"/>
          <w:sz w:val="20"/>
          <w:szCs w:val="20"/>
        </w:rPr>
        <w:t xml:space="preserve"> soils of  Navsari, Gujarat. The grassy weed flora observed in summer sesame were </w:t>
      </w:r>
      <w:r>
        <w:rPr>
          <w:rFonts w:ascii="Arial" w:hAnsi="Arial" w:cs="Arial"/>
          <w:i/>
          <w:iCs/>
          <w:color w:val="auto"/>
          <w:sz w:val="20"/>
          <w:szCs w:val="20"/>
        </w:rPr>
        <w:t>Cynodon dactylon</w:t>
      </w:r>
      <w:r>
        <w:rPr>
          <w:rFonts w:ascii="Arial" w:hAnsi="Arial" w:cs="Arial"/>
          <w:color w:val="auto"/>
          <w:sz w:val="20"/>
          <w:szCs w:val="20"/>
        </w:rPr>
        <w:t xml:space="preserve">, </w:t>
      </w:r>
      <w:r>
        <w:rPr>
          <w:rFonts w:ascii="Arial" w:hAnsi="Arial" w:cs="Arial"/>
          <w:i/>
          <w:iCs/>
          <w:color w:val="auto"/>
          <w:sz w:val="20"/>
          <w:szCs w:val="20"/>
        </w:rPr>
        <w:t>Chloris barbata, Elusine indica, Dactyloctenium aegyptium</w:t>
      </w:r>
      <w:r>
        <w:rPr>
          <w:rFonts w:ascii="Arial" w:hAnsi="Arial" w:cs="Arial"/>
          <w:color w:val="auto"/>
          <w:sz w:val="20"/>
          <w:szCs w:val="20"/>
        </w:rPr>
        <w:t xml:space="preserve">, </w:t>
      </w:r>
      <w:r>
        <w:rPr>
          <w:rFonts w:ascii="Arial" w:hAnsi="Arial" w:cs="Arial"/>
          <w:i/>
          <w:iCs/>
          <w:color w:val="auto"/>
          <w:sz w:val="20"/>
          <w:szCs w:val="20"/>
        </w:rPr>
        <w:t xml:space="preserve">Digitaria sanguinalis, </w:t>
      </w:r>
      <w:r>
        <w:rPr>
          <w:rFonts w:ascii="Arial" w:hAnsi="Arial" w:cs="Arial"/>
          <w:color w:val="auto"/>
          <w:sz w:val="20"/>
          <w:szCs w:val="20"/>
        </w:rPr>
        <w:t xml:space="preserve">sedges- </w:t>
      </w:r>
      <w:r>
        <w:rPr>
          <w:rFonts w:ascii="Arial" w:hAnsi="Arial" w:cs="Arial"/>
          <w:i/>
          <w:iCs/>
          <w:color w:val="auto"/>
          <w:sz w:val="20"/>
          <w:szCs w:val="20"/>
        </w:rPr>
        <w:t>Cyperus difformis</w:t>
      </w:r>
      <w:r>
        <w:rPr>
          <w:rFonts w:ascii="Arial" w:hAnsi="Arial" w:cs="Arial"/>
          <w:color w:val="auto"/>
          <w:sz w:val="20"/>
          <w:szCs w:val="20"/>
        </w:rPr>
        <w:t xml:space="preserve">, </w:t>
      </w:r>
      <w:r>
        <w:rPr>
          <w:rFonts w:ascii="Arial" w:hAnsi="Arial" w:cs="Arial"/>
          <w:i/>
          <w:iCs/>
          <w:color w:val="auto"/>
          <w:sz w:val="20"/>
          <w:szCs w:val="20"/>
        </w:rPr>
        <w:t xml:space="preserve">Cyperus iria, Cyperus rotundus, </w:t>
      </w:r>
      <w:r>
        <w:rPr>
          <w:rFonts w:ascii="Arial" w:hAnsi="Arial" w:cs="Arial"/>
          <w:color w:val="auto"/>
          <w:sz w:val="20"/>
          <w:szCs w:val="20"/>
        </w:rPr>
        <w:t xml:space="preserve">and broadleaved weeds- </w:t>
      </w:r>
      <w:r>
        <w:rPr>
          <w:rFonts w:ascii="Arial" w:hAnsi="Arial" w:cs="Arial"/>
          <w:i/>
          <w:iCs/>
          <w:color w:val="auto"/>
          <w:sz w:val="20"/>
          <w:szCs w:val="20"/>
        </w:rPr>
        <w:t>Chenopodium album</w:t>
      </w:r>
      <w:r>
        <w:rPr>
          <w:rFonts w:ascii="Arial" w:hAnsi="Arial" w:cs="Arial"/>
          <w:color w:val="auto"/>
          <w:sz w:val="20"/>
          <w:szCs w:val="20"/>
        </w:rPr>
        <w:t xml:space="preserve">, </w:t>
      </w:r>
      <w:r>
        <w:rPr>
          <w:rFonts w:ascii="Arial" w:hAnsi="Arial" w:cs="Arial"/>
          <w:i/>
          <w:iCs/>
          <w:color w:val="auto"/>
          <w:sz w:val="20"/>
          <w:szCs w:val="20"/>
        </w:rPr>
        <w:t>Cleosia argentea</w:t>
      </w:r>
      <w:r>
        <w:rPr>
          <w:rFonts w:ascii="Arial" w:hAnsi="Arial" w:cs="Arial"/>
          <w:color w:val="auto"/>
          <w:sz w:val="20"/>
          <w:szCs w:val="20"/>
        </w:rPr>
        <w:t xml:space="preserve">, </w:t>
      </w:r>
      <w:r>
        <w:rPr>
          <w:rFonts w:ascii="Arial" w:hAnsi="Arial" w:cs="Arial"/>
          <w:i/>
          <w:iCs/>
          <w:color w:val="auto"/>
          <w:sz w:val="20"/>
          <w:szCs w:val="20"/>
        </w:rPr>
        <w:t>Amaranthus viridis, Portulaca oleracea</w:t>
      </w:r>
      <w:r>
        <w:rPr>
          <w:rFonts w:ascii="Arial" w:hAnsi="Arial" w:cs="Arial"/>
          <w:color w:val="auto"/>
          <w:sz w:val="20"/>
          <w:szCs w:val="20"/>
        </w:rPr>
        <w:t xml:space="preserve">, </w:t>
      </w:r>
      <w:r>
        <w:rPr>
          <w:rFonts w:ascii="Arial" w:hAnsi="Arial" w:cs="Arial"/>
          <w:i/>
          <w:iCs/>
          <w:color w:val="auto"/>
          <w:sz w:val="20"/>
          <w:szCs w:val="20"/>
        </w:rPr>
        <w:t xml:space="preserve">Cardiospermum halicacabum </w:t>
      </w:r>
      <w:r>
        <w:rPr>
          <w:rFonts w:ascii="Arial" w:hAnsi="Arial" w:cs="Arial"/>
          <w:color w:val="auto"/>
          <w:sz w:val="20"/>
          <w:szCs w:val="20"/>
        </w:rPr>
        <w:t xml:space="preserve">in sandy clay loam soils of Odisha (Patnaik </w:t>
      </w:r>
      <w:r>
        <w:rPr>
          <w:rFonts w:ascii="Arial" w:hAnsi="Arial" w:cs="Arial"/>
          <w:i/>
          <w:iCs/>
          <w:color w:val="auto"/>
          <w:sz w:val="20"/>
          <w:szCs w:val="20"/>
        </w:rPr>
        <w:t>et al.,</w:t>
      </w:r>
      <w:r>
        <w:rPr>
          <w:rFonts w:ascii="Arial" w:hAnsi="Arial" w:cs="Arial"/>
          <w:color w:val="auto"/>
          <w:sz w:val="20"/>
          <w:szCs w:val="20"/>
        </w:rPr>
        <w:t xml:space="preserve"> 2021).</w:t>
      </w:r>
    </w:p>
    <w:p w14:paraId="17B7ECB1">
      <w:pPr>
        <w:pStyle w:val="38"/>
        <w:spacing w:after="14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 xml:space="preserve">3. WEED MANAGEMENT </w:t>
      </w:r>
    </w:p>
    <w:p w14:paraId="34863C52">
      <w:pPr>
        <w:spacing w:after="140"/>
        <w:jc w:val="both"/>
        <w:rPr>
          <w:rFonts w:ascii="Arial" w:hAnsi="Arial" w:cs="Arial"/>
          <w:color w:val="000000" w:themeColor="text1"/>
          <w:sz w:val="20"/>
          <w:szCs w:val="20"/>
          <w:lang w:val="en-IN"/>
          <w14:textFill>
            <w14:solidFill>
              <w14:schemeClr w14:val="tx1"/>
            </w14:solidFill>
          </w14:textFill>
        </w:rPr>
      </w:pPr>
      <w:r>
        <w:rPr>
          <w:rFonts w:ascii="Arial" w:hAnsi="Arial" w:cs="Arial"/>
          <w:color w:val="000000" w:themeColor="text1"/>
          <w:sz w:val="20"/>
          <w:szCs w:val="20"/>
          <w:lang w:val="en-IN"/>
          <w14:textFill>
            <w14:solidFill>
              <w14:schemeClr w14:val="tx1"/>
            </w14:solidFill>
          </w14:textFill>
        </w:rPr>
        <w:t>Weed management in sesame (Sesamum indicum L.) is a critical component of crop production, as the crop is highly sensitive to weed competition, particularly during its early growth stages. Weeds compete aggressively with sesame for essential resources such as light, nutrients, water, and space,</w:t>
      </w:r>
      <w:commentRangeStart w:id="2"/>
      <w:r>
        <w:rPr>
          <w:rFonts w:ascii="Arial" w:hAnsi="Arial" w:cs="Arial"/>
          <w:color w:val="000000" w:themeColor="text1"/>
          <w:sz w:val="20"/>
          <w:szCs w:val="20"/>
          <w:lang w:val="en-IN"/>
          <w14:textFill>
            <w14:solidFill>
              <w14:schemeClr w14:val="tx1"/>
            </w14:solidFill>
          </w14:textFill>
        </w:rPr>
        <w:t xml:space="preserve"> leading to significant reductions in growth, yield attributes, and overall productivity. Effective weed control is therefore essential for achieving optimum yields.</w:t>
      </w:r>
      <w:commentRangeEnd w:id="2"/>
      <w:r>
        <w:commentReference w:id="2"/>
      </w:r>
      <w:r>
        <w:rPr>
          <w:rFonts w:ascii="Arial" w:hAnsi="Arial" w:cs="Arial"/>
          <w:color w:val="000000" w:themeColor="text1"/>
          <w:sz w:val="20"/>
          <w:szCs w:val="20"/>
          <w:lang w:val="en-IN"/>
          <w14:textFill>
            <w14:solidFill>
              <w14:schemeClr w14:val="tx1"/>
            </w14:solidFill>
          </w14:textFill>
        </w:rPr>
        <w:t xml:space="preserve"> A variety of weed management strategies have been explored, including physical, mechanical, and chemical methods. Among these, manual weeding, particularly two hand weedings at 20 and 40 days after sowing (DAS), has consistently shown to improve plant growth, enhance yield attributes, and ultimately boost seed yield in sesame (</w:t>
      </w:r>
      <w:r>
        <w:rPr>
          <w:rFonts w:ascii="Arial" w:hAnsi="Arial" w:cs="Arial"/>
          <w:sz w:val="20"/>
          <w:szCs w:val="20"/>
        </w:rPr>
        <w:t xml:space="preserve">Hota </w:t>
      </w:r>
      <w:r>
        <w:rPr>
          <w:rFonts w:ascii="Arial" w:hAnsi="Arial" w:cs="Arial"/>
          <w:i/>
          <w:iCs/>
          <w:sz w:val="20"/>
          <w:szCs w:val="20"/>
        </w:rPr>
        <w:t>et al</w:t>
      </w:r>
      <w:r>
        <w:rPr>
          <w:rFonts w:ascii="Arial" w:hAnsi="Arial" w:cs="Arial"/>
          <w:sz w:val="20"/>
          <w:szCs w:val="20"/>
        </w:rPr>
        <w:t xml:space="preserve">., 2024; </w:t>
      </w:r>
      <w:r>
        <w:rPr>
          <w:rFonts w:ascii="Arial" w:hAnsi="Arial" w:cs="Arial"/>
          <w:color w:val="000000" w:themeColor="text1"/>
          <w:sz w:val="20"/>
          <w:szCs w:val="20"/>
          <w:lang w:val="en-IN"/>
          <w14:textFill>
            <w14:solidFill>
              <w14:schemeClr w14:val="tx1"/>
            </w14:solidFill>
          </w14:textFill>
        </w:rPr>
        <w:t xml:space="preserve">Saha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xml:space="preserve">., 2022 and Aktar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xml:space="preserve">., 2021). Despite its effectiveness, manual weeding is inherently labor-intensive, time-consuming, physically demanding, and costly, making it increasingly less feasible, especially in regions where agricultural labor is scarce or expensive. Mechanical weeding, although an alternative, is often not suitable in sesame cultivation due to the prevalent practice of broadcast sowing, which does not allow for easy maneuvering of weeding implements without causing crop damage. In contrast, chemical weed management offers a more efficient and practical approach. The application of herbicides provides rapid and selective weed control, is less labor-dependent and can be cost-effective over larger areas. As highlighted by Omezzine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xml:space="preserve"> (2011), chemical methods are advantageous due to their quick action, ability to target specific weed groups, and effectiveness from the very early stages of crop establishment, helping reduce initial crop-weed competition. Chemical weed control in sesame typically involves the application of pre-emergence and post-emergence herbicides, each serving a distinct role. Pre-emergence herbicides, applied shortly after sowing but before weed emergence, target early-germinating weed species and create a weed-free environment during the critical crop establishment phase.</w:t>
      </w:r>
      <w:r>
        <w:rPr>
          <w:rFonts w:ascii="Arial" w:hAnsi="Arial" w:cs="Arial"/>
          <w:sz w:val="20"/>
          <w:szCs w:val="20"/>
          <w:lang w:val="en-IN" w:eastAsia="en-IN" w:bidi="te-IN"/>
        </w:rPr>
        <w:t xml:space="preserve"> </w:t>
      </w:r>
      <w:r>
        <w:rPr>
          <w:rFonts w:ascii="Arial" w:hAnsi="Arial" w:cs="Arial"/>
          <w:color w:val="000000" w:themeColor="text1"/>
          <w:sz w:val="20"/>
          <w:szCs w:val="20"/>
          <w:lang w:val="en-IN"/>
          <w14:textFill>
            <w14:solidFill>
              <w14:schemeClr w14:val="tx1"/>
            </w14:solidFill>
          </w14:textFill>
        </w:rPr>
        <w:t>Post-emergence herbicides are used later in the season to control subsequent flushes of weeds, that escape early control measures.</w:t>
      </w:r>
    </w:p>
    <w:p w14:paraId="3E31F16F">
      <w:pPr>
        <w:spacing w:after="140"/>
        <w:ind w:firstLine="720"/>
        <w:jc w:val="both"/>
        <w:rPr>
          <w:rFonts w:ascii="Arial" w:hAnsi="Arial" w:cs="Arial"/>
          <w:color w:val="000000" w:themeColor="text1"/>
          <w:sz w:val="20"/>
          <w:szCs w:val="20"/>
          <w:lang w:val="en-IN"/>
          <w14:textFill>
            <w14:solidFill>
              <w14:schemeClr w14:val="tx1"/>
            </w14:solidFill>
          </w14:textFill>
        </w:rPr>
      </w:pPr>
      <w:r>
        <w:rPr>
          <w:rFonts w:ascii="Arial" w:hAnsi="Arial" w:cs="Arial"/>
          <w:color w:val="000000" w:themeColor="text1"/>
          <w:sz w:val="20"/>
          <w:szCs w:val="20"/>
          <w:lang w:val="en-IN"/>
          <w14:textFill>
            <w14:solidFill>
              <w14:schemeClr w14:val="tx1"/>
            </w14:solidFill>
          </w14:textFill>
        </w:rPr>
        <w:t>Given the increasing importance and adoption of chemical weed control in sesame, there is a growing need to synthesize existing research on the efficacy, spectrum, and crop safety of various herbicides. Therefore, this review aims to consolidate and critically examine the studies conducted on different pre- and post-emergence herbicides evaluated for their effectiveness in weed management in sesame, with a focus on their impact on weed suppression, crop growth, and yield performance. The insights from this review will help guide herbicide selection, application strategies, and integrated weed management programs tailored to sesame production systems.</w:t>
      </w:r>
    </w:p>
    <w:p w14:paraId="46CCAD3E">
      <w:pPr>
        <w:tabs>
          <w:tab w:val="left" w:pos="720"/>
        </w:tabs>
        <w:spacing w:after="140"/>
        <w:jc w:val="both"/>
        <w:rPr>
          <w:rFonts w:ascii="Arial" w:hAnsi="Arial" w:cs="Arial"/>
          <w:b/>
          <w:bCs/>
          <w:color w:val="000000" w:themeColor="text1"/>
          <w:sz w:val="22"/>
          <w:szCs w:val="22"/>
          <w:lang w:val="en-IN"/>
          <w14:textFill>
            <w14:solidFill>
              <w14:schemeClr w14:val="tx1"/>
            </w14:solidFill>
          </w14:textFill>
        </w:rPr>
      </w:pPr>
      <w:r>
        <w:rPr>
          <w:rFonts w:ascii="Arial" w:hAnsi="Arial" w:cs="Arial"/>
          <w:b/>
          <w:bCs/>
          <w:color w:val="000000" w:themeColor="text1"/>
          <w:sz w:val="22"/>
          <w:szCs w:val="22"/>
          <w:lang w:val="en-IN"/>
          <w14:textFill>
            <w14:solidFill>
              <w14:schemeClr w14:val="tx1"/>
            </w14:solidFill>
          </w14:textFill>
        </w:rPr>
        <w:t>4. CHEMICAL WEED MANAGEMENT</w:t>
      </w:r>
    </w:p>
    <w:p w14:paraId="351EF81E">
      <w:pPr>
        <w:tabs>
          <w:tab w:val="left" w:pos="720"/>
        </w:tabs>
        <w:spacing w:after="140"/>
        <w:jc w:val="both"/>
        <w:rPr>
          <w:rFonts w:ascii="Arial" w:hAnsi="Arial" w:cs="Arial"/>
          <w:b/>
          <w:bCs/>
          <w:color w:val="000000" w:themeColor="text1"/>
          <w:sz w:val="20"/>
          <w:szCs w:val="20"/>
          <w:lang w:val="en-IN"/>
          <w14:textFill>
            <w14:solidFill>
              <w14:schemeClr w14:val="tx1"/>
            </w14:solidFill>
          </w14:textFill>
        </w:rPr>
      </w:pPr>
      <w:r>
        <w:rPr>
          <w:rFonts w:ascii="Arial" w:hAnsi="Arial" w:cs="Arial"/>
          <w:b/>
          <w:bCs/>
          <w:color w:val="000000" w:themeColor="text1"/>
          <w:sz w:val="20"/>
          <w:szCs w:val="20"/>
          <w:lang w:val="en-IN"/>
          <w14:textFill>
            <w14:solidFill>
              <w14:schemeClr w14:val="tx1"/>
            </w14:solidFill>
          </w14:textFill>
        </w:rPr>
        <w:t xml:space="preserve">4.1 </w:t>
      </w:r>
      <w:r>
        <w:rPr>
          <w:rFonts w:ascii="Arial" w:hAnsi="Arial" w:cs="Arial"/>
          <w:b/>
          <w:bCs/>
          <w:color w:val="000000" w:themeColor="text1"/>
          <w:sz w:val="22"/>
          <w:szCs w:val="22"/>
          <w:lang w:val="en-IN"/>
          <w14:textFill>
            <w14:solidFill>
              <w14:schemeClr w14:val="tx1"/>
            </w14:solidFill>
          </w14:textFill>
        </w:rPr>
        <w:t>Pre-Emergence Herbicides</w:t>
      </w:r>
    </w:p>
    <w:p w14:paraId="00217384">
      <w:pPr>
        <w:tabs>
          <w:tab w:val="left" w:pos="720"/>
        </w:tabs>
        <w:spacing w:before="240" w:after="140"/>
        <w:jc w:val="both"/>
        <w:rPr>
          <w:rFonts w:ascii="Arial" w:hAnsi="Arial" w:cs="Arial"/>
          <w:color w:val="000000" w:themeColor="text1"/>
          <w:sz w:val="20"/>
          <w:szCs w:val="20"/>
          <w:u w:val="single"/>
          <w:lang w:val="en-IN"/>
          <w14:textFill>
            <w14:solidFill>
              <w14:schemeClr w14:val="tx1"/>
            </w14:solidFill>
          </w14:textFill>
        </w:rPr>
      </w:pPr>
      <w:r>
        <w:rPr>
          <w:rFonts w:ascii="Arial" w:hAnsi="Arial" w:cs="Arial"/>
          <w:b/>
          <w:bCs/>
          <w:color w:val="000000" w:themeColor="text1"/>
          <w:sz w:val="20"/>
          <w:szCs w:val="20"/>
          <w:lang w:val="en-IN"/>
          <w14:textFill>
            <w14:solidFill>
              <w14:schemeClr w14:val="tx1"/>
            </w14:solidFill>
          </w14:textFill>
        </w:rPr>
        <w:t xml:space="preserve">4.1.1 </w:t>
      </w:r>
      <w:r>
        <w:rPr>
          <w:rFonts w:ascii="Arial" w:hAnsi="Arial" w:cs="Arial"/>
          <w:b/>
          <w:bCs/>
          <w:color w:val="000000" w:themeColor="text1"/>
          <w:sz w:val="20"/>
          <w:szCs w:val="20"/>
          <w:u w:val="single"/>
          <w:lang w:val="en-IN"/>
          <w14:textFill>
            <w14:solidFill>
              <w14:schemeClr w14:val="tx1"/>
            </w14:solidFill>
          </w14:textFill>
        </w:rPr>
        <w:t>Alachlor</w:t>
      </w:r>
    </w:p>
    <w:p w14:paraId="1E592F8D">
      <w:pPr>
        <w:tabs>
          <w:tab w:val="left" w:pos="720"/>
        </w:tabs>
        <w:spacing w:before="240" w:after="140"/>
        <w:jc w:val="both"/>
        <w:rPr>
          <w:rFonts w:ascii="Arial" w:hAnsi="Arial" w:cs="Arial"/>
          <w:b/>
          <w:bCs/>
          <w:color w:val="000000" w:themeColor="text1"/>
          <w:sz w:val="20"/>
          <w:szCs w:val="20"/>
          <w:lang w:val="en-IN"/>
          <w14:textFill>
            <w14:solidFill>
              <w14:schemeClr w14:val="tx1"/>
            </w14:solidFill>
          </w14:textFill>
        </w:rPr>
      </w:pPr>
      <w:r>
        <w:rPr>
          <w:rFonts w:ascii="Arial" w:hAnsi="Arial" w:cs="Arial"/>
          <w:color w:val="000000" w:themeColor="text1"/>
          <w:sz w:val="20"/>
          <w:szCs w:val="20"/>
          <w:lang w:val="en-IN"/>
          <w14:textFill>
            <w14:solidFill>
              <w14:schemeClr w14:val="tx1"/>
            </w14:solidFill>
          </w14:textFill>
        </w:rPr>
        <w:t>Pre-emergence application of alachlor 50 EC @ 0.75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xml:space="preserve"> produced the higher </w:t>
      </w:r>
      <w:r>
        <w:rPr>
          <w:rFonts w:ascii="Arial" w:hAnsi="Arial" w:cs="Arial"/>
          <w:sz w:val="20"/>
          <w:szCs w:val="20"/>
        </w:rPr>
        <w:t>dry matter production (26.8 g plant</w:t>
      </w:r>
      <w:r>
        <w:rPr>
          <w:rFonts w:ascii="Arial" w:hAnsi="Arial" w:cs="Arial"/>
          <w:sz w:val="20"/>
          <w:szCs w:val="20"/>
          <w:vertAlign w:val="superscript"/>
        </w:rPr>
        <w:t>-1</w:t>
      </w:r>
      <w:r>
        <w:rPr>
          <w:rFonts w:ascii="Arial" w:hAnsi="Arial" w:cs="Arial"/>
          <w:sz w:val="20"/>
          <w:szCs w:val="20"/>
        </w:rPr>
        <w:t xml:space="preserve">), no. of capsules per plant (29), no. of seeds per capsule (34.3) </w:t>
      </w:r>
      <w:r>
        <w:rPr>
          <w:rFonts w:ascii="Arial" w:hAnsi="Arial" w:cs="Arial"/>
          <w:color w:val="000000" w:themeColor="text1"/>
          <w:sz w:val="20"/>
          <w:szCs w:val="20"/>
          <w14:textFill>
            <w14:solidFill>
              <w14:schemeClr w14:val="tx1"/>
            </w14:solidFill>
          </w14:textFill>
        </w:rPr>
        <w:t xml:space="preserve">and </w:t>
      </w:r>
      <w:r>
        <w:rPr>
          <w:rFonts w:ascii="Arial" w:hAnsi="Arial" w:cs="Arial"/>
          <w:color w:val="000000" w:themeColor="text1"/>
          <w:sz w:val="20"/>
          <w:szCs w:val="20"/>
          <w:lang w:val="en-IN"/>
          <w14:textFill>
            <w14:solidFill>
              <w14:schemeClr w14:val="tx1"/>
            </w14:solidFill>
          </w14:textFill>
        </w:rPr>
        <w:t>seed yield (480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of sesame and reduced weed dry weight</w:t>
      </w:r>
      <w:r>
        <w:rPr>
          <w:rFonts w:ascii="Arial" w:hAnsi="Arial" w:cs="Arial"/>
          <w:color w:val="000000" w:themeColor="text1"/>
          <w:sz w:val="20"/>
          <w:szCs w:val="20"/>
          <w14:textFill>
            <w14:solidFill>
              <w14:schemeClr w14:val="tx1"/>
            </w14:solidFill>
          </w14:textFill>
        </w:rPr>
        <w:t xml:space="preserve"> (Mruthul </w:t>
      </w:r>
      <w:r>
        <w:rPr>
          <w:rFonts w:ascii="Arial" w:hAnsi="Arial" w:cs="Arial"/>
          <w:i/>
          <w:iCs/>
          <w:color w:val="000000" w:themeColor="text1"/>
          <w:sz w:val="20"/>
          <w:szCs w:val="20"/>
          <w14:textFill>
            <w14:solidFill>
              <w14:schemeClr w14:val="tx1"/>
            </w14:solidFill>
          </w14:textFill>
        </w:rPr>
        <w:t>et al</w:t>
      </w:r>
      <w:r>
        <w:rPr>
          <w:rFonts w:ascii="Arial" w:hAnsi="Arial" w:cs="Arial"/>
          <w:color w:val="000000" w:themeColor="text1"/>
          <w:sz w:val="20"/>
          <w:szCs w:val="20"/>
          <w14:textFill>
            <w14:solidFill>
              <w14:schemeClr w14:val="tx1"/>
            </w14:solidFill>
          </w14:textFill>
        </w:rPr>
        <w:t>., 2023)</w:t>
      </w:r>
      <w:r>
        <w:rPr>
          <w:rFonts w:ascii="Arial" w:hAnsi="Arial" w:cs="Arial"/>
          <w:color w:val="000000" w:themeColor="text1"/>
          <w:sz w:val="20"/>
          <w:szCs w:val="20"/>
          <w:lang w:val="en-IN"/>
          <w14:textFill>
            <w14:solidFill>
              <w14:schemeClr w14:val="tx1"/>
            </w14:solidFill>
          </w14:textFill>
        </w:rPr>
        <w:t>. Application of alachlor @ 1.5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xml:space="preserve"> as pre-emergence </w:t>
      </w:r>
      <w:r>
        <w:rPr>
          <w:rFonts w:ascii="Arial" w:hAnsi="Arial" w:cs="Arial"/>
          <w:i/>
          <w:iCs/>
          <w:color w:val="000000" w:themeColor="text1"/>
          <w:sz w:val="20"/>
          <w:szCs w:val="20"/>
          <w:lang w:val="en-IN"/>
          <w14:textFill>
            <w14:solidFill>
              <w14:schemeClr w14:val="tx1"/>
            </w14:solidFill>
          </w14:textFill>
        </w:rPr>
        <w:t xml:space="preserve">fb </w:t>
      </w:r>
      <w:r>
        <w:rPr>
          <w:rFonts w:ascii="Arial" w:hAnsi="Arial" w:cs="Arial"/>
          <w:color w:val="000000" w:themeColor="text1"/>
          <w:sz w:val="20"/>
          <w:szCs w:val="20"/>
          <w:lang w:val="en-IN"/>
          <w14:textFill>
            <w14:solidFill>
              <w14:schemeClr w14:val="tx1"/>
            </w14:solidFill>
          </w14:textFill>
        </w:rPr>
        <w:t>quizalofop ethyl @ 50 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xml:space="preserve"> on 25 DAS as early post emergence recorded significantly lesser weed density, dry weight, weed index (4.1%) and higher weed control efficiency (96.2%), seed yield (550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and stalk yield (2432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xml:space="preserve">) (Sujithra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2019). Among chemical weed management practices, alachlor @ 0.375 kg ha</w:t>
      </w:r>
      <w:r>
        <w:rPr>
          <w:rFonts w:ascii="Arial" w:hAnsi="Arial" w:cs="Arial"/>
          <w:color w:val="000000" w:themeColor="text1"/>
          <w:sz w:val="20"/>
          <w:szCs w:val="20"/>
          <w:vertAlign w:val="superscript"/>
          <w:lang w:val="en-IN"/>
          <w14:textFill>
            <w14:solidFill>
              <w14:schemeClr w14:val="tx1"/>
            </w14:solidFill>
          </w14:textFill>
        </w:rPr>
        <w:t>-1</w:t>
      </w:r>
      <w:r>
        <w:rPr>
          <w:rFonts w:ascii="Arial" w:hAnsi="Arial" w:cs="Arial"/>
          <w:color w:val="000000" w:themeColor="text1"/>
          <w:sz w:val="20"/>
          <w:szCs w:val="20"/>
          <w:lang w:val="en-IN"/>
          <w14:textFill>
            <w14:solidFill>
              <w14:schemeClr w14:val="tx1"/>
            </w14:solidFill>
          </w14:textFill>
        </w:rPr>
        <w:t xml:space="preserve"> registered the maximum number of capsules per plant (38), seed per capsule (50.7) and test weight (3.46) of sesame according to Chauhan </w:t>
      </w:r>
      <w:r>
        <w:rPr>
          <w:rFonts w:ascii="Arial" w:hAnsi="Arial" w:cs="Arial"/>
          <w:i/>
          <w:iCs/>
          <w:color w:val="000000" w:themeColor="text1"/>
          <w:sz w:val="20"/>
          <w:szCs w:val="20"/>
          <w:lang w:val="en-IN"/>
          <w14:textFill>
            <w14:solidFill>
              <w14:schemeClr w14:val="tx1"/>
            </w14:solidFill>
          </w14:textFill>
        </w:rPr>
        <w:t xml:space="preserve">et al., </w:t>
      </w:r>
      <w:r>
        <w:rPr>
          <w:rFonts w:ascii="Arial" w:hAnsi="Arial" w:cs="Arial"/>
          <w:color w:val="000000" w:themeColor="text1"/>
          <w:sz w:val="20"/>
          <w:szCs w:val="20"/>
          <w:lang w:val="en-IN"/>
          <w14:textFill>
            <w14:solidFill>
              <w14:schemeClr w14:val="tx1"/>
            </w14:solidFill>
          </w14:textFill>
        </w:rPr>
        <w:t>(2019).</w:t>
      </w:r>
    </w:p>
    <w:p w14:paraId="5E81E839">
      <w:pPr>
        <w:pStyle w:val="38"/>
        <w:spacing w:before="240" w:after="140"/>
        <w:jc w:val="both"/>
        <w:rPr>
          <w:rFonts w:ascii="Arial" w:hAnsi="Arial" w:cs="Arial"/>
          <w:b/>
          <w:bCs/>
          <w:color w:val="auto"/>
          <w:sz w:val="20"/>
          <w:szCs w:val="20"/>
        </w:rPr>
      </w:pPr>
      <w:r>
        <w:rPr>
          <w:rFonts w:ascii="Arial" w:hAnsi="Arial" w:cs="Arial"/>
          <w:b/>
          <w:bCs/>
          <w:color w:val="auto"/>
          <w:sz w:val="20"/>
          <w:szCs w:val="20"/>
        </w:rPr>
        <w:t xml:space="preserve">4.1.2 </w:t>
      </w:r>
      <w:r>
        <w:rPr>
          <w:rFonts w:ascii="Arial" w:hAnsi="Arial" w:cs="Arial"/>
          <w:b/>
          <w:bCs/>
          <w:color w:val="auto"/>
          <w:sz w:val="20"/>
          <w:szCs w:val="20"/>
          <w:u w:val="single"/>
        </w:rPr>
        <w:t>Butachlor</w:t>
      </w:r>
    </w:p>
    <w:p w14:paraId="38B6BD2E">
      <w:pPr>
        <w:pStyle w:val="38"/>
        <w:spacing w:before="240" w:after="140"/>
        <w:jc w:val="both"/>
        <w:rPr>
          <w:rFonts w:ascii="Arial" w:hAnsi="Arial" w:cs="Arial"/>
          <w:color w:val="auto"/>
          <w:sz w:val="20"/>
          <w:szCs w:val="20"/>
        </w:rPr>
      </w:pPr>
      <w:r>
        <w:rPr>
          <w:rFonts w:ascii="Arial" w:hAnsi="Arial" w:cs="Arial"/>
          <w:color w:val="auto"/>
          <w:sz w:val="20"/>
          <w:szCs w:val="20"/>
        </w:rPr>
        <w:t>Pre-emergence application of butachlor @ 1.0 kg ha</w:t>
      </w:r>
      <w:r>
        <w:rPr>
          <w:rFonts w:ascii="Arial" w:hAnsi="Arial" w:cs="Arial"/>
          <w:color w:val="auto"/>
          <w:sz w:val="20"/>
          <w:szCs w:val="20"/>
          <w:vertAlign w:val="superscript"/>
        </w:rPr>
        <w:t>-1</w:t>
      </w:r>
      <w:r>
        <w:rPr>
          <w:rFonts w:ascii="Arial" w:hAnsi="Arial" w:cs="Arial"/>
          <w:color w:val="auto"/>
          <w:sz w:val="20"/>
          <w:szCs w:val="20"/>
        </w:rPr>
        <w:t xml:space="preserve"> could be used as alternative to hoe weeding for effective weed control in sesame with higher seed yield but </w:t>
      </w:r>
      <w:r>
        <w:rPr>
          <w:rFonts w:ascii="Arial" w:hAnsi="Arial" w:cs="Arial"/>
          <w:sz w:val="20"/>
          <w:szCs w:val="20"/>
        </w:rPr>
        <w:t>higher dose of butachlor @ 1.5 kg ha</w:t>
      </w:r>
      <w:r>
        <w:rPr>
          <w:rFonts w:ascii="Arial" w:hAnsi="Arial" w:cs="Arial"/>
          <w:sz w:val="20"/>
          <w:szCs w:val="20"/>
          <w:vertAlign w:val="superscript"/>
        </w:rPr>
        <w:t>-1</w:t>
      </w:r>
      <w:r>
        <w:rPr>
          <w:rFonts w:ascii="Arial" w:hAnsi="Arial" w:cs="Arial"/>
          <w:sz w:val="20"/>
          <w:szCs w:val="20"/>
        </w:rPr>
        <w:t xml:space="preserve"> resulted </w:t>
      </w:r>
      <w:r>
        <w:rPr>
          <w:rFonts w:ascii="Arial" w:hAnsi="Arial" w:cs="Arial"/>
          <w:color w:val="auto"/>
          <w:sz w:val="20"/>
          <w:szCs w:val="20"/>
          <w:lang w:val="en-US"/>
        </w:rPr>
        <w:t xml:space="preserve">in suppressed crop growth of sesame </w:t>
      </w:r>
      <w:r>
        <w:rPr>
          <w:rFonts w:ascii="Arial" w:hAnsi="Arial" w:cs="Arial"/>
          <w:color w:val="auto"/>
          <w:sz w:val="20"/>
          <w:szCs w:val="20"/>
        </w:rPr>
        <w:t xml:space="preserve">(Audu </w:t>
      </w:r>
      <w:r>
        <w:rPr>
          <w:rFonts w:ascii="Arial" w:hAnsi="Arial" w:cs="Arial"/>
          <w:i/>
          <w:iCs/>
          <w:color w:val="auto"/>
          <w:sz w:val="20"/>
          <w:szCs w:val="20"/>
        </w:rPr>
        <w:t>et al</w:t>
      </w:r>
      <w:r>
        <w:rPr>
          <w:rFonts w:ascii="Arial" w:hAnsi="Arial" w:cs="Arial"/>
          <w:color w:val="auto"/>
          <w:sz w:val="20"/>
          <w:szCs w:val="20"/>
        </w:rPr>
        <w:t>., 2021). According to Chaudhari and Ghosh (2020) sole application of butachlor @ 1.0 kg ha</w:t>
      </w:r>
      <w:r>
        <w:rPr>
          <w:rFonts w:ascii="Arial" w:hAnsi="Arial" w:cs="Arial"/>
          <w:color w:val="auto"/>
          <w:sz w:val="20"/>
          <w:szCs w:val="20"/>
          <w:vertAlign w:val="superscript"/>
        </w:rPr>
        <w:t>-1</w:t>
      </w:r>
      <w:r>
        <w:rPr>
          <w:rFonts w:ascii="Arial" w:hAnsi="Arial" w:cs="Arial"/>
          <w:color w:val="auto"/>
          <w:sz w:val="20"/>
          <w:szCs w:val="20"/>
        </w:rPr>
        <w:t xml:space="preserve"> at 3 DAS may be considered as promising cost-effective herbicides for improvement of seed yield. The experimental results of Jadhav (2015) showed among herbicidal treatments </w:t>
      </w:r>
      <w:r>
        <w:rPr>
          <w:rFonts w:ascii="Arial" w:hAnsi="Arial" w:cs="Arial"/>
          <w:color w:val="auto"/>
          <w:sz w:val="20"/>
          <w:szCs w:val="20"/>
          <w:lang w:val="en-US"/>
        </w:rPr>
        <w:t>lower weed count and dry weight of weeds and higher weed control efficiency, seed yield (0.48 t ha</w:t>
      </w:r>
      <w:r>
        <w:rPr>
          <w:rFonts w:ascii="Arial" w:hAnsi="Arial" w:cs="Arial"/>
          <w:color w:val="auto"/>
          <w:sz w:val="20"/>
          <w:szCs w:val="20"/>
          <w:vertAlign w:val="superscript"/>
          <w:lang w:val="en-US"/>
        </w:rPr>
        <w:t>-1</w:t>
      </w:r>
      <w:r>
        <w:rPr>
          <w:rFonts w:ascii="Arial" w:hAnsi="Arial" w:cs="Arial"/>
          <w:color w:val="auto"/>
          <w:sz w:val="20"/>
          <w:szCs w:val="20"/>
          <w:lang w:val="en-US"/>
        </w:rPr>
        <w:t>), stalk yield (1.40 t ha</w:t>
      </w:r>
      <w:r>
        <w:rPr>
          <w:rFonts w:ascii="Arial" w:hAnsi="Arial" w:cs="Arial"/>
          <w:color w:val="auto"/>
          <w:sz w:val="20"/>
          <w:szCs w:val="20"/>
          <w:vertAlign w:val="superscript"/>
          <w:lang w:val="en-US"/>
        </w:rPr>
        <w:t>-1</w:t>
      </w:r>
      <w:r>
        <w:rPr>
          <w:rFonts w:ascii="Arial" w:hAnsi="Arial" w:cs="Arial"/>
          <w:color w:val="auto"/>
          <w:sz w:val="20"/>
          <w:szCs w:val="20"/>
          <w:lang w:val="en-US"/>
        </w:rPr>
        <w:t>) and monetary returns were recorded with pre-emergence application of b</w:t>
      </w:r>
      <w:r>
        <w:rPr>
          <w:rFonts w:ascii="Arial" w:hAnsi="Arial" w:cs="Arial"/>
          <w:sz w:val="20"/>
          <w:szCs w:val="20"/>
        </w:rPr>
        <w:t xml:space="preserve">utachlor </w:t>
      </w:r>
      <w:r>
        <w:rPr>
          <w:rFonts w:ascii="Arial" w:hAnsi="Arial" w:cs="Arial"/>
          <w:color w:val="auto"/>
          <w:sz w:val="20"/>
          <w:szCs w:val="20"/>
          <w:lang w:val="en-US"/>
        </w:rPr>
        <w:t>at 1.5 kg ha</w:t>
      </w:r>
      <w:r>
        <w:rPr>
          <w:rFonts w:ascii="Arial" w:hAnsi="Arial" w:cs="Arial"/>
          <w:color w:val="auto"/>
          <w:sz w:val="20"/>
          <w:szCs w:val="20"/>
          <w:vertAlign w:val="superscript"/>
          <w:lang w:val="en-US"/>
        </w:rPr>
        <w:t>-1</w:t>
      </w:r>
      <w:r>
        <w:rPr>
          <w:rFonts w:ascii="Arial" w:hAnsi="Arial" w:cs="Arial"/>
          <w:color w:val="auto"/>
          <w:sz w:val="20"/>
          <w:szCs w:val="20"/>
          <w:lang w:val="en-US"/>
        </w:rPr>
        <w:t>.</w:t>
      </w:r>
    </w:p>
    <w:p w14:paraId="55846BD2">
      <w:pPr>
        <w:pStyle w:val="38"/>
        <w:spacing w:before="240"/>
        <w:jc w:val="both"/>
        <w:rPr>
          <w:rFonts w:ascii="Arial" w:hAnsi="Arial" w:cs="Arial"/>
          <w:sz w:val="20"/>
          <w:szCs w:val="20"/>
          <w:lang w:val="en-US"/>
        </w:rPr>
      </w:pPr>
      <w:r>
        <w:rPr>
          <w:rFonts w:ascii="Arial" w:hAnsi="Arial" w:cs="Arial"/>
          <w:b/>
          <w:bCs/>
          <w:color w:val="auto"/>
          <w:sz w:val="20"/>
          <w:szCs w:val="20"/>
          <w:lang w:val="en-US"/>
        </w:rPr>
        <w:t xml:space="preserve">4.1.3 </w:t>
      </w:r>
      <w:r>
        <w:rPr>
          <w:rFonts w:ascii="Arial" w:hAnsi="Arial" w:cs="Arial"/>
          <w:b/>
          <w:bCs/>
          <w:color w:val="auto"/>
          <w:sz w:val="20"/>
          <w:szCs w:val="20"/>
          <w:u w:val="single"/>
          <w:lang w:val="en-US"/>
        </w:rPr>
        <w:t>Diuron</w:t>
      </w:r>
    </w:p>
    <w:p w14:paraId="54293686">
      <w:pPr>
        <w:pStyle w:val="38"/>
        <w:spacing w:before="240" w:after="240"/>
        <w:jc w:val="both"/>
        <w:rPr>
          <w:rFonts w:ascii="Arial" w:hAnsi="Arial" w:cs="Arial"/>
          <w:b/>
          <w:bCs/>
          <w:color w:val="FF0000"/>
          <w:sz w:val="20"/>
          <w:szCs w:val="20"/>
          <w:lang w:val="en-US"/>
        </w:rPr>
      </w:pPr>
      <w:r>
        <w:rPr>
          <w:rFonts w:ascii="Arial" w:hAnsi="Arial" w:cs="Arial"/>
          <w:sz w:val="20"/>
          <w:szCs w:val="20"/>
        </w:rPr>
        <w:t xml:space="preserve">The highest grain yield (669.9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sz w:val="20"/>
          <w:szCs w:val="20"/>
        </w:rPr>
        <w:t xml:space="preserve">) followed by weed free (837.5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sz w:val="20"/>
          <w:szCs w:val="20"/>
        </w:rPr>
        <w:t xml:space="preserve">) was obtained from the application of diuron @ 650 </w:t>
      </w:r>
      <w:r>
        <w:rPr>
          <w:rFonts w:ascii="Arial" w:hAnsi="Arial" w:cs="Arial"/>
          <w:color w:val="auto"/>
          <w:sz w:val="20"/>
          <w:szCs w:val="20"/>
        </w:rPr>
        <w:t>g ha</w:t>
      </w:r>
      <w:r>
        <w:rPr>
          <w:rFonts w:ascii="Arial" w:hAnsi="Arial" w:cs="Arial"/>
          <w:color w:val="auto"/>
          <w:sz w:val="20"/>
          <w:szCs w:val="20"/>
          <w:vertAlign w:val="superscript"/>
        </w:rPr>
        <w:t xml:space="preserve">-1 </w:t>
      </w:r>
      <w:r>
        <w:rPr>
          <w:rFonts w:ascii="Arial" w:hAnsi="Arial" w:cs="Arial"/>
          <w:sz w:val="20"/>
          <w:szCs w:val="20"/>
        </w:rPr>
        <w:t xml:space="preserve">+ hand weeding but the highest crop injury (10%) at 10 days after treatment </w:t>
      </w:r>
      <w:r>
        <w:rPr>
          <w:rFonts w:ascii="Arial" w:hAnsi="Arial" w:cs="Arial"/>
          <w:color w:val="auto"/>
          <w:sz w:val="20"/>
          <w:szCs w:val="20"/>
          <w:lang w:val="en-US"/>
        </w:rPr>
        <w:t>was observed from the application of diuron @ 650 g ha</w:t>
      </w:r>
      <w:r>
        <w:rPr>
          <w:rFonts w:ascii="Arial" w:hAnsi="Arial" w:cs="Arial"/>
          <w:color w:val="auto"/>
          <w:sz w:val="20"/>
          <w:szCs w:val="20"/>
          <w:vertAlign w:val="superscript"/>
          <w:lang w:val="en-US"/>
        </w:rPr>
        <w:t>-1</w:t>
      </w:r>
      <w:r>
        <w:rPr>
          <w:rFonts w:ascii="Arial" w:hAnsi="Arial" w:cs="Arial"/>
          <w:color w:val="auto"/>
          <w:sz w:val="20"/>
          <w:szCs w:val="20"/>
          <w:lang w:val="en-US"/>
        </w:rPr>
        <w:t xml:space="preserve">sprayed two times (Baraki </w:t>
      </w:r>
      <w:r>
        <w:rPr>
          <w:rFonts w:ascii="Arial" w:hAnsi="Arial" w:cs="Arial"/>
          <w:i/>
          <w:iCs/>
          <w:color w:val="auto"/>
          <w:sz w:val="20"/>
          <w:szCs w:val="20"/>
          <w:lang w:val="en-US"/>
        </w:rPr>
        <w:t>et al</w:t>
      </w:r>
      <w:r>
        <w:rPr>
          <w:rFonts w:ascii="Arial" w:hAnsi="Arial" w:cs="Arial"/>
          <w:color w:val="auto"/>
          <w:sz w:val="20"/>
          <w:szCs w:val="20"/>
          <w:lang w:val="en-US"/>
        </w:rPr>
        <w:t xml:space="preserve">., 2023). </w:t>
      </w:r>
      <w:r>
        <w:rPr>
          <w:rFonts w:ascii="Arial" w:hAnsi="Arial" w:cs="Arial"/>
          <w:bCs/>
          <w:color w:val="000000" w:themeColor="text1"/>
          <w:sz w:val="20"/>
          <w:szCs w:val="20"/>
          <w:lang w:val="en-US"/>
          <w14:textFill>
            <w14:solidFill>
              <w14:schemeClr w14:val="tx1"/>
            </w14:solidFill>
          </w14:textFill>
        </w:rPr>
        <w:t>Imoloame and Abubakar (2023) reported that t</w:t>
      </w:r>
      <w:r>
        <w:rPr>
          <w:rFonts w:ascii="Arial" w:hAnsi="Arial" w:cs="Arial"/>
          <w:sz w:val="20"/>
          <w:szCs w:val="20"/>
          <w:lang w:val="en-US"/>
        </w:rPr>
        <w:t xml:space="preserve">ank mixture of pendimethalin + diuron @ 0.5 + 0.5 </w:t>
      </w:r>
      <w:r>
        <w:rPr>
          <w:rFonts w:ascii="Arial" w:hAnsi="Arial" w:cs="Arial"/>
          <w:sz w:val="20"/>
          <w:szCs w:val="20"/>
        </w:rPr>
        <w:t>kg ha</w:t>
      </w:r>
      <w:r>
        <w:rPr>
          <w:rFonts w:ascii="Arial" w:hAnsi="Arial" w:cs="Arial"/>
          <w:sz w:val="20"/>
          <w:szCs w:val="20"/>
          <w:vertAlign w:val="superscript"/>
        </w:rPr>
        <w:t>-1</w:t>
      </w:r>
      <w:r>
        <w:rPr>
          <w:rFonts w:ascii="Arial" w:hAnsi="Arial" w:cs="Arial"/>
          <w:sz w:val="20"/>
          <w:szCs w:val="20"/>
          <w:lang w:val="en-US"/>
        </w:rPr>
        <w:t xml:space="preserve"> resulted in greater yield components and increased sesame yield by 58.1% over weedy check. </w:t>
      </w:r>
    </w:p>
    <w:p w14:paraId="4C1D8759">
      <w:pPr>
        <w:pStyle w:val="38"/>
        <w:spacing w:before="240" w:after="140"/>
        <w:jc w:val="both"/>
        <w:rPr>
          <w:rFonts w:ascii="Arial" w:hAnsi="Arial" w:cs="Arial"/>
          <w:b/>
          <w:bCs/>
          <w:color w:val="auto"/>
          <w:sz w:val="20"/>
          <w:szCs w:val="20"/>
          <w:u w:val="single"/>
        </w:rPr>
      </w:pPr>
      <w:r>
        <w:rPr>
          <w:rFonts w:ascii="Arial" w:hAnsi="Arial" w:cs="Arial"/>
          <w:b/>
          <w:bCs/>
          <w:color w:val="auto"/>
          <w:sz w:val="20"/>
          <w:szCs w:val="20"/>
        </w:rPr>
        <w:t xml:space="preserve">4.1.4 </w:t>
      </w:r>
      <w:r>
        <w:rPr>
          <w:rFonts w:ascii="Arial" w:hAnsi="Arial" w:cs="Arial"/>
          <w:b/>
          <w:bCs/>
          <w:color w:val="auto"/>
          <w:sz w:val="20"/>
          <w:szCs w:val="20"/>
          <w:u w:val="single"/>
        </w:rPr>
        <w:t>Fluchloralin</w:t>
      </w:r>
    </w:p>
    <w:p w14:paraId="23DE44EA">
      <w:pPr>
        <w:pStyle w:val="38"/>
        <w:spacing w:before="240" w:after="140"/>
        <w:jc w:val="both"/>
        <w:rPr>
          <w:rFonts w:ascii="Arial" w:hAnsi="Arial" w:cs="Arial"/>
          <w:color w:val="auto"/>
          <w:sz w:val="20"/>
          <w:szCs w:val="20"/>
        </w:rPr>
      </w:pPr>
      <w:r>
        <w:rPr>
          <w:rFonts w:ascii="Arial" w:hAnsi="Arial" w:cs="Arial"/>
          <w:sz w:val="20"/>
          <w:szCs w:val="20"/>
        </w:rPr>
        <w:t xml:space="preserve">Higher seed yield (760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 was recorded with pre-emergence application of f</w:t>
      </w:r>
      <w:r>
        <w:rPr>
          <w:rFonts w:ascii="Arial" w:hAnsi="Arial" w:cs="Arial"/>
          <w:sz w:val="20"/>
          <w:szCs w:val="20"/>
        </w:rPr>
        <w:t>luchloralin @ 0.75 kg ha</w:t>
      </w:r>
      <w:r>
        <w:rPr>
          <w:rFonts w:ascii="Arial" w:hAnsi="Arial" w:cs="Arial"/>
          <w:sz w:val="20"/>
          <w:szCs w:val="20"/>
          <w:vertAlign w:val="superscript"/>
        </w:rPr>
        <w:t xml:space="preserve">-1 </w:t>
      </w:r>
      <w:r>
        <w:rPr>
          <w:rFonts w:ascii="Arial" w:hAnsi="Arial" w:cs="Arial"/>
          <w:sz w:val="20"/>
          <w:szCs w:val="20"/>
        </w:rPr>
        <w:t xml:space="preserve">+ hand weeding which was 29.6% </w:t>
      </w:r>
      <w:r>
        <w:rPr>
          <w:rFonts w:ascii="Arial" w:hAnsi="Arial" w:cs="Arial"/>
          <w:color w:val="auto"/>
          <w:sz w:val="20"/>
          <w:szCs w:val="20"/>
          <w:lang w:val="en-US"/>
        </w:rPr>
        <w:t xml:space="preserve">over weedy check (Ghatak </w:t>
      </w:r>
      <w:r>
        <w:rPr>
          <w:rFonts w:ascii="Arial" w:hAnsi="Arial" w:cs="Arial"/>
          <w:i/>
          <w:iCs/>
          <w:color w:val="auto"/>
          <w:sz w:val="20"/>
          <w:szCs w:val="20"/>
          <w:lang w:val="en-US"/>
        </w:rPr>
        <w:t>et al</w:t>
      </w:r>
      <w:r>
        <w:rPr>
          <w:rFonts w:ascii="Arial" w:hAnsi="Arial" w:cs="Arial"/>
          <w:color w:val="auto"/>
          <w:sz w:val="20"/>
          <w:szCs w:val="20"/>
          <w:lang w:val="en-US"/>
        </w:rPr>
        <w:t xml:space="preserve">., 2006). </w:t>
      </w:r>
      <w:r>
        <w:rPr>
          <w:rFonts w:ascii="Arial" w:hAnsi="Arial" w:cs="Arial"/>
          <w:color w:val="auto"/>
          <w:sz w:val="20"/>
          <w:szCs w:val="20"/>
        </w:rPr>
        <w:t xml:space="preserve">Svathi </w:t>
      </w:r>
      <w:r>
        <w:rPr>
          <w:rFonts w:ascii="Arial" w:hAnsi="Arial" w:cs="Arial"/>
          <w:i/>
          <w:iCs/>
          <w:color w:val="auto"/>
          <w:sz w:val="20"/>
          <w:szCs w:val="20"/>
        </w:rPr>
        <w:t>et al</w:t>
      </w:r>
      <w:r>
        <w:rPr>
          <w:rFonts w:ascii="Arial" w:hAnsi="Arial" w:cs="Arial"/>
          <w:color w:val="auto"/>
          <w:sz w:val="20"/>
          <w:szCs w:val="20"/>
        </w:rPr>
        <w:t>. (2005) results revealed that fluchloralin @ 1.0 kg ha</w:t>
      </w:r>
      <w:r>
        <w:rPr>
          <w:rFonts w:ascii="Arial" w:hAnsi="Arial" w:cs="Arial"/>
          <w:color w:val="auto"/>
          <w:sz w:val="20"/>
          <w:szCs w:val="20"/>
          <w:vertAlign w:val="superscript"/>
        </w:rPr>
        <w:t>-1</w:t>
      </w:r>
      <w:r>
        <w:rPr>
          <w:rFonts w:ascii="Arial" w:hAnsi="Arial" w:cs="Arial"/>
          <w:color w:val="auto"/>
          <w:sz w:val="20"/>
          <w:szCs w:val="20"/>
        </w:rPr>
        <w:t xml:space="preserve"> + hand weeding at 30 DAS gave higher sesame seed yield.</w:t>
      </w:r>
    </w:p>
    <w:p w14:paraId="210687D9">
      <w:pPr>
        <w:pStyle w:val="38"/>
        <w:spacing w:before="240"/>
        <w:jc w:val="both"/>
        <w:rPr>
          <w:rFonts w:ascii="Arial" w:hAnsi="Arial" w:cs="Arial"/>
          <w:b/>
          <w:bCs/>
          <w:color w:val="auto"/>
          <w:sz w:val="20"/>
          <w:szCs w:val="20"/>
        </w:rPr>
      </w:pPr>
      <w:r>
        <w:rPr>
          <w:rFonts w:ascii="Arial" w:hAnsi="Arial" w:cs="Arial"/>
          <w:b/>
          <w:bCs/>
          <w:color w:val="auto"/>
          <w:sz w:val="20"/>
          <w:szCs w:val="20"/>
        </w:rPr>
        <w:t xml:space="preserve">4.1.5 </w:t>
      </w:r>
      <w:r>
        <w:rPr>
          <w:rFonts w:ascii="Arial" w:hAnsi="Arial" w:cs="Arial"/>
          <w:b/>
          <w:bCs/>
          <w:color w:val="auto"/>
          <w:sz w:val="20"/>
          <w:szCs w:val="20"/>
          <w:u w:val="single"/>
        </w:rPr>
        <w:t>Imazethapyr</w:t>
      </w:r>
    </w:p>
    <w:p w14:paraId="12964436">
      <w:pPr>
        <w:autoSpaceDE w:val="0"/>
        <w:autoSpaceDN w:val="0"/>
        <w:adjustRightInd w:val="0"/>
        <w:spacing w:before="240" w:after="240"/>
        <w:jc w:val="both"/>
        <w:rPr>
          <w:rFonts w:ascii="Arial" w:hAnsi="Arial" w:cs="Arial"/>
          <w:sz w:val="20"/>
          <w:szCs w:val="20"/>
        </w:rPr>
      </w:pPr>
      <w:r>
        <w:rPr>
          <w:rFonts w:ascii="Arial" w:hAnsi="Arial" w:cs="Arial" w:eastAsiaTheme="minorHAnsi"/>
          <w:color w:val="000000"/>
          <w:sz w:val="20"/>
          <w:szCs w:val="20"/>
          <w:lang w:val="en-IN" w:bidi="te-IN"/>
        </w:rPr>
        <w:t>Pre-emergence application of imazethapyr @ 0.015 kg ha</w:t>
      </w:r>
      <w:r>
        <w:rPr>
          <w:rFonts w:ascii="Arial" w:hAnsi="Arial" w:cs="Arial" w:eastAsiaTheme="minorHAnsi"/>
          <w:color w:val="000000"/>
          <w:sz w:val="20"/>
          <w:szCs w:val="20"/>
          <w:vertAlign w:val="superscript"/>
          <w:lang w:val="en-IN" w:bidi="te-IN"/>
        </w:rPr>
        <w:t xml:space="preserve">-1 </w:t>
      </w:r>
      <w:r>
        <w:rPr>
          <w:rFonts w:ascii="Arial" w:hAnsi="Arial" w:cs="Arial" w:eastAsiaTheme="minorHAnsi"/>
          <w:color w:val="000000"/>
          <w:sz w:val="20"/>
          <w:szCs w:val="20"/>
          <w:lang w:val="en-IN" w:bidi="te-IN"/>
        </w:rPr>
        <w:t>+ one HW at 30 DAS gave the greatest weed suppression and also produced the maximum seed yield (855 kg ha</w:t>
      </w:r>
      <w:r>
        <w:rPr>
          <w:rFonts w:ascii="Arial" w:hAnsi="Arial" w:cs="Arial" w:eastAsiaTheme="minorHAnsi"/>
          <w:color w:val="000000"/>
          <w:sz w:val="20"/>
          <w:szCs w:val="20"/>
          <w:vertAlign w:val="superscript"/>
          <w:lang w:val="en-IN" w:bidi="te-IN"/>
        </w:rPr>
        <w:t>-1</w:t>
      </w:r>
      <w:r>
        <w:rPr>
          <w:rFonts w:ascii="Arial" w:hAnsi="Arial" w:cs="Arial" w:eastAsiaTheme="minorHAnsi"/>
          <w:color w:val="000000"/>
          <w:sz w:val="20"/>
          <w:szCs w:val="20"/>
          <w:lang w:val="en-IN" w:bidi="te-IN"/>
        </w:rPr>
        <w:t xml:space="preserve">) (Dadarwal and Yadav 2025). </w:t>
      </w:r>
      <w:r>
        <w:rPr>
          <w:rFonts w:ascii="Arial" w:hAnsi="Arial" w:cs="Arial"/>
          <w:sz w:val="20"/>
          <w:szCs w:val="20"/>
        </w:rPr>
        <w:t xml:space="preserve">Manoj </w:t>
      </w:r>
      <w:r>
        <w:rPr>
          <w:rFonts w:ascii="Arial" w:hAnsi="Arial" w:cs="Arial"/>
          <w:i/>
          <w:iCs/>
          <w:sz w:val="20"/>
          <w:szCs w:val="20"/>
        </w:rPr>
        <w:t>et al</w:t>
      </w:r>
      <w:r>
        <w:rPr>
          <w:rFonts w:ascii="Arial" w:hAnsi="Arial" w:cs="Arial"/>
          <w:sz w:val="20"/>
          <w:szCs w:val="20"/>
        </w:rPr>
        <w:t>. (2017) reported that application of imazethapyr @ 0.03 kg ha</w:t>
      </w:r>
      <w:r>
        <w:rPr>
          <w:rFonts w:ascii="Arial" w:hAnsi="Arial" w:cs="Arial"/>
          <w:sz w:val="20"/>
          <w:szCs w:val="20"/>
          <w:vertAlign w:val="superscript"/>
        </w:rPr>
        <w:t xml:space="preserve">-1 </w:t>
      </w:r>
      <w:r>
        <w:rPr>
          <w:rFonts w:ascii="Arial" w:hAnsi="Arial" w:cs="Arial"/>
          <w:sz w:val="20"/>
          <w:szCs w:val="20"/>
        </w:rPr>
        <w:t>as pre-emergence plus hand weeding in custard-sesame based agri-horticulture system recorded higher sesame seed yield (292 kg ha</w:t>
      </w:r>
      <w:r>
        <w:rPr>
          <w:rFonts w:ascii="Arial" w:hAnsi="Arial" w:cs="Arial"/>
          <w:sz w:val="20"/>
          <w:szCs w:val="20"/>
          <w:vertAlign w:val="superscript"/>
        </w:rPr>
        <w:t>-1</w:t>
      </w:r>
      <w:r>
        <w:rPr>
          <w:rFonts w:ascii="Arial" w:hAnsi="Arial" w:cs="Arial"/>
          <w:sz w:val="20"/>
          <w:szCs w:val="20"/>
        </w:rPr>
        <w:t>) and stalk yield (825 kg ha</w:t>
      </w:r>
      <w:r>
        <w:rPr>
          <w:rFonts w:ascii="Arial" w:hAnsi="Arial" w:cs="Arial"/>
          <w:sz w:val="20"/>
          <w:szCs w:val="20"/>
          <w:vertAlign w:val="superscript"/>
        </w:rPr>
        <w:t>-1</w:t>
      </w:r>
      <w:r>
        <w:rPr>
          <w:rFonts w:ascii="Arial" w:hAnsi="Arial" w:cs="Arial"/>
          <w:sz w:val="20"/>
          <w:szCs w:val="20"/>
        </w:rPr>
        <w:t>).</w:t>
      </w:r>
    </w:p>
    <w:p w14:paraId="29C37DD2">
      <w:pPr>
        <w:pStyle w:val="38"/>
        <w:spacing w:before="240"/>
        <w:jc w:val="both"/>
        <w:rPr>
          <w:rFonts w:ascii="Arial" w:hAnsi="Arial" w:cs="Arial"/>
          <w:sz w:val="20"/>
          <w:szCs w:val="20"/>
        </w:rPr>
      </w:pPr>
      <w:r>
        <w:rPr>
          <w:rFonts w:ascii="Arial" w:hAnsi="Arial" w:cs="Arial"/>
          <w:b/>
          <w:bCs/>
          <w:sz w:val="20"/>
          <w:szCs w:val="20"/>
        </w:rPr>
        <w:t xml:space="preserve">4.1.6 </w:t>
      </w:r>
      <w:r>
        <w:rPr>
          <w:rFonts w:ascii="Arial" w:hAnsi="Arial" w:cs="Arial"/>
          <w:b/>
          <w:bCs/>
          <w:sz w:val="20"/>
          <w:szCs w:val="20"/>
          <w:u w:val="single"/>
        </w:rPr>
        <w:t>Metribuzin</w:t>
      </w:r>
    </w:p>
    <w:p w14:paraId="4BBEAF97">
      <w:pPr>
        <w:tabs>
          <w:tab w:val="left" w:pos="720"/>
        </w:tabs>
        <w:spacing w:before="240" w:after="140"/>
        <w:jc w:val="both"/>
        <w:rPr>
          <w:rFonts w:ascii="Arial" w:hAnsi="Arial" w:cs="Arial"/>
          <w:sz w:val="20"/>
          <w:szCs w:val="20"/>
        </w:rPr>
      </w:pPr>
      <w:r>
        <w:rPr>
          <w:rFonts w:ascii="Arial" w:hAnsi="Arial" w:cs="Arial"/>
          <w:sz w:val="20"/>
          <w:szCs w:val="20"/>
        </w:rPr>
        <w:t xml:space="preserve">Elakkiyapriya </w:t>
      </w:r>
      <w:r>
        <w:rPr>
          <w:rFonts w:ascii="Arial" w:hAnsi="Arial" w:cs="Arial"/>
          <w:i/>
          <w:iCs/>
          <w:sz w:val="20"/>
          <w:szCs w:val="20"/>
        </w:rPr>
        <w:t>et al.</w:t>
      </w:r>
      <w:r>
        <w:rPr>
          <w:rFonts w:ascii="Arial" w:hAnsi="Arial" w:cs="Arial"/>
          <w:sz w:val="20"/>
          <w:szCs w:val="20"/>
        </w:rPr>
        <w:t xml:space="preserve"> (2022) reported that the least weed density and weed dry matter production were recorded in pre-emergence application of metribuzin @ 100 g ha</w:t>
      </w:r>
      <w:r>
        <w:rPr>
          <w:rFonts w:ascii="Arial" w:hAnsi="Arial" w:cs="Arial"/>
          <w:sz w:val="20"/>
          <w:szCs w:val="20"/>
          <w:vertAlign w:val="superscript"/>
        </w:rPr>
        <w:t>-1</w:t>
      </w:r>
      <w:r>
        <w:rPr>
          <w:rFonts w:ascii="Arial" w:hAnsi="Arial" w:cs="Arial"/>
          <w:sz w:val="20"/>
          <w:szCs w:val="20"/>
        </w:rPr>
        <w:t xml:space="preserve"> + early post emergence application of imazethapyr @ 30 g ha</w:t>
      </w:r>
      <w:r>
        <w:rPr>
          <w:rFonts w:ascii="Arial" w:hAnsi="Arial" w:cs="Arial"/>
          <w:sz w:val="20"/>
          <w:szCs w:val="20"/>
          <w:vertAlign w:val="superscript"/>
        </w:rPr>
        <w:t>-1</w:t>
      </w:r>
      <w:r>
        <w:rPr>
          <w:rFonts w:ascii="Arial" w:hAnsi="Arial" w:cs="Arial"/>
          <w:sz w:val="20"/>
          <w:szCs w:val="20"/>
        </w:rPr>
        <w:t xml:space="preserve"> at 10 DAS + hand weeding on 20 DAS in sesame. </w:t>
      </w:r>
      <w:r>
        <w:rPr>
          <w:rFonts w:ascii="Arial" w:hAnsi="Arial" w:cs="Arial"/>
          <w:color w:val="000000" w:themeColor="text1"/>
          <w:sz w:val="20"/>
          <w:szCs w:val="20"/>
          <w:lang w:val="en-IN"/>
          <w14:textFill>
            <w14:solidFill>
              <w14:schemeClr w14:val="tx1"/>
            </w14:solidFill>
          </w14:textFill>
        </w:rPr>
        <w:t>Metribuzin @ 300 g ha</w:t>
      </w:r>
      <w:r>
        <w:rPr>
          <w:rFonts w:ascii="Arial" w:hAnsi="Arial" w:cs="Arial"/>
          <w:color w:val="000000" w:themeColor="text1"/>
          <w:sz w:val="20"/>
          <w:szCs w:val="20"/>
          <w:vertAlign w:val="superscript"/>
          <w:lang w:val="en-IN"/>
          <w14:textFill>
            <w14:solidFill>
              <w14:schemeClr w14:val="tx1"/>
            </w14:solidFill>
          </w14:textFill>
        </w:rPr>
        <w:t xml:space="preserve">-1 </w:t>
      </w:r>
      <w:r>
        <w:rPr>
          <w:rFonts w:ascii="Arial" w:hAnsi="Arial" w:cs="Arial"/>
          <w:color w:val="000000" w:themeColor="text1"/>
          <w:sz w:val="20"/>
          <w:szCs w:val="20"/>
          <w:lang w:val="en-IN"/>
          <w14:textFill>
            <w14:solidFill>
              <w14:schemeClr w14:val="tx1"/>
            </w14:solidFill>
          </w14:textFill>
        </w:rPr>
        <w:t xml:space="preserve">produced the best reduction of total weeds without any significantly different in hand hoeing twice, but sesame seed yield was reduced due to phytotoxic effect of herbicide on the sesame crop (Elnenny </w:t>
      </w:r>
      <w:r>
        <w:rPr>
          <w:rFonts w:ascii="Arial" w:hAnsi="Arial" w:cs="Arial"/>
          <w:i/>
          <w:iCs/>
          <w:color w:val="000000" w:themeColor="text1"/>
          <w:sz w:val="20"/>
          <w:szCs w:val="20"/>
          <w:lang w:val="en-IN"/>
          <w14:textFill>
            <w14:solidFill>
              <w14:schemeClr w14:val="tx1"/>
            </w14:solidFill>
          </w14:textFill>
        </w:rPr>
        <w:t>et al</w:t>
      </w:r>
      <w:r>
        <w:rPr>
          <w:rFonts w:ascii="Arial" w:hAnsi="Arial" w:cs="Arial"/>
          <w:color w:val="000000" w:themeColor="text1"/>
          <w:sz w:val="20"/>
          <w:szCs w:val="20"/>
          <w:lang w:val="en-IN"/>
          <w14:textFill>
            <w14:solidFill>
              <w14:schemeClr w14:val="tx1"/>
            </w14:solidFill>
          </w14:textFill>
        </w:rPr>
        <w:t>., 2022).</w:t>
      </w:r>
    </w:p>
    <w:p w14:paraId="6D630693">
      <w:pPr>
        <w:tabs>
          <w:tab w:val="left" w:pos="720"/>
        </w:tabs>
        <w:spacing w:before="240" w:after="140"/>
        <w:jc w:val="both"/>
        <w:rPr>
          <w:rFonts w:ascii="Arial" w:hAnsi="Arial" w:cs="Arial"/>
          <w:b/>
          <w:bCs/>
          <w:color w:val="000000" w:themeColor="text1"/>
          <w:sz w:val="20"/>
          <w:szCs w:val="20"/>
          <w:lang w:val="en-IN"/>
          <w14:textFill>
            <w14:solidFill>
              <w14:schemeClr w14:val="tx1"/>
            </w14:solidFill>
          </w14:textFill>
        </w:rPr>
      </w:pPr>
      <w:r>
        <w:rPr>
          <w:rFonts w:ascii="Arial" w:hAnsi="Arial" w:cs="Arial"/>
          <w:b/>
          <w:bCs/>
          <w:color w:val="000000" w:themeColor="text1"/>
          <w:sz w:val="20"/>
          <w:szCs w:val="20"/>
          <w:lang w:val="en-IN"/>
          <w14:textFill>
            <w14:solidFill>
              <w14:schemeClr w14:val="tx1"/>
            </w14:solidFill>
          </w14:textFill>
        </w:rPr>
        <w:t xml:space="preserve">4.1.7 </w:t>
      </w:r>
      <w:r>
        <w:rPr>
          <w:rFonts w:ascii="Arial" w:hAnsi="Arial" w:cs="Arial"/>
          <w:b/>
          <w:bCs/>
          <w:color w:val="000000" w:themeColor="text1"/>
          <w:sz w:val="20"/>
          <w:szCs w:val="20"/>
          <w:u w:val="single"/>
          <w:lang w:val="en-IN"/>
          <w14:textFill>
            <w14:solidFill>
              <w14:schemeClr w14:val="tx1"/>
            </w14:solidFill>
          </w14:textFill>
        </w:rPr>
        <w:t>Metolachlor</w:t>
      </w:r>
    </w:p>
    <w:p w14:paraId="0B0023A0">
      <w:pPr>
        <w:pStyle w:val="38"/>
        <w:spacing w:before="240" w:after="140"/>
        <w:jc w:val="both"/>
        <w:rPr>
          <w:rFonts w:ascii="Arial" w:hAnsi="Arial" w:cs="Arial"/>
          <w:color w:val="auto"/>
          <w:sz w:val="20"/>
          <w:szCs w:val="20"/>
        </w:rPr>
      </w:pPr>
      <w:r>
        <w:rPr>
          <w:rFonts w:ascii="Arial" w:hAnsi="Arial" w:cs="Arial"/>
          <w:color w:val="auto"/>
          <w:sz w:val="20"/>
          <w:szCs w:val="20"/>
        </w:rPr>
        <w:t>Application of metolachlor @ 1 kg ha</w:t>
      </w:r>
      <w:r>
        <w:rPr>
          <w:rFonts w:ascii="Arial" w:hAnsi="Arial" w:cs="Arial"/>
          <w:color w:val="auto"/>
          <w:sz w:val="20"/>
          <w:szCs w:val="20"/>
          <w:vertAlign w:val="superscript"/>
        </w:rPr>
        <w:t>-1</w:t>
      </w:r>
      <w:r>
        <w:rPr>
          <w:rFonts w:ascii="Arial" w:hAnsi="Arial" w:cs="Arial"/>
          <w:color w:val="auto"/>
          <w:sz w:val="20"/>
          <w:szCs w:val="20"/>
        </w:rPr>
        <w:t xml:space="preserve"> has scored </w:t>
      </w:r>
      <w:r>
        <w:rPr>
          <w:rFonts w:ascii="Arial" w:hAnsi="Arial" w:cs="Arial"/>
          <w:sz w:val="20"/>
          <w:szCs w:val="20"/>
        </w:rPr>
        <w:t>lower weed density (&lt;35 weeds m</w:t>
      </w:r>
      <w:r>
        <w:rPr>
          <w:rFonts w:ascii="Arial" w:hAnsi="Arial" w:cs="Arial"/>
          <w:sz w:val="20"/>
          <w:szCs w:val="20"/>
          <w:vertAlign w:val="superscript"/>
        </w:rPr>
        <w:t>-2</w:t>
      </w:r>
      <w:r>
        <w:rPr>
          <w:rFonts w:ascii="Arial" w:hAnsi="Arial" w:cs="Arial"/>
          <w:sz w:val="20"/>
          <w:szCs w:val="20"/>
        </w:rPr>
        <w:t>), lower fresh weed biomass</w:t>
      </w:r>
      <w:r>
        <w:rPr>
          <w:rFonts w:ascii="Arial" w:hAnsi="Arial" w:cs="Arial"/>
          <w:color w:val="auto"/>
          <w:sz w:val="20"/>
          <w:szCs w:val="20"/>
        </w:rPr>
        <w:t xml:space="preserve"> and higher sesame seed yield 613.3 kg ha</w:t>
      </w:r>
      <w:r>
        <w:rPr>
          <w:rFonts w:ascii="Arial" w:hAnsi="Arial" w:cs="Arial"/>
          <w:color w:val="auto"/>
          <w:sz w:val="20"/>
          <w:szCs w:val="20"/>
          <w:vertAlign w:val="superscript"/>
        </w:rPr>
        <w:t>-1</w:t>
      </w:r>
      <w:r>
        <w:rPr>
          <w:rFonts w:ascii="Arial" w:hAnsi="Arial" w:cs="Arial"/>
          <w:color w:val="auto"/>
          <w:sz w:val="20"/>
          <w:szCs w:val="20"/>
        </w:rPr>
        <w:t xml:space="preserve"> (Zenawi </w:t>
      </w:r>
      <w:r>
        <w:rPr>
          <w:rFonts w:ascii="Arial" w:hAnsi="Arial" w:cs="Arial"/>
          <w:i/>
          <w:iCs/>
          <w:color w:val="auto"/>
          <w:sz w:val="20"/>
          <w:szCs w:val="20"/>
        </w:rPr>
        <w:t>et al</w:t>
      </w:r>
      <w:r>
        <w:rPr>
          <w:rFonts w:ascii="Arial" w:hAnsi="Arial" w:cs="Arial"/>
          <w:color w:val="auto"/>
          <w:sz w:val="20"/>
          <w:szCs w:val="20"/>
        </w:rPr>
        <w:t xml:space="preserve">., 2020). Imoloame </w:t>
      </w:r>
      <w:r>
        <w:rPr>
          <w:rFonts w:ascii="Arial" w:hAnsi="Arial" w:cs="Arial"/>
          <w:i/>
          <w:iCs/>
          <w:color w:val="auto"/>
          <w:sz w:val="20"/>
          <w:szCs w:val="20"/>
        </w:rPr>
        <w:t>et al.</w:t>
      </w:r>
      <w:r>
        <w:rPr>
          <w:rFonts w:ascii="Arial" w:hAnsi="Arial" w:cs="Arial"/>
          <w:color w:val="auto"/>
          <w:sz w:val="20"/>
          <w:szCs w:val="20"/>
        </w:rPr>
        <w:t xml:space="preserve"> (2011) concluded that metolachlor at 1.5 kg ha</w:t>
      </w:r>
      <w:r>
        <w:rPr>
          <w:rFonts w:ascii="Arial" w:hAnsi="Arial" w:cs="Arial"/>
          <w:color w:val="auto"/>
          <w:sz w:val="20"/>
          <w:szCs w:val="20"/>
          <w:vertAlign w:val="superscript"/>
        </w:rPr>
        <w:t>-1</w:t>
      </w:r>
      <w:r>
        <w:rPr>
          <w:rFonts w:ascii="Arial" w:hAnsi="Arial" w:cs="Arial"/>
          <w:color w:val="auto"/>
          <w:sz w:val="20"/>
          <w:szCs w:val="20"/>
        </w:rPr>
        <w:t xml:space="preserve"> produced significantly higher seed yield (529.7 kg ha</w:t>
      </w:r>
      <w:r>
        <w:rPr>
          <w:rFonts w:ascii="Arial" w:hAnsi="Arial" w:cs="Arial"/>
          <w:color w:val="auto"/>
          <w:sz w:val="20"/>
          <w:szCs w:val="20"/>
          <w:vertAlign w:val="superscript"/>
        </w:rPr>
        <w:t>-1</w:t>
      </w:r>
      <w:r>
        <w:rPr>
          <w:rFonts w:ascii="Arial" w:hAnsi="Arial" w:cs="Arial"/>
          <w:color w:val="auto"/>
          <w:sz w:val="20"/>
          <w:szCs w:val="20"/>
        </w:rPr>
        <w:t xml:space="preserve">) and </w:t>
      </w:r>
      <w:r>
        <w:rPr>
          <w:rFonts w:ascii="Arial" w:hAnsi="Arial" w:cs="Arial"/>
          <w:sz w:val="20"/>
          <w:szCs w:val="20"/>
        </w:rPr>
        <w:t>significantly low weed cover score and weed dry matter in</w:t>
      </w:r>
      <w:r>
        <w:rPr>
          <w:rFonts w:ascii="Arial" w:hAnsi="Arial" w:cs="Arial"/>
          <w:color w:val="auto"/>
          <w:sz w:val="20"/>
          <w:szCs w:val="20"/>
        </w:rPr>
        <w:t xml:space="preserve"> sesame. Ndarubu </w:t>
      </w:r>
      <w:r>
        <w:rPr>
          <w:rFonts w:ascii="Arial" w:hAnsi="Arial" w:cs="Arial"/>
          <w:i/>
          <w:iCs/>
          <w:color w:val="auto"/>
          <w:sz w:val="20"/>
          <w:szCs w:val="20"/>
        </w:rPr>
        <w:t>et al</w:t>
      </w:r>
      <w:r>
        <w:rPr>
          <w:rFonts w:ascii="Arial" w:hAnsi="Arial" w:cs="Arial"/>
          <w:color w:val="auto"/>
          <w:sz w:val="20"/>
          <w:szCs w:val="20"/>
        </w:rPr>
        <w:t>. (2003) observed higher sesame yield with application of herbicide mixture of metolachlor + metobromuron at 1.0 + 1.0 kg ha</w:t>
      </w:r>
      <w:r>
        <w:rPr>
          <w:rFonts w:ascii="Arial" w:hAnsi="Arial" w:cs="Arial"/>
          <w:color w:val="auto"/>
          <w:sz w:val="20"/>
          <w:szCs w:val="20"/>
          <w:vertAlign w:val="superscript"/>
        </w:rPr>
        <w:t>-1</w:t>
      </w:r>
      <w:r>
        <w:rPr>
          <w:rFonts w:ascii="Arial" w:hAnsi="Arial" w:cs="Arial"/>
          <w:color w:val="auto"/>
          <w:sz w:val="20"/>
          <w:szCs w:val="20"/>
        </w:rPr>
        <w:t>.</w:t>
      </w:r>
    </w:p>
    <w:p w14:paraId="1F636C19">
      <w:pPr>
        <w:pStyle w:val="38"/>
        <w:spacing w:before="240" w:after="140"/>
        <w:jc w:val="both"/>
        <w:rPr>
          <w:rFonts w:ascii="Arial" w:hAnsi="Arial" w:cs="Arial"/>
          <w:b/>
          <w:bCs/>
          <w:sz w:val="20"/>
          <w:szCs w:val="20"/>
        </w:rPr>
      </w:pPr>
      <w:r>
        <w:rPr>
          <w:rFonts w:ascii="Arial" w:hAnsi="Arial" w:cs="Arial"/>
          <w:b/>
          <w:bCs/>
          <w:sz w:val="20"/>
          <w:szCs w:val="20"/>
        </w:rPr>
        <w:t xml:space="preserve">4.1.8 </w:t>
      </w:r>
      <w:r>
        <w:rPr>
          <w:rFonts w:ascii="Arial" w:hAnsi="Arial" w:cs="Arial"/>
          <w:b/>
          <w:bCs/>
          <w:sz w:val="20"/>
          <w:szCs w:val="20"/>
          <w:u w:val="single"/>
        </w:rPr>
        <w:t>Oxyfluorfen</w:t>
      </w:r>
      <w:r>
        <w:rPr>
          <w:rFonts w:ascii="Arial" w:hAnsi="Arial" w:cs="Arial"/>
          <w:b/>
          <w:bCs/>
          <w:sz w:val="20"/>
          <w:szCs w:val="20"/>
        </w:rPr>
        <w:t xml:space="preserve"> </w:t>
      </w:r>
    </w:p>
    <w:p w14:paraId="4436ACAF">
      <w:pPr>
        <w:pStyle w:val="38"/>
        <w:spacing w:before="240" w:after="140"/>
        <w:jc w:val="both"/>
        <w:rPr>
          <w:rFonts w:ascii="Arial" w:hAnsi="Arial" w:cs="Arial"/>
          <w:sz w:val="20"/>
          <w:szCs w:val="20"/>
        </w:rPr>
      </w:pPr>
      <w:r>
        <w:rPr>
          <w:rFonts w:ascii="Arial" w:hAnsi="Arial" w:cs="Arial"/>
          <w:sz w:val="20"/>
          <w:szCs w:val="20"/>
          <w:lang w:val="en-US"/>
        </w:rPr>
        <w:t xml:space="preserve">Pre-emergence application of oxyfluorfen @ 0.15 </w:t>
      </w:r>
      <w:r>
        <w:rPr>
          <w:rFonts w:ascii="Arial" w:hAnsi="Arial" w:cs="Arial"/>
          <w:color w:val="auto"/>
          <w:sz w:val="20"/>
          <w:szCs w:val="20"/>
        </w:rPr>
        <w:t>kg ha</w:t>
      </w:r>
      <w:r>
        <w:rPr>
          <w:rFonts w:ascii="Arial" w:hAnsi="Arial" w:cs="Arial"/>
          <w:color w:val="auto"/>
          <w:sz w:val="20"/>
          <w:szCs w:val="20"/>
          <w:vertAlign w:val="superscript"/>
        </w:rPr>
        <w:t xml:space="preserve">-1 </w:t>
      </w:r>
      <w:r>
        <w:rPr>
          <w:rFonts w:ascii="Arial" w:hAnsi="Arial" w:cs="Arial"/>
          <w:sz w:val="20"/>
          <w:szCs w:val="20"/>
        </w:rPr>
        <w:t xml:space="preserve">reduced weed density and dry weight of weeds with higher weed control </w:t>
      </w:r>
      <w:r>
        <w:rPr>
          <w:rFonts w:ascii="Arial" w:hAnsi="Arial" w:cs="Arial"/>
          <w:color w:val="auto"/>
          <w:sz w:val="20"/>
          <w:szCs w:val="20"/>
          <w:lang w:val="en-US"/>
        </w:rPr>
        <w:t>efficiency</w:t>
      </w:r>
      <w:r>
        <w:rPr>
          <w:rFonts w:ascii="Arial" w:hAnsi="Arial" w:cs="Arial"/>
          <w:sz w:val="20"/>
          <w:szCs w:val="20"/>
          <w:lang w:val="en-US"/>
        </w:rPr>
        <w:t xml:space="preserve"> and gave higher seed yield of sesame (Patnaik </w:t>
      </w:r>
      <w:r>
        <w:rPr>
          <w:rFonts w:ascii="Arial" w:hAnsi="Arial" w:cs="Arial"/>
          <w:i/>
          <w:iCs/>
          <w:sz w:val="20"/>
          <w:szCs w:val="20"/>
          <w:lang w:val="en-US"/>
        </w:rPr>
        <w:t xml:space="preserve">et al., </w:t>
      </w:r>
      <w:r>
        <w:rPr>
          <w:rFonts w:ascii="Arial" w:hAnsi="Arial" w:cs="Arial"/>
          <w:sz w:val="20"/>
          <w:szCs w:val="20"/>
          <w:lang w:val="en-US"/>
        </w:rPr>
        <w:t xml:space="preserve">2020). </w:t>
      </w:r>
      <w:r>
        <w:rPr>
          <w:rFonts w:ascii="Arial" w:hAnsi="Arial" w:cs="Arial"/>
          <w:sz w:val="20"/>
          <w:szCs w:val="20"/>
        </w:rPr>
        <w:t xml:space="preserve">Singh </w:t>
      </w:r>
      <w:r>
        <w:rPr>
          <w:rFonts w:ascii="Arial" w:hAnsi="Arial" w:cs="Arial"/>
          <w:i/>
          <w:iCs/>
          <w:sz w:val="20"/>
          <w:szCs w:val="20"/>
        </w:rPr>
        <w:t>et al</w:t>
      </w:r>
      <w:r>
        <w:rPr>
          <w:rFonts w:ascii="Arial" w:hAnsi="Arial" w:cs="Arial"/>
          <w:sz w:val="20"/>
          <w:szCs w:val="20"/>
        </w:rPr>
        <w:t xml:space="preserve">. (2018) reported that higher stunting was observed with </w:t>
      </w:r>
      <w:r>
        <w:rPr>
          <w:rFonts w:ascii="Arial" w:hAnsi="Arial" w:cs="Arial"/>
          <w:sz w:val="20"/>
          <w:szCs w:val="20"/>
          <w:lang w:val="en-US"/>
        </w:rPr>
        <w:t>oxyfluorfen 0.l5 kg ha</w:t>
      </w:r>
      <w:r>
        <w:rPr>
          <w:rFonts w:ascii="Arial" w:hAnsi="Arial" w:cs="Arial"/>
          <w:sz w:val="20"/>
          <w:szCs w:val="20"/>
          <w:vertAlign w:val="superscript"/>
          <w:lang w:val="en-US"/>
        </w:rPr>
        <w:t>-1</w:t>
      </w:r>
      <w:r>
        <w:rPr>
          <w:rFonts w:ascii="Arial" w:hAnsi="Arial" w:cs="Arial"/>
          <w:sz w:val="20"/>
          <w:szCs w:val="20"/>
          <w:lang w:val="en-US"/>
        </w:rPr>
        <w:t xml:space="preserve"> in sesame on clay loam soils. </w:t>
      </w:r>
      <w:r>
        <w:rPr>
          <w:rFonts w:ascii="Arial" w:hAnsi="Arial" w:cs="Arial"/>
          <w:sz w:val="20"/>
          <w:szCs w:val="20"/>
        </w:rPr>
        <w:t xml:space="preserve">The lowest density and dry weight of weeds with higher weed control efficiency (59.97 %), higher stature of yield components and seed yield (784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sz w:val="20"/>
          <w:szCs w:val="20"/>
        </w:rPr>
        <w:t xml:space="preserve">) of broadcasted sesame were registered </w:t>
      </w:r>
      <w:r>
        <w:rPr>
          <w:rFonts w:ascii="Arial" w:hAnsi="Arial" w:cs="Arial"/>
          <w:sz w:val="20"/>
          <w:szCs w:val="20"/>
          <w:lang w:val="en-US"/>
        </w:rPr>
        <w:t xml:space="preserve">with </w:t>
      </w:r>
      <w:r>
        <w:rPr>
          <w:rFonts w:ascii="Arial" w:hAnsi="Arial" w:cs="Arial"/>
          <w:sz w:val="20"/>
          <w:szCs w:val="20"/>
        </w:rPr>
        <w:t xml:space="preserve">pre-emergence application of oxyfluorfen 75 </w:t>
      </w:r>
      <w:r>
        <w:rPr>
          <w:rFonts w:ascii="Arial" w:hAnsi="Arial" w:cs="Arial"/>
          <w:color w:val="auto"/>
          <w:sz w:val="20"/>
          <w:szCs w:val="20"/>
        </w:rPr>
        <w:t>g ha</w:t>
      </w:r>
      <w:r>
        <w:rPr>
          <w:rFonts w:ascii="Arial" w:hAnsi="Arial" w:cs="Arial"/>
          <w:color w:val="auto"/>
          <w:sz w:val="20"/>
          <w:szCs w:val="20"/>
          <w:vertAlign w:val="superscript"/>
        </w:rPr>
        <w:t xml:space="preserve">-1 </w:t>
      </w:r>
      <w:r>
        <w:rPr>
          <w:rFonts w:ascii="Arial" w:hAnsi="Arial" w:cs="Arial"/>
          <w:sz w:val="20"/>
          <w:szCs w:val="20"/>
        </w:rPr>
        <w:t xml:space="preserve">+ quizalofop 50 </w:t>
      </w:r>
      <w:r>
        <w:rPr>
          <w:rFonts w:ascii="Arial" w:hAnsi="Arial" w:cs="Arial"/>
          <w:color w:val="auto"/>
          <w:sz w:val="20"/>
          <w:szCs w:val="20"/>
        </w:rPr>
        <w:t>g ha</w:t>
      </w:r>
      <w:r>
        <w:rPr>
          <w:rFonts w:ascii="Arial" w:hAnsi="Arial" w:cs="Arial"/>
          <w:color w:val="auto"/>
          <w:sz w:val="20"/>
          <w:szCs w:val="20"/>
          <w:vertAlign w:val="superscript"/>
        </w:rPr>
        <w:t>-1</w:t>
      </w:r>
      <w:r>
        <w:rPr>
          <w:rFonts w:ascii="Arial" w:hAnsi="Arial" w:cs="Arial"/>
          <w:sz w:val="20"/>
          <w:szCs w:val="20"/>
        </w:rPr>
        <w:t xml:space="preserve"> applied at 20 </w:t>
      </w:r>
      <w:r>
        <w:rPr>
          <w:rFonts w:ascii="Arial" w:hAnsi="Arial" w:cs="Arial"/>
          <w:sz w:val="20"/>
          <w:szCs w:val="20"/>
          <w:lang w:val="en-US"/>
        </w:rPr>
        <w:t xml:space="preserve">DAS </w:t>
      </w:r>
      <w:r>
        <w:rPr>
          <w:rFonts w:ascii="Arial" w:hAnsi="Arial" w:cs="Arial"/>
          <w:color w:val="auto"/>
          <w:sz w:val="20"/>
          <w:szCs w:val="20"/>
          <w:lang w:val="en-US"/>
        </w:rPr>
        <w:t xml:space="preserve">(Babu </w:t>
      </w:r>
      <w:r>
        <w:rPr>
          <w:rFonts w:ascii="Arial" w:hAnsi="Arial" w:cs="Arial"/>
          <w:i/>
          <w:iCs/>
          <w:color w:val="auto"/>
          <w:sz w:val="20"/>
          <w:szCs w:val="20"/>
          <w:lang w:val="en-US"/>
        </w:rPr>
        <w:t xml:space="preserve">et al., </w:t>
      </w:r>
      <w:r>
        <w:rPr>
          <w:rFonts w:ascii="Arial" w:hAnsi="Arial" w:cs="Arial"/>
          <w:color w:val="auto"/>
          <w:sz w:val="20"/>
          <w:szCs w:val="20"/>
          <w:lang w:val="en-US"/>
        </w:rPr>
        <w:t>2016)</w:t>
      </w:r>
      <w:r>
        <w:rPr>
          <w:rFonts w:ascii="Arial" w:hAnsi="Arial" w:cs="Arial"/>
          <w:sz w:val="20"/>
          <w:szCs w:val="20"/>
          <w:lang w:val="en-US"/>
        </w:rPr>
        <w:t xml:space="preserve">. </w:t>
      </w:r>
    </w:p>
    <w:p w14:paraId="008B98DC">
      <w:pPr>
        <w:pStyle w:val="38"/>
        <w:spacing w:before="240" w:after="140"/>
        <w:jc w:val="both"/>
        <w:rPr>
          <w:rFonts w:ascii="Arial" w:hAnsi="Arial" w:cs="Arial"/>
          <w:b/>
          <w:bCs/>
          <w:sz w:val="20"/>
          <w:szCs w:val="20"/>
        </w:rPr>
      </w:pPr>
      <w:r>
        <w:rPr>
          <w:rFonts w:ascii="Arial" w:hAnsi="Arial" w:cs="Arial"/>
          <w:b/>
          <w:bCs/>
          <w:sz w:val="20"/>
          <w:szCs w:val="20"/>
        </w:rPr>
        <w:t xml:space="preserve">4.1.9 </w:t>
      </w:r>
      <w:r>
        <w:rPr>
          <w:rFonts w:ascii="Arial" w:hAnsi="Arial" w:cs="Arial"/>
          <w:b/>
          <w:bCs/>
          <w:sz w:val="20"/>
          <w:szCs w:val="20"/>
          <w:u w:val="single"/>
        </w:rPr>
        <w:t>Oxadiargyl</w:t>
      </w:r>
    </w:p>
    <w:p w14:paraId="0673D6E3">
      <w:pPr>
        <w:pStyle w:val="38"/>
        <w:spacing w:before="240" w:after="140"/>
        <w:jc w:val="both"/>
        <w:rPr>
          <w:rFonts w:ascii="Arial" w:hAnsi="Arial" w:cs="Arial"/>
          <w:color w:val="auto"/>
          <w:sz w:val="20"/>
          <w:szCs w:val="20"/>
          <w:lang w:val="en-US"/>
        </w:rPr>
      </w:pPr>
      <w:r>
        <w:rPr>
          <w:rFonts w:ascii="Arial" w:hAnsi="Arial" w:cs="Arial"/>
          <w:color w:val="000000" w:themeColor="text1"/>
          <w:sz w:val="20"/>
          <w:szCs w:val="20"/>
          <w14:textFill>
            <w14:solidFill>
              <w14:schemeClr w14:val="tx1"/>
            </w14:solidFill>
          </w14:textFill>
        </w:rPr>
        <w:t>Pre-emergence application of oxadiargyl @ 75 g ha</w:t>
      </w:r>
      <w:r>
        <w:rPr>
          <w:rFonts w:ascii="Arial" w:hAnsi="Arial" w:cs="Arial"/>
          <w:color w:val="000000" w:themeColor="text1"/>
          <w:sz w:val="20"/>
          <w:szCs w:val="20"/>
          <w:vertAlign w:val="superscript"/>
          <w14:textFill>
            <w14:solidFill>
              <w14:schemeClr w14:val="tx1"/>
            </w14:solidFill>
          </w14:textFill>
        </w:rPr>
        <w:t>-1</w:t>
      </w:r>
      <w:r>
        <w:rPr>
          <w:rFonts w:ascii="Arial" w:hAnsi="Arial" w:cs="Arial"/>
          <w:color w:val="000000" w:themeColor="text1"/>
          <w:sz w:val="20"/>
          <w:szCs w:val="20"/>
          <w14:textFill>
            <w14:solidFill>
              <w14:schemeClr w14:val="tx1"/>
            </w14:solidFill>
          </w14:textFill>
        </w:rPr>
        <w:t xml:space="preserve"> significantly reduced the total weed density and dry matter, but crop yield was reduced due to phytotoxic effect on sesame plants (Yadav, 2024)</w:t>
      </w:r>
      <w:r>
        <w:rPr>
          <w:rFonts w:ascii="Arial" w:hAnsi="Arial" w:cs="Arial"/>
          <w:color w:val="auto"/>
          <w:sz w:val="20"/>
          <w:szCs w:val="20"/>
        </w:rPr>
        <w:t xml:space="preserve">. </w:t>
      </w:r>
      <w:r>
        <w:rPr>
          <w:rFonts w:ascii="Arial" w:hAnsi="Arial" w:cs="Arial"/>
          <w:sz w:val="20"/>
          <w:szCs w:val="20"/>
          <w:lang w:val="en-US"/>
        </w:rPr>
        <w:t>Oxadiargyl 80 WP @ 40 g ha</w:t>
      </w:r>
      <w:r>
        <w:rPr>
          <w:rFonts w:ascii="Arial" w:hAnsi="Arial" w:cs="Arial"/>
          <w:sz w:val="20"/>
          <w:szCs w:val="20"/>
          <w:vertAlign w:val="superscript"/>
          <w:lang w:val="en-US"/>
        </w:rPr>
        <w:t>-1</w:t>
      </w:r>
      <w:r>
        <w:rPr>
          <w:rFonts w:ascii="Arial" w:hAnsi="Arial" w:cs="Arial"/>
          <w:sz w:val="20"/>
          <w:szCs w:val="20"/>
          <w:lang w:val="en-US"/>
        </w:rPr>
        <w:t xml:space="preserve"> as PE </w:t>
      </w:r>
      <w:r>
        <w:rPr>
          <w:rFonts w:ascii="Arial" w:hAnsi="Arial" w:cs="Arial"/>
          <w:i/>
          <w:iCs/>
          <w:sz w:val="20"/>
          <w:szCs w:val="20"/>
          <w:lang w:val="en-US"/>
        </w:rPr>
        <w:t xml:space="preserve">fb </w:t>
      </w:r>
      <w:r>
        <w:rPr>
          <w:rFonts w:ascii="Arial" w:hAnsi="Arial" w:cs="Arial"/>
          <w:sz w:val="20"/>
          <w:szCs w:val="20"/>
          <w:lang w:val="en-US"/>
        </w:rPr>
        <w:t>quizalofop-p- ethyl 40 g ha</w:t>
      </w:r>
      <w:r>
        <w:rPr>
          <w:rFonts w:ascii="Arial" w:hAnsi="Arial" w:cs="Arial"/>
          <w:sz w:val="20"/>
          <w:szCs w:val="20"/>
          <w:vertAlign w:val="superscript"/>
          <w:lang w:val="en-US"/>
        </w:rPr>
        <w:t>-1</w:t>
      </w:r>
      <w:r>
        <w:rPr>
          <w:rFonts w:ascii="Arial" w:hAnsi="Arial" w:cs="Arial"/>
          <w:sz w:val="20"/>
          <w:szCs w:val="20"/>
          <w:lang w:val="en-US"/>
        </w:rPr>
        <w:t xml:space="preserve"> at 20 DAS</w:t>
      </w:r>
      <w:r>
        <w:rPr>
          <w:rFonts w:ascii="Arial" w:hAnsi="Arial" w:cs="Arial"/>
          <w:sz w:val="20"/>
          <w:szCs w:val="20"/>
        </w:rPr>
        <w:t xml:space="preserve"> resulted in comparable yield attributes and seed yield (377 kg ha</w:t>
      </w:r>
      <w:r>
        <w:rPr>
          <w:rFonts w:ascii="Arial" w:hAnsi="Arial" w:cs="Arial"/>
          <w:sz w:val="20"/>
          <w:szCs w:val="20"/>
          <w:vertAlign w:val="superscript"/>
        </w:rPr>
        <w:t>-1</w:t>
      </w:r>
      <w:r>
        <w:rPr>
          <w:rFonts w:ascii="Arial" w:hAnsi="Arial" w:cs="Arial"/>
          <w:sz w:val="20"/>
          <w:szCs w:val="20"/>
        </w:rPr>
        <w:t xml:space="preserve">) of sesame as that of hand weeding at 20 and </w:t>
      </w:r>
      <w:r>
        <w:rPr>
          <w:rFonts w:ascii="Arial" w:hAnsi="Arial" w:cs="Arial"/>
          <w:color w:val="auto"/>
          <w:sz w:val="20"/>
          <w:szCs w:val="20"/>
          <w:lang w:val="en-US"/>
        </w:rPr>
        <w:t xml:space="preserve">40 DAS (Rajpurohit </w:t>
      </w:r>
      <w:r>
        <w:rPr>
          <w:rFonts w:ascii="Arial" w:hAnsi="Arial" w:cs="Arial"/>
          <w:i/>
          <w:iCs/>
          <w:color w:val="auto"/>
          <w:sz w:val="20"/>
          <w:szCs w:val="20"/>
          <w:lang w:val="en-US"/>
        </w:rPr>
        <w:t>et al</w:t>
      </w:r>
      <w:r>
        <w:rPr>
          <w:rFonts w:ascii="Arial" w:hAnsi="Arial" w:cs="Arial"/>
          <w:color w:val="auto"/>
          <w:sz w:val="20"/>
          <w:szCs w:val="20"/>
          <w:lang w:val="en-US"/>
        </w:rPr>
        <w:t>., 2017).</w:t>
      </w:r>
    </w:p>
    <w:p w14:paraId="25078754">
      <w:pPr>
        <w:tabs>
          <w:tab w:val="left" w:pos="720"/>
        </w:tabs>
        <w:spacing w:before="240" w:after="140"/>
        <w:jc w:val="both"/>
        <w:rPr>
          <w:rFonts w:ascii="Arial" w:hAnsi="Arial" w:cs="Arial"/>
          <w:b/>
          <w:bCs/>
          <w:color w:val="000000" w:themeColor="text1"/>
          <w:sz w:val="20"/>
          <w:szCs w:val="20"/>
          <w:u w:val="single"/>
          <w:lang w:val="en-IN"/>
          <w14:textFill>
            <w14:solidFill>
              <w14:schemeClr w14:val="tx1"/>
            </w14:solidFill>
          </w14:textFill>
        </w:rPr>
      </w:pPr>
      <w:r>
        <w:rPr>
          <w:rFonts w:ascii="Arial" w:hAnsi="Arial" w:cs="Arial"/>
          <w:b/>
          <w:bCs/>
          <w:color w:val="000000" w:themeColor="text1"/>
          <w:sz w:val="20"/>
          <w:szCs w:val="20"/>
          <w:lang w:val="en-IN"/>
          <w14:textFill>
            <w14:solidFill>
              <w14:schemeClr w14:val="tx1"/>
            </w14:solidFill>
          </w14:textFill>
        </w:rPr>
        <w:t xml:space="preserve">4.1.10 </w:t>
      </w:r>
      <w:r>
        <w:rPr>
          <w:rFonts w:ascii="Arial" w:hAnsi="Arial" w:cs="Arial"/>
          <w:b/>
          <w:bCs/>
          <w:color w:val="000000" w:themeColor="text1"/>
          <w:sz w:val="20"/>
          <w:szCs w:val="20"/>
          <w:u w:val="single"/>
          <w:lang w:val="en-IN"/>
          <w14:textFill>
            <w14:solidFill>
              <w14:schemeClr w14:val="tx1"/>
            </w14:solidFill>
          </w14:textFill>
        </w:rPr>
        <w:t>Pendimethalin</w:t>
      </w:r>
    </w:p>
    <w:p w14:paraId="2CDF5DB8">
      <w:pPr>
        <w:pStyle w:val="38"/>
        <w:spacing w:before="240" w:after="140"/>
        <w:jc w:val="both"/>
        <w:rPr>
          <w:rFonts w:ascii="Arial" w:hAnsi="Arial" w:cs="Arial"/>
          <w:color w:val="auto"/>
          <w:sz w:val="20"/>
          <w:szCs w:val="20"/>
        </w:rPr>
      </w:pPr>
      <w:r>
        <w:rPr>
          <w:rFonts w:ascii="Arial" w:hAnsi="Arial" w:cs="Arial"/>
          <w:sz w:val="20"/>
          <w:szCs w:val="20"/>
        </w:rPr>
        <w:t>Dhanush and Geetha (2024) reported that pre-emergence application of pendimethalin @ 0.75 kg ha</w:t>
      </w:r>
      <w:r>
        <w:rPr>
          <w:rFonts w:ascii="Arial" w:hAnsi="Arial" w:cs="Arial"/>
          <w:sz w:val="20"/>
          <w:szCs w:val="20"/>
          <w:vertAlign w:val="superscript"/>
        </w:rPr>
        <w:t xml:space="preserve">-1 </w:t>
      </w:r>
      <w:r>
        <w:rPr>
          <w:rFonts w:ascii="Arial" w:hAnsi="Arial" w:cs="Arial"/>
          <w:sz w:val="20"/>
          <w:szCs w:val="20"/>
        </w:rPr>
        <w:t>at 3 DAS recorded lesser total weed density (76 m</w:t>
      </w:r>
      <w:r>
        <w:rPr>
          <w:rFonts w:ascii="Arial" w:hAnsi="Arial" w:cs="Arial"/>
          <w:sz w:val="20"/>
          <w:szCs w:val="20"/>
          <w:vertAlign w:val="superscript"/>
        </w:rPr>
        <w:t>-2</w:t>
      </w:r>
      <w:r>
        <w:rPr>
          <w:rFonts w:ascii="Arial" w:hAnsi="Arial" w:cs="Arial"/>
          <w:sz w:val="20"/>
          <w:szCs w:val="20"/>
        </w:rPr>
        <w:t>), total weed dry matter (74.45 g m</w:t>
      </w:r>
      <w:r>
        <w:rPr>
          <w:rFonts w:ascii="Arial" w:hAnsi="Arial" w:cs="Arial"/>
          <w:sz w:val="20"/>
          <w:szCs w:val="20"/>
          <w:vertAlign w:val="superscript"/>
        </w:rPr>
        <w:t>-2</w:t>
      </w:r>
      <w:r>
        <w:rPr>
          <w:rFonts w:ascii="Arial" w:hAnsi="Arial" w:cs="Arial"/>
          <w:sz w:val="20"/>
          <w:szCs w:val="20"/>
        </w:rPr>
        <w:t xml:space="preserve">), weed index (24.00) and higher weed control efficiency (58.48%) at harvest without any phytotoxic effect on sesame </w:t>
      </w:r>
      <w:r>
        <w:rPr>
          <w:rFonts w:ascii="Arial" w:hAnsi="Arial" w:cs="Arial"/>
          <w:color w:val="auto"/>
          <w:sz w:val="20"/>
          <w:szCs w:val="20"/>
        </w:rPr>
        <w:t xml:space="preserve">The results of Kabirou </w:t>
      </w:r>
      <w:r>
        <w:rPr>
          <w:rFonts w:ascii="Arial" w:hAnsi="Arial" w:cs="Arial"/>
          <w:i/>
          <w:iCs/>
          <w:color w:val="auto"/>
          <w:sz w:val="20"/>
          <w:szCs w:val="20"/>
        </w:rPr>
        <w:t>et al</w:t>
      </w:r>
      <w:r>
        <w:rPr>
          <w:rFonts w:ascii="Arial" w:hAnsi="Arial" w:cs="Arial"/>
          <w:color w:val="auto"/>
          <w:sz w:val="20"/>
          <w:szCs w:val="20"/>
        </w:rPr>
        <w:t>. (2023) revealed that the pre-emergence application of pendimethalin followed by a hoe weeding at 6 weeks after seeding recorded higher sesamum seed yield (1160 kg ha</w:t>
      </w:r>
      <w:r>
        <w:rPr>
          <w:rFonts w:ascii="Arial" w:hAnsi="Arial" w:cs="Arial"/>
          <w:color w:val="auto"/>
          <w:sz w:val="20"/>
          <w:szCs w:val="20"/>
          <w:vertAlign w:val="superscript"/>
        </w:rPr>
        <w:t>-1</w:t>
      </w:r>
      <w:r>
        <w:rPr>
          <w:rFonts w:ascii="Arial" w:hAnsi="Arial" w:cs="Arial"/>
          <w:color w:val="auto"/>
          <w:sz w:val="20"/>
          <w:szCs w:val="20"/>
        </w:rPr>
        <w:t xml:space="preserve">). Venu </w:t>
      </w:r>
      <w:r>
        <w:rPr>
          <w:rFonts w:ascii="Arial" w:hAnsi="Arial" w:cs="Arial"/>
          <w:i/>
          <w:iCs/>
          <w:color w:val="auto"/>
          <w:sz w:val="20"/>
          <w:szCs w:val="20"/>
        </w:rPr>
        <w:t>et al</w:t>
      </w:r>
      <w:r>
        <w:rPr>
          <w:rFonts w:ascii="Arial" w:hAnsi="Arial" w:cs="Arial"/>
          <w:color w:val="auto"/>
          <w:sz w:val="20"/>
          <w:szCs w:val="20"/>
        </w:rPr>
        <w:t>. (2022) observed pre-emergence application of pendimethalin 30 % EC @ 0.75 kg ha</w:t>
      </w:r>
      <w:r>
        <w:rPr>
          <w:rFonts w:ascii="Arial" w:hAnsi="Arial" w:cs="Arial"/>
          <w:color w:val="auto"/>
          <w:sz w:val="20"/>
          <w:szCs w:val="20"/>
          <w:vertAlign w:val="superscript"/>
        </w:rPr>
        <w:t xml:space="preserve">-1 </w:t>
      </w:r>
      <w:r>
        <w:rPr>
          <w:rFonts w:ascii="Arial" w:hAnsi="Arial" w:cs="Arial"/>
          <w:i/>
          <w:iCs/>
          <w:color w:val="auto"/>
          <w:sz w:val="20"/>
          <w:szCs w:val="20"/>
        </w:rPr>
        <w:t>fb</w:t>
      </w:r>
      <w:r>
        <w:rPr>
          <w:rFonts w:ascii="Arial" w:hAnsi="Arial" w:cs="Arial"/>
          <w:color w:val="auto"/>
          <w:sz w:val="20"/>
          <w:szCs w:val="20"/>
        </w:rPr>
        <w:t xml:space="preserve"> mechanical weeding at 30 DAS resulted in higher sesame seed yield (921 kg ha</w:t>
      </w:r>
      <w:r>
        <w:rPr>
          <w:rFonts w:ascii="Arial" w:hAnsi="Arial" w:cs="Arial"/>
          <w:color w:val="auto"/>
          <w:sz w:val="20"/>
          <w:szCs w:val="20"/>
          <w:vertAlign w:val="superscript"/>
        </w:rPr>
        <w:t>-1</w:t>
      </w:r>
      <w:r>
        <w:rPr>
          <w:rFonts w:ascii="Arial" w:hAnsi="Arial" w:cs="Arial"/>
          <w:color w:val="auto"/>
          <w:sz w:val="20"/>
          <w:szCs w:val="20"/>
        </w:rPr>
        <w:t xml:space="preserve">). </w:t>
      </w:r>
    </w:p>
    <w:p w14:paraId="101B18E0">
      <w:pPr>
        <w:tabs>
          <w:tab w:val="left" w:pos="720"/>
        </w:tabs>
        <w:spacing w:before="240" w:after="140"/>
        <w:jc w:val="both"/>
        <w:rPr>
          <w:rFonts w:ascii="Arial" w:hAnsi="Arial" w:cs="Arial"/>
          <w:b/>
          <w:bCs/>
          <w:color w:val="000000" w:themeColor="text1"/>
          <w:sz w:val="20"/>
          <w:szCs w:val="20"/>
          <w:lang w:val="en-IN"/>
          <w14:textFill>
            <w14:solidFill>
              <w14:schemeClr w14:val="tx1"/>
            </w14:solidFill>
          </w14:textFill>
        </w:rPr>
      </w:pPr>
      <w:r>
        <w:rPr>
          <w:rFonts w:ascii="Arial" w:hAnsi="Arial" w:cs="Arial"/>
          <w:b/>
          <w:bCs/>
          <w:color w:val="000000" w:themeColor="text1"/>
          <w:sz w:val="20"/>
          <w:szCs w:val="20"/>
          <w:lang w:val="en-IN"/>
          <w14:textFill>
            <w14:solidFill>
              <w14:schemeClr w14:val="tx1"/>
            </w14:solidFill>
          </w14:textFill>
        </w:rPr>
        <w:t xml:space="preserve">4.1.11 </w:t>
      </w:r>
      <w:r>
        <w:rPr>
          <w:rFonts w:ascii="Arial" w:hAnsi="Arial" w:cs="Arial"/>
          <w:b/>
          <w:bCs/>
          <w:color w:val="000000" w:themeColor="text1"/>
          <w:sz w:val="20"/>
          <w:szCs w:val="20"/>
          <w:u w:val="single"/>
          <w:lang w:val="en-IN"/>
          <w14:textFill>
            <w14:solidFill>
              <w14:schemeClr w14:val="tx1"/>
            </w14:solidFill>
          </w14:textFill>
        </w:rPr>
        <w:t>Pyroxasulfone</w:t>
      </w:r>
    </w:p>
    <w:p w14:paraId="7A960DF8">
      <w:pPr>
        <w:tabs>
          <w:tab w:val="left" w:pos="720"/>
        </w:tabs>
        <w:spacing w:before="240" w:after="140"/>
        <w:jc w:val="both"/>
        <w:rPr>
          <w:rFonts w:ascii="Arial" w:hAnsi="Arial" w:cs="Arial"/>
          <w:i/>
          <w:iCs/>
          <w:sz w:val="20"/>
          <w:szCs w:val="20"/>
        </w:rPr>
      </w:pPr>
      <w:r>
        <w:rPr>
          <w:rFonts w:ascii="Arial" w:hAnsi="Arial" w:cs="Arial"/>
          <w:sz w:val="20"/>
          <w:szCs w:val="20"/>
        </w:rPr>
        <w:t xml:space="preserve">Experimental results of </w:t>
      </w:r>
      <w:bookmarkStart w:id="1" w:name="_Hlk200207916"/>
      <w:r>
        <w:rPr>
          <w:rFonts w:ascii="Arial" w:hAnsi="Arial" w:cs="Arial"/>
          <w:sz w:val="20"/>
          <w:szCs w:val="20"/>
        </w:rPr>
        <w:t>Giridhar (2024)</w:t>
      </w:r>
      <w:bookmarkEnd w:id="1"/>
      <w:r>
        <w:rPr>
          <w:rFonts w:ascii="Arial" w:hAnsi="Arial" w:cs="Arial"/>
          <w:sz w:val="20"/>
          <w:szCs w:val="20"/>
        </w:rPr>
        <w:t>, showed that the lower density and dry weight of weeds in sesame was recorded with pre-emergence application of pyroxasulfone @ 100 g ha</w:t>
      </w:r>
      <w:r>
        <w:rPr>
          <w:rFonts w:ascii="Arial" w:hAnsi="Arial" w:cs="Arial"/>
          <w:sz w:val="20"/>
          <w:szCs w:val="20"/>
          <w:vertAlign w:val="superscript"/>
        </w:rPr>
        <w:t xml:space="preserve">-1 </w:t>
      </w:r>
      <w:r>
        <w:rPr>
          <w:rFonts w:ascii="Arial" w:hAnsi="Arial" w:cs="Arial"/>
          <w:sz w:val="20"/>
          <w:szCs w:val="20"/>
        </w:rPr>
        <w:t>at 20 DAS</w:t>
      </w:r>
      <w:r>
        <w:rPr>
          <w:rFonts w:ascii="Arial" w:hAnsi="Arial" w:cs="Arial"/>
          <w:i/>
          <w:iCs/>
          <w:sz w:val="20"/>
          <w:szCs w:val="20"/>
        </w:rPr>
        <w:t xml:space="preserve">. </w:t>
      </w:r>
      <w:r>
        <w:rPr>
          <w:rFonts w:ascii="Arial" w:hAnsi="Arial" w:cs="Arial"/>
          <w:sz w:val="20"/>
          <w:szCs w:val="20"/>
        </w:rPr>
        <w:t xml:space="preserve">Grichar </w:t>
      </w:r>
      <w:r>
        <w:rPr>
          <w:rFonts w:ascii="Arial" w:hAnsi="Arial" w:cs="Arial"/>
          <w:i/>
          <w:iCs/>
          <w:sz w:val="20"/>
          <w:szCs w:val="20"/>
        </w:rPr>
        <w:t>et al</w:t>
      </w:r>
      <w:r>
        <w:rPr>
          <w:rFonts w:ascii="Arial" w:hAnsi="Arial" w:cs="Arial"/>
          <w:sz w:val="20"/>
          <w:szCs w:val="20"/>
        </w:rPr>
        <w:t>. (2021) reported that pyroxasulfone @ 0.09 kg ha</w:t>
      </w:r>
      <w:r>
        <w:rPr>
          <w:rFonts w:ascii="Arial" w:hAnsi="Arial" w:cs="Arial"/>
          <w:sz w:val="20"/>
          <w:szCs w:val="20"/>
          <w:vertAlign w:val="superscript"/>
        </w:rPr>
        <w:t>-1</w:t>
      </w:r>
      <w:r>
        <w:rPr>
          <w:rFonts w:ascii="Arial" w:hAnsi="Arial" w:cs="Arial"/>
          <w:sz w:val="20"/>
          <w:szCs w:val="20"/>
        </w:rPr>
        <w:t xml:space="preserve"> produced yields that were over 260% greater than the untreated check.</w:t>
      </w:r>
    </w:p>
    <w:p w14:paraId="69A2DB50">
      <w:pPr>
        <w:tabs>
          <w:tab w:val="left" w:pos="720"/>
        </w:tabs>
        <w:spacing w:before="240" w:after="140"/>
        <w:jc w:val="both"/>
        <w:rPr>
          <w:rFonts w:ascii="Arial" w:hAnsi="Arial" w:cs="Arial"/>
          <w:b/>
          <w:bCs/>
          <w:sz w:val="20"/>
          <w:szCs w:val="20"/>
          <w:u w:val="single"/>
        </w:rPr>
      </w:pPr>
      <w:r>
        <w:rPr>
          <w:rFonts w:ascii="Arial" w:hAnsi="Arial" w:cs="Arial"/>
          <w:b/>
          <w:bCs/>
          <w:sz w:val="20"/>
          <w:szCs w:val="20"/>
        </w:rPr>
        <w:t xml:space="preserve">4.1.12 </w:t>
      </w:r>
      <w:r>
        <w:rPr>
          <w:rFonts w:ascii="Arial" w:hAnsi="Arial" w:cs="Arial"/>
          <w:b/>
          <w:bCs/>
          <w:sz w:val="20"/>
          <w:szCs w:val="20"/>
          <w:u w:val="single"/>
        </w:rPr>
        <w:t>Trifluralin</w:t>
      </w:r>
    </w:p>
    <w:p w14:paraId="27C48A2B">
      <w:pPr>
        <w:tabs>
          <w:tab w:val="left" w:pos="720"/>
        </w:tabs>
        <w:spacing w:before="240" w:after="140"/>
        <w:jc w:val="both"/>
        <w:rPr>
          <w:rFonts w:ascii="Arial" w:hAnsi="Arial" w:cs="Arial"/>
          <w:sz w:val="20"/>
          <w:szCs w:val="20"/>
        </w:rPr>
      </w:pPr>
      <w:r>
        <w:rPr>
          <w:rFonts w:ascii="Arial" w:hAnsi="Arial" w:cs="Arial"/>
          <w:sz w:val="20"/>
          <w:szCs w:val="20"/>
        </w:rPr>
        <w:t xml:space="preserve">Amini </w:t>
      </w:r>
      <w:r>
        <w:rPr>
          <w:rFonts w:ascii="Arial" w:hAnsi="Arial" w:cs="Arial"/>
          <w:i/>
          <w:iCs/>
          <w:sz w:val="20"/>
          <w:szCs w:val="20"/>
        </w:rPr>
        <w:t>et al</w:t>
      </w:r>
      <w:r>
        <w:rPr>
          <w:rFonts w:ascii="Arial" w:hAnsi="Arial" w:cs="Arial"/>
          <w:sz w:val="20"/>
          <w:szCs w:val="20"/>
        </w:rPr>
        <w:t>. (2022) observed that application of trifluralin @ 2 l ha</w:t>
      </w:r>
      <w:r>
        <w:rPr>
          <w:rFonts w:ascii="Arial" w:hAnsi="Arial" w:cs="Arial"/>
          <w:sz w:val="20"/>
          <w:szCs w:val="20"/>
          <w:vertAlign w:val="superscript"/>
        </w:rPr>
        <w:t>-1</w:t>
      </w:r>
      <w:r>
        <w:rPr>
          <w:rFonts w:ascii="Arial" w:hAnsi="Arial" w:cs="Arial"/>
          <w:sz w:val="20"/>
          <w:szCs w:val="20"/>
        </w:rPr>
        <w:t xml:space="preserve"> as pre-emergence in integration with hand weeding in sesame had the higher weed control efficacy, higher reduction in weed biomass (79.33%) and recorded </w:t>
      </w:r>
      <w:r>
        <w:rPr>
          <w:rFonts w:ascii="Arial" w:hAnsi="Arial" w:cs="Arial"/>
          <w:sz w:val="20"/>
          <w:szCs w:val="20"/>
          <w:lang w:val="en-IN"/>
        </w:rPr>
        <w:t>higher grain yield (164 g m</w:t>
      </w:r>
      <w:r>
        <w:rPr>
          <w:rFonts w:ascii="Arial" w:hAnsi="Arial" w:cs="Arial"/>
          <w:sz w:val="20"/>
          <w:szCs w:val="20"/>
          <w:vertAlign w:val="superscript"/>
          <w:lang w:val="en-IN"/>
        </w:rPr>
        <w:t>-2</w:t>
      </w:r>
      <w:r>
        <w:rPr>
          <w:rFonts w:ascii="Arial" w:hAnsi="Arial" w:cs="Arial"/>
          <w:sz w:val="20"/>
          <w:szCs w:val="20"/>
          <w:lang w:val="en-IN"/>
        </w:rPr>
        <w:t xml:space="preserve">) </w:t>
      </w:r>
      <w:r>
        <w:rPr>
          <w:rFonts w:ascii="Arial" w:hAnsi="Arial" w:cs="Arial"/>
          <w:sz w:val="20"/>
          <w:szCs w:val="20"/>
        </w:rPr>
        <w:t xml:space="preserve">in Iran. </w:t>
      </w:r>
      <w:r>
        <w:rPr>
          <w:rFonts w:ascii="Arial" w:hAnsi="Arial" w:cs="Arial"/>
          <w:sz w:val="20"/>
          <w:szCs w:val="20"/>
          <w:lang w:val="en-IN"/>
        </w:rPr>
        <w:t>The higher biological seed yield (1878.2 kg ha</w:t>
      </w:r>
      <w:r>
        <w:rPr>
          <w:rFonts w:ascii="Arial" w:hAnsi="Arial" w:cs="Arial"/>
          <w:sz w:val="20"/>
          <w:szCs w:val="20"/>
          <w:vertAlign w:val="superscript"/>
          <w:lang w:val="en-IN"/>
        </w:rPr>
        <w:t>-1</w:t>
      </w:r>
      <w:r>
        <w:rPr>
          <w:rFonts w:ascii="Arial" w:hAnsi="Arial" w:cs="Arial"/>
          <w:sz w:val="20"/>
          <w:szCs w:val="20"/>
          <w:lang w:val="en-IN"/>
        </w:rPr>
        <w:t xml:space="preserve">) was observed with pre-emergence application of trifluralin @ 1200 ml </w:t>
      </w:r>
      <w:r>
        <w:rPr>
          <w:rFonts w:ascii="Arial" w:hAnsi="Arial" w:cs="Arial"/>
          <w:sz w:val="20"/>
          <w:szCs w:val="20"/>
        </w:rPr>
        <w:t>ha</w:t>
      </w:r>
      <w:r>
        <w:rPr>
          <w:rFonts w:ascii="Arial" w:hAnsi="Arial" w:cs="Arial"/>
          <w:sz w:val="20"/>
          <w:szCs w:val="20"/>
          <w:vertAlign w:val="superscript"/>
        </w:rPr>
        <w:t>-1</w:t>
      </w:r>
      <w:r>
        <w:rPr>
          <w:rFonts w:ascii="Arial" w:hAnsi="Arial" w:cs="Arial"/>
          <w:sz w:val="20"/>
          <w:szCs w:val="20"/>
        </w:rPr>
        <w:t xml:space="preserve"> (Akbia </w:t>
      </w:r>
      <w:r>
        <w:rPr>
          <w:rFonts w:ascii="Arial" w:hAnsi="Arial" w:cs="Arial"/>
          <w:i/>
          <w:iCs/>
          <w:sz w:val="20"/>
          <w:szCs w:val="20"/>
        </w:rPr>
        <w:t>et al</w:t>
      </w:r>
      <w:r>
        <w:rPr>
          <w:rFonts w:ascii="Arial" w:hAnsi="Arial" w:cs="Arial"/>
          <w:sz w:val="20"/>
          <w:szCs w:val="20"/>
        </w:rPr>
        <w:t>., 2020).</w:t>
      </w:r>
    </w:p>
    <w:p w14:paraId="39F561FF">
      <w:pPr>
        <w:pStyle w:val="38"/>
        <w:spacing w:before="240" w:after="140"/>
        <w:jc w:val="both"/>
        <w:rPr>
          <w:rFonts w:ascii="Arial" w:hAnsi="Arial" w:cs="Arial"/>
          <w:b/>
          <w:bCs/>
          <w:color w:val="auto"/>
          <w:sz w:val="20"/>
          <w:szCs w:val="20"/>
        </w:rPr>
      </w:pPr>
      <w:r>
        <w:rPr>
          <w:rFonts w:ascii="Arial" w:hAnsi="Arial" w:cs="Arial"/>
          <w:b/>
          <w:bCs/>
          <w:color w:val="auto"/>
          <w:sz w:val="20"/>
          <w:szCs w:val="20"/>
        </w:rPr>
        <w:t xml:space="preserve">4.2 </w:t>
      </w:r>
      <w:r>
        <w:rPr>
          <w:rFonts w:ascii="Arial" w:hAnsi="Arial" w:cs="Arial"/>
          <w:b/>
          <w:bCs/>
          <w:color w:val="auto"/>
          <w:sz w:val="22"/>
          <w:szCs w:val="22"/>
        </w:rPr>
        <w:t>Post Emergence Herbicides</w:t>
      </w:r>
    </w:p>
    <w:p w14:paraId="15BD4D54">
      <w:pPr>
        <w:pStyle w:val="38"/>
        <w:spacing w:before="240" w:after="140"/>
        <w:jc w:val="both"/>
        <w:rPr>
          <w:rFonts w:ascii="Arial" w:hAnsi="Arial" w:cs="Arial"/>
          <w:b/>
          <w:bCs/>
          <w:color w:val="auto"/>
          <w:sz w:val="20"/>
          <w:szCs w:val="20"/>
          <w:lang w:val="en-US"/>
        </w:rPr>
      </w:pPr>
      <w:r>
        <w:rPr>
          <w:rFonts w:ascii="Arial" w:hAnsi="Arial" w:cs="Arial"/>
          <w:b/>
          <w:bCs/>
          <w:color w:val="auto"/>
          <w:sz w:val="20"/>
          <w:szCs w:val="20"/>
          <w:lang w:val="en-US"/>
        </w:rPr>
        <w:t xml:space="preserve">4.2.1 </w:t>
      </w:r>
      <w:r>
        <w:rPr>
          <w:rFonts w:ascii="Arial" w:hAnsi="Arial" w:cs="Arial"/>
          <w:b/>
          <w:bCs/>
          <w:color w:val="auto"/>
          <w:sz w:val="20"/>
          <w:szCs w:val="20"/>
          <w:u w:val="single"/>
          <w:lang w:val="en-US"/>
        </w:rPr>
        <w:t>Clethodim</w:t>
      </w:r>
      <w:r>
        <w:rPr>
          <w:rFonts w:ascii="Arial" w:hAnsi="Arial" w:cs="Arial"/>
          <w:b/>
          <w:bCs/>
          <w:color w:val="auto"/>
          <w:sz w:val="20"/>
          <w:szCs w:val="20"/>
          <w:lang w:val="en-US"/>
        </w:rPr>
        <w:t xml:space="preserve"> </w:t>
      </w:r>
    </w:p>
    <w:p w14:paraId="6CF89DF5">
      <w:pPr>
        <w:pStyle w:val="38"/>
        <w:spacing w:before="240"/>
        <w:jc w:val="both"/>
        <w:rPr>
          <w:rFonts w:ascii="Arial" w:hAnsi="Arial" w:cs="Arial"/>
          <w:sz w:val="20"/>
          <w:szCs w:val="20"/>
          <w:lang w:val="en-US"/>
        </w:rPr>
      </w:pPr>
      <w:r>
        <w:rPr>
          <w:rFonts w:ascii="Arial" w:hAnsi="Arial" w:cs="Arial"/>
          <w:sz w:val="20"/>
          <w:szCs w:val="20"/>
          <w:lang w:val="en-US"/>
        </w:rPr>
        <w:t xml:space="preserve">Ramesh </w:t>
      </w:r>
      <w:r>
        <w:rPr>
          <w:rFonts w:ascii="Arial" w:hAnsi="Arial" w:cs="Arial"/>
          <w:i/>
          <w:iCs/>
          <w:sz w:val="20"/>
          <w:szCs w:val="20"/>
          <w:lang w:val="en-US"/>
        </w:rPr>
        <w:t>et al</w:t>
      </w:r>
      <w:r>
        <w:rPr>
          <w:rFonts w:ascii="Arial" w:hAnsi="Arial" w:cs="Arial"/>
          <w:sz w:val="20"/>
          <w:szCs w:val="20"/>
          <w:lang w:val="en-US"/>
        </w:rPr>
        <w:t>. (2025) reported that a</w:t>
      </w:r>
      <w:r>
        <w:rPr>
          <w:rFonts w:ascii="Arial" w:hAnsi="Arial" w:cs="Arial"/>
          <w:sz w:val="20"/>
          <w:szCs w:val="20"/>
        </w:rPr>
        <w:t xml:space="preserve">mong the different post-emergence herbicide treatments, clethodim 25 % EC @ 120 g </w:t>
      </w:r>
      <w:r>
        <w:rPr>
          <w:rFonts w:ascii="Arial" w:hAnsi="Arial" w:cs="Arial"/>
          <w:sz w:val="20"/>
          <w:szCs w:val="20"/>
          <w:lang w:val="en-US"/>
        </w:rPr>
        <w:t>ha</w:t>
      </w:r>
      <w:r>
        <w:rPr>
          <w:rFonts w:ascii="Arial" w:hAnsi="Arial" w:cs="Arial"/>
          <w:sz w:val="20"/>
          <w:szCs w:val="20"/>
          <w:vertAlign w:val="superscript"/>
          <w:lang w:val="en-US"/>
        </w:rPr>
        <w:t>-1</w:t>
      </w:r>
      <w:r>
        <w:rPr>
          <w:rFonts w:ascii="Arial" w:hAnsi="Arial" w:cs="Arial"/>
          <w:sz w:val="20"/>
          <w:szCs w:val="20"/>
        </w:rPr>
        <w:t xml:space="preserve"> recorded weed control efficiency of 71% with higher sesame yield and demonstrated its </w:t>
      </w:r>
      <w:r>
        <w:rPr>
          <w:rFonts w:ascii="Arial" w:hAnsi="Arial" w:cs="Arial"/>
          <w:sz w:val="20"/>
          <w:szCs w:val="20"/>
          <w:lang w:val="en-US"/>
        </w:rPr>
        <w:t xml:space="preserve">potential to use for weed management in sesame. </w:t>
      </w:r>
      <w:r>
        <w:rPr>
          <w:rFonts w:ascii="Arial" w:hAnsi="Arial" w:cs="Arial"/>
          <w:color w:val="auto"/>
          <w:sz w:val="20"/>
          <w:szCs w:val="20"/>
          <w:lang w:val="en-US"/>
        </w:rPr>
        <w:t xml:space="preserve">Higher seed yield (724.8 kg) and stalk yield (2640 kg) were observed with post emergence application of </w:t>
      </w:r>
      <w:r>
        <w:rPr>
          <w:rFonts w:ascii="Arial" w:hAnsi="Arial" w:cs="Arial"/>
          <w:sz w:val="20"/>
          <w:szCs w:val="20"/>
          <w:lang w:val="en-US"/>
        </w:rPr>
        <w:t xml:space="preserve">clethodim 7.5% + haloxyfop-methyl 15% </w:t>
      </w:r>
      <w:r>
        <w:rPr>
          <w:rFonts w:ascii="Arial" w:hAnsi="Arial" w:cs="Arial"/>
          <w:sz w:val="20"/>
          <w:szCs w:val="20"/>
        </w:rPr>
        <w:t>@ 450 g ha</w:t>
      </w:r>
      <w:r>
        <w:rPr>
          <w:rFonts w:ascii="Arial" w:hAnsi="Arial" w:cs="Arial"/>
          <w:sz w:val="20"/>
          <w:szCs w:val="20"/>
          <w:vertAlign w:val="superscript"/>
        </w:rPr>
        <w:t xml:space="preserve">-1 </w:t>
      </w:r>
      <w:r>
        <w:rPr>
          <w:rFonts w:ascii="Arial" w:hAnsi="Arial" w:cs="Arial"/>
          <w:sz w:val="20"/>
          <w:szCs w:val="20"/>
          <w:lang w:val="en-US"/>
        </w:rPr>
        <w:t xml:space="preserve">(Ismail </w:t>
      </w:r>
      <w:r>
        <w:rPr>
          <w:rFonts w:ascii="Arial" w:hAnsi="Arial" w:cs="Arial"/>
          <w:i/>
          <w:iCs/>
          <w:sz w:val="20"/>
          <w:szCs w:val="20"/>
          <w:lang w:val="en-US"/>
        </w:rPr>
        <w:t>et al</w:t>
      </w:r>
      <w:r>
        <w:rPr>
          <w:rFonts w:ascii="Arial" w:hAnsi="Arial" w:cs="Arial"/>
          <w:sz w:val="20"/>
          <w:szCs w:val="20"/>
          <w:lang w:val="en-US"/>
        </w:rPr>
        <w:t xml:space="preserve">., 2024). </w:t>
      </w:r>
    </w:p>
    <w:p w14:paraId="7D229FE1">
      <w:pPr>
        <w:pStyle w:val="38"/>
        <w:spacing w:before="240"/>
        <w:jc w:val="both"/>
        <w:rPr>
          <w:rFonts w:ascii="Arial" w:hAnsi="Arial" w:cs="Arial"/>
          <w:sz w:val="20"/>
          <w:szCs w:val="20"/>
          <w:lang w:val="en-US"/>
        </w:rPr>
      </w:pPr>
      <w:r>
        <w:rPr>
          <w:rFonts w:ascii="Arial" w:hAnsi="Arial" w:cs="Arial"/>
          <w:b/>
          <w:bCs/>
          <w:color w:val="auto"/>
          <w:sz w:val="20"/>
          <w:szCs w:val="20"/>
          <w:lang w:val="en-US"/>
        </w:rPr>
        <w:t xml:space="preserve">4.2.2 </w:t>
      </w:r>
      <w:r>
        <w:rPr>
          <w:rFonts w:ascii="Arial" w:hAnsi="Arial" w:cs="Arial"/>
          <w:b/>
          <w:bCs/>
          <w:color w:val="auto"/>
          <w:sz w:val="20"/>
          <w:szCs w:val="20"/>
          <w:u w:val="single"/>
          <w:lang w:val="en-US"/>
        </w:rPr>
        <w:t>Fenoxaprop-ethyl</w:t>
      </w:r>
      <w:r>
        <w:rPr>
          <w:rFonts w:ascii="Arial" w:hAnsi="Arial" w:cs="Arial"/>
          <w:b/>
          <w:bCs/>
          <w:color w:val="auto"/>
          <w:sz w:val="20"/>
          <w:szCs w:val="20"/>
          <w:lang w:val="en-US"/>
        </w:rPr>
        <w:t xml:space="preserve"> </w:t>
      </w:r>
    </w:p>
    <w:p w14:paraId="345C6E94">
      <w:pPr>
        <w:pStyle w:val="38"/>
        <w:spacing w:before="240" w:after="140"/>
        <w:jc w:val="both"/>
        <w:rPr>
          <w:rFonts w:ascii="Arial" w:hAnsi="Arial" w:cs="Arial"/>
          <w:sz w:val="20"/>
          <w:szCs w:val="20"/>
        </w:rPr>
      </w:pPr>
      <w:r>
        <w:rPr>
          <w:rFonts w:ascii="Arial" w:hAnsi="Arial" w:cs="Arial"/>
          <w:sz w:val="20"/>
          <w:szCs w:val="20"/>
        </w:rPr>
        <w:t xml:space="preserve">Pramanik </w:t>
      </w:r>
      <w:r>
        <w:rPr>
          <w:rFonts w:ascii="Arial" w:hAnsi="Arial" w:cs="Arial"/>
          <w:i/>
          <w:iCs/>
          <w:sz w:val="20"/>
          <w:szCs w:val="20"/>
        </w:rPr>
        <w:t>et al</w:t>
      </w:r>
      <w:r>
        <w:rPr>
          <w:rFonts w:ascii="Arial" w:hAnsi="Arial" w:cs="Arial"/>
          <w:sz w:val="20"/>
          <w:szCs w:val="20"/>
        </w:rPr>
        <w:t>., 2025 observed that seed yield (</w:t>
      </w:r>
      <w:r>
        <w:rPr>
          <w:rFonts w:ascii="Arial" w:hAnsi="Arial" w:cs="Arial"/>
          <w:sz w:val="20"/>
          <w:szCs w:val="20"/>
          <w:lang w:val="en-US"/>
        </w:rPr>
        <w:t xml:space="preserve">1275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w:t>
      </w:r>
      <w:r>
        <w:rPr>
          <w:rFonts w:ascii="Arial" w:hAnsi="Arial" w:cs="Arial"/>
          <w:sz w:val="20"/>
          <w:szCs w:val="20"/>
        </w:rPr>
        <w:t xml:space="preserve"> and stalk </w:t>
      </w:r>
      <w:r>
        <w:rPr>
          <w:rFonts w:ascii="Arial" w:hAnsi="Arial" w:cs="Arial"/>
          <w:color w:val="auto"/>
          <w:sz w:val="20"/>
          <w:szCs w:val="20"/>
          <w:lang w:val="en-US"/>
        </w:rPr>
        <w:t xml:space="preserve">yield </w:t>
      </w:r>
      <w:r>
        <w:rPr>
          <w:rFonts w:ascii="Arial" w:hAnsi="Arial" w:cs="Arial"/>
          <w:sz w:val="20"/>
          <w:szCs w:val="20"/>
        </w:rPr>
        <w:t>(</w:t>
      </w:r>
      <w:r>
        <w:rPr>
          <w:rFonts w:ascii="Arial" w:hAnsi="Arial" w:cs="Arial"/>
          <w:sz w:val="20"/>
          <w:szCs w:val="20"/>
          <w:lang w:val="en-US"/>
        </w:rPr>
        <w:t xml:space="preserve">1275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 xml:space="preserve">) </w:t>
      </w:r>
      <w:r>
        <w:rPr>
          <w:rFonts w:ascii="Arial" w:hAnsi="Arial" w:cs="Arial"/>
          <w:color w:val="auto"/>
          <w:sz w:val="20"/>
          <w:szCs w:val="20"/>
          <w:lang w:val="en-US"/>
        </w:rPr>
        <w:t>were the highest with post emergence application of f</w:t>
      </w:r>
      <w:r>
        <w:rPr>
          <w:rFonts w:ascii="Arial" w:hAnsi="Arial" w:cs="Arial"/>
          <w:sz w:val="20"/>
          <w:szCs w:val="20"/>
        </w:rPr>
        <w:t>enoxaprop-ethyl 60 g ha</w:t>
      </w:r>
      <w:r>
        <w:rPr>
          <w:rFonts w:ascii="Arial" w:hAnsi="Arial" w:cs="Arial"/>
          <w:sz w:val="20"/>
          <w:szCs w:val="20"/>
          <w:vertAlign w:val="superscript"/>
        </w:rPr>
        <w:t>-1</w:t>
      </w:r>
      <w:r>
        <w:rPr>
          <w:rFonts w:ascii="Arial" w:hAnsi="Arial" w:cs="Arial"/>
          <w:sz w:val="20"/>
          <w:szCs w:val="20"/>
        </w:rPr>
        <w:t xml:space="preserve">. Sahu </w:t>
      </w:r>
      <w:r>
        <w:rPr>
          <w:rFonts w:ascii="Arial" w:hAnsi="Arial" w:cs="Arial"/>
          <w:i/>
          <w:iCs/>
          <w:sz w:val="20"/>
          <w:szCs w:val="20"/>
        </w:rPr>
        <w:t>et al</w:t>
      </w:r>
      <w:r>
        <w:rPr>
          <w:rFonts w:ascii="Arial" w:hAnsi="Arial" w:cs="Arial"/>
          <w:sz w:val="20"/>
          <w:szCs w:val="20"/>
        </w:rPr>
        <w:t xml:space="preserve">. (2019) reported that among the sequential application of herbicides, pre-emergence application of pendimethalin at 750 g </w:t>
      </w:r>
      <w:r>
        <w:rPr>
          <w:rFonts w:ascii="Arial" w:hAnsi="Arial" w:cs="Arial"/>
          <w:color w:val="auto"/>
          <w:sz w:val="20"/>
          <w:szCs w:val="20"/>
        </w:rPr>
        <w:t>ha</w:t>
      </w:r>
      <w:r>
        <w:rPr>
          <w:rFonts w:ascii="Arial" w:hAnsi="Arial" w:cs="Arial"/>
          <w:color w:val="auto"/>
          <w:sz w:val="20"/>
          <w:szCs w:val="20"/>
          <w:vertAlign w:val="superscript"/>
        </w:rPr>
        <w:t xml:space="preserve">-1 </w:t>
      </w:r>
      <w:r>
        <w:rPr>
          <w:rFonts w:ascii="Arial" w:hAnsi="Arial" w:cs="Arial"/>
          <w:i/>
          <w:iCs/>
          <w:sz w:val="20"/>
          <w:szCs w:val="20"/>
        </w:rPr>
        <w:t xml:space="preserve">fb </w:t>
      </w:r>
      <w:r>
        <w:rPr>
          <w:rFonts w:ascii="Arial" w:hAnsi="Arial" w:cs="Arial"/>
          <w:sz w:val="20"/>
          <w:szCs w:val="20"/>
        </w:rPr>
        <w:t xml:space="preserve">fenoxaprop at </w:t>
      </w:r>
      <w:r>
        <w:rPr>
          <w:rFonts w:ascii="Arial" w:hAnsi="Arial" w:cs="Arial"/>
          <w:sz w:val="20"/>
          <w:szCs w:val="20"/>
          <w:lang w:val="en-US"/>
        </w:rPr>
        <w:t xml:space="preserve">100 g </w:t>
      </w:r>
      <w:r>
        <w:rPr>
          <w:rFonts w:ascii="Arial" w:hAnsi="Arial" w:cs="Arial"/>
          <w:color w:val="auto"/>
          <w:sz w:val="20"/>
          <w:szCs w:val="20"/>
        </w:rPr>
        <w:t>ha</w:t>
      </w:r>
      <w:r>
        <w:rPr>
          <w:rFonts w:ascii="Arial" w:hAnsi="Arial" w:cs="Arial"/>
          <w:color w:val="auto"/>
          <w:sz w:val="20"/>
          <w:szCs w:val="20"/>
          <w:vertAlign w:val="superscript"/>
        </w:rPr>
        <w:t xml:space="preserve">-1 </w:t>
      </w:r>
      <w:r>
        <w:rPr>
          <w:rFonts w:ascii="Arial" w:hAnsi="Arial" w:cs="Arial"/>
          <w:sz w:val="20"/>
          <w:szCs w:val="20"/>
          <w:lang w:val="en-US"/>
        </w:rPr>
        <w:t xml:space="preserve">gave higher weed control efficiency (76.6 %) and seed yield (468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w:t>
      </w:r>
    </w:p>
    <w:p w14:paraId="590AF6B6">
      <w:pPr>
        <w:pStyle w:val="38"/>
        <w:spacing w:before="240" w:after="140"/>
        <w:jc w:val="both"/>
        <w:rPr>
          <w:rFonts w:ascii="Arial" w:hAnsi="Arial" w:cs="Arial"/>
          <w:b/>
          <w:bCs/>
          <w:sz w:val="20"/>
          <w:szCs w:val="20"/>
          <w:lang w:val="en-US"/>
        </w:rPr>
      </w:pPr>
      <w:r>
        <w:rPr>
          <w:rFonts w:ascii="Arial" w:hAnsi="Arial" w:cs="Arial"/>
          <w:b/>
          <w:bCs/>
          <w:sz w:val="20"/>
          <w:szCs w:val="20"/>
          <w:lang w:val="en-US"/>
        </w:rPr>
        <w:t xml:space="preserve">4.2.3 </w:t>
      </w:r>
      <w:r>
        <w:rPr>
          <w:rFonts w:ascii="Arial" w:hAnsi="Arial" w:cs="Arial"/>
          <w:b/>
          <w:bCs/>
          <w:sz w:val="20"/>
          <w:szCs w:val="20"/>
          <w:u w:val="single"/>
          <w:lang w:val="en-US"/>
        </w:rPr>
        <w:t>Haloxyfop-methyl</w:t>
      </w:r>
      <w:r>
        <w:rPr>
          <w:rFonts w:ascii="Arial" w:hAnsi="Arial" w:cs="Arial"/>
          <w:b/>
          <w:bCs/>
          <w:sz w:val="20"/>
          <w:szCs w:val="20"/>
          <w:lang w:val="en-US"/>
        </w:rPr>
        <w:t xml:space="preserve"> </w:t>
      </w:r>
    </w:p>
    <w:p w14:paraId="14A780E2">
      <w:pPr>
        <w:pStyle w:val="38"/>
        <w:spacing w:before="240"/>
        <w:jc w:val="both"/>
        <w:rPr>
          <w:rFonts w:ascii="Arial" w:hAnsi="Arial" w:cs="Arial"/>
          <w:sz w:val="20"/>
          <w:szCs w:val="20"/>
          <w:lang w:val="en-US"/>
        </w:rPr>
      </w:pPr>
      <w:r>
        <w:rPr>
          <w:rFonts w:ascii="Arial" w:hAnsi="Arial" w:cs="Arial"/>
          <w:sz w:val="20"/>
          <w:szCs w:val="20"/>
          <w:lang w:val="en-US"/>
        </w:rPr>
        <w:t xml:space="preserve">Ismail </w:t>
      </w:r>
      <w:r>
        <w:rPr>
          <w:rFonts w:ascii="Arial" w:hAnsi="Arial" w:cs="Arial"/>
          <w:i/>
          <w:iCs/>
          <w:sz w:val="20"/>
          <w:szCs w:val="20"/>
          <w:lang w:val="en-US"/>
        </w:rPr>
        <w:t>et al</w:t>
      </w:r>
      <w:r>
        <w:rPr>
          <w:rFonts w:ascii="Arial" w:hAnsi="Arial" w:cs="Arial"/>
          <w:sz w:val="20"/>
          <w:szCs w:val="20"/>
          <w:lang w:val="en-US"/>
        </w:rPr>
        <w:t>., 2024 reported that p</w:t>
      </w:r>
      <w:r>
        <w:rPr>
          <w:rFonts w:ascii="Arial" w:hAnsi="Arial" w:cs="Arial"/>
          <w:color w:val="auto"/>
          <w:sz w:val="20"/>
          <w:szCs w:val="20"/>
          <w:lang w:val="en-US"/>
        </w:rPr>
        <w:t xml:space="preserve">ost emergence application of </w:t>
      </w:r>
      <w:r>
        <w:rPr>
          <w:rFonts w:ascii="Arial" w:hAnsi="Arial" w:cs="Arial"/>
          <w:sz w:val="20"/>
          <w:szCs w:val="20"/>
          <w:lang w:val="en-US"/>
        </w:rPr>
        <w:t>clethodim 7.5% + haloxyfop-methyl 15% @ 450 g ha</w:t>
      </w:r>
      <w:r>
        <w:rPr>
          <w:rFonts w:ascii="Arial" w:hAnsi="Arial" w:cs="Arial"/>
          <w:sz w:val="20"/>
          <w:szCs w:val="20"/>
          <w:vertAlign w:val="superscript"/>
          <w:lang w:val="en-US"/>
        </w:rPr>
        <w:t>-1</w:t>
      </w:r>
      <w:r>
        <w:rPr>
          <w:rFonts w:ascii="Arial" w:hAnsi="Arial" w:cs="Arial"/>
          <w:sz w:val="20"/>
          <w:szCs w:val="20"/>
          <w:lang w:val="en-US"/>
        </w:rPr>
        <w:t xml:space="preserve"> recorded higher plant height (143.8), number of branches plant</w:t>
      </w:r>
      <w:r>
        <w:rPr>
          <w:rFonts w:ascii="Arial" w:hAnsi="Arial" w:cs="Arial"/>
          <w:sz w:val="20"/>
          <w:szCs w:val="20"/>
          <w:vertAlign w:val="superscript"/>
          <w:lang w:val="en-US"/>
        </w:rPr>
        <w:t xml:space="preserve">-1 </w:t>
      </w:r>
      <w:r>
        <w:rPr>
          <w:rFonts w:ascii="Arial" w:hAnsi="Arial" w:cs="Arial"/>
          <w:sz w:val="20"/>
          <w:szCs w:val="20"/>
          <w:lang w:val="en-US"/>
        </w:rPr>
        <w:t>(6.3), no. of capsules plant</w:t>
      </w:r>
      <w:r>
        <w:rPr>
          <w:rFonts w:ascii="Arial" w:hAnsi="Arial" w:cs="Arial"/>
          <w:sz w:val="20"/>
          <w:szCs w:val="20"/>
          <w:vertAlign w:val="superscript"/>
          <w:lang w:val="en-US"/>
        </w:rPr>
        <w:t>-1</w:t>
      </w:r>
      <w:r>
        <w:rPr>
          <w:rFonts w:ascii="Arial" w:hAnsi="Arial" w:cs="Arial"/>
          <w:sz w:val="20"/>
          <w:szCs w:val="20"/>
          <w:lang w:val="en-US"/>
        </w:rPr>
        <w:t xml:space="preserve"> (48.6) and no. of grains capsules</w:t>
      </w:r>
      <w:r>
        <w:rPr>
          <w:rFonts w:ascii="Arial" w:hAnsi="Arial" w:cs="Arial"/>
          <w:sz w:val="20"/>
          <w:szCs w:val="20"/>
          <w:vertAlign w:val="superscript"/>
          <w:lang w:val="en-US"/>
        </w:rPr>
        <w:t>-1</w:t>
      </w:r>
      <w:r>
        <w:rPr>
          <w:rFonts w:ascii="Arial" w:hAnsi="Arial" w:cs="Arial"/>
          <w:sz w:val="20"/>
          <w:szCs w:val="20"/>
          <w:lang w:val="en-US"/>
        </w:rPr>
        <w:t xml:space="preserve"> (56.8). According to Vafaei </w:t>
      </w:r>
      <w:r>
        <w:rPr>
          <w:rFonts w:ascii="Arial" w:hAnsi="Arial" w:cs="Arial"/>
          <w:i/>
          <w:iCs/>
          <w:sz w:val="20"/>
          <w:szCs w:val="20"/>
          <w:lang w:val="en-US"/>
        </w:rPr>
        <w:t>et al</w:t>
      </w:r>
      <w:r>
        <w:rPr>
          <w:rFonts w:ascii="Arial" w:hAnsi="Arial" w:cs="Arial"/>
          <w:sz w:val="20"/>
          <w:szCs w:val="20"/>
          <w:lang w:val="en-US"/>
        </w:rPr>
        <w:t>. (2013), h</w:t>
      </w:r>
      <w:r>
        <w:rPr>
          <w:rFonts w:ascii="Arial" w:hAnsi="Arial" w:cs="Arial"/>
          <w:sz w:val="20"/>
          <w:szCs w:val="20"/>
        </w:rPr>
        <w:t>igher dry matter accumulation (</w:t>
      </w:r>
      <w:r>
        <w:rPr>
          <w:rFonts w:ascii="Arial" w:hAnsi="Arial" w:cs="Arial"/>
          <w:sz w:val="20"/>
          <w:szCs w:val="20"/>
          <w:lang w:val="en-US"/>
        </w:rPr>
        <w:t xml:space="preserve">6578.1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sz w:val="20"/>
          <w:szCs w:val="20"/>
        </w:rPr>
        <w:t>) and grain yield (</w:t>
      </w:r>
      <w:r>
        <w:rPr>
          <w:rFonts w:ascii="Arial" w:hAnsi="Arial" w:cs="Arial"/>
          <w:sz w:val="20"/>
          <w:szCs w:val="20"/>
          <w:lang w:val="en-US"/>
        </w:rPr>
        <w:t xml:space="preserve">1117.7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w:t>
      </w:r>
      <w:r>
        <w:rPr>
          <w:rFonts w:ascii="Arial" w:hAnsi="Arial" w:cs="Arial"/>
          <w:sz w:val="20"/>
          <w:szCs w:val="20"/>
        </w:rPr>
        <w:t xml:space="preserve"> were recorded with application of haloxyfop + trifluralin @ 250+720 g ha</w:t>
      </w:r>
      <w:r>
        <w:rPr>
          <w:rFonts w:ascii="Arial" w:hAnsi="Arial" w:cs="Arial"/>
          <w:sz w:val="20"/>
          <w:szCs w:val="20"/>
          <w:vertAlign w:val="superscript"/>
        </w:rPr>
        <w:t>-1</w:t>
      </w:r>
      <w:r>
        <w:rPr>
          <w:rFonts w:ascii="Arial" w:hAnsi="Arial" w:cs="Arial"/>
          <w:sz w:val="20"/>
          <w:szCs w:val="20"/>
        </w:rPr>
        <w:t>.</w:t>
      </w:r>
    </w:p>
    <w:p w14:paraId="79080CA1">
      <w:pPr>
        <w:pStyle w:val="38"/>
        <w:spacing w:before="240" w:after="140"/>
        <w:jc w:val="both"/>
        <w:rPr>
          <w:rFonts w:ascii="Arial" w:hAnsi="Arial" w:cs="Arial"/>
          <w:b/>
          <w:bCs/>
          <w:color w:val="auto"/>
          <w:sz w:val="20"/>
          <w:szCs w:val="20"/>
        </w:rPr>
      </w:pPr>
      <w:r>
        <w:rPr>
          <w:rFonts w:ascii="Arial" w:hAnsi="Arial" w:cs="Arial"/>
          <w:b/>
          <w:bCs/>
          <w:color w:val="auto"/>
          <w:sz w:val="20"/>
          <w:szCs w:val="20"/>
        </w:rPr>
        <w:t xml:space="preserve">4.2.4 </w:t>
      </w:r>
      <w:r>
        <w:rPr>
          <w:rFonts w:ascii="Arial" w:hAnsi="Arial" w:cs="Arial"/>
          <w:b/>
          <w:bCs/>
          <w:color w:val="auto"/>
          <w:sz w:val="20"/>
          <w:szCs w:val="20"/>
          <w:u w:val="single"/>
        </w:rPr>
        <w:t>Imazethapyr</w:t>
      </w:r>
      <w:r>
        <w:rPr>
          <w:rFonts w:ascii="Arial" w:hAnsi="Arial" w:cs="Arial"/>
          <w:b/>
          <w:bCs/>
          <w:color w:val="auto"/>
          <w:sz w:val="20"/>
          <w:szCs w:val="20"/>
        </w:rPr>
        <w:t xml:space="preserve"> </w:t>
      </w:r>
    </w:p>
    <w:p w14:paraId="44D974F9">
      <w:pPr>
        <w:spacing w:before="240" w:after="140"/>
        <w:jc w:val="both"/>
        <w:rPr>
          <w:rFonts w:ascii="Arial" w:hAnsi="Arial" w:cs="Arial"/>
          <w:sz w:val="20"/>
          <w:szCs w:val="20"/>
          <w:lang w:val="en-IN"/>
        </w:rPr>
      </w:pPr>
      <w:r>
        <w:rPr>
          <w:rFonts w:ascii="Arial" w:hAnsi="Arial" w:cs="Arial"/>
          <w:sz w:val="20"/>
          <w:szCs w:val="20"/>
        </w:rPr>
        <w:t>Post-emergence application of imazethapyr @ 0.015 g ha</w:t>
      </w:r>
      <w:r>
        <w:rPr>
          <w:rFonts w:ascii="Arial" w:hAnsi="Arial" w:cs="Arial"/>
          <w:sz w:val="20"/>
          <w:szCs w:val="20"/>
          <w:vertAlign w:val="superscript"/>
        </w:rPr>
        <w:t>-1</w:t>
      </w:r>
      <w:r>
        <w:rPr>
          <w:rFonts w:ascii="Arial" w:hAnsi="Arial" w:cs="Arial"/>
          <w:sz w:val="20"/>
          <w:szCs w:val="20"/>
        </w:rPr>
        <w:t xml:space="preserve"> supplemented with hand weeding at 30 DAS recorded significantly higher plant height, dry matter production with higher number of capsules plant</w:t>
      </w:r>
      <w:r>
        <w:rPr>
          <w:rFonts w:ascii="Arial" w:hAnsi="Arial" w:cs="Arial"/>
          <w:sz w:val="20"/>
          <w:szCs w:val="20"/>
          <w:vertAlign w:val="superscript"/>
        </w:rPr>
        <w:t>-1</w:t>
      </w:r>
      <w:r>
        <w:rPr>
          <w:rFonts w:ascii="Arial" w:hAnsi="Arial" w:cs="Arial"/>
          <w:sz w:val="20"/>
          <w:szCs w:val="20"/>
        </w:rPr>
        <w:t xml:space="preserve">, which was on par with the hand weeding twice (Dhaka </w:t>
      </w:r>
      <w:r>
        <w:rPr>
          <w:rFonts w:ascii="Arial" w:hAnsi="Arial" w:cs="Arial"/>
          <w:i/>
          <w:iCs/>
          <w:sz w:val="20"/>
          <w:szCs w:val="20"/>
        </w:rPr>
        <w:t>et al</w:t>
      </w:r>
      <w:r>
        <w:rPr>
          <w:rFonts w:ascii="Arial" w:hAnsi="Arial" w:cs="Arial"/>
          <w:sz w:val="20"/>
          <w:szCs w:val="20"/>
        </w:rPr>
        <w:t xml:space="preserve">., 2013). </w:t>
      </w:r>
      <w:r>
        <w:rPr>
          <w:rFonts w:ascii="Arial" w:hAnsi="Arial" w:cs="Arial"/>
          <w:sz w:val="20"/>
          <w:szCs w:val="20"/>
          <w:lang w:bidi="te-IN"/>
        </w:rPr>
        <w:t xml:space="preserve">The findings of </w:t>
      </w:r>
      <w:r>
        <w:rPr>
          <w:rFonts w:ascii="Arial" w:hAnsi="Arial" w:cs="Arial"/>
          <w:sz w:val="20"/>
          <w:szCs w:val="20"/>
        </w:rPr>
        <w:t xml:space="preserve">Geethanjali </w:t>
      </w:r>
      <w:r>
        <w:rPr>
          <w:rFonts w:ascii="Arial" w:hAnsi="Arial" w:cs="Arial"/>
          <w:i/>
          <w:iCs/>
          <w:sz w:val="20"/>
          <w:szCs w:val="20"/>
        </w:rPr>
        <w:t>et al.</w:t>
      </w:r>
      <w:r>
        <w:rPr>
          <w:rFonts w:ascii="Arial" w:hAnsi="Arial" w:cs="Arial"/>
          <w:sz w:val="20"/>
          <w:szCs w:val="20"/>
        </w:rPr>
        <w:t xml:space="preserve"> (2022) </w:t>
      </w:r>
      <w:r>
        <w:rPr>
          <w:rFonts w:ascii="Arial" w:hAnsi="Arial" w:cs="Arial"/>
          <w:sz w:val="20"/>
          <w:szCs w:val="20"/>
          <w:lang w:bidi="te-IN"/>
        </w:rPr>
        <w:t xml:space="preserve">indicated that </w:t>
      </w:r>
      <w:r>
        <w:rPr>
          <w:rFonts w:ascii="Arial" w:hAnsi="Arial" w:cs="Arial"/>
          <w:sz w:val="20"/>
          <w:szCs w:val="20"/>
        </w:rPr>
        <w:t xml:space="preserve">imazethapyr </w:t>
      </w:r>
      <w:r>
        <w:rPr>
          <w:rFonts w:ascii="Arial" w:hAnsi="Arial" w:cs="Arial"/>
          <w:sz w:val="20"/>
          <w:szCs w:val="20"/>
          <w:lang w:bidi="te-IN"/>
        </w:rPr>
        <w:t>@ 75 g ha</w:t>
      </w:r>
      <w:r>
        <w:rPr>
          <w:rFonts w:ascii="Arial" w:hAnsi="Arial" w:cs="Arial"/>
          <w:sz w:val="20"/>
          <w:szCs w:val="20"/>
          <w:vertAlign w:val="superscript"/>
          <w:lang w:bidi="te-IN"/>
        </w:rPr>
        <w:t>-1</w:t>
      </w:r>
      <w:r>
        <w:rPr>
          <w:rFonts w:ascii="Arial" w:hAnsi="Arial" w:cs="Arial"/>
          <w:sz w:val="20"/>
          <w:szCs w:val="20"/>
          <w:lang w:bidi="te-IN"/>
        </w:rPr>
        <w:t xml:space="preserve"> applied as a post-emergence herbicide at seedling stage was toxic to sesame and caused adverse effects on sesame growth and yield. </w:t>
      </w:r>
    </w:p>
    <w:p w14:paraId="6569514B">
      <w:pPr>
        <w:pStyle w:val="38"/>
        <w:spacing w:before="240" w:after="140"/>
        <w:jc w:val="both"/>
        <w:rPr>
          <w:rFonts w:ascii="Arial" w:hAnsi="Arial" w:cs="Arial"/>
          <w:b/>
          <w:bCs/>
          <w:color w:val="auto"/>
          <w:sz w:val="20"/>
          <w:szCs w:val="20"/>
          <w:lang w:val="en-US"/>
        </w:rPr>
      </w:pPr>
      <w:r>
        <w:rPr>
          <w:rFonts w:ascii="Arial" w:hAnsi="Arial" w:cs="Arial"/>
          <w:b/>
          <w:bCs/>
          <w:color w:val="auto"/>
          <w:sz w:val="20"/>
          <w:szCs w:val="20"/>
          <w:lang w:val="en-US"/>
        </w:rPr>
        <w:t xml:space="preserve">4.2.5 </w:t>
      </w:r>
      <w:r>
        <w:rPr>
          <w:rFonts w:ascii="Arial" w:hAnsi="Arial" w:cs="Arial"/>
          <w:b/>
          <w:bCs/>
          <w:color w:val="auto"/>
          <w:sz w:val="20"/>
          <w:szCs w:val="20"/>
          <w:u w:val="single"/>
          <w:lang w:val="en-US"/>
        </w:rPr>
        <w:t>Imazamox</w:t>
      </w:r>
    </w:p>
    <w:p w14:paraId="1460861C">
      <w:pPr>
        <w:pStyle w:val="38"/>
        <w:spacing w:before="240" w:after="140"/>
        <w:jc w:val="both"/>
        <w:rPr>
          <w:rFonts w:ascii="Arial" w:hAnsi="Arial" w:cs="Arial"/>
          <w:color w:val="auto"/>
          <w:sz w:val="20"/>
          <w:szCs w:val="20"/>
          <w:lang w:val="en-US"/>
        </w:rPr>
      </w:pPr>
      <w:r>
        <w:rPr>
          <w:rFonts w:ascii="Arial" w:hAnsi="Arial" w:cs="Arial"/>
          <w:color w:val="auto"/>
          <w:sz w:val="20"/>
          <w:szCs w:val="20"/>
          <w:lang w:val="en-US"/>
        </w:rPr>
        <w:t xml:space="preserve">Vinay </w:t>
      </w:r>
      <w:r>
        <w:rPr>
          <w:rFonts w:ascii="Arial" w:hAnsi="Arial" w:cs="Arial"/>
          <w:i/>
          <w:iCs/>
          <w:color w:val="auto"/>
          <w:sz w:val="20"/>
          <w:szCs w:val="20"/>
          <w:lang w:val="en-US"/>
        </w:rPr>
        <w:t>et al</w:t>
      </w:r>
      <w:r>
        <w:rPr>
          <w:rFonts w:ascii="Arial" w:hAnsi="Arial" w:cs="Arial"/>
          <w:color w:val="auto"/>
          <w:sz w:val="20"/>
          <w:szCs w:val="20"/>
          <w:lang w:val="en-US"/>
        </w:rPr>
        <w:t>. (2023) reported that post emergence application of imazethapyr 10% SL + imazamox 10% SC @ 35 +35 g ha</w:t>
      </w:r>
      <w:r>
        <w:rPr>
          <w:rFonts w:ascii="Arial" w:hAnsi="Arial" w:cs="Arial"/>
          <w:color w:val="auto"/>
          <w:sz w:val="20"/>
          <w:szCs w:val="20"/>
          <w:vertAlign w:val="superscript"/>
          <w:lang w:val="en-US"/>
        </w:rPr>
        <w:t>-1</w:t>
      </w:r>
      <w:r>
        <w:rPr>
          <w:rFonts w:ascii="Arial" w:hAnsi="Arial" w:cs="Arial"/>
          <w:color w:val="auto"/>
          <w:sz w:val="20"/>
          <w:szCs w:val="20"/>
          <w:lang w:val="en-US"/>
        </w:rPr>
        <w:t xml:space="preserve"> recorded the lowest weed density (10.6), dry weight (6.4), weed index (5.8) and the highest weed control efficiency (82 %), grain yield (810 kg ha</w:t>
      </w:r>
      <w:r>
        <w:rPr>
          <w:rFonts w:ascii="Arial" w:hAnsi="Arial" w:cs="Arial"/>
          <w:color w:val="auto"/>
          <w:sz w:val="20"/>
          <w:szCs w:val="20"/>
          <w:vertAlign w:val="superscript"/>
          <w:lang w:val="en-US"/>
        </w:rPr>
        <w:t>-1</w:t>
      </w:r>
      <w:r>
        <w:rPr>
          <w:rFonts w:ascii="Arial" w:hAnsi="Arial" w:cs="Arial"/>
          <w:color w:val="auto"/>
          <w:sz w:val="20"/>
          <w:szCs w:val="20"/>
          <w:lang w:val="en-US"/>
        </w:rPr>
        <w:t>) and stalk yield (2111 kg ha</w:t>
      </w:r>
      <w:r>
        <w:rPr>
          <w:rFonts w:ascii="Arial" w:hAnsi="Arial" w:cs="Arial"/>
          <w:color w:val="auto"/>
          <w:sz w:val="20"/>
          <w:szCs w:val="20"/>
          <w:vertAlign w:val="superscript"/>
          <w:lang w:val="en-US"/>
        </w:rPr>
        <w:t>-1</w:t>
      </w:r>
      <w:r>
        <w:rPr>
          <w:rFonts w:ascii="Arial" w:hAnsi="Arial" w:cs="Arial"/>
          <w:color w:val="auto"/>
          <w:sz w:val="20"/>
          <w:szCs w:val="20"/>
          <w:lang w:val="en-US"/>
        </w:rPr>
        <w:t xml:space="preserve">). </w:t>
      </w:r>
      <w:r>
        <w:rPr>
          <w:rFonts w:ascii="Arial" w:hAnsi="Arial" w:cs="Arial"/>
          <w:sz w:val="20"/>
          <w:szCs w:val="20"/>
        </w:rPr>
        <w:t xml:space="preserve">EPoE imazethapyr 35 + imazamox 35% @ 30 g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sz w:val="20"/>
          <w:szCs w:val="20"/>
        </w:rPr>
        <w:t xml:space="preserve"> </w:t>
      </w:r>
      <w:r>
        <w:rPr>
          <w:rFonts w:ascii="Arial" w:hAnsi="Arial" w:cs="Arial"/>
          <w:i/>
          <w:sz w:val="20"/>
          <w:szCs w:val="20"/>
        </w:rPr>
        <w:t xml:space="preserve">fb </w:t>
      </w:r>
      <w:r>
        <w:rPr>
          <w:rFonts w:ascii="Arial" w:hAnsi="Arial" w:cs="Arial"/>
          <w:sz w:val="20"/>
          <w:szCs w:val="20"/>
        </w:rPr>
        <w:t>hand weeding at 40 DAS</w:t>
      </w:r>
      <w:r>
        <w:rPr>
          <w:rFonts w:ascii="Arial" w:hAnsi="Arial" w:cs="Arial"/>
          <w:sz w:val="20"/>
          <w:szCs w:val="20"/>
          <w:lang w:val="en-US"/>
        </w:rPr>
        <w:t xml:space="preserve"> recorded higher net return and benefit cost ratio from </w:t>
      </w:r>
      <w:r>
        <w:rPr>
          <w:rFonts w:ascii="Arial" w:hAnsi="Arial" w:cs="Arial"/>
          <w:sz w:val="20"/>
          <w:szCs w:val="20"/>
        </w:rPr>
        <w:t xml:space="preserve">743 kg </w:t>
      </w:r>
      <w:r>
        <w:rPr>
          <w:rFonts w:ascii="Arial" w:hAnsi="Arial" w:cs="Arial"/>
          <w:color w:val="auto"/>
          <w:sz w:val="20"/>
          <w:szCs w:val="20"/>
          <w:lang w:val="en-US"/>
        </w:rPr>
        <w:t>ha</w:t>
      </w:r>
      <w:r>
        <w:rPr>
          <w:rFonts w:ascii="Arial" w:hAnsi="Arial" w:cs="Arial"/>
          <w:color w:val="auto"/>
          <w:sz w:val="20"/>
          <w:szCs w:val="20"/>
          <w:vertAlign w:val="superscript"/>
          <w:lang w:val="en-US"/>
        </w:rPr>
        <w:t>-1</w:t>
      </w:r>
      <w:r>
        <w:rPr>
          <w:rFonts w:ascii="Arial" w:hAnsi="Arial" w:cs="Arial"/>
          <w:sz w:val="20"/>
          <w:szCs w:val="20"/>
        </w:rPr>
        <w:t xml:space="preserve"> of seed yield (</w:t>
      </w:r>
      <w:r>
        <w:rPr>
          <w:rFonts w:ascii="Arial" w:hAnsi="Arial" w:cs="Arial"/>
          <w:sz w:val="20"/>
          <w:szCs w:val="20"/>
          <w:lang w:val="en-US"/>
        </w:rPr>
        <w:t xml:space="preserve">Sangeetha </w:t>
      </w:r>
      <w:r>
        <w:rPr>
          <w:rFonts w:ascii="Arial" w:hAnsi="Arial" w:cs="Arial"/>
          <w:i/>
          <w:iCs/>
          <w:sz w:val="20"/>
          <w:szCs w:val="20"/>
          <w:lang w:val="en-US"/>
        </w:rPr>
        <w:t xml:space="preserve">et al., </w:t>
      </w:r>
      <w:r>
        <w:rPr>
          <w:rFonts w:ascii="Arial" w:hAnsi="Arial" w:cs="Arial"/>
          <w:sz w:val="20"/>
          <w:szCs w:val="20"/>
          <w:lang w:val="en-US"/>
        </w:rPr>
        <w:t>2019).</w:t>
      </w:r>
    </w:p>
    <w:p w14:paraId="5605AE2C">
      <w:pPr>
        <w:pStyle w:val="38"/>
        <w:spacing w:before="240" w:after="140"/>
        <w:jc w:val="both"/>
        <w:rPr>
          <w:rFonts w:ascii="Arial" w:hAnsi="Arial" w:cs="Arial"/>
          <w:color w:val="auto"/>
          <w:sz w:val="20"/>
          <w:szCs w:val="20"/>
          <w:lang w:val="en-US"/>
        </w:rPr>
      </w:pPr>
      <w:r>
        <w:rPr>
          <w:rFonts w:ascii="Arial" w:hAnsi="Arial" w:cs="Arial"/>
          <w:b/>
          <w:bCs/>
          <w:color w:val="auto"/>
          <w:sz w:val="20"/>
          <w:szCs w:val="20"/>
        </w:rPr>
        <w:t xml:space="preserve">4.2.6 </w:t>
      </w:r>
      <w:r>
        <w:rPr>
          <w:rFonts w:ascii="Arial" w:hAnsi="Arial" w:cs="Arial"/>
          <w:b/>
          <w:bCs/>
          <w:color w:val="auto"/>
          <w:sz w:val="20"/>
          <w:szCs w:val="20"/>
          <w:u w:val="single"/>
        </w:rPr>
        <w:t xml:space="preserve">Propanil </w:t>
      </w:r>
    </w:p>
    <w:p w14:paraId="32F7AB32">
      <w:pPr>
        <w:pStyle w:val="38"/>
        <w:spacing w:before="240" w:after="140"/>
        <w:jc w:val="both"/>
        <w:rPr>
          <w:rFonts w:ascii="Arial" w:hAnsi="Arial" w:cs="Arial"/>
          <w:sz w:val="20"/>
          <w:szCs w:val="20"/>
          <w:lang w:val="en-US"/>
        </w:rPr>
      </w:pPr>
      <w:r>
        <w:rPr>
          <w:rFonts w:ascii="Arial" w:hAnsi="Arial" w:cs="Arial"/>
          <w:sz w:val="20"/>
          <w:szCs w:val="20"/>
        </w:rPr>
        <w:t>Propanil was applied post emergence @ 0.72, 1.44 and 2.16 kg ha</w:t>
      </w:r>
      <w:r>
        <w:rPr>
          <w:rFonts w:ascii="Arial" w:hAnsi="Arial" w:cs="Arial"/>
          <w:sz w:val="20"/>
          <w:szCs w:val="20"/>
          <w:vertAlign w:val="superscript"/>
        </w:rPr>
        <w:t>-1</w:t>
      </w:r>
      <w:r>
        <w:rPr>
          <w:rFonts w:ascii="Arial" w:hAnsi="Arial" w:cs="Arial"/>
          <w:sz w:val="20"/>
          <w:szCs w:val="20"/>
        </w:rPr>
        <w:t>. At lower dose (0.72 kg ha</w:t>
      </w:r>
      <w:r>
        <w:rPr>
          <w:rFonts w:ascii="Arial" w:hAnsi="Arial" w:cs="Arial"/>
          <w:sz w:val="20"/>
          <w:szCs w:val="20"/>
          <w:vertAlign w:val="superscript"/>
        </w:rPr>
        <w:t>-1</w:t>
      </w:r>
      <w:r>
        <w:rPr>
          <w:rFonts w:ascii="Arial" w:hAnsi="Arial" w:cs="Arial"/>
          <w:sz w:val="20"/>
          <w:szCs w:val="20"/>
        </w:rPr>
        <w:t>) higher grain yield of 858 kg ha</w:t>
      </w:r>
      <w:r>
        <w:rPr>
          <w:rFonts w:ascii="Arial" w:hAnsi="Arial" w:cs="Arial"/>
          <w:sz w:val="20"/>
          <w:szCs w:val="20"/>
          <w:vertAlign w:val="superscript"/>
        </w:rPr>
        <w:t>-1</w:t>
      </w:r>
      <w:r>
        <w:rPr>
          <w:rFonts w:ascii="Arial" w:hAnsi="Arial" w:cs="Arial"/>
          <w:sz w:val="20"/>
          <w:szCs w:val="20"/>
        </w:rPr>
        <w:t xml:space="preserve"> was recorded without toxicity to sesame crop. But, higher doses (1.44 and 2.16 kg ha</w:t>
      </w:r>
      <w:r>
        <w:rPr>
          <w:rFonts w:ascii="Arial" w:hAnsi="Arial" w:cs="Arial"/>
          <w:sz w:val="20"/>
          <w:szCs w:val="20"/>
          <w:vertAlign w:val="superscript"/>
        </w:rPr>
        <w:t>-1</w:t>
      </w:r>
      <w:r>
        <w:rPr>
          <w:rFonts w:ascii="Arial" w:hAnsi="Arial" w:cs="Arial"/>
          <w:sz w:val="20"/>
          <w:szCs w:val="20"/>
        </w:rPr>
        <w:t xml:space="preserve">) controlled the weeds effectively but caused significant injuries to sesame crop and crop recovered after one month of post emergence application of propanil. </w:t>
      </w:r>
      <w:r>
        <w:rPr>
          <w:rFonts w:ascii="Arial" w:hAnsi="Arial" w:cs="Arial"/>
          <w:sz w:val="20"/>
          <w:szCs w:val="20"/>
          <w:lang w:val="en-US"/>
        </w:rPr>
        <w:t xml:space="preserve">(Magani </w:t>
      </w:r>
      <w:r>
        <w:rPr>
          <w:rFonts w:ascii="Arial" w:hAnsi="Arial" w:cs="Arial"/>
          <w:i/>
          <w:iCs/>
          <w:sz w:val="20"/>
          <w:szCs w:val="20"/>
          <w:lang w:val="en-US"/>
        </w:rPr>
        <w:t xml:space="preserve">et al., </w:t>
      </w:r>
      <w:r>
        <w:rPr>
          <w:rFonts w:ascii="Arial" w:hAnsi="Arial" w:cs="Arial"/>
          <w:sz w:val="20"/>
          <w:szCs w:val="20"/>
          <w:lang w:val="en-US"/>
        </w:rPr>
        <w:t>2012).</w:t>
      </w:r>
    </w:p>
    <w:p w14:paraId="626F7581">
      <w:pPr>
        <w:pStyle w:val="38"/>
        <w:spacing w:before="240" w:after="140"/>
        <w:jc w:val="both"/>
        <w:rPr>
          <w:rFonts w:ascii="Arial" w:hAnsi="Arial" w:cs="Arial"/>
          <w:b/>
          <w:bCs/>
          <w:sz w:val="20"/>
          <w:szCs w:val="20"/>
          <w:lang w:val="en-US"/>
        </w:rPr>
      </w:pPr>
      <w:r>
        <w:rPr>
          <w:rFonts w:ascii="Arial" w:hAnsi="Arial" w:cs="Arial"/>
          <w:b/>
          <w:bCs/>
          <w:sz w:val="20"/>
          <w:szCs w:val="20"/>
          <w:lang w:val="en-US"/>
        </w:rPr>
        <w:t xml:space="preserve">4.2.7 </w:t>
      </w:r>
      <w:r>
        <w:rPr>
          <w:rFonts w:ascii="Arial" w:hAnsi="Arial" w:cs="Arial"/>
          <w:b/>
          <w:bCs/>
          <w:sz w:val="20"/>
          <w:szCs w:val="20"/>
          <w:u w:val="single"/>
          <w:lang w:val="en-US"/>
        </w:rPr>
        <w:t>Propaquizafop</w:t>
      </w:r>
    </w:p>
    <w:p w14:paraId="68FBB59F">
      <w:pPr>
        <w:pStyle w:val="38"/>
        <w:spacing w:before="240"/>
        <w:jc w:val="both"/>
        <w:rPr>
          <w:rFonts w:ascii="Arial" w:hAnsi="Arial" w:cs="Arial"/>
          <w:sz w:val="20"/>
          <w:szCs w:val="20"/>
        </w:rPr>
      </w:pPr>
      <w:r>
        <w:rPr>
          <w:rFonts w:ascii="Arial" w:hAnsi="Arial" w:cs="Arial"/>
          <w:color w:val="auto"/>
          <w:sz w:val="20"/>
          <w:szCs w:val="20"/>
          <w:lang w:val="en-US"/>
        </w:rPr>
        <w:t xml:space="preserve">According to Verma </w:t>
      </w:r>
      <w:r>
        <w:rPr>
          <w:rFonts w:ascii="Arial" w:hAnsi="Arial" w:cs="Arial"/>
          <w:i/>
          <w:iCs/>
          <w:color w:val="auto"/>
          <w:sz w:val="20"/>
          <w:szCs w:val="20"/>
          <w:lang w:val="en-US"/>
        </w:rPr>
        <w:t>et al</w:t>
      </w:r>
      <w:r>
        <w:rPr>
          <w:rFonts w:ascii="Arial" w:hAnsi="Arial" w:cs="Arial"/>
          <w:color w:val="auto"/>
          <w:sz w:val="20"/>
          <w:szCs w:val="20"/>
          <w:lang w:val="en-US"/>
        </w:rPr>
        <w:t>. (2023), post emergence application of propaquizafop 10 EC @ 50 g ha</w:t>
      </w:r>
      <w:r>
        <w:rPr>
          <w:rFonts w:ascii="Arial" w:hAnsi="Arial" w:cs="Arial"/>
          <w:color w:val="auto"/>
          <w:sz w:val="20"/>
          <w:szCs w:val="20"/>
          <w:vertAlign w:val="superscript"/>
          <w:lang w:val="en-US"/>
        </w:rPr>
        <w:t>-1</w:t>
      </w:r>
      <w:r>
        <w:rPr>
          <w:rFonts w:ascii="Arial" w:hAnsi="Arial" w:cs="Arial"/>
          <w:color w:val="auto"/>
          <w:sz w:val="20"/>
          <w:szCs w:val="20"/>
          <w:lang w:val="en-US"/>
        </w:rPr>
        <w:t xml:space="preserve"> at 20 DAS recorded lower density of total weeds and the highest seed yield (</w:t>
      </w:r>
      <w:r>
        <w:rPr>
          <w:rFonts w:ascii="Arial" w:hAnsi="Arial" w:cs="Arial"/>
          <w:sz w:val="20"/>
          <w:szCs w:val="20"/>
        </w:rPr>
        <w:t xml:space="preserve">710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w:t>
      </w:r>
      <w:r>
        <w:rPr>
          <w:rFonts w:ascii="Arial" w:hAnsi="Arial" w:cs="Arial"/>
          <w:color w:val="auto"/>
          <w:sz w:val="20"/>
          <w:szCs w:val="20"/>
          <w:lang w:val="en-US"/>
        </w:rPr>
        <w:t xml:space="preserve"> and stover yield (</w:t>
      </w:r>
      <w:r>
        <w:rPr>
          <w:rFonts w:ascii="Arial" w:hAnsi="Arial" w:cs="Arial"/>
          <w:sz w:val="20"/>
          <w:szCs w:val="20"/>
        </w:rPr>
        <w:t xml:space="preserve">1082 </w:t>
      </w:r>
      <w:r>
        <w:rPr>
          <w:rFonts w:ascii="Arial" w:hAnsi="Arial" w:cs="Arial"/>
          <w:color w:val="auto"/>
          <w:sz w:val="20"/>
          <w:szCs w:val="20"/>
        </w:rPr>
        <w:t>kg ha</w:t>
      </w:r>
      <w:r>
        <w:rPr>
          <w:rFonts w:ascii="Arial" w:hAnsi="Arial" w:cs="Arial"/>
          <w:color w:val="auto"/>
          <w:sz w:val="20"/>
          <w:szCs w:val="20"/>
          <w:vertAlign w:val="superscript"/>
        </w:rPr>
        <w:t>-1</w:t>
      </w:r>
      <w:r>
        <w:rPr>
          <w:rFonts w:ascii="Arial" w:hAnsi="Arial" w:cs="Arial"/>
          <w:color w:val="auto"/>
          <w:sz w:val="20"/>
          <w:szCs w:val="20"/>
        </w:rPr>
        <w:t xml:space="preserve">). Among herbicidal </w:t>
      </w:r>
      <w:r>
        <w:rPr>
          <w:rFonts w:ascii="Arial" w:hAnsi="Arial" w:cs="Arial"/>
          <w:sz w:val="20"/>
          <w:szCs w:val="20"/>
        </w:rPr>
        <w:t>weed control</w:t>
      </w:r>
      <w:r>
        <w:rPr>
          <w:rFonts w:ascii="Arial" w:hAnsi="Arial" w:cs="Arial"/>
          <w:color w:val="auto"/>
          <w:sz w:val="20"/>
          <w:szCs w:val="20"/>
        </w:rPr>
        <w:t xml:space="preserve"> treatments, the higher sesame seed yield (517 kg ha</w:t>
      </w:r>
      <w:r>
        <w:rPr>
          <w:rFonts w:ascii="Arial" w:hAnsi="Arial" w:cs="Arial"/>
          <w:color w:val="auto"/>
          <w:sz w:val="20"/>
          <w:szCs w:val="20"/>
          <w:vertAlign w:val="superscript"/>
        </w:rPr>
        <w:t>-1</w:t>
      </w:r>
      <w:r>
        <w:rPr>
          <w:rFonts w:ascii="Arial" w:hAnsi="Arial" w:cs="Arial"/>
          <w:color w:val="auto"/>
          <w:sz w:val="20"/>
          <w:szCs w:val="20"/>
        </w:rPr>
        <w:t>) and stalk yield (2691 kg ha</w:t>
      </w:r>
      <w:r>
        <w:rPr>
          <w:rFonts w:ascii="Arial" w:hAnsi="Arial" w:cs="Arial"/>
          <w:color w:val="auto"/>
          <w:sz w:val="20"/>
          <w:szCs w:val="20"/>
          <w:vertAlign w:val="superscript"/>
        </w:rPr>
        <w:t>-1</w:t>
      </w:r>
      <w:r>
        <w:rPr>
          <w:rFonts w:ascii="Arial" w:hAnsi="Arial" w:cs="Arial"/>
          <w:color w:val="auto"/>
          <w:sz w:val="20"/>
          <w:szCs w:val="20"/>
        </w:rPr>
        <w:t>) were recorded with propaquizafop application @ 50 g ha</w:t>
      </w:r>
      <w:r>
        <w:rPr>
          <w:rFonts w:ascii="Arial" w:hAnsi="Arial" w:cs="Arial"/>
          <w:color w:val="auto"/>
          <w:sz w:val="20"/>
          <w:szCs w:val="20"/>
          <w:vertAlign w:val="superscript"/>
        </w:rPr>
        <w:t>-1</w:t>
      </w:r>
      <w:r>
        <w:rPr>
          <w:rFonts w:ascii="Arial" w:hAnsi="Arial" w:cs="Arial"/>
          <w:color w:val="auto"/>
          <w:sz w:val="20"/>
          <w:szCs w:val="20"/>
        </w:rPr>
        <w:t xml:space="preserve"> but </w:t>
      </w:r>
      <w:r>
        <w:rPr>
          <w:rFonts w:ascii="Arial" w:hAnsi="Arial" w:cs="Arial"/>
          <w:sz w:val="20"/>
          <w:szCs w:val="20"/>
        </w:rPr>
        <w:t>propaquizafop @ 125 g ha</w:t>
      </w:r>
      <w:r>
        <w:rPr>
          <w:rFonts w:ascii="Arial" w:hAnsi="Arial" w:cs="Arial"/>
          <w:sz w:val="20"/>
          <w:szCs w:val="20"/>
          <w:vertAlign w:val="superscript"/>
        </w:rPr>
        <w:t xml:space="preserve">-1 </w:t>
      </w:r>
      <w:r>
        <w:rPr>
          <w:rFonts w:ascii="Arial" w:hAnsi="Arial" w:cs="Arial"/>
          <w:sz w:val="20"/>
          <w:szCs w:val="20"/>
        </w:rPr>
        <w:t>and 100 g ha</w:t>
      </w:r>
      <w:r>
        <w:rPr>
          <w:rFonts w:ascii="Arial" w:hAnsi="Arial" w:cs="Arial"/>
          <w:sz w:val="20"/>
          <w:szCs w:val="20"/>
          <w:vertAlign w:val="superscript"/>
        </w:rPr>
        <w:t>-1</w:t>
      </w:r>
      <w:r>
        <w:rPr>
          <w:rFonts w:ascii="Arial" w:hAnsi="Arial" w:cs="Arial"/>
          <w:sz w:val="20"/>
          <w:szCs w:val="20"/>
        </w:rPr>
        <w:t xml:space="preserve"> had </w:t>
      </w:r>
      <w:r>
        <w:rPr>
          <w:rFonts w:ascii="Arial" w:hAnsi="Arial" w:cs="Arial"/>
          <w:color w:val="auto"/>
          <w:sz w:val="20"/>
          <w:szCs w:val="20"/>
          <w:lang w:val="en-US"/>
        </w:rPr>
        <w:t>phytotoxic effects on growth of sesame</w:t>
      </w:r>
      <w:r>
        <w:rPr>
          <w:rFonts w:ascii="Arial" w:hAnsi="Arial" w:cs="Arial"/>
          <w:color w:val="auto"/>
          <w:sz w:val="20"/>
          <w:szCs w:val="20"/>
        </w:rPr>
        <w:t xml:space="preserve"> (Gupta </w:t>
      </w:r>
      <w:r>
        <w:rPr>
          <w:rFonts w:ascii="Arial" w:hAnsi="Arial" w:cs="Arial"/>
          <w:i/>
          <w:iCs/>
          <w:color w:val="auto"/>
          <w:sz w:val="20"/>
          <w:szCs w:val="20"/>
        </w:rPr>
        <w:t xml:space="preserve">et al. </w:t>
      </w:r>
      <w:r>
        <w:rPr>
          <w:rFonts w:ascii="Arial" w:hAnsi="Arial" w:cs="Arial"/>
          <w:color w:val="auto"/>
          <w:sz w:val="20"/>
          <w:szCs w:val="20"/>
        </w:rPr>
        <w:t>2016).</w:t>
      </w:r>
    </w:p>
    <w:p w14:paraId="1B7373D9">
      <w:pPr>
        <w:pStyle w:val="38"/>
        <w:spacing w:before="240" w:after="140"/>
        <w:jc w:val="both"/>
        <w:rPr>
          <w:rFonts w:ascii="Arial" w:hAnsi="Arial" w:cs="Arial"/>
          <w:b/>
          <w:bCs/>
          <w:color w:val="auto"/>
          <w:sz w:val="20"/>
          <w:szCs w:val="20"/>
        </w:rPr>
      </w:pPr>
      <w:r>
        <w:rPr>
          <w:rFonts w:ascii="Arial" w:hAnsi="Arial" w:cs="Arial"/>
          <w:b/>
          <w:bCs/>
          <w:color w:val="auto"/>
          <w:sz w:val="20"/>
          <w:szCs w:val="20"/>
        </w:rPr>
        <w:t xml:space="preserve">4.2.8 </w:t>
      </w:r>
      <w:r>
        <w:rPr>
          <w:rFonts w:ascii="Arial" w:hAnsi="Arial" w:cs="Arial"/>
          <w:b/>
          <w:bCs/>
          <w:color w:val="auto"/>
          <w:sz w:val="20"/>
          <w:szCs w:val="20"/>
          <w:u w:val="single"/>
        </w:rPr>
        <w:t>Quizalofop-p-ethyl</w:t>
      </w:r>
    </w:p>
    <w:p w14:paraId="37301291">
      <w:pPr>
        <w:pStyle w:val="38"/>
        <w:spacing w:before="240"/>
        <w:jc w:val="both"/>
        <w:rPr>
          <w:rFonts w:ascii="Arial" w:hAnsi="Arial" w:cs="Arial"/>
          <w:color w:val="auto"/>
          <w:sz w:val="20"/>
          <w:szCs w:val="20"/>
          <w:lang w:val="en-US"/>
        </w:rPr>
      </w:pPr>
      <w:r>
        <w:rPr>
          <w:rFonts w:ascii="Arial" w:hAnsi="Arial" w:cs="Arial"/>
          <w:color w:val="auto"/>
          <w:sz w:val="20"/>
          <w:szCs w:val="20"/>
          <w:lang w:val="en-US"/>
        </w:rPr>
        <w:t xml:space="preserve">The sequential application of pendimethalin 0.50 </w:t>
      </w:r>
      <w:r>
        <w:rPr>
          <w:rFonts w:ascii="Arial" w:hAnsi="Arial" w:cs="Arial"/>
          <w:color w:val="auto"/>
          <w:sz w:val="20"/>
          <w:szCs w:val="20"/>
        </w:rPr>
        <w:t>kg ha</w:t>
      </w:r>
      <w:r>
        <w:rPr>
          <w:rFonts w:ascii="Arial" w:hAnsi="Arial" w:cs="Arial"/>
          <w:color w:val="auto"/>
          <w:sz w:val="20"/>
          <w:szCs w:val="20"/>
          <w:vertAlign w:val="superscript"/>
        </w:rPr>
        <w:t xml:space="preserve">-1 </w:t>
      </w:r>
      <w:r>
        <w:rPr>
          <w:rFonts w:ascii="Arial" w:hAnsi="Arial" w:cs="Arial"/>
          <w:color w:val="auto"/>
          <w:sz w:val="20"/>
          <w:szCs w:val="20"/>
          <w:lang w:val="en-US"/>
        </w:rPr>
        <w:t xml:space="preserve">as pre-emergence followed by quizalofop-p-ethyl 0.05 </w:t>
      </w:r>
      <w:r>
        <w:rPr>
          <w:rFonts w:ascii="Arial" w:hAnsi="Arial" w:cs="Arial"/>
          <w:color w:val="auto"/>
          <w:sz w:val="20"/>
          <w:szCs w:val="20"/>
        </w:rPr>
        <w:t>kg ha</w:t>
      </w:r>
      <w:r>
        <w:rPr>
          <w:rFonts w:ascii="Arial" w:hAnsi="Arial" w:cs="Arial"/>
          <w:color w:val="auto"/>
          <w:sz w:val="20"/>
          <w:szCs w:val="20"/>
          <w:vertAlign w:val="superscript"/>
        </w:rPr>
        <w:t xml:space="preserve">-1 </w:t>
      </w:r>
      <w:r>
        <w:rPr>
          <w:rFonts w:ascii="Arial" w:hAnsi="Arial" w:cs="Arial"/>
          <w:color w:val="auto"/>
          <w:sz w:val="20"/>
          <w:szCs w:val="20"/>
          <w:lang w:val="en-US"/>
        </w:rPr>
        <w:t>as post-emergence at 30 DAS, recorded the highest dry matter accumulation (</w:t>
      </w:r>
      <w:r>
        <w:rPr>
          <w:rFonts w:ascii="Arial" w:hAnsi="Arial" w:cs="Arial"/>
          <w:sz w:val="20"/>
          <w:szCs w:val="20"/>
        </w:rPr>
        <w:t>15.01 g plant</w:t>
      </w:r>
      <w:r>
        <w:rPr>
          <w:rFonts w:ascii="Arial" w:hAnsi="Arial" w:cs="Arial"/>
          <w:sz w:val="20"/>
          <w:szCs w:val="20"/>
          <w:vertAlign w:val="superscript"/>
        </w:rPr>
        <w:t>-1</w:t>
      </w:r>
      <w:r>
        <w:rPr>
          <w:rFonts w:ascii="Arial" w:hAnsi="Arial" w:cs="Arial"/>
          <w:sz w:val="20"/>
          <w:szCs w:val="20"/>
        </w:rPr>
        <w:t xml:space="preserve">) </w:t>
      </w:r>
      <w:r>
        <w:rPr>
          <w:rFonts w:ascii="Arial" w:hAnsi="Arial" w:cs="Arial"/>
          <w:color w:val="auto"/>
          <w:sz w:val="20"/>
          <w:szCs w:val="20"/>
          <w:lang w:val="en-US"/>
        </w:rPr>
        <w:t xml:space="preserve">and growth of summer sesame (Ninama </w:t>
      </w:r>
      <w:r>
        <w:rPr>
          <w:rFonts w:ascii="Arial" w:hAnsi="Arial" w:cs="Arial"/>
          <w:i/>
          <w:iCs/>
          <w:color w:val="auto"/>
          <w:sz w:val="20"/>
          <w:szCs w:val="20"/>
          <w:lang w:val="en-US"/>
        </w:rPr>
        <w:t>et al</w:t>
      </w:r>
      <w:r>
        <w:rPr>
          <w:rFonts w:ascii="Arial" w:hAnsi="Arial" w:cs="Arial"/>
          <w:color w:val="auto"/>
          <w:sz w:val="20"/>
          <w:szCs w:val="20"/>
          <w:lang w:val="en-US"/>
        </w:rPr>
        <w:t xml:space="preserve">., 2025). </w:t>
      </w:r>
      <w:r>
        <w:rPr>
          <w:rFonts w:ascii="Arial" w:hAnsi="Arial" w:cs="Arial"/>
          <w:color w:val="auto"/>
          <w:sz w:val="20"/>
          <w:szCs w:val="20"/>
        </w:rPr>
        <w:t>Higher seed (1177 kg ha</w:t>
      </w:r>
      <w:r>
        <w:rPr>
          <w:rFonts w:ascii="Arial" w:hAnsi="Arial" w:cs="Arial"/>
          <w:color w:val="auto"/>
          <w:sz w:val="20"/>
          <w:szCs w:val="20"/>
          <w:vertAlign w:val="superscript"/>
        </w:rPr>
        <w:t>-1</w:t>
      </w:r>
      <w:r>
        <w:rPr>
          <w:rFonts w:ascii="Arial" w:hAnsi="Arial" w:cs="Arial"/>
          <w:color w:val="auto"/>
          <w:sz w:val="20"/>
          <w:szCs w:val="20"/>
        </w:rPr>
        <w:t>) and stalk (1610 kg ha</w:t>
      </w:r>
      <w:r>
        <w:rPr>
          <w:rFonts w:ascii="Arial" w:hAnsi="Arial" w:cs="Arial"/>
          <w:color w:val="auto"/>
          <w:sz w:val="20"/>
          <w:szCs w:val="20"/>
          <w:vertAlign w:val="superscript"/>
        </w:rPr>
        <w:t>-1</w:t>
      </w:r>
      <w:r>
        <w:rPr>
          <w:rFonts w:ascii="Arial" w:hAnsi="Arial" w:cs="Arial"/>
          <w:color w:val="auto"/>
          <w:sz w:val="20"/>
          <w:szCs w:val="20"/>
        </w:rPr>
        <w:t>) yield were obtained with the application of quizalofop ethyl @ 0.05 kg ha</w:t>
      </w:r>
      <w:r>
        <w:rPr>
          <w:rFonts w:ascii="Arial" w:hAnsi="Arial" w:cs="Arial"/>
          <w:color w:val="auto"/>
          <w:sz w:val="20"/>
          <w:szCs w:val="20"/>
          <w:vertAlign w:val="superscript"/>
        </w:rPr>
        <w:t>-1</w:t>
      </w:r>
      <w:r>
        <w:rPr>
          <w:rFonts w:ascii="Arial" w:hAnsi="Arial" w:cs="Arial"/>
          <w:color w:val="auto"/>
          <w:sz w:val="20"/>
          <w:szCs w:val="20"/>
        </w:rPr>
        <w:t xml:space="preserve"> on 25 DAS + one hand weeding at 42 DAS in sesame (Roy and Umesha, 2023). </w:t>
      </w:r>
      <w:bookmarkStart w:id="2" w:name="_Hlk200203998"/>
      <w:r>
        <w:rPr>
          <w:rFonts w:ascii="Arial" w:hAnsi="Arial" w:cs="Arial"/>
          <w:sz w:val="20"/>
          <w:szCs w:val="20"/>
        </w:rPr>
        <w:t xml:space="preserve">Ambika and Sundari (2019) </w:t>
      </w:r>
      <w:bookmarkEnd w:id="2"/>
      <w:r>
        <w:rPr>
          <w:rFonts w:ascii="Arial" w:hAnsi="Arial" w:cs="Arial"/>
          <w:sz w:val="20"/>
          <w:szCs w:val="20"/>
        </w:rPr>
        <w:t>observed that pre-emergence application of alachlor @ 1.5 kg ha</w:t>
      </w:r>
      <w:r>
        <w:rPr>
          <w:rFonts w:ascii="Arial" w:hAnsi="Arial" w:cs="Arial"/>
          <w:sz w:val="20"/>
          <w:szCs w:val="20"/>
          <w:vertAlign w:val="superscript"/>
        </w:rPr>
        <w:t>-1</w:t>
      </w:r>
      <w:r>
        <w:rPr>
          <w:rFonts w:ascii="Arial" w:hAnsi="Arial" w:cs="Arial"/>
          <w:sz w:val="20"/>
          <w:szCs w:val="20"/>
        </w:rPr>
        <w:t xml:space="preserve"> at 3 DAS followed by post-emergence application of quizalofop ethyl @ 0.05 kg ha</w:t>
      </w:r>
      <w:r>
        <w:rPr>
          <w:rFonts w:ascii="Arial" w:hAnsi="Arial" w:cs="Arial"/>
          <w:sz w:val="20"/>
          <w:szCs w:val="20"/>
          <w:vertAlign w:val="superscript"/>
        </w:rPr>
        <w:t>-1</w:t>
      </w:r>
      <w:r>
        <w:rPr>
          <w:rFonts w:ascii="Arial" w:hAnsi="Arial" w:cs="Arial"/>
          <w:sz w:val="20"/>
          <w:szCs w:val="20"/>
        </w:rPr>
        <w:t xml:space="preserve"> at 21 DAS in sesame resulted in significantly higher plant height, number of branches plant</w:t>
      </w:r>
      <w:r>
        <w:rPr>
          <w:rFonts w:ascii="Arial" w:hAnsi="Arial" w:cs="Arial"/>
          <w:sz w:val="20"/>
          <w:szCs w:val="20"/>
          <w:vertAlign w:val="superscript"/>
        </w:rPr>
        <w:t>-1</w:t>
      </w:r>
      <w:r>
        <w:rPr>
          <w:rFonts w:ascii="Arial" w:hAnsi="Arial" w:cs="Arial"/>
          <w:sz w:val="20"/>
          <w:szCs w:val="20"/>
        </w:rPr>
        <w:t>, number of capsules plant</w:t>
      </w:r>
      <w:r>
        <w:rPr>
          <w:rFonts w:ascii="Arial" w:hAnsi="Arial" w:cs="Arial"/>
          <w:sz w:val="20"/>
          <w:szCs w:val="20"/>
          <w:vertAlign w:val="superscript"/>
        </w:rPr>
        <w:t>-1</w:t>
      </w:r>
      <w:r>
        <w:rPr>
          <w:rFonts w:ascii="Arial" w:hAnsi="Arial" w:cs="Arial"/>
          <w:sz w:val="20"/>
          <w:szCs w:val="20"/>
        </w:rPr>
        <w:t xml:space="preserve"> and number of seeds capsule</w:t>
      </w:r>
      <w:r>
        <w:rPr>
          <w:rFonts w:ascii="Arial" w:hAnsi="Arial" w:cs="Arial"/>
          <w:sz w:val="20"/>
          <w:szCs w:val="20"/>
          <w:vertAlign w:val="superscript"/>
        </w:rPr>
        <w:t>-1</w:t>
      </w:r>
      <w:r>
        <w:rPr>
          <w:rFonts w:ascii="Arial" w:hAnsi="Arial" w:cs="Arial"/>
          <w:sz w:val="20"/>
          <w:szCs w:val="20"/>
        </w:rPr>
        <w:t>.</w:t>
      </w:r>
    </w:p>
    <w:p w14:paraId="0441D932">
      <w:pPr>
        <w:tabs>
          <w:tab w:val="left" w:pos="720"/>
        </w:tabs>
        <w:spacing w:before="240" w:after="140"/>
        <w:jc w:val="both"/>
        <w:rPr>
          <w:rFonts w:ascii="Arial" w:hAnsi="Arial" w:cs="Arial"/>
          <w:b/>
          <w:bCs/>
          <w:color w:val="000000" w:themeColor="text1"/>
          <w:sz w:val="22"/>
          <w:szCs w:val="22"/>
          <w:lang w:val="en-IN"/>
          <w14:textFill>
            <w14:solidFill>
              <w14:schemeClr w14:val="tx1"/>
            </w14:solidFill>
          </w14:textFill>
        </w:rPr>
      </w:pPr>
      <w:r>
        <w:rPr>
          <w:rFonts w:ascii="Arial" w:hAnsi="Arial" w:cs="Arial"/>
          <w:b/>
          <w:bCs/>
          <w:color w:val="000000" w:themeColor="text1"/>
          <w:sz w:val="22"/>
          <w:szCs w:val="22"/>
          <w:lang w:val="en-IN"/>
          <w14:textFill>
            <w14:solidFill>
              <w14:schemeClr w14:val="tx1"/>
            </w14:solidFill>
          </w14:textFill>
        </w:rPr>
        <w:t>5. CONCLUSION</w:t>
      </w:r>
    </w:p>
    <w:p w14:paraId="7311D5DE">
      <w:pPr>
        <w:tabs>
          <w:tab w:val="left" w:pos="720"/>
        </w:tabs>
        <w:spacing w:after="140"/>
        <w:jc w:val="both"/>
        <w:rPr>
          <w:rFonts w:ascii="Arial" w:hAnsi="Arial" w:cs="Arial"/>
          <w:color w:val="000000" w:themeColor="text1"/>
          <w:sz w:val="20"/>
          <w:szCs w:val="20"/>
          <w:lang w:val="en-IN"/>
          <w14:textFill>
            <w14:solidFill>
              <w14:schemeClr w14:val="tx1"/>
            </w14:solidFill>
          </w14:textFill>
        </w:rPr>
      </w:pPr>
      <w:commentRangeStart w:id="3"/>
      <w:r>
        <w:rPr>
          <w:rFonts w:ascii="Arial" w:hAnsi="Arial" w:cs="Arial"/>
          <w:color w:val="000000" w:themeColor="text1"/>
          <w:sz w:val="20"/>
          <w:szCs w:val="20"/>
          <w:lang w:val="en-IN"/>
          <w14:textFill>
            <w14:solidFill>
              <w14:schemeClr w14:val="tx1"/>
            </w14:solidFill>
          </w14:textFill>
        </w:rPr>
        <w:t>Effective weed management</w:t>
      </w:r>
      <w:commentRangeEnd w:id="3"/>
      <w:r>
        <w:commentReference w:id="3"/>
      </w:r>
      <w:r>
        <w:rPr>
          <w:rFonts w:ascii="Arial" w:hAnsi="Arial" w:cs="Arial"/>
          <w:color w:val="000000" w:themeColor="text1"/>
          <w:sz w:val="20"/>
          <w:szCs w:val="20"/>
          <w:lang w:val="en-IN"/>
          <w14:textFill>
            <w14:solidFill>
              <w14:schemeClr w14:val="tx1"/>
            </w14:solidFill>
          </w14:textFill>
        </w:rPr>
        <w:t xml:space="preserve"> is crucial for maximizing sesame yield, particularly during early growth stages when weed competition is most detrimental. Weeds compete for vital resources and serve as alternate hosts for pests and diseases, causing significant yield losses. Chemical weed control using herbicides has emerged as an effective strategy for managing weeds and improving crop performance. Pre-emergence herbicides like alachlor, pendimethalin, and pyroxasulfone effectively control early-emerging grasses and some broad</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leaf weeds by preventing seed germination. Post-emergence herbicides such as quizalofop-p-ethyl, clethodim, fenoxaprop-ethyl, and propaquizafop are effective against grassy weeds that emerge later, improving yield and economic returns. However, a major limitation is the lack of effective and crop-safe post-emergence herbicides for broad</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leaf weed control. Broad-spectrum herbicides may cause phytotoxicity in sesame, reducing seed yield. As sesame is a broad</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leaf crop, developing selective herbicides remains a challenge. Consequently, manual or integrated weed management practices are often needed, which can be labor-intensive and costly. Future research should focus on identifying selective post-emergence herbicides for broad</w:t>
      </w:r>
      <w:r>
        <w:rPr>
          <w:rFonts w:hint="default" w:ascii="Arial" w:hAnsi="Arial" w:cs="Arial"/>
          <w:color w:val="000000" w:themeColor="text1"/>
          <w:sz w:val="20"/>
          <w:szCs w:val="20"/>
          <w:lang w:val="en-US"/>
          <w14:textFill>
            <w14:solidFill>
              <w14:schemeClr w14:val="tx1"/>
            </w14:solidFill>
          </w14:textFill>
        </w:rPr>
        <w:t xml:space="preserve"> </w:t>
      </w:r>
      <w:r>
        <w:rPr>
          <w:rFonts w:ascii="Arial" w:hAnsi="Arial" w:cs="Arial"/>
          <w:color w:val="000000" w:themeColor="text1"/>
          <w:sz w:val="20"/>
          <w:szCs w:val="20"/>
          <w:lang w:val="en-IN"/>
          <w14:textFill>
            <w14:solidFill>
              <w14:schemeClr w14:val="tx1"/>
            </w14:solidFill>
          </w14:textFill>
        </w:rPr>
        <w:t xml:space="preserve">leaf weeds and promoting integrated </w:t>
      </w:r>
      <w:commentRangeStart w:id="4"/>
      <w:r>
        <w:rPr>
          <w:rFonts w:ascii="Arial" w:hAnsi="Arial" w:cs="Arial"/>
          <w:color w:val="000000" w:themeColor="text1"/>
          <w:sz w:val="20"/>
          <w:szCs w:val="20"/>
          <w:lang w:val="en-IN"/>
          <w14:textFill>
            <w14:solidFill>
              <w14:schemeClr w14:val="tx1"/>
            </w14:solidFill>
          </w14:textFill>
        </w:rPr>
        <w:t>weed management approaches. Combining chemical, mechanical, and cultural methods can ensure sustainable and efficient weed control, ultimately improving sesame productivity and sustainability.</w:t>
      </w:r>
      <w:commentRangeEnd w:id="4"/>
      <w:r>
        <w:commentReference w:id="4"/>
      </w:r>
    </w:p>
    <w:p w14:paraId="5B4C7441">
      <w:pPr>
        <w:spacing w:after="140"/>
        <w:jc w:val="both"/>
        <w:rPr>
          <w:rFonts w:ascii="Arial" w:hAnsi="Arial" w:cs="Arial"/>
          <w:b/>
          <w:bCs/>
          <w:sz w:val="22"/>
          <w:szCs w:val="22"/>
        </w:rPr>
      </w:pPr>
      <w:commentRangeStart w:id="5"/>
      <w:r>
        <w:rPr>
          <w:rFonts w:ascii="Arial" w:hAnsi="Arial" w:cs="Arial"/>
          <w:b/>
          <w:bCs/>
          <w:sz w:val="22"/>
          <w:szCs w:val="22"/>
        </w:rPr>
        <w:t>REFERENCES</w:t>
      </w:r>
      <w:commentRangeEnd w:id="5"/>
      <w:r>
        <w:commentReference w:id="5"/>
      </w:r>
    </w:p>
    <w:bookmarkEnd w:id="0"/>
    <w:p w14:paraId="59AF0CC5">
      <w:pPr>
        <w:spacing w:after="140"/>
        <w:jc w:val="both"/>
        <w:rPr>
          <w:rFonts w:ascii="Arial" w:hAnsi="Arial" w:cs="Arial"/>
          <w:sz w:val="20"/>
          <w:szCs w:val="20"/>
        </w:rPr>
      </w:pPr>
      <w:r>
        <w:rPr>
          <w:rFonts w:ascii="Arial" w:hAnsi="Arial" w:cs="Arial"/>
          <w:sz w:val="20"/>
          <w:szCs w:val="20"/>
        </w:rPr>
        <w:t>Aadi, O.N and Almarie, A.A. 2024. Critical period for weed competition in sesame under Iraqi irrigated areas.</w:t>
      </w:r>
      <w:r>
        <w:rPr>
          <w:rFonts w:ascii="Arial" w:hAnsi="Arial" w:cs="Arial"/>
          <w:i/>
          <w:iCs/>
          <w:sz w:val="20"/>
          <w:szCs w:val="20"/>
        </w:rPr>
        <w:t xml:space="preserve"> IOP Conference Series: Earth and Environmental Science</w:t>
      </w:r>
      <w:r>
        <w:rPr>
          <w:rFonts w:ascii="Arial" w:hAnsi="Arial" w:cs="Arial"/>
          <w:sz w:val="20"/>
          <w:szCs w:val="20"/>
        </w:rPr>
        <w:t xml:space="preserve">. 1371(5): 052011. </w:t>
      </w:r>
    </w:p>
    <w:p w14:paraId="2B89CB24">
      <w:pPr>
        <w:spacing w:after="140"/>
        <w:jc w:val="both"/>
        <w:rPr>
          <w:rFonts w:ascii="Arial" w:hAnsi="Arial" w:cs="Arial"/>
          <w:sz w:val="20"/>
          <w:szCs w:val="20"/>
        </w:rPr>
      </w:pPr>
      <w:r>
        <w:rPr>
          <w:rFonts w:ascii="Arial" w:hAnsi="Arial" w:cs="Arial"/>
          <w:sz w:val="20"/>
          <w:szCs w:val="20"/>
        </w:rPr>
        <w:t>Akbia, H., Elahifard, E., Siahpoosh, A and Zare, A. 2020. Evaluating sowing method and soil applied herbicides on weed control and yield of sesame. </w:t>
      </w:r>
      <w:r>
        <w:rPr>
          <w:rFonts w:ascii="Arial" w:hAnsi="Arial" w:cs="Arial"/>
          <w:i/>
          <w:iCs/>
          <w:sz w:val="20"/>
          <w:szCs w:val="20"/>
        </w:rPr>
        <w:t>Journal of Crops Improvement</w:t>
      </w:r>
      <w:r>
        <w:rPr>
          <w:rFonts w:ascii="Arial" w:hAnsi="Arial" w:cs="Arial"/>
          <w:sz w:val="20"/>
          <w:szCs w:val="20"/>
        </w:rPr>
        <w:t xml:space="preserve">. 22(4): 543-556. </w:t>
      </w:r>
    </w:p>
    <w:p w14:paraId="6042FB4B">
      <w:pPr>
        <w:spacing w:after="140"/>
        <w:jc w:val="both"/>
        <w:rPr>
          <w:rFonts w:ascii="Arial" w:hAnsi="Arial" w:cs="Arial"/>
          <w:sz w:val="20"/>
          <w:szCs w:val="20"/>
        </w:rPr>
      </w:pPr>
      <w:r>
        <w:rPr>
          <w:rFonts w:ascii="Arial" w:hAnsi="Arial" w:cs="Arial"/>
          <w:sz w:val="20"/>
          <w:szCs w:val="20"/>
        </w:rPr>
        <w:t>Aktar, M.N., Karim, M.F., Chakma, S., Marma, A and Rahman, M.A. 2021. Effect of weed management on the improvement of growth and yield of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Biochemical &amp; Cellular Archives</w:t>
      </w:r>
      <w:r>
        <w:rPr>
          <w:rFonts w:ascii="Arial" w:hAnsi="Arial" w:cs="Arial"/>
          <w:sz w:val="20"/>
          <w:szCs w:val="20"/>
        </w:rPr>
        <w:t xml:space="preserve">. 21(1):1809. </w:t>
      </w:r>
    </w:p>
    <w:p w14:paraId="04AF5693">
      <w:pPr>
        <w:spacing w:after="140"/>
        <w:jc w:val="both"/>
        <w:rPr>
          <w:rFonts w:ascii="Arial" w:hAnsi="Arial" w:cs="Arial"/>
          <w:sz w:val="20"/>
          <w:szCs w:val="20"/>
        </w:rPr>
      </w:pPr>
      <w:r>
        <w:rPr>
          <w:rFonts w:ascii="Arial" w:hAnsi="Arial" w:cs="Arial"/>
          <w:sz w:val="20"/>
          <w:szCs w:val="20"/>
        </w:rPr>
        <w:t>Ambika, M and Sundari, A. 2019. Weed management in irrigated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World Scientific News</w:t>
      </w:r>
      <w:r>
        <w:rPr>
          <w:rFonts w:ascii="Arial" w:hAnsi="Arial" w:cs="Arial"/>
          <w:sz w:val="20"/>
          <w:szCs w:val="20"/>
        </w:rPr>
        <w:t>. 131: 272-278.</w:t>
      </w:r>
    </w:p>
    <w:p w14:paraId="5598EF36">
      <w:pPr>
        <w:spacing w:after="140"/>
        <w:jc w:val="both"/>
        <w:rPr>
          <w:rFonts w:ascii="Arial" w:hAnsi="Arial" w:cs="Arial"/>
          <w:sz w:val="20"/>
          <w:szCs w:val="20"/>
        </w:rPr>
      </w:pPr>
      <w:r>
        <w:rPr>
          <w:rFonts w:ascii="Arial" w:hAnsi="Arial" w:cs="Arial"/>
          <w:sz w:val="20"/>
          <w:szCs w:val="20"/>
        </w:rPr>
        <w:t>Amini, R., Hosseingolizadeh, M and Nassab, A.D.M. 2022. Effect of reduced rates of trifluralin in integration with living and straw mulch on weeds and yield of sesame (</w:t>
      </w:r>
      <w:r>
        <w:rPr>
          <w:rFonts w:ascii="Arial" w:hAnsi="Arial" w:cs="Arial"/>
          <w:i/>
          <w:iCs/>
          <w:sz w:val="20"/>
          <w:szCs w:val="20"/>
        </w:rPr>
        <w:t xml:space="preserve">Sesamum indicum </w:t>
      </w:r>
      <w:r>
        <w:rPr>
          <w:rFonts w:ascii="Arial" w:hAnsi="Arial" w:cs="Arial"/>
          <w:sz w:val="20"/>
          <w:szCs w:val="20"/>
        </w:rPr>
        <w:t>L.). </w:t>
      </w:r>
      <w:r>
        <w:rPr>
          <w:rFonts w:ascii="Arial" w:hAnsi="Arial" w:cs="Arial"/>
          <w:i/>
          <w:iCs/>
          <w:sz w:val="20"/>
          <w:szCs w:val="20"/>
        </w:rPr>
        <w:t>Journal of Agricultural Science and Sustainable Production</w:t>
      </w:r>
      <w:r>
        <w:rPr>
          <w:rFonts w:ascii="Arial" w:hAnsi="Arial" w:cs="Arial"/>
          <w:sz w:val="20"/>
          <w:szCs w:val="20"/>
        </w:rPr>
        <w:t>. 32(2):181-196.</w:t>
      </w:r>
    </w:p>
    <w:p w14:paraId="671DD217">
      <w:pPr>
        <w:spacing w:after="140"/>
        <w:jc w:val="both"/>
        <w:rPr>
          <w:rFonts w:ascii="Arial" w:hAnsi="Arial" w:cs="Arial"/>
          <w:sz w:val="20"/>
          <w:szCs w:val="20"/>
        </w:rPr>
      </w:pPr>
      <w:r>
        <w:rPr>
          <w:rFonts w:ascii="Arial" w:hAnsi="Arial" w:cs="Arial"/>
          <w:sz w:val="20"/>
          <w:szCs w:val="20"/>
        </w:rPr>
        <w:t>Audu, I., Wamduda, D.K and Lawrence, T. 2021. Growth, yield and yield components of sesame (</w:t>
      </w:r>
      <w:r>
        <w:rPr>
          <w:rFonts w:ascii="Arial" w:hAnsi="Arial" w:cs="Arial"/>
          <w:i/>
          <w:iCs/>
          <w:sz w:val="20"/>
          <w:szCs w:val="20"/>
        </w:rPr>
        <w:t xml:space="preserve">Sesamum indicum </w:t>
      </w:r>
      <w:r>
        <w:rPr>
          <w:rFonts w:ascii="Arial" w:hAnsi="Arial" w:cs="Arial"/>
          <w:sz w:val="20"/>
          <w:szCs w:val="20"/>
        </w:rPr>
        <w:t xml:space="preserve">L.) as influenced by crop variety and different rates of herbicides in Adamawa state, Nigeria. </w:t>
      </w:r>
      <w:r>
        <w:rPr>
          <w:rFonts w:ascii="Arial" w:hAnsi="Arial" w:cs="Arial"/>
          <w:i/>
          <w:iCs/>
          <w:sz w:val="20"/>
          <w:szCs w:val="20"/>
        </w:rPr>
        <w:t>International Journal of Environment, Agriculture and Biotechnology</w:t>
      </w:r>
      <w:r>
        <w:rPr>
          <w:rFonts w:ascii="Arial" w:hAnsi="Arial" w:cs="Arial"/>
          <w:sz w:val="20"/>
          <w:szCs w:val="20"/>
        </w:rPr>
        <w:t>. 6(2): 164-174.</w:t>
      </w:r>
    </w:p>
    <w:p w14:paraId="7E11B6A3">
      <w:pPr>
        <w:spacing w:after="140"/>
        <w:jc w:val="both"/>
        <w:rPr>
          <w:rFonts w:ascii="Arial" w:hAnsi="Arial" w:cs="Arial"/>
          <w:sz w:val="20"/>
          <w:szCs w:val="20"/>
        </w:rPr>
      </w:pPr>
      <w:r>
        <w:rPr>
          <w:rFonts w:ascii="Arial" w:hAnsi="Arial" w:cs="Arial"/>
          <w:sz w:val="20"/>
          <w:szCs w:val="20"/>
        </w:rPr>
        <w:t>Babu, K.S and Subramanyam, D. 2018. Weed management in broadcast sesame (</w:t>
      </w:r>
      <w:r>
        <w:rPr>
          <w:rFonts w:ascii="Arial" w:hAnsi="Arial" w:cs="Arial"/>
          <w:i/>
          <w:iCs/>
          <w:sz w:val="20"/>
          <w:szCs w:val="20"/>
        </w:rPr>
        <w:t>Sesamum indicum</w:t>
      </w:r>
      <w:r>
        <w:rPr>
          <w:rFonts w:ascii="Arial" w:hAnsi="Arial" w:cs="Arial"/>
          <w:sz w:val="20"/>
          <w:szCs w:val="20"/>
        </w:rPr>
        <w:t xml:space="preserve"> L.) through sequential application of herbicides. </w:t>
      </w:r>
      <w:r>
        <w:rPr>
          <w:rFonts w:ascii="Arial" w:hAnsi="Arial" w:cs="Arial"/>
          <w:i/>
          <w:iCs/>
          <w:sz w:val="20"/>
          <w:szCs w:val="20"/>
        </w:rPr>
        <w:t>Journal of Oilseeds Research</w:t>
      </w:r>
      <w:r>
        <w:rPr>
          <w:rFonts w:ascii="Arial" w:hAnsi="Arial" w:cs="Arial"/>
          <w:sz w:val="20"/>
          <w:szCs w:val="20"/>
        </w:rPr>
        <w:t>. 35(1): 67-70.</w:t>
      </w:r>
    </w:p>
    <w:p w14:paraId="2322626C">
      <w:pPr>
        <w:jc w:val="both"/>
        <w:rPr>
          <w:rFonts w:ascii="Arial" w:hAnsi="Arial" w:cs="Arial"/>
          <w:sz w:val="20"/>
          <w:szCs w:val="20"/>
        </w:rPr>
      </w:pPr>
      <w:r>
        <w:rPr>
          <w:rFonts w:ascii="Arial" w:hAnsi="Arial" w:cs="Arial"/>
          <w:sz w:val="20"/>
          <w:szCs w:val="20"/>
        </w:rPr>
        <w:t xml:space="preserve">Babu, K.S., Subramanyam, D., Sumathi, V and Umamahesh, V. 2016. Weed management in sesame with sequential application of herbicides. </w:t>
      </w:r>
      <w:r>
        <w:rPr>
          <w:rFonts w:ascii="Arial" w:hAnsi="Arial" w:cs="Arial"/>
          <w:i/>
          <w:iCs/>
          <w:sz w:val="20"/>
          <w:szCs w:val="20"/>
        </w:rPr>
        <w:t xml:space="preserve">Indian Journal of Weed Science. </w:t>
      </w:r>
      <w:r>
        <w:rPr>
          <w:rFonts w:ascii="Arial" w:hAnsi="Arial" w:cs="Arial"/>
          <w:sz w:val="20"/>
          <w:szCs w:val="20"/>
        </w:rPr>
        <w:t xml:space="preserve">48(4): 455-457. </w:t>
      </w:r>
    </w:p>
    <w:p w14:paraId="29C3EB41">
      <w:pPr>
        <w:spacing w:before="24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Baraki, F., Gebregergis, Z., Gebremedhin, Z and Azerefegn, F. 2023. Efficacy of diuron on the management of broad-leaf weeds in sesame (</w:t>
      </w:r>
      <w:r>
        <w:rPr>
          <w:rFonts w:ascii="Arial" w:hAnsi="Arial" w:cs="Arial"/>
          <w:i/>
          <w:iCs/>
          <w:color w:val="000000" w:themeColor="text1"/>
          <w:sz w:val="20"/>
          <w:szCs w:val="20"/>
          <w14:textFill>
            <w14:solidFill>
              <w14:schemeClr w14:val="tx1"/>
            </w14:solidFill>
          </w14:textFill>
        </w:rPr>
        <w:t>Sesamum indicum</w:t>
      </w:r>
      <w:r>
        <w:rPr>
          <w:rFonts w:ascii="Arial" w:hAnsi="Arial" w:cs="Arial"/>
          <w:color w:val="000000" w:themeColor="text1"/>
          <w:sz w:val="20"/>
          <w:szCs w:val="20"/>
          <w14:textFill>
            <w14:solidFill>
              <w14:schemeClr w14:val="tx1"/>
            </w14:solidFill>
          </w14:textFill>
        </w:rPr>
        <w:t xml:space="preserve"> L.) fields in Tigray, Ethiopia. </w:t>
      </w:r>
      <w:r>
        <w:rPr>
          <w:rFonts w:ascii="Arial" w:hAnsi="Arial" w:cs="Arial"/>
          <w:i/>
          <w:iCs/>
          <w:color w:val="000000" w:themeColor="text1"/>
          <w:sz w:val="20"/>
          <w:szCs w:val="20"/>
          <w14:textFill>
            <w14:solidFill>
              <w14:schemeClr w14:val="tx1"/>
            </w14:solidFill>
          </w14:textFill>
        </w:rPr>
        <w:t>Indian Journal of Weed Science</w:t>
      </w:r>
      <w:r>
        <w:rPr>
          <w:rFonts w:ascii="Arial" w:hAnsi="Arial" w:cs="Arial"/>
          <w:color w:val="000000" w:themeColor="text1"/>
          <w:sz w:val="20"/>
          <w:szCs w:val="20"/>
          <w14:textFill>
            <w14:solidFill>
              <w14:schemeClr w14:val="tx1"/>
            </w14:solidFill>
          </w14:textFill>
        </w:rPr>
        <w:t xml:space="preserve">. 55(4): 410–419. </w:t>
      </w:r>
    </w:p>
    <w:p w14:paraId="370C2FA3">
      <w:pPr>
        <w:spacing w:before="240"/>
        <w:jc w:val="both"/>
        <w:rPr>
          <w:rFonts w:ascii="Arial" w:hAnsi="Arial" w:cs="Arial"/>
          <w:sz w:val="20"/>
          <w:szCs w:val="20"/>
        </w:rPr>
      </w:pPr>
      <w:r>
        <w:rPr>
          <w:rFonts w:ascii="Arial" w:hAnsi="Arial" w:cs="Arial"/>
          <w:sz w:val="20"/>
          <w:szCs w:val="20"/>
        </w:rPr>
        <w:t xml:space="preserve">Bhadauria, N., Arora, A and Yadav, K.S. 2012. Effect of weed management practices on seed yield and nutrient uptake in sesame. </w:t>
      </w:r>
      <w:r>
        <w:rPr>
          <w:rFonts w:ascii="Arial" w:hAnsi="Arial" w:cs="Arial"/>
          <w:i/>
          <w:iCs/>
          <w:sz w:val="20"/>
          <w:szCs w:val="20"/>
        </w:rPr>
        <w:t xml:space="preserve">Indian Journal of Weed Science. </w:t>
      </w:r>
      <w:r>
        <w:rPr>
          <w:rFonts w:ascii="Arial" w:hAnsi="Arial" w:cs="Arial"/>
          <w:sz w:val="20"/>
          <w:szCs w:val="20"/>
        </w:rPr>
        <w:t xml:space="preserve">44(2): 129–131. </w:t>
      </w:r>
    </w:p>
    <w:p w14:paraId="12A3B743">
      <w:pPr>
        <w:spacing w:before="240"/>
        <w:jc w:val="both"/>
        <w:rPr>
          <w:rFonts w:ascii="Arial" w:hAnsi="Arial" w:cs="Arial"/>
          <w:sz w:val="20"/>
          <w:szCs w:val="20"/>
        </w:rPr>
      </w:pPr>
      <w:r>
        <w:rPr>
          <w:rFonts w:ascii="Arial" w:hAnsi="Arial" w:cs="Arial"/>
          <w:sz w:val="20"/>
          <w:szCs w:val="20"/>
        </w:rPr>
        <w:t>Bhaumik, G.S., Singh, R.S and Sen, D. 2023. Effect of weed management practices on growth and yield of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International Journal of Agriculture, Environment and Biotechnology</w:t>
      </w:r>
      <w:r>
        <w:rPr>
          <w:rFonts w:ascii="Arial" w:hAnsi="Arial" w:cs="Arial"/>
          <w:sz w:val="20"/>
          <w:szCs w:val="20"/>
        </w:rPr>
        <w:t>. 16(2): 105-111.</w:t>
      </w:r>
    </w:p>
    <w:p w14:paraId="58B0F5E4">
      <w:pPr>
        <w:spacing w:before="240"/>
        <w:jc w:val="both"/>
        <w:rPr>
          <w:rFonts w:ascii="Arial" w:hAnsi="Arial" w:cs="Arial"/>
          <w:sz w:val="20"/>
          <w:szCs w:val="20"/>
        </w:rPr>
      </w:pPr>
      <w:r>
        <w:rPr>
          <w:rFonts w:ascii="Arial" w:hAnsi="Arial" w:cs="Arial"/>
          <w:sz w:val="20"/>
          <w:szCs w:val="20"/>
        </w:rPr>
        <w:t>Bhavani, R., Reddy, G.K., Reddy, P.M., Kumari, P.L and Sagar, G.K. 2023. Nutrient uptake as influenced by methods of sowing and weed management practices in summer sesame (</w:t>
      </w:r>
      <w:r>
        <w:rPr>
          <w:rFonts w:ascii="Arial" w:hAnsi="Arial" w:cs="Arial"/>
          <w:i/>
          <w:iCs/>
          <w:sz w:val="20"/>
          <w:szCs w:val="20"/>
        </w:rPr>
        <w:t>Sesamum indicum</w:t>
      </w:r>
      <w:r>
        <w:rPr>
          <w:rFonts w:ascii="Arial" w:hAnsi="Arial" w:cs="Arial"/>
          <w:sz w:val="20"/>
          <w:szCs w:val="20"/>
        </w:rPr>
        <w:t xml:space="preserve"> L.).</w:t>
      </w:r>
      <w:r>
        <w:rPr>
          <w:rFonts w:ascii="Arial" w:hAnsi="Arial" w:cs="Arial"/>
          <w:i/>
          <w:iCs/>
          <w:sz w:val="20"/>
          <w:szCs w:val="20"/>
        </w:rPr>
        <w:t xml:space="preserve"> Andhra Pradesh Journal of Agricultural Sciences. </w:t>
      </w:r>
      <w:r>
        <w:rPr>
          <w:rFonts w:ascii="Arial" w:hAnsi="Arial" w:cs="Arial"/>
          <w:sz w:val="20"/>
          <w:szCs w:val="20"/>
        </w:rPr>
        <w:t>9(2): 100-103.</w:t>
      </w:r>
    </w:p>
    <w:p w14:paraId="775C499E">
      <w:pPr>
        <w:spacing w:before="240"/>
        <w:jc w:val="both"/>
        <w:rPr>
          <w:rFonts w:ascii="Arial" w:hAnsi="Arial" w:cs="Arial"/>
          <w:sz w:val="20"/>
          <w:szCs w:val="20"/>
        </w:rPr>
      </w:pPr>
      <w:r>
        <w:rPr>
          <w:rFonts w:ascii="Arial" w:hAnsi="Arial" w:cs="Arial"/>
          <w:sz w:val="20"/>
          <w:szCs w:val="20"/>
          <w:shd w:val="clear" w:color="auto" w:fill="FFFFFF"/>
        </w:rPr>
        <w:t>Chaudhari, A and Ghosh, P. 2020. Effect of different weed management practices on growth and yield of summer sesame (</w:t>
      </w:r>
      <w:r>
        <w:rPr>
          <w:rFonts w:ascii="Arial" w:hAnsi="Arial" w:cs="Arial"/>
          <w:i/>
          <w:iCs/>
          <w:sz w:val="20"/>
          <w:szCs w:val="20"/>
          <w:shd w:val="clear" w:color="auto" w:fill="FFFFFF"/>
        </w:rPr>
        <w:t>Sesamum indicum</w:t>
      </w:r>
      <w:r>
        <w:rPr>
          <w:rFonts w:ascii="Arial" w:hAnsi="Arial" w:cs="Arial"/>
          <w:sz w:val="20"/>
          <w:szCs w:val="20"/>
          <w:shd w:val="clear" w:color="auto" w:fill="FFFFFF"/>
        </w:rPr>
        <w:t xml:space="preserve"> L.). </w:t>
      </w:r>
      <w:r>
        <w:rPr>
          <w:rFonts w:ascii="Arial" w:hAnsi="Arial" w:cs="Arial"/>
          <w:i/>
          <w:iCs/>
          <w:sz w:val="20"/>
          <w:szCs w:val="20"/>
          <w:shd w:val="clear" w:color="auto" w:fill="FFFFFF"/>
        </w:rPr>
        <w:t>International Journal of Chemical Studies</w:t>
      </w:r>
      <w:r>
        <w:rPr>
          <w:rFonts w:ascii="Arial" w:hAnsi="Arial" w:cs="Arial"/>
          <w:sz w:val="20"/>
          <w:szCs w:val="20"/>
          <w:shd w:val="clear" w:color="auto" w:fill="FFFFFF"/>
        </w:rPr>
        <w:t xml:space="preserve">. 8(1): 2090-2093. </w:t>
      </w:r>
    </w:p>
    <w:p w14:paraId="00C82497">
      <w:pPr>
        <w:spacing w:before="240"/>
        <w:jc w:val="both"/>
        <w:rPr>
          <w:rFonts w:ascii="Arial" w:hAnsi="Arial" w:cs="Arial"/>
          <w:sz w:val="20"/>
          <w:szCs w:val="20"/>
        </w:rPr>
      </w:pPr>
      <w:r>
        <w:rPr>
          <w:rFonts w:ascii="Arial" w:hAnsi="Arial" w:cs="Arial"/>
          <w:sz w:val="20"/>
          <w:szCs w:val="20"/>
          <w:lang w:val="sv-SE"/>
        </w:rPr>
        <w:t xml:space="preserve">Chauhan, G.V., Pyare, R., Kumar, A., Kumar, A., Tomar, J and Singh, R. 2019. </w:t>
      </w:r>
      <w:r>
        <w:rPr>
          <w:rFonts w:ascii="Arial" w:hAnsi="Arial" w:cs="Arial"/>
          <w:sz w:val="20"/>
          <w:szCs w:val="20"/>
        </w:rPr>
        <w:t>Effect of weed-management practices on yield and economics of sesame (</w:t>
      </w:r>
      <w:r>
        <w:rPr>
          <w:rFonts w:ascii="Arial" w:hAnsi="Arial" w:cs="Arial"/>
          <w:i/>
          <w:iCs/>
          <w:sz w:val="20"/>
          <w:szCs w:val="20"/>
        </w:rPr>
        <w:t>Sesamum indicum</w:t>
      </w:r>
      <w:r>
        <w:rPr>
          <w:rFonts w:ascii="Arial" w:hAnsi="Arial" w:cs="Arial"/>
          <w:sz w:val="20"/>
          <w:szCs w:val="20"/>
        </w:rPr>
        <w:t xml:space="preserve">) based intercropping systems. </w:t>
      </w:r>
      <w:r>
        <w:rPr>
          <w:rFonts w:ascii="Arial" w:hAnsi="Arial" w:cs="Arial"/>
          <w:i/>
          <w:iCs/>
          <w:sz w:val="20"/>
          <w:szCs w:val="20"/>
        </w:rPr>
        <w:t>Indian Journal of Agronomy</w:t>
      </w:r>
      <w:r>
        <w:rPr>
          <w:rFonts w:ascii="Arial" w:hAnsi="Arial" w:cs="Arial"/>
          <w:sz w:val="20"/>
          <w:szCs w:val="20"/>
        </w:rPr>
        <w:t>. 64(2): 186-190.</w:t>
      </w:r>
    </w:p>
    <w:p w14:paraId="61AEBE6B">
      <w:pPr>
        <w:spacing w:before="240"/>
        <w:jc w:val="both"/>
        <w:rPr>
          <w:rFonts w:ascii="Arial" w:hAnsi="Arial" w:cs="Arial"/>
          <w:sz w:val="20"/>
          <w:szCs w:val="20"/>
        </w:rPr>
      </w:pPr>
      <w:r>
        <w:rPr>
          <w:rFonts w:ascii="Arial" w:hAnsi="Arial" w:cs="Arial"/>
          <w:sz w:val="20"/>
          <w:szCs w:val="20"/>
        </w:rPr>
        <w:t>Dadarwal, P and Yadav, G.L. 2025. Impact of integrated herbicide hand weeding practices and nitrogen rates enhance weed control and seed yield of sesame (</w:t>
      </w:r>
      <w:r>
        <w:rPr>
          <w:rFonts w:ascii="Arial" w:hAnsi="Arial" w:cs="Arial"/>
          <w:i/>
          <w:iCs/>
          <w:sz w:val="20"/>
          <w:szCs w:val="20"/>
        </w:rPr>
        <w:t>Sesamum indicum</w:t>
      </w:r>
      <w:r>
        <w:rPr>
          <w:rFonts w:ascii="Arial" w:hAnsi="Arial" w:cs="Arial"/>
          <w:sz w:val="20"/>
          <w:szCs w:val="20"/>
        </w:rPr>
        <w:t xml:space="preserve"> L.) under semiarid, loamy sandy soils. </w:t>
      </w:r>
      <w:r>
        <w:rPr>
          <w:rFonts w:ascii="Arial" w:hAnsi="Arial" w:cs="Arial"/>
          <w:i/>
          <w:iCs/>
          <w:sz w:val="20"/>
          <w:szCs w:val="20"/>
        </w:rPr>
        <w:t>Archives of Current Research International</w:t>
      </w:r>
      <w:r>
        <w:rPr>
          <w:rFonts w:ascii="Arial" w:hAnsi="Arial" w:cs="Arial"/>
          <w:sz w:val="20"/>
          <w:szCs w:val="20"/>
        </w:rPr>
        <w:t>. 25(5): 528-535.</w:t>
      </w:r>
    </w:p>
    <w:p w14:paraId="486554E1">
      <w:pPr>
        <w:spacing w:before="240"/>
        <w:jc w:val="both"/>
        <w:rPr>
          <w:rFonts w:ascii="Arial" w:hAnsi="Arial" w:cs="Arial"/>
          <w:sz w:val="20"/>
          <w:szCs w:val="20"/>
        </w:rPr>
      </w:pPr>
      <w:r>
        <w:rPr>
          <w:rFonts w:ascii="Arial" w:hAnsi="Arial" w:cs="Arial"/>
          <w:sz w:val="20"/>
          <w:szCs w:val="20"/>
        </w:rPr>
        <w:t xml:space="preserve">Das, S., Dolai, A.K., Ghosh, P., Mandi, A and Aktar, S. 2022. Productivity improvement of sesame by weed management through plastic mulch and herbicides. </w:t>
      </w:r>
      <w:r>
        <w:rPr>
          <w:rFonts w:ascii="Arial" w:hAnsi="Arial" w:cs="Arial"/>
          <w:i/>
          <w:iCs/>
          <w:sz w:val="20"/>
          <w:szCs w:val="20"/>
        </w:rPr>
        <w:t>International Journal of Advanced Chemistry Research</w:t>
      </w:r>
      <w:r>
        <w:rPr>
          <w:rFonts w:ascii="Arial" w:hAnsi="Arial" w:cs="Arial"/>
          <w:sz w:val="20"/>
          <w:szCs w:val="20"/>
        </w:rPr>
        <w:t>. 4(2): 83-86.</w:t>
      </w:r>
    </w:p>
    <w:p w14:paraId="7B21CC94">
      <w:pPr>
        <w:spacing w:before="240"/>
        <w:jc w:val="both"/>
        <w:rPr>
          <w:rFonts w:ascii="Arial" w:hAnsi="Arial" w:cs="Arial"/>
          <w:sz w:val="20"/>
          <w:szCs w:val="20"/>
        </w:rPr>
      </w:pPr>
      <w:r>
        <w:rPr>
          <w:rFonts w:ascii="Arial" w:hAnsi="Arial" w:cs="Arial"/>
          <w:sz w:val="20"/>
          <w:szCs w:val="20"/>
        </w:rPr>
        <w:t xml:space="preserve">Debnath, S., Ghosh, P., Chaudhuri, A and Dolai, A.K. 2022. Growth and productivity of sesame as influenced by different weed management practices in red and laterite belt of West Bengal. </w:t>
      </w:r>
      <w:r>
        <w:rPr>
          <w:rFonts w:ascii="Arial" w:hAnsi="Arial" w:cs="Arial"/>
          <w:i/>
          <w:iCs/>
          <w:sz w:val="20"/>
          <w:szCs w:val="20"/>
        </w:rPr>
        <w:t>Environment and Ecology</w:t>
      </w:r>
      <w:r>
        <w:rPr>
          <w:rFonts w:ascii="Arial" w:hAnsi="Arial" w:cs="Arial"/>
          <w:sz w:val="20"/>
          <w:szCs w:val="20"/>
        </w:rPr>
        <w:t>. 40(1): 19-23.</w:t>
      </w:r>
    </w:p>
    <w:p w14:paraId="6DEBB779">
      <w:pPr>
        <w:spacing w:before="240"/>
        <w:jc w:val="both"/>
        <w:rPr>
          <w:rFonts w:ascii="Arial" w:hAnsi="Arial" w:cs="Arial"/>
          <w:sz w:val="20"/>
          <w:szCs w:val="20"/>
        </w:rPr>
      </w:pPr>
      <w:r>
        <w:rPr>
          <w:rFonts w:ascii="Arial" w:hAnsi="Arial" w:cs="Arial"/>
          <w:sz w:val="20"/>
          <w:szCs w:val="20"/>
        </w:rPr>
        <w:t xml:space="preserve">Dhaka, M.S., Yadav, S.S., Shivran, A.C., Choudary, G.L and Prajapat, K. 2013. Effect of weed management on performance of sesame under varying levels of nitrogen. </w:t>
      </w:r>
      <w:r>
        <w:rPr>
          <w:rFonts w:ascii="Arial" w:hAnsi="Arial" w:cs="Arial"/>
          <w:i/>
          <w:iCs/>
          <w:sz w:val="20"/>
          <w:szCs w:val="20"/>
        </w:rPr>
        <w:t>Annuals of Agricultural Research</w:t>
      </w:r>
      <w:r>
        <w:rPr>
          <w:rFonts w:ascii="Arial" w:hAnsi="Arial" w:cs="Arial"/>
          <w:sz w:val="20"/>
          <w:szCs w:val="20"/>
        </w:rPr>
        <w:t>. 34(2): 179-184.</w:t>
      </w:r>
    </w:p>
    <w:p w14:paraId="00731CC5">
      <w:pPr>
        <w:spacing w:before="240"/>
        <w:jc w:val="both"/>
        <w:rPr>
          <w:rFonts w:ascii="Arial" w:hAnsi="Arial" w:cs="Arial"/>
          <w:sz w:val="20"/>
          <w:szCs w:val="20"/>
        </w:rPr>
      </w:pPr>
      <w:r>
        <w:rPr>
          <w:rFonts w:ascii="Arial" w:hAnsi="Arial" w:cs="Arial"/>
          <w:sz w:val="20"/>
          <w:szCs w:val="20"/>
          <w:shd w:val="clear" w:color="auto" w:fill="FFFFFF"/>
        </w:rPr>
        <w:t>Dhanush, G and Geetha, K.N. 2024. Evaluation of pre and early post emergent herbicides in sesamum (</w:t>
      </w:r>
      <w:r>
        <w:rPr>
          <w:rFonts w:ascii="Arial" w:hAnsi="Arial" w:cs="Arial"/>
          <w:i/>
          <w:iCs/>
          <w:sz w:val="20"/>
          <w:szCs w:val="20"/>
          <w:shd w:val="clear" w:color="auto" w:fill="FFFFFF"/>
        </w:rPr>
        <w:t>Sesamum indicum</w:t>
      </w:r>
      <w:r>
        <w:rPr>
          <w:rFonts w:ascii="Arial" w:hAnsi="Arial" w:cs="Arial"/>
          <w:sz w:val="20"/>
          <w:szCs w:val="20"/>
          <w:shd w:val="clear" w:color="auto" w:fill="FFFFFF"/>
        </w:rPr>
        <w:t xml:space="preserve">). </w:t>
      </w:r>
      <w:r>
        <w:rPr>
          <w:rFonts w:ascii="Arial" w:hAnsi="Arial" w:cs="Arial"/>
          <w:i/>
          <w:iCs/>
          <w:sz w:val="20"/>
          <w:szCs w:val="20"/>
          <w:shd w:val="clear" w:color="auto" w:fill="FFFFFF"/>
        </w:rPr>
        <w:t>The Mysore Journal of Agricultural Sciences</w:t>
      </w:r>
      <w:r>
        <w:rPr>
          <w:rFonts w:ascii="Arial" w:hAnsi="Arial" w:cs="Arial"/>
          <w:sz w:val="20"/>
          <w:szCs w:val="20"/>
          <w:shd w:val="clear" w:color="auto" w:fill="FFFFFF"/>
        </w:rPr>
        <w:t xml:space="preserve">. 58(1): 462. </w:t>
      </w:r>
    </w:p>
    <w:p w14:paraId="47EC3B89">
      <w:pPr>
        <w:spacing w:before="240"/>
        <w:jc w:val="both"/>
        <w:rPr>
          <w:rFonts w:ascii="Arial" w:hAnsi="Arial" w:cs="Arial"/>
          <w:sz w:val="20"/>
          <w:szCs w:val="20"/>
        </w:rPr>
      </w:pPr>
      <w:r>
        <w:rPr>
          <w:rFonts w:ascii="Arial" w:hAnsi="Arial" w:cs="Arial"/>
          <w:sz w:val="20"/>
          <w:szCs w:val="20"/>
          <w:lang w:val="sv-SE"/>
        </w:rPr>
        <w:t xml:space="preserve">Elakkiyapriya, P., Meyyappan, M., Sudhakar, P and Angayarkanni, A. 2022. </w:t>
      </w:r>
      <w:r>
        <w:rPr>
          <w:rFonts w:ascii="Arial" w:hAnsi="Arial" w:cs="Arial"/>
          <w:sz w:val="20"/>
          <w:szCs w:val="20"/>
        </w:rPr>
        <w:t>Yield enhancement in sesame (</w:t>
      </w:r>
      <w:r>
        <w:rPr>
          <w:rFonts w:ascii="Arial" w:hAnsi="Arial" w:cs="Arial"/>
          <w:i/>
          <w:iCs/>
          <w:sz w:val="20"/>
          <w:szCs w:val="20"/>
        </w:rPr>
        <w:t>Sesamum indicum</w:t>
      </w:r>
      <w:r>
        <w:rPr>
          <w:rFonts w:ascii="Arial" w:hAnsi="Arial" w:cs="Arial"/>
          <w:sz w:val="20"/>
          <w:szCs w:val="20"/>
        </w:rPr>
        <w:t xml:space="preserve"> L.) var. TMV 7 through weed management practices. </w:t>
      </w:r>
      <w:r>
        <w:rPr>
          <w:rFonts w:ascii="Arial" w:hAnsi="Arial" w:cs="Arial"/>
          <w:i/>
          <w:iCs/>
          <w:sz w:val="20"/>
          <w:szCs w:val="20"/>
        </w:rPr>
        <w:t>Crop Research</w:t>
      </w:r>
      <w:r>
        <w:rPr>
          <w:rFonts w:ascii="Arial" w:hAnsi="Arial" w:cs="Arial"/>
          <w:sz w:val="20"/>
          <w:szCs w:val="20"/>
        </w:rPr>
        <w:t>. 57 (5&amp;6): 335-340.</w:t>
      </w:r>
    </w:p>
    <w:p w14:paraId="10FFA89C">
      <w:pPr>
        <w:spacing w:before="240"/>
        <w:jc w:val="both"/>
        <w:rPr>
          <w:rFonts w:ascii="Arial" w:hAnsi="Arial" w:cs="Arial"/>
          <w:sz w:val="20"/>
          <w:szCs w:val="20"/>
        </w:rPr>
      </w:pPr>
      <w:r>
        <w:rPr>
          <w:rFonts w:ascii="Arial" w:hAnsi="Arial" w:cs="Arial"/>
          <w:sz w:val="20"/>
          <w:szCs w:val="20"/>
        </w:rPr>
        <w:t>Elnenny, E.M., Elian, H and Shawky, A.M.2022. Effect of some weed control treatments on sesame and associated weeds. </w:t>
      </w:r>
      <w:r>
        <w:rPr>
          <w:rFonts w:ascii="Arial" w:hAnsi="Arial" w:cs="Arial"/>
          <w:i/>
          <w:iCs/>
          <w:sz w:val="20"/>
          <w:szCs w:val="20"/>
        </w:rPr>
        <w:t>Egyptian Journal of Agricultural Research</w:t>
      </w:r>
      <w:r>
        <w:rPr>
          <w:rFonts w:ascii="Arial" w:hAnsi="Arial" w:cs="Arial"/>
          <w:sz w:val="20"/>
          <w:szCs w:val="20"/>
        </w:rPr>
        <w:t>. 100(4): 608-615.</w:t>
      </w:r>
    </w:p>
    <w:p w14:paraId="7CCF19EA">
      <w:pPr>
        <w:spacing w:before="240"/>
        <w:jc w:val="both"/>
        <w:rPr>
          <w:rFonts w:ascii="Arial" w:hAnsi="Arial" w:cs="Arial"/>
          <w:sz w:val="20"/>
          <w:szCs w:val="20"/>
        </w:rPr>
      </w:pPr>
      <w:r>
        <w:rPr>
          <w:rFonts w:ascii="Arial" w:hAnsi="Arial" w:cs="Arial"/>
          <w:sz w:val="20"/>
          <w:szCs w:val="20"/>
        </w:rPr>
        <w:t>Geethanjali, S., Durge, B.D., Sasikala, R., Thavaprakaash, N and Dhandapani, M. 2022 Assessment of genetic variation for herbicide tolerance in sesame (</w:t>
      </w:r>
      <w:r>
        <w:rPr>
          <w:rFonts w:ascii="Arial" w:hAnsi="Arial" w:cs="Arial"/>
          <w:i/>
          <w:iCs/>
          <w:sz w:val="20"/>
          <w:szCs w:val="20"/>
        </w:rPr>
        <w:t>Sesamum indicum</w:t>
      </w:r>
      <w:r>
        <w:rPr>
          <w:rFonts w:ascii="Arial" w:hAnsi="Arial" w:cs="Arial"/>
          <w:sz w:val="20"/>
          <w:szCs w:val="20"/>
        </w:rPr>
        <w:t xml:space="preserve"> L.) germplasm: Assessment of genetic variation for herbicide tolerance in sesame germplasm. </w:t>
      </w:r>
      <w:r>
        <w:rPr>
          <w:rFonts w:ascii="Arial" w:hAnsi="Arial" w:cs="Arial"/>
          <w:i/>
          <w:iCs/>
          <w:sz w:val="20"/>
          <w:szCs w:val="20"/>
        </w:rPr>
        <w:t>Journal of Oilseeds Research</w:t>
      </w:r>
      <w:r>
        <w:rPr>
          <w:rFonts w:ascii="Arial" w:hAnsi="Arial" w:cs="Arial"/>
          <w:sz w:val="20"/>
          <w:szCs w:val="20"/>
        </w:rPr>
        <w:t xml:space="preserve">. 39(3&amp;4). </w:t>
      </w:r>
    </w:p>
    <w:p w14:paraId="1499601D">
      <w:pPr>
        <w:spacing w:before="240"/>
        <w:jc w:val="both"/>
        <w:rPr>
          <w:rFonts w:ascii="Arial" w:hAnsi="Arial" w:cs="Arial"/>
          <w:sz w:val="20"/>
          <w:szCs w:val="20"/>
        </w:rPr>
      </w:pPr>
      <w:r>
        <w:rPr>
          <w:rFonts w:ascii="Arial" w:hAnsi="Arial" w:cs="Arial"/>
          <w:sz w:val="20"/>
          <w:szCs w:val="20"/>
        </w:rPr>
        <w:t>Ghatak, R., Ghosh, R.K and Ghosh, S. 2006. Impact of integrated weed management on soil micro-flora in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Journal of Crop Weeds</w:t>
      </w:r>
      <w:r>
        <w:rPr>
          <w:rFonts w:ascii="Arial" w:hAnsi="Arial" w:cs="Arial"/>
          <w:sz w:val="20"/>
          <w:szCs w:val="20"/>
        </w:rPr>
        <w:t>. 2(1): 15-19.</w:t>
      </w:r>
    </w:p>
    <w:p w14:paraId="059C660B">
      <w:pPr>
        <w:spacing w:before="240"/>
        <w:jc w:val="both"/>
        <w:rPr>
          <w:rFonts w:ascii="Arial" w:hAnsi="Arial" w:cs="Arial"/>
          <w:sz w:val="20"/>
          <w:szCs w:val="20"/>
        </w:rPr>
      </w:pPr>
      <w:r>
        <w:rPr>
          <w:rFonts w:ascii="Arial" w:hAnsi="Arial" w:cs="Arial"/>
          <w:sz w:val="20"/>
          <w:szCs w:val="20"/>
        </w:rPr>
        <w:t>Giridhar, M. 2024. Weed management in line sown and broadcasted gingelly (</w:t>
      </w:r>
      <w:r>
        <w:rPr>
          <w:rFonts w:ascii="Arial" w:hAnsi="Arial" w:cs="Arial"/>
          <w:i/>
          <w:iCs/>
          <w:sz w:val="20"/>
          <w:szCs w:val="20"/>
        </w:rPr>
        <w:t xml:space="preserve">Sesamum indicum </w:t>
      </w:r>
      <w:r>
        <w:rPr>
          <w:rFonts w:ascii="Arial" w:hAnsi="Arial" w:cs="Arial"/>
          <w:sz w:val="20"/>
          <w:szCs w:val="20"/>
        </w:rPr>
        <w:t>L</w:t>
      </w:r>
      <w:r>
        <w:rPr>
          <w:rFonts w:ascii="Arial" w:hAnsi="Arial" w:cs="Arial"/>
          <w:i/>
          <w:iCs/>
          <w:sz w:val="20"/>
          <w:szCs w:val="20"/>
        </w:rPr>
        <w:t>.</w:t>
      </w:r>
      <w:r>
        <w:rPr>
          <w:rFonts w:ascii="Arial" w:hAnsi="Arial" w:cs="Arial"/>
          <w:sz w:val="20"/>
          <w:szCs w:val="20"/>
        </w:rPr>
        <w:t xml:space="preserve">). </w:t>
      </w:r>
      <w:r>
        <w:rPr>
          <w:rFonts w:ascii="Arial" w:hAnsi="Arial" w:cs="Arial"/>
          <w:i/>
          <w:iCs/>
          <w:sz w:val="20"/>
          <w:szCs w:val="20"/>
        </w:rPr>
        <w:t>M.Sc. (Ag.) Thesis.</w:t>
      </w:r>
      <w:r>
        <w:rPr>
          <w:rFonts w:ascii="Arial" w:hAnsi="Arial" w:cs="Arial"/>
          <w:sz w:val="20"/>
          <w:szCs w:val="20"/>
        </w:rPr>
        <w:t xml:space="preserve"> Acharya N.G. Ranga Agricultural University, Guntur, Andhra Pradesh.</w:t>
      </w:r>
    </w:p>
    <w:p w14:paraId="421CD7C7">
      <w:pPr>
        <w:spacing w:before="240"/>
        <w:jc w:val="both"/>
        <w:rPr>
          <w:rFonts w:ascii="Arial" w:hAnsi="Arial" w:cs="Arial"/>
          <w:sz w:val="20"/>
          <w:szCs w:val="20"/>
        </w:rPr>
      </w:pPr>
      <w:r>
        <w:rPr>
          <w:rFonts w:ascii="Arial" w:hAnsi="Arial" w:cs="Arial"/>
          <w:sz w:val="20"/>
          <w:szCs w:val="20"/>
          <w:shd w:val="clear" w:color="auto" w:fill="FFFFFF"/>
        </w:rPr>
        <w:t>Grichar, W.J., Rose, J.J., Dotray, P.A., Tredaway, J.A., Bagavathiannan, M., Shankle, M.W and Langham, D. 2021. Sesame (</w:t>
      </w:r>
      <w:r>
        <w:rPr>
          <w:rFonts w:ascii="Arial" w:hAnsi="Arial" w:cs="Arial"/>
          <w:i/>
          <w:iCs/>
          <w:sz w:val="20"/>
          <w:szCs w:val="20"/>
          <w:shd w:val="clear" w:color="auto" w:fill="FFFFFF"/>
        </w:rPr>
        <w:t>Sesamum indicum</w:t>
      </w:r>
      <w:r>
        <w:rPr>
          <w:rFonts w:ascii="Arial" w:hAnsi="Arial" w:cs="Arial"/>
          <w:sz w:val="20"/>
          <w:szCs w:val="20"/>
          <w:shd w:val="clear" w:color="auto" w:fill="FFFFFF"/>
        </w:rPr>
        <w:t xml:space="preserve"> L.) response to delayed applications of pre-emergence herbicides applied 3 or 6 days after emergence. </w:t>
      </w:r>
      <w:r>
        <w:rPr>
          <w:rFonts w:ascii="Arial" w:hAnsi="Arial" w:cs="Arial"/>
          <w:i/>
          <w:iCs/>
          <w:sz w:val="20"/>
          <w:szCs w:val="20"/>
          <w:shd w:val="clear" w:color="auto" w:fill="FFFFFF"/>
        </w:rPr>
        <w:t>Journal of Experimental Agriculture International</w:t>
      </w:r>
      <w:r>
        <w:rPr>
          <w:rFonts w:ascii="Arial" w:hAnsi="Arial" w:cs="Arial"/>
          <w:sz w:val="20"/>
          <w:szCs w:val="20"/>
          <w:shd w:val="clear" w:color="auto" w:fill="FFFFFF"/>
        </w:rPr>
        <w:t>. 43(1): 34-50.</w:t>
      </w:r>
    </w:p>
    <w:p w14:paraId="210A0B0E">
      <w:pPr>
        <w:spacing w:before="240"/>
        <w:jc w:val="both"/>
        <w:rPr>
          <w:rFonts w:ascii="Arial" w:hAnsi="Arial" w:cs="Arial"/>
          <w:sz w:val="20"/>
          <w:szCs w:val="20"/>
        </w:rPr>
      </w:pPr>
      <w:r>
        <w:rPr>
          <w:rFonts w:ascii="Arial" w:hAnsi="Arial" w:cs="Arial"/>
          <w:sz w:val="20"/>
          <w:szCs w:val="20"/>
        </w:rPr>
        <w:t>Gupta, S., Kushwah, S.S., Mandloi, R., Sahu, J., Sharma, R.N and Yadav, S. 2016. Effect of post-emergence herbicides on yield and economics of sesame (</w:t>
      </w:r>
      <w:r>
        <w:rPr>
          <w:rFonts w:ascii="Arial" w:hAnsi="Arial" w:cs="Arial"/>
          <w:i/>
          <w:iCs/>
          <w:sz w:val="20"/>
          <w:szCs w:val="20"/>
        </w:rPr>
        <w:t>Sesamum indicum</w:t>
      </w:r>
      <w:r>
        <w:rPr>
          <w:rFonts w:ascii="Arial" w:hAnsi="Arial" w:cs="Arial"/>
          <w:sz w:val="20"/>
          <w:szCs w:val="20"/>
        </w:rPr>
        <w:t>). </w:t>
      </w:r>
      <w:r>
        <w:rPr>
          <w:rFonts w:ascii="Arial" w:hAnsi="Arial" w:cs="Arial"/>
          <w:i/>
          <w:iCs/>
          <w:sz w:val="20"/>
          <w:szCs w:val="20"/>
        </w:rPr>
        <w:t>Indian Journal of Agronomy</w:t>
      </w:r>
      <w:r>
        <w:rPr>
          <w:rFonts w:ascii="Arial" w:hAnsi="Arial" w:cs="Arial"/>
          <w:sz w:val="20"/>
          <w:szCs w:val="20"/>
        </w:rPr>
        <w:t>. 61(3): 372-376.</w:t>
      </w:r>
    </w:p>
    <w:p w14:paraId="79829050">
      <w:pPr>
        <w:spacing w:before="240"/>
        <w:jc w:val="both"/>
        <w:rPr>
          <w:rFonts w:ascii="Arial" w:hAnsi="Arial" w:cs="Arial"/>
          <w:sz w:val="20"/>
          <w:szCs w:val="20"/>
        </w:rPr>
      </w:pPr>
      <w:r>
        <w:rPr>
          <w:rFonts w:ascii="Arial" w:hAnsi="Arial" w:cs="Arial"/>
          <w:sz w:val="20"/>
          <w:szCs w:val="20"/>
        </w:rPr>
        <w:t xml:space="preserve">Hota, S., Dash, S and Joshi, B. 2024. Sole and sequential application of herbicides and botanicals for weed management in summer sesame. </w:t>
      </w:r>
      <w:r>
        <w:rPr>
          <w:rFonts w:ascii="Arial" w:hAnsi="Arial" w:cs="Arial"/>
          <w:i/>
          <w:iCs/>
          <w:sz w:val="20"/>
          <w:szCs w:val="20"/>
        </w:rPr>
        <w:t>Plant Science Today</w:t>
      </w:r>
      <w:r>
        <w:rPr>
          <w:rFonts w:ascii="Arial" w:hAnsi="Arial" w:cs="Arial"/>
          <w:sz w:val="20"/>
          <w:szCs w:val="20"/>
        </w:rPr>
        <w:t>. 11(4): 1022-1027.</w:t>
      </w:r>
    </w:p>
    <w:p w14:paraId="44DEE962">
      <w:pPr>
        <w:spacing w:before="240"/>
        <w:jc w:val="both"/>
        <w:rPr>
          <w:rFonts w:ascii="Arial" w:hAnsi="Arial" w:cs="Arial"/>
          <w:sz w:val="20"/>
          <w:szCs w:val="20"/>
        </w:rPr>
      </w:pPr>
      <w:r>
        <w:rPr>
          <w:rFonts w:ascii="Arial" w:hAnsi="Arial" w:cs="Arial"/>
          <w:sz w:val="20"/>
          <w:szCs w:val="20"/>
        </w:rPr>
        <w:t>Indiastat.com</w:t>
      </w:r>
      <w:r>
        <w:rPr>
          <w:rFonts w:ascii="Arial" w:hAnsi="Arial" w:cs="Arial"/>
          <w:i/>
          <w:iCs/>
          <w:sz w:val="20"/>
          <w:szCs w:val="20"/>
        </w:rPr>
        <w:t xml:space="preserve">, </w:t>
      </w:r>
      <w:r>
        <w:rPr>
          <w:rFonts w:ascii="Arial" w:hAnsi="Arial" w:cs="Arial"/>
          <w:sz w:val="20"/>
          <w:szCs w:val="20"/>
        </w:rPr>
        <w:t>2023-24.</w:t>
      </w:r>
    </w:p>
    <w:p w14:paraId="78CBE318">
      <w:pPr>
        <w:spacing w:before="240"/>
        <w:jc w:val="both"/>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Imoloame, E.O and Abubakar, L.F. 2023. Evaluation of sowing methods and herbicide mixtures for weed management and productivity in sesame (</w:t>
      </w:r>
      <w:r>
        <w:rPr>
          <w:rFonts w:ascii="Arial" w:hAnsi="Arial" w:cs="Arial"/>
          <w:i/>
          <w:iCs/>
          <w:color w:val="000000" w:themeColor="text1"/>
          <w:sz w:val="20"/>
          <w:szCs w:val="20"/>
          <w14:textFill>
            <w14:solidFill>
              <w14:schemeClr w14:val="tx1"/>
            </w14:solidFill>
          </w14:textFill>
        </w:rPr>
        <w:t>Sesamum indicum</w:t>
      </w:r>
      <w:r>
        <w:rPr>
          <w:rFonts w:ascii="Arial" w:hAnsi="Arial" w:cs="Arial"/>
          <w:color w:val="000000" w:themeColor="text1"/>
          <w:sz w:val="20"/>
          <w:szCs w:val="20"/>
          <w14:textFill>
            <w14:solidFill>
              <w14:schemeClr w14:val="tx1"/>
            </w14:solidFill>
          </w14:textFill>
        </w:rPr>
        <w:t xml:space="preserve"> L.). </w:t>
      </w:r>
      <w:r>
        <w:rPr>
          <w:rFonts w:ascii="Arial" w:hAnsi="Arial" w:cs="Arial"/>
          <w:i/>
          <w:iCs/>
          <w:color w:val="000000" w:themeColor="text1"/>
          <w:sz w:val="20"/>
          <w:szCs w:val="20"/>
          <w14:textFill>
            <w14:solidFill>
              <w14:schemeClr w14:val="tx1"/>
            </w14:solidFill>
          </w14:textFill>
        </w:rPr>
        <w:t>Pertanika Journal of Tropical Agricultural Science</w:t>
      </w:r>
      <w:r>
        <w:rPr>
          <w:rFonts w:ascii="Arial" w:hAnsi="Arial" w:cs="Arial"/>
          <w:color w:val="000000" w:themeColor="text1"/>
          <w:sz w:val="20"/>
          <w:szCs w:val="20"/>
          <w14:textFill>
            <w14:solidFill>
              <w14:schemeClr w14:val="tx1"/>
            </w14:solidFill>
          </w14:textFill>
        </w:rPr>
        <w:t>. 46(4): 1151-1172.</w:t>
      </w:r>
    </w:p>
    <w:p w14:paraId="459D9B21">
      <w:pPr>
        <w:spacing w:before="240"/>
        <w:jc w:val="both"/>
        <w:rPr>
          <w:rFonts w:ascii="Arial" w:hAnsi="Arial" w:cs="Arial"/>
          <w:sz w:val="20"/>
          <w:szCs w:val="20"/>
        </w:rPr>
      </w:pPr>
      <w:r>
        <w:rPr>
          <w:rFonts w:ascii="Arial" w:hAnsi="Arial" w:cs="Arial"/>
          <w:sz w:val="20"/>
          <w:szCs w:val="20"/>
        </w:rPr>
        <w:t xml:space="preserve">Imoloame, E.O., Joshua, S.D and Gworgwor, N.A. 2011. Effect of pre-emergence herbicides on weed infestation and productivity of sesame in the Sudan Savanna Zone of Nigeria. </w:t>
      </w:r>
      <w:r>
        <w:rPr>
          <w:rFonts w:ascii="Arial" w:hAnsi="Arial" w:cs="Arial"/>
          <w:i/>
          <w:iCs/>
          <w:sz w:val="20"/>
          <w:szCs w:val="20"/>
        </w:rPr>
        <w:t xml:space="preserve">Journal of Agricultural Biotechnology and Sustainable Development. </w:t>
      </w:r>
      <w:r>
        <w:rPr>
          <w:rFonts w:ascii="Arial" w:hAnsi="Arial" w:cs="Arial"/>
          <w:sz w:val="20"/>
          <w:szCs w:val="20"/>
        </w:rPr>
        <w:t>3(2): 19-27.</w:t>
      </w:r>
    </w:p>
    <w:p w14:paraId="1EF59D75">
      <w:pPr>
        <w:spacing w:before="240"/>
        <w:jc w:val="both"/>
        <w:rPr>
          <w:rFonts w:ascii="Arial" w:hAnsi="Arial" w:cs="Arial"/>
          <w:sz w:val="20"/>
          <w:szCs w:val="20"/>
        </w:rPr>
      </w:pPr>
      <w:r>
        <w:rPr>
          <w:rFonts w:ascii="Arial" w:hAnsi="Arial" w:cs="Arial"/>
          <w:sz w:val="20"/>
          <w:szCs w:val="20"/>
        </w:rPr>
        <w:t>Ismail, A.M., Hamada, S.H.E., Korrat, E.E.E and El Gananiy, S.M. 2024. Response of sesame (</w:t>
      </w:r>
      <w:r>
        <w:rPr>
          <w:rFonts w:ascii="Arial" w:hAnsi="Arial" w:cs="Arial"/>
          <w:i/>
          <w:iCs/>
          <w:sz w:val="20"/>
          <w:szCs w:val="20"/>
        </w:rPr>
        <w:t>Sesamum indicum</w:t>
      </w:r>
      <w:r>
        <w:rPr>
          <w:rFonts w:ascii="Arial" w:hAnsi="Arial" w:cs="Arial"/>
          <w:sz w:val="20"/>
          <w:szCs w:val="20"/>
        </w:rPr>
        <w:t xml:space="preserve"> L.), associated weeds and subsequent crops to pre and postemergence herbicides. </w:t>
      </w:r>
      <w:r>
        <w:rPr>
          <w:rFonts w:ascii="Arial" w:hAnsi="Arial" w:cs="Arial"/>
          <w:i/>
          <w:iCs/>
          <w:sz w:val="20"/>
          <w:szCs w:val="20"/>
        </w:rPr>
        <w:t>Applied Ecology and Environmental Research</w:t>
      </w:r>
      <w:r>
        <w:rPr>
          <w:rFonts w:ascii="Arial" w:hAnsi="Arial" w:cs="Arial"/>
          <w:sz w:val="20"/>
          <w:szCs w:val="20"/>
        </w:rPr>
        <w:t>. 22(4):3521-3537.</w:t>
      </w:r>
    </w:p>
    <w:p w14:paraId="1C3267DF">
      <w:pPr>
        <w:spacing w:before="240"/>
        <w:jc w:val="both"/>
        <w:rPr>
          <w:rFonts w:ascii="Arial" w:hAnsi="Arial" w:cs="Arial"/>
          <w:sz w:val="20"/>
          <w:szCs w:val="20"/>
        </w:rPr>
      </w:pPr>
      <w:r>
        <w:rPr>
          <w:rFonts w:ascii="Arial" w:hAnsi="Arial" w:cs="Arial"/>
          <w:sz w:val="20"/>
          <w:szCs w:val="20"/>
        </w:rPr>
        <w:t xml:space="preserve">Jadhav K.S. 2015. </w:t>
      </w:r>
      <w:r>
        <w:rPr>
          <w:rFonts w:ascii="Arial" w:hAnsi="Arial" w:cs="Arial" w:eastAsiaTheme="minorHAnsi"/>
          <w:sz w:val="20"/>
          <w:szCs w:val="20"/>
        </w:rPr>
        <w:t>Weed control in sesamum with pre-emergence herbicides</w:t>
      </w:r>
      <w:r>
        <w:rPr>
          <w:rFonts w:ascii="Arial" w:hAnsi="Arial" w:cs="Arial"/>
          <w:sz w:val="20"/>
          <w:szCs w:val="20"/>
        </w:rPr>
        <w:t xml:space="preserve">. </w:t>
      </w:r>
      <w:r>
        <w:rPr>
          <w:rFonts w:ascii="Arial" w:hAnsi="Arial" w:cs="Arial" w:eastAsiaTheme="minorHAnsi"/>
          <w:i/>
          <w:iCs/>
          <w:sz w:val="20"/>
          <w:szCs w:val="20"/>
        </w:rPr>
        <w:t>Indian Journal of Weed Science</w:t>
      </w:r>
      <w:r>
        <w:rPr>
          <w:rFonts w:ascii="Arial" w:hAnsi="Arial" w:cs="Arial"/>
          <w:i/>
          <w:iCs/>
          <w:sz w:val="20"/>
          <w:szCs w:val="20"/>
        </w:rPr>
        <w:t>.</w:t>
      </w:r>
      <w:r>
        <w:rPr>
          <w:rFonts w:ascii="Arial" w:hAnsi="Arial" w:cs="Arial" w:eastAsiaTheme="minorHAnsi"/>
          <w:i/>
          <w:iCs/>
          <w:sz w:val="20"/>
          <w:szCs w:val="20"/>
        </w:rPr>
        <w:t xml:space="preserve"> </w:t>
      </w:r>
      <w:r>
        <w:rPr>
          <w:rFonts w:ascii="Arial" w:hAnsi="Arial" w:cs="Arial" w:eastAsiaTheme="minorHAnsi"/>
          <w:sz w:val="20"/>
          <w:szCs w:val="20"/>
        </w:rPr>
        <w:t>47(4): 428–429</w:t>
      </w:r>
      <w:r>
        <w:rPr>
          <w:rFonts w:ascii="Arial" w:hAnsi="Arial" w:cs="Arial"/>
          <w:sz w:val="20"/>
          <w:szCs w:val="20"/>
        </w:rPr>
        <w:t>.</w:t>
      </w:r>
    </w:p>
    <w:p w14:paraId="18926297">
      <w:pPr>
        <w:spacing w:before="240"/>
        <w:jc w:val="both"/>
        <w:rPr>
          <w:rFonts w:ascii="Arial" w:hAnsi="Arial" w:cs="Arial"/>
          <w:sz w:val="20"/>
          <w:szCs w:val="20"/>
        </w:rPr>
      </w:pPr>
      <w:r>
        <w:rPr>
          <w:rFonts w:ascii="Arial" w:hAnsi="Arial" w:cs="Arial"/>
          <w:sz w:val="20"/>
          <w:szCs w:val="20"/>
        </w:rPr>
        <w:t>Kabirou, Y.I., Abdulrahman, L and Halima, M.I. 2023. Quality and profitability of sesame (</w:t>
      </w:r>
      <w:r>
        <w:rPr>
          <w:rFonts w:ascii="Arial" w:hAnsi="Arial" w:cs="Arial"/>
          <w:i/>
          <w:iCs/>
          <w:sz w:val="20"/>
          <w:szCs w:val="20"/>
        </w:rPr>
        <w:t>Sesamum indicum</w:t>
      </w:r>
      <w:r>
        <w:rPr>
          <w:rFonts w:ascii="Arial" w:hAnsi="Arial" w:cs="Arial"/>
          <w:sz w:val="20"/>
          <w:szCs w:val="20"/>
        </w:rPr>
        <w:t xml:space="preserve">) as influenced by weed management treatments in Kano, Sudan Savanna agro-ecological zone of Nigeria. </w:t>
      </w:r>
      <w:r>
        <w:rPr>
          <w:rFonts w:ascii="Arial" w:hAnsi="Arial" w:cs="Arial"/>
          <w:i/>
          <w:iCs/>
          <w:sz w:val="20"/>
          <w:szCs w:val="20"/>
        </w:rPr>
        <w:t xml:space="preserve">Indian Journal of Weed Science. </w:t>
      </w:r>
      <w:r>
        <w:rPr>
          <w:rFonts w:ascii="Arial" w:hAnsi="Arial" w:cs="Arial"/>
          <w:sz w:val="20"/>
          <w:szCs w:val="20"/>
        </w:rPr>
        <w:t>55(1): 67-71.</w:t>
      </w:r>
    </w:p>
    <w:p w14:paraId="67BE8960">
      <w:pPr>
        <w:spacing w:before="240"/>
        <w:jc w:val="both"/>
        <w:rPr>
          <w:rFonts w:ascii="Arial" w:hAnsi="Arial" w:cs="Arial"/>
          <w:sz w:val="20"/>
          <w:szCs w:val="20"/>
        </w:rPr>
      </w:pPr>
      <w:r>
        <w:rPr>
          <w:rFonts w:ascii="Arial" w:hAnsi="Arial" w:cs="Arial"/>
          <w:sz w:val="20"/>
          <w:szCs w:val="20"/>
        </w:rPr>
        <w:t>Kamani, H.A., Bavalgave, V.G and Lad, Y.P. 2022. Influence of nitrogen levels and weed management practices on yield attributes, yield and economics of sesame (</w:t>
      </w:r>
      <w:r>
        <w:rPr>
          <w:rFonts w:ascii="Arial" w:hAnsi="Arial" w:cs="Arial"/>
          <w:i/>
          <w:iCs/>
          <w:sz w:val="20"/>
          <w:szCs w:val="20"/>
        </w:rPr>
        <w:t xml:space="preserve">Sesamum indicum </w:t>
      </w:r>
      <w:r>
        <w:rPr>
          <w:rFonts w:ascii="Arial" w:hAnsi="Arial" w:cs="Arial"/>
          <w:sz w:val="20"/>
          <w:szCs w:val="20"/>
        </w:rPr>
        <w:t xml:space="preserve">L.) under South Gujarat condition. </w:t>
      </w:r>
      <w:r>
        <w:rPr>
          <w:rFonts w:ascii="Arial" w:hAnsi="Arial" w:cs="Arial"/>
          <w:i/>
          <w:iCs/>
          <w:sz w:val="20"/>
          <w:szCs w:val="20"/>
        </w:rPr>
        <w:t xml:space="preserve">The Pharma Innovation Journal. </w:t>
      </w:r>
      <w:r>
        <w:rPr>
          <w:rFonts w:ascii="Arial" w:hAnsi="Arial" w:cs="Arial"/>
          <w:sz w:val="20"/>
          <w:szCs w:val="20"/>
        </w:rPr>
        <w:t>11(6): 870-873.</w:t>
      </w:r>
    </w:p>
    <w:p w14:paraId="1AE5315B">
      <w:pPr>
        <w:spacing w:before="240"/>
        <w:jc w:val="both"/>
        <w:rPr>
          <w:rFonts w:ascii="Arial" w:hAnsi="Arial" w:cs="Arial"/>
          <w:sz w:val="20"/>
          <w:szCs w:val="20"/>
        </w:rPr>
      </w:pPr>
      <w:r>
        <w:rPr>
          <w:rFonts w:ascii="Arial" w:hAnsi="Arial" w:cs="Arial"/>
          <w:sz w:val="20"/>
          <w:szCs w:val="20"/>
        </w:rPr>
        <w:t>Magani, E.I., Shave, P.A and Avav, T. 2012. Evaluation of fluazifop-p-butyl and propanil for weed control in sesame (</w:t>
      </w:r>
      <w:r>
        <w:rPr>
          <w:rFonts w:ascii="Arial" w:hAnsi="Arial" w:cs="Arial"/>
          <w:i/>
          <w:iCs/>
          <w:sz w:val="20"/>
          <w:szCs w:val="20"/>
        </w:rPr>
        <w:t>Sesamum indicum</w:t>
      </w:r>
      <w:r>
        <w:rPr>
          <w:rFonts w:ascii="Arial" w:hAnsi="Arial" w:cs="Arial"/>
          <w:sz w:val="20"/>
          <w:szCs w:val="20"/>
        </w:rPr>
        <w:t xml:space="preserve"> L.) in Southern Guinea Savanna, Nigeria. </w:t>
      </w:r>
      <w:r>
        <w:rPr>
          <w:rFonts w:ascii="Arial" w:hAnsi="Arial" w:cs="Arial"/>
          <w:i/>
          <w:iCs/>
          <w:sz w:val="20"/>
          <w:szCs w:val="20"/>
        </w:rPr>
        <w:t>American Journal of Experimental Agriculture</w:t>
      </w:r>
      <w:r>
        <w:rPr>
          <w:rFonts w:ascii="Arial" w:hAnsi="Arial" w:cs="Arial"/>
          <w:sz w:val="20"/>
          <w:szCs w:val="20"/>
        </w:rPr>
        <w:t>. 2(4):680-689</w:t>
      </w:r>
      <w:r>
        <w:rPr>
          <w:rFonts w:ascii="Arial" w:hAnsi="Arial" w:cs="Arial"/>
          <w:i/>
          <w:iCs/>
          <w:sz w:val="20"/>
          <w:szCs w:val="20"/>
        </w:rPr>
        <w:t>.</w:t>
      </w:r>
    </w:p>
    <w:p w14:paraId="6017174B">
      <w:pPr>
        <w:spacing w:before="240"/>
        <w:jc w:val="both"/>
        <w:rPr>
          <w:rFonts w:ascii="Arial" w:hAnsi="Arial" w:cs="Arial"/>
          <w:sz w:val="20"/>
          <w:szCs w:val="20"/>
        </w:rPr>
      </w:pPr>
      <w:r>
        <w:rPr>
          <w:rFonts w:ascii="Arial" w:hAnsi="Arial" w:cs="Arial"/>
          <w:sz w:val="20"/>
          <w:szCs w:val="20"/>
        </w:rPr>
        <w:t xml:space="preserve">Manoj, K., Deepak, M.K and Singh, R.K. 2017. Weed control in custard apple-sesame based agri-horticulture system. </w:t>
      </w:r>
      <w:r>
        <w:rPr>
          <w:rFonts w:ascii="Arial" w:hAnsi="Arial" w:cs="Arial"/>
          <w:i/>
          <w:iCs/>
          <w:sz w:val="20"/>
          <w:szCs w:val="20"/>
        </w:rPr>
        <w:t xml:space="preserve">Agricultural Research Journal. </w:t>
      </w:r>
      <w:r>
        <w:rPr>
          <w:rFonts w:ascii="Arial" w:hAnsi="Arial" w:cs="Arial"/>
          <w:sz w:val="20"/>
          <w:szCs w:val="20"/>
        </w:rPr>
        <w:t>54(1): 139-140.</w:t>
      </w:r>
    </w:p>
    <w:p w14:paraId="4B3F4B91">
      <w:pPr>
        <w:spacing w:before="24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Mruthul, T., Halepyati, A.S., Chittapur, B.M and Anu, V. 2023. Impact of weed management strategies on dry matter production and yield in sesame (</w:t>
      </w:r>
      <w:r>
        <w:rPr>
          <w:rFonts w:ascii="Arial" w:hAnsi="Arial" w:cs="Arial"/>
          <w:i/>
          <w:iCs/>
          <w:color w:val="000000" w:themeColor="text1"/>
          <w:sz w:val="20"/>
          <w:szCs w:val="20"/>
          <w14:textFill>
            <w14:solidFill>
              <w14:schemeClr w14:val="tx1"/>
            </w14:solidFill>
          </w14:textFill>
        </w:rPr>
        <w:t xml:space="preserve">Sesamum indicum </w:t>
      </w:r>
      <w:r>
        <w:rPr>
          <w:rFonts w:ascii="Arial" w:hAnsi="Arial" w:cs="Arial"/>
          <w:color w:val="000000" w:themeColor="text1"/>
          <w:sz w:val="20"/>
          <w:szCs w:val="20"/>
          <w14:textFill>
            <w14:solidFill>
              <w14:schemeClr w14:val="tx1"/>
            </w14:solidFill>
          </w14:textFill>
        </w:rPr>
        <w:t xml:space="preserve">L.). </w:t>
      </w:r>
      <w:r>
        <w:rPr>
          <w:rFonts w:ascii="Arial" w:hAnsi="Arial" w:cs="Arial"/>
          <w:i/>
          <w:iCs/>
          <w:color w:val="000000" w:themeColor="text1"/>
          <w:sz w:val="20"/>
          <w:szCs w:val="20"/>
          <w14:textFill>
            <w14:solidFill>
              <w14:schemeClr w14:val="tx1"/>
            </w14:solidFill>
          </w14:textFill>
        </w:rPr>
        <w:t>The Pharma Innovation Journal</w:t>
      </w:r>
      <w:r>
        <w:rPr>
          <w:rFonts w:ascii="Arial" w:hAnsi="Arial" w:cs="Arial"/>
          <w:color w:val="000000" w:themeColor="text1"/>
          <w:sz w:val="20"/>
          <w:szCs w:val="20"/>
          <w14:textFill>
            <w14:solidFill>
              <w14:schemeClr w14:val="tx1"/>
            </w14:solidFill>
          </w14:textFill>
        </w:rPr>
        <w:t>. 12(12): 2780-2784.</w:t>
      </w:r>
    </w:p>
    <w:p w14:paraId="4274A05E">
      <w:pPr>
        <w:spacing w:before="240"/>
        <w:jc w:val="both"/>
        <w:rPr>
          <w:rFonts w:ascii="Arial" w:hAnsi="Arial" w:cs="Arial"/>
          <w:sz w:val="20"/>
          <w:szCs w:val="20"/>
        </w:rPr>
      </w:pPr>
      <w:r>
        <w:rPr>
          <w:rFonts w:ascii="Arial" w:hAnsi="Arial" w:cs="Arial"/>
          <w:sz w:val="20"/>
          <w:szCs w:val="20"/>
          <w:shd w:val="clear" w:color="auto" w:fill="FFFFFF"/>
        </w:rPr>
        <w:t>Ndarubu, A.A., Adejonwo, K.O., Adigun, J.A and Chiezey, U.F. 2003. Effects of weed control treatments and inter row-spacing on the growth and yield of sesame (</w:t>
      </w:r>
      <w:r>
        <w:rPr>
          <w:rFonts w:ascii="Arial" w:hAnsi="Arial" w:cs="Arial"/>
          <w:i/>
          <w:iCs/>
          <w:sz w:val="20"/>
          <w:szCs w:val="20"/>
          <w:shd w:val="clear" w:color="auto" w:fill="FFFFFF"/>
        </w:rPr>
        <w:t>Sesamum indicum</w:t>
      </w:r>
      <w:r>
        <w:rPr>
          <w:rFonts w:ascii="Arial" w:hAnsi="Arial" w:cs="Arial"/>
          <w:sz w:val="20"/>
          <w:szCs w:val="20"/>
          <w:shd w:val="clear" w:color="auto" w:fill="FFFFFF"/>
        </w:rPr>
        <w:t xml:space="preserve"> L.). </w:t>
      </w:r>
      <w:r>
        <w:rPr>
          <w:rFonts w:ascii="Arial" w:hAnsi="Arial" w:cs="Arial"/>
          <w:i/>
          <w:iCs/>
          <w:sz w:val="20"/>
          <w:szCs w:val="20"/>
          <w:shd w:val="clear" w:color="auto" w:fill="FFFFFF"/>
        </w:rPr>
        <w:t>Nigerian Journal of Weed Science</w:t>
      </w:r>
      <w:r>
        <w:rPr>
          <w:rFonts w:ascii="Arial" w:hAnsi="Arial" w:cs="Arial"/>
          <w:sz w:val="20"/>
          <w:szCs w:val="20"/>
          <w:shd w:val="clear" w:color="auto" w:fill="FFFFFF"/>
        </w:rPr>
        <w:t>. 16:15-23.</w:t>
      </w:r>
    </w:p>
    <w:p w14:paraId="78CA16C2">
      <w:pPr>
        <w:spacing w:before="240"/>
        <w:jc w:val="both"/>
        <w:rPr>
          <w:rFonts w:ascii="Arial" w:hAnsi="Arial" w:cs="Arial"/>
          <w:sz w:val="20"/>
          <w:szCs w:val="20"/>
        </w:rPr>
      </w:pPr>
      <w:r>
        <w:rPr>
          <w:rFonts w:ascii="Arial" w:hAnsi="Arial" w:cs="Arial"/>
          <w:sz w:val="20"/>
          <w:szCs w:val="20"/>
        </w:rPr>
        <w:t>Ninama, A.R., Kumawat, P.D., Bhuriya, K.P., Solanki, B.Pand Muchhadiya, R.M. 2025 Effect of clipping, plant growth regulators and weed management on growth of summer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International Journal of Research in Agronomy</w:t>
      </w:r>
      <w:r>
        <w:rPr>
          <w:rFonts w:ascii="Arial" w:hAnsi="Arial" w:cs="Arial"/>
          <w:sz w:val="20"/>
          <w:szCs w:val="20"/>
        </w:rPr>
        <w:t>. 8(6): 813-819.</w:t>
      </w:r>
    </w:p>
    <w:p w14:paraId="31958EC5">
      <w:pPr>
        <w:spacing w:before="24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Omezzine, F., Rinez, A., Ladhari, A., Farooq, M andHaouala, R. 2011. Allelopathic potential of Indulaviscosa against crops and weeds. International Journal of Agricultural Biology. 13(6):841-849. </w:t>
      </w:r>
    </w:p>
    <w:p w14:paraId="1BCE9E53">
      <w:pPr>
        <w:spacing w:before="240"/>
        <w:jc w:val="both"/>
        <w:rPr>
          <w:rFonts w:ascii="Arial" w:hAnsi="Arial" w:cs="Arial"/>
          <w:sz w:val="20"/>
          <w:szCs w:val="20"/>
        </w:rPr>
      </w:pPr>
      <w:r>
        <w:rPr>
          <w:rFonts w:ascii="Arial" w:hAnsi="Arial" w:cs="Arial"/>
          <w:sz w:val="20"/>
          <w:szCs w:val="20"/>
        </w:rPr>
        <w:t>Patnaik, L., Adhikary, R and Reddy, M.D. 2021. Effect of chemical to herb control on performance of sesame (</w:t>
      </w:r>
      <w:r>
        <w:rPr>
          <w:rFonts w:ascii="Arial" w:hAnsi="Arial" w:cs="Arial"/>
          <w:i/>
          <w:iCs/>
          <w:sz w:val="20"/>
          <w:szCs w:val="20"/>
        </w:rPr>
        <w:t>Sesamum indicum</w:t>
      </w:r>
      <w:r>
        <w:rPr>
          <w:rFonts w:ascii="Arial" w:hAnsi="Arial" w:cs="Arial"/>
          <w:sz w:val="20"/>
          <w:szCs w:val="20"/>
        </w:rPr>
        <w:t xml:space="preserve">) under irrigated conditions. </w:t>
      </w:r>
      <w:r>
        <w:rPr>
          <w:rFonts w:ascii="Arial" w:hAnsi="Arial" w:cs="Arial"/>
          <w:i/>
          <w:iCs/>
          <w:sz w:val="20"/>
          <w:szCs w:val="20"/>
        </w:rPr>
        <w:t xml:space="preserve">International Journal of Environment and Climate Change. </w:t>
      </w:r>
      <w:r>
        <w:rPr>
          <w:rFonts w:ascii="Arial" w:hAnsi="Arial" w:cs="Arial"/>
          <w:sz w:val="20"/>
          <w:szCs w:val="20"/>
        </w:rPr>
        <w:t>11(4): 75-81.</w:t>
      </w:r>
    </w:p>
    <w:p w14:paraId="6C94F23B">
      <w:pPr>
        <w:spacing w:before="240"/>
        <w:jc w:val="both"/>
        <w:rPr>
          <w:rFonts w:ascii="Arial" w:hAnsi="Arial" w:cs="Arial"/>
          <w:sz w:val="20"/>
          <w:szCs w:val="20"/>
        </w:rPr>
      </w:pPr>
      <w:r>
        <w:rPr>
          <w:rFonts w:ascii="Arial" w:hAnsi="Arial" w:cs="Arial"/>
          <w:sz w:val="20"/>
          <w:szCs w:val="20"/>
        </w:rPr>
        <w:t>Patnaik, L., Deepthi, C., Reddy, M.D and Adhikary, R. 2020. Effect of chemical weed control on weed intensity in summer sesamum (</w:t>
      </w:r>
      <w:r>
        <w:rPr>
          <w:rFonts w:ascii="Arial" w:hAnsi="Arial" w:cs="Arial"/>
          <w:i/>
          <w:iCs/>
          <w:sz w:val="20"/>
          <w:szCs w:val="20"/>
        </w:rPr>
        <w:t>Sesamum indicum</w:t>
      </w:r>
      <w:r>
        <w:rPr>
          <w:rFonts w:ascii="Arial" w:hAnsi="Arial" w:cs="Arial"/>
          <w:sz w:val="20"/>
          <w:szCs w:val="20"/>
        </w:rPr>
        <w:t xml:space="preserve"> L.) under irrigated conditions. </w:t>
      </w:r>
      <w:r>
        <w:rPr>
          <w:rFonts w:ascii="Arial" w:hAnsi="Arial" w:cs="Arial"/>
          <w:i/>
          <w:iCs/>
          <w:sz w:val="20"/>
          <w:szCs w:val="20"/>
        </w:rPr>
        <w:t>Agro Economist - An International Journal.</w:t>
      </w:r>
      <w:r>
        <w:rPr>
          <w:rFonts w:ascii="Arial" w:hAnsi="Arial" w:cs="Arial"/>
          <w:sz w:val="20"/>
          <w:szCs w:val="20"/>
        </w:rPr>
        <w:t xml:space="preserve"> 7(2): 53-60.</w:t>
      </w:r>
    </w:p>
    <w:p w14:paraId="6F831E3E">
      <w:pPr>
        <w:spacing w:before="240"/>
        <w:jc w:val="both"/>
        <w:rPr>
          <w:rFonts w:ascii="Arial" w:hAnsi="Arial" w:cs="Arial"/>
          <w:sz w:val="20"/>
          <w:szCs w:val="20"/>
        </w:rPr>
      </w:pPr>
      <w:r>
        <w:rPr>
          <w:rFonts w:ascii="Arial" w:hAnsi="Arial" w:cs="Arial"/>
          <w:sz w:val="20"/>
          <w:szCs w:val="20"/>
        </w:rPr>
        <w:t>Pramanik, A., Duary, B and Sar, K. 2025. Weed management in sesame using herbicides with and without soil mulch in lateritic soil of West Bengal. </w:t>
      </w:r>
      <w:r>
        <w:rPr>
          <w:rFonts w:ascii="Arial" w:hAnsi="Arial" w:cs="Arial"/>
          <w:i/>
          <w:iCs/>
          <w:sz w:val="20"/>
          <w:szCs w:val="20"/>
        </w:rPr>
        <w:t>Indian Journal of Weed Science</w:t>
      </w:r>
      <w:r>
        <w:rPr>
          <w:rFonts w:ascii="Arial" w:hAnsi="Arial" w:cs="Arial"/>
          <w:sz w:val="20"/>
          <w:szCs w:val="20"/>
        </w:rPr>
        <w:t>. 57(2): 247-251.</w:t>
      </w:r>
    </w:p>
    <w:p w14:paraId="72AF1368">
      <w:pPr>
        <w:spacing w:before="240"/>
        <w:jc w:val="both"/>
        <w:rPr>
          <w:rFonts w:ascii="Arial" w:hAnsi="Arial" w:cs="Arial"/>
          <w:sz w:val="20"/>
          <w:szCs w:val="20"/>
        </w:rPr>
      </w:pPr>
      <w:r>
        <w:rPr>
          <w:rFonts w:ascii="Arial" w:hAnsi="Arial" w:cs="Arial"/>
          <w:sz w:val="20"/>
          <w:szCs w:val="20"/>
        </w:rPr>
        <w:t>Rajpurohit, D.S., Arvadia, L.K., Thumar, V. M., Mawalia, A.K and Dinesh, K. 2017. Yield attributes, yield, quality, weed index, nutrient content and uptake of plant as influenced by different row spacing and weed management practices in summer sesamum (</w:t>
      </w:r>
      <w:r>
        <w:rPr>
          <w:rFonts w:ascii="Arial" w:hAnsi="Arial" w:cs="Arial"/>
          <w:i/>
          <w:iCs/>
          <w:sz w:val="20"/>
          <w:szCs w:val="20"/>
        </w:rPr>
        <w:t xml:space="preserve">Sesamum indicum </w:t>
      </w:r>
      <w:r>
        <w:rPr>
          <w:rFonts w:ascii="Arial" w:hAnsi="Arial" w:cs="Arial"/>
          <w:sz w:val="20"/>
          <w:szCs w:val="20"/>
        </w:rPr>
        <w:t xml:space="preserve">L.). </w:t>
      </w:r>
      <w:r>
        <w:rPr>
          <w:rFonts w:ascii="Arial" w:hAnsi="Arial" w:cs="Arial"/>
          <w:i/>
          <w:iCs/>
          <w:sz w:val="20"/>
          <w:szCs w:val="20"/>
        </w:rPr>
        <w:t xml:space="preserve">Progressive Research – An International Journal. </w:t>
      </w:r>
      <w:r>
        <w:rPr>
          <w:rFonts w:ascii="Arial" w:hAnsi="Arial" w:cs="Arial"/>
          <w:sz w:val="20"/>
          <w:szCs w:val="20"/>
        </w:rPr>
        <w:t>12(3): 2087-2092</w:t>
      </w:r>
      <w:r>
        <w:rPr>
          <w:rFonts w:ascii="Arial" w:hAnsi="Arial" w:cs="Arial"/>
          <w:i/>
          <w:iCs/>
          <w:sz w:val="20"/>
          <w:szCs w:val="20"/>
        </w:rPr>
        <w:t>.</w:t>
      </w:r>
    </w:p>
    <w:p w14:paraId="7013EE77">
      <w:pPr>
        <w:spacing w:before="240"/>
        <w:jc w:val="both"/>
        <w:rPr>
          <w:rFonts w:ascii="Arial" w:hAnsi="Arial" w:cs="Arial"/>
          <w:sz w:val="20"/>
          <w:szCs w:val="20"/>
        </w:rPr>
      </w:pPr>
      <w:r>
        <w:rPr>
          <w:rFonts w:ascii="Arial" w:hAnsi="Arial" w:cs="Arial"/>
          <w:sz w:val="20"/>
          <w:szCs w:val="20"/>
        </w:rPr>
        <w:t xml:space="preserve">Ramesh, K., Padmaja, B., Dilip, T., Ratna, K.P., Qureshi, A.A., Ravi, K.M and Suresh, G.2025. Evaluation of the efficacy of preand post-emergence herbicides in </w:t>
      </w:r>
      <w:r>
        <w:rPr>
          <w:rFonts w:ascii="Arial" w:hAnsi="Arial" w:cs="Arial"/>
          <w:i/>
          <w:iCs/>
          <w:sz w:val="20"/>
          <w:szCs w:val="20"/>
        </w:rPr>
        <w:t xml:space="preserve">rabi </w:t>
      </w:r>
      <w:r>
        <w:rPr>
          <w:rFonts w:ascii="Arial" w:hAnsi="Arial" w:cs="Arial"/>
          <w:sz w:val="20"/>
          <w:szCs w:val="20"/>
        </w:rPr>
        <w:t xml:space="preserve">sesame. </w:t>
      </w:r>
      <w:r>
        <w:rPr>
          <w:rFonts w:ascii="Arial" w:hAnsi="Arial" w:cs="Arial"/>
          <w:i/>
          <w:iCs/>
          <w:sz w:val="20"/>
          <w:szCs w:val="20"/>
        </w:rPr>
        <w:t>Indian Journal of Weed Science</w:t>
      </w:r>
      <w:r>
        <w:rPr>
          <w:rFonts w:ascii="Arial" w:hAnsi="Arial" w:cs="Arial"/>
          <w:sz w:val="20"/>
          <w:szCs w:val="20"/>
        </w:rPr>
        <w:t>. 57(2): 252-255.</w:t>
      </w:r>
    </w:p>
    <w:p w14:paraId="609EF562">
      <w:pPr>
        <w:spacing w:before="240"/>
        <w:jc w:val="both"/>
        <w:rPr>
          <w:rFonts w:ascii="Arial" w:hAnsi="Arial" w:cs="Arial"/>
          <w:sz w:val="20"/>
          <w:szCs w:val="20"/>
        </w:rPr>
      </w:pPr>
      <w:r>
        <w:rPr>
          <w:rFonts w:ascii="Arial" w:hAnsi="Arial" w:cs="Arial"/>
          <w:sz w:val="20"/>
          <w:szCs w:val="20"/>
        </w:rPr>
        <w:t xml:space="preserve">Roy, P and Umesha C. 2023. Productivity of sesame on growth and yield as influenced by plant spacing and weed management practices. </w:t>
      </w:r>
      <w:r>
        <w:rPr>
          <w:rFonts w:ascii="Arial" w:hAnsi="Arial" w:cs="Arial"/>
          <w:i/>
          <w:iCs/>
          <w:sz w:val="20"/>
          <w:szCs w:val="20"/>
        </w:rPr>
        <w:t>International Journal of Environment and Climate Change.</w:t>
      </w:r>
      <w:r>
        <w:rPr>
          <w:rFonts w:ascii="Arial" w:hAnsi="Arial" w:cs="Arial"/>
          <w:sz w:val="20"/>
          <w:szCs w:val="20"/>
        </w:rPr>
        <w:t> 13(10): 2268-2276.</w:t>
      </w:r>
    </w:p>
    <w:p w14:paraId="5DE58501">
      <w:pPr>
        <w:spacing w:before="240"/>
        <w:jc w:val="both"/>
        <w:rPr>
          <w:rFonts w:ascii="Arial" w:hAnsi="Arial" w:cs="Arial"/>
          <w:sz w:val="20"/>
          <w:szCs w:val="20"/>
        </w:rPr>
      </w:pPr>
      <w:r>
        <w:rPr>
          <w:rFonts w:ascii="Arial" w:hAnsi="Arial" w:cs="Arial"/>
          <w:sz w:val="20"/>
          <w:szCs w:val="20"/>
        </w:rPr>
        <w:t>Saha, S., Thakur, A.K., Kumar, M., Chandrakar, T and Singh, D.P. 2022. Effect of different herbicides on yield and yield attributing characters of summer sesame (</w:t>
      </w:r>
      <w:r>
        <w:rPr>
          <w:rFonts w:ascii="Arial" w:hAnsi="Arial" w:cs="Arial"/>
          <w:i/>
          <w:iCs/>
          <w:sz w:val="20"/>
          <w:szCs w:val="20"/>
        </w:rPr>
        <w:t>Sesamum indicum</w:t>
      </w:r>
      <w:r>
        <w:rPr>
          <w:rFonts w:ascii="Arial" w:hAnsi="Arial" w:cs="Arial"/>
          <w:sz w:val="20"/>
          <w:szCs w:val="20"/>
        </w:rPr>
        <w:t xml:space="preserve"> L.). </w:t>
      </w:r>
      <w:r>
        <w:rPr>
          <w:rFonts w:ascii="Arial" w:hAnsi="Arial" w:cs="Arial"/>
          <w:i/>
          <w:iCs/>
          <w:sz w:val="20"/>
          <w:szCs w:val="20"/>
        </w:rPr>
        <w:t>International Journal of Current Microbiology and Applied Sciences.</w:t>
      </w:r>
      <w:r>
        <w:rPr>
          <w:rFonts w:ascii="Arial" w:hAnsi="Arial" w:cs="Arial"/>
          <w:sz w:val="20"/>
          <w:szCs w:val="20"/>
        </w:rPr>
        <w:t> 11(1): 400-404.</w:t>
      </w:r>
    </w:p>
    <w:p w14:paraId="2484CFB4">
      <w:pPr>
        <w:spacing w:before="240"/>
        <w:jc w:val="both"/>
        <w:rPr>
          <w:rFonts w:ascii="Arial" w:hAnsi="Arial" w:cs="Arial"/>
          <w:sz w:val="20"/>
          <w:szCs w:val="20"/>
        </w:rPr>
      </w:pPr>
      <w:r>
        <w:rPr>
          <w:rFonts w:ascii="Arial" w:hAnsi="Arial" w:cs="Arial"/>
          <w:sz w:val="20"/>
          <w:szCs w:val="20"/>
        </w:rPr>
        <w:t xml:space="preserve">Sahu, M.P., Jain, N., Bermaiya, U., Jain, V and Kumar, A. 2019. Enhancing productivity and profitability through herbicidal weed control in sesame. </w:t>
      </w:r>
      <w:r>
        <w:rPr>
          <w:rFonts w:ascii="Arial" w:hAnsi="Arial" w:cs="Arial"/>
          <w:i/>
          <w:iCs/>
          <w:sz w:val="20"/>
          <w:szCs w:val="20"/>
        </w:rPr>
        <w:t xml:space="preserve">Indian Journal of Weed Science. </w:t>
      </w:r>
      <w:r>
        <w:rPr>
          <w:rFonts w:ascii="Arial" w:hAnsi="Arial" w:cs="Arial"/>
          <w:sz w:val="20"/>
          <w:szCs w:val="20"/>
        </w:rPr>
        <w:t xml:space="preserve">51(2): 214-216. </w:t>
      </w:r>
    </w:p>
    <w:p w14:paraId="1A295410">
      <w:pPr>
        <w:spacing w:before="240"/>
        <w:jc w:val="both"/>
        <w:rPr>
          <w:rFonts w:ascii="Arial" w:hAnsi="Arial" w:cs="Arial"/>
          <w:sz w:val="20"/>
          <w:szCs w:val="20"/>
        </w:rPr>
      </w:pPr>
      <w:r>
        <w:rPr>
          <w:rFonts w:ascii="Arial" w:hAnsi="Arial" w:cs="Arial"/>
          <w:sz w:val="20"/>
          <w:szCs w:val="20"/>
        </w:rPr>
        <w:t>Sangeetha, K., Selvakumar, T and Chinnamuthu, C.R. 2019. Effect of chemical weed management practices on economics of irrigated sesame cultivation in western zone of Tamil Nadu. </w:t>
      </w:r>
      <w:r>
        <w:rPr>
          <w:rFonts w:ascii="Arial" w:hAnsi="Arial" w:cs="Arial"/>
          <w:i/>
          <w:iCs/>
          <w:sz w:val="20"/>
          <w:szCs w:val="20"/>
        </w:rPr>
        <w:t>International Journal of Chemical Studies</w:t>
      </w:r>
      <w:r>
        <w:rPr>
          <w:rFonts w:ascii="Arial" w:hAnsi="Arial" w:cs="Arial"/>
          <w:sz w:val="20"/>
          <w:szCs w:val="20"/>
        </w:rPr>
        <w:t>. 7(4):144-147.</w:t>
      </w:r>
    </w:p>
    <w:p w14:paraId="4E8E09D7">
      <w:pPr>
        <w:spacing w:before="240"/>
        <w:jc w:val="both"/>
        <w:rPr>
          <w:rFonts w:ascii="Arial" w:hAnsi="Arial" w:cs="Arial"/>
          <w:sz w:val="20"/>
          <w:szCs w:val="20"/>
        </w:rPr>
      </w:pPr>
      <w:r>
        <w:rPr>
          <w:rFonts w:ascii="Arial" w:hAnsi="Arial" w:cs="Arial" w:eastAsiaTheme="minorHAnsi"/>
          <w:sz w:val="20"/>
          <w:szCs w:val="20"/>
        </w:rPr>
        <w:t>Singh, R., Ghosh, D., Dubey, R.P and Singh, V.P. 2018. Weed control in</w:t>
      </w:r>
      <w:r>
        <w:rPr>
          <w:rFonts w:ascii="Arial" w:hAnsi="Arial" w:cs="Arial"/>
          <w:sz w:val="20"/>
          <w:szCs w:val="20"/>
        </w:rPr>
        <w:t xml:space="preserve"> </w:t>
      </w:r>
      <w:r>
        <w:rPr>
          <w:rFonts w:ascii="Arial" w:hAnsi="Arial" w:cs="Arial" w:eastAsiaTheme="minorHAnsi"/>
          <w:sz w:val="20"/>
          <w:szCs w:val="20"/>
        </w:rPr>
        <w:t xml:space="preserve">sesame with pre-emergence herbicides. </w:t>
      </w:r>
      <w:r>
        <w:rPr>
          <w:rFonts w:ascii="Arial" w:hAnsi="Arial" w:cs="Arial" w:eastAsiaTheme="minorHAnsi"/>
          <w:i/>
          <w:iCs/>
          <w:sz w:val="20"/>
          <w:szCs w:val="20"/>
        </w:rPr>
        <w:t>Indian Journal of Weed Science</w:t>
      </w:r>
      <w:r>
        <w:rPr>
          <w:rFonts w:ascii="Arial" w:hAnsi="Arial" w:cs="Arial" w:eastAsiaTheme="minorHAnsi"/>
          <w:sz w:val="20"/>
          <w:szCs w:val="20"/>
        </w:rPr>
        <w:t>.</w:t>
      </w:r>
      <w:r>
        <w:rPr>
          <w:rFonts w:ascii="Arial" w:hAnsi="Arial" w:cs="Arial"/>
          <w:sz w:val="20"/>
          <w:szCs w:val="20"/>
        </w:rPr>
        <w:t xml:space="preserve"> </w:t>
      </w:r>
      <w:r>
        <w:rPr>
          <w:rFonts w:ascii="Arial" w:hAnsi="Arial" w:cs="Arial" w:eastAsiaTheme="minorHAnsi"/>
          <w:sz w:val="20"/>
          <w:szCs w:val="20"/>
        </w:rPr>
        <w:t>50(1): 91-93.</w:t>
      </w:r>
    </w:p>
    <w:p w14:paraId="70773AD0">
      <w:pPr>
        <w:spacing w:before="240"/>
        <w:jc w:val="both"/>
        <w:rPr>
          <w:rFonts w:ascii="Arial" w:hAnsi="Arial" w:cs="Arial"/>
          <w:sz w:val="20"/>
          <w:szCs w:val="20"/>
        </w:rPr>
      </w:pPr>
      <w:r>
        <w:rPr>
          <w:rFonts w:ascii="Arial" w:hAnsi="Arial" w:cs="Arial"/>
          <w:sz w:val="20"/>
          <w:szCs w:val="20"/>
        </w:rPr>
        <w:t>Sujithra, P., Hemalatha, M., Joseph, M and Sobhana, E. 2019. Effect of different weed management practices on growth and yield of rainfed sesame (</w:t>
      </w:r>
      <w:r>
        <w:rPr>
          <w:rFonts w:ascii="Arial" w:hAnsi="Arial" w:cs="Arial"/>
          <w:i/>
          <w:iCs/>
          <w:sz w:val="20"/>
          <w:szCs w:val="20"/>
        </w:rPr>
        <w:t>Sesamum indicum</w:t>
      </w:r>
      <w:r>
        <w:rPr>
          <w:rFonts w:ascii="Arial" w:hAnsi="Arial" w:cs="Arial"/>
          <w:sz w:val="20"/>
          <w:szCs w:val="20"/>
        </w:rPr>
        <w:t xml:space="preserve"> L.) under vertisol. </w:t>
      </w:r>
      <w:r>
        <w:rPr>
          <w:rFonts w:ascii="Arial" w:hAnsi="Arial" w:cs="Arial"/>
          <w:i/>
          <w:iCs/>
          <w:sz w:val="20"/>
          <w:szCs w:val="20"/>
        </w:rPr>
        <w:t xml:space="preserve">Madras Journal of Agricultural Sciences. </w:t>
      </w:r>
      <w:r>
        <w:rPr>
          <w:rFonts w:ascii="Arial" w:hAnsi="Arial" w:cs="Arial"/>
          <w:sz w:val="20"/>
          <w:szCs w:val="20"/>
        </w:rPr>
        <w:t xml:space="preserve">106(1&amp;3): 1-4. </w:t>
      </w:r>
    </w:p>
    <w:p w14:paraId="49CAEA2F">
      <w:pPr>
        <w:spacing w:before="240"/>
        <w:jc w:val="both"/>
        <w:rPr>
          <w:rFonts w:ascii="Arial" w:hAnsi="Arial" w:cs="Arial"/>
          <w:sz w:val="20"/>
          <w:szCs w:val="20"/>
        </w:rPr>
      </w:pPr>
      <w:r>
        <w:rPr>
          <w:rFonts w:ascii="Arial" w:hAnsi="Arial" w:cs="Arial"/>
          <w:sz w:val="20"/>
          <w:szCs w:val="20"/>
        </w:rPr>
        <w:t>Svathi, A., Rammohan, J., Nadanassababady, T and Chellamuthu, V. 2005. Influence of sowing methods and weed management on sesame (</w:t>
      </w:r>
      <w:r>
        <w:rPr>
          <w:rFonts w:ascii="Arial" w:hAnsi="Arial" w:cs="Arial"/>
          <w:i/>
          <w:iCs/>
          <w:sz w:val="20"/>
          <w:szCs w:val="20"/>
        </w:rPr>
        <w:t>Sesamum indicum</w:t>
      </w:r>
      <w:r>
        <w:rPr>
          <w:rFonts w:ascii="Arial" w:hAnsi="Arial" w:cs="Arial"/>
          <w:sz w:val="20"/>
          <w:szCs w:val="20"/>
        </w:rPr>
        <w:t xml:space="preserve">) yield under irrigated condition. </w:t>
      </w:r>
      <w:r>
        <w:rPr>
          <w:rFonts w:ascii="Arial" w:hAnsi="Arial" w:cs="Arial"/>
          <w:i/>
          <w:iCs/>
          <w:sz w:val="20"/>
          <w:szCs w:val="20"/>
        </w:rPr>
        <w:t>Journal of Crop and Weed</w:t>
      </w:r>
      <w:r>
        <w:rPr>
          <w:rFonts w:ascii="Arial" w:hAnsi="Arial" w:cs="Arial"/>
          <w:sz w:val="20"/>
          <w:szCs w:val="20"/>
        </w:rPr>
        <w:t>. 1(2): 4-7.</w:t>
      </w:r>
    </w:p>
    <w:p w14:paraId="1DC75465">
      <w:pPr>
        <w:spacing w:before="240"/>
        <w:jc w:val="both"/>
        <w:rPr>
          <w:rFonts w:ascii="Arial" w:hAnsi="Arial" w:cs="Arial"/>
          <w:sz w:val="20"/>
          <w:szCs w:val="20"/>
        </w:rPr>
      </w:pPr>
      <w:r>
        <w:rPr>
          <w:rFonts w:ascii="Arial" w:hAnsi="Arial" w:cs="Arial"/>
          <w:sz w:val="20"/>
          <w:szCs w:val="20"/>
        </w:rPr>
        <w:t>Vafaei, S., Razmjoo, J and Karimmojeni, H. 2013. Weed control in sesame (</w:t>
      </w:r>
      <w:r>
        <w:rPr>
          <w:rFonts w:ascii="Arial" w:hAnsi="Arial" w:cs="Arial"/>
          <w:i/>
          <w:iCs/>
          <w:sz w:val="20"/>
          <w:szCs w:val="20"/>
        </w:rPr>
        <w:t>Sesamum indicum</w:t>
      </w:r>
      <w:r>
        <w:rPr>
          <w:rFonts w:ascii="Arial" w:hAnsi="Arial" w:cs="Arial"/>
          <w:sz w:val="20"/>
          <w:szCs w:val="20"/>
        </w:rPr>
        <w:t xml:space="preserve"> L.) using integrated soil applied herbicides and seed hydro-priming pretreatment. </w:t>
      </w:r>
      <w:r>
        <w:rPr>
          <w:rFonts w:ascii="Arial" w:hAnsi="Arial" w:cs="Arial"/>
          <w:i/>
          <w:iCs/>
          <w:sz w:val="20"/>
          <w:szCs w:val="20"/>
        </w:rPr>
        <w:t>Journal of Agrobiology</w:t>
      </w:r>
      <w:r>
        <w:rPr>
          <w:rFonts w:ascii="Arial" w:hAnsi="Arial" w:cs="Arial"/>
          <w:sz w:val="20"/>
          <w:szCs w:val="20"/>
        </w:rPr>
        <w:t>. 30(1): 1-8.</w:t>
      </w:r>
    </w:p>
    <w:p w14:paraId="7F9A2ECA">
      <w:pPr>
        <w:spacing w:before="240"/>
        <w:jc w:val="both"/>
        <w:rPr>
          <w:rFonts w:ascii="Arial" w:hAnsi="Arial" w:cs="Arial"/>
          <w:sz w:val="20"/>
          <w:szCs w:val="20"/>
        </w:rPr>
      </w:pPr>
      <w:r>
        <w:rPr>
          <w:rFonts w:ascii="Arial" w:hAnsi="Arial" w:cs="Arial"/>
          <w:sz w:val="20"/>
          <w:szCs w:val="20"/>
        </w:rPr>
        <w:t>Venu, M., Reddy, G.S., Mahesh, N and Devi, M.U. 2022. Effect of integrated weed management practices on growth and yield of sesame (</w:t>
      </w:r>
      <w:r>
        <w:rPr>
          <w:rFonts w:ascii="Arial" w:hAnsi="Arial" w:cs="Arial"/>
          <w:i/>
          <w:iCs/>
          <w:sz w:val="20"/>
          <w:szCs w:val="20"/>
        </w:rPr>
        <w:t xml:space="preserve">Sesamum indicum </w:t>
      </w:r>
      <w:r>
        <w:rPr>
          <w:rFonts w:ascii="Arial" w:hAnsi="Arial" w:cs="Arial"/>
          <w:sz w:val="20"/>
          <w:szCs w:val="20"/>
        </w:rPr>
        <w:t>L.). </w:t>
      </w:r>
      <w:r>
        <w:rPr>
          <w:rFonts w:ascii="Arial" w:hAnsi="Arial" w:cs="Arial"/>
          <w:i/>
          <w:iCs/>
          <w:sz w:val="20"/>
          <w:szCs w:val="20"/>
        </w:rPr>
        <w:t>Biological Forum-An International Journal.</w:t>
      </w:r>
      <w:r>
        <w:rPr>
          <w:rFonts w:ascii="Arial" w:hAnsi="Arial" w:cs="Arial"/>
          <w:sz w:val="20"/>
          <w:szCs w:val="20"/>
        </w:rPr>
        <w:t> 14(2): 271-275.</w:t>
      </w:r>
    </w:p>
    <w:p w14:paraId="096273FF">
      <w:pPr>
        <w:spacing w:before="240"/>
        <w:jc w:val="both"/>
        <w:rPr>
          <w:rFonts w:ascii="Arial" w:hAnsi="Arial" w:cs="Arial"/>
          <w:sz w:val="20"/>
          <w:szCs w:val="20"/>
        </w:rPr>
      </w:pPr>
      <w:r>
        <w:rPr>
          <w:rFonts w:ascii="Arial" w:hAnsi="Arial" w:cs="Arial"/>
          <w:sz w:val="20"/>
          <w:szCs w:val="20"/>
          <w:lang w:val="sv-SE"/>
        </w:rPr>
        <w:t xml:space="preserve">Verma, N., Nandeha, K.L and Swarnkar, V.K. 2023.  </w:t>
      </w:r>
      <w:r>
        <w:rPr>
          <w:rFonts w:ascii="Arial" w:hAnsi="Arial" w:cs="Arial"/>
          <w:sz w:val="20"/>
          <w:szCs w:val="20"/>
        </w:rPr>
        <w:t>Performance and economical evaluation of different weed management practices on yield of summer sesame (</w:t>
      </w:r>
      <w:r>
        <w:rPr>
          <w:rFonts w:ascii="Arial" w:hAnsi="Arial" w:cs="Arial"/>
          <w:i/>
          <w:iCs/>
          <w:sz w:val="20"/>
          <w:szCs w:val="20"/>
        </w:rPr>
        <w:t xml:space="preserve">Sesamum indicum </w:t>
      </w:r>
      <w:r>
        <w:rPr>
          <w:rFonts w:ascii="Arial" w:hAnsi="Arial" w:cs="Arial"/>
          <w:sz w:val="20"/>
          <w:szCs w:val="20"/>
        </w:rPr>
        <w:t xml:space="preserve">L.). </w:t>
      </w:r>
      <w:r>
        <w:rPr>
          <w:rFonts w:ascii="Arial" w:hAnsi="Arial" w:cs="Arial"/>
          <w:i/>
          <w:iCs/>
          <w:sz w:val="20"/>
          <w:szCs w:val="20"/>
        </w:rPr>
        <w:t>The Pharma Innovation Journal</w:t>
      </w:r>
      <w:r>
        <w:rPr>
          <w:rFonts w:ascii="Arial" w:hAnsi="Arial" w:cs="Arial"/>
          <w:sz w:val="20"/>
          <w:szCs w:val="20"/>
        </w:rPr>
        <w:t>. 12(2): 1818-1822.</w:t>
      </w:r>
    </w:p>
    <w:p w14:paraId="6D6A5BAF">
      <w:pPr>
        <w:spacing w:before="240"/>
        <w:jc w:val="both"/>
        <w:rPr>
          <w:rFonts w:ascii="Arial" w:hAnsi="Arial" w:cs="Arial"/>
          <w:sz w:val="20"/>
          <w:szCs w:val="20"/>
        </w:rPr>
      </w:pPr>
      <w:r>
        <w:rPr>
          <w:rFonts w:ascii="Arial" w:hAnsi="Arial" w:cs="Arial"/>
          <w:sz w:val="20"/>
          <w:szCs w:val="20"/>
        </w:rPr>
        <w:t>Vinay, K.L., Satish, K and Pradeep, K.K. 2023. Effect of different pre and post emergence herbicides on yield, productivity and economics of sesame (</w:t>
      </w:r>
      <w:r>
        <w:rPr>
          <w:rFonts w:ascii="Arial" w:hAnsi="Arial" w:cs="Arial"/>
          <w:i/>
          <w:iCs/>
          <w:sz w:val="20"/>
          <w:szCs w:val="20"/>
        </w:rPr>
        <w:t xml:space="preserve">Sesamum indicum </w:t>
      </w:r>
      <w:r>
        <w:rPr>
          <w:rFonts w:ascii="Arial" w:hAnsi="Arial" w:cs="Arial"/>
          <w:sz w:val="20"/>
          <w:szCs w:val="20"/>
        </w:rPr>
        <w:t xml:space="preserve">L.). </w:t>
      </w:r>
      <w:r>
        <w:rPr>
          <w:rFonts w:ascii="Arial" w:hAnsi="Arial" w:cs="Arial"/>
          <w:i/>
          <w:iCs/>
          <w:sz w:val="20"/>
          <w:szCs w:val="20"/>
        </w:rPr>
        <w:t>The Pharma Innovation Journal</w:t>
      </w:r>
      <w:r>
        <w:rPr>
          <w:rFonts w:ascii="Arial" w:hAnsi="Arial" w:cs="Arial"/>
          <w:sz w:val="20"/>
          <w:szCs w:val="20"/>
        </w:rPr>
        <w:t>. 12(9): 2141-2144.</w:t>
      </w:r>
    </w:p>
    <w:p w14:paraId="40B74302">
      <w:pPr>
        <w:spacing w:before="240"/>
        <w:jc w:val="both"/>
        <w:rPr>
          <w:rFonts w:ascii="Arial" w:hAnsi="Arial" w:cs="Arial"/>
          <w:sz w:val="20"/>
          <w:szCs w:val="20"/>
        </w:rPr>
      </w:pPr>
      <w:r>
        <w:rPr>
          <w:rFonts w:ascii="Arial" w:hAnsi="Arial" w:cs="Arial"/>
          <w:color w:val="000000" w:themeColor="text1"/>
          <w:sz w:val="20"/>
          <w:szCs w:val="20"/>
          <w14:textFill>
            <w14:solidFill>
              <w14:schemeClr w14:val="tx1"/>
            </w14:solidFill>
          </w14:textFill>
        </w:rPr>
        <w:t>Yadav, M. 2024. Performance of sesame (</w:t>
      </w:r>
      <w:r>
        <w:rPr>
          <w:rFonts w:ascii="Arial" w:hAnsi="Arial" w:cs="Arial"/>
          <w:i/>
          <w:iCs/>
          <w:color w:val="000000" w:themeColor="text1"/>
          <w:sz w:val="20"/>
          <w:szCs w:val="20"/>
          <w14:textFill>
            <w14:solidFill>
              <w14:schemeClr w14:val="tx1"/>
            </w14:solidFill>
          </w14:textFill>
        </w:rPr>
        <w:t>Sesamum indicum</w:t>
      </w:r>
      <w:r>
        <w:rPr>
          <w:rFonts w:ascii="Arial" w:hAnsi="Arial" w:cs="Arial"/>
          <w:color w:val="000000" w:themeColor="text1"/>
          <w:sz w:val="20"/>
          <w:szCs w:val="20"/>
          <w14:textFill>
            <w14:solidFill>
              <w14:schemeClr w14:val="tx1"/>
            </w14:solidFill>
          </w14:textFill>
        </w:rPr>
        <w:t xml:space="preserve"> L.) under different weed management practices in Southern Rajasthan. </w:t>
      </w:r>
      <w:r>
        <w:rPr>
          <w:rFonts w:ascii="Arial" w:hAnsi="Arial" w:cs="Arial"/>
          <w:i/>
          <w:iCs/>
          <w:color w:val="000000" w:themeColor="text1"/>
          <w:sz w:val="20"/>
          <w:szCs w:val="20"/>
          <w14:textFill>
            <w14:solidFill>
              <w14:schemeClr w14:val="tx1"/>
            </w14:solidFill>
          </w14:textFill>
        </w:rPr>
        <w:t>M.Sc. (Ag.) Thesis</w:t>
      </w:r>
      <w:r>
        <w:rPr>
          <w:rFonts w:ascii="Arial" w:hAnsi="Arial" w:cs="Arial"/>
          <w:color w:val="000000" w:themeColor="text1"/>
          <w:sz w:val="20"/>
          <w:szCs w:val="20"/>
          <w14:textFill>
            <w14:solidFill>
              <w14:schemeClr w14:val="tx1"/>
            </w14:solidFill>
          </w14:textFill>
        </w:rPr>
        <w:t>. Maharana Pratap University of Agriculture and Technology, Udaipur.</w:t>
      </w:r>
    </w:p>
    <w:p w14:paraId="16413F6C">
      <w:pPr>
        <w:spacing w:before="240"/>
        <w:jc w:val="both"/>
        <w:rPr>
          <w:rFonts w:ascii="Arial" w:hAnsi="Arial" w:cs="Arial"/>
          <w:sz w:val="20"/>
          <w:szCs w:val="20"/>
        </w:rPr>
      </w:pPr>
      <w:r>
        <w:rPr>
          <w:rFonts w:ascii="Arial" w:hAnsi="Arial" w:cs="Arial"/>
          <w:sz w:val="20"/>
          <w:szCs w:val="20"/>
        </w:rPr>
        <w:t>Zenawi, G., Fiseha, B., Zerabruk, G., Goitom, T., Asefa, A., Weres, N., Yirga, B., Muez, B., Goitom, A and Alem, A. 2020. Evaluation of the efficacy of pre-emergence herbicides to control grassy and broad leaf weeds of sesame in Western Tigray. In</w:t>
      </w:r>
      <w:r>
        <w:rPr>
          <w:rFonts w:ascii="Arial" w:hAnsi="Arial" w:cs="Arial"/>
          <w:i/>
          <w:iCs/>
          <w:sz w:val="20"/>
          <w:szCs w:val="20"/>
        </w:rPr>
        <w:t xml:space="preserve"> Proceeding for Completed Research Activities on Adaptation and Generation of Agricultural Technologies, </w:t>
      </w:r>
      <w:r>
        <w:rPr>
          <w:rFonts w:ascii="Arial" w:hAnsi="Arial" w:cs="Arial"/>
          <w:sz w:val="20"/>
          <w:szCs w:val="20"/>
        </w:rPr>
        <w:t xml:space="preserve">Tigray Agricultural Research Institute, Tigray, Ethiopia. 29-33. </w:t>
      </w:r>
    </w:p>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40" w:right="2019" w:bottom="2019" w:left="2019"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otany Dr D Nagaraju" w:date="2025-08-01T16:24:28Z" w:initials="">
    <w:p w14:paraId="73CFB1A8">
      <w:pPr>
        <w:pStyle w:val="13"/>
        <w:rPr>
          <w:rFonts w:hint="default"/>
          <w:lang w:val="en-US"/>
        </w:rPr>
      </w:pPr>
      <w:r>
        <w:rPr>
          <w:rFonts w:hint="default"/>
          <w:lang w:val="en-US"/>
        </w:rPr>
        <w:t>Spell check</w:t>
      </w:r>
    </w:p>
  </w:comment>
  <w:comment w:id="1" w:author="Botany Dr D Nagaraju" w:date="2025-08-01T16:24:08Z" w:initials="">
    <w:p w14:paraId="0158D676">
      <w:pPr>
        <w:pStyle w:val="13"/>
        <w:rPr>
          <w:rFonts w:hint="default"/>
          <w:lang w:val="en-US"/>
        </w:rPr>
      </w:pPr>
      <w:r>
        <w:rPr>
          <w:rFonts w:hint="default"/>
          <w:lang w:val="en-US"/>
        </w:rPr>
        <w:t>italics</w:t>
      </w:r>
    </w:p>
  </w:comment>
  <w:comment w:id="2" w:author="Botany Dr D Nagaraju" w:date="2025-08-01T16:25:52Z" w:initials="">
    <w:p w14:paraId="2A9762CA">
      <w:pPr>
        <w:pStyle w:val="13"/>
        <w:rPr>
          <w:rFonts w:hint="default"/>
          <w:lang w:val="en-US"/>
        </w:rPr>
      </w:pPr>
      <w:r>
        <w:rPr>
          <w:rFonts w:hint="default"/>
          <w:lang w:val="en-US"/>
        </w:rPr>
        <w:t>Re write santence</w:t>
      </w:r>
    </w:p>
  </w:comment>
  <w:comment w:id="3" w:author="Botany Dr D Nagaraju" w:date="2025-08-01T16:45:39Z" w:initials="">
    <w:p w14:paraId="35F6E1E8">
      <w:pPr>
        <w:pStyle w:val="13"/>
        <w:rPr>
          <w:rFonts w:hint="default"/>
          <w:lang w:val="en-US"/>
        </w:rPr>
      </w:pPr>
      <w:r>
        <w:rPr>
          <w:rFonts w:hint="default"/>
          <w:lang w:val="en-US"/>
        </w:rPr>
        <w:t>Comparitive study also needed which among is safe , better, effective, affordable to utilize</w:t>
      </w:r>
    </w:p>
  </w:comment>
  <w:comment w:id="4" w:author="Botany Dr D Nagaraju" w:date="2025-08-01T16:41:45Z" w:initials="">
    <w:p w14:paraId="214D4545">
      <w:pPr>
        <w:pStyle w:val="13"/>
        <w:rPr>
          <w:rFonts w:hint="default"/>
          <w:lang w:val="en-US"/>
        </w:rPr>
      </w:pPr>
      <w:r>
        <w:rPr>
          <w:rFonts w:hint="default"/>
          <w:lang w:val="en-US"/>
        </w:rPr>
        <w:t>Also there is a need of biosafety, Chemical  weedicides, herbicides causing ill effect of farmers,and other biota  and also need for alternate as Bio-herbicides, Bio-weedicides if any to prevent major damage, and for Sustainable Agriculture</w:t>
      </w:r>
    </w:p>
  </w:comment>
  <w:comment w:id="5" w:author="Botany Dr D Nagaraju" w:date="2025-08-01T16:39:44Z" w:initials="">
    <w:p w14:paraId="644000D5">
      <w:pPr>
        <w:pStyle w:val="13"/>
        <w:rPr>
          <w:rFonts w:hint="default"/>
          <w:lang w:val="en-US"/>
        </w:rPr>
      </w:pPr>
      <w:r>
        <w:rPr>
          <w:rFonts w:hint="default"/>
          <w:lang w:val="en-US"/>
        </w:rPr>
        <w:t>All the references please check once as per journal prescribed (API)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CFB1A8" w15:done="0"/>
  <w15:commentEx w15:paraId="0158D676" w15:done="0"/>
  <w15:commentEx w15:paraId="2A9762CA" w15:done="0"/>
  <w15:commentEx w15:paraId="35F6E1E8" w15:done="0"/>
  <w15:commentEx w15:paraId="214D4545" w15:done="0"/>
  <w15:commentEx w15:paraId="64400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autami">
    <w:altName w:val="Segoe UI Symbol"/>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C7A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8C0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76CC">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FFCC">
    <w:pPr>
      <w:pStyle w:val="15"/>
    </w:pPr>
    <w:r>
      <w:pict>
        <v:shape id="PowerPlusWaterMarkObject1550739861" o:spid="_x0000_s2051" o:spt="136" type="#_x0000_t136" style="position:absolute;left:0pt;height:55.45pt;width:499.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D816">
    <w:pPr>
      <w:pStyle w:val="15"/>
    </w:pPr>
    <w:r>
      <w:pict>
        <v:shape id="PowerPlusWaterMarkObject1550739860" o:spid="_x0000_s2050" o:spt="136" type="#_x0000_t136" style="position:absolute;left:0pt;height:55.45pt;width:499.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45AA">
    <w:pPr>
      <w:pStyle w:val="15"/>
    </w:pPr>
    <w:r>
      <w:pict>
        <v:shape id="PowerPlusWaterMarkObject1550739859" o:spid="_x0000_s2049" o:spt="136" type="#_x0000_t136" style="position:absolute;left:0pt;height:55.45pt;width:499.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tany Dr D Nagaraju">
    <w15:presenceInfo w15:providerId="WPS Office" w15:userId="3093801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DA"/>
    <w:rsid w:val="00006365"/>
    <w:rsid w:val="0001485E"/>
    <w:rsid w:val="0002563C"/>
    <w:rsid w:val="000355DA"/>
    <w:rsid w:val="00036411"/>
    <w:rsid w:val="000777B6"/>
    <w:rsid w:val="000B4AD4"/>
    <w:rsid w:val="000C1105"/>
    <w:rsid w:val="000C2C51"/>
    <w:rsid w:val="000E62E7"/>
    <w:rsid w:val="00104719"/>
    <w:rsid w:val="00105218"/>
    <w:rsid w:val="001126D1"/>
    <w:rsid w:val="0012771E"/>
    <w:rsid w:val="00137A4D"/>
    <w:rsid w:val="00150FF1"/>
    <w:rsid w:val="00152054"/>
    <w:rsid w:val="001A397D"/>
    <w:rsid w:val="001B6BCC"/>
    <w:rsid w:val="001D73F9"/>
    <w:rsid w:val="001D7435"/>
    <w:rsid w:val="001F6633"/>
    <w:rsid w:val="002076E4"/>
    <w:rsid w:val="00214A65"/>
    <w:rsid w:val="00216E08"/>
    <w:rsid w:val="002278E6"/>
    <w:rsid w:val="00234C2B"/>
    <w:rsid w:val="00264E69"/>
    <w:rsid w:val="00275FD4"/>
    <w:rsid w:val="00276F26"/>
    <w:rsid w:val="00282677"/>
    <w:rsid w:val="00294722"/>
    <w:rsid w:val="002A5E0F"/>
    <w:rsid w:val="002C0A2E"/>
    <w:rsid w:val="002C49B2"/>
    <w:rsid w:val="002D25AC"/>
    <w:rsid w:val="002E0770"/>
    <w:rsid w:val="002F1E0F"/>
    <w:rsid w:val="002F733A"/>
    <w:rsid w:val="003024DE"/>
    <w:rsid w:val="00302AB9"/>
    <w:rsid w:val="0032312C"/>
    <w:rsid w:val="003752D2"/>
    <w:rsid w:val="00396027"/>
    <w:rsid w:val="003C3CF4"/>
    <w:rsid w:val="003D4813"/>
    <w:rsid w:val="003E2CFB"/>
    <w:rsid w:val="00403302"/>
    <w:rsid w:val="00424AE6"/>
    <w:rsid w:val="00425957"/>
    <w:rsid w:val="004413F2"/>
    <w:rsid w:val="00456991"/>
    <w:rsid w:val="004629B5"/>
    <w:rsid w:val="00465C86"/>
    <w:rsid w:val="004708C1"/>
    <w:rsid w:val="00473560"/>
    <w:rsid w:val="004A0331"/>
    <w:rsid w:val="004A26FE"/>
    <w:rsid w:val="004A52DE"/>
    <w:rsid w:val="004B092B"/>
    <w:rsid w:val="004D1726"/>
    <w:rsid w:val="004D591F"/>
    <w:rsid w:val="004E0767"/>
    <w:rsid w:val="00504636"/>
    <w:rsid w:val="00523A20"/>
    <w:rsid w:val="005300A6"/>
    <w:rsid w:val="005355DB"/>
    <w:rsid w:val="00541675"/>
    <w:rsid w:val="00544C11"/>
    <w:rsid w:val="005465F8"/>
    <w:rsid w:val="00570F27"/>
    <w:rsid w:val="005719B1"/>
    <w:rsid w:val="0058152E"/>
    <w:rsid w:val="00587822"/>
    <w:rsid w:val="005969CA"/>
    <w:rsid w:val="005D0DD5"/>
    <w:rsid w:val="00603710"/>
    <w:rsid w:val="00640AD3"/>
    <w:rsid w:val="00647193"/>
    <w:rsid w:val="0065415D"/>
    <w:rsid w:val="0066475F"/>
    <w:rsid w:val="00670555"/>
    <w:rsid w:val="00674641"/>
    <w:rsid w:val="00681477"/>
    <w:rsid w:val="00692F3B"/>
    <w:rsid w:val="006A6F9E"/>
    <w:rsid w:val="006B15C9"/>
    <w:rsid w:val="006C606E"/>
    <w:rsid w:val="006D52C0"/>
    <w:rsid w:val="00700A8A"/>
    <w:rsid w:val="00722F52"/>
    <w:rsid w:val="007451CB"/>
    <w:rsid w:val="00745D4A"/>
    <w:rsid w:val="00752A22"/>
    <w:rsid w:val="00774694"/>
    <w:rsid w:val="007746AA"/>
    <w:rsid w:val="00782840"/>
    <w:rsid w:val="0078383E"/>
    <w:rsid w:val="00792FE9"/>
    <w:rsid w:val="007D4F58"/>
    <w:rsid w:val="007F7077"/>
    <w:rsid w:val="008356FC"/>
    <w:rsid w:val="00883E6D"/>
    <w:rsid w:val="008A0BCD"/>
    <w:rsid w:val="008B352B"/>
    <w:rsid w:val="008C5C60"/>
    <w:rsid w:val="0090375C"/>
    <w:rsid w:val="00910B66"/>
    <w:rsid w:val="009574FB"/>
    <w:rsid w:val="009673EA"/>
    <w:rsid w:val="009871B1"/>
    <w:rsid w:val="009A1BDA"/>
    <w:rsid w:val="009B3ACF"/>
    <w:rsid w:val="009E7AE5"/>
    <w:rsid w:val="009F5EE8"/>
    <w:rsid w:val="00A042CB"/>
    <w:rsid w:val="00A05128"/>
    <w:rsid w:val="00A13AFA"/>
    <w:rsid w:val="00A349EC"/>
    <w:rsid w:val="00A428BA"/>
    <w:rsid w:val="00A557E2"/>
    <w:rsid w:val="00A62807"/>
    <w:rsid w:val="00A64FE5"/>
    <w:rsid w:val="00A841E3"/>
    <w:rsid w:val="00A87E9A"/>
    <w:rsid w:val="00AB6EA3"/>
    <w:rsid w:val="00AC3C69"/>
    <w:rsid w:val="00AC3D31"/>
    <w:rsid w:val="00AD7133"/>
    <w:rsid w:val="00AE437E"/>
    <w:rsid w:val="00AF2AE0"/>
    <w:rsid w:val="00B13568"/>
    <w:rsid w:val="00B54476"/>
    <w:rsid w:val="00B736E4"/>
    <w:rsid w:val="00B85DAA"/>
    <w:rsid w:val="00B9660A"/>
    <w:rsid w:val="00BF4604"/>
    <w:rsid w:val="00BF64DA"/>
    <w:rsid w:val="00BF7C20"/>
    <w:rsid w:val="00C20787"/>
    <w:rsid w:val="00C511A1"/>
    <w:rsid w:val="00C5702F"/>
    <w:rsid w:val="00C7563D"/>
    <w:rsid w:val="00C81C27"/>
    <w:rsid w:val="00C8499B"/>
    <w:rsid w:val="00C96419"/>
    <w:rsid w:val="00D13442"/>
    <w:rsid w:val="00D5189A"/>
    <w:rsid w:val="00D62B4A"/>
    <w:rsid w:val="00D64C25"/>
    <w:rsid w:val="00D74765"/>
    <w:rsid w:val="00D83A8B"/>
    <w:rsid w:val="00D928A7"/>
    <w:rsid w:val="00DC302B"/>
    <w:rsid w:val="00DE6E48"/>
    <w:rsid w:val="00DF5D2C"/>
    <w:rsid w:val="00E0220C"/>
    <w:rsid w:val="00E32C8E"/>
    <w:rsid w:val="00E429BE"/>
    <w:rsid w:val="00E46A54"/>
    <w:rsid w:val="00E5074A"/>
    <w:rsid w:val="00E672A5"/>
    <w:rsid w:val="00E718AF"/>
    <w:rsid w:val="00E84BEE"/>
    <w:rsid w:val="00E84D76"/>
    <w:rsid w:val="00EC58E7"/>
    <w:rsid w:val="00EC7481"/>
    <w:rsid w:val="00ED3786"/>
    <w:rsid w:val="00EE7808"/>
    <w:rsid w:val="00EF0CA0"/>
    <w:rsid w:val="00EF62BE"/>
    <w:rsid w:val="00F060F8"/>
    <w:rsid w:val="00F12923"/>
    <w:rsid w:val="00F24727"/>
    <w:rsid w:val="00F25B27"/>
    <w:rsid w:val="00F40C8D"/>
    <w:rsid w:val="00F43285"/>
    <w:rsid w:val="00F4489A"/>
    <w:rsid w:val="00F52953"/>
    <w:rsid w:val="00F67103"/>
    <w:rsid w:val="00F800E6"/>
    <w:rsid w:val="00FB26E3"/>
    <w:rsid w:val="00FB432A"/>
    <w:rsid w:val="00FC41A6"/>
    <w:rsid w:val="00FD321E"/>
    <w:rsid w:val="2E9629A1"/>
    <w:rsid w:val="402A7F86"/>
    <w:rsid w:val="692F4FC0"/>
    <w:rsid w:val="760213C7"/>
  </w:rsids>
  <m:mathPr>
    <m:mathFont m:val="Cambria Math"/>
    <m:brkBin m:val="before"/>
    <m:brkBinSub m:val="--"/>
    <m:smallFrac m:val="1"/>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rPr>
  </w:style>
  <w:style w:type="paragraph" w:styleId="2">
    <w:name w:val="heading 1"/>
    <w:basedOn w:val="1"/>
    <w:next w:val="1"/>
    <w:link w:val="20"/>
    <w:qFormat/>
    <w:uiPriority w:val="9"/>
    <w:pPr>
      <w:keepNext/>
      <w:keepLines/>
      <w:spacing w:before="360" w:after="80" w:line="259" w:lineRule="auto"/>
      <w:outlineLvl w:val="0"/>
    </w:pPr>
    <w:rPr>
      <w:rFonts w:asciiTheme="majorHAnsi" w:hAnsiTheme="majorHAnsi" w:eastAsiaTheme="majorEastAsia" w:cstheme="majorBidi"/>
      <w:color w:val="2F5597" w:themeColor="accent1" w:themeShade="BF"/>
      <w:kern w:val="2"/>
      <w:sz w:val="40"/>
      <w:szCs w:val="40"/>
      <w:lang w:val="en-IN" w:bidi="te-IN"/>
    </w:rPr>
  </w:style>
  <w:style w:type="paragraph" w:styleId="3">
    <w:name w:val="heading 2"/>
    <w:basedOn w:val="1"/>
    <w:next w:val="1"/>
    <w:link w:val="21"/>
    <w:semiHidden/>
    <w:unhideWhenUsed/>
    <w:qFormat/>
    <w:uiPriority w:val="9"/>
    <w:pPr>
      <w:keepNext/>
      <w:keepLines/>
      <w:spacing w:before="160" w:after="80" w:line="259" w:lineRule="auto"/>
      <w:outlineLvl w:val="1"/>
    </w:pPr>
    <w:rPr>
      <w:rFonts w:asciiTheme="majorHAnsi" w:hAnsiTheme="majorHAnsi" w:eastAsiaTheme="majorEastAsia" w:cstheme="majorBidi"/>
      <w:color w:val="2F5597" w:themeColor="accent1" w:themeShade="BF"/>
      <w:kern w:val="2"/>
      <w:sz w:val="32"/>
      <w:szCs w:val="32"/>
      <w:lang w:val="en-IN" w:bidi="te-IN"/>
    </w:rPr>
  </w:style>
  <w:style w:type="paragraph" w:styleId="4">
    <w:name w:val="heading 3"/>
    <w:basedOn w:val="1"/>
    <w:next w:val="1"/>
    <w:link w:val="22"/>
    <w:semiHidden/>
    <w:unhideWhenUsed/>
    <w:qFormat/>
    <w:uiPriority w:val="9"/>
    <w:pPr>
      <w:keepNext/>
      <w:keepLines/>
      <w:spacing w:before="160" w:after="80" w:line="259" w:lineRule="auto"/>
      <w:outlineLvl w:val="2"/>
    </w:pPr>
    <w:rPr>
      <w:rFonts w:asciiTheme="minorHAnsi" w:hAnsiTheme="minorHAnsi" w:eastAsiaTheme="majorEastAsia" w:cstheme="majorBidi"/>
      <w:color w:val="2F5597" w:themeColor="accent1" w:themeShade="BF"/>
      <w:kern w:val="2"/>
      <w:sz w:val="28"/>
      <w:szCs w:val="28"/>
      <w:lang w:val="en-IN" w:bidi="te-IN"/>
    </w:rPr>
  </w:style>
  <w:style w:type="paragraph" w:styleId="5">
    <w:name w:val="heading 4"/>
    <w:basedOn w:val="1"/>
    <w:next w:val="1"/>
    <w:link w:val="23"/>
    <w:semiHidden/>
    <w:unhideWhenUsed/>
    <w:qFormat/>
    <w:uiPriority w:val="9"/>
    <w:pPr>
      <w:keepNext/>
      <w:keepLines/>
      <w:spacing w:before="80" w:after="40" w:line="259" w:lineRule="auto"/>
      <w:outlineLvl w:val="3"/>
    </w:pPr>
    <w:rPr>
      <w:rFonts w:asciiTheme="minorHAnsi" w:hAnsiTheme="minorHAnsi" w:eastAsiaTheme="majorEastAsia" w:cstheme="majorBidi"/>
      <w:i/>
      <w:iCs/>
      <w:color w:val="2F5597" w:themeColor="accent1" w:themeShade="BF"/>
      <w:kern w:val="2"/>
      <w:sz w:val="22"/>
      <w:szCs w:val="22"/>
      <w:lang w:val="en-IN" w:bidi="te-IN"/>
    </w:rPr>
  </w:style>
  <w:style w:type="paragraph" w:styleId="6">
    <w:name w:val="heading 5"/>
    <w:basedOn w:val="1"/>
    <w:next w:val="1"/>
    <w:link w:val="24"/>
    <w:semiHidden/>
    <w:unhideWhenUsed/>
    <w:qFormat/>
    <w:uiPriority w:val="9"/>
    <w:pPr>
      <w:keepNext/>
      <w:keepLines/>
      <w:spacing w:before="80" w:after="40" w:line="259" w:lineRule="auto"/>
      <w:outlineLvl w:val="4"/>
    </w:pPr>
    <w:rPr>
      <w:rFonts w:asciiTheme="minorHAnsi" w:hAnsiTheme="minorHAnsi" w:eastAsiaTheme="majorEastAsia" w:cstheme="majorBidi"/>
      <w:color w:val="2F5597" w:themeColor="accent1" w:themeShade="BF"/>
      <w:kern w:val="2"/>
      <w:sz w:val="22"/>
      <w:szCs w:val="22"/>
      <w:lang w:val="en-IN" w:bidi="te-IN"/>
    </w:rPr>
  </w:style>
  <w:style w:type="paragraph" w:styleId="7">
    <w:name w:val="heading 6"/>
    <w:basedOn w:val="1"/>
    <w:next w:val="1"/>
    <w:link w:val="25"/>
    <w:semiHidden/>
    <w:unhideWhenUsed/>
    <w:qFormat/>
    <w:uiPriority w:val="9"/>
    <w:pPr>
      <w:keepNext/>
      <w:keepLines/>
      <w:spacing w:before="40" w:line="259" w:lineRule="auto"/>
      <w:outlineLvl w:val="5"/>
    </w:pPr>
    <w:rPr>
      <w:rFonts w:asciiTheme="minorHAnsi" w:hAnsiTheme="minorHAnsi" w:eastAsiaTheme="majorEastAsia" w:cstheme="majorBidi"/>
      <w:i/>
      <w:iCs/>
      <w:color w:val="595959" w:themeColor="text1" w:themeTint="A6"/>
      <w:kern w:val="2"/>
      <w:sz w:val="22"/>
      <w:szCs w:val="22"/>
      <w:lang w:val="en-IN" w:bidi="te-IN"/>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line="259" w:lineRule="auto"/>
      <w:outlineLvl w:val="6"/>
    </w:pPr>
    <w:rPr>
      <w:rFonts w:asciiTheme="minorHAnsi" w:hAnsiTheme="minorHAnsi" w:eastAsiaTheme="majorEastAsia" w:cstheme="majorBidi"/>
      <w:color w:val="595959" w:themeColor="text1" w:themeTint="A6"/>
      <w:kern w:val="2"/>
      <w:sz w:val="22"/>
      <w:szCs w:val="22"/>
      <w:lang w:val="en-IN" w:bidi="te-IN"/>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line="259" w:lineRule="auto"/>
      <w:outlineLvl w:val="7"/>
    </w:pPr>
    <w:rPr>
      <w:rFonts w:asciiTheme="minorHAnsi" w:hAnsiTheme="minorHAnsi" w:eastAsiaTheme="majorEastAsia" w:cstheme="majorBidi"/>
      <w:i/>
      <w:iCs/>
      <w:color w:val="262626" w:themeColor="text1" w:themeTint="D9"/>
      <w:kern w:val="2"/>
      <w:sz w:val="22"/>
      <w:szCs w:val="22"/>
      <w:lang w:val="en-IN" w:bidi="te-IN"/>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line="259" w:lineRule="auto"/>
      <w:outlineLvl w:val="8"/>
    </w:pPr>
    <w:rPr>
      <w:rFonts w:asciiTheme="minorHAnsi" w:hAnsiTheme="minorHAnsi" w:eastAsiaTheme="majorEastAsia" w:cstheme="majorBidi"/>
      <w:color w:val="262626" w:themeColor="text1" w:themeTint="D9"/>
      <w:kern w:val="2"/>
      <w:sz w:val="22"/>
      <w:szCs w:val="22"/>
      <w:lang w:val="en-IN" w:bidi="te-IN"/>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0"/>
    <w:unhideWhenUsed/>
    <w:uiPriority w:val="99"/>
    <w:pPr>
      <w:tabs>
        <w:tab w:val="center" w:pos="4513"/>
        <w:tab w:val="right" w:pos="9026"/>
      </w:tabs>
    </w:pPr>
  </w:style>
  <w:style w:type="paragraph" w:styleId="15">
    <w:name w:val="header"/>
    <w:basedOn w:val="1"/>
    <w:link w:val="39"/>
    <w:unhideWhenUsed/>
    <w:uiPriority w:val="99"/>
    <w:pPr>
      <w:tabs>
        <w:tab w:val="center" w:pos="4513"/>
        <w:tab w:val="right" w:pos="9026"/>
      </w:tabs>
    </w:pPr>
  </w:style>
  <w:style w:type="character" w:styleId="16">
    <w:name w:val="Hyperlink"/>
    <w:basedOn w:val="11"/>
    <w:uiPriority w:val="99"/>
    <w:rPr>
      <w:color w:val="0000FF"/>
      <w:u w:val="single"/>
    </w:rPr>
  </w:style>
  <w:style w:type="paragraph" w:styleId="17">
    <w:name w:val="Normal (Web)"/>
    <w:basedOn w:val="1"/>
    <w:semiHidden/>
    <w:unhideWhenUsed/>
    <w:uiPriority w:val="99"/>
  </w:style>
  <w:style w:type="paragraph" w:styleId="18">
    <w:name w:val="Subtitle"/>
    <w:basedOn w:val="1"/>
    <w:next w:val="1"/>
    <w:link w:val="30"/>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lang w:val="en-IN" w:bidi="te-IN"/>
      <w14:textFill>
        <w14:solidFill>
          <w14:schemeClr w14:val="tx1">
            <w14:lumMod w14:val="65000"/>
            <w14:lumOff w14:val="35000"/>
          </w14:schemeClr>
        </w14:solidFill>
      </w14:textFill>
    </w:rPr>
  </w:style>
  <w:style w:type="paragraph" w:styleId="19">
    <w:name w:val="Title"/>
    <w:basedOn w:val="1"/>
    <w:next w:val="1"/>
    <w:link w:val="29"/>
    <w:qFormat/>
    <w:uiPriority w:val="10"/>
    <w:pPr>
      <w:spacing w:after="80"/>
      <w:contextualSpacing/>
    </w:pPr>
    <w:rPr>
      <w:rFonts w:asciiTheme="majorHAnsi" w:hAnsiTheme="majorHAnsi" w:eastAsiaTheme="majorEastAsia" w:cstheme="majorBidi"/>
      <w:spacing w:val="-10"/>
      <w:kern w:val="28"/>
      <w:sz w:val="56"/>
      <w:szCs w:val="56"/>
      <w:lang w:val="en-IN" w:bidi="te-IN"/>
    </w:rPr>
  </w:style>
  <w:style w:type="character" w:customStyle="1" w:styleId="20">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2">
    <w:name w:val="Heading 3 Char"/>
    <w:basedOn w:val="11"/>
    <w:link w:val="4"/>
    <w:semiHidden/>
    <w:uiPriority w:val="9"/>
    <w:rPr>
      <w:rFonts w:eastAsiaTheme="majorEastAsia" w:cstheme="majorBidi"/>
      <w:color w:val="2F5597" w:themeColor="accent1" w:themeShade="BF"/>
      <w:sz w:val="28"/>
      <w:szCs w:val="28"/>
    </w:rPr>
  </w:style>
  <w:style w:type="character" w:customStyle="1" w:styleId="23">
    <w:name w:val="Heading 4 Char"/>
    <w:basedOn w:val="11"/>
    <w:link w:val="5"/>
    <w:semiHidden/>
    <w:uiPriority w:val="9"/>
    <w:rPr>
      <w:rFonts w:eastAsiaTheme="majorEastAsia" w:cstheme="majorBidi"/>
      <w:i/>
      <w:iCs/>
      <w:color w:val="2F5597" w:themeColor="accent1" w:themeShade="BF"/>
    </w:rPr>
  </w:style>
  <w:style w:type="character" w:customStyle="1" w:styleId="24">
    <w:name w:val="Heading 5 Char"/>
    <w:basedOn w:val="11"/>
    <w:link w:val="6"/>
    <w:semiHidden/>
    <w:uiPriority w:val="9"/>
    <w:rPr>
      <w:rFonts w:eastAsiaTheme="majorEastAsia" w:cstheme="majorBidi"/>
      <w:color w:val="2F5597"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8"/>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line="259" w:lineRule="auto"/>
      <w:jc w:val="center"/>
    </w:pPr>
    <w:rPr>
      <w:rFonts w:cs="Gautami" w:asciiTheme="minorHAnsi" w:hAnsiTheme="minorHAnsi" w:eastAsiaTheme="minorHAnsi"/>
      <w:i/>
      <w:iCs/>
      <w:color w:val="404040" w:themeColor="text1" w:themeTint="BF"/>
      <w:kern w:val="2"/>
      <w:sz w:val="22"/>
      <w:szCs w:val="22"/>
      <w:lang w:val="en-IN" w:bidi="te-IN"/>
      <w14:textFill>
        <w14:solidFill>
          <w14:schemeClr w14:val="tx1">
            <w14:lumMod w14:val="75000"/>
            <w14:lumOff w14:val="25000"/>
          </w14:schemeClr>
        </w14:solidFill>
      </w14:textFill>
    </w:rPr>
  </w:style>
  <w:style w:type="character" w:customStyle="1" w:styleId="32">
    <w:name w:val="Quote Char"/>
    <w:basedOn w:val="11"/>
    <w:link w:val="31"/>
    <w:uiPriority w:val="29"/>
    <w:rPr>
      <w:rFonts w:cs="Gautami"/>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spacing w:after="160" w:line="259" w:lineRule="auto"/>
      <w:ind w:left="720"/>
      <w:contextualSpacing/>
    </w:pPr>
    <w:rPr>
      <w:rFonts w:cs="Gautami" w:asciiTheme="minorHAnsi" w:hAnsiTheme="minorHAnsi" w:eastAsiaTheme="minorHAnsi"/>
      <w:kern w:val="2"/>
      <w:sz w:val="22"/>
      <w:szCs w:val="22"/>
      <w:lang w:val="en-IN" w:bidi="te-IN"/>
    </w:r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cs="Gautami" w:asciiTheme="minorHAnsi" w:hAnsiTheme="minorHAnsi" w:eastAsiaTheme="minorHAnsi"/>
      <w:i/>
      <w:iCs/>
      <w:color w:val="2F5597" w:themeColor="accent1" w:themeShade="BF"/>
      <w:kern w:val="2"/>
      <w:sz w:val="22"/>
      <w:szCs w:val="22"/>
      <w:lang w:val="en-IN" w:bidi="te-IN"/>
    </w:rPr>
  </w:style>
  <w:style w:type="character" w:customStyle="1" w:styleId="36">
    <w:name w:val="Intense Quote Char"/>
    <w:basedOn w:val="11"/>
    <w:link w:val="35"/>
    <w:uiPriority w:val="30"/>
    <w:rPr>
      <w:rFonts w:cs="Gautami"/>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paragraph" w:customStyle="1" w:styleId="38">
    <w:name w:val="Defaul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IN" w:eastAsia="en-US" w:bidi="te-IN"/>
    </w:rPr>
  </w:style>
  <w:style w:type="character" w:customStyle="1" w:styleId="39">
    <w:name w:val="Header Char"/>
    <w:basedOn w:val="11"/>
    <w:link w:val="15"/>
    <w:uiPriority w:val="99"/>
    <w:rPr>
      <w:rFonts w:ascii="Times New Roman" w:hAnsi="Times New Roman" w:eastAsia="Times New Roman" w:cs="Times New Roman"/>
      <w:kern w:val="0"/>
      <w:sz w:val="24"/>
      <w:szCs w:val="24"/>
      <w:lang w:val="en-US" w:bidi="ar-SA"/>
    </w:rPr>
  </w:style>
  <w:style w:type="character" w:customStyle="1" w:styleId="40">
    <w:name w:val="Footer Char"/>
    <w:basedOn w:val="11"/>
    <w:link w:val="14"/>
    <w:uiPriority w:val="99"/>
    <w:rPr>
      <w:rFonts w:ascii="Times New Roman" w:hAnsi="Times New Roman" w:eastAsia="Times New Roman" w:cs="Times New Roman"/>
      <w:kern w:val="0"/>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03469-B31F-4D91-ABAD-D2915945ABEE}">
  <ds:schemaRefs/>
</ds:datastoreItem>
</file>

<file path=docProps/app.xml><?xml version="1.0" encoding="utf-8"?>
<Properties xmlns="http://schemas.openxmlformats.org/officeDocument/2006/extended-properties" xmlns:vt="http://schemas.openxmlformats.org/officeDocument/2006/docPropsVTypes">
  <Template>Normal</Template>
  <Pages>11</Pages>
  <Words>4963</Words>
  <Characters>28290</Characters>
  <Lines>235</Lines>
  <Paragraphs>66</Paragraphs>
  <TotalTime>113</TotalTime>
  <ScaleCrop>false</ScaleCrop>
  <LinksUpToDate>false</LinksUpToDate>
  <CharactersWithSpaces>33187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2025-07-29T14:11:00Z</dcterms:created>
  <dc:creator>Rekhasree K.A.</dc:creator>
  <cp:lastModifiedBy>Botany Dr D Nagaraju</cp:lastModifiedBy>
  <cp:lastPrinted>2025-07-17T18:37:00Z</cp:lastPrinted>
  <dcterms:modified xsi:type="dcterms:W3CDTF">2025-08-01T11:18:57Z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A21EFBC0ACEE4E1F8B59F1E645D584F3_12</vt:lpwstr>
  </property>
</Properties>
</file>