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B05D9" w14:textId="77777777" w:rsidR="006C118A" w:rsidRDefault="006C118A" w:rsidP="005314D9">
      <w:pPr>
        <w:pStyle w:val="Author"/>
        <w:spacing w:line="240" w:lineRule="auto"/>
        <w:jc w:val="center"/>
        <w:rPr>
          <w:rFonts w:ascii="Arial" w:hAnsi="Arial" w:cs="Arial"/>
          <w:bCs/>
          <w:iCs/>
          <w:kern w:val="28"/>
          <w:sz w:val="36"/>
        </w:rPr>
      </w:pPr>
      <w:r w:rsidRPr="006C118A">
        <w:rPr>
          <w:rFonts w:ascii="Arial" w:hAnsi="Arial" w:cs="Arial"/>
          <w:bCs/>
          <w:iCs/>
          <w:kern w:val="28"/>
          <w:sz w:val="36"/>
        </w:rPr>
        <w:t>Original Research Article</w:t>
      </w:r>
    </w:p>
    <w:p w14:paraId="4E44AB27" w14:textId="77777777" w:rsidR="006C118A" w:rsidRDefault="006C118A" w:rsidP="005314D9">
      <w:pPr>
        <w:pStyle w:val="Author"/>
        <w:spacing w:line="240" w:lineRule="auto"/>
        <w:jc w:val="center"/>
        <w:rPr>
          <w:rFonts w:ascii="Arial" w:hAnsi="Arial" w:cs="Arial"/>
          <w:bCs/>
          <w:iCs/>
          <w:kern w:val="28"/>
          <w:sz w:val="36"/>
        </w:rPr>
      </w:pPr>
    </w:p>
    <w:p w14:paraId="17B769BC" w14:textId="0CF5D6F8" w:rsidR="00A258C3" w:rsidRDefault="005314D9" w:rsidP="005314D9">
      <w:pPr>
        <w:pStyle w:val="Author"/>
        <w:spacing w:line="240" w:lineRule="auto"/>
        <w:jc w:val="center"/>
        <w:rPr>
          <w:rFonts w:ascii="Arial" w:hAnsi="Arial" w:cs="Arial"/>
          <w:sz w:val="36"/>
        </w:rPr>
      </w:pPr>
      <w:bookmarkStart w:id="0" w:name="OLE_LINK1"/>
      <w:commentRangeStart w:id="1"/>
      <w:r w:rsidRPr="005314D9">
        <w:rPr>
          <w:rFonts w:ascii="Arial" w:hAnsi="Arial" w:cs="Arial"/>
          <w:bCs/>
          <w:iCs/>
          <w:kern w:val="28"/>
          <w:sz w:val="36"/>
        </w:rPr>
        <w:t>Impact of Storage Duration on the Characteristics of White Wormwood Herb</w:t>
      </w:r>
      <w:commentRangeEnd w:id="1"/>
      <w:r w:rsidR="00E337DD">
        <w:rPr>
          <w:rStyle w:val="CommentReference"/>
          <w:rFonts w:ascii="Times New Roman" w:hAnsi="Times New Roman"/>
          <w:b w:val="0"/>
          <w:lang w:val="nb-NO" w:eastAsia="nb-NO"/>
        </w:rPr>
        <w:commentReference w:id="1"/>
      </w:r>
    </w:p>
    <w:bookmarkEnd w:id="0"/>
    <w:p w14:paraId="7260121B" w14:textId="77777777" w:rsidR="005314D9" w:rsidRPr="00790ADA" w:rsidRDefault="005314D9" w:rsidP="00441B6F">
      <w:pPr>
        <w:pStyle w:val="Author"/>
        <w:spacing w:line="240" w:lineRule="auto"/>
        <w:jc w:val="both"/>
        <w:rPr>
          <w:rFonts w:ascii="Arial" w:hAnsi="Arial" w:cs="Arial"/>
          <w:sz w:val="36"/>
        </w:rPr>
      </w:pPr>
    </w:p>
    <w:p w14:paraId="7255C990" w14:textId="77777777" w:rsidR="0091461D" w:rsidRDefault="0091461D" w:rsidP="00441B6F">
      <w:pPr>
        <w:pStyle w:val="Copyright"/>
        <w:spacing w:after="0" w:line="240" w:lineRule="auto"/>
        <w:jc w:val="both"/>
        <w:rPr>
          <w:rFonts w:ascii="Arial" w:hAnsi="Arial" w:cs="Arial"/>
        </w:rPr>
      </w:pPr>
    </w:p>
    <w:p w14:paraId="325FFB13" w14:textId="750595EE" w:rsidR="00B01FCD" w:rsidRPr="00FB3A86" w:rsidRDefault="00DA0758" w:rsidP="00441B6F">
      <w:pPr>
        <w:pStyle w:val="Copyright"/>
        <w:spacing w:after="0" w:line="240" w:lineRule="auto"/>
        <w:jc w:val="both"/>
        <w:rPr>
          <w:rFonts w:ascii="Arial" w:hAnsi="Arial" w:cs="Arial"/>
        </w:rPr>
        <w:sectPr w:rsidR="00B01FCD" w:rsidRPr="00FB3A86" w:rsidSect="0091461D">
          <w:headerReference w:type="even" r:id="rId12"/>
          <w:headerReference w:type="default" r:id="rId13"/>
          <w:headerReference w:type="first" r:id="rId14"/>
          <w:pgSz w:w="12240" w:h="15840" w:code="1"/>
          <w:pgMar w:top="1440" w:right="2019" w:bottom="2019" w:left="2019" w:header="720" w:footer="1298" w:gutter="0"/>
          <w:cols w:space="720"/>
          <w:docGrid w:linePitch="272"/>
        </w:sectPr>
      </w:pPr>
      <w:r>
        <w:rPr>
          <w:rFonts w:ascii="Arial" w:hAnsi="Arial" w:cs="Arial"/>
          <w:noProof/>
        </w:rPr>
        <mc:AlternateContent>
          <mc:Choice Requires="wps">
            <w:drawing>
              <wp:inline distT="0" distB="0" distL="0" distR="0" wp14:anchorId="692FA93D" wp14:editId="647C8A7C">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ED7E2A4"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AtKuyoygEAAH0DAAAOAAAAAAAAAAAAAAAA&#10;AC4CAABkcnMvZTJvRG9jLnhtbFBLAQItABQABgAIAAAAIQARSDBg1gAAAAIBAAAPAAAAAAAAAAAA&#10;AAAAACQEAABkcnMvZG93bnJldi54bWxQSwUGAAAAAAQABADzAAAAJwUAAAAA&#10;" strokeweight="1.5pt">
                <w10:anchorlock/>
              </v:shape>
            </w:pict>
          </mc:Fallback>
        </mc:AlternateContent>
      </w:r>
      <w:r w:rsidR="00FB3A86">
        <w:rPr>
          <w:rFonts w:ascii="Arial" w:hAnsi="Arial" w:cs="Arial"/>
        </w:rPr>
        <w:t>.</w:t>
      </w:r>
    </w:p>
    <w:p w14:paraId="272FE7F6" w14:textId="77777777" w:rsidR="00B01FCD" w:rsidRDefault="00B01FCD" w:rsidP="00435336">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3E29CF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8"/>
      </w:tblGrid>
      <w:tr w:rsidR="00296529" w:rsidRPr="001E44FE" w14:paraId="6F24E070" w14:textId="77777777" w:rsidTr="00435336">
        <w:trPr>
          <w:trHeight w:val="2788"/>
        </w:trPr>
        <w:tc>
          <w:tcPr>
            <w:tcW w:w="9576" w:type="dxa"/>
          </w:tcPr>
          <w:p w14:paraId="57AC65FA" w14:textId="77777777" w:rsidR="00435336" w:rsidRDefault="00435336" w:rsidP="00933F54">
            <w:pPr>
              <w:pStyle w:val="Body"/>
              <w:spacing w:before="120" w:after="0"/>
              <w:rPr>
                <w:rFonts w:ascii="Arial" w:eastAsia="Calibri" w:hAnsi="Arial" w:cs="Arial"/>
                <w:szCs w:val="22"/>
              </w:rPr>
            </w:pPr>
            <w:r w:rsidRPr="00435336">
              <w:rPr>
                <w:rFonts w:ascii="Arial" w:eastAsia="Calibri" w:hAnsi="Arial" w:cs="Arial"/>
                <w:szCs w:val="22"/>
              </w:rPr>
              <w:t>White wormwood (</w:t>
            </w:r>
            <w:r w:rsidRPr="00435336">
              <w:rPr>
                <w:rFonts w:ascii="Arial" w:eastAsia="Calibri" w:hAnsi="Arial" w:cs="Arial"/>
                <w:i/>
                <w:iCs/>
                <w:szCs w:val="22"/>
              </w:rPr>
              <w:t xml:space="preserve">Artemisia </w:t>
            </w:r>
            <w:proofErr w:type="spellStart"/>
            <w:r w:rsidRPr="00435336">
              <w:rPr>
                <w:rFonts w:ascii="Arial" w:eastAsia="Calibri" w:hAnsi="Arial" w:cs="Arial"/>
                <w:i/>
                <w:iCs/>
                <w:szCs w:val="22"/>
              </w:rPr>
              <w:t>herba</w:t>
            </w:r>
            <w:proofErr w:type="spellEnd"/>
            <w:r w:rsidRPr="00435336">
              <w:rPr>
                <w:rFonts w:ascii="Arial" w:eastAsia="Calibri" w:hAnsi="Arial" w:cs="Arial"/>
                <w:i/>
                <w:iCs/>
                <w:szCs w:val="22"/>
              </w:rPr>
              <w:t>-alba</w:t>
            </w:r>
            <w:r w:rsidRPr="00435336">
              <w:rPr>
                <w:rFonts w:ascii="Arial" w:eastAsia="Calibri" w:hAnsi="Arial" w:cs="Arial"/>
                <w:szCs w:val="22"/>
              </w:rPr>
              <w:t xml:space="preserve"> </w:t>
            </w:r>
            <w:proofErr w:type="spellStart"/>
            <w:r w:rsidRPr="00435336">
              <w:rPr>
                <w:rFonts w:ascii="Arial" w:eastAsia="Calibri" w:hAnsi="Arial" w:cs="Arial"/>
                <w:szCs w:val="22"/>
              </w:rPr>
              <w:t>Asso</w:t>
            </w:r>
            <w:proofErr w:type="spellEnd"/>
            <w:r w:rsidRPr="00435336">
              <w:rPr>
                <w:rFonts w:ascii="Arial" w:eastAsia="Calibri" w:hAnsi="Arial" w:cs="Arial"/>
                <w:szCs w:val="22"/>
              </w:rPr>
              <w:t xml:space="preserve">.) is </w:t>
            </w:r>
            <w:commentRangeStart w:id="2"/>
            <w:r w:rsidRPr="00435336">
              <w:rPr>
                <w:rFonts w:ascii="Arial" w:eastAsia="Calibri" w:hAnsi="Arial" w:cs="Arial"/>
                <w:szCs w:val="22"/>
              </w:rPr>
              <w:t xml:space="preserve">an important medicinal plant </w:t>
            </w:r>
            <w:commentRangeEnd w:id="2"/>
            <w:r w:rsidR="00E337DD">
              <w:rPr>
                <w:rStyle w:val="CommentReference"/>
                <w:rFonts w:ascii="Times New Roman" w:hAnsi="Times New Roman"/>
                <w:lang w:val="nb-NO" w:eastAsia="nb-NO"/>
              </w:rPr>
              <w:commentReference w:id="2"/>
            </w:r>
            <w:r w:rsidRPr="00435336">
              <w:rPr>
                <w:rFonts w:ascii="Arial" w:eastAsia="Calibri" w:hAnsi="Arial" w:cs="Arial"/>
                <w:szCs w:val="22"/>
              </w:rPr>
              <w:t>widely used for its health benefits. An experiment was conducted on dr</w:t>
            </w:r>
            <w:r w:rsidR="00933F54">
              <w:rPr>
                <w:rFonts w:ascii="Arial" w:eastAsia="Calibri" w:hAnsi="Arial" w:cs="Arial"/>
                <w:szCs w:val="22"/>
              </w:rPr>
              <w:t>y</w:t>
            </w:r>
            <w:r w:rsidRPr="00435336">
              <w:rPr>
                <w:rFonts w:ascii="Arial" w:eastAsia="Calibri" w:hAnsi="Arial" w:cs="Arial"/>
                <w:szCs w:val="22"/>
              </w:rPr>
              <w:t xml:space="preserve"> herb to investigate the effect of storage duration on its quantitative and qualitative characteristics. The study was carried out under room temperature conditions using a randomized complete block design with five storage periods: 0, 3, 6, 9, and 12 months. The results showed no significant decrease in dry weight up to 6 months of storage, followed by a significant decline thereafter. There was a significant reduction in the percentage of essential oil, with the smallest loss occurring at 3 months and the greatest loss at 12 months. α-Thujone was the predominant component of the essential oil, followed by β-thujone. </w:t>
            </w:r>
            <w:bookmarkStart w:id="3" w:name="OLE_LINK2"/>
            <w:commentRangeStart w:id="4"/>
            <w:r w:rsidRPr="00435336">
              <w:rPr>
                <w:rFonts w:ascii="Arial" w:eastAsia="Calibri" w:hAnsi="Arial" w:cs="Arial"/>
                <w:szCs w:val="22"/>
              </w:rPr>
              <w:t>Both compounds decreased with prolonged storage, reaching their lowest levels at 12 months. Based on these findings, it is advisable not to store white wormwood for more than 3 months at room temperature to prevent further deterioration of its quantity and quality attributes.</w:t>
            </w:r>
            <w:bookmarkEnd w:id="3"/>
            <w:commentRangeEnd w:id="4"/>
            <w:r w:rsidR="00E337DD">
              <w:rPr>
                <w:rStyle w:val="CommentReference"/>
                <w:rFonts w:ascii="Times New Roman" w:hAnsi="Times New Roman"/>
                <w:lang w:val="nb-NO" w:eastAsia="nb-NO"/>
              </w:rPr>
              <w:commentReference w:id="4"/>
            </w:r>
          </w:p>
          <w:p w14:paraId="0BD11525" w14:textId="77777777" w:rsidR="003834D2" w:rsidRPr="00BA1B01" w:rsidRDefault="003834D2" w:rsidP="00435336">
            <w:pPr>
              <w:pStyle w:val="Body"/>
              <w:spacing w:after="0"/>
              <w:rPr>
                <w:rFonts w:ascii="Arial" w:eastAsia="Calibri" w:hAnsi="Arial" w:cs="Arial"/>
                <w:szCs w:val="22"/>
              </w:rPr>
            </w:pPr>
          </w:p>
        </w:tc>
      </w:tr>
    </w:tbl>
    <w:p w14:paraId="74C32B22" w14:textId="77777777" w:rsidR="00636EB2" w:rsidRDefault="00636EB2" w:rsidP="00441B6F">
      <w:pPr>
        <w:pStyle w:val="Body"/>
        <w:spacing w:after="0"/>
        <w:rPr>
          <w:rFonts w:ascii="Arial" w:hAnsi="Arial" w:cs="Arial"/>
          <w:i/>
        </w:rPr>
      </w:pPr>
    </w:p>
    <w:p w14:paraId="7E5AC0B1" w14:textId="77777777" w:rsidR="00A24E7E" w:rsidRDefault="00A24E7E" w:rsidP="001B217F">
      <w:pPr>
        <w:pStyle w:val="Body"/>
        <w:spacing w:after="0"/>
        <w:rPr>
          <w:rFonts w:ascii="Arial" w:hAnsi="Arial" w:cs="Arial"/>
          <w:i/>
        </w:rPr>
      </w:pPr>
      <w:r>
        <w:rPr>
          <w:rFonts w:ascii="Arial" w:hAnsi="Arial" w:cs="Arial"/>
          <w:i/>
        </w:rPr>
        <w:t xml:space="preserve">Keywords: </w:t>
      </w:r>
      <w:r w:rsidR="00435336" w:rsidRPr="00435336">
        <w:rPr>
          <w:rFonts w:ascii="Arial" w:hAnsi="Arial" w:cs="Arial"/>
          <w:i/>
        </w:rPr>
        <w:t xml:space="preserve">Wormwood, storage, </w:t>
      </w:r>
      <w:r w:rsidR="001B217F">
        <w:rPr>
          <w:rFonts w:ascii="Arial" w:hAnsi="Arial" w:cs="Arial"/>
          <w:i/>
        </w:rPr>
        <w:t>botanical</w:t>
      </w:r>
      <w:r w:rsidR="00435336" w:rsidRPr="00435336">
        <w:rPr>
          <w:rFonts w:ascii="Arial" w:hAnsi="Arial" w:cs="Arial"/>
          <w:i/>
        </w:rPr>
        <w:t xml:space="preserve"> drug, active constituents.</w:t>
      </w:r>
    </w:p>
    <w:p w14:paraId="7A9F448D" w14:textId="77777777" w:rsidR="00790ADA" w:rsidRDefault="00790ADA" w:rsidP="00441B6F">
      <w:pPr>
        <w:pStyle w:val="Body"/>
        <w:spacing w:after="0"/>
        <w:rPr>
          <w:rFonts w:ascii="Arial" w:hAnsi="Arial" w:cs="Arial"/>
          <w:i/>
        </w:rPr>
      </w:pPr>
    </w:p>
    <w:p w14:paraId="4B15D7F9" w14:textId="77777777" w:rsidR="007F7B32" w:rsidRDefault="00902823" w:rsidP="00435336">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00B43F3" w14:textId="77777777" w:rsidR="00790ADA" w:rsidRPr="00FB3A86" w:rsidRDefault="00790ADA" w:rsidP="00441B6F">
      <w:pPr>
        <w:pStyle w:val="AbstHead"/>
        <w:spacing w:after="0"/>
        <w:jc w:val="both"/>
        <w:rPr>
          <w:rFonts w:ascii="Arial" w:hAnsi="Arial" w:cs="Arial"/>
        </w:rPr>
      </w:pPr>
    </w:p>
    <w:p w14:paraId="6B3A889B" w14:textId="77777777" w:rsidR="008136F2" w:rsidRPr="008136F2" w:rsidRDefault="008136F2" w:rsidP="008136F2">
      <w:pPr>
        <w:pStyle w:val="Body"/>
        <w:rPr>
          <w:rFonts w:ascii="Arial" w:hAnsi="Arial" w:cs="Arial"/>
        </w:rPr>
      </w:pPr>
      <w:commentRangeStart w:id="5"/>
      <w:r w:rsidRPr="008136F2">
        <w:rPr>
          <w:rFonts w:ascii="Arial" w:hAnsi="Arial" w:cs="Arial"/>
        </w:rPr>
        <w:t xml:space="preserve">Medicinal plants are considered unconventional crops that have been used by humans throughout history to provide remedies for various ailments. Their importance in treating a wide range of human illnesses became particularly evident during the Middle Ages and continues to be recognized today. </w:t>
      </w:r>
      <w:commentRangeEnd w:id="5"/>
      <w:r w:rsidR="00D91C0A">
        <w:rPr>
          <w:rStyle w:val="CommentReference"/>
          <w:rFonts w:ascii="Times New Roman" w:hAnsi="Times New Roman"/>
          <w:lang w:val="nb-NO" w:eastAsia="nb-NO"/>
        </w:rPr>
        <w:commentReference w:id="5"/>
      </w:r>
      <w:r w:rsidRPr="008136F2">
        <w:rPr>
          <w:rFonts w:ascii="Arial" w:hAnsi="Arial" w:cs="Arial"/>
        </w:rPr>
        <w:t>Medicinal plants contain active compounds that exert physiological effects on living organisms. The global market for medicinal herbs is thriving, driven by increasing consumer preference for herbal remedies, which are known to have fewer side effects and lower costs. The global market for therapeutic herbs is projected to reach $347.50 billion by 2030 (</w:t>
      </w:r>
      <w:proofErr w:type="spellStart"/>
      <w:r w:rsidRPr="008136F2">
        <w:rPr>
          <w:rFonts w:ascii="Arial" w:hAnsi="Arial" w:cs="Arial"/>
        </w:rPr>
        <w:t>Badr</w:t>
      </w:r>
      <w:proofErr w:type="spellEnd"/>
      <w:r w:rsidRPr="008136F2">
        <w:rPr>
          <w:rFonts w:ascii="Arial" w:hAnsi="Arial" w:cs="Arial"/>
        </w:rPr>
        <w:t xml:space="preserve"> </w:t>
      </w:r>
      <w:r w:rsidRPr="00EE2C34">
        <w:rPr>
          <w:rFonts w:ascii="Arial" w:hAnsi="Arial" w:cs="Arial"/>
          <w:i/>
          <w:iCs/>
        </w:rPr>
        <w:t>et al</w:t>
      </w:r>
      <w:r w:rsidRPr="008136F2">
        <w:rPr>
          <w:rFonts w:ascii="Arial" w:hAnsi="Arial" w:cs="Arial"/>
        </w:rPr>
        <w:t xml:space="preserve">., 2013 and 2014; </w:t>
      </w:r>
      <w:proofErr w:type="spellStart"/>
      <w:r w:rsidRPr="008136F2">
        <w:rPr>
          <w:rFonts w:ascii="Arial" w:hAnsi="Arial" w:cs="Arial"/>
        </w:rPr>
        <w:t>Joshee</w:t>
      </w:r>
      <w:proofErr w:type="spellEnd"/>
      <w:r w:rsidRPr="008136F2">
        <w:rPr>
          <w:rFonts w:ascii="Arial" w:hAnsi="Arial" w:cs="Arial"/>
        </w:rPr>
        <w:t xml:space="preserve"> </w:t>
      </w:r>
      <w:r w:rsidRPr="00EE2C34">
        <w:rPr>
          <w:rFonts w:ascii="Arial" w:hAnsi="Arial" w:cs="Arial"/>
          <w:i/>
          <w:iCs/>
        </w:rPr>
        <w:t>et al</w:t>
      </w:r>
      <w:r w:rsidRPr="008136F2">
        <w:rPr>
          <w:rFonts w:ascii="Arial" w:hAnsi="Arial" w:cs="Arial"/>
        </w:rPr>
        <w:t xml:space="preserve">., 2019; </w:t>
      </w:r>
      <w:proofErr w:type="spellStart"/>
      <w:r w:rsidRPr="008136F2">
        <w:rPr>
          <w:rFonts w:ascii="Arial" w:hAnsi="Arial" w:cs="Arial"/>
        </w:rPr>
        <w:t>Ibrahima</w:t>
      </w:r>
      <w:proofErr w:type="spellEnd"/>
      <w:r w:rsidRPr="008136F2">
        <w:rPr>
          <w:rFonts w:ascii="Arial" w:hAnsi="Arial" w:cs="Arial"/>
        </w:rPr>
        <w:t xml:space="preserve"> </w:t>
      </w:r>
      <w:r w:rsidRPr="00EE2C34">
        <w:rPr>
          <w:rFonts w:ascii="Arial" w:hAnsi="Arial" w:cs="Arial"/>
          <w:i/>
          <w:iCs/>
        </w:rPr>
        <w:t>et al</w:t>
      </w:r>
      <w:r w:rsidRPr="008136F2">
        <w:rPr>
          <w:rFonts w:ascii="Arial" w:hAnsi="Arial" w:cs="Arial"/>
        </w:rPr>
        <w:t xml:space="preserve">., 2023; </w:t>
      </w:r>
      <w:proofErr w:type="spellStart"/>
      <w:r w:rsidRPr="008136F2">
        <w:rPr>
          <w:rFonts w:ascii="Arial" w:hAnsi="Arial" w:cs="Arial"/>
        </w:rPr>
        <w:t>Fayiah</w:t>
      </w:r>
      <w:proofErr w:type="spellEnd"/>
      <w:r w:rsidRPr="008136F2">
        <w:rPr>
          <w:rFonts w:ascii="Arial" w:hAnsi="Arial" w:cs="Arial"/>
        </w:rPr>
        <w:t xml:space="preserve"> </w:t>
      </w:r>
      <w:r w:rsidRPr="00EE2C34">
        <w:rPr>
          <w:rFonts w:ascii="Arial" w:hAnsi="Arial" w:cs="Arial"/>
          <w:i/>
          <w:iCs/>
        </w:rPr>
        <w:t>et al</w:t>
      </w:r>
      <w:r w:rsidRPr="008136F2">
        <w:rPr>
          <w:rFonts w:ascii="Arial" w:hAnsi="Arial" w:cs="Arial"/>
        </w:rPr>
        <w:t>., 2024).</w:t>
      </w:r>
    </w:p>
    <w:p w14:paraId="3F979F84" w14:textId="77777777" w:rsidR="008136F2" w:rsidRPr="008136F2" w:rsidRDefault="001B217F" w:rsidP="008136F2">
      <w:pPr>
        <w:pStyle w:val="Body"/>
        <w:rPr>
          <w:rFonts w:ascii="Arial" w:hAnsi="Arial" w:cs="Arial"/>
        </w:rPr>
      </w:pPr>
      <w:r w:rsidRPr="001B217F">
        <w:rPr>
          <w:rFonts w:ascii="Arial" w:hAnsi="Arial" w:cs="Arial"/>
        </w:rPr>
        <w:t xml:space="preserve">The storage of medicinal plants is a crucial stage that bridges the gap between producers and consumers. The quality of well-preserved plant materials </w:t>
      </w:r>
      <w:commentRangeStart w:id="6"/>
      <w:r w:rsidRPr="001B217F">
        <w:rPr>
          <w:rFonts w:ascii="Arial" w:hAnsi="Arial" w:cs="Arial"/>
        </w:rPr>
        <w:t>directly impac</w:t>
      </w:r>
      <w:r>
        <w:rPr>
          <w:rFonts w:ascii="Arial" w:hAnsi="Arial" w:cs="Arial"/>
        </w:rPr>
        <w:t>ts</w:t>
      </w:r>
      <w:commentRangeEnd w:id="6"/>
      <w:r w:rsidR="00D91C0A">
        <w:rPr>
          <w:rStyle w:val="CommentReference"/>
          <w:rFonts w:ascii="Times New Roman" w:hAnsi="Times New Roman"/>
          <w:lang w:val="nb-NO" w:eastAsia="nb-NO"/>
        </w:rPr>
        <w:commentReference w:id="6"/>
      </w:r>
      <w:r>
        <w:rPr>
          <w:rFonts w:ascii="Arial" w:hAnsi="Arial" w:cs="Arial"/>
        </w:rPr>
        <w:t xml:space="preserve"> the effectiveness of storage</w:t>
      </w:r>
      <w:r w:rsidR="008136F2" w:rsidRPr="008136F2">
        <w:rPr>
          <w:rFonts w:ascii="Arial" w:hAnsi="Arial" w:cs="Arial"/>
        </w:rPr>
        <w:t xml:space="preserve">. Dried medicinal plants are typically stored either for sale or as raw materials for industrial use. These plants are valued for their numerous active compounds used in medicines. Since storage involves significant costs for construction and equipment, which can disrupt the cycle of invested capital, it is essential to regularly evaluate changes in the physical and chemical properties of stored plant parts. This evaluation is necessary to prevent any adverse effects on human health that may result from alterations in active ingredients during storage. Maximizing the potential economic return from the storage process is equally important, especially given the daily impact of medicinal plants on human health. Improper storage can reduce the plant’s value and lead to wasted efforts in </w:t>
      </w:r>
      <w:r w:rsidR="008136F2" w:rsidRPr="008136F2">
        <w:rPr>
          <w:rFonts w:ascii="Arial" w:hAnsi="Arial" w:cs="Arial"/>
        </w:rPr>
        <w:lastRenderedPageBreak/>
        <w:t xml:space="preserve">cultivation, production, and processing (World Health Organization, 1998; </w:t>
      </w:r>
      <w:proofErr w:type="spellStart"/>
      <w:r w:rsidR="008136F2" w:rsidRPr="008136F2">
        <w:rPr>
          <w:rFonts w:ascii="Arial" w:hAnsi="Arial" w:cs="Arial"/>
        </w:rPr>
        <w:t>Miththapala</w:t>
      </w:r>
      <w:proofErr w:type="spellEnd"/>
      <w:r w:rsidR="008136F2" w:rsidRPr="008136F2">
        <w:rPr>
          <w:rFonts w:ascii="Arial" w:hAnsi="Arial" w:cs="Arial"/>
        </w:rPr>
        <w:t xml:space="preserve">, 2006; Abd El-Aleem and Hamed, 2018; </w:t>
      </w:r>
      <w:proofErr w:type="spellStart"/>
      <w:r w:rsidR="008136F2" w:rsidRPr="008136F2">
        <w:rPr>
          <w:rFonts w:ascii="Arial" w:hAnsi="Arial" w:cs="Arial"/>
        </w:rPr>
        <w:t>Moghith</w:t>
      </w:r>
      <w:proofErr w:type="spellEnd"/>
      <w:r w:rsidR="008136F2" w:rsidRPr="008136F2">
        <w:rPr>
          <w:rFonts w:ascii="Arial" w:hAnsi="Arial" w:cs="Arial"/>
        </w:rPr>
        <w:t xml:space="preserve"> </w:t>
      </w:r>
      <w:r w:rsidR="008136F2" w:rsidRPr="00EE2C34">
        <w:rPr>
          <w:rFonts w:ascii="Arial" w:hAnsi="Arial" w:cs="Arial"/>
          <w:i/>
          <w:iCs/>
        </w:rPr>
        <w:t>et al</w:t>
      </w:r>
      <w:r w:rsidR="008136F2" w:rsidRPr="008136F2">
        <w:rPr>
          <w:rFonts w:ascii="Arial" w:hAnsi="Arial" w:cs="Arial"/>
        </w:rPr>
        <w:t>., 2024).</w:t>
      </w:r>
    </w:p>
    <w:p w14:paraId="36CF5283" w14:textId="77777777" w:rsidR="008136F2" w:rsidRPr="008136F2" w:rsidRDefault="008136F2" w:rsidP="008136F2">
      <w:pPr>
        <w:pStyle w:val="Body"/>
        <w:rPr>
          <w:rFonts w:ascii="Arial" w:hAnsi="Arial" w:cs="Arial"/>
        </w:rPr>
      </w:pPr>
      <w:r w:rsidRPr="008136F2">
        <w:rPr>
          <w:rFonts w:ascii="Arial" w:hAnsi="Arial" w:cs="Arial"/>
          <w:i/>
          <w:iCs/>
        </w:rPr>
        <w:t xml:space="preserve">Artemisia </w:t>
      </w:r>
      <w:proofErr w:type="spellStart"/>
      <w:r w:rsidRPr="008136F2">
        <w:rPr>
          <w:rFonts w:ascii="Arial" w:hAnsi="Arial" w:cs="Arial"/>
          <w:i/>
          <w:iCs/>
        </w:rPr>
        <w:t>herba</w:t>
      </w:r>
      <w:proofErr w:type="spellEnd"/>
      <w:r w:rsidRPr="008136F2">
        <w:rPr>
          <w:rFonts w:ascii="Arial" w:hAnsi="Arial" w:cs="Arial"/>
          <w:i/>
          <w:iCs/>
        </w:rPr>
        <w:t>-alba</w:t>
      </w:r>
      <w:r w:rsidRPr="008136F2">
        <w:rPr>
          <w:rFonts w:ascii="Arial" w:hAnsi="Arial" w:cs="Arial"/>
        </w:rPr>
        <w:t xml:space="preserve">, commonly known as desert wormwood or white wormwood, is a significant medicinal plant belonging to the Asteraceae family. This species is distributed worldwide, ranging from the Canary Islands and southeastern Spain in the west to Asia, encompassing all of North Africa and the Near East. In the Middle East, </w:t>
      </w:r>
      <w:r w:rsidRPr="008136F2">
        <w:rPr>
          <w:rFonts w:ascii="Arial" w:hAnsi="Arial" w:cs="Arial"/>
          <w:i/>
          <w:iCs/>
        </w:rPr>
        <w:t xml:space="preserve">Artemisia </w:t>
      </w:r>
      <w:proofErr w:type="spellStart"/>
      <w:r w:rsidRPr="008136F2">
        <w:rPr>
          <w:rFonts w:ascii="Arial" w:hAnsi="Arial" w:cs="Arial"/>
          <w:i/>
          <w:iCs/>
        </w:rPr>
        <w:t>herba</w:t>
      </w:r>
      <w:proofErr w:type="spellEnd"/>
      <w:r w:rsidRPr="008136F2">
        <w:rPr>
          <w:rFonts w:ascii="Arial" w:hAnsi="Arial" w:cs="Arial"/>
          <w:i/>
          <w:iCs/>
        </w:rPr>
        <w:t>-alba</w:t>
      </w:r>
      <w:r w:rsidRPr="008136F2">
        <w:rPr>
          <w:rFonts w:ascii="Arial" w:hAnsi="Arial" w:cs="Arial"/>
        </w:rPr>
        <w:t xml:space="preserve"> is traditionally used to treat various ailments, including gastrointestinal worms, digestive disorders, and colic. </w:t>
      </w:r>
      <w:commentRangeStart w:id="7"/>
      <w:r w:rsidRPr="008136F2">
        <w:rPr>
          <w:rFonts w:ascii="Arial" w:hAnsi="Arial" w:cs="Arial"/>
        </w:rPr>
        <w:t xml:space="preserve">The essential oil extracted from this plant has demonstrated antibacterial properties. Additionally, it has been employed in managing diabetes mellitus. Traditionally, </w:t>
      </w:r>
      <w:r w:rsidRPr="008136F2">
        <w:rPr>
          <w:rFonts w:ascii="Arial" w:hAnsi="Arial" w:cs="Arial"/>
          <w:i/>
          <w:iCs/>
        </w:rPr>
        <w:t xml:space="preserve">Artemisia </w:t>
      </w:r>
      <w:proofErr w:type="spellStart"/>
      <w:r w:rsidRPr="008136F2">
        <w:rPr>
          <w:rFonts w:ascii="Arial" w:hAnsi="Arial" w:cs="Arial"/>
          <w:i/>
          <w:iCs/>
        </w:rPr>
        <w:t>herba</w:t>
      </w:r>
      <w:proofErr w:type="spellEnd"/>
      <w:r w:rsidRPr="008136F2">
        <w:rPr>
          <w:rFonts w:ascii="Arial" w:hAnsi="Arial" w:cs="Arial"/>
          <w:i/>
          <w:iCs/>
        </w:rPr>
        <w:t>-alba</w:t>
      </w:r>
      <w:r w:rsidRPr="008136F2">
        <w:rPr>
          <w:rFonts w:ascii="Arial" w:hAnsi="Arial" w:cs="Arial"/>
        </w:rPr>
        <w:t xml:space="preserve"> has also been used to treat snake and scorpion bites, dental pain, and respiratory issues. A mixture of white wormwood and henna, diluted with water, can be applied to the scalp to relieve neuralgia and other types of pain. The herb is also used for wound dressing, liver ailments, and as a flavoring agent for tea. </w:t>
      </w:r>
      <w:commentRangeEnd w:id="7"/>
      <w:r w:rsidR="00D91C0A">
        <w:rPr>
          <w:rStyle w:val="CommentReference"/>
          <w:rFonts w:ascii="Times New Roman" w:hAnsi="Times New Roman"/>
          <w:lang w:val="nb-NO" w:eastAsia="nb-NO"/>
        </w:rPr>
        <w:commentReference w:id="7"/>
      </w:r>
      <w:r w:rsidRPr="008136F2">
        <w:rPr>
          <w:rFonts w:ascii="Arial" w:hAnsi="Arial" w:cs="Arial"/>
        </w:rPr>
        <w:t xml:space="preserve">Recent studies indicate that extracts from </w:t>
      </w:r>
      <w:r w:rsidRPr="008136F2">
        <w:rPr>
          <w:rFonts w:ascii="Arial" w:hAnsi="Arial" w:cs="Arial"/>
          <w:i/>
          <w:iCs/>
        </w:rPr>
        <w:t xml:space="preserve">Artemisia </w:t>
      </w:r>
      <w:proofErr w:type="spellStart"/>
      <w:r w:rsidRPr="008136F2">
        <w:rPr>
          <w:rFonts w:ascii="Arial" w:hAnsi="Arial" w:cs="Arial"/>
          <w:i/>
          <w:iCs/>
        </w:rPr>
        <w:t>herba</w:t>
      </w:r>
      <w:proofErr w:type="spellEnd"/>
      <w:r w:rsidRPr="008136F2">
        <w:rPr>
          <w:rFonts w:ascii="Arial" w:hAnsi="Arial" w:cs="Arial"/>
          <w:i/>
          <w:iCs/>
        </w:rPr>
        <w:t>-alba</w:t>
      </w:r>
      <w:r w:rsidRPr="008136F2">
        <w:rPr>
          <w:rFonts w:ascii="Arial" w:hAnsi="Arial" w:cs="Arial"/>
        </w:rPr>
        <w:t xml:space="preserve"> possess antioxidant and anticancer properties (Wright, 2001; Union </w:t>
      </w:r>
      <w:proofErr w:type="spellStart"/>
      <w:r w:rsidRPr="008136F2">
        <w:rPr>
          <w:rFonts w:ascii="Arial" w:hAnsi="Arial" w:cs="Arial"/>
        </w:rPr>
        <w:t>Internationale</w:t>
      </w:r>
      <w:proofErr w:type="spellEnd"/>
      <w:r w:rsidRPr="008136F2">
        <w:rPr>
          <w:rFonts w:ascii="Arial" w:hAnsi="Arial" w:cs="Arial"/>
        </w:rPr>
        <w:t xml:space="preserve"> pour la Conservation de la Nature et de </w:t>
      </w:r>
      <w:proofErr w:type="spellStart"/>
      <w:r w:rsidRPr="008136F2">
        <w:rPr>
          <w:rFonts w:ascii="Arial" w:hAnsi="Arial" w:cs="Arial"/>
        </w:rPr>
        <w:t>ses</w:t>
      </w:r>
      <w:proofErr w:type="spellEnd"/>
      <w:r w:rsidRPr="008136F2">
        <w:rPr>
          <w:rFonts w:ascii="Arial" w:hAnsi="Arial" w:cs="Arial"/>
        </w:rPr>
        <w:t xml:space="preserve"> </w:t>
      </w:r>
      <w:proofErr w:type="spellStart"/>
      <w:r w:rsidRPr="008136F2">
        <w:rPr>
          <w:rFonts w:ascii="Arial" w:hAnsi="Arial" w:cs="Arial"/>
        </w:rPr>
        <w:t>Ressources</w:t>
      </w:r>
      <w:proofErr w:type="spellEnd"/>
      <w:r w:rsidRPr="008136F2">
        <w:rPr>
          <w:rFonts w:ascii="Arial" w:hAnsi="Arial" w:cs="Arial"/>
        </w:rPr>
        <w:t xml:space="preserve">, 2005; </w:t>
      </w:r>
      <w:proofErr w:type="spellStart"/>
      <w:r w:rsidRPr="008136F2">
        <w:rPr>
          <w:rFonts w:ascii="Arial" w:hAnsi="Arial" w:cs="Arial"/>
        </w:rPr>
        <w:t>Baranová</w:t>
      </w:r>
      <w:proofErr w:type="spellEnd"/>
      <w:r w:rsidRPr="008136F2">
        <w:rPr>
          <w:rFonts w:ascii="Arial" w:hAnsi="Arial" w:cs="Arial"/>
        </w:rPr>
        <w:t xml:space="preserve"> </w:t>
      </w:r>
      <w:r w:rsidRPr="00664DEC">
        <w:rPr>
          <w:rFonts w:ascii="Arial" w:hAnsi="Arial" w:cs="Arial"/>
          <w:i/>
          <w:iCs/>
        </w:rPr>
        <w:t>et al</w:t>
      </w:r>
      <w:r w:rsidRPr="008136F2">
        <w:rPr>
          <w:rFonts w:ascii="Arial" w:hAnsi="Arial" w:cs="Arial"/>
        </w:rPr>
        <w:t xml:space="preserve">., 2025; </w:t>
      </w:r>
      <w:proofErr w:type="spellStart"/>
      <w:r w:rsidRPr="008136F2">
        <w:rPr>
          <w:rFonts w:ascii="Arial" w:hAnsi="Arial" w:cs="Arial"/>
        </w:rPr>
        <w:t>Bou</w:t>
      </w:r>
      <w:proofErr w:type="spellEnd"/>
      <w:r w:rsidRPr="008136F2">
        <w:rPr>
          <w:rFonts w:ascii="Arial" w:hAnsi="Arial" w:cs="Arial"/>
        </w:rPr>
        <w:t xml:space="preserve"> </w:t>
      </w:r>
      <w:proofErr w:type="spellStart"/>
      <w:r w:rsidRPr="008136F2">
        <w:rPr>
          <w:rFonts w:ascii="Arial" w:hAnsi="Arial" w:cs="Arial"/>
        </w:rPr>
        <w:t>Malhab</w:t>
      </w:r>
      <w:proofErr w:type="spellEnd"/>
      <w:r w:rsidRPr="008136F2">
        <w:rPr>
          <w:rFonts w:ascii="Arial" w:hAnsi="Arial" w:cs="Arial"/>
        </w:rPr>
        <w:t xml:space="preserve"> </w:t>
      </w:r>
      <w:r w:rsidRPr="00664DEC">
        <w:rPr>
          <w:rFonts w:ascii="Arial" w:hAnsi="Arial" w:cs="Arial"/>
          <w:i/>
          <w:iCs/>
        </w:rPr>
        <w:t>et al</w:t>
      </w:r>
      <w:r w:rsidRPr="008136F2">
        <w:rPr>
          <w:rFonts w:ascii="Arial" w:hAnsi="Arial" w:cs="Arial"/>
        </w:rPr>
        <w:t xml:space="preserve">., 2025; Mohammed </w:t>
      </w:r>
      <w:r w:rsidRPr="00EE2C34">
        <w:rPr>
          <w:rFonts w:ascii="Arial" w:hAnsi="Arial" w:cs="Arial"/>
          <w:i/>
          <w:iCs/>
        </w:rPr>
        <w:t>et al</w:t>
      </w:r>
      <w:r w:rsidRPr="008136F2">
        <w:rPr>
          <w:rFonts w:ascii="Arial" w:hAnsi="Arial" w:cs="Arial"/>
        </w:rPr>
        <w:t>., 2021).</w:t>
      </w:r>
    </w:p>
    <w:p w14:paraId="4A9D30F9" w14:textId="77777777" w:rsidR="00790ADA" w:rsidRDefault="008136F2" w:rsidP="00327AE5">
      <w:pPr>
        <w:pStyle w:val="Body"/>
        <w:spacing w:after="0"/>
        <w:rPr>
          <w:rFonts w:ascii="Arial" w:hAnsi="Arial" w:cs="Arial"/>
        </w:rPr>
      </w:pPr>
      <w:r w:rsidRPr="008136F2">
        <w:rPr>
          <w:rFonts w:ascii="Arial" w:hAnsi="Arial" w:cs="Arial"/>
        </w:rPr>
        <w:t xml:space="preserve">In Egypt, white wormwood is commercially harvested from the desert, then dried, processed, and stored for sale. Limited research has been conducted on how storage duration affects the quality of the dried raw </w:t>
      </w:r>
      <w:commentRangeStart w:id="8"/>
      <w:r w:rsidRPr="008136F2">
        <w:rPr>
          <w:rFonts w:ascii="Arial" w:hAnsi="Arial" w:cs="Arial"/>
        </w:rPr>
        <w:t>material</w:t>
      </w:r>
      <w:commentRangeEnd w:id="8"/>
      <w:r w:rsidR="00D91C0A">
        <w:rPr>
          <w:rStyle w:val="CommentReference"/>
          <w:rFonts w:ascii="Times New Roman" w:hAnsi="Times New Roman"/>
          <w:lang w:val="nb-NO" w:eastAsia="nb-NO"/>
        </w:rPr>
        <w:commentReference w:id="8"/>
      </w:r>
      <w:r w:rsidRPr="008136F2">
        <w:rPr>
          <w:rFonts w:ascii="Arial" w:hAnsi="Arial" w:cs="Arial"/>
        </w:rPr>
        <w:t>. This study aims to investigate the impact of various storage periods at room temperature on the quantitative and qualitative properties of the herb. The objective is to determine the optimal storage duration that maximizes economic returns while preserving the quality of the crude product.</w:t>
      </w:r>
    </w:p>
    <w:p w14:paraId="0B6CA1F1" w14:textId="77777777" w:rsidR="008136F2" w:rsidRPr="00FB3A86" w:rsidRDefault="008136F2" w:rsidP="008136F2">
      <w:pPr>
        <w:pStyle w:val="Body"/>
        <w:spacing w:after="0"/>
        <w:rPr>
          <w:rFonts w:ascii="Arial" w:hAnsi="Arial" w:cs="Arial"/>
        </w:rPr>
      </w:pPr>
    </w:p>
    <w:p w14:paraId="618D5A17" w14:textId="77777777" w:rsidR="007F7B32" w:rsidRDefault="00902823" w:rsidP="008136F2">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r w:rsidR="008136F2">
        <w:rPr>
          <w:rFonts w:ascii="Arial" w:hAnsi="Arial" w:cs="Arial"/>
        </w:rPr>
        <w:t xml:space="preserve"> </w:t>
      </w:r>
    </w:p>
    <w:p w14:paraId="06C5FF66" w14:textId="77777777" w:rsidR="00790ADA" w:rsidRPr="00FB3A86" w:rsidRDefault="00790ADA" w:rsidP="00441B6F">
      <w:pPr>
        <w:pStyle w:val="AbstHead"/>
        <w:spacing w:after="0"/>
        <w:jc w:val="both"/>
        <w:rPr>
          <w:rFonts w:ascii="Arial" w:hAnsi="Arial" w:cs="Arial"/>
        </w:rPr>
      </w:pPr>
    </w:p>
    <w:p w14:paraId="74E393C4" w14:textId="6E3731E1" w:rsidR="00EE2C34" w:rsidRPr="00EE2C34" w:rsidRDefault="00EE2C34" w:rsidP="00AD751D">
      <w:pPr>
        <w:pStyle w:val="Body"/>
        <w:rPr>
          <w:rFonts w:ascii="Arial" w:hAnsi="Arial" w:cs="Arial"/>
        </w:rPr>
      </w:pPr>
      <w:r w:rsidRPr="00EE2C34">
        <w:rPr>
          <w:rFonts w:ascii="Arial" w:hAnsi="Arial" w:cs="Arial"/>
        </w:rPr>
        <w:t xml:space="preserve">The raw </w:t>
      </w:r>
      <w:r w:rsidR="00C77366">
        <w:rPr>
          <w:rFonts w:ascii="Arial" w:hAnsi="Arial" w:cs="Arial"/>
        </w:rPr>
        <w:t xml:space="preserve">botanical </w:t>
      </w:r>
      <w:r w:rsidRPr="00EE2C34">
        <w:rPr>
          <w:rFonts w:ascii="Arial" w:hAnsi="Arial" w:cs="Arial"/>
        </w:rPr>
        <w:t>materials used in the experiment were sourced from cultivated white wormwood (</w:t>
      </w:r>
      <w:r w:rsidRPr="00EE2C34">
        <w:rPr>
          <w:rFonts w:ascii="Arial" w:hAnsi="Arial" w:cs="Arial"/>
          <w:i/>
          <w:iCs/>
        </w:rPr>
        <w:t xml:space="preserve">Artemisia </w:t>
      </w:r>
      <w:proofErr w:type="spellStart"/>
      <w:r w:rsidRPr="00EE2C34">
        <w:rPr>
          <w:rFonts w:ascii="Arial" w:hAnsi="Arial" w:cs="Arial"/>
          <w:i/>
          <w:iCs/>
        </w:rPr>
        <w:t>herba</w:t>
      </w:r>
      <w:proofErr w:type="spellEnd"/>
      <w:r w:rsidRPr="00EE2C34">
        <w:rPr>
          <w:rFonts w:ascii="Arial" w:hAnsi="Arial" w:cs="Arial"/>
          <w:i/>
          <w:iCs/>
        </w:rPr>
        <w:t>-alba</w:t>
      </w:r>
      <w:r w:rsidRPr="00EE2C34">
        <w:rPr>
          <w:rFonts w:ascii="Arial" w:hAnsi="Arial" w:cs="Arial"/>
        </w:rPr>
        <w:t>) located on the northwest coast of Egypt. These plants were grown on</w:t>
      </w:r>
      <w:r w:rsidR="00C77366">
        <w:rPr>
          <w:rFonts w:ascii="Arial" w:hAnsi="Arial" w:cs="Arial"/>
        </w:rPr>
        <w:t xml:space="preserve"> newly reclaimed desert</w:t>
      </w:r>
      <w:r w:rsidRPr="00EE2C34">
        <w:rPr>
          <w:rFonts w:ascii="Arial" w:hAnsi="Arial" w:cs="Arial"/>
        </w:rPr>
        <w:t xml:space="preserve"> land with calcareous soil. The herbs were harvested at the end of June in both 2023 and 2024 and were subsequently selected for treatment </w:t>
      </w:r>
      <w:proofErr w:type="gramStart"/>
      <w:r w:rsidRPr="00EE2C34">
        <w:rPr>
          <w:rFonts w:ascii="Arial" w:hAnsi="Arial" w:cs="Arial"/>
        </w:rPr>
        <w:t>applications</w:t>
      </w:r>
      <w:r w:rsidR="00D91C0A">
        <w:rPr>
          <w:rFonts w:ascii="Arial" w:hAnsi="Arial" w:cs="Arial"/>
        </w:rPr>
        <w:t xml:space="preserve"> </w:t>
      </w:r>
      <w:r w:rsidRPr="00EE2C34">
        <w:rPr>
          <w:rFonts w:ascii="Arial" w:hAnsi="Arial" w:cs="Arial"/>
        </w:rPr>
        <w:t>.</w:t>
      </w:r>
      <w:proofErr w:type="gramEnd"/>
    </w:p>
    <w:p w14:paraId="59A8AA62" w14:textId="77777777" w:rsidR="00EE2C34" w:rsidRPr="00EE2C34" w:rsidRDefault="00EE2C34" w:rsidP="00EE2C34">
      <w:pPr>
        <w:pStyle w:val="Body"/>
        <w:rPr>
          <w:rFonts w:ascii="Arial" w:hAnsi="Arial" w:cs="Arial"/>
        </w:rPr>
      </w:pPr>
      <w:r w:rsidRPr="00EE2C34">
        <w:rPr>
          <w:rFonts w:ascii="Arial" w:hAnsi="Arial" w:cs="Arial"/>
        </w:rPr>
        <w:t>Foreign materials were removed from the vegetation, and the herbs were freshly picked, rinsed with clean water, and air-dried in the shade for three weeks before proceeding to the next steps of the investigation. The herbs were then stored in brown kraft paper bags and kept at room temperature (22–25ºC) with a humidity level of 50–60%. The kraft paper bags were sealed, and dried herb samples were collected for analysis both before and after each storage period. This sampling method ensured that the samples accurately represented the existing material.</w:t>
      </w:r>
    </w:p>
    <w:p w14:paraId="369D45E6" w14:textId="77777777" w:rsidR="00EE2C34" w:rsidRPr="00EE2C34" w:rsidRDefault="00EE2C34" w:rsidP="00EE2C34">
      <w:pPr>
        <w:pStyle w:val="Body"/>
        <w:rPr>
          <w:rFonts w:ascii="Arial" w:hAnsi="Arial" w:cs="Arial"/>
        </w:rPr>
      </w:pPr>
      <w:r w:rsidRPr="00EE2C34">
        <w:rPr>
          <w:rFonts w:ascii="Arial" w:hAnsi="Arial" w:cs="Arial"/>
        </w:rPr>
        <w:t xml:space="preserve">The study employed a randomized complete block design with three replicates. The treatments consisted of five different storage intervals for the harvested dried herbs: 0, 3, 6, 9, and 12 </w:t>
      </w:r>
      <w:commentRangeStart w:id="9"/>
      <w:r w:rsidRPr="00EE2C34">
        <w:rPr>
          <w:rFonts w:ascii="Arial" w:hAnsi="Arial" w:cs="Arial"/>
        </w:rPr>
        <w:t>months</w:t>
      </w:r>
      <w:commentRangeEnd w:id="9"/>
      <w:r w:rsidR="00D91C0A">
        <w:rPr>
          <w:rStyle w:val="CommentReference"/>
          <w:rFonts w:ascii="Times New Roman" w:hAnsi="Times New Roman"/>
          <w:lang w:val="nb-NO" w:eastAsia="nb-NO"/>
        </w:rPr>
        <w:commentReference w:id="9"/>
      </w:r>
      <w:r w:rsidRPr="00EE2C34">
        <w:rPr>
          <w:rFonts w:ascii="Arial" w:hAnsi="Arial" w:cs="Arial"/>
        </w:rPr>
        <w:t>.</w:t>
      </w:r>
    </w:p>
    <w:p w14:paraId="4A8F494B" w14:textId="77777777" w:rsidR="002E0D56" w:rsidRDefault="00EE2C34" w:rsidP="00EE2C34">
      <w:pPr>
        <w:pStyle w:val="Body"/>
        <w:spacing w:after="0"/>
        <w:rPr>
          <w:rFonts w:ascii="Arial" w:hAnsi="Arial" w:cs="Arial"/>
        </w:rPr>
      </w:pPr>
      <w:r w:rsidRPr="00EE2C34">
        <w:rPr>
          <w:rFonts w:ascii="Arial" w:hAnsi="Arial" w:cs="Arial"/>
        </w:rPr>
        <w:t xml:space="preserve">The data were analyzed using ANOVA, and differences were assessed at a 5% significance level used the Least Significant Difference (LSD) method, as described by </w:t>
      </w:r>
      <w:proofErr w:type="spellStart"/>
      <w:r w:rsidRPr="00EE2C34">
        <w:rPr>
          <w:rFonts w:ascii="Arial" w:hAnsi="Arial" w:cs="Arial"/>
        </w:rPr>
        <w:t>Snedecor</w:t>
      </w:r>
      <w:proofErr w:type="spellEnd"/>
      <w:r w:rsidRPr="00EE2C34">
        <w:rPr>
          <w:rFonts w:ascii="Arial" w:hAnsi="Arial" w:cs="Arial"/>
        </w:rPr>
        <w:t xml:space="preserve"> and Cochran (1982). The following records were evaluated before and after each storage period:</w:t>
      </w:r>
    </w:p>
    <w:p w14:paraId="5043CDCD" w14:textId="77777777" w:rsidR="00EE2C34" w:rsidRDefault="00EE2C34" w:rsidP="00EE2C34">
      <w:pPr>
        <w:pStyle w:val="Body"/>
        <w:spacing w:after="0"/>
        <w:rPr>
          <w:rFonts w:ascii="Arial" w:hAnsi="Arial" w:cs="Arial"/>
        </w:rPr>
      </w:pPr>
    </w:p>
    <w:p w14:paraId="543B1BCC" w14:textId="77777777" w:rsidR="00C77366" w:rsidRDefault="00C77366" w:rsidP="00EE2C34">
      <w:pPr>
        <w:pStyle w:val="Body"/>
        <w:spacing w:after="0"/>
        <w:rPr>
          <w:rFonts w:ascii="Arial" w:hAnsi="Arial" w:cs="Arial"/>
        </w:rPr>
      </w:pPr>
    </w:p>
    <w:p w14:paraId="7AA63148" w14:textId="77777777" w:rsidR="00C77366" w:rsidRDefault="00C77366" w:rsidP="00EE2C34">
      <w:pPr>
        <w:pStyle w:val="Body"/>
        <w:spacing w:after="0"/>
        <w:rPr>
          <w:rFonts w:ascii="Arial" w:hAnsi="Arial" w:cs="Arial"/>
        </w:rPr>
      </w:pPr>
    </w:p>
    <w:p w14:paraId="54BD7EA2" w14:textId="77777777" w:rsidR="00EE2C34" w:rsidRPr="00EE2C34" w:rsidRDefault="00EE2C34" w:rsidP="00EE2C34">
      <w:pPr>
        <w:pStyle w:val="Body"/>
        <w:jc w:val="left"/>
        <w:rPr>
          <w:rFonts w:ascii="Arial" w:hAnsi="Arial" w:cs="Arial"/>
          <w:b/>
          <w:sz w:val="22"/>
        </w:rPr>
      </w:pPr>
      <w:r w:rsidRPr="00C30A0F">
        <w:rPr>
          <w:rFonts w:ascii="Arial" w:hAnsi="Arial" w:cs="Arial"/>
          <w:b/>
          <w:caps/>
          <w:sz w:val="22"/>
        </w:rPr>
        <w:t xml:space="preserve">2.1 </w:t>
      </w:r>
      <w:r w:rsidRPr="00EE2C34">
        <w:rPr>
          <w:rFonts w:ascii="Arial" w:hAnsi="Arial" w:cs="Arial"/>
          <w:b/>
          <w:sz w:val="22"/>
        </w:rPr>
        <w:t xml:space="preserve">Quantity Metrics </w:t>
      </w:r>
    </w:p>
    <w:p w14:paraId="04AFE0DA" w14:textId="77777777" w:rsidR="00EE2C34" w:rsidRPr="00EE2C34" w:rsidRDefault="00EE2C34" w:rsidP="00EE2C34">
      <w:pPr>
        <w:pStyle w:val="Body"/>
        <w:rPr>
          <w:rFonts w:ascii="Arial" w:hAnsi="Arial" w:cs="Arial"/>
        </w:rPr>
      </w:pPr>
      <w:r w:rsidRPr="00EE2C34">
        <w:rPr>
          <w:rFonts w:ascii="Arial" w:hAnsi="Arial" w:cs="Arial"/>
        </w:rPr>
        <w:t xml:space="preserve">A 100 g sample of dry matter was randomly selected from each treatment for weight measurement. </w:t>
      </w:r>
    </w:p>
    <w:p w14:paraId="6A51B00F" w14:textId="77777777" w:rsidR="00EE2C34" w:rsidRPr="00EE2C34" w:rsidRDefault="00EE2C34" w:rsidP="00EE2C34">
      <w:pPr>
        <w:pStyle w:val="Body"/>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EE2C34">
        <w:rPr>
          <w:rFonts w:ascii="Arial" w:hAnsi="Arial" w:cs="Arial"/>
          <w:b/>
          <w:sz w:val="22"/>
        </w:rPr>
        <w:t xml:space="preserve">Quality Metrics </w:t>
      </w:r>
    </w:p>
    <w:p w14:paraId="5ADC1760" w14:textId="77777777" w:rsidR="00C77366" w:rsidRDefault="00C77366" w:rsidP="00EE2C34">
      <w:pPr>
        <w:pStyle w:val="Body"/>
        <w:spacing w:after="0"/>
        <w:rPr>
          <w:rFonts w:ascii="Arial" w:hAnsi="Arial" w:cs="Arial"/>
        </w:rPr>
      </w:pPr>
      <w:r w:rsidRPr="00C77366">
        <w:rPr>
          <w:rFonts w:ascii="Arial" w:hAnsi="Arial" w:cs="Arial"/>
        </w:rPr>
        <w:t xml:space="preserve">The percentage of essential oil in the air-dried herb was measured by </w:t>
      </w:r>
      <w:proofErr w:type="spellStart"/>
      <w:r w:rsidRPr="00C77366">
        <w:rPr>
          <w:rFonts w:ascii="Arial" w:hAnsi="Arial" w:cs="Arial"/>
        </w:rPr>
        <w:t>hydrodistillation</w:t>
      </w:r>
      <w:proofErr w:type="spellEnd"/>
      <w:r w:rsidRPr="00C77366">
        <w:rPr>
          <w:rFonts w:ascii="Arial" w:hAnsi="Arial" w:cs="Arial"/>
        </w:rPr>
        <w:t xml:space="preserve"> for three hours using a Clevenger-type apparatus. The essential oil content was expressed as a relative percentage (v/w) </w:t>
      </w:r>
      <w:commentRangeStart w:id="10"/>
      <w:r w:rsidRPr="00C77366">
        <w:rPr>
          <w:rFonts w:ascii="Arial" w:hAnsi="Arial" w:cs="Arial"/>
        </w:rPr>
        <w:t>in accordance with</w:t>
      </w:r>
      <w:commentRangeEnd w:id="10"/>
      <w:r w:rsidR="00D91C0A">
        <w:rPr>
          <w:rStyle w:val="CommentReference"/>
          <w:rFonts w:ascii="Times New Roman" w:hAnsi="Times New Roman"/>
          <w:lang w:val="nb-NO" w:eastAsia="nb-NO"/>
        </w:rPr>
        <w:commentReference w:id="10"/>
      </w:r>
      <w:r w:rsidRPr="00C77366">
        <w:rPr>
          <w:rFonts w:ascii="Arial" w:hAnsi="Arial" w:cs="Arial"/>
        </w:rPr>
        <w:t xml:space="preserve"> the British Pharmacopoeia (1963).</w:t>
      </w:r>
    </w:p>
    <w:p w14:paraId="4879953E" w14:textId="77777777" w:rsidR="00C77366" w:rsidRDefault="00C77366" w:rsidP="00EE2C34">
      <w:pPr>
        <w:pStyle w:val="Body"/>
        <w:spacing w:after="0"/>
        <w:rPr>
          <w:rFonts w:ascii="Arial" w:hAnsi="Arial" w:cs="Arial"/>
        </w:rPr>
      </w:pPr>
    </w:p>
    <w:p w14:paraId="7B5F3D6B" w14:textId="77777777" w:rsidR="00A03B96" w:rsidRDefault="00EE2C34" w:rsidP="00EE2C34">
      <w:pPr>
        <w:pStyle w:val="Body"/>
        <w:spacing w:after="0"/>
        <w:rPr>
          <w:rFonts w:ascii="Arial" w:hAnsi="Arial" w:cs="Arial"/>
        </w:rPr>
      </w:pPr>
      <w:r w:rsidRPr="00EE2C34">
        <w:rPr>
          <w:rFonts w:ascii="Arial" w:hAnsi="Arial" w:cs="Arial"/>
        </w:rPr>
        <w:t xml:space="preserve">The essential oils obtained from the second season were analyzed before and after each storage period using gas chromatography-mass spectrometry (GC-MS). A Thermo Scientific TRACE GC Ultra gas chromatograph was coupled with an ISQ Single Quadrupole Mass Spectrometer detector, also from Thermo Scientific. The GC-MS system employed a TR-5MS column measuring 30 m in length, with an internal diameter of 0.32 mm and a film thickness of 0.25 </w:t>
      </w:r>
      <w:commentRangeStart w:id="11"/>
      <w:r w:rsidRPr="00EE2C34">
        <w:rPr>
          <w:rFonts w:ascii="Arial" w:hAnsi="Arial" w:cs="Arial"/>
        </w:rPr>
        <w:t>μm</w:t>
      </w:r>
      <w:commentRangeEnd w:id="11"/>
      <w:r w:rsidR="00760DB2">
        <w:rPr>
          <w:rStyle w:val="CommentReference"/>
          <w:rFonts w:ascii="Times New Roman" w:hAnsi="Times New Roman"/>
          <w:lang w:val="nb-NO" w:eastAsia="nb-NO"/>
        </w:rPr>
        <w:commentReference w:id="11"/>
      </w:r>
      <w:r w:rsidRPr="00EE2C34">
        <w:rPr>
          <w:rFonts w:ascii="Arial" w:hAnsi="Arial" w:cs="Arial"/>
        </w:rPr>
        <w:t xml:space="preserve">. Helium was used as the carrier gas at a flow rate of 1.3 mL/min, with a split ratio of 1:10. The temperature program began at 80°C for 1 minute, then increased at a rate of 4°C per minute to 300°C, followed by a 1-minute hold. The injector and detector temperatures were maintained at 220°C and 200°C, respectively. Diluted samples (1:10 hexane, v/v) were continuously injected in microliter volumes. Electron ionization (EI) at 70 eV generated mass spectra ranging from m/z 40 to 450. Compound identification was performed by comparing retention times with recognized standards, mass spectral libraries, and commercial spectra, following the methods described by </w:t>
      </w:r>
      <w:proofErr w:type="spellStart"/>
      <w:r w:rsidRPr="00EE2C34">
        <w:rPr>
          <w:rFonts w:ascii="Arial" w:hAnsi="Arial" w:cs="Arial"/>
        </w:rPr>
        <w:t>Massada</w:t>
      </w:r>
      <w:proofErr w:type="spellEnd"/>
      <w:r w:rsidRPr="00EE2C34">
        <w:rPr>
          <w:rFonts w:ascii="Arial" w:hAnsi="Arial" w:cs="Arial"/>
        </w:rPr>
        <w:t xml:space="preserve"> (1976) and Jennings and </w:t>
      </w:r>
      <w:proofErr w:type="spellStart"/>
      <w:r w:rsidRPr="00EE2C34">
        <w:rPr>
          <w:rFonts w:ascii="Arial" w:hAnsi="Arial" w:cs="Arial"/>
        </w:rPr>
        <w:t>Shibamoto</w:t>
      </w:r>
      <w:proofErr w:type="spellEnd"/>
      <w:r w:rsidRPr="00EE2C34">
        <w:rPr>
          <w:rFonts w:ascii="Arial" w:hAnsi="Arial" w:cs="Arial"/>
        </w:rPr>
        <w:t xml:space="preserve"> (1980).</w:t>
      </w:r>
    </w:p>
    <w:p w14:paraId="0FC4202B" w14:textId="77777777" w:rsidR="00790ADA" w:rsidRDefault="00790ADA" w:rsidP="00441B6F">
      <w:pPr>
        <w:pStyle w:val="Body"/>
        <w:spacing w:after="0"/>
        <w:rPr>
          <w:rFonts w:ascii="Arial" w:hAnsi="Arial" w:cs="Arial"/>
        </w:rPr>
      </w:pPr>
    </w:p>
    <w:p w14:paraId="7212D37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Pr="00580726">
        <w:rPr>
          <w:rFonts w:ascii="Arial" w:hAnsi="Arial" w:cs="Arial"/>
        </w:rPr>
        <w:t>results and discussion</w:t>
      </w:r>
    </w:p>
    <w:p w14:paraId="574808EC" w14:textId="77777777" w:rsidR="00790ADA" w:rsidRPr="00FB3A86" w:rsidRDefault="00790ADA" w:rsidP="00580726">
      <w:pPr>
        <w:pStyle w:val="Head1"/>
        <w:spacing w:after="0"/>
        <w:rPr>
          <w:rFonts w:ascii="Arial" w:hAnsi="Arial" w:cs="Arial"/>
        </w:rPr>
      </w:pPr>
    </w:p>
    <w:p w14:paraId="018B2DAA" w14:textId="77777777" w:rsidR="00580726" w:rsidRPr="00580726" w:rsidRDefault="00580726" w:rsidP="00580726">
      <w:pPr>
        <w:pStyle w:val="Body"/>
        <w:jc w:val="left"/>
        <w:rPr>
          <w:rFonts w:ascii="Arial" w:hAnsi="Arial" w:cs="Arial"/>
          <w:b/>
          <w:sz w:val="22"/>
        </w:rPr>
      </w:pPr>
      <w:r w:rsidRPr="00580726">
        <w:rPr>
          <w:rFonts w:ascii="Arial" w:hAnsi="Arial" w:cs="Arial"/>
          <w:b/>
          <w:sz w:val="22"/>
        </w:rPr>
        <w:t>3.1 Influence of Storage Durat</w:t>
      </w:r>
      <w:r>
        <w:rPr>
          <w:rFonts w:ascii="Arial" w:hAnsi="Arial" w:cs="Arial"/>
          <w:b/>
          <w:sz w:val="22"/>
        </w:rPr>
        <w:t>ion on Herb Quantity Parameters</w:t>
      </w:r>
    </w:p>
    <w:p w14:paraId="536383C3" w14:textId="77777777" w:rsidR="00580726" w:rsidRPr="00580726" w:rsidRDefault="00580726" w:rsidP="00580726">
      <w:pPr>
        <w:pStyle w:val="Body"/>
        <w:rPr>
          <w:rFonts w:ascii="Arial" w:hAnsi="Arial" w:cs="Arial"/>
        </w:rPr>
      </w:pPr>
      <w:r w:rsidRPr="00580726">
        <w:rPr>
          <w:rFonts w:ascii="Arial" w:hAnsi="Arial" w:cs="Arial"/>
        </w:rPr>
        <w:t>Table 1 explains the impact of storage duration on dry weight before and after the storage periods. In both seasons, there were no significant differences in dry weight among the storage durations of 0, 3, and 6 months. However, after six months, a significant decrease in dry weight was observed, with the 9- and 12-month storage periods showing the most substantial reductions during both experimental seasons.</w:t>
      </w:r>
    </w:p>
    <w:p w14:paraId="2BC2A1BD" w14:textId="77777777" w:rsidR="00580726" w:rsidRPr="00580726" w:rsidRDefault="00580726" w:rsidP="00580726">
      <w:pPr>
        <w:pStyle w:val="Body"/>
        <w:rPr>
          <w:rFonts w:ascii="Arial" w:hAnsi="Arial" w:cs="Arial"/>
        </w:rPr>
      </w:pPr>
      <w:r w:rsidRPr="00580726">
        <w:rPr>
          <w:rFonts w:ascii="Arial" w:hAnsi="Arial" w:cs="Arial"/>
        </w:rPr>
        <w:t xml:space="preserve"> The measurements for the first season were 100.00, 100.00, 99.00, 95.61, and 87.05 g, while in the second season, the recorded weights were 100.00, 100.00, 99.89, 94.89, and 88.31 g for storage durations of 0, 3, 6, 9, and 12 months, </w:t>
      </w:r>
      <w:commentRangeStart w:id="12"/>
      <w:r w:rsidRPr="00580726">
        <w:rPr>
          <w:rFonts w:ascii="Arial" w:hAnsi="Arial" w:cs="Arial"/>
        </w:rPr>
        <w:t>respectively</w:t>
      </w:r>
      <w:commentRangeEnd w:id="12"/>
      <w:r w:rsidR="00760DB2">
        <w:rPr>
          <w:rStyle w:val="CommentReference"/>
          <w:rFonts w:ascii="Times New Roman" w:hAnsi="Times New Roman"/>
          <w:lang w:val="nb-NO" w:eastAsia="nb-NO"/>
        </w:rPr>
        <w:commentReference w:id="12"/>
      </w:r>
      <w:r w:rsidRPr="00580726">
        <w:rPr>
          <w:rFonts w:ascii="Arial" w:hAnsi="Arial" w:cs="Arial"/>
        </w:rPr>
        <w:t>.</w:t>
      </w:r>
    </w:p>
    <w:p w14:paraId="64C3A30E" w14:textId="77777777" w:rsidR="00456B47" w:rsidRDefault="00580726" w:rsidP="00580726">
      <w:pPr>
        <w:pStyle w:val="Body"/>
        <w:spacing w:after="0"/>
        <w:rPr>
          <w:rFonts w:ascii="Arial" w:hAnsi="Arial" w:cs="Arial"/>
        </w:rPr>
      </w:pPr>
      <w:r w:rsidRPr="00580726">
        <w:rPr>
          <w:rFonts w:ascii="Arial" w:hAnsi="Arial" w:cs="Arial"/>
        </w:rPr>
        <w:t>The negative impact of extended storage periods of 9 to 12 months is primarily due to rising air temperatures, which accelerate the respiration rate in herbs. This increased respiration causes a faster breakdown of stored material and a consequent loss of weight, ultimately leading to decreased profits as a result of suboptimal storage duration choices (Raghavan, 2006; Peter, 2012).</w:t>
      </w:r>
    </w:p>
    <w:p w14:paraId="4053304B" w14:textId="77777777" w:rsidR="00456B47" w:rsidRDefault="00456B47" w:rsidP="00580726">
      <w:pPr>
        <w:pStyle w:val="Body"/>
        <w:spacing w:after="0"/>
        <w:rPr>
          <w:rFonts w:ascii="Arial" w:hAnsi="Arial" w:cs="Arial"/>
        </w:rPr>
      </w:pPr>
    </w:p>
    <w:p w14:paraId="52708FC7" w14:textId="77777777" w:rsidR="00790ADA" w:rsidRDefault="00580726" w:rsidP="00580726">
      <w:pPr>
        <w:pStyle w:val="Body"/>
        <w:spacing w:after="0"/>
        <w:rPr>
          <w:rFonts w:ascii="Arial" w:hAnsi="Arial" w:cs="Arial"/>
        </w:rPr>
      </w:pPr>
      <w:r w:rsidRPr="00580726">
        <w:rPr>
          <w:rFonts w:ascii="Arial" w:hAnsi="Arial" w:cs="Arial"/>
        </w:rPr>
        <w:t xml:space="preserve">These findings are consistent with research on stored medicinal plants. Parthasarathy </w:t>
      </w:r>
      <w:r w:rsidRPr="00580726">
        <w:rPr>
          <w:rFonts w:ascii="Arial" w:hAnsi="Arial" w:cs="Arial"/>
          <w:i/>
          <w:iCs/>
        </w:rPr>
        <w:t>et al</w:t>
      </w:r>
      <w:r w:rsidRPr="00580726">
        <w:rPr>
          <w:rFonts w:ascii="Arial" w:hAnsi="Arial" w:cs="Arial"/>
        </w:rPr>
        <w:t xml:space="preserve">. (2008) reported that the weight loss in stored coriander was approximately 3–5% over a two-year period for whole, dried fruits. </w:t>
      </w:r>
      <w:proofErr w:type="spellStart"/>
      <w:r w:rsidRPr="00580726">
        <w:rPr>
          <w:rFonts w:ascii="Arial" w:hAnsi="Arial" w:cs="Arial"/>
        </w:rPr>
        <w:t>Badawy</w:t>
      </w:r>
      <w:proofErr w:type="spellEnd"/>
      <w:r w:rsidRPr="00580726">
        <w:rPr>
          <w:rFonts w:ascii="Arial" w:hAnsi="Arial" w:cs="Arial"/>
        </w:rPr>
        <w:t xml:space="preserve"> (2010) observed that longer storage periods resulted in greater weight loss in rosemary. Similarly, Abd El-Aleem and Hamed (2018) found that extended storage led to a significant decrease in leaf weight for </w:t>
      </w:r>
      <w:proofErr w:type="spellStart"/>
      <w:r w:rsidRPr="00580726">
        <w:rPr>
          <w:rFonts w:ascii="Arial" w:hAnsi="Arial" w:cs="Arial"/>
        </w:rPr>
        <w:t>Siwa</w:t>
      </w:r>
      <w:proofErr w:type="spellEnd"/>
      <w:r w:rsidRPr="00580726">
        <w:rPr>
          <w:rFonts w:ascii="Arial" w:hAnsi="Arial" w:cs="Arial"/>
        </w:rPr>
        <w:t xml:space="preserve"> mint. Samad </w:t>
      </w:r>
      <w:r w:rsidRPr="00580726">
        <w:rPr>
          <w:rFonts w:ascii="Arial" w:hAnsi="Arial" w:cs="Arial"/>
          <w:i/>
          <w:iCs/>
        </w:rPr>
        <w:t>et al</w:t>
      </w:r>
      <w:r w:rsidRPr="00580726">
        <w:rPr>
          <w:rFonts w:ascii="Arial" w:hAnsi="Arial" w:cs="Arial"/>
        </w:rPr>
        <w:t xml:space="preserve">. (2019) investigated the impact of storage duration on China lime fruit, demonstrating that as storage time increased, fruit weight loss became more pronounced. </w:t>
      </w:r>
      <w:proofErr w:type="spellStart"/>
      <w:r w:rsidRPr="00580726">
        <w:rPr>
          <w:rFonts w:ascii="Arial" w:hAnsi="Arial" w:cs="Arial"/>
        </w:rPr>
        <w:t>Moghith</w:t>
      </w:r>
      <w:proofErr w:type="spellEnd"/>
      <w:r w:rsidRPr="00580726">
        <w:rPr>
          <w:rFonts w:ascii="Arial" w:hAnsi="Arial" w:cs="Arial"/>
        </w:rPr>
        <w:t xml:space="preserve"> </w:t>
      </w:r>
      <w:r w:rsidRPr="00580726">
        <w:rPr>
          <w:rFonts w:ascii="Arial" w:hAnsi="Arial" w:cs="Arial"/>
          <w:i/>
          <w:iCs/>
        </w:rPr>
        <w:t>et al</w:t>
      </w:r>
      <w:r w:rsidRPr="00580726">
        <w:rPr>
          <w:rFonts w:ascii="Arial" w:hAnsi="Arial" w:cs="Arial"/>
        </w:rPr>
        <w:t>. (2024) reported a significant decrease in the weight of dragon's head herb with increased storage time.</w:t>
      </w:r>
    </w:p>
    <w:p w14:paraId="434899AA" w14:textId="77777777" w:rsidR="00580726" w:rsidRDefault="00580726" w:rsidP="00580726">
      <w:pPr>
        <w:pStyle w:val="Body"/>
        <w:spacing w:after="0"/>
        <w:rPr>
          <w:rFonts w:ascii="Arial" w:hAnsi="Arial" w:cs="Arial"/>
        </w:rPr>
      </w:pPr>
    </w:p>
    <w:p w14:paraId="533BD677" w14:textId="77777777" w:rsidR="00580726" w:rsidRDefault="00580726" w:rsidP="005C47D2">
      <w:pPr>
        <w:pStyle w:val="Default"/>
        <w:tabs>
          <w:tab w:val="left" w:pos="720"/>
        </w:tabs>
        <w:jc w:val="center"/>
        <w:rPr>
          <w:rFonts w:ascii="Arial" w:hAnsi="Arial"/>
          <w:b/>
          <w:color w:val="auto"/>
          <w:sz w:val="20"/>
          <w:szCs w:val="20"/>
        </w:rPr>
      </w:pPr>
      <w:commentRangeStart w:id="13"/>
      <w:r w:rsidRPr="00580726">
        <w:rPr>
          <w:rFonts w:ascii="Arial" w:hAnsi="Arial"/>
          <w:b/>
          <w:color w:val="auto"/>
          <w:sz w:val="20"/>
          <w:szCs w:val="20"/>
        </w:rPr>
        <w:t>Table 1. Effect of storage duration on the weight of 100 g of herb</w:t>
      </w:r>
    </w:p>
    <w:p w14:paraId="399F668D" w14:textId="77777777" w:rsidR="00580726" w:rsidRPr="00580726" w:rsidRDefault="00580726" w:rsidP="00580726">
      <w:pPr>
        <w:pStyle w:val="Default"/>
        <w:tabs>
          <w:tab w:val="left" w:pos="720"/>
        </w:tabs>
        <w:jc w:val="center"/>
        <w:rPr>
          <w:rFonts w:ascii="Arial" w:hAnsi="Arial"/>
          <w:b/>
          <w:color w:val="auto"/>
          <w:sz w:val="20"/>
          <w:szCs w:val="20"/>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2535"/>
        <w:gridCol w:w="2596"/>
      </w:tblGrid>
      <w:tr w:rsidR="00580726" w:rsidRPr="008F7B6B" w14:paraId="035001A5" w14:textId="77777777" w:rsidTr="005C47D2">
        <w:trPr>
          <w:jc w:val="center"/>
        </w:trPr>
        <w:tc>
          <w:tcPr>
            <w:tcW w:w="2766" w:type="dxa"/>
            <w:tcBorders>
              <w:top w:val="single" w:sz="4" w:space="0" w:color="auto"/>
              <w:bottom w:val="single" w:sz="4" w:space="0" w:color="auto"/>
            </w:tcBorders>
          </w:tcPr>
          <w:p w14:paraId="332E0877" w14:textId="77777777" w:rsidR="00580726" w:rsidRPr="00580726" w:rsidRDefault="00580726" w:rsidP="00C22821">
            <w:pPr>
              <w:pStyle w:val="Default"/>
              <w:tabs>
                <w:tab w:val="left" w:pos="720"/>
              </w:tabs>
              <w:jc w:val="both"/>
              <w:rPr>
                <w:rFonts w:ascii="Arial" w:eastAsia="Times New Roman" w:hAnsi="Arial"/>
                <w:b/>
                <w:color w:val="auto"/>
                <w:sz w:val="20"/>
                <w:szCs w:val="20"/>
              </w:rPr>
            </w:pPr>
            <w:r w:rsidRPr="00580726">
              <w:rPr>
                <w:rFonts w:ascii="Arial" w:eastAsia="Times New Roman" w:hAnsi="Arial"/>
                <w:b/>
                <w:color w:val="auto"/>
                <w:sz w:val="20"/>
                <w:szCs w:val="20"/>
              </w:rPr>
              <w:t>Storage periods</w:t>
            </w:r>
          </w:p>
        </w:tc>
        <w:tc>
          <w:tcPr>
            <w:tcW w:w="2535" w:type="dxa"/>
            <w:tcBorders>
              <w:top w:val="single" w:sz="4" w:space="0" w:color="auto"/>
              <w:bottom w:val="single" w:sz="4" w:space="0" w:color="auto"/>
            </w:tcBorders>
          </w:tcPr>
          <w:p w14:paraId="08077D86" w14:textId="77777777" w:rsidR="00580726" w:rsidRPr="00580726" w:rsidRDefault="00580726" w:rsidP="00C22821">
            <w:pPr>
              <w:pStyle w:val="Default"/>
              <w:tabs>
                <w:tab w:val="left" w:pos="720"/>
              </w:tabs>
              <w:jc w:val="center"/>
              <w:rPr>
                <w:rFonts w:ascii="Arial" w:eastAsia="Times New Roman" w:hAnsi="Arial"/>
                <w:b/>
                <w:color w:val="auto"/>
                <w:sz w:val="20"/>
                <w:szCs w:val="20"/>
              </w:rPr>
            </w:pPr>
            <w:r w:rsidRPr="00580726">
              <w:rPr>
                <w:rFonts w:ascii="Arial" w:eastAsia="Times New Roman" w:hAnsi="Arial"/>
                <w:b/>
                <w:color w:val="auto"/>
                <w:sz w:val="20"/>
                <w:szCs w:val="20"/>
              </w:rPr>
              <w:t>First season</w:t>
            </w:r>
          </w:p>
          <w:p w14:paraId="22672B50" w14:textId="77777777" w:rsidR="00580726" w:rsidRPr="00580726" w:rsidRDefault="00580726" w:rsidP="00C22821">
            <w:pPr>
              <w:pStyle w:val="Default"/>
              <w:tabs>
                <w:tab w:val="left" w:pos="720"/>
              </w:tabs>
              <w:jc w:val="center"/>
              <w:rPr>
                <w:rFonts w:ascii="Arial" w:eastAsia="Times New Roman" w:hAnsi="Arial"/>
                <w:b/>
                <w:color w:val="auto"/>
                <w:sz w:val="20"/>
                <w:szCs w:val="20"/>
              </w:rPr>
            </w:pPr>
            <w:r w:rsidRPr="00580726">
              <w:rPr>
                <w:rFonts w:ascii="Arial" w:eastAsia="Times New Roman" w:hAnsi="Arial"/>
                <w:b/>
                <w:color w:val="auto"/>
                <w:sz w:val="20"/>
                <w:szCs w:val="20"/>
              </w:rPr>
              <w:t xml:space="preserve">(2023-2024) </w:t>
            </w:r>
          </w:p>
        </w:tc>
        <w:tc>
          <w:tcPr>
            <w:tcW w:w="2596" w:type="dxa"/>
            <w:tcBorders>
              <w:top w:val="single" w:sz="4" w:space="0" w:color="auto"/>
              <w:bottom w:val="single" w:sz="4" w:space="0" w:color="auto"/>
            </w:tcBorders>
          </w:tcPr>
          <w:p w14:paraId="6AF5674A" w14:textId="77777777" w:rsidR="00580726" w:rsidRPr="00580726" w:rsidRDefault="00580726" w:rsidP="00C22821">
            <w:pPr>
              <w:pStyle w:val="Default"/>
              <w:tabs>
                <w:tab w:val="left" w:pos="720"/>
              </w:tabs>
              <w:jc w:val="center"/>
              <w:rPr>
                <w:rFonts w:ascii="Arial" w:eastAsia="Times New Roman" w:hAnsi="Arial"/>
                <w:b/>
                <w:color w:val="auto"/>
                <w:sz w:val="20"/>
                <w:szCs w:val="20"/>
              </w:rPr>
            </w:pPr>
            <w:r w:rsidRPr="00580726">
              <w:rPr>
                <w:rFonts w:ascii="Arial" w:eastAsia="Times New Roman" w:hAnsi="Arial"/>
                <w:b/>
                <w:color w:val="auto"/>
                <w:sz w:val="20"/>
                <w:szCs w:val="20"/>
              </w:rPr>
              <w:t>Second season</w:t>
            </w:r>
          </w:p>
          <w:p w14:paraId="638869CE" w14:textId="77777777" w:rsidR="00580726" w:rsidRPr="00580726" w:rsidRDefault="00580726" w:rsidP="00C22821">
            <w:pPr>
              <w:pStyle w:val="Default"/>
              <w:tabs>
                <w:tab w:val="left" w:pos="720"/>
              </w:tabs>
              <w:jc w:val="center"/>
              <w:rPr>
                <w:rFonts w:ascii="Arial" w:eastAsia="Times New Roman" w:hAnsi="Arial"/>
                <w:b/>
                <w:color w:val="auto"/>
                <w:sz w:val="20"/>
                <w:szCs w:val="20"/>
              </w:rPr>
            </w:pPr>
            <w:r w:rsidRPr="00580726">
              <w:rPr>
                <w:rFonts w:ascii="Arial" w:eastAsia="Times New Roman" w:hAnsi="Arial"/>
                <w:b/>
                <w:color w:val="auto"/>
                <w:sz w:val="20"/>
                <w:szCs w:val="20"/>
              </w:rPr>
              <w:t>(2024-2025)</w:t>
            </w:r>
          </w:p>
        </w:tc>
      </w:tr>
      <w:tr w:rsidR="00580726" w:rsidRPr="008F7B6B" w14:paraId="2BDF2D6D" w14:textId="77777777" w:rsidTr="005C47D2">
        <w:trPr>
          <w:jc w:val="center"/>
        </w:trPr>
        <w:tc>
          <w:tcPr>
            <w:tcW w:w="2766" w:type="dxa"/>
            <w:tcBorders>
              <w:top w:val="single" w:sz="4" w:space="0" w:color="auto"/>
            </w:tcBorders>
          </w:tcPr>
          <w:p w14:paraId="2F5BC972" w14:textId="77777777" w:rsidR="00580726" w:rsidRPr="00580726" w:rsidRDefault="00580726" w:rsidP="00C22821">
            <w:pPr>
              <w:pStyle w:val="Default"/>
              <w:tabs>
                <w:tab w:val="left" w:pos="720"/>
              </w:tabs>
              <w:ind w:right="-62"/>
              <w:jc w:val="both"/>
              <w:rPr>
                <w:rFonts w:ascii="Arial" w:eastAsia="Times New Roman" w:hAnsi="Arial"/>
                <w:color w:val="auto"/>
                <w:sz w:val="20"/>
                <w:szCs w:val="20"/>
              </w:rPr>
            </w:pPr>
            <w:r w:rsidRPr="00580726">
              <w:rPr>
                <w:rFonts w:ascii="Arial" w:eastAsia="Times New Roman" w:hAnsi="Arial"/>
                <w:color w:val="auto"/>
                <w:sz w:val="20"/>
                <w:szCs w:val="20"/>
              </w:rPr>
              <w:t>0 months</w:t>
            </w:r>
          </w:p>
        </w:tc>
        <w:tc>
          <w:tcPr>
            <w:tcW w:w="2535" w:type="dxa"/>
            <w:tcBorders>
              <w:top w:val="single" w:sz="4" w:space="0" w:color="auto"/>
            </w:tcBorders>
          </w:tcPr>
          <w:p w14:paraId="6F4BDE39" w14:textId="77777777" w:rsidR="00580726" w:rsidRPr="00580726" w:rsidRDefault="00580726" w:rsidP="00C22821">
            <w:pPr>
              <w:jc w:val="center"/>
              <w:rPr>
                <w:rFonts w:ascii="Arial" w:eastAsia="Times New Roman" w:hAnsi="Arial"/>
                <w:sz w:val="20"/>
                <w:szCs w:val="20"/>
              </w:rPr>
            </w:pPr>
            <w:r w:rsidRPr="00580726">
              <w:rPr>
                <w:rFonts w:ascii="Arial" w:eastAsia="Times New Roman" w:hAnsi="Arial"/>
                <w:sz w:val="20"/>
                <w:szCs w:val="20"/>
              </w:rPr>
              <w:t xml:space="preserve">100.00 </w:t>
            </w:r>
            <w:r w:rsidRPr="00580726">
              <w:rPr>
                <w:rFonts w:ascii="Arial" w:eastAsia="Times New Roman" w:hAnsi="Arial"/>
                <w:sz w:val="20"/>
                <w:szCs w:val="20"/>
                <w:vertAlign w:val="superscript"/>
              </w:rPr>
              <w:t>a</w:t>
            </w:r>
          </w:p>
        </w:tc>
        <w:tc>
          <w:tcPr>
            <w:tcW w:w="2596" w:type="dxa"/>
            <w:tcBorders>
              <w:top w:val="single" w:sz="4" w:space="0" w:color="auto"/>
            </w:tcBorders>
          </w:tcPr>
          <w:p w14:paraId="4C99304F" w14:textId="77777777" w:rsidR="00580726" w:rsidRPr="00580726" w:rsidRDefault="00580726" w:rsidP="00C22821">
            <w:pPr>
              <w:jc w:val="center"/>
              <w:rPr>
                <w:rFonts w:ascii="Arial" w:eastAsia="Times New Roman" w:hAnsi="Arial"/>
                <w:sz w:val="20"/>
                <w:szCs w:val="20"/>
              </w:rPr>
            </w:pPr>
            <w:r w:rsidRPr="00580726">
              <w:rPr>
                <w:rFonts w:ascii="Arial" w:eastAsia="Times New Roman" w:hAnsi="Arial"/>
                <w:sz w:val="20"/>
                <w:szCs w:val="20"/>
              </w:rPr>
              <w:t xml:space="preserve">100.00 </w:t>
            </w:r>
            <w:r w:rsidRPr="00580726">
              <w:rPr>
                <w:rFonts w:ascii="Arial" w:eastAsia="Times New Roman" w:hAnsi="Arial"/>
                <w:sz w:val="20"/>
                <w:szCs w:val="20"/>
                <w:vertAlign w:val="superscript"/>
              </w:rPr>
              <w:t>a</w:t>
            </w:r>
          </w:p>
        </w:tc>
      </w:tr>
      <w:tr w:rsidR="00580726" w:rsidRPr="008F7B6B" w14:paraId="71E618D4" w14:textId="77777777" w:rsidTr="005C47D2">
        <w:trPr>
          <w:jc w:val="center"/>
        </w:trPr>
        <w:tc>
          <w:tcPr>
            <w:tcW w:w="2766" w:type="dxa"/>
          </w:tcPr>
          <w:p w14:paraId="2BDE8990" w14:textId="77777777" w:rsidR="00580726" w:rsidRPr="00580726" w:rsidRDefault="00580726" w:rsidP="00C22821">
            <w:pPr>
              <w:pStyle w:val="Default"/>
              <w:tabs>
                <w:tab w:val="left" w:pos="720"/>
              </w:tabs>
              <w:jc w:val="both"/>
              <w:rPr>
                <w:rFonts w:ascii="Arial" w:eastAsia="Times New Roman" w:hAnsi="Arial"/>
                <w:color w:val="auto"/>
                <w:sz w:val="20"/>
                <w:szCs w:val="20"/>
              </w:rPr>
            </w:pPr>
            <w:r w:rsidRPr="00580726">
              <w:rPr>
                <w:rFonts w:ascii="Arial" w:eastAsia="Times New Roman" w:hAnsi="Arial"/>
                <w:color w:val="auto"/>
                <w:sz w:val="20"/>
                <w:szCs w:val="20"/>
              </w:rPr>
              <w:t>3 months</w:t>
            </w:r>
          </w:p>
        </w:tc>
        <w:tc>
          <w:tcPr>
            <w:tcW w:w="2535" w:type="dxa"/>
          </w:tcPr>
          <w:p w14:paraId="1350206C" w14:textId="77777777" w:rsidR="00580726" w:rsidRPr="00580726" w:rsidRDefault="00580726" w:rsidP="00C22821">
            <w:pPr>
              <w:jc w:val="center"/>
              <w:rPr>
                <w:rFonts w:ascii="Arial" w:eastAsia="Times New Roman" w:hAnsi="Arial"/>
                <w:sz w:val="20"/>
                <w:szCs w:val="20"/>
              </w:rPr>
            </w:pPr>
            <w:r w:rsidRPr="00580726">
              <w:rPr>
                <w:rFonts w:ascii="Arial" w:eastAsia="Times New Roman" w:hAnsi="Arial"/>
                <w:sz w:val="20"/>
                <w:szCs w:val="20"/>
              </w:rPr>
              <w:t xml:space="preserve">100.00 </w:t>
            </w:r>
            <w:r w:rsidRPr="00580726">
              <w:rPr>
                <w:rFonts w:ascii="Arial" w:eastAsia="Times New Roman" w:hAnsi="Arial"/>
                <w:sz w:val="20"/>
                <w:szCs w:val="20"/>
                <w:vertAlign w:val="superscript"/>
              </w:rPr>
              <w:t>a</w:t>
            </w:r>
          </w:p>
        </w:tc>
        <w:tc>
          <w:tcPr>
            <w:tcW w:w="2596" w:type="dxa"/>
          </w:tcPr>
          <w:p w14:paraId="03F8912D" w14:textId="77777777" w:rsidR="00580726" w:rsidRPr="00580726" w:rsidRDefault="00580726" w:rsidP="00C22821">
            <w:pPr>
              <w:jc w:val="center"/>
              <w:rPr>
                <w:rFonts w:ascii="Arial" w:eastAsia="Times New Roman" w:hAnsi="Arial"/>
                <w:sz w:val="20"/>
                <w:szCs w:val="20"/>
              </w:rPr>
            </w:pPr>
            <w:r w:rsidRPr="00580726">
              <w:rPr>
                <w:rFonts w:ascii="Arial" w:eastAsia="Times New Roman" w:hAnsi="Arial"/>
                <w:sz w:val="20"/>
                <w:szCs w:val="20"/>
              </w:rPr>
              <w:t xml:space="preserve">100.00 </w:t>
            </w:r>
            <w:r w:rsidRPr="00580726">
              <w:rPr>
                <w:rFonts w:ascii="Arial" w:eastAsia="Times New Roman" w:hAnsi="Arial"/>
                <w:sz w:val="20"/>
                <w:szCs w:val="20"/>
                <w:vertAlign w:val="superscript"/>
              </w:rPr>
              <w:t>a</w:t>
            </w:r>
          </w:p>
        </w:tc>
      </w:tr>
      <w:tr w:rsidR="00580726" w:rsidRPr="008F7B6B" w14:paraId="09C3E43A" w14:textId="77777777" w:rsidTr="005C47D2">
        <w:trPr>
          <w:jc w:val="center"/>
        </w:trPr>
        <w:tc>
          <w:tcPr>
            <w:tcW w:w="2766" w:type="dxa"/>
          </w:tcPr>
          <w:p w14:paraId="235360AC" w14:textId="77777777" w:rsidR="00580726" w:rsidRPr="00580726" w:rsidRDefault="00580726" w:rsidP="00C22821">
            <w:pPr>
              <w:pStyle w:val="Default"/>
              <w:tabs>
                <w:tab w:val="left" w:pos="720"/>
              </w:tabs>
              <w:jc w:val="both"/>
              <w:rPr>
                <w:rFonts w:ascii="Arial" w:eastAsia="Times New Roman" w:hAnsi="Arial"/>
                <w:color w:val="auto"/>
                <w:sz w:val="20"/>
                <w:szCs w:val="20"/>
              </w:rPr>
            </w:pPr>
            <w:r w:rsidRPr="00580726">
              <w:rPr>
                <w:rFonts w:ascii="Arial" w:eastAsia="Times New Roman" w:hAnsi="Arial"/>
                <w:color w:val="auto"/>
                <w:sz w:val="20"/>
                <w:szCs w:val="20"/>
              </w:rPr>
              <w:t>6 months</w:t>
            </w:r>
          </w:p>
        </w:tc>
        <w:tc>
          <w:tcPr>
            <w:tcW w:w="2535" w:type="dxa"/>
          </w:tcPr>
          <w:p w14:paraId="50B07070" w14:textId="77777777" w:rsidR="00580726" w:rsidRPr="00580726" w:rsidRDefault="00580726" w:rsidP="00C22821">
            <w:pPr>
              <w:jc w:val="center"/>
              <w:rPr>
                <w:rFonts w:ascii="Arial" w:eastAsia="Times New Roman" w:hAnsi="Arial"/>
                <w:sz w:val="20"/>
                <w:szCs w:val="20"/>
              </w:rPr>
            </w:pPr>
            <w:r w:rsidRPr="00580726">
              <w:rPr>
                <w:rFonts w:ascii="Arial" w:eastAsia="Times New Roman" w:hAnsi="Arial"/>
                <w:sz w:val="20"/>
                <w:szCs w:val="20"/>
              </w:rPr>
              <w:t xml:space="preserve">99.00 </w:t>
            </w:r>
            <w:r w:rsidRPr="00580726">
              <w:rPr>
                <w:rFonts w:ascii="Arial" w:eastAsia="Times New Roman" w:hAnsi="Arial"/>
                <w:sz w:val="20"/>
                <w:szCs w:val="20"/>
                <w:vertAlign w:val="superscript"/>
              </w:rPr>
              <w:t>a</w:t>
            </w:r>
          </w:p>
        </w:tc>
        <w:tc>
          <w:tcPr>
            <w:tcW w:w="2596" w:type="dxa"/>
          </w:tcPr>
          <w:p w14:paraId="1BD65D3E" w14:textId="77777777" w:rsidR="00580726" w:rsidRPr="00580726" w:rsidRDefault="00580726" w:rsidP="00C22821">
            <w:pPr>
              <w:jc w:val="center"/>
              <w:rPr>
                <w:rFonts w:ascii="Arial" w:eastAsia="Times New Roman" w:hAnsi="Arial"/>
                <w:sz w:val="20"/>
                <w:szCs w:val="20"/>
              </w:rPr>
            </w:pPr>
            <w:r w:rsidRPr="00580726">
              <w:rPr>
                <w:rFonts w:ascii="Arial" w:eastAsia="Times New Roman" w:hAnsi="Arial"/>
                <w:sz w:val="20"/>
                <w:szCs w:val="20"/>
              </w:rPr>
              <w:t xml:space="preserve">99.89 </w:t>
            </w:r>
            <w:r w:rsidRPr="00580726">
              <w:rPr>
                <w:rFonts w:ascii="Arial" w:eastAsia="Times New Roman" w:hAnsi="Arial"/>
                <w:sz w:val="20"/>
                <w:szCs w:val="20"/>
                <w:vertAlign w:val="superscript"/>
              </w:rPr>
              <w:t>a</w:t>
            </w:r>
          </w:p>
        </w:tc>
      </w:tr>
      <w:tr w:rsidR="00580726" w:rsidRPr="008F7B6B" w14:paraId="5742DF9B" w14:textId="77777777" w:rsidTr="005C47D2">
        <w:trPr>
          <w:jc w:val="center"/>
        </w:trPr>
        <w:tc>
          <w:tcPr>
            <w:tcW w:w="2766" w:type="dxa"/>
          </w:tcPr>
          <w:p w14:paraId="3B172A3C" w14:textId="77777777" w:rsidR="00580726" w:rsidRPr="00580726" w:rsidRDefault="00580726" w:rsidP="00C22821">
            <w:pPr>
              <w:pStyle w:val="Default"/>
              <w:tabs>
                <w:tab w:val="left" w:pos="720"/>
              </w:tabs>
              <w:jc w:val="both"/>
              <w:rPr>
                <w:rFonts w:ascii="Arial" w:eastAsia="Times New Roman" w:hAnsi="Arial"/>
                <w:color w:val="auto"/>
                <w:sz w:val="20"/>
                <w:szCs w:val="20"/>
              </w:rPr>
            </w:pPr>
            <w:r w:rsidRPr="00580726">
              <w:rPr>
                <w:rFonts w:ascii="Arial" w:eastAsia="Times New Roman" w:hAnsi="Arial"/>
                <w:color w:val="auto"/>
                <w:sz w:val="20"/>
                <w:szCs w:val="20"/>
              </w:rPr>
              <w:t>9 months</w:t>
            </w:r>
          </w:p>
        </w:tc>
        <w:tc>
          <w:tcPr>
            <w:tcW w:w="2535" w:type="dxa"/>
          </w:tcPr>
          <w:p w14:paraId="02BC1D3D" w14:textId="77777777" w:rsidR="00580726" w:rsidRPr="00580726" w:rsidRDefault="00580726" w:rsidP="00C22821">
            <w:pPr>
              <w:jc w:val="center"/>
              <w:rPr>
                <w:rFonts w:ascii="Arial" w:eastAsia="Times New Roman" w:hAnsi="Arial"/>
                <w:sz w:val="20"/>
                <w:szCs w:val="20"/>
              </w:rPr>
            </w:pPr>
            <w:r w:rsidRPr="00580726">
              <w:rPr>
                <w:rFonts w:ascii="Arial" w:eastAsia="Times New Roman" w:hAnsi="Arial"/>
                <w:sz w:val="20"/>
                <w:szCs w:val="20"/>
              </w:rPr>
              <w:t xml:space="preserve">95.61 </w:t>
            </w:r>
            <w:r w:rsidRPr="00580726">
              <w:rPr>
                <w:rFonts w:ascii="Arial" w:eastAsia="Times New Roman" w:hAnsi="Arial"/>
                <w:sz w:val="20"/>
                <w:szCs w:val="20"/>
                <w:vertAlign w:val="superscript"/>
              </w:rPr>
              <w:t>b</w:t>
            </w:r>
          </w:p>
        </w:tc>
        <w:tc>
          <w:tcPr>
            <w:tcW w:w="2596" w:type="dxa"/>
          </w:tcPr>
          <w:p w14:paraId="05BA4DAF" w14:textId="77777777" w:rsidR="00580726" w:rsidRPr="00580726" w:rsidRDefault="00580726" w:rsidP="00C22821">
            <w:pPr>
              <w:jc w:val="center"/>
              <w:rPr>
                <w:rFonts w:ascii="Arial" w:eastAsia="Times New Roman" w:hAnsi="Arial"/>
                <w:sz w:val="20"/>
                <w:szCs w:val="20"/>
              </w:rPr>
            </w:pPr>
            <w:r w:rsidRPr="00580726">
              <w:rPr>
                <w:rFonts w:ascii="Arial" w:eastAsia="Times New Roman" w:hAnsi="Arial"/>
                <w:sz w:val="20"/>
                <w:szCs w:val="20"/>
              </w:rPr>
              <w:t xml:space="preserve">94.89 </w:t>
            </w:r>
            <w:r w:rsidRPr="00580726">
              <w:rPr>
                <w:rFonts w:ascii="Arial" w:eastAsia="Times New Roman" w:hAnsi="Arial"/>
                <w:sz w:val="20"/>
                <w:szCs w:val="20"/>
                <w:vertAlign w:val="superscript"/>
              </w:rPr>
              <w:t>b</w:t>
            </w:r>
          </w:p>
        </w:tc>
      </w:tr>
      <w:tr w:rsidR="00580726" w:rsidRPr="008F7B6B" w14:paraId="09593D19" w14:textId="77777777" w:rsidTr="005C47D2">
        <w:trPr>
          <w:jc w:val="center"/>
        </w:trPr>
        <w:tc>
          <w:tcPr>
            <w:tcW w:w="2766" w:type="dxa"/>
          </w:tcPr>
          <w:p w14:paraId="3B893483" w14:textId="77777777" w:rsidR="00580726" w:rsidRPr="00580726" w:rsidRDefault="00580726" w:rsidP="00C22821">
            <w:pPr>
              <w:pStyle w:val="Default"/>
              <w:tabs>
                <w:tab w:val="left" w:pos="720"/>
              </w:tabs>
              <w:jc w:val="both"/>
              <w:rPr>
                <w:rFonts w:ascii="Arial" w:eastAsia="Times New Roman" w:hAnsi="Arial"/>
                <w:color w:val="auto"/>
                <w:sz w:val="20"/>
                <w:szCs w:val="20"/>
              </w:rPr>
            </w:pPr>
            <w:r w:rsidRPr="00580726">
              <w:rPr>
                <w:rFonts w:ascii="Arial" w:eastAsia="Times New Roman" w:hAnsi="Arial"/>
                <w:color w:val="auto"/>
                <w:sz w:val="20"/>
                <w:szCs w:val="20"/>
              </w:rPr>
              <w:t>12 months</w:t>
            </w:r>
          </w:p>
        </w:tc>
        <w:tc>
          <w:tcPr>
            <w:tcW w:w="2535" w:type="dxa"/>
          </w:tcPr>
          <w:p w14:paraId="19B04FC6" w14:textId="77777777" w:rsidR="00580726" w:rsidRPr="00580726" w:rsidRDefault="00580726" w:rsidP="00C22821">
            <w:pPr>
              <w:jc w:val="center"/>
              <w:rPr>
                <w:rFonts w:ascii="Arial" w:eastAsia="Times New Roman" w:hAnsi="Arial"/>
                <w:sz w:val="20"/>
                <w:szCs w:val="20"/>
              </w:rPr>
            </w:pPr>
            <w:r w:rsidRPr="00580726">
              <w:rPr>
                <w:rFonts w:ascii="Arial" w:eastAsia="Times New Roman" w:hAnsi="Arial"/>
                <w:sz w:val="20"/>
                <w:szCs w:val="20"/>
              </w:rPr>
              <w:t xml:space="preserve">87.05 </w:t>
            </w:r>
            <w:r w:rsidRPr="00580726">
              <w:rPr>
                <w:rFonts w:ascii="Arial" w:eastAsia="Times New Roman" w:hAnsi="Arial"/>
                <w:sz w:val="20"/>
                <w:szCs w:val="20"/>
                <w:vertAlign w:val="superscript"/>
              </w:rPr>
              <w:t>c</w:t>
            </w:r>
          </w:p>
        </w:tc>
        <w:tc>
          <w:tcPr>
            <w:tcW w:w="2596" w:type="dxa"/>
          </w:tcPr>
          <w:p w14:paraId="1BF10BAA" w14:textId="77777777" w:rsidR="00580726" w:rsidRPr="00580726" w:rsidRDefault="00580726" w:rsidP="00C22821">
            <w:pPr>
              <w:jc w:val="center"/>
              <w:rPr>
                <w:rFonts w:ascii="Arial" w:eastAsia="Times New Roman" w:hAnsi="Arial"/>
                <w:sz w:val="20"/>
                <w:szCs w:val="20"/>
              </w:rPr>
            </w:pPr>
            <w:r w:rsidRPr="00580726">
              <w:rPr>
                <w:rFonts w:ascii="Arial" w:eastAsia="Times New Roman" w:hAnsi="Arial"/>
                <w:sz w:val="20"/>
                <w:szCs w:val="20"/>
              </w:rPr>
              <w:t xml:space="preserve">88.31 </w:t>
            </w:r>
            <w:r w:rsidRPr="00580726">
              <w:rPr>
                <w:rFonts w:ascii="Arial" w:eastAsia="Times New Roman" w:hAnsi="Arial"/>
                <w:sz w:val="20"/>
                <w:szCs w:val="20"/>
                <w:vertAlign w:val="superscript"/>
              </w:rPr>
              <w:t>c</w:t>
            </w:r>
          </w:p>
        </w:tc>
      </w:tr>
    </w:tbl>
    <w:p w14:paraId="3F898E5F" w14:textId="77777777" w:rsidR="00580726" w:rsidRDefault="00580726" w:rsidP="00580726">
      <w:pPr>
        <w:pStyle w:val="Default"/>
        <w:tabs>
          <w:tab w:val="left" w:pos="720"/>
        </w:tabs>
        <w:spacing w:before="40" w:line="360" w:lineRule="auto"/>
        <w:ind w:left="142"/>
        <w:rPr>
          <w:rFonts w:ascii="Arial" w:hAnsi="Arial"/>
          <w:bCs/>
          <w:i/>
          <w:color w:val="auto"/>
          <w:sz w:val="18"/>
          <w:szCs w:val="16"/>
        </w:rPr>
      </w:pPr>
      <w:r w:rsidRPr="00580726">
        <w:rPr>
          <w:rFonts w:ascii="Arial" w:hAnsi="Arial"/>
          <w:bCs/>
          <w:i/>
          <w:color w:val="auto"/>
          <w:sz w:val="18"/>
          <w:szCs w:val="16"/>
        </w:rPr>
        <w:t>Means that share the same letter are not significantly different at the 5% probability level.</w:t>
      </w:r>
      <w:commentRangeEnd w:id="13"/>
      <w:r w:rsidR="00760DB2">
        <w:rPr>
          <w:rStyle w:val="CommentReference"/>
          <w:color w:val="auto"/>
          <w:lang w:val="nb-NO" w:eastAsia="nb-NO"/>
        </w:rPr>
        <w:commentReference w:id="13"/>
      </w:r>
    </w:p>
    <w:p w14:paraId="1B27A563" w14:textId="77777777" w:rsidR="007E6019" w:rsidRPr="007E6019" w:rsidRDefault="007E6019" w:rsidP="007E6019">
      <w:pPr>
        <w:pStyle w:val="Default"/>
        <w:tabs>
          <w:tab w:val="left" w:pos="720"/>
        </w:tabs>
        <w:spacing w:before="240" w:line="360" w:lineRule="auto"/>
        <w:jc w:val="both"/>
        <w:rPr>
          <w:rFonts w:ascii="Arial" w:hAnsi="Arial" w:cs="Arial"/>
          <w:b/>
          <w:color w:val="auto"/>
          <w:sz w:val="22"/>
          <w:szCs w:val="20"/>
        </w:rPr>
      </w:pPr>
      <w:r>
        <w:rPr>
          <w:rFonts w:ascii="Arial" w:hAnsi="Arial" w:cs="Arial"/>
          <w:b/>
          <w:color w:val="auto"/>
          <w:sz w:val="22"/>
          <w:szCs w:val="20"/>
        </w:rPr>
        <w:t>3.</w:t>
      </w:r>
      <w:r w:rsidRPr="007E6019">
        <w:rPr>
          <w:rFonts w:ascii="Arial" w:hAnsi="Arial" w:cs="Arial"/>
          <w:b/>
          <w:color w:val="auto"/>
          <w:sz w:val="22"/>
          <w:szCs w:val="20"/>
        </w:rPr>
        <w:t>2 Influence of Storage Duration on Herb Quality Parameters</w:t>
      </w:r>
    </w:p>
    <w:p w14:paraId="5B007665" w14:textId="77777777" w:rsidR="00943E1D" w:rsidRPr="00943E1D" w:rsidRDefault="00943E1D" w:rsidP="005405D3">
      <w:pPr>
        <w:pStyle w:val="Body"/>
        <w:rPr>
          <w:rFonts w:ascii="Arial" w:hAnsi="Arial" w:cs="Arial"/>
        </w:rPr>
      </w:pPr>
      <w:r w:rsidRPr="00943E1D">
        <w:rPr>
          <w:rFonts w:ascii="Arial" w:hAnsi="Arial" w:cs="Arial"/>
        </w:rPr>
        <w:t>Table 2 illustrate</w:t>
      </w:r>
      <w:r w:rsidR="005405D3">
        <w:rPr>
          <w:rFonts w:ascii="Arial" w:hAnsi="Arial" w:cs="Arial"/>
        </w:rPr>
        <w:t>s</w:t>
      </w:r>
      <w:r w:rsidRPr="00943E1D">
        <w:rPr>
          <w:rFonts w:ascii="Arial" w:hAnsi="Arial" w:cs="Arial"/>
        </w:rPr>
        <w:t xml:space="preserve"> the effect of storage duration on the percentage of essential oil in dried herbs across both seasons. The results reveal a significant decline in essential oil content, with a gradual reduction observed as the storage period is extended. The smallest decrease occurred during the 3-month storage period, while the most substantial decline was recorded after 12 months of storage. In the first season, the values were 1.88, 1.61, 1.31, 1.18, and 0.89%, while in the second season, they were 1.79, 1.58, 1.42, 1.23, and 0.93% for storage periods of 0, 3, 6, 9, and 12 months, respectively.</w:t>
      </w:r>
    </w:p>
    <w:p w14:paraId="3BCAD9B5" w14:textId="77777777" w:rsidR="00943E1D" w:rsidRPr="00943E1D" w:rsidRDefault="00943E1D" w:rsidP="00943E1D">
      <w:pPr>
        <w:pStyle w:val="Body"/>
        <w:rPr>
          <w:rFonts w:ascii="Arial" w:hAnsi="Arial" w:cs="Arial"/>
        </w:rPr>
      </w:pPr>
      <w:commentRangeStart w:id="14"/>
      <w:r w:rsidRPr="00943E1D">
        <w:rPr>
          <w:rFonts w:ascii="Arial" w:hAnsi="Arial" w:cs="Arial"/>
        </w:rPr>
        <w:t xml:space="preserve">These results align with previous studies on dried medicinal plants stored under ambient conditions. </w:t>
      </w:r>
      <w:proofErr w:type="spellStart"/>
      <w:r w:rsidRPr="00943E1D">
        <w:rPr>
          <w:rFonts w:ascii="Arial" w:hAnsi="Arial" w:cs="Arial"/>
        </w:rPr>
        <w:t>Orav</w:t>
      </w:r>
      <w:proofErr w:type="spellEnd"/>
      <w:r w:rsidRPr="00943E1D">
        <w:rPr>
          <w:rFonts w:ascii="Arial" w:hAnsi="Arial" w:cs="Arial"/>
        </w:rPr>
        <w:t xml:space="preserve"> </w:t>
      </w:r>
      <w:r w:rsidRPr="00943E1D">
        <w:rPr>
          <w:rFonts w:ascii="Arial" w:hAnsi="Arial" w:cs="Arial"/>
          <w:i/>
          <w:iCs/>
        </w:rPr>
        <w:t>et al</w:t>
      </w:r>
      <w:r w:rsidRPr="00943E1D">
        <w:rPr>
          <w:rFonts w:ascii="Arial" w:hAnsi="Arial" w:cs="Arial"/>
        </w:rPr>
        <w:t xml:space="preserve">. (2004) reported a decrease in the amount of isolated essential oil from pepper after one year of storage. Similarly, Abd El-Wahab and Salem (2008) observed a decline in the essential oil percentage in sweet basil leaves after six and twelve months of storage. In a 2017 study, </w:t>
      </w:r>
      <w:proofErr w:type="spellStart"/>
      <w:r w:rsidRPr="00943E1D">
        <w:rPr>
          <w:rFonts w:ascii="Arial" w:hAnsi="Arial" w:cs="Arial"/>
        </w:rPr>
        <w:t>Ebadi</w:t>
      </w:r>
      <w:proofErr w:type="spellEnd"/>
      <w:r w:rsidRPr="00943E1D">
        <w:rPr>
          <w:rFonts w:ascii="Arial" w:hAnsi="Arial" w:cs="Arial"/>
        </w:rPr>
        <w:t xml:space="preserve"> </w:t>
      </w:r>
      <w:r w:rsidRPr="00943E1D">
        <w:rPr>
          <w:rFonts w:ascii="Arial" w:hAnsi="Arial" w:cs="Arial"/>
          <w:i/>
          <w:iCs/>
        </w:rPr>
        <w:t>et al</w:t>
      </w:r>
      <w:r w:rsidRPr="00943E1D">
        <w:rPr>
          <w:rFonts w:ascii="Arial" w:hAnsi="Arial" w:cs="Arial"/>
        </w:rPr>
        <w:t xml:space="preserve">. investigated changes in the essential oil concentration of lemon verbena leaves over storage periods of 0, 2, 4, 6, and 8 months, demonstrating a significant decrease in essential oil content with prolonged storage. Additionally, </w:t>
      </w:r>
      <w:proofErr w:type="spellStart"/>
      <w:r w:rsidRPr="00943E1D">
        <w:rPr>
          <w:rFonts w:ascii="Arial" w:hAnsi="Arial" w:cs="Arial"/>
        </w:rPr>
        <w:t>Leelaphiwat</w:t>
      </w:r>
      <w:proofErr w:type="spellEnd"/>
      <w:r w:rsidRPr="00943E1D">
        <w:rPr>
          <w:rFonts w:ascii="Arial" w:hAnsi="Arial" w:cs="Arial"/>
        </w:rPr>
        <w:t xml:space="preserve"> </w:t>
      </w:r>
      <w:r w:rsidRPr="00943E1D">
        <w:rPr>
          <w:rFonts w:ascii="Arial" w:hAnsi="Arial" w:cs="Arial"/>
          <w:i/>
          <w:iCs/>
        </w:rPr>
        <w:t>et al</w:t>
      </w:r>
      <w:r w:rsidRPr="00943E1D">
        <w:rPr>
          <w:rFonts w:ascii="Arial" w:hAnsi="Arial" w:cs="Arial"/>
        </w:rPr>
        <w:t>. (2017) found a significant reduction in the aroma intensity of Thai 'tom yam' seasoning powder with increased storage time.</w:t>
      </w:r>
      <w:commentRangeEnd w:id="14"/>
      <w:r w:rsidR="00760DB2">
        <w:rPr>
          <w:rStyle w:val="CommentReference"/>
          <w:rFonts w:ascii="Times New Roman" w:hAnsi="Times New Roman"/>
          <w:lang w:val="nb-NO" w:eastAsia="nb-NO"/>
        </w:rPr>
        <w:commentReference w:id="14"/>
      </w:r>
    </w:p>
    <w:p w14:paraId="700EC680" w14:textId="77777777" w:rsidR="00943E1D" w:rsidRPr="00943E1D" w:rsidRDefault="00943E1D" w:rsidP="00943E1D">
      <w:pPr>
        <w:pStyle w:val="Body"/>
        <w:rPr>
          <w:rFonts w:ascii="Arial" w:hAnsi="Arial" w:cs="Arial"/>
        </w:rPr>
      </w:pPr>
      <w:r w:rsidRPr="00943E1D">
        <w:rPr>
          <w:rFonts w:ascii="Arial" w:hAnsi="Arial" w:cs="Arial"/>
        </w:rPr>
        <w:t xml:space="preserve">These findings support the idea that storing medicinal and aromatic plants at room temperature for extended periods can lead to the evaporation of essential oils, resulting in a loss of flavor and aroma (Abd El-Aleem and Hamed, 2018; </w:t>
      </w:r>
      <w:proofErr w:type="spellStart"/>
      <w:r w:rsidRPr="00943E1D">
        <w:rPr>
          <w:rFonts w:ascii="Arial" w:hAnsi="Arial" w:cs="Arial"/>
        </w:rPr>
        <w:t>Moghith</w:t>
      </w:r>
      <w:proofErr w:type="spellEnd"/>
      <w:r w:rsidRPr="00943E1D">
        <w:rPr>
          <w:rFonts w:ascii="Arial" w:hAnsi="Arial" w:cs="Arial"/>
        </w:rPr>
        <w:t xml:space="preserve"> </w:t>
      </w:r>
      <w:r w:rsidRPr="001B217F">
        <w:rPr>
          <w:rFonts w:ascii="Arial" w:hAnsi="Arial" w:cs="Arial"/>
          <w:i/>
          <w:iCs/>
        </w:rPr>
        <w:t>et al</w:t>
      </w:r>
      <w:r w:rsidRPr="00943E1D">
        <w:rPr>
          <w:rFonts w:ascii="Arial" w:hAnsi="Arial" w:cs="Arial"/>
        </w:rPr>
        <w:t>., 2024). Ibrahim (2004) studied yarrow and found that the essential oil content in the flowers decreased during storage. Similarly, Ali and Jumma (2019) demonstrated a significant reduction in the essential oil yield of cumin with prolonged storage.</w:t>
      </w:r>
    </w:p>
    <w:p w14:paraId="01E1FCDD" w14:textId="77777777" w:rsidR="00943E1D" w:rsidRPr="00943E1D" w:rsidRDefault="00943E1D" w:rsidP="009C7EA6">
      <w:pPr>
        <w:pStyle w:val="Body"/>
        <w:rPr>
          <w:rFonts w:ascii="Arial" w:hAnsi="Arial" w:cs="Arial"/>
        </w:rPr>
      </w:pPr>
      <w:r w:rsidRPr="00943E1D">
        <w:rPr>
          <w:rFonts w:ascii="Arial" w:hAnsi="Arial" w:cs="Arial"/>
        </w:rPr>
        <w:t>The essential oil primarily contained alpha- and beta-thujone compounds, with their concentrations varying throughout the year-long storage period (Table 3). The concentration of α-thujone was 71.59% before storage, decreased to 66.23% after 3 months, then increased to 75.07% after 6 months. It subsequently declined to 63.63% after 9 months and reached its lowest value of 26.48% after 12 months. Similarly, β-thujone was 17.83% at the start of the experiment, decreased to 4.79% after 3 months, then increased to 10.28% and 13.62% at 6 and 9 months, respectively. By the end of the 12-month storage period, its concentration had dropped to its lowest level of 0.88%.</w:t>
      </w:r>
    </w:p>
    <w:p w14:paraId="55AE4E2D" w14:textId="77777777" w:rsidR="00943E1D" w:rsidRPr="00943E1D" w:rsidRDefault="00943E1D" w:rsidP="00943E1D">
      <w:pPr>
        <w:pStyle w:val="Body"/>
        <w:rPr>
          <w:rFonts w:ascii="Arial" w:hAnsi="Arial" w:cs="Arial"/>
        </w:rPr>
      </w:pPr>
      <w:r w:rsidRPr="00943E1D">
        <w:rPr>
          <w:rFonts w:ascii="Arial" w:hAnsi="Arial" w:cs="Arial"/>
        </w:rPr>
        <w:t>The essential oil also contained lower levels of components such as 1,8-cineole and camphor, both of which were influenced by storage duration. The concentration of 1,8-cineole was 3.74% before storage and gradually increased to 3.77%, 4.35%, 4.38%, and 5.15% after 3, 6, 9, and 12 months of storage, respectively. Camphor concentration was 4.50% before storage and decreased to 2.28% and 3.60% at 6 and 12 months, respectively, except at 9 months, when it reached its highest level of 6.64%.</w:t>
      </w:r>
    </w:p>
    <w:p w14:paraId="1AF9EE6B" w14:textId="77777777" w:rsidR="00943E1D" w:rsidRPr="00943E1D" w:rsidRDefault="00943E1D" w:rsidP="00943E1D">
      <w:pPr>
        <w:pStyle w:val="Body"/>
        <w:rPr>
          <w:rFonts w:ascii="Arial" w:hAnsi="Arial" w:cs="Arial"/>
        </w:rPr>
      </w:pPr>
      <w:r w:rsidRPr="00943E1D">
        <w:rPr>
          <w:rFonts w:ascii="Arial" w:hAnsi="Arial" w:cs="Arial"/>
        </w:rPr>
        <w:t xml:space="preserve">Thujone, when administered under medical supervision and in safe doses, is recognized for its potential medicinal properties. These include antifungal, antibacterial, antiparasitic, digestive aid, antidiabetic, anticancer, anti-inflammatory, and antioxidant effects. Additionally, 1,8-cineole provides various health benefits due to its anti-inflammatory, antibacterial, and bronchodilator properties. Camphor also offers health benefits (Bora and Sharma, 2011; </w:t>
      </w:r>
      <w:proofErr w:type="spellStart"/>
      <w:r w:rsidRPr="00943E1D">
        <w:rPr>
          <w:rFonts w:ascii="Arial" w:hAnsi="Arial" w:cs="Arial"/>
        </w:rPr>
        <w:t>Zámboriné</w:t>
      </w:r>
      <w:proofErr w:type="spellEnd"/>
      <w:r w:rsidRPr="00943E1D">
        <w:rPr>
          <w:rFonts w:ascii="Arial" w:hAnsi="Arial" w:cs="Arial"/>
        </w:rPr>
        <w:t xml:space="preserve"> </w:t>
      </w:r>
      <w:proofErr w:type="spellStart"/>
      <w:r w:rsidRPr="00943E1D">
        <w:rPr>
          <w:rFonts w:ascii="Arial" w:hAnsi="Arial" w:cs="Arial"/>
        </w:rPr>
        <w:t>Németh</w:t>
      </w:r>
      <w:proofErr w:type="spellEnd"/>
      <w:r w:rsidRPr="00943E1D">
        <w:rPr>
          <w:rFonts w:ascii="Arial" w:hAnsi="Arial" w:cs="Arial"/>
        </w:rPr>
        <w:t xml:space="preserve"> and </w:t>
      </w:r>
      <w:proofErr w:type="spellStart"/>
      <w:r w:rsidRPr="00943E1D">
        <w:rPr>
          <w:rFonts w:ascii="Arial" w:hAnsi="Arial" w:cs="Arial"/>
        </w:rPr>
        <w:t>Thi</w:t>
      </w:r>
      <w:proofErr w:type="spellEnd"/>
      <w:r w:rsidRPr="00943E1D">
        <w:rPr>
          <w:rFonts w:ascii="Arial" w:hAnsi="Arial" w:cs="Arial"/>
        </w:rPr>
        <w:t xml:space="preserve"> Nguyen, 2020).</w:t>
      </w:r>
    </w:p>
    <w:p w14:paraId="013C2FBA" w14:textId="77777777" w:rsidR="00943E1D" w:rsidRPr="00943E1D" w:rsidRDefault="00943E1D" w:rsidP="00943E1D">
      <w:pPr>
        <w:pStyle w:val="Body"/>
        <w:rPr>
          <w:rFonts w:ascii="Arial" w:hAnsi="Arial" w:cs="Arial"/>
        </w:rPr>
      </w:pPr>
      <w:r w:rsidRPr="00943E1D">
        <w:rPr>
          <w:rFonts w:ascii="Arial" w:hAnsi="Arial" w:cs="Arial"/>
        </w:rPr>
        <w:t>Furthermore, it was observed that the extracted oil was rich in oxygenated compounds before storage (98.61%), but their concentration decreased over the storage period, reaching 89.22% after 12 months. Conversely, the concentration of hydrocarbon compounds increased during storage, rising from 1.39% initially to 10.77% after 12 months.</w:t>
      </w:r>
    </w:p>
    <w:p w14:paraId="7CFFB687" w14:textId="77777777" w:rsidR="00943E1D" w:rsidRPr="00943E1D" w:rsidRDefault="00943E1D" w:rsidP="00943E1D">
      <w:pPr>
        <w:pStyle w:val="Body"/>
        <w:rPr>
          <w:rFonts w:ascii="Arial" w:hAnsi="Arial" w:cs="Arial"/>
        </w:rPr>
      </w:pPr>
      <w:r w:rsidRPr="00943E1D">
        <w:rPr>
          <w:rFonts w:ascii="Arial" w:hAnsi="Arial" w:cs="Arial"/>
        </w:rPr>
        <w:t xml:space="preserve">Changes in the chemical profile of white wormwood essential oil during storage can negatively affect its medicinal properties and distinctive flavor. Essential oils are susceptible to oxidation and heat damage when exposed to air, moisture, and light during storage. Most essential oils are heat-sensitive, or thermolabile, at elevated temperatures. Their composition may change over time due to the reorganization, addition, or loss of components (Choi and </w:t>
      </w:r>
      <w:proofErr w:type="spellStart"/>
      <w:r w:rsidRPr="00943E1D">
        <w:rPr>
          <w:rFonts w:ascii="Arial" w:hAnsi="Arial" w:cs="Arial"/>
        </w:rPr>
        <w:t>Sawamura</w:t>
      </w:r>
      <w:proofErr w:type="spellEnd"/>
      <w:r w:rsidRPr="00943E1D">
        <w:rPr>
          <w:rFonts w:ascii="Arial" w:hAnsi="Arial" w:cs="Arial"/>
        </w:rPr>
        <w:t xml:space="preserve">, 2002; Salim </w:t>
      </w:r>
      <w:r w:rsidRPr="001B217F">
        <w:rPr>
          <w:rFonts w:ascii="Arial" w:hAnsi="Arial" w:cs="Arial"/>
          <w:i/>
          <w:iCs/>
        </w:rPr>
        <w:t>et al</w:t>
      </w:r>
      <w:r w:rsidRPr="00943E1D">
        <w:rPr>
          <w:rFonts w:ascii="Arial" w:hAnsi="Arial" w:cs="Arial"/>
        </w:rPr>
        <w:t xml:space="preserve">., 2016; Li </w:t>
      </w:r>
      <w:r w:rsidRPr="001B217F">
        <w:rPr>
          <w:rFonts w:ascii="Arial" w:hAnsi="Arial" w:cs="Arial"/>
          <w:i/>
          <w:iCs/>
        </w:rPr>
        <w:t>et al</w:t>
      </w:r>
      <w:r w:rsidRPr="00943E1D">
        <w:rPr>
          <w:rFonts w:ascii="Arial" w:hAnsi="Arial" w:cs="Arial"/>
        </w:rPr>
        <w:t>., 2018).</w:t>
      </w:r>
    </w:p>
    <w:p w14:paraId="790A4F94" w14:textId="77777777" w:rsidR="00790ADA" w:rsidRDefault="00943E1D" w:rsidP="00943E1D">
      <w:pPr>
        <w:pStyle w:val="Body"/>
        <w:spacing w:after="0"/>
        <w:rPr>
          <w:rFonts w:ascii="Arial" w:hAnsi="Arial" w:cs="Arial"/>
        </w:rPr>
      </w:pPr>
      <w:r w:rsidRPr="00943E1D">
        <w:rPr>
          <w:rFonts w:ascii="Arial" w:hAnsi="Arial" w:cs="Arial"/>
        </w:rPr>
        <w:t xml:space="preserve">These results are consistent with studies on medicinal and aromatic plants and spices under storage conditions, which indicate that extending the storage period can lead to the disappearance, decrease, or increase of certain components in the extracted essential oil (Choi and </w:t>
      </w:r>
      <w:proofErr w:type="spellStart"/>
      <w:r w:rsidRPr="00943E1D">
        <w:rPr>
          <w:rFonts w:ascii="Arial" w:hAnsi="Arial" w:cs="Arial"/>
        </w:rPr>
        <w:t>Sawamura</w:t>
      </w:r>
      <w:proofErr w:type="spellEnd"/>
      <w:r w:rsidRPr="00943E1D">
        <w:rPr>
          <w:rFonts w:ascii="Arial" w:hAnsi="Arial" w:cs="Arial"/>
        </w:rPr>
        <w:t xml:space="preserve">, 2002; Ibrahim, 2004; </w:t>
      </w:r>
      <w:proofErr w:type="spellStart"/>
      <w:r w:rsidRPr="00943E1D">
        <w:rPr>
          <w:rFonts w:ascii="Arial" w:hAnsi="Arial" w:cs="Arial"/>
        </w:rPr>
        <w:t>Orav</w:t>
      </w:r>
      <w:proofErr w:type="spellEnd"/>
      <w:r w:rsidRPr="00943E1D">
        <w:rPr>
          <w:rFonts w:ascii="Arial" w:hAnsi="Arial" w:cs="Arial"/>
        </w:rPr>
        <w:t xml:space="preserve"> </w:t>
      </w:r>
      <w:r w:rsidRPr="001B217F">
        <w:rPr>
          <w:rFonts w:ascii="Arial" w:hAnsi="Arial" w:cs="Arial"/>
          <w:i/>
          <w:iCs/>
        </w:rPr>
        <w:t>et al</w:t>
      </w:r>
      <w:r w:rsidRPr="00943E1D">
        <w:rPr>
          <w:rFonts w:ascii="Arial" w:hAnsi="Arial" w:cs="Arial"/>
        </w:rPr>
        <w:t xml:space="preserve">., 2004; </w:t>
      </w:r>
      <w:proofErr w:type="spellStart"/>
      <w:r w:rsidRPr="00943E1D">
        <w:rPr>
          <w:rFonts w:ascii="Arial" w:hAnsi="Arial" w:cs="Arial"/>
        </w:rPr>
        <w:t>Mockutë</w:t>
      </w:r>
      <w:proofErr w:type="spellEnd"/>
      <w:r w:rsidRPr="00943E1D">
        <w:rPr>
          <w:rFonts w:ascii="Arial" w:hAnsi="Arial" w:cs="Arial"/>
        </w:rPr>
        <w:t xml:space="preserve"> </w:t>
      </w:r>
      <w:r w:rsidRPr="001B217F">
        <w:rPr>
          <w:rFonts w:ascii="Arial" w:hAnsi="Arial" w:cs="Arial"/>
          <w:i/>
          <w:iCs/>
        </w:rPr>
        <w:t>et al</w:t>
      </w:r>
      <w:r w:rsidRPr="00943E1D">
        <w:rPr>
          <w:rFonts w:ascii="Arial" w:hAnsi="Arial" w:cs="Arial"/>
        </w:rPr>
        <w:t xml:space="preserve">., 2005; Abd El-Wahab and Salem, 2008; Salim </w:t>
      </w:r>
      <w:r w:rsidRPr="001B217F">
        <w:rPr>
          <w:rFonts w:ascii="Arial" w:hAnsi="Arial" w:cs="Arial"/>
          <w:i/>
          <w:iCs/>
        </w:rPr>
        <w:t>et al</w:t>
      </w:r>
      <w:r w:rsidRPr="00943E1D">
        <w:rPr>
          <w:rFonts w:ascii="Arial" w:hAnsi="Arial" w:cs="Arial"/>
        </w:rPr>
        <w:t xml:space="preserve">., 2016; </w:t>
      </w:r>
      <w:proofErr w:type="spellStart"/>
      <w:r w:rsidRPr="00943E1D">
        <w:rPr>
          <w:rFonts w:ascii="Arial" w:hAnsi="Arial" w:cs="Arial"/>
        </w:rPr>
        <w:t>Ebadi</w:t>
      </w:r>
      <w:proofErr w:type="spellEnd"/>
      <w:r w:rsidRPr="00943E1D">
        <w:rPr>
          <w:rFonts w:ascii="Arial" w:hAnsi="Arial" w:cs="Arial"/>
        </w:rPr>
        <w:t xml:space="preserve"> </w:t>
      </w:r>
      <w:r w:rsidRPr="001B217F">
        <w:rPr>
          <w:rFonts w:ascii="Arial" w:hAnsi="Arial" w:cs="Arial"/>
          <w:i/>
          <w:iCs/>
        </w:rPr>
        <w:t>et al</w:t>
      </w:r>
      <w:r w:rsidRPr="00943E1D">
        <w:rPr>
          <w:rFonts w:ascii="Arial" w:hAnsi="Arial" w:cs="Arial"/>
        </w:rPr>
        <w:t xml:space="preserve">., 2017; Abd El-Aleem and Hamed, 2018; </w:t>
      </w:r>
      <w:proofErr w:type="spellStart"/>
      <w:r w:rsidRPr="00943E1D">
        <w:rPr>
          <w:rFonts w:ascii="Arial" w:hAnsi="Arial" w:cs="Arial"/>
        </w:rPr>
        <w:t>Moghith</w:t>
      </w:r>
      <w:proofErr w:type="spellEnd"/>
      <w:r w:rsidRPr="00943E1D">
        <w:rPr>
          <w:rFonts w:ascii="Arial" w:hAnsi="Arial" w:cs="Arial"/>
        </w:rPr>
        <w:t xml:space="preserve"> </w:t>
      </w:r>
      <w:r w:rsidRPr="001B217F">
        <w:rPr>
          <w:rFonts w:ascii="Arial" w:hAnsi="Arial" w:cs="Arial"/>
          <w:i/>
          <w:iCs/>
        </w:rPr>
        <w:t>et al</w:t>
      </w:r>
      <w:r w:rsidRPr="00943E1D">
        <w:rPr>
          <w:rFonts w:ascii="Arial" w:hAnsi="Arial" w:cs="Arial"/>
        </w:rPr>
        <w:t>., 2024).</w:t>
      </w:r>
    </w:p>
    <w:p w14:paraId="1B9BD3C8" w14:textId="77777777" w:rsidR="005C47D2" w:rsidRDefault="005C47D2" w:rsidP="005C47D2">
      <w:pPr>
        <w:pStyle w:val="Default"/>
        <w:tabs>
          <w:tab w:val="left" w:pos="720"/>
        </w:tabs>
        <w:ind w:left="1134" w:hanging="1134"/>
        <w:jc w:val="center"/>
        <w:rPr>
          <w:rFonts w:ascii="Arial" w:hAnsi="Arial"/>
          <w:b/>
          <w:color w:val="auto"/>
          <w:sz w:val="20"/>
          <w:szCs w:val="20"/>
        </w:rPr>
      </w:pPr>
    </w:p>
    <w:p w14:paraId="4418729A" w14:textId="77777777" w:rsidR="001B217F" w:rsidRDefault="001B217F" w:rsidP="005C47D2">
      <w:pPr>
        <w:pStyle w:val="Default"/>
        <w:tabs>
          <w:tab w:val="left" w:pos="720"/>
        </w:tabs>
        <w:ind w:left="1134" w:hanging="1134"/>
        <w:jc w:val="center"/>
        <w:rPr>
          <w:rFonts w:ascii="Arial" w:hAnsi="Arial"/>
          <w:b/>
          <w:color w:val="auto"/>
          <w:sz w:val="20"/>
          <w:szCs w:val="20"/>
        </w:rPr>
      </w:pPr>
      <w:commentRangeStart w:id="15"/>
      <w:r w:rsidRPr="001B217F">
        <w:rPr>
          <w:rFonts w:ascii="Arial" w:hAnsi="Arial"/>
          <w:b/>
          <w:color w:val="auto"/>
          <w:sz w:val="20"/>
          <w:szCs w:val="20"/>
        </w:rPr>
        <w:t xml:space="preserve">Table 2: Effect of storage duration on the essential oil percentage of </w:t>
      </w:r>
      <w:r w:rsidR="005C47D2">
        <w:rPr>
          <w:rFonts w:ascii="Arial" w:hAnsi="Arial"/>
          <w:b/>
          <w:color w:val="auto"/>
          <w:sz w:val="20"/>
          <w:szCs w:val="20"/>
        </w:rPr>
        <w:t xml:space="preserve">the </w:t>
      </w:r>
      <w:r w:rsidRPr="001B217F">
        <w:rPr>
          <w:rFonts w:ascii="Arial" w:hAnsi="Arial"/>
          <w:b/>
          <w:color w:val="auto"/>
          <w:sz w:val="20"/>
          <w:szCs w:val="20"/>
        </w:rPr>
        <w:t>herb</w:t>
      </w:r>
    </w:p>
    <w:p w14:paraId="78F15AB4" w14:textId="77777777" w:rsidR="005C47D2" w:rsidRPr="001B217F" w:rsidRDefault="005C47D2" w:rsidP="005C47D2">
      <w:pPr>
        <w:pStyle w:val="Default"/>
        <w:tabs>
          <w:tab w:val="left" w:pos="720"/>
        </w:tabs>
        <w:ind w:left="1134" w:hanging="1134"/>
        <w:jc w:val="center"/>
        <w:rPr>
          <w:rFonts w:ascii="Arial" w:hAnsi="Arial"/>
          <w:b/>
          <w:color w:val="auto"/>
          <w:sz w:val="20"/>
          <w:szCs w:val="20"/>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39"/>
        <w:gridCol w:w="2535"/>
        <w:gridCol w:w="2596"/>
      </w:tblGrid>
      <w:tr w:rsidR="001B217F" w:rsidRPr="008F7B6B" w14:paraId="20EF0845" w14:textId="77777777" w:rsidTr="005C47D2">
        <w:trPr>
          <w:jc w:val="center"/>
        </w:trPr>
        <w:tc>
          <w:tcPr>
            <w:tcW w:w="2839" w:type="dxa"/>
            <w:tcBorders>
              <w:top w:val="single" w:sz="4" w:space="0" w:color="auto"/>
              <w:bottom w:val="single" w:sz="4" w:space="0" w:color="auto"/>
            </w:tcBorders>
          </w:tcPr>
          <w:p w14:paraId="5E31A6A5" w14:textId="77777777" w:rsidR="001B217F" w:rsidRPr="001B217F" w:rsidRDefault="001B217F" w:rsidP="005C47D2">
            <w:pPr>
              <w:pStyle w:val="Default"/>
              <w:tabs>
                <w:tab w:val="left" w:pos="720"/>
              </w:tabs>
              <w:jc w:val="both"/>
              <w:rPr>
                <w:rFonts w:ascii="Arial" w:eastAsia="Times New Roman" w:hAnsi="Arial"/>
                <w:b/>
                <w:color w:val="auto"/>
                <w:sz w:val="20"/>
                <w:szCs w:val="20"/>
              </w:rPr>
            </w:pPr>
            <w:r w:rsidRPr="001B217F">
              <w:rPr>
                <w:rFonts w:ascii="Arial" w:eastAsia="Times New Roman" w:hAnsi="Arial"/>
                <w:b/>
                <w:color w:val="auto"/>
                <w:sz w:val="20"/>
                <w:szCs w:val="20"/>
              </w:rPr>
              <w:t>Storage periods</w:t>
            </w:r>
          </w:p>
        </w:tc>
        <w:tc>
          <w:tcPr>
            <w:tcW w:w="2535" w:type="dxa"/>
            <w:tcBorders>
              <w:top w:val="single" w:sz="4" w:space="0" w:color="auto"/>
              <w:bottom w:val="single" w:sz="4" w:space="0" w:color="auto"/>
            </w:tcBorders>
          </w:tcPr>
          <w:p w14:paraId="31D30081" w14:textId="77777777" w:rsidR="001B217F" w:rsidRPr="001B217F" w:rsidRDefault="001B217F" w:rsidP="005C47D2">
            <w:pPr>
              <w:pStyle w:val="Default"/>
              <w:tabs>
                <w:tab w:val="left" w:pos="720"/>
              </w:tabs>
              <w:jc w:val="center"/>
              <w:rPr>
                <w:rFonts w:ascii="Arial" w:eastAsia="Times New Roman" w:hAnsi="Arial"/>
                <w:b/>
                <w:color w:val="auto"/>
                <w:sz w:val="20"/>
                <w:szCs w:val="20"/>
              </w:rPr>
            </w:pPr>
            <w:r w:rsidRPr="001B217F">
              <w:rPr>
                <w:rFonts w:ascii="Arial" w:eastAsia="Times New Roman" w:hAnsi="Arial"/>
                <w:b/>
                <w:color w:val="auto"/>
                <w:sz w:val="20"/>
                <w:szCs w:val="20"/>
              </w:rPr>
              <w:t>First season</w:t>
            </w:r>
          </w:p>
          <w:p w14:paraId="06C7124F" w14:textId="77777777" w:rsidR="001B217F" w:rsidRPr="001B217F" w:rsidRDefault="001B217F" w:rsidP="005C47D2">
            <w:pPr>
              <w:pStyle w:val="Default"/>
              <w:tabs>
                <w:tab w:val="left" w:pos="720"/>
              </w:tabs>
              <w:jc w:val="center"/>
              <w:rPr>
                <w:rFonts w:ascii="Arial" w:eastAsia="Times New Roman" w:hAnsi="Arial"/>
                <w:b/>
                <w:color w:val="auto"/>
                <w:sz w:val="20"/>
                <w:szCs w:val="20"/>
              </w:rPr>
            </w:pPr>
            <w:r w:rsidRPr="001B217F">
              <w:rPr>
                <w:rFonts w:ascii="Arial" w:eastAsia="Times New Roman" w:hAnsi="Arial"/>
                <w:b/>
                <w:color w:val="auto"/>
                <w:sz w:val="20"/>
                <w:szCs w:val="20"/>
              </w:rPr>
              <w:t xml:space="preserve">(2023-2024) </w:t>
            </w:r>
          </w:p>
        </w:tc>
        <w:tc>
          <w:tcPr>
            <w:tcW w:w="2596" w:type="dxa"/>
            <w:tcBorders>
              <w:top w:val="single" w:sz="4" w:space="0" w:color="auto"/>
              <w:bottom w:val="single" w:sz="4" w:space="0" w:color="auto"/>
            </w:tcBorders>
          </w:tcPr>
          <w:p w14:paraId="1E161214" w14:textId="77777777" w:rsidR="001B217F" w:rsidRPr="001B217F" w:rsidRDefault="001B217F" w:rsidP="005C47D2">
            <w:pPr>
              <w:pStyle w:val="Default"/>
              <w:tabs>
                <w:tab w:val="left" w:pos="720"/>
              </w:tabs>
              <w:jc w:val="center"/>
              <w:rPr>
                <w:rFonts w:ascii="Arial" w:eastAsia="Times New Roman" w:hAnsi="Arial"/>
                <w:b/>
                <w:color w:val="auto"/>
                <w:sz w:val="20"/>
                <w:szCs w:val="20"/>
              </w:rPr>
            </w:pPr>
            <w:r w:rsidRPr="001B217F">
              <w:rPr>
                <w:rFonts w:ascii="Arial" w:eastAsia="Times New Roman" w:hAnsi="Arial"/>
                <w:b/>
                <w:color w:val="auto"/>
                <w:sz w:val="20"/>
                <w:szCs w:val="20"/>
              </w:rPr>
              <w:t>Second season</w:t>
            </w:r>
          </w:p>
          <w:p w14:paraId="4FC057A4" w14:textId="77777777" w:rsidR="001B217F" w:rsidRPr="001B217F" w:rsidRDefault="001B217F" w:rsidP="005C47D2">
            <w:pPr>
              <w:pStyle w:val="Default"/>
              <w:tabs>
                <w:tab w:val="left" w:pos="720"/>
              </w:tabs>
              <w:jc w:val="center"/>
              <w:rPr>
                <w:rFonts w:ascii="Arial" w:eastAsia="Times New Roman" w:hAnsi="Arial"/>
                <w:b/>
                <w:color w:val="auto"/>
                <w:sz w:val="20"/>
                <w:szCs w:val="20"/>
              </w:rPr>
            </w:pPr>
            <w:r w:rsidRPr="001B217F">
              <w:rPr>
                <w:rFonts w:ascii="Arial" w:eastAsia="Times New Roman" w:hAnsi="Arial"/>
                <w:b/>
                <w:color w:val="auto"/>
                <w:sz w:val="20"/>
                <w:szCs w:val="20"/>
              </w:rPr>
              <w:t>(2024-2025)</w:t>
            </w:r>
          </w:p>
        </w:tc>
      </w:tr>
      <w:tr w:rsidR="001B217F" w:rsidRPr="008F7B6B" w14:paraId="6D7B8C50" w14:textId="77777777" w:rsidTr="005C47D2">
        <w:trPr>
          <w:jc w:val="center"/>
        </w:trPr>
        <w:tc>
          <w:tcPr>
            <w:tcW w:w="2839" w:type="dxa"/>
            <w:tcBorders>
              <w:top w:val="single" w:sz="4" w:space="0" w:color="auto"/>
            </w:tcBorders>
          </w:tcPr>
          <w:p w14:paraId="0D1D02CE" w14:textId="77777777" w:rsidR="001B217F" w:rsidRPr="001B217F" w:rsidRDefault="001B217F" w:rsidP="005C47D2">
            <w:pPr>
              <w:pStyle w:val="Default"/>
              <w:tabs>
                <w:tab w:val="left" w:pos="720"/>
              </w:tabs>
              <w:jc w:val="both"/>
              <w:rPr>
                <w:rFonts w:ascii="Arial" w:eastAsia="Times New Roman" w:hAnsi="Arial"/>
                <w:color w:val="auto"/>
                <w:sz w:val="20"/>
                <w:szCs w:val="20"/>
              </w:rPr>
            </w:pPr>
            <w:r w:rsidRPr="001B217F">
              <w:rPr>
                <w:rFonts w:ascii="Arial" w:eastAsia="Times New Roman" w:hAnsi="Arial"/>
                <w:color w:val="auto"/>
                <w:sz w:val="20"/>
                <w:szCs w:val="20"/>
              </w:rPr>
              <w:t>0 months</w:t>
            </w:r>
          </w:p>
        </w:tc>
        <w:tc>
          <w:tcPr>
            <w:tcW w:w="2535" w:type="dxa"/>
            <w:tcBorders>
              <w:top w:val="single" w:sz="4" w:space="0" w:color="auto"/>
            </w:tcBorders>
          </w:tcPr>
          <w:p w14:paraId="2D01541B" w14:textId="77777777" w:rsidR="001B217F" w:rsidRPr="001B217F" w:rsidRDefault="001B217F" w:rsidP="005C47D2">
            <w:pPr>
              <w:jc w:val="center"/>
              <w:rPr>
                <w:rFonts w:ascii="Arial" w:eastAsia="Times New Roman" w:hAnsi="Arial"/>
                <w:sz w:val="20"/>
                <w:szCs w:val="20"/>
              </w:rPr>
            </w:pPr>
            <w:r w:rsidRPr="001B217F">
              <w:rPr>
                <w:rFonts w:ascii="Arial" w:eastAsia="Times New Roman" w:hAnsi="Arial"/>
                <w:sz w:val="20"/>
                <w:szCs w:val="20"/>
              </w:rPr>
              <w:t xml:space="preserve">1.88 </w:t>
            </w:r>
            <w:r w:rsidRPr="001B217F">
              <w:rPr>
                <w:rFonts w:ascii="Arial" w:eastAsia="Times New Roman" w:hAnsi="Arial"/>
                <w:sz w:val="20"/>
                <w:szCs w:val="20"/>
                <w:vertAlign w:val="superscript"/>
              </w:rPr>
              <w:t>a</w:t>
            </w:r>
          </w:p>
        </w:tc>
        <w:tc>
          <w:tcPr>
            <w:tcW w:w="2596" w:type="dxa"/>
            <w:tcBorders>
              <w:top w:val="single" w:sz="4" w:space="0" w:color="auto"/>
            </w:tcBorders>
          </w:tcPr>
          <w:p w14:paraId="27045D49" w14:textId="77777777" w:rsidR="001B217F" w:rsidRPr="001B217F" w:rsidRDefault="001B217F" w:rsidP="005C47D2">
            <w:pPr>
              <w:jc w:val="center"/>
              <w:rPr>
                <w:rFonts w:ascii="Arial" w:eastAsia="Times New Roman" w:hAnsi="Arial"/>
                <w:sz w:val="20"/>
                <w:szCs w:val="20"/>
              </w:rPr>
            </w:pPr>
            <w:r w:rsidRPr="001B217F">
              <w:rPr>
                <w:rFonts w:ascii="Arial" w:eastAsia="Times New Roman" w:hAnsi="Arial"/>
                <w:sz w:val="20"/>
                <w:szCs w:val="20"/>
              </w:rPr>
              <w:t xml:space="preserve">1.79 </w:t>
            </w:r>
            <w:r w:rsidRPr="001B217F">
              <w:rPr>
                <w:rFonts w:ascii="Arial" w:eastAsia="Times New Roman" w:hAnsi="Arial"/>
                <w:sz w:val="20"/>
                <w:szCs w:val="20"/>
                <w:vertAlign w:val="superscript"/>
              </w:rPr>
              <w:t>a</w:t>
            </w:r>
          </w:p>
        </w:tc>
      </w:tr>
      <w:tr w:rsidR="001B217F" w:rsidRPr="008F7B6B" w14:paraId="04F28C20" w14:textId="77777777" w:rsidTr="005C47D2">
        <w:trPr>
          <w:jc w:val="center"/>
        </w:trPr>
        <w:tc>
          <w:tcPr>
            <w:tcW w:w="2839" w:type="dxa"/>
          </w:tcPr>
          <w:p w14:paraId="37C2CE40" w14:textId="77777777" w:rsidR="001B217F" w:rsidRPr="001B217F" w:rsidRDefault="001B217F" w:rsidP="005C47D2">
            <w:pPr>
              <w:pStyle w:val="Default"/>
              <w:tabs>
                <w:tab w:val="left" w:pos="720"/>
              </w:tabs>
              <w:jc w:val="both"/>
              <w:rPr>
                <w:rFonts w:ascii="Arial" w:eastAsia="Times New Roman" w:hAnsi="Arial"/>
                <w:color w:val="auto"/>
                <w:sz w:val="20"/>
                <w:szCs w:val="20"/>
              </w:rPr>
            </w:pPr>
            <w:r w:rsidRPr="001B217F">
              <w:rPr>
                <w:rFonts w:ascii="Arial" w:eastAsia="Times New Roman" w:hAnsi="Arial"/>
                <w:color w:val="auto"/>
                <w:sz w:val="20"/>
                <w:szCs w:val="20"/>
              </w:rPr>
              <w:t>3 months</w:t>
            </w:r>
          </w:p>
        </w:tc>
        <w:tc>
          <w:tcPr>
            <w:tcW w:w="2535" w:type="dxa"/>
          </w:tcPr>
          <w:p w14:paraId="476F4A63" w14:textId="77777777" w:rsidR="001B217F" w:rsidRPr="001B217F" w:rsidRDefault="001B217F" w:rsidP="005C47D2">
            <w:pPr>
              <w:jc w:val="center"/>
              <w:rPr>
                <w:rFonts w:ascii="Arial" w:eastAsia="Times New Roman" w:hAnsi="Arial"/>
                <w:sz w:val="20"/>
                <w:szCs w:val="20"/>
              </w:rPr>
            </w:pPr>
            <w:r w:rsidRPr="001B217F">
              <w:rPr>
                <w:rFonts w:ascii="Arial" w:eastAsia="Times New Roman" w:hAnsi="Arial"/>
                <w:sz w:val="20"/>
                <w:szCs w:val="20"/>
              </w:rPr>
              <w:t xml:space="preserve">1.61 </w:t>
            </w:r>
            <w:r w:rsidRPr="001B217F">
              <w:rPr>
                <w:rFonts w:ascii="Arial" w:eastAsia="Times New Roman" w:hAnsi="Arial"/>
                <w:sz w:val="20"/>
                <w:szCs w:val="20"/>
                <w:vertAlign w:val="superscript"/>
              </w:rPr>
              <w:t>b</w:t>
            </w:r>
          </w:p>
        </w:tc>
        <w:tc>
          <w:tcPr>
            <w:tcW w:w="2596" w:type="dxa"/>
          </w:tcPr>
          <w:p w14:paraId="13858957" w14:textId="77777777" w:rsidR="001B217F" w:rsidRPr="001B217F" w:rsidRDefault="001B217F" w:rsidP="005C47D2">
            <w:pPr>
              <w:jc w:val="center"/>
              <w:rPr>
                <w:rFonts w:ascii="Arial" w:eastAsia="Times New Roman" w:hAnsi="Arial"/>
                <w:sz w:val="20"/>
                <w:szCs w:val="20"/>
              </w:rPr>
            </w:pPr>
            <w:r w:rsidRPr="001B217F">
              <w:rPr>
                <w:rFonts w:ascii="Arial" w:eastAsia="Times New Roman" w:hAnsi="Arial"/>
                <w:sz w:val="20"/>
                <w:szCs w:val="20"/>
              </w:rPr>
              <w:t xml:space="preserve">1.58 </w:t>
            </w:r>
            <w:r w:rsidRPr="001B217F">
              <w:rPr>
                <w:rFonts w:ascii="Arial" w:eastAsia="Times New Roman" w:hAnsi="Arial"/>
                <w:sz w:val="20"/>
                <w:szCs w:val="20"/>
                <w:vertAlign w:val="superscript"/>
              </w:rPr>
              <w:t>b</w:t>
            </w:r>
          </w:p>
        </w:tc>
      </w:tr>
      <w:tr w:rsidR="001B217F" w:rsidRPr="008F7B6B" w14:paraId="79F7B06F" w14:textId="77777777" w:rsidTr="005C47D2">
        <w:trPr>
          <w:jc w:val="center"/>
        </w:trPr>
        <w:tc>
          <w:tcPr>
            <w:tcW w:w="2839" w:type="dxa"/>
          </w:tcPr>
          <w:p w14:paraId="67F65FF8" w14:textId="77777777" w:rsidR="001B217F" w:rsidRPr="001B217F" w:rsidRDefault="001B217F" w:rsidP="005C47D2">
            <w:pPr>
              <w:pStyle w:val="Default"/>
              <w:tabs>
                <w:tab w:val="left" w:pos="720"/>
              </w:tabs>
              <w:jc w:val="both"/>
              <w:rPr>
                <w:rFonts w:ascii="Arial" w:eastAsia="Times New Roman" w:hAnsi="Arial"/>
                <w:color w:val="auto"/>
                <w:sz w:val="20"/>
                <w:szCs w:val="20"/>
              </w:rPr>
            </w:pPr>
            <w:r w:rsidRPr="001B217F">
              <w:rPr>
                <w:rFonts w:ascii="Arial" w:eastAsia="Times New Roman" w:hAnsi="Arial"/>
                <w:color w:val="auto"/>
                <w:sz w:val="20"/>
                <w:szCs w:val="20"/>
              </w:rPr>
              <w:t>6 months</w:t>
            </w:r>
          </w:p>
        </w:tc>
        <w:tc>
          <w:tcPr>
            <w:tcW w:w="2535" w:type="dxa"/>
          </w:tcPr>
          <w:p w14:paraId="71CC9DB5" w14:textId="77777777" w:rsidR="001B217F" w:rsidRPr="001B217F" w:rsidRDefault="001B217F" w:rsidP="005C47D2">
            <w:pPr>
              <w:jc w:val="center"/>
              <w:rPr>
                <w:rFonts w:ascii="Arial" w:eastAsia="Times New Roman" w:hAnsi="Arial"/>
                <w:sz w:val="20"/>
                <w:szCs w:val="20"/>
              </w:rPr>
            </w:pPr>
            <w:r w:rsidRPr="001B217F">
              <w:rPr>
                <w:rFonts w:ascii="Arial" w:eastAsia="Times New Roman" w:hAnsi="Arial"/>
                <w:sz w:val="20"/>
                <w:szCs w:val="20"/>
              </w:rPr>
              <w:t xml:space="preserve">1.31 </w:t>
            </w:r>
            <w:r w:rsidRPr="001B217F">
              <w:rPr>
                <w:rFonts w:ascii="Arial" w:eastAsia="Times New Roman" w:hAnsi="Arial"/>
                <w:sz w:val="20"/>
                <w:szCs w:val="20"/>
                <w:vertAlign w:val="superscript"/>
              </w:rPr>
              <w:t>c</w:t>
            </w:r>
          </w:p>
        </w:tc>
        <w:tc>
          <w:tcPr>
            <w:tcW w:w="2596" w:type="dxa"/>
          </w:tcPr>
          <w:p w14:paraId="51CB292E" w14:textId="77777777" w:rsidR="001B217F" w:rsidRPr="001B217F" w:rsidRDefault="001B217F" w:rsidP="005C47D2">
            <w:pPr>
              <w:jc w:val="center"/>
              <w:rPr>
                <w:rFonts w:ascii="Arial" w:eastAsia="Times New Roman" w:hAnsi="Arial"/>
                <w:sz w:val="20"/>
                <w:szCs w:val="20"/>
              </w:rPr>
            </w:pPr>
            <w:r w:rsidRPr="001B217F">
              <w:rPr>
                <w:rFonts w:ascii="Arial" w:eastAsia="Times New Roman" w:hAnsi="Arial"/>
                <w:sz w:val="20"/>
                <w:szCs w:val="20"/>
              </w:rPr>
              <w:t xml:space="preserve">1.42 </w:t>
            </w:r>
            <w:r w:rsidRPr="001B217F">
              <w:rPr>
                <w:rFonts w:ascii="Arial" w:eastAsia="Times New Roman" w:hAnsi="Arial"/>
                <w:sz w:val="20"/>
                <w:szCs w:val="20"/>
                <w:vertAlign w:val="superscript"/>
              </w:rPr>
              <w:t>c</w:t>
            </w:r>
          </w:p>
        </w:tc>
      </w:tr>
      <w:tr w:rsidR="001B217F" w:rsidRPr="008F7B6B" w14:paraId="170C1710" w14:textId="77777777" w:rsidTr="005C47D2">
        <w:trPr>
          <w:jc w:val="center"/>
        </w:trPr>
        <w:tc>
          <w:tcPr>
            <w:tcW w:w="2839" w:type="dxa"/>
          </w:tcPr>
          <w:p w14:paraId="2E3893A7" w14:textId="77777777" w:rsidR="001B217F" w:rsidRPr="001B217F" w:rsidRDefault="001B217F" w:rsidP="005C47D2">
            <w:pPr>
              <w:pStyle w:val="Default"/>
              <w:tabs>
                <w:tab w:val="left" w:pos="720"/>
              </w:tabs>
              <w:jc w:val="both"/>
              <w:rPr>
                <w:rFonts w:ascii="Arial" w:eastAsia="Times New Roman" w:hAnsi="Arial"/>
                <w:color w:val="auto"/>
                <w:sz w:val="20"/>
                <w:szCs w:val="20"/>
              </w:rPr>
            </w:pPr>
            <w:r w:rsidRPr="001B217F">
              <w:rPr>
                <w:rFonts w:ascii="Arial" w:eastAsia="Times New Roman" w:hAnsi="Arial"/>
                <w:color w:val="auto"/>
                <w:sz w:val="20"/>
                <w:szCs w:val="20"/>
              </w:rPr>
              <w:t>9 months</w:t>
            </w:r>
          </w:p>
        </w:tc>
        <w:tc>
          <w:tcPr>
            <w:tcW w:w="2535" w:type="dxa"/>
          </w:tcPr>
          <w:p w14:paraId="4B8534ED" w14:textId="77777777" w:rsidR="001B217F" w:rsidRPr="001B217F" w:rsidRDefault="001B217F" w:rsidP="005C47D2">
            <w:pPr>
              <w:jc w:val="center"/>
              <w:rPr>
                <w:rFonts w:ascii="Arial" w:eastAsia="Times New Roman" w:hAnsi="Arial"/>
                <w:sz w:val="20"/>
                <w:szCs w:val="20"/>
              </w:rPr>
            </w:pPr>
            <w:r w:rsidRPr="001B217F">
              <w:rPr>
                <w:rFonts w:ascii="Arial" w:eastAsia="Times New Roman" w:hAnsi="Arial"/>
                <w:sz w:val="20"/>
                <w:szCs w:val="20"/>
              </w:rPr>
              <w:t xml:space="preserve">1.18 </w:t>
            </w:r>
            <w:r w:rsidRPr="001B217F">
              <w:rPr>
                <w:rFonts w:ascii="Arial" w:eastAsia="Times New Roman" w:hAnsi="Arial"/>
                <w:sz w:val="20"/>
                <w:szCs w:val="20"/>
                <w:vertAlign w:val="superscript"/>
              </w:rPr>
              <w:t>d</w:t>
            </w:r>
          </w:p>
        </w:tc>
        <w:tc>
          <w:tcPr>
            <w:tcW w:w="2596" w:type="dxa"/>
          </w:tcPr>
          <w:p w14:paraId="504C37F8" w14:textId="77777777" w:rsidR="001B217F" w:rsidRPr="001B217F" w:rsidRDefault="001B217F" w:rsidP="005C47D2">
            <w:pPr>
              <w:jc w:val="center"/>
              <w:rPr>
                <w:rFonts w:ascii="Arial" w:eastAsia="Times New Roman" w:hAnsi="Arial"/>
                <w:sz w:val="20"/>
                <w:szCs w:val="20"/>
              </w:rPr>
            </w:pPr>
            <w:r w:rsidRPr="001B217F">
              <w:rPr>
                <w:rFonts w:ascii="Arial" w:eastAsia="Times New Roman" w:hAnsi="Arial"/>
                <w:sz w:val="20"/>
                <w:szCs w:val="20"/>
              </w:rPr>
              <w:t xml:space="preserve">1.23 </w:t>
            </w:r>
            <w:r w:rsidRPr="001B217F">
              <w:rPr>
                <w:rFonts w:ascii="Arial" w:eastAsia="Times New Roman" w:hAnsi="Arial"/>
                <w:sz w:val="20"/>
                <w:szCs w:val="20"/>
                <w:vertAlign w:val="superscript"/>
              </w:rPr>
              <w:t>d</w:t>
            </w:r>
          </w:p>
        </w:tc>
      </w:tr>
      <w:tr w:rsidR="001B217F" w:rsidRPr="008F7B6B" w14:paraId="58607DA2" w14:textId="77777777" w:rsidTr="005C47D2">
        <w:trPr>
          <w:trHeight w:val="70"/>
          <w:jc w:val="center"/>
        </w:trPr>
        <w:tc>
          <w:tcPr>
            <w:tcW w:w="2839" w:type="dxa"/>
          </w:tcPr>
          <w:p w14:paraId="45DD7EDA" w14:textId="77777777" w:rsidR="001B217F" w:rsidRPr="001B217F" w:rsidRDefault="001B217F" w:rsidP="005C47D2">
            <w:pPr>
              <w:pStyle w:val="Default"/>
              <w:tabs>
                <w:tab w:val="left" w:pos="720"/>
              </w:tabs>
              <w:jc w:val="both"/>
              <w:rPr>
                <w:rFonts w:ascii="Arial" w:eastAsia="Times New Roman" w:hAnsi="Arial"/>
                <w:color w:val="auto"/>
                <w:sz w:val="20"/>
                <w:szCs w:val="20"/>
              </w:rPr>
            </w:pPr>
            <w:r w:rsidRPr="001B217F">
              <w:rPr>
                <w:rFonts w:ascii="Arial" w:eastAsia="Times New Roman" w:hAnsi="Arial"/>
                <w:color w:val="auto"/>
                <w:sz w:val="20"/>
                <w:szCs w:val="20"/>
              </w:rPr>
              <w:t>12 months</w:t>
            </w:r>
          </w:p>
        </w:tc>
        <w:tc>
          <w:tcPr>
            <w:tcW w:w="2535" w:type="dxa"/>
          </w:tcPr>
          <w:p w14:paraId="5D585A51" w14:textId="77777777" w:rsidR="001B217F" w:rsidRPr="001B217F" w:rsidRDefault="001B217F" w:rsidP="005C47D2">
            <w:pPr>
              <w:jc w:val="center"/>
              <w:rPr>
                <w:rFonts w:ascii="Arial" w:eastAsia="Times New Roman" w:hAnsi="Arial"/>
                <w:sz w:val="20"/>
                <w:szCs w:val="20"/>
              </w:rPr>
            </w:pPr>
            <w:r w:rsidRPr="001B217F">
              <w:rPr>
                <w:rFonts w:ascii="Arial" w:eastAsia="Times New Roman" w:hAnsi="Arial"/>
                <w:sz w:val="20"/>
                <w:szCs w:val="20"/>
              </w:rPr>
              <w:t xml:space="preserve">0.89 </w:t>
            </w:r>
            <w:r w:rsidRPr="001B217F">
              <w:rPr>
                <w:rFonts w:ascii="Arial" w:eastAsia="Times New Roman" w:hAnsi="Arial"/>
                <w:sz w:val="20"/>
                <w:szCs w:val="20"/>
                <w:vertAlign w:val="superscript"/>
              </w:rPr>
              <w:t>e</w:t>
            </w:r>
          </w:p>
        </w:tc>
        <w:tc>
          <w:tcPr>
            <w:tcW w:w="2596" w:type="dxa"/>
          </w:tcPr>
          <w:p w14:paraId="218DCF90" w14:textId="77777777" w:rsidR="001B217F" w:rsidRPr="001B217F" w:rsidRDefault="001B217F" w:rsidP="005C47D2">
            <w:pPr>
              <w:jc w:val="center"/>
              <w:rPr>
                <w:rFonts w:ascii="Arial" w:eastAsia="Times New Roman" w:hAnsi="Arial"/>
                <w:sz w:val="20"/>
                <w:szCs w:val="20"/>
              </w:rPr>
            </w:pPr>
            <w:r w:rsidRPr="001B217F">
              <w:rPr>
                <w:rFonts w:ascii="Arial" w:eastAsia="Times New Roman" w:hAnsi="Arial"/>
                <w:sz w:val="20"/>
                <w:szCs w:val="20"/>
              </w:rPr>
              <w:t xml:space="preserve">0.93 </w:t>
            </w:r>
            <w:r w:rsidRPr="001B217F">
              <w:rPr>
                <w:rFonts w:ascii="Arial" w:eastAsia="Times New Roman" w:hAnsi="Arial"/>
                <w:sz w:val="20"/>
                <w:szCs w:val="20"/>
                <w:vertAlign w:val="superscript"/>
              </w:rPr>
              <w:t>e</w:t>
            </w:r>
          </w:p>
        </w:tc>
      </w:tr>
    </w:tbl>
    <w:p w14:paraId="08C0A425" w14:textId="77777777" w:rsidR="001B217F" w:rsidRPr="001B217F" w:rsidRDefault="001B217F" w:rsidP="001B217F">
      <w:pPr>
        <w:pStyle w:val="Default"/>
        <w:tabs>
          <w:tab w:val="left" w:pos="720"/>
        </w:tabs>
        <w:spacing w:before="40" w:line="360" w:lineRule="auto"/>
        <w:ind w:left="142"/>
        <w:rPr>
          <w:rFonts w:ascii="Arial" w:hAnsi="Arial"/>
          <w:bCs/>
          <w:i/>
          <w:color w:val="auto"/>
          <w:sz w:val="18"/>
          <w:szCs w:val="16"/>
        </w:rPr>
      </w:pPr>
      <w:r w:rsidRPr="001B217F">
        <w:rPr>
          <w:rFonts w:ascii="Arial" w:hAnsi="Arial"/>
          <w:bCs/>
          <w:i/>
          <w:color w:val="auto"/>
          <w:sz w:val="18"/>
          <w:szCs w:val="16"/>
        </w:rPr>
        <w:t>Means that share the same letter are not significantly different at the 5% probability level.</w:t>
      </w:r>
      <w:commentRangeEnd w:id="15"/>
      <w:r w:rsidR="00760DB2">
        <w:rPr>
          <w:rStyle w:val="CommentReference"/>
          <w:color w:val="auto"/>
          <w:lang w:val="nb-NO" w:eastAsia="nb-NO"/>
        </w:rPr>
        <w:commentReference w:id="15"/>
      </w:r>
    </w:p>
    <w:p w14:paraId="6165CF52"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19CF5941" w14:textId="77777777" w:rsidR="005C47D2" w:rsidRDefault="005C47D2" w:rsidP="005C47D2">
      <w:pPr>
        <w:pStyle w:val="Default"/>
        <w:tabs>
          <w:tab w:val="left" w:pos="284"/>
        </w:tabs>
        <w:ind w:left="992" w:hanging="992"/>
        <w:jc w:val="center"/>
        <w:rPr>
          <w:rFonts w:ascii="Arial" w:hAnsi="Arial"/>
          <w:b/>
          <w:color w:val="auto"/>
          <w:sz w:val="20"/>
          <w:szCs w:val="20"/>
        </w:rPr>
      </w:pPr>
      <w:r w:rsidRPr="005C47D2">
        <w:rPr>
          <w:rFonts w:ascii="Arial" w:hAnsi="Arial"/>
          <w:b/>
          <w:color w:val="auto"/>
          <w:sz w:val="20"/>
          <w:szCs w:val="20"/>
        </w:rPr>
        <w:t xml:space="preserve">Table 3: Effect of storage duration on the essential oil compounds (%) </w:t>
      </w:r>
    </w:p>
    <w:p w14:paraId="429FCBA2" w14:textId="77777777" w:rsidR="005C47D2" w:rsidRPr="005C47D2" w:rsidRDefault="005C47D2" w:rsidP="005C47D2">
      <w:pPr>
        <w:pStyle w:val="Default"/>
        <w:tabs>
          <w:tab w:val="left" w:pos="284"/>
        </w:tabs>
        <w:ind w:left="992" w:hanging="992"/>
        <w:jc w:val="center"/>
        <w:rPr>
          <w:rFonts w:ascii="Arial" w:hAnsi="Arial"/>
          <w:b/>
          <w:color w:val="auto"/>
          <w:sz w:val="20"/>
          <w:szCs w:val="20"/>
        </w:rPr>
      </w:pPr>
    </w:p>
    <w:tbl>
      <w:tblPr>
        <w:tblStyle w:val="TableGrid"/>
        <w:tblW w:w="8159"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3"/>
        <w:gridCol w:w="2361"/>
        <w:gridCol w:w="1019"/>
        <w:gridCol w:w="1134"/>
        <w:gridCol w:w="976"/>
        <w:gridCol w:w="1134"/>
        <w:gridCol w:w="992"/>
      </w:tblGrid>
      <w:tr w:rsidR="005C47D2" w:rsidRPr="008F7B6B" w14:paraId="2E5689C8" w14:textId="77777777" w:rsidTr="005C47D2">
        <w:trPr>
          <w:trHeight w:val="393"/>
          <w:jc w:val="center"/>
        </w:trPr>
        <w:tc>
          <w:tcPr>
            <w:tcW w:w="543" w:type="dxa"/>
            <w:vMerge w:val="restart"/>
            <w:tcBorders>
              <w:top w:val="single" w:sz="4" w:space="0" w:color="auto"/>
              <w:bottom w:val="nil"/>
            </w:tcBorders>
          </w:tcPr>
          <w:p w14:paraId="0753E876" w14:textId="77777777" w:rsidR="005C47D2" w:rsidRPr="005C47D2" w:rsidRDefault="005C47D2" w:rsidP="005C47D2">
            <w:pPr>
              <w:pStyle w:val="Default"/>
              <w:tabs>
                <w:tab w:val="left" w:pos="720"/>
              </w:tabs>
              <w:jc w:val="center"/>
              <w:rPr>
                <w:rFonts w:ascii="Arial" w:eastAsia="Times New Roman" w:hAnsi="Arial"/>
                <w:b/>
                <w:color w:val="auto"/>
                <w:sz w:val="20"/>
                <w:szCs w:val="20"/>
              </w:rPr>
            </w:pPr>
            <w:r w:rsidRPr="005C47D2">
              <w:rPr>
                <w:rFonts w:ascii="Arial" w:eastAsia="Times New Roman" w:hAnsi="Arial"/>
                <w:b/>
                <w:color w:val="auto"/>
                <w:sz w:val="20"/>
                <w:szCs w:val="20"/>
              </w:rPr>
              <w:t>No</w:t>
            </w:r>
          </w:p>
        </w:tc>
        <w:tc>
          <w:tcPr>
            <w:tcW w:w="2361" w:type="dxa"/>
            <w:vMerge w:val="restart"/>
            <w:tcBorders>
              <w:top w:val="single" w:sz="4" w:space="0" w:color="auto"/>
              <w:bottom w:val="nil"/>
            </w:tcBorders>
          </w:tcPr>
          <w:p w14:paraId="3909ABD8" w14:textId="77777777" w:rsidR="005C47D2" w:rsidRPr="005C47D2" w:rsidRDefault="005C47D2" w:rsidP="005C47D2">
            <w:pPr>
              <w:pStyle w:val="Default"/>
              <w:tabs>
                <w:tab w:val="left" w:pos="720"/>
              </w:tabs>
              <w:jc w:val="center"/>
              <w:rPr>
                <w:rFonts w:ascii="Arial" w:eastAsia="Times New Roman" w:hAnsi="Arial"/>
                <w:b/>
                <w:color w:val="auto"/>
                <w:sz w:val="20"/>
                <w:szCs w:val="20"/>
              </w:rPr>
            </w:pPr>
            <w:r w:rsidRPr="005C47D2">
              <w:rPr>
                <w:rFonts w:ascii="Arial" w:eastAsia="Times New Roman" w:hAnsi="Arial"/>
                <w:b/>
                <w:color w:val="auto"/>
                <w:sz w:val="20"/>
                <w:szCs w:val="20"/>
              </w:rPr>
              <w:t>Compounds</w:t>
            </w:r>
          </w:p>
        </w:tc>
        <w:tc>
          <w:tcPr>
            <w:tcW w:w="5255" w:type="dxa"/>
            <w:gridSpan w:val="5"/>
            <w:tcBorders>
              <w:top w:val="single" w:sz="4" w:space="0" w:color="auto"/>
              <w:bottom w:val="single" w:sz="4" w:space="0" w:color="auto"/>
            </w:tcBorders>
            <w:vAlign w:val="center"/>
          </w:tcPr>
          <w:p w14:paraId="4312410E" w14:textId="77777777" w:rsidR="005C47D2" w:rsidRPr="005C47D2" w:rsidRDefault="005C47D2" w:rsidP="005C47D2">
            <w:pPr>
              <w:pStyle w:val="Default"/>
              <w:tabs>
                <w:tab w:val="left" w:pos="720"/>
              </w:tabs>
              <w:jc w:val="center"/>
              <w:rPr>
                <w:rFonts w:ascii="Arial" w:eastAsia="Times New Roman" w:hAnsi="Arial"/>
                <w:b/>
                <w:color w:val="auto"/>
                <w:sz w:val="20"/>
                <w:szCs w:val="20"/>
              </w:rPr>
            </w:pPr>
            <w:r w:rsidRPr="005C47D2">
              <w:rPr>
                <w:rFonts w:ascii="Arial" w:eastAsia="Times New Roman" w:hAnsi="Arial"/>
                <w:b/>
                <w:color w:val="auto"/>
                <w:sz w:val="20"/>
                <w:szCs w:val="20"/>
              </w:rPr>
              <w:t>Treatments</w:t>
            </w:r>
          </w:p>
        </w:tc>
      </w:tr>
      <w:tr w:rsidR="005C47D2" w:rsidRPr="008F7B6B" w14:paraId="189298E2" w14:textId="77777777" w:rsidTr="005C47D2">
        <w:trPr>
          <w:trHeight w:val="557"/>
          <w:jc w:val="center"/>
        </w:trPr>
        <w:tc>
          <w:tcPr>
            <w:tcW w:w="543" w:type="dxa"/>
            <w:vMerge/>
            <w:tcBorders>
              <w:top w:val="nil"/>
              <w:bottom w:val="single" w:sz="4" w:space="0" w:color="auto"/>
            </w:tcBorders>
          </w:tcPr>
          <w:p w14:paraId="48F09360" w14:textId="77777777" w:rsidR="005C47D2" w:rsidRPr="005C47D2" w:rsidRDefault="005C47D2" w:rsidP="005C47D2">
            <w:pPr>
              <w:pStyle w:val="Default"/>
              <w:tabs>
                <w:tab w:val="left" w:pos="720"/>
              </w:tabs>
              <w:jc w:val="center"/>
              <w:rPr>
                <w:rFonts w:ascii="Arial" w:eastAsia="Times New Roman" w:hAnsi="Arial"/>
                <w:b/>
                <w:color w:val="auto"/>
                <w:sz w:val="20"/>
                <w:szCs w:val="20"/>
              </w:rPr>
            </w:pPr>
          </w:p>
        </w:tc>
        <w:tc>
          <w:tcPr>
            <w:tcW w:w="2361" w:type="dxa"/>
            <w:vMerge/>
            <w:tcBorders>
              <w:top w:val="nil"/>
              <w:bottom w:val="single" w:sz="4" w:space="0" w:color="auto"/>
            </w:tcBorders>
          </w:tcPr>
          <w:p w14:paraId="50529BEC" w14:textId="77777777" w:rsidR="005C47D2" w:rsidRPr="005C47D2" w:rsidRDefault="005C47D2" w:rsidP="005C47D2">
            <w:pPr>
              <w:pStyle w:val="Default"/>
              <w:tabs>
                <w:tab w:val="left" w:pos="720"/>
              </w:tabs>
              <w:jc w:val="center"/>
              <w:rPr>
                <w:rFonts w:ascii="Arial" w:eastAsia="Times New Roman" w:hAnsi="Arial"/>
                <w:b/>
                <w:color w:val="auto"/>
                <w:sz w:val="20"/>
                <w:szCs w:val="20"/>
              </w:rPr>
            </w:pPr>
          </w:p>
        </w:tc>
        <w:tc>
          <w:tcPr>
            <w:tcW w:w="1019" w:type="dxa"/>
            <w:tcBorders>
              <w:top w:val="single" w:sz="4" w:space="0" w:color="auto"/>
              <w:bottom w:val="single" w:sz="4" w:space="0" w:color="auto"/>
            </w:tcBorders>
          </w:tcPr>
          <w:p w14:paraId="0C34829B" w14:textId="77777777" w:rsidR="005C47D2" w:rsidRPr="005C47D2" w:rsidRDefault="005C47D2" w:rsidP="005C47D2">
            <w:pPr>
              <w:pStyle w:val="Default"/>
              <w:tabs>
                <w:tab w:val="left" w:pos="720"/>
              </w:tabs>
              <w:jc w:val="center"/>
              <w:rPr>
                <w:rFonts w:ascii="Arial" w:eastAsia="Times New Roman" w:hAnsi="Arial"/>
                <w:b/>
                <w:color w:val="auto"/>
                <w:sz w:val="20"/>
                <w:szCs w:val="20"/>
              </w:rPr>
            </w:pPr>
            <w:r w:rsidRPr="005C47D2">
              <w:rPr>
                <w:rFonts w:ascii="Arial" w:eastAsia="Times New Roman" w:hAnsi="Arial"/>
                <w:b/>
                <w:color w:val="auto"/>
                <w:sz w:val="20"/>
                <w:szCs w:val="20"/>
              </w:rPr>
              <w:t>0</w:t>
            </w:r>
          </w:p>
          <w:p w14:paraId="55832DED" w14:textId="77777777" w:rsidR="005C47D2" w:rsidRPr="005C47D2" w:rsidRDefault="005C47D2" w:rsidP="005C47D2">
            <w:pPr>
              <w:pStyle w:val="Default"/>
              <w:tabs>
                <w:tab w:val="left" w:pos="720"/>
              </w:tabs>
              <w:jc w:val="center"/>
              <w:rPr>
                <w:rFonts w:ascii="Arial" w:eastAsia="Times New Roman" w:hAnsi="Arial"/>
                <w:b/>
                <w:color w:val="auto"/>
                <w:sz w:val="20"/>
                <w:szCs w:val="20"/>
              </w:rPr>
            </w:pPr>
            <w:r w:rsidRPr="005C47D2">
              <w:rPr>
                <w:rFonts w:ascii="Arial" w:eastAsia="Times New Roman" w:hAnsi="Arial"/>
                <w:b/>
                <w:color w:val="auto"/>
                <w:sz w:val="20"/>
                <w:szCs w:val="20"/>
              </w:rPr>
              <w:t>months</w:t>
            </w:r>
          </w:p>
        </w:tc>
        <w:tc>
          <w:tcPr>
            <w:tcW w:w="1134" w:type="dxa"/>
            <w:tcBorders>
              <w:top w:val="single" w:sz="4" w:space="0" w:color="auto"/>
              <w:bottom w:val="single" w:sz="4" w:space="0" w:color="auto"/>
            </w:tcBorders>
          </w:tcPr>
          <w:p w14:paraId="2485D117" w14:textId="77777777" w:rsidR="005C47D2" w:rsidRPr="005C47D2" w:rsidRDefault="005C47D2" w:rsidP="005C47D2">
            <w:pPr>
              <w:pStyle w:val="Default"/>
              <w:tabs>
                <w:tab w:val="left" w:pos="972"/>
              </w:tabs>
              <w:ind w:right="-143"/>
              <w:jc w:val="center"/>
              <w:rPr>
                <w:rFonts w:ascii="Arial" w:eastAsia="Times New Roman" w:hAnsi="Arial"/>
                <w:b/>
                <w:color w:val="auto"/>
                <w:sz w:val="20"/>
                <w:szCs w:val="20"/>
              </w:rPr>
            </w:pPr>
            <w:r w:rsidRPr="005C47D2">
              <w:rPr>
                <w:rFonts w:ascii="Arial" w:eastAsia="Times New Roman" w:hAnsi="Arial"/>
                <w:b/>
                <w:color w:val="auto"/>
                <w:sz w:val="20"/>
                <w:szCs w:val="20"/>
              </w:rPr>
              <w:t>3</w:t>
            </w:r>
          </w:p>
          <w:p w14:paraId="3CB319BA" w14:textId="77777777" w:rsidR="005C47D2" w:rsidRPr="005C47D2" w:rsidRDefault="005C47D2" w:rsidP="005C47D2">
            <w:pPr>
              <w:pStyle w:val="Default"/>
              <w:tabs>
                <w:tab w:val="left" w:pos="972"/>
              </w:tabs>
              <w:ind w:right="-143"/>
              <w:jc w:val="center"/>
              <w:rPr>
                <w:rFonts w:ascii="Arial" w:eastAsia="Times New Roman" w:hAnsi="Arial"/>
                <w:b/>
                <w:color w:val="auto"/>
                <w:sz w:val="20"/>
                <w:szCs w:val="20"/>
              </w:rPr>
            </w:pPr>
            <w:r w:rsidRPr="005C47D2">
              <w:rPr>
                <w:rFonts w:ascii="Arial" w:eastAsia="Times New Roman" w:hAnsi="Arial"/>
                <w:b/>
                <w:color w:val="auto"/>
                <w:sz w:val="20"/>
                <w:szCs w:val="20"/>
              </w:rPr>
              <w:t>months</w:t>
            </w:r>
          </w:p>
        </w:tc>
        <w:tc>
          <w:tcPr>
            <w:tcW w:w="976" w:type="dxa"/>
            <w:tcBorders>
              <w:top w:val="single" w:sz="4" w:space="0" w:color="auto"/>
              <w:bottom w:val="single" w:sz="4" w:space="0" w:color="auto"/>
            </w:tcBorders>
          </w:tcPr>
          <w:p w14:paraId="3DEEBB27" w14:textId="77777777" w:rsidR="005C47D2" w:rsidRPr="005C47D2" w:rsidRDefault="005C47D2" w:rsidP="005C47D2">
            <w:pPr>
              <w:pStyle w:val="Default"/>
              <w:tabs>
                <w:tab w:val="left" w:pos="720"/>
              </w:tabs>
              <w:jc w:val="center"/>
              <w:rPr>
                <w:rFonts w:ascii="Arial" w:eastAsia="Times New Roman" w:hAnsi="Arial"/>
                <w:b/>
                <w:color w:val="auto"/>
                <w:sz w:val="20"/>
                <w:szCs w:val="20"/>
              </w:rPr>
            </w:pPr>
            <w:r w:rsidRPr="005C47D2">
              <w:rPr>
                <w:rFonts w:ascii="Arial" w:eastAsia="Times New Roman" w:hAnsi="Arial"/>
                <w:b/>
                <w:color w:val="auto"/>
                <w:sz w:val="20"/>
                <w:szCs w:val="20"/>
              </w:rPr>
              <w:t>6</w:t>
            </w:r>
          </w:p>
          <w:p w14:paraId="0A8EA50F" w14:textId="77777777" w:rsidR="005C47D2" w:rsidRPr="005C47D2" w:rsidRDefault="005C47D2" w:rsidP="005C47D2">
            <w:pPr>
              <w:pStyle w:val="Default"/>
              <w:tabs>
                <w:tab w:val="left" w:pos="720"/>
              </w:tabs>
              <w:jc w:val="center"/>
              <w:rPr>
                <w:rFonts w:ascii="Arial" w:eastAsia="Times New Roman" w:hAnsi="Arial"/>
                <w:b/>
                <w:color w:val="auto"/>
                <w:sz w:val="20"/>
                <w:szCs w:val="20"/>
              </w:rPr>
            </w:pPr>
            <w:r w:rsidRPr="005C47D2">
              <w:rPr>
                <w:rFonts w:ascii="Arial" w:eastAsia="Times New Roman" w:hAnsi="Arial"/>
                <w:b/>
                <w:color w:val="auto"/>
                <w:sz w:val="20"/>
                <w:szCs w:val="20"/>
              </w:rPr>
              <w:t>months</w:t>
            </w:r>
          </w:p>
        </w:tc>
        <w:tc>
          <w:tcPr>
            <w:tcW w:w="1134" w:type="dxa"/>
            <w:tcBorders>
              <w:top w:val="single" w:sz="4" w:space="0" w:color="auto"/>
              <w:bottom w:val="single" w:sz="4" w:space="0" w:color="auto"/>
            </w:tcBorders>
          </w:tcPr>
          <w:p w14:paraId="1D5ED46B" w14:textId="77777777" w:rsidR="005C47D2" w:rsidRPr="005C47D2" w:rsidRDefault="005C47D2" w:rsidP="005C47D2">
            <w:pPr>
              <w:pStyle w:val="Default"/>
              <w:tabs>
                <w:tab w:val="left" w:pos="720"/>
              </w:tabs>
              <w:jc w:val="center"/>
              <w:rPr>
                <w:rFonts w:ascii="Arial" w:eastAsia="Times New Roman" w:hAnsi="Arial"/>
                <w:b/>
                <w:color w:val="auto"/>
                <w:sz w:val="20"/>
                <w:szCs w:val="20"/>
              </w:rPr>
            </w:pPr>
            <w:r w:rsidRPr="005C47D2">
              <w:rPr>
                <w:rFonts w:ascii="Arial" w:eastAsia="Times New Roman" w:hAnsi="Arial"/>
                <w:b/>
                <w:color w:val="auto"/>
                <w:sz w:val="20"/>
                <w:szCs w:val="20"/>
              </w:rPr>
              <w:t>9</w:t>
            </w:r>
          </w:p>
          <w:p w14:paraId="5A07C78A" w14:textId="77777777" w:rsidR="005C47D2" w:rsidRPr="005C47D2" w:rsidRDefault="005C47D2" w:rsidP="005C47D2">
            <w:pPr>
              <w:pStyle w:val="Default"/>
              <w:tabs>
                <w:tab w:val="left" w:pos="720"/>
              </w:tabs>
              <w:jc w:val="center"/>
              <w:rPr>
                <w:rFonts w:ascii="Arial" w:eastAsia="Times New Roman" w:hAnsi="Arial"/>
                <w:b/>
                <w:color w:val="auto"/>
                <w:sz w:val="20"/>
                <w:szCs w:val="20"/>
              </w:rPr>
            </w:pPr>
            <w:r w:rsidRPr="005C47D2">
              <w:rPr>
                <w:rFonts w:ascii="Arial" w:eastAsia="Times New Roman" w:hAnsi="Arial"/>
                <w:b/>
                <w:color w:val="auto"/>
                <w:sz w:val="20"/>
                <w:szCs w:val="20"/>
              </w:rPr>
              <w:t>months</w:t>
            </w:r>
          </w:p>
        </w:tc>
        <w:tc>
          <w:tcPr>
            <w:tcW w:w="992" w:type="dxa"/>
            <w:tcBorders>
              <w:top w:val="single" w:sz="4" w:space="0" w:color="auto"/>
              <w:bottom w:val="single" w:sz="4" w:space="0" w:color="auto"/>
            </w:tcBorders>
          </w:tcPr>
          <w:p w14:paraId="777EDB96" w14:textId="77777777" w:rsidR="005C47D2" w:rsidRPr="005C47D2" w:rsidRDefault="005C47D2" w:rsidP="005C47D2">
            <w:pPr>
              <w:pStyle w:val="Default"/>
              <w:tabs>
                <w:tab w:val="left" w:pos="720"/>
              </w:tabs>
              <w:jc w:val="center"/>
              <w:rPr>
                <w:rFonts w:ascii="Arial" w:eastAsia="Times New Roman" w:hAnsi="Arial"/>
                <w:b/>
                <w:color w:val="auto"/>
                <w:sz w:val="20"/>
                <w:szCs w:val="20"/>
              </w:rPr>
            </w:pPr>
            <w:r w:rsidRPr="005C47D2">
              <w:rPr>
                <w:rFonts w:ascii="Arial" w:eastAsia="Times New Roman" w:hAnsi="Arial"/>
                <w:b/>
                <w:color w:val="auto"/>
                <w:sz w:val="20"/>
                <w:szCs w:val="20"/>
              </w:rPr>
              <w:t>12</w:t>
            </w:r>
          </w:p>
          <w:p w14:paraId="58BAFD41" w14:textId="77777777" w:rsidR="005C47D2" w:rsidRPr="005C47D2" w:rsidRDefault="005C47D2" w:rsidP="005C47D2">
            <w:pPr>
              <w:pStyle w:val="Default"/>
              <w:tabs>
                <w:tab w:val="left" w:pos="720"/>
              </w:tabs>
              <w:jc w:val="center"/>
              <w:rPr>
                <w:rFonts w:ascii="Arial" w:eastAsia="Times New Roman" w:hAnsi="Arial"/>
                <w:b/>
                <w:color w:val="auto"/>
                <w:sz w:val="20"/>
                <w:szCs w:val="20"/>
              </w:rPr>
            </w:pPr>
            <w:r w:rsidRPr="005C47D2">
              <w:rPr>
                <w:rFonts w:ascii="Arial" w:eastAsia="Times New Roman" w:hAnsi="Arial"/>
                <w:b/>
                <w:color w:val="auto"/>
                <w:sz w:val="20"/>
                <w:szCs w:val="20"/>
              </w:rPr>
              <w:t>months</w:t>
            </w:r>
          </w:p>
        </w:tc>
      </w:tr>
      <w:tr w:rsidR="005C47D2" w:rsidRPr="008F7B6B" w14:paraId="39300F79" w14:textId="77777777" w:rsidTr="005C47D2">
        <w:trPr>
          <w:jc w:val="center"/>
        </w:trPr>
        <w:tc>
          <w:tcPr>
            <w:tcW w:w="543" w:type="dxa"/>
            <w:tcBorders>
              <w:top w:val="single" w:sz="4" w:space="0" w:color="auto"/>
            </w:tcBorders>
          </w:tcPr>
          <w:p w14:paraId="4AFFC9A7"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1</w:t>
            </w:r>
          </w:p>
        </w:tc>
        <w:tc>
          <w:tcPr>
            <w:tcW w:w="2361" w:type="dxa"/>
            <w:tcBorders>
              <w:top w:val="single" w:sz="4" w:space="0" w:color="auto"/>
            </w:tcBorders>
          </w:tcPr>
          <w:p w14:paraId="51E7E44F"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3-Decyne</w:t>
            </w:r>
          </w:p>
        </w:tc>
        <w:tc>
          <w:tcPr>
            <w:tcW w:w="1019" w:type="dxa"/>
            <w:tcBorders>
              <w:top w:val="single" w:sz="4" w:space="0" w:color="auto"/>
            </w:tcBorders>
          </w:tcPr>
          <w:p w14:paraId="482E7FF8"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1134" w:type="dxa"/>
            <w:tcBorders>
              <w:top w:val="single" w:sz="4" w:space="0" w:color="auto"/>
            </w:tcBorders>
          </w:tcPr>
          <w:p w14:paraId="3AF01BB2"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976" w:type="dxa"/>
            <w:tcBorders>
              <w:top w:val="single" w:sz="4" w:space="0" w:color="auto"/>
            </w:tcBorders>
          </w:tcPr>
          <w:p w14:paraId="286343E6"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1134" w:type="dxa"/>
            <w:tcBorders>
              <w:top w:val="single" w:sz="4" w:space="0" w:color="auto"/>
            </w:tcBorders>
          </w:tcPr>
          <w:p w14:paraId="033085EE"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0.75</w:t>
            </w:r>
          </w:p>
        </w:tc>
        <w:tc>
          <w:tcPr>
            <w:tcW w:w="992" w:type="dxa"/>
            <w:tcBorders>
              <w:top w:val="single" w:sz="4" w:space="0" w:color="auto"/>
            </w:tcBorders>
          </w:tcPr>
          <w:p w14:paraId="778EB7DA"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r>
      <w:tr w:rsidR="005C47D2" w:rsidRPr="008F7B6B" w14:paraId="1DF0ABD5" w14:textId="77777777" w:rsidTr="005C47D2">
        <w:trPr>
          <w:jc w:val="center"/>
        </w:trPr>
        <w:tc>
          <w:tcPr>
            <w:tcW w:w="543" w:type="dxa"/>
          </w:tcPr>
          <w:p w14:paraId="03CE674F"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2</w:t>
            </w:r>
          </w:p>
        </w:tc>
        <w:tc>
          <w:tcPr>
            <w:tcW w:w="2361" w:type="dxa"/>
          </w:tcPr>
          <w:p w14:paraId="205DE6B7"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3-Carene</w:t>
            </w:r>
          </w:p>
        </w:tc>
        <w:tc>
          <w:tcPr>
            <w:tcW w:w="1019" w:type="dxa"/>
          </w:tcPr>
          <w:p w14:paraId="4D68C9FB"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1134" w:type="dxa"/>
          </w:tcPr>
          <w:p w14:paraId="4819714F"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0.35</w:t>
            </w:r>
          </w:p>
        </w:tc>
        <w:tc>
          <w:tcPr>
            <w:tcW w:w="976" w:type="dxa"/>
          </w:tcPr>
          <w:p w14:paraId="131CB659"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1134" w:type="dxa"/>
          </w:tcPr>
          <w:p w14:paraId="4F8C3538"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992" w:type="dxa"/>
          </w:tcPr>
          <w:p w14:paraId="50E28AB9"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0.47</w:t>
            </w:r>
          </w:p>
        </w:tc>
      </w:tr>
      <w:tr w:rsidR="005C47D2" w:rsidRPr="008F7B6B" w14:paraId="0F2AD023" w14:textId="77777777" w:rsidTr="005C47D2">
        <w:trPr>
          <w:jc w:val="center"/>
        </w:trPr>
        <w:tc>
          <w:tcPr>
            <w:tcW w:w="543" w:type="dxa"/>
          </w:tcPr>
          <w:p w14:paraId="34FCCEF0"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3</w:t>
            </w:r>
          </w:p>
        </w:tc>
        <w:tc>
          <w:tcPr>
            <w:tcW w:w="2361" w:type="dxa"/>
          </w:tcPr>
          <w:p w14:paraId="619BAEBE"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Camphene</w:t>
            </w:r>
          </w:p>
        </w:tc>
        <w:tc>
          <w:tcPr>
            <w:tcW w:w="1019" w:type="dxa"/>
          </w:tcPr>
          <w:p w14:paraId="2C8B9BE5"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0.49</w:t>
            </w:r>
          </w:p>
        </w:tc>
        <w:tc>
          <w:tcPr>
            <w:tcW w:w="1134" w:type="dxa"/>
          </w:tcPr>
          <w:p w14:paraId="02E8771D"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0.95</w:t>
            </w:r>
          </w:p>
        </w:tc>
        <w:tc>
          <w:tcPr>
            <w:tcW w:w="976" w:type="dxa"/>
          </w:tcPr>
          <w:p w14:paraId="2B2E3BA0"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1134" w:type="dxa"/>
          </w:tcPr>
          <w:p w14:paraId="27B2236C"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1.25</w:t>
            </w:r>
          </w:p>
        </w:tc>
        <w:tc>
          <w:tcPr>
            <w:tcW w:w="992" w:type="dxa"/>
          </w:tcPr>
          <w:p w14:paraId="7805BCD9"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0.73</w:t>
            </w:r>
          </w:p>
        </w:tc>
      </w:tr>
      <w:tr w:rsidR="005C47D2" w:rsidRPr="008F7B6B" w14:paraId="0140AA24" w14:textId="77777777" w:rsidTr="00456B47">
        <w:trPr>
          <w:jc w:val="center"/>
        </w:trPr>
        <w:tc>
          <w:tcPr>
            <w:tcW w:w="543" w:type="dxa"/>
            <w:tcBorders>
              <w:bottom w:val="nil"/>
            </w:tcBorders>
          </w:tcPr>
          <w:p w14:paraId="787F9991"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4</w:t>
            </w:r>
          </w:p>
        </w:tc>
        <w:tc>
          <w:tcPr>
            <w:tcW w:w="2361" w:type="dxa"/>
            <w:tcBorders>
              <w:bottom w:val="nil"/>
            </w:tcBorders>
          </w:tcPr>
          <w:p w14:paraId="52333B1F"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β-Phellandrene</w:t>
            </w:r>
          </w:p>
        </w:tc>
        <w:tc>
          <w:tcPr>
            <w:tcW w:w="1019" w:type="dxa"/>
            <w:tcBorders>
              <w:bottom w:val="nil"/>
            </w:tcBorders>
          </w:tcPr>
          <w:p w14:paraId="12700063"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1134" w:type="dxa"/>
            <w:tcBorders>
              <w:bottom w:val="nil"/>
            </w:tcBorders>
          </w:tcPr>
          <w:p w14:paraId="6DCB8D8F"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0.88</w:t>
            </w:r>
          </w:p>
        </w:tc>
        <w:tc>
          <w:tcPr>
            <w:tcW w:w="976" w:type="dxa"/>
            <w:tcBorders>
              <w:bottom w:val="nil"/>
            </w:tcBorders>
          </w:tcPr>
          <w:p w14:paraId="35029E9C"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1134" w:type="dxa"/>
            <w:tcBorders>
              <w:bottom w:val="nil"/>
            </w:tcBorders>
          </w:tcPr>
          <w:p w14:paraId="408BA3A8"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992" w:type="dxa"/>
            <w:tcBorders>
              <w:bottom w:val="nil"/>
            </w:tcBorders>
          </w:tcPr>
          <w:p w14:paraId="48124DD4"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0.96</w:t>
            </w:r>
          </w:p>
        </w:tc>
      </w:tr>
      <w:tr w:rsidR="005C47D2" w:rsidRPr="008F7B6B" w14:paraId="6B705A10" w14:textId="77777777" w:rsidTr="00456B47">
        <w:trPr>
          <w:jc w:val="center"/>
        </w:trPr>
        <w:tc>
          <w:tcPr>
            <w:tcW w:w="543" w:type="dxa"/>
            <w:tcBorders>
              <w:top w:val="nil"/>
              <w:bottom w:val="nil"/>
            </w:tcBorders>
          </w:tcPr>
          <w:p w14:paraId="28CBDEAD"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5</w:t>
            </w:r>
          </w:p>
        </w:tc>
        <w:tc>
          <w:tcPr>
            <w:tcW w:w="2361" w:type="dxa"/>
            <w:tcBorders>
              <w:top w:val="nil"/>
              <w:bottom w:val="nil"/>
            </w:tcBorders>
          </w:tcPr>
          <w:p w14:paraId="302A6426"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(+)-4-Carene</w:t>
            </w:r>
          </w:p>
        </w:tc>
        <w:tc>
          <w:tcPr>
            <w:tcW w:w="1019" w:type="dxa"/>
            <w:tcBorders>
              <w:top w:val="nil"/>
              <w:bottom w:val="nil"/>
            </w:tcBorders>
          </w:tcPr>
          <w:p w14:paraId="6550C7DA"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1134" w:type="dxa"/>
            <w:tcBorders>
              <w:top w:val="nil"/>
              <w:bottom w:val="nil"/>
            </w:tcBorders>
          </w:tcPr>
          <w:p w14:paraId="670FE7AC"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0.53</w:t>
            </w:r>
          </w:p>
        </w:tc>
        <w:tc>
          <w:tcPr>
            <w:tcW w:w="976" w:type="dxa"/>
            <w:tcBorders>
              <w:top w:val="nil"/>
              <w:bottom w:val="nil"/>
            </w:tcBorders>
          </w:tcPr>
          <w:p w14:paraId="6837A22D"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1134" w:type="dxa"/>
            <w:tcBorders>
              <w:top w:val="nil"/>
              <w:bottom w:val="nil"/>
            </w:tcBorders>
          </w:tcPr>
          <w:p w14:paraId="39557961"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992" w:type="dxa"/>
            <w:tcBorders>
              <w:top w:val="nil"/>
              <w:bottom w:val="nil"/>
            </w:tcBorders>
          </w:tcPr>
          <w:p w14:paraId="1F1E60B2"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0.80</w:t>
            </w:r>
          </w:p>
        </w:tc>
      </w:tr>
      <w:tr w:rsidR="005C47D2" w:rsidRPr="008F7B6B" w14:paraId="4BD4111D" w14:textId="77777777" w:rsidTr="00456B47">
        <w:trPr>
          <w:jc w:val="center"/>
        </w:trPr>
        <w:tc>
          <w:tcPr>
            <w:tcW w:w="543" w:type="dxa"/>
            <w:tcBorders>
              <w:top w:val="nil"/>
            </w:tcBorders>
          </w:tcPr>
          <w:p w14:paraId="503C0A01"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6</w:t>
            </w:r>
          </w:p>
        </w:tc>
        <w:tc>
          <w:tcPr>
            <w:tcW w:w="2361" w:type="dxa"/>
            <w:tcBorders>
              <w:top w:val="nil"/>
            </w:tcBorders>
          </w:tcPr>
          <w:p w14:paraId="2A589B50"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p-Cymene</w:t>
            </w:r>
          </w:p>
        </w:tc>
        <w:tc>
          <w:tcPr>
            <w:tcW w:w="1019" w:type="dxa"/>
            <w:tcBorders>
              <w:top w:val="nil"/>
            </w:tcBorders>
          </w:tcPr>
          <w:p w14:paraId="244B0276"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0.90</w:t>
            </w:r>
          </w:p>
        </w:tc>
        <w:tc>
          <w:tcPr>
            <w:tcW w:w="1134" w:type="dxa"/>
            <w:tcBorders>
              <w:top w:val="nil"/>
            </w:tcBorders>
          </w:tcPr>
          <w:p w14:paraId="6CAA3DC2"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2.75</w:t>
            </w:r>
          </w:p>
        </w:tc>
        <w:tc>
          <w:tcPr>
            <w:tcW w:w="976" w:type="dxa"/>
            <w:tcBorders>
              <w:top w:val="nil"/>
            </w:tcBorders>
          </w:tcPr>
          <w:p w14:paraId="5A1033F6"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1.09</w:t>
            </w:r>
          </w:p>
        </w:tc>
        <w:tc>
          <w:tcPr>
            <w:tcW w:w="1134" w:type="dxa"/>
            <w:tcBorders>
              <w:top w:val="nil"/>
            </w:tcBorders>
          </w:tcPr>
          <w:p w14:paraId="3AA64134"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1.41</w:t>
            </w:r>
          </w:p>
        </w:tc>
        <w:tc>
          <w:tcPr>
            <w:tcW w:w="992" w:type="dxa"/>
            <w:tcBorders>
              <w:top w:val="nil"/>
            </w:tcBorders>
          </w:tcPr>
          <w:p w14:paraId="172043C1"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5.12</w:t>
            </w:r>
          </w:p>
        </w:tc>
      </w:tr>
      <w:tr w:rsidR="005C47D2" w:rsidRPr="008F7B6B" w14:paraId="2A5D05F9" w14:textId="77777777" w:rsidTr="005C47D2">
        <w:trPr>
          <w:trHeight w:val="272"/>
          <w:jc w:val="center"/>
        </w:trPr>
        <w:tc>
          <w:tcPr>
            <w:tcW w:w="543" w:type="dxa"/>
          </w:tcPr>
          <w:p w14:paraId="21A162C0"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7</w:t>
            </w:r>
          </w:p>
        </w:tc>
        <w:tc>
          <w:tcPr>
            <w:tcW w:w="2361" w:type="dxa"/>
          </w:tcPr>
          <w:p w14:paraId="475611BA"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1,8-cineole</w:t>
            </w:r>
          </w:p>
        </w:tc>
        <w:tc>
          <w:tcPr>
            <w:tcW w:w="1019" w:type="dxa"/>
          </w:tcPr>
          <w:p w14:paraId="4BF2EC54"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3.74</w:t>
            </w:r>
          </w:p>
        </w:tc>
        <w:tc>
          <w:tcPr>
            <w:tcW w:w="1134" w:type="dxa"/>
          </w:tcPr>
          <w:p w14:paraId="4161319A"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3.77</w:t>
            </w:r>
          </w:p>
        </w:tc>
        <w:tc>
          <w:tcPr>
            <w:tcW w:w="976" w:type="dxa"/>
          </w:tcPr>
          <w:p w14:paraId="48B8A7AD"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4.35</w:t>
            </w:r>
          </w:p>
        </w:tc>
        <w:tc>
          <w:tcPr>
            <w:tcW w:w="1134" w:type="dxa"/>
          </w:tcPr>
          <w:p w14:paraId="6F0583AB"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4.38</w:t>
            </w:r>
          </w:p>
        </w:tc>
        <w:tc>
          <w:tcPr>
            <w:tcW w:w="992" w:type="dxa"/>
          </w:tcPr>
          <w:p w14:paraId="41991F92"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5.15</w:t>
            </w:r>
          </w:p>
        </w:tc>
      </w:tr>
      <w:tr w:rsidR="005C47D2" w:rsidRPr="008F7B6B" w14:paraId="715EB758" w14:textId="77777777" w:rsidTr="0042603F">
        <w:trPr>
          <w:trHeight w:val="272"/>
          <w:jc w:val="center"/>
        </w:trPr>
        <w:tc>
          <w:tcPr>
            <w:tcW w:w="543" w:type="dxa"/>
            <w:tcBorders>
              <w:bottom w:val="nil"/>
            </w:tcBorders>
          </w:tcPr>
          <w:p w14:paraId="4DBAE471"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8</w:t>
            </w:r>
          </w:p>
        </w:tc>
        <w:tc>
          <w:tcPr>
            <w:tcW w:w="2361" w:type="dxa"/>
            <w:tcBorders>
              <w:bottom w:val="nil"/>
            </w:tcBorders>
          </w:tcPr>
          <w:p w14:paraId="15DAABBA"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δ-Terpinene</w:t>
            </w:r>
          </w:p>
        </w:tc>
        <w:tc>
          <w:tcPr>
            <w:tcW w:w="1019" w:type="dxa"/>
            <w:tcBorders>
              <w:bottom w:val="nil"/>
            </w:tcBorders>
          </w:tcPr>
          <w:p w14:paraId="00FACEE6"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Borders>
              <w:bottom w:val="nil"/>
            </w:tcBorders>
          </w:tcPr>
          <w:p w14:paraId="30DFF63E"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0.85</w:t>
            </w:r>
          </w:p>
        </w:tc>
        <w:tc>
          <w:tcPr>
            <w:tcW w:w="976" w:type="dxa"/>
            <w:tcBorders>
              <w:bottom w:val="nil"/>
            </w:tcBorders>
          </w:tcPr>
          <w:p w14:paraId="1AF67434"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Borders>
              <w:bottom w:val="nil"/>
            </w:tcBorders>
          </w:tcPr>
          <w:p w14:paraId="7BD4BF66"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Borders>
              <w:bottom w:val="nil"/>
            </w:tcBorders>
          </w:tcPr>
          <w:p w14:paraId="2BBF9FB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1.16</w:t>
            </w:r>
          </w:p>
        </w:tc>
      </w:tr>
      <w:tr w:rsidR="005C47D2" w:rsidRPr="008F7B6B" w14:paraId="7930CA2B" w14:textId="77777777" w:rsidTr="0042603F">
        <w:trPr>
          <w:trHeight w:val="272"/>
          <w:jc w:val="center"/>
        </w:trPr>
        <w:tc>
          <w:tcPr>
            <w:tcW w:w="543" w:type="dxa"/>
            <w:tcBorders>
              <w:top w:val="nil"/>
              <w:bottom w:val="nil"/>
            </w:tcBorders>
          </w:tcPr>
          <w:p w14:paraId="59ACADF1"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9</w:t>
            </w:r>
          </w:p>
        </w:tc>
        <w:tc>
          <w:tcPr>
            <w:tcW w:w="2361" w:type="dxa"/>
            <w:tcBorders>
              <w:top w:val="nil"/>
              <w:bottom w:val="nil"/>
            </w:tcBorders>
          </w:tcPr>
          <w:p w14:paraId="5099E3DF"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Terpinen-4-ol</w:t>
            </w:r>
          </w:p>
        </w:tc>
        <w:tc>
          <w:tcPr>
            <w:tcW w:w="1019" w:type="dxa"/>
            <w:tcBorders>
              <w:top w:val="nil"/>
              <w:bottom w:val="nil"/>
            </w:tcBorders>
          </w:tcPr>
          <w:p w14:paraId="3AC7BC6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Borders>
              <w:top w:val="nil"/>
              <w:bottom w:val="nil"/>
            </w:tcBorders>
          </w:tcPr>
          <w:p w14:paraId="1B928AF7"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0.37</w:t>
            </w:r>
          </w:p>
        </w:tc>
        <w:tc>
          <w:tcPr>
            <w:tcW w:w="976" w:type="dxa"/>
            <w:tcBorders>
              <w:top w:val="nil"/>
              <w:bottom w:val="nil"/>
            </w:tcBorders>
          </w:tcPr>
          <w:p w14:paraId="5FE9E24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Borders>
              <w:top w:val="nil"/>
              <w:bottom w:val="nil"/>
            </w:tcBorders>
          </w:tcPr>
          <w:p w14:paraId="2A9A6847"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0.69</w:t>
            </w:r>
          </w:p>
        </w:tc>
        <w:tc>
          <w:tcPr>
            <w:tcW w:w="992" w:type="dxa"/>
            <w:tcBorders>
              <w:top w:val="nil"/>
              <w:bottom w:val="nil"/>
            </w:tcBorders>
          </w:tcPr>
          <w:p w14:paraId="009F4543"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3.80</w:t>
            </w:r>
          </w:p>
        </w:tc>
      </w:tr>
      <w:tr w:rsidR="005C47D2" w:rsidRPr="00BE4C37" w14:paraId="2DE4FE0F" w14:textId="77777777" w:rsidTr="0042603F">
        <w:trPr>
          <w:trHeight w:val="240"/>
          <w:jc w:val="center"/>
        </w:trPr>
        <w:tc>
          <w:tcPr>
            <w:tcW w:w="543" w:type="dxa"/>
            <w:tcBorders>
              <w:top w:val="nil"/>
            </w:tcBorders>
          </w:tcPr>
          <w:p w14:paraId="5FC8C19E"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10</w:t>
            </w:r>
          </w:p>
        </w:tc>
        <w:tc>
          <w:tcPr>
            <w:tcW w:w="2361" w:type="dxa"/>
            <w:tcBorders>
              <w:top w:val="nil"/>
            </w:tcBorders>
          </w:tcPr>
          <w:p w14:paraId="33B8A24A"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α-Thujone</w:t>
            </w:r>
          </w:p>
        </w:tc>
        <w:tc>
          <w:tcPr>
            <w:tcW w:w="1019" w:type="dxa"/>
            <w:tcBorders>
              <w:top w:val="nil"/>
            </w:tcBorders>
          </w:tcPr>
          <w:p w14:paraId="4D36CD32"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71.59</w:t>
            </w:r>
          </w:p>
        </w:tc>
        <w:tc>
          <w:tcPr>
            <w:tcW w:w="1134" w:type="dxa"/>
            <w:tcBorders>
              <w:top w:val="nil"/>
            </w:tcBorders>
          </w:tcPr>
          <w:p w14:paraId="4A6AC89C"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66.23</w:t>
            </w:r>
          </w:p>
        </w:tc>
        <w:tc>
          <w:tcPr>
            <w:tcW w:w="976" w:type="dxa"/>
            <w:tcBorders>
              <w:top w:val="nil"/>
            </w:tcBorders>
          </w:tcPr>
          <w:p w14:paraId="7D9EF384"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75.07</w:t>
            </w:r>
          </w:p>
        </w:tc>
        <w:tc>
          <w:tcPr>
            <w:tcW w:w="1134" w:type="dxa"/>
            <w:tcBorders>
              <w:top w:val="nil"/>
            </w:tcBorders>
          </w:tcPr>
          <w:p w14:paraId="55F10FE7"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63.63</w:t>
            </w:r>
          </w:p>
        </w:tc>
        <w:tc>
          <w:tcPr>
            <w:tcW w:w="992" w:type="dxa"/>
            <w:tcBorders>
              <w:top w:val="nil"/>
            </w:tcBorders>
          </w:tcPr>
          <w:p w14:paraId="1BFC01FD"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26.48</w:t>
            </w:r>
          </w:p>
        </w:tc>
      </w:tr>
      <w:tr w:rsidR="005C47D2" w:rsidRPr="00BE4C37" w14:paraId="3182C0C8" w14:textId="77777777" w:rsidTr="005C47D2">
        <w:trPr>
          <w:trHeight w:val="272"/>
          <w:jc w:val="center"/>
        </w:trPr>
        <w:tc>
          <w:tcPr>
            <w:tcW w:w="543" w:type="dxa"/>
          </w:tcPr>
          <w:p w14:paraId="44F3534D"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11</w:t>
            </w:r>
          </w:p>
        </w:tc>
        <w:tc>
          <w:tcPr>
            <w:tcW w:w="2361" w:type="dxa"/>
          </w:tcPr>
          <w:p w14:paraId="45CF803F"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β-Thujone</w:t>
            </w:r>
          </w:p>
        </w:tc>
        <w:tc>
          <w:tcPr>
            <w:tcW w:w="1019" w:type="dxa"/>
          </w:tcPr>
          <w:p w14:paraId="4477D178"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17.83</w:t>
            </w:r>
          </w:p>
        </w:tc>
        <w:tc>
          <w:tcPr>
            <w:tcW w:w="1134" w:type="dxa"/>
          </w:tcPr>
          <w:p w14:paraId="43ABC79A"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4.79</w:t>
            </w:r>
          </w:p>
        </w:tc>
        <w:tc>
          <w:tcPr>
            <w:tcW w:w="976" w:type="dxa"/>
          </w:tcPr>
          <w:p w14:paraId="30154513"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10.28</w:t>
            </w:r>
          </w:p>
        </w:tc>
        <w:tc>
          <w:tcPr>
            <w:tcW w:w="1134" w:type="dxa"/>
          </w:tcPr>
          <w:p w14:paraId="3B07B37C"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13.62</w:t>
            </w:r>
          </w:p>
        </w:tc>
        <w:tc>
          <w:tcPr>
            <w:tcW w:w="992" w:type="dxa"/>
          </w:tcPr>
          <w:p w14:paraId="317D5DC3"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0.88</w:t>
            </w:r>
          </w:p>
        </w:tc>
      </w:tr>
      <w:tr w:rsidR="005C47D2" w:rsidRPr="00BE4C37" w14:paraId="412BD9A6" w14:textId="77777777" w:rsidTr="005C47D2">
        <w:trPr>
          <w:trHeight w:val="272"/>
          <w:jc w:val="center"/>
        </w:trPr>
        <w:tc>
          <w:tcPr>
            <w:tcW w:w="543" w:type="dxa"/>
          </w:tcPr>
          <w:p w14:paraId="002A8251"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12</w:t>
            </w:r>
          </w:p>
        </w:tc>
        <w:tc>
          <w:tcPr>
            <w:tcW w:w="2361" w:type="dxa"/>
          </w:tcPr>
          <w:p w14:paraId="79D5FFBD"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Camphor</w:t>
            </w:r>
          </w:p>
        </w:tc>
        <w:tc>
          <w:tcPr>
            <w:tcW w:w="1019" w:type="dxa"/>
          </w:tcPr>
          <w:p w14:paraId="21C0FD36"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4.50</w:t>
            </w:r>
          </w:p>
        </w:tc>
        <w:tc>
          <w:tcPr>
            <w:tcW w:w="1134" w:type="dxa"/>
          </w:tcPr>
          <w:p w14:paraId="03BEB2C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76" w:type="dxa"/>
          </w:tcPr>
          <w:p w14:paraId="45DC10B8"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2.28</w:t>
            </w:r>
          </w:p>
        </w:tc>
        <w:tc>
          <w:tcPr>
            <w:tcW w:w="1134" w:type="dxa"/>
          </w:tcPr>
          <w:p w14:paraId="267A39B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6.64</w:t>
            </w:r>
          </w:p>
        </w:tc>
        <w:tc>
          <w:tcPr>
            <w:tcW w:w="992" w:type="dxa"/>
          </w:tcPr>
          <w:p w14:paraId="3A03DC6B"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3.60</w:t>
            </w:r>
          </w:p>
        </w:tc>
      </w:tr>
      <w:tr w:rsidR="005C47D2" w:rsidRPr="00BE4C37" w14:paraId="2D42635F" w14:textId="77777777" w:rsidTr="005C47D2">
        <w:trPr>
          <w:trHeight w:val="272"/>
          <w:jc w:val="center"/>
        </w:trPr>
        <w:tc>
          <w:tcPr>
            <w:tcW w:w="543" w:type="dxa"/>
          </w:tcPr>
          <w:p w14:paraId="4A499AE8"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13</w:t>
            </w:r>
          </w:p>
        </w:tc>
        <w:tc>
          <w:tcPr>
            <w:tcW w:w="2361" w:type="dxa"/>
          </w:tcPr>
          <w:p w14:paraId="04C89BD0"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endo-Borneol</w:t>
            </w:r>
          </w:p>
        </w:tc>
        <w:tc>
          <w:tcPr>
            <w:tcW w:w="1019" w:type="dxa"/>
          </w:tcPr>
          <w:p w14:paraId="1F0E32C3"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0.95</w:t>
            </w:r>
          </w:p>
        </w:tc>
        <w:tc>
          <w:tcPr>
            <w:tcW w:w="1134" w:type="dxa"/>
          </w:tcPr>
          <w:p w14:paraId="7EBE1F27"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3.81</w:t>
            </w:r>
          </w:p>
        </w:tc>
        <w:tc>
          <w:tcPr>
            <w:tcW w:w="976" w:type="dxa"/>
          </w:tcPr>
          <w:p w14:paraId="5EBE23D6"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3F71AE92"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1.61</w:t>
            </w:r>
          </w:p>
        </w:tc>
        <w:tc>
          <w:tcPr>
            <w:tcW w:w="992" w:type="dxa"/>
          </w:tcPr>
          <w:p w14:paraId="0742EB1D"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1.68</w:t>
            </w:r>
          </w:p>
        </w:tc>
      </w:tr>
      <w:tr w:rsidR="005C47D2" w:rsidRPr="00BE4C37" w14:paraId="4B2209EF" w14:textId="77777777" w:rsidTr="005C47D2">
        <w:trPr>
          <w:trHeight w:val="272"/>
          <w:jc w:val="center"/>
        </w:trPr>
        <w:tc>
          <w:tcPr>
            <w:tcW w:w="543" w:type="dxa"/>
          </w:tcPr>
          <w:p w14:paraId="66EAF0F3"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14</w:t>
            </w:r>
          </w:p>
        </w:tc>
        <w:tc>
          <w:tcPr>
            <w:tcW w:w="2361" w:type="dxa"/>
          </w:tcPr>
          <w:p w14:paraId="5E2A9861"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α-</w:t>
            </w:r>
            <w:proofErr w:type="spellStart"/>
            <w:r w:rsidRPr="005C47D2">
              <w:rPr>
                <w:rFonts w:ascii="Arial" w:eastAsia="Times New Roman" w:hAnsi="Arial"/>
                <w:color w:val="auto"/>
                <w:sz w:val="20"/>
                <w:szCs w:val="20"/>
              </w:rPr>
              <w:t>Santalol</w:t>
            </w:r>
            <w:proofErr w:type="spellEnd"/>
          </w:p>
        </w:tc>
        <w:tc>
          <w:tcPr>
            <w:tcW w:w="1019" w:type="dxa"/>
          </w:tcPr>
          <w:p w14:paraId="2324B5FB"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52661182"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1.41</w:t>
            </w:r>
          </w:p>
        </w:tc>
        <w:tc>
          <w:tcPr>
            <w:tcW w:w="976" w:type="dxa"/>
          </w:tcPr>
          <w:p w14:paraId="30BA9254"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4.11</w:t>
            </w:r>
          </w:p>
        </w:tc>
        <w:tc>
          <w:tcPr>
            <w:tcW w:w="1134" w:type="dxa"/>
          </w:tcPr>
          <w:p w14:paraId="008C5BCA"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2.16</w:t>
            </w:r>
          </w:p>
        </w:tc>
        <w:tc>
          <w:tcPr>
            <w:tcW w:w="992" w:type="dxa"/>
          </w:tcPr>
          <w:p w14:paraId="23A9FB7F"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2.12</w:t>
            </w:r>
          </w:p>
        </w:tc>
      </w:tr>
      <w:tr w:rsidR="005C47D2" w:rsidRPr="00BE4C37" w14:paraId="3CC0562A" w14:textId="77777777" w:rsidTr="005C47D2">
        <w:trPr>
          <w:trHeight w:val="272"/>
          <w:jc w:val="center"/>
        </w:trPr>
        <w:tc>
          <w:tcPr>
            <w:tcW w:w="543" w:type="dxa"/>
          </w:tcPr>
          <w:p w14:paraId="73E3F026"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15</w:t>
            </w:r>
          </w:p>
        </w:tc>
        <w:tc>
          <w:tcPr>
            <w:tcW w:w="2361" w:type="dxa"/>
          </w:tcPr>
          <w:p w14:paraId="0A80CD8E"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Cedren-13-ol, 8-</w:t>
            </w:r>
          </w:p>
        </w:tc>
        <w:tc>
          <w:tcPr>
            <w:tcW w:w="1019" w:type="dxa"/>
          </w:tcPr>
          <w:p w14:paraId="0A5A7BDC"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4C4E4E09"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1.37</w:t>
            </w:r>
          </w:p>
        </w:tc>
        <w:tc>
          <w:tcPr>
            <w:tcW w:w="976" w:type="dxa"/>
          </w:tcPr>
          <w:p w14:paraId="7314821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2.81</w:t>
            </w:r>
          </w:p>
        </w:tc>
        <w:tc>
          <w:tcPr>
            <w:tcW w:w="1134" w:type="dxa"/>
          </w:tcPr>
          <w:p w14:paraId="74CE94FF"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3436FE23"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1.39</w:t>
            </w:r>
          </w:p>
        </w:tc>
      </w:tr>
      <w:tr w:rsidR="005C47D2" w:rsidRPr="00BE4C37" w14:paraId="5ED3D293" w14:textId="77777777" w:rsidTr="005C47D2">
        <w:trPr>
          <w:trHeight w:val="272"/>
          <w:jc w:val="center"/>
        </w:trPr>
        <w:tc>
          <w:tcPr>
            <w:tcW w:w="543" w:type="dxa"/>
          </w:tcPr>
          <w:p w14:paraId="39B64DBE"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16</w:t>
            </w:r>
          </w:p>
        </w:tc>
        <w:tc>
          <w:tcPr>
            <w:tcW w:w="2361" w:type="dxa"/>
          </w:tcPr>
          <w:p w14:paraId="21D14C9D"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3-Thujen-2-ol</w:t>
            </w:r>
          </w:p>
        </w:tc>
        <w:tc>
          <w:tcPr>
            <w:tcW w:w="1019" w:type="dxa"/>
          </w:tcPr>
          <w:p w14:paraId="7574EDA9"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21CE694D"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76" w:type="dxa"/>
          </w:tcPr>
          <w:p w14:paraId="06AA8106"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562472AF"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3.86</w:t>
            </w:r>
          </w:p>
        </w:tc>
        <w:tc>
          <w:tcPr>
            <w:tcW w:w="992" w:type="dxa"/>
          </w:tcPr>
          <w:p w14:paraId="4F50838F"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0.88</w:t>
            </w:r>
          </w:p>
        </w:tc>
      </w:tr>
      <w:tr w:rsidR="005C47D2" w:rsidRPr="00BE4C37" w14:paraId="4D24864E" w14:textId="77777777" w:rsidTr="005C47D2">
        <w:trPr>
          <w:trHeight w:val="272"/>
          <w:jc w:val="center"/>
        </w:trPr>
        <w:tc>
          <w:tcPr>
            <w:tcW w:w="543" w:type="dxa"/>
          </w:tcPr>
          <w:p w14:paraId="7F423222"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17</w:t>
            </w:r>
          </w:p>
        </w:tc>
        <w:tc>
          <w:tcPr>
            <w:tcW w:w="2361" w:type="dxa"/>
          </w:tcPr>
          <w:p w14:paraId="298A2F4D"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α-Terpineol</w:t>
            </w:r>
          </w:p>
        </w:tc>
        <w:tc>
          <w:tcPr>
            <w:tcW w:w="1019" w:type="dxa"/>
          </w:tcPr>
          <w:p w14:paraId="354554A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3FCD163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0.72</w:t>
            </w:r>
          </w:p>
        </w:tc>
        <w:tc>
          <w:tcPr>
            <w:tcW w:w="976" w:type="dxa"/>
          </w:tcPr>
          <w:p w14:paraId="39D9C80B"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72DC3133"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04585E41"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0.84</w:t>
            </w:r>
          </w:p>
        </w:tc>
      </w:tr>
      <w:tr w:rsidR="005C47D2" w:rsidRPr="00BE4C37" w14:paraId="503F1F2D" w14:textId="77777777" w:rsidTr="005C47D2">
        <w:trPr>
          <w:trHeight w:val="272"/>
          <w:jc w:val="center"/>
        </w:trPr>
        <w:tc>
          <w:tcPr>
            <w:tcW w:w="543" w:type="dxa"/>
          </w:tcPr>
          <w:p w14:paraId="0D413C00"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18</w:t>
            </w:r>
          </w:p>
        </w:tc>
        <w:tc>
          <w:tcPr>
            <w:tcW w:w="2361" w:type="dxa"/>
          </w:tcPr>
          <w:p w14:paraId="1AA7816D"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p-Menth-2-en-7-ol</w:t>
            </w:r>
          </w:p>
        </w:tc>
        <w:tc>
          <w:tcPr>
            <w:tcW w:w="1019" w:type="dxa"/>
          </w:tcPr>
          <w:p w14:paraId="271CF9A2"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1DA176D3"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0.51</w:t>
            </w:r>
          </w:p>
        </w:tc>
        <w:tc>
          <w:tcPr>
            <w:tcW w:w="976" w:type="dxa"/>
          </w:tcPr>
          <w:p w14:paraId="56582E41"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0FF356E6"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05595C8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r>
      <w:tr w:rsidR="005C47D2" w:rsidRPr="007F6CF8" w14:paraId="0E1BDA10" w14:textId="77777777" w:rsidTr="005C47D2">
        <w:trPr>
          <w:trHeight w:val="272"/>
          <w:jc w:val="center"/>
        </w:trPr>
        <w:tc>
          <w:tcPr>
            <w:tcW w:w="543" w:type="dxa"/>
          </w:tcPr>
          <w:p w14:paraId="209BD86B"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19</w:t>
            </w:r>
          </w:p>
        </w:tc>
        <w:tc>
          <w:tcPr>
            <w:tcW w:w="2361" w:type="dxa"/>
          </w:tcPr>
          <w:p w14:paraId="15CA36E6"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proofErr w:type="spellStart"/>
            <w:r w:rsidRPr="005C47D2">
              <w:rPr>
                <w:rFonts w:ascii="Arial" w:eastAsia="Times New Roman" w:hAnsi="Arial"/>
                <w:color w:val="auto"/>
                <w:sz w:val="20"/>
                <w:szCs w:val="20"/>
              </w:rPr>
              <w:t>Myrtenyl</w:t>
            </w:r>
            <w:proofErr w:type="spellEnd"/>
            <w:r w:rsidRPr="005C47D2">
              <w:rPr>
                <w:rFonts w:ascii="Arial" w:eastAsia="Times New Roman" w:hAnsi="Arial"/>
                <w:color w:val="auto"/>
                <w:sz w:val="20"/>
                <w:szCs w:val="20"/>
              </w:rPr>
              <w:t xml:space="preserve"> acetate</w:t>
            </w:r>
          </w:p>
        </w:tc>
        <w:tc>
          <w:tcPr>
            <w:tcW w:w="1019" w:type="dxa"/>
          </w:tcPr>
          <w:p w14:paraId="09A8C79C"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2AFE6C09"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0.38</w:t>
            </w:r>
          </w:p>
        </w:tc>
        <w:tc>
          <w:tcPr>
            <w:tcW w:w="976" w:type="dxa"/>
          </w:tcPr>
          <w:p w14:paraId="7D83703B"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367574E8"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5312AA4B"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33.92</w:t>
            </w:r>
          </w:p>
        </w:tc>
      </w:tr>
      <w:tr w:rsidR="005C47D2" w:rsidRPr="008F7B6B" w14:paraId="244A1819" w14:textId="77777777" w:rsidTr="005C47D2">
        <w:trPr>
          <w:trHeight w:val="272"/>
          <w:jc w:val="center"/>
        </w:trPr>
        <w:tc>
          <w:tcPr>
            <w:tcW w:w="543" w:type="dxa"/>
          </w:tcPr>
          <w:p w14:paraId="5D8950FB"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20</w:t>
            </w:r>
          </w:p>
        </w:tc>
        <w:tc>
          <w:tcPr>
            <w:tcW w:w="2361" w:type="dxa"/>
          </w:tcPr>
          <w:p w14:paraId="77F49DB9"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Benzene, 1-ethyl-4-(1-methylethyl)-</w:t>
            </w:r>
          </w:p>
        </w:tc>
        <w:tc>
          <w:tcPr>
            <w:tcW w:w="1019" w:type="dxa"/>
          </w:tcPr>
          <w:p w14:paraId="7E53BBAA"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6D535387"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1.69</w:t>
            </w:r>
          </w:p>
        </w:tc>
        <w:tc>
          <w:tcPr>
            <w:tcW w:w="976" w:type="dxa"/>
          </w:tcPr>
          <w:p w14:paraId="30B85C1A"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2BB2273D"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6C98282C"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r>
      <w:tr w:rsidR="005C47D2" w:rsidRPr="008F7B6B" w14:paraId="5703F49C" w14:textId="77777777" w:rsidTr="005C47D2">
        <w:trPr>
          <w:trHeight w:val="272"/>
          <w:jc w:val="center"/>
        </w:trPr>
        <w:tc>
          <w:tcPr>
            <w:tcW w:w="543" w:type="dxa"/>
          </w:tcPr>
          <w:p w14:paraId="498B3127"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21</w:t>
            </w:r>
          </w:p>
        </w:tc>
        <w:tc>
          <w:tcPr>
            <w:tcW w:w="2361" w:type="dxa"/>
          </w:tcPr>
          <w:p w14:paraId="7BE9763D"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cis-p-Mentha-2,8-dien-1-ol</w:t>
            </w:r>
          </w:p>
        </w:tc>
        <w:tc>
          <w:tcPr>
            <w:tcW w:w="1019" w:type="dxa"/>
          </w:tcPr>
          <w:p w14:paraId="4669F088"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693D5A4F"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0.31</w:t>
            </w:r>
          </w:p>
        </w:tc>
        <w:tc>
          <w:tcPr>
            <w:tcW w:w="976" w:type="dxa"/>
          </w:tcPr>
          <w:p w14:paraId="71BE7EC9"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3412C90D"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4FB7BE14"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r>
      <w:tr w:rsidR="005C47D2" w:rsidRPr="008F7B6B" w14:paraId="11417C62" w14:textId="77777777" w:rsidTr="005C47D2">
        <w:trPr>
          <w:trHeight w:val="272"/>
          <w:jc w:val="center"/>
        </w:trPr>
        <w:tc>
          <w:tcPr>
            <w:tcW w:w="543" w:type="dxa"/>
          </w:tcPr>
          <w:p w14:paraId="4DCBDB5D"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22</w:t>
            </w:r>
          </w:p>
        </w:tc>
        <w:tc>
          <w:tcPr>
            <w:tcW w:w="2361" w:type="dxa"/>
          </w:tcPr>
          <w:p w14:paraId="20AB5EB2"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Benzene, pentyl-</w:t>
            </w:r>
          </w:p>
        </w:tc>
        <w:tc>
          <w:tcPr>
            <w:tcW w:w="1019" w:type="dxa"/>
          </w:tcPr>
          <w:p w14:paraId="695C9952"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2072C3A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0.48</w:t>
            </w:r>
          </w:p>
        </w:tc>
        <w:tc>
          <w:tcPr>
            <w:tcW w:w="976" w:type="dxa"/>
          </w:tcPr>
          <w:p w14:paraId="6DC85726"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39C42E36"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362DAC8D"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r>
      <w:tr w:rsidR="005C47D2" w:rsidRPr="008F7B6B" w14:paraId="21A39860" w14:textId="77777777" w:rsidTr="005C47D2">
        <w:trPr>
          <w:trHeight w:val="272"/>
          <w:jc w:val="center"/>
        </w:trPr>
        <w:tc>
          <w:tcPr>
            <w:tcW w:w="543" w:type="dxa"/>
          </w:tcPr>
          <w:p w14:paraId="184D894E"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23</w:t>
            </w:r>
          </w:p>
        </w:tc>
        <w:tc>
          <w:tcPr>
            <w:tcW w:w="2361" w:type="dxa"/>
          </w:tcPr>
          <w:p w14:paraId="719936AC"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p-Cymen-7-ol</w:t>
            </w:r>
          </w:p>
        </w:tc>
        <w:tc>
          <w:tcPr>
            <w:tcW w:w="1019" w:type="dxa"/>
          </w:tcPr>
          <w:p w14:paraId="1DD34D5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4E49AE09"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4.22</w:t>
            </w:r>
          </w:p>
        </w:tc>
        <w:tc>
          <w:tcPr>
            <w:tcW w:w="976" w:type="dxa"/>
          </w:tcPr>
          <w:p w14:paraId="7BA65D0B"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384C5DAA"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64B22789"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3.42</w:t>
            </w:r>
          </w:p>
        </w:tc>
      </w:tr>
      <w:tr w:rsidR="005C47D2" w:rsidRPr="008F7B6B" w14:paraId="3A052AAF" w14:textId="77777777" w:rsidTr="005C47D2">
        <w:trPr>
          <w:trHeight w:val="272"/>
          <w:jc w:val="center"/>
        </w:trPr>
        <w:tc>
          <w:tcPr>
            <w:tcW w:w="543" w:type="dxa"/>
          </w:tcPr>
          <w:p w14:paraId="1C195A0B"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24</w:t>
            </w:r>
          </w:p>
        </w:tc>
        <w:tc>
          <w:tcPr>
            <w:tcW w:w="2361" w:type="dxa"/>
          </w:tcPr>
          <w:p w14:paraId="13A01032"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Thymol</w:t>
            </w:r>
          </w:p>
        </w:tc>
        <w:tc>
          <w:tcPr>
            <w:tcW w:w="1019" w:type="dxa"/>
          </w:tcPr>
          <w:p w14:paraId="7E9A0A7A"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7690F2FD"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1.01</w:t>
            </w:r>
          </w:p>
        </w:tc>
        <w:tc>
          <w:tcPr>
            <w:tcW w:w="976" w:type="dxa"/>
          </w:tcPr>
          <w:p w14:paraId="31C6B9BD"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2FD05BCE"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675EC70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0.36</w:t>
            </w:r>
          </w:p>
        </w:tc>
      </w:tr>
      <w:tr w:rsidR="005C47D2" w:rsidRPr="008F7B6B" w14:paraId="58C2862A" w14:textId="77777777" w:rsidTr="005C47D2">
        <w:trPr>
          <w:trHeight w:val="272"/>
          <w:jc w:val="center"/>
        </w:trPr>
        <w:tc>
          <w:tcPr>
            <w:tcW w:w="543" w:type="dxa"/>
          </w:tcPr>
          <w:p w14:paraId="734353B0"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25</w:t>
            </w:r>
          </w:p>
        </w:tc>
        <w:tc>
          <w:tcPr>
            <w:tcW w:w="2361" w:type="dxa"/>
          </w:tcPr>
          <w:p w14:paraId="78EE7827"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w:t>
            </w:r>
            <w:proofErr w:type="spellStart"/>
            <w:r w:rsidRPr="005C47D2">
              <w:rPr>
                <w:rFonts w:ascii="Arial" w:eastAsia="Times New Roman" w:hAnsi="Arial"/>
                <w:color w:val="auto"/>
                <w:sz w:val="20"/>
                <w:szCs w:val="20"/>
              </w:rPr>
              <w:t>Spathulenol</w:t>
            </w:r>
            <w:proofErr w:type="spellEnd"/>
          </w:p>
        </w:tc>
        <w:tc>
          <w:tcPr>
            <w:tcW w:w="1019" w:type="dxa"/>
          </w:tcPr>
          <w:p w14:paraId="6F845BB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43BE61F4"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0.68</w:t>
            </w:r>
          </w:p>
        </w:tc>
        <w:tc>
          <w:tcPr>
            <w:tcW w:w="976" w:type="dxa"/>
          </w:tcPr>
          <w:p w14:paraId="79C0A09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6DDD774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6434CDA8"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0.36</w:t>
            </w:r>
          </w:p>
        </w:tc>
      </w:tr>
      <w:tr w:rsidR="005C47D2" w:rsidRPr="008F7B6B" w14:paraId="53900EE4" w14:textId="77777777" w:rsidTr="005C47D2">
        <w:trPr>
          <w:trHeight w:val="272"/>
          <w:jc w:val="center"/>
        </w:trPr>
        <w:tc>
          <w:tcPr>
            <w:tcW w:w="543" w:type="dxa"/>
          </w:tcPr>
          <w:p w14:paraId="39A1D4D2"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26</w:t>
            </w:r>
          </w:p>
        </w:tc>
        <w:tc>
          <w:tcPr>
            <w:tcW w:w="2361" w:type="dxa"/>
          </w:tcPr>
          <w:p w14:paraId="106E54C8"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3-Thujen-2-ol</w:t>
            </w:r>
          </w:p>
        </w:tc>
        <w:tc>
          <w:tcPr>
            <w:tcW w:w="1019" w:type="dxa"/>
          </w:tcPr>
          <w:p w14:paraId="73B743FC"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58B817C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1.31</w:t>
            </w:r>
          </w:p>
        </w:tc>
        <w:tc>
          <w:tcPr>
            <w:tcW w:w="976" w:type="dxa"/>
          </w:tcPr>
          <w:p w14:paraId="29740EAC"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6463A1DE"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5D45A321"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r>
      <w:tr w:rsidR="005C47D2" w:rsidRPr="008F7B6B" w14:paraId="781FF133" w14:textId="77777777" w:rsidTr="005C47D2">
        <w:trPr>
          <w:trHeight w:val="272"/>
          <w:jc w:val="center"/>
        </w:trPr>
        <w:tc>
          <w:tcPr>
            <w:tcW w:w="543" w:type="dxa"/>
          </w:tcPr>
          <w:p w14:paraId="58981BDD"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27</w:t>
            </w:r>
          </w:p>
        </w:tc>
        <w:tc>
          <w:tcPr>
            <w:tcW w:w="2361" w:type="dxa"/>
          </w:tcPr>
          <w:p w14:paraId="5E71E1B9"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α-</w:t>
            </w:r>
            <w:proofErr w:type="spellStart"/>
            <w:r w:rsidRPr="005C47D2">
              <w:rPr>
                <w:rFonts w:ascii="Arial" w:eastAsia="Times New Roman" w:hAnsi="Arial"/>
                <w:color w:val="auto"/>
                <w:sz w:val="20"/>
                <w:szCs w:val="20"/>
              </w:rPr>
              <w:t>Thujenal</w:t>
            </w:r>
            <w:proofErr w:type="spellEnd"/>
          </w:p>
        </w:tc>
        <w:tc>
          <w:tcPr>
            <w:tcW w:w="1019" w:type="dxa"/>
          </w:tcPr>
          <w:p w14:paraId="51ED5A63"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19B15C3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76" w:type="dxa"/>
          </w:tcPr>
          <w:p w14:paraId="442A573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276067D1"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387B956B"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1.39</w:t>
            </w:r>
          </w:p>
        </w:tc>
      </w:tr>
      <w:tr w:rsidR="005C47D2" w:rsidRPr="008F7B6B" w14:paraId="01B45EC7" w14:textId="77777777" w:rsidTr="005C47D2">
        <w:trPr>
          <w:trHeight w:val="272"/>
          <w:jc w:val="center"/>
        </w:trPr>
        <w:tc>
          <w:tcPr>
            <w:tcW w:w="543" w:type="dxa"/>
          </w:tcPr>
          <w:p w14:paraId="7C752EBB"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28</w:t>
            </w:r>
          </w:p>
        </w:tc>
        <w:tc>
          <w:tcPr>
            <w:tcW w:w="2361" w:type="dxa"/>
          </w:tcPr>
          <w:p w14:paraId="368EA9DB"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proofErr w:type="spellStart"/>
            <w:r w:rsidRPr="005C47D2">
              <w:rPr>
                <w:rFonts w:ascii="Arial" w:eastAsia="Times New Roman" w:hAnsi="Arial"/>
                <w:color w:val="auto"/>
                <w:sz w:val="20"/>
                <w:szCs w:val="20"/>
              </w:rPr>
              <w:t>Isopulegol</w:t>
            </w:r>
            <w:proofErr w:type="spellEnd"/>
          </w:p>
        </w:tc>
        <w:tc>
          <w:tcPr>
            <w:tcW w:w="1019" w:type="dxa"/>
          </w:tcPr>
          <w:p w14:paraId="1A16FC0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7ECF0DE6"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76" w:type="dxa"/>
          </w:tcPr>
          <w:p w14:paraId="685538B2"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286D0684"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799FC779"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0.56</w:t>
            </w:r>
          </w:p>
        </w:tc>
      </w:tr>
      <w:tr w:rsidR="005C47D2" w:rsidRPr="008F7B6B" w14:paraId="4DEE8D5F" w14:textId="77777777" w:rsidTr="005C47D2">
        <w:trPr>
          <w:trHeight w:val="272"/>
          <w:jc w:val="center"/>
        </w:trPr>
        <w:tc>
          <w:tcPr>
            <w:tcW w:w="543" w:type="dxa"/>
          </w:tcPr>
          <w:p w14:paraId="7FA4A878"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29</w:t>
            </w:r>
          </w:p>
        </w:tc>
        <w:tc>
          <w:tcPr>
            <w:tcW w:w="2361" w:type="dxa"/>
          </w:tcPr>
          <w:p w14:paraId="6ADFFBEE"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3-Isopropylbenzaldehyde</w:t>
            </w:r>
          </w:p>
        </w:tc>
        <w:tc>
          <w:tcPr>
            <w:tcW w:w="1019" w:type="dxa"/>
          </w:tcPr>
          <w:p w14:paraId="2DD0BF71"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3C4D0DC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76" w:type="dxa"/>
          </w:tcPr>
          <w:p w14:paraId="73160F7C"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305D0ED8"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7D0F459D"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1.80</w:t>
            </w:r>
          </w:p>
        </w:tc>
      </w:tr>
      <w:tr w:rsidR="005C47D2" w:rsidRPr="008F7B6B" w14:paraId="61E30351" w14:textId="77777777" w:rsidTr="005C47D2">
        <w:trPr>
          <w:trHeight w:val="272"/>
          <w:jc w:val="center"/>
        </w:trPr>
        <w:tc>
          <w:tcPr>
            <w:tcW w:w="543" w:type="dxa"/>
          </w:tcPr>
          <w:p w14:paraId="53B260BC"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30</w:t>
            </w:r>
          </w:p>
        </w:tc>
        <w:tc>
          <w:tcPr>
            <w:tcW w:w="2361" w:type="dxa"/>
          </w:tcPr>
          <w:p w14:paraId="7D35E35C"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2-Cyclohexen-1-one, 3-methyl-6-(1-methylethyl)-</w:t>
            </w:r>
          </w:p>
        </w:tc>
        <w:tc>
          <w:tcPr>
            <w:tcW w:w="1019" w:type="dxa"/>
          </w:tcPr>
          <w:p w14:paraId="1760432D"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62FDC779"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76" w:type="dxa"/>
          </w:tcPr>
          <w:p w14:paraId="3CDA5AA7"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1FD48F83"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38925C12"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0.59</w:t>
            </w:r>
          </w:p>
        </w:tc>
      </w:tr>
      <w:tr w:rsidR="005C47D2" w:rsidRPr="008F7B6B" w14:paraId="7D0EDFE8" w14:textId="77777777" w:rsidTr="005C47D2">
        <w:trPr>
          <w:trHeight w:val="272"/>
          <w:jc w:val="center"/>
        </w:trPr>
        <w:tc>
          <w:tcPr>
            <w:tcW w:w="543" w:type="dxa"/>
            <w:tcBorders>
              <w:bottom w:val="single" w:sz="4" w:space="0" w:color="auto"/>
            </w:tcBorders>
          </w:tcPr>
          <w:p w14:paraId="5D032007"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31</w:t>
            </w:r>
          </w:p>
        </w:tc>
        <w:tc>
          <w:tcPr>
            <w:tcW w:w="2361" w:type="dxa"/>
            <w:tcBorders>
              <w:bottom w:val="single" w:sz="4" w:space="0" w:color="auto"/>
            </w:tcBorders>
          </w:tcPr>
          <w:p w14:paraId="5BF09212"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Benzene, butyl-</w:t>
            </w:r>
          </w:p>
        </w:tc>
        <w:tc>
          <w:tcPr>
            <w:tcW w:w="1019" w:type="dxa"/>
            <w:tcBorders>
              <w:bottom w:val="single" w:sz="4" w:space="0" w:color="auto"/>
            </w:tcBorders>
          </w:tcPr>
          <w:p w14:paraId="37209B19"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Borders>
              <w:bottom w:val="single" w:sz="4" w:space="0" w:color="auto"/>
            </w:tcBorders>
          </w:tcPr>
          <w:p w14:paraId="78EAF0C2"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76" w:type="dxa"/>
            <w:tcBorders>
              <w:bottom w:val="single" w:sz="4" w:space="0" w:color="auto"/>
            </w:tcBorders>
          </w:tcPr>
          <w:p w14:paraId="68234B2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Borders>
              <w:bottom w:val="single" w:sz="4" w:space="0" w:color="auto"/>
            </w:tcBorders>
          </w:tcPr>
          <w:p w14:paraId="2D06B04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Borders>
              <w:bottom w:val="single" w:sz="4" w:space="0" w:color="auto"/>
            </w:tcBorders>
          </w:tcPr>
          <w:p w14:paraId="74A51B22"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1.53</w:t>
            </w:r>
          </w:p>
        </w:tc>
      </w:tr>
      <w:tr w:rsidR="005C47D2" w:rsidRPr="008F7B6B" w14:paraId="15DA1AF6" w14:textId="77777777" w:rsidTr="005C47D2">
        <w:trPr>
          <w:trHeight w:val="243"/>
          <w:jc w:val="center"/>
        </w:trPr>
        <w:tc>
          <w:tcPr>
            <w:tcW w:w="2904" w:type="dxa"/>
            <w:gridSpan w:val="2"/>
            <w:tcBorders>
              <w:top w:val="single" w:sz="4" w:space="0" w:color="auto"/>
              <w:bottom w:val="single" w:sz="4" w:space="0" w:color="auto"/>
            </w:tcBorders>
            <w:vAlign w:val="center"/>
          </w:tcPr>
          <w:p w14:paraId="3EB0D186"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Total identified compounds</w:t>
            </w:r>
          </w:p>
        </w:tc>
        <w:tc>
          <w:tcPr>
            <w:tcW w:w="1019" w:type="dxa"/>
            <w:tcBorders>
              <w:top w:val="single" w:sz="4" w:space="0" w:color="auto"/>
              <w:bottom w:val="single" w:sz="4" w:space="0" w:color="auto"/>
            </w:tcBorders>
            <w:vAlign w:val="center"/>
          </w:tcPr>
          <w:p w14:paraId="2062E077"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100.00</w:t>
            </w:r>
          </w:p>
        </w:tc>
        <w:tc>
          <w:tcPr>
            <w:tcW w:w="1134" w:type="dxa"/>
            <w:tcBorders>
              <w:top w:val="single" w:sz="4" w:space="0" w:color="auto"/>
              <w:bottom w:val="single" w:sz="4" w:space="0" w:color="auto"/>
            </w:tcBorders>
            <w:vAlign w:val="center"/>
          </w:tcPr>
          <w:p w14:paraId="0C4A067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99.37</w:t>
            </w:r>
          </w:p>
        </w:tc>
        <w:tc>
          <w:tcPr>
            <w:tcW w:w="976" w:type="dxa"/>
            <w:tcBorders>
              <w:top w:val="single" w:sz="4" w:space="0" w:color="auto"/>
              <w:bottom w:val="single" w:sz="4" w:space="0" w:color="auto"/>
            </w:tcBorders>
            <w:vAlign w:val="center"/>
          </w:tcPr>
          <w:p w14:paraId="0EE66616"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99.99</w:t>
            </w:r>
          </w:p>
        </w:tc>
        <w:tc>
          <w:tcPr>
            <w:tcW w:w="1134" w:type="dxa"/>
            <w:tcBorders>
              <w:top w:val="single" w:sz="4" w:space="0" w:color="auto"/>
              <w:bottom w:val="single" w:sz="4" w:space="0" w:color="auto"/>
            </w:tcBorders>
            <w:vAlign w:val="center"/>
          </w:tcPr>
          <w:p w14:paraId="37E71A9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100.00</w:t>
            </w:r>
          </w:p>
        </w:tc>
        <w:tc>
          <w:tcPr>
            <w:tcW w:w="992" w:type="dxa"/>
            <w:tcBorders>
              <w:top w:val="single" w:sz="4" w:space="0" w:color="auto"/>
              <w:bottom w:val="single" w:sz="4" w:space="0" w:color="auto"/>
            </w:tcBorders>
            <w:vAlign w:val="center"/>
          </w:tcPr>
          <w:p w14:paraId="37F38FA2"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99.99</w:t>
            </w:r>
          </w:p>
        </w:tc>
      </w:tr>
      <w:tr w:rsidR="005C47D2" w:rsidRPr="008F7B6B" w14:paraId="23E5EE69" w14:textId="77777777" w:rsidTr="005C47D2">
        <w:trPr>
          <w:trHeight w:val="243"/>
          <w:jc w:val="center"/>
        </w:trPr>
        <w:tc>
          <w:tcPr>
            <w:tcW w:w="2904" w:type="dxa"/>
            <w:gridSpan w:val="2"/>
            <w:tcBorders>
              <w:top w:val="single" w:sz="4" w:space="0" w:color="auto"/>
              <w:bottom w:val="single" w:sz="4" w:space="0" w:color="auto"/>
            </w:tcBorders>
            <w:vAlign w:val="center"/>
          </w:tcPr>
          <w:p w14:paraId="6B49126D"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Total oxygenated compounds</w:t>
            </w:r>
          </w:p>
        </w:tc>
        <w:tc>
          <w:tcPr>
            <w:tcW w:w="1019" w:type="dxa"/>
            <w:tcBorders>
              <w:top w:val="single" w:sz="4" w:space="0" w:color="auto"/>
              <w:bottom w:val="single" w:sz="4" w:space="0" w:color="auto"/>
            </w:tcBorders>
            <w:vAlign w:val="center"/>
          </w:tcPr>
          <w:p w14:paraId="6D54CF3D"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98.61</w:t>
            </w:r>
          </w:p>
        </w:tc>
        <w:tc>
          <w:tcPr>
            <w:tcW w:w="1134" w:type="dxa"/>
            <w:tcBorders>
              <w:top w:val="single" w:sz="4" w:space="0" w:color="auto"/>
              <w:bottom w:val="single" w:sz="4" w:space="0" w:color="auto"/>
            </w:tcBorders>
            <w:vAlign w:val="center"/>
          </w:tcPr>
          <w:p w14:paraId="699F49E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90.89</w:t>
            </w:r>
          </w:p>
        </w:tc>
        <w:tc>
          <w:tcPr>
            <w:tcW w:w="976" w:type="dxa"/>
            <w:tcBorders>
              <w:top w:val="single" w:sz="4" w:space="0" w:color="auto"/>
              <w:bottom w:val="single" w:sz="4" w:space="0" w:color="auto"/>
            </w:tcBorders>
            <w:vAlign w:val="center"/>
          </w:tcPr>
          <w:p w14:paraId="1EE1F3D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98.9</w:t>
            </w:r>
          </w:p>
        </w:tc>
        <w:tc>
          <w:tcPr>
            <w:tcW w:w="1134" w:type="dxa"/>
            <w:tcBorders>
              <w:top w:val="single" w:sz="4" w:space="0" w:color="auto"/>
              <w:bottom w:val="single" w:sz="4" w:space="0" w:color="auto"/>
            </w:tcBorders>
            <w:vAlign w:val="center"/>
          </w:tcPr>
          <w:p w14:paraId="5D533971"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96.59</w:t>
            </w:r>
          </w:p>
        </w:tc>
        <w:tc>
          <w:tcPr>
            <w:tcW w:w="992" w:type="dxa"/>
            <w:tcBorders>
              <w:top w:val="single" w:sz="4" w:space="0" w:color="auto"/>
              <w:bottom w:val="single" w:sz="4" w:space="0" w:color="auto"/>
            </w:tcBorders>
            <w:vAlign w:val="center"/>
          </w:tcPr>
          <w:p w14:paraId="5CCF9DCF"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89.22</w:t>
            </w:r>
          </w:p>
        </w:tc>
      </w:tr>
      <w:tr w:rsidR="005C47D2" w:rsidRPr="008F7B6B" w14:paraId="499BB6B1" w14:textId="77777777" w:rsidTr="005C47D2">
        <w:trPr>
          <w:trHeight w:val="243"/>
          <w:jc w:val="center"/>
        </w:trPr>
        <w:tc>
          <w:tcPr>
            <w:tcW w:w="2904" w:type="dxa"/>
            <w:gridSpan w:val="2"/>
            <w:tcBorders>
              <w:top w:val="single" w:sz="4" w:space="0" w:color="auto"/>
            </w:tcBorders>
            <w:vAlign w:val="center"/>
          </w:tcPr>
          <w:p w14:paraId="46F7EE50" w14:textId="77777777" w:rsidR="005C47D2" w:rsidRPr="005C47D2" w:rsidRDefault="005C47D2" w:rsidP="005C47D2">
            <w:pPr>
              <w:pStyle w:val="Default"/>
              <w:tabs>
                <w:tab w:val="left" w:pos="720"/>
                <w:tab w:val="right" w:pos="2217"/>
              </w:tabs>
              <w:ind w:right="-39"/>
              <w:jc w:val="center"/>
              <w:rPr>
                <w:rFonts w:ascii="Arial" w:eastAsia="Times New Roman" w:hAnsi="Arial"/>
                <w:color w:val="auto"/>
                <w:sz w:val="20"/>
                <w:szCs w:val="20"/>
              </w:rPr>
            </w:pPr>
            <w:r w:rsidRPr="005C47D2">
              <w:rPr>
                <w:rFonts w:ascii="Arial" w:eastAsia="Times New Roman" w:hAnsi="Arial"/>
                <w:color w:val="auto"/>
                <w:sz w:val="20"/>
                <w:szCs w:val="20"/>
              </w:rPr>
              <w:t>Total hydrocarbon</w:t>
            </w:r>
            <w:r>
              <w:rPr>
                <w:rFonts w:ascii="Arial" w:eastAsia="Times New Roman" w:hAnsi="Arial"/>
                <w:color w:val="auto"/>
                <w:sz w:val="20"/>
                <w:szCs w:val="20"/>
              </w:rPr>
              <w:t xml:space="preserve"> </w:t>
            </w:r>
            <w:r w:rsidRPr="005C47D2">
              <w:rPr>
                <w:rFonts w:ascii="Arial" w:eastAsia="Times New Roman" w:hAnsi="Arial"/>
                <w:color w:val="auto"/>
                <w:sz w:val="20"/>
                <w:szCs w:val="20"/>
              </w:rPr>
              <w:t>compounds</w:t>
            </w:r>
          </w:p>
        </w:tc>
        <w:tc>
          <w:tcPr>
            <w:tcW w:w="1019" w:type="dxa"/>
            <w:tcBorders>
              <w:top w:val="single" w:sz="4" w:space="0" w:color="auto"/>
            </w:tcBorders>
            <w:vAlign w:val="center"/>
          </w:tcPr>
          <w:p w14:paraId="307E476F"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1.39</w:t>
            </w:r>
          </w:p>
        </w:tc>
        <w:tc>
          <w:tcPr>
            <w:tcW w:w="1134" w:type="dxa"/>
            <w:tcBorders>
              <w:top w:val="single" w:sz="4" w:space="0" w:color="auto"/>
            </w:tcBorders>
            <w:vAlign w:val="center"/>
          </w:tcPr>
          <w:p w14:paraId="77873507"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8.48</w:t>
            </w:r>
          </w:p>
        </w:tc>
        <w:tc>
          <w:tcPr>
            <w:tcW w:w="976" w:type="dxa"/>
            <w:tcBorders>
              <w:top w:val="single" w:sz="4" w:space="0" w:color="auto"/>
            </w:tcBorders>
            <w:vAlign w:val="center"/>
          </w:tcPr>
          <w:p w14:paraId="190A473B"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1.09</w:t>
            </w:r>
          </w:p>
        </w:tc>
        <w:tc>
          <w:tcPr>
            <w:tcW w:w="1134" w:type="dxa"/>
            <w:tcBorders>
              <w:top w:val="single" w:sz="4" w:space="0" w:color="auto"/>
            </w:tcBorders>
            <w:vAlign w:val="center"/>
          </w:tcPr>
          <w:p w14:paraId="3A5B555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3.41</w:t>
            </w:r>
          </w:p>
        </w:tc>
        <w:tc>
          <w:tcPr>
            <w:tcW w:w="992" w:type="dxa"/>
            <w:tcBorders>
              <w:top w:val="single" w:sz="4" w:space="0" w:color="auto"/>
            </w:tcBorders>
            <w:vAlign w:val="center"/>
          </w:tcPr>
          <w:p w14:paraId="5CE49E59"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10.77</w:t>
            </w:r>
          </w:p>
        </w:tc>
      </w:tr>
    </w:tbl>
    <w:p w14:paraId="75BC6F87" w14:textId="77777777" w:rsidR="00376BBE" w:rsidRDefault="00376BBE" w:rsidP="00441B6F">
      <w:pPr>
        <w:pStyle w:val="Body"/>
        <w:spacing w:after="0"/>
        <w:rPr>
          <w:rFonts w:ascii="Arial" w:hAnsi="Arial" w:cs="Arial"/>
        </w:rPr>
      </w:pPr>
    </w:p>
    <w:p w14:paraId="590F75F8" w14:textId="77777777" w:rsidR="0042603F" w:rsidRDefault="0042603F" w:rsidP="00441B6F">
      <w:pPr>
        <w:pStyle w:val="Body"/>
        <w:spacing w:after="0"/>
        <w:rPr>
          <w:rFonts w:ascii="Arial" w:hAnsi="Arial" w:cs="Arial"/>
        </w:rPr>
      </w:pPr>
    </w:p>
    <w:p w14:paraId="412D8289" w14:textId="77777777" w:rsidR="00B01FCD" w:rsidRPr="000213BA" w:rsidRDefault="00000F8F" w:rsidP="00441B6F">
      <w:pPr>
        <w:pStyle w:val="ConcHead"/>
        <w:spacing w:after="0"/>
        <w:jc w:val="both"/>
        <w:rPr>
          <w:rFonts w:ascii="Arial" w:hAnsi="Arial" w:cs="Arial"/>
        </w:rPr>
      </w:pPr>
      <w:r w:rsidRPr="000213BA">
        <w:rPr>
          <w:rFonts w:ascii="Arial" w:hAnsi="Arial" w:cs="Arial"/>
        </w:rPr>
        <w:t xml:space="preserve">4. </w:t>
      </w:r>
      <w:r w:rsidR="00B01FCD" w:rsidRPr="000213BA">
        <w:rPr>
          <w:rFonts w:ascii="Arial" w:hAnsi="Arial" w:cs="Arial"/>
        </w:rPr>
        <w:t>Conclusion</w:t>
      </w:r>
    </w:p>
    <w:p w14:paraId="09F59AA3" w14:textId="77777777" w:rsidR="00790ADA" w:rsidRPr="000213BA" w:rsidRDefault="00790ADA" w:rsidP="00441B6F">
      <w:pPr>
        <w:pStyle w:val="ConcHead"/>
        <w:spacing w:after="0"/>
        <w:jc w:val="both"/>
        <w:rPr>
          <w:rFonts w:ascii="Arial" w:hAnsi="Arial" w:cs="Arial"/>
        </w:rPr>
      </w:pPr>
    </w:p>
    <w:p w14:paraId="2E3A2307" w14:textId="77777777" w:rsidR="00212E56" w:rsidRDefault="007B3ED7" w:rsidP="00441B6F">
      <w:pPr>
        <w:pStyle w:val="Body"/>
        <w:spacing w:after="0"/>
        <w:rPr>
          <w:rFonts w:ascii="Arial" w:hAnsi="Arial" w:cs="Arial"/>
        </w:rPr>
      </w:pPr>
      <w:commentRangeStart w:id="16"/>
      <w:r w:rsidRPr="007B3ED7">
        <w:rPr>
          <w:rFonts w:ascii="Arial" w:hAnsi="Arial" w:cs="Arial"/>
        </w:rPr>
        <w:t xml:space="preserve">The study recommends that when storing white wormwood herb at room temperature, the storage period should not exceed three months to prevent further deterioration of its physical properties and secondary metabolite </w:t>
      </w:r>
      <w:commentRangeStart w:id="17"/>
      <w:r w:rsidRPr="007B3ED7">
        <w:rPr>
          <w:rFonts w:ascii="Arial" w:hAnsi="Arial" w:cs="Arial"/>
        </w:rPr>
        <w:t>contents</w:t>
      </w:r>
      <w:commentRangeEnd w:id="17"/>
      <w:r w:rsidR="00760DB2">
        <w:rPr>
          <w:rStyle w:val="CommentReference"/>
          <w:rFonts w:ascii="Times New Roman" w:hAnsi="Times New Roman"/>
          <w:lang w:val="nb-NO" w:eastAsia="nb-NO"/>
        </w:rPr>
        <w:commentReference w:id="17"/>
      </w:r>
      <w:r w:rsidRPr="007B3ED7">
        <w:rPr>
          <w:rFonts w:ascii="Arial" w:hAnsi="Arial" w:cs="Arial"/>
        </w:rPr>
        <w:t>.</w:t>
      </w:r>
      <w:commentRangeEnd w:id="16"/>
      <w:r w:rsidR="00760DB2">
        <w:rPr>
          <w:rStyle w:val="CommentReference"/>
          <w:rFonts w:ascii="Times New Roman" w:hAnsi="Times New Roman"/>
          <w:lang w:val="nb-NO" w:eastAsia="nb-NO"/>
        </w:rPr>
        <w:commentReference w:id="16"/>
      </w:r>
    </w:p>
    <w:p w14:paraId="075E85C9" w14:textId="77777777" w:rsidR="007B3ED7" w:rsidRDefault="007B3ED7" w:rsidP="00441B6F">
      <w:pPr>
        <w:pStyle w:val="Body"/>
        <w:spacing w:after="0"/>
        <w:rPr>
          <w:rFonts w:ascii="Arial" w:hAnsi="Arial" w:cs="Arial"/>
        </w:rPr>
      </w:pPr>
    </w:p>
    <w:p w14:paraId="503F1303" w14:textId="462C37B9" w:rsidR="0042603F" w:rsidRDefault="00760DB2" w:rsidP="00441B6F">
      <w:pPr>
        <w:pStyle w:val="Body"/>
        <w:spacing w:after="0"/>
        <w:rPr>
          <w:rFonts w:ascii="Arial" w:hAnsi="Arial" w:cs="Arial"/>
        </w:rPr>
      </w:pPr>
      <w:commentRangeStart w:id="18"/>
      <w:r>
        <w:rPr>
          <w:rFonts w:ascii="Arial" w:hAnsi="Arial" w:cs="Arial"/>
        </w:rPr>
        <w:t xml:space="preserve">Conflict of interest </w:t>
      </w:r>
    </w:p>
    <w:commentRangeEnd w:id="18"/>
    <w:p w14:paraId="5091978E" w14:textId="60228E20" w:rsidR="0042603F" w:rsidRDefault="00760DB2" w:rsidP="00441B6F">
      <w:pPr>
        <w:pStyle w:val="Body"/>
        <w:spacing w:after="0"/>
        <w:rPr>
          <w:rFonts w:ascii="Arial" w:hAnsi="Arial" w:cs="Arial"/>
        </w:rPr>
      </w:pPr>
      <w:r>
        <w:rPr>
          <w:rStyle w:val="CommentReference"/>
          <w:rFonts w:ascii="Times New Roman" w:hAnsi="Times New Roman"/>
          <w:lang w:val="nb-NO" w:eastAsia="nb-NO"/>
        </w:rPr>
        <w:commentReference w:id="18"/>
      </w:r>
    </w:p>
    <w:p w14:paraId="28B3425C" w14:textId="00058A02" w:rsidR="0091461D" w:rsidRDefault="0091461D" w:rsidP="00441B6F">
      <w:pPr>
        <w:pStyle w:val="Body"/>
        <w:spacing w:after="0"/>
        <w:rPr>
          <w:rFonts w:ascii="Arial" w:hAnsi="Arial" w:cs="Arial"/>
        </w:rPr>
      </w:pPr>
    </w:p>
    <w:p w14:paraId="6F8C263F" w14:textId="77777777" w:rsidR="0091461D" w:rsidRDefault="0091461D" w:rsidP="00441B6F">
      <w:pPr>
        <w:pStyle w:val="Body"/>
        <w:spacing w:after="0"/>
        <w:rPr>
          <w:rFonts w:ascii="Arial" w:hAnsi="Arial" w:cs="Arial"/>
        </w:rPr>
      </w:pPr>
    </w:p>
    <w:p w14:paraId="7C6FF980" w14:textId="77777777" w:rsidR="0042603F" w:rsidRDefault="00760DB2" w:rsidP="00441B6F">
      <w:pPr>
        <w:pStyle w:val="Body"/>
        <w:spacing w:after="0"/>
        <w:rPr>
          <w:rFonts w:ascii="Arial" w:hAnsi="Arial" w:cs="Arial"/>
        </w:rPr>
      </w:pPr>
      <w:commentRangeStart w:id="19"/>
      <w:commentRangeEnd w:id="19"/>
      <w:r>
        <w:rPr>
          <w:rStyle w:val="CommentReference"/>
          <w:rFonts w:ascii="Times New Roman" w:hAnsi="Times New Roman"/>
          <w:lang w:val="nb-NO" w:eastAsia="nb-NO"/>
        </w:rPr>
        <w:commentReference w:id="19"/>
      </w:r>
    </w:p>
    <w:p w14:paraId="6EC3A6B2" w14:textId="77777777" w:rsidR="00B01FCD" w:rsidRDefault="00B01FCD" w:rsidP="00441B6F">
      <w:pPr>
        <w:pStyle w:val="ReferHead"/>
        <w:spacing w:after="0"/>
        <w:jc w:val="both"/>
        <w:rPr>
          <w:rFonts w:ascii="Arial" w:hAnsi="Arial" w:cs="Arial"/>
        </w:rPr>
      </w:pPr>
      <w:commentRangeStart w:id="20"/>
      <w:r w:rsidRPr="00FB3A86">
        <w:rPr>
          <w:rFonts w:ascii="Arial" w:hAnsi="Arial" w:cs="Arial"/>
        </w:rPr>
        <w:t>References</w:t>
      </w:r>
      <w:commentRangeEnd w:id="20"/>
      <w:r w:rsidR="001A6E8C">
        <w:rPr>
          <w:rStyle w:val="CommentReference"/>
          <w:rFonts w:ascii="Times New Roman" w:hAnsi="Times New Roman"/>
          <w:b w:val="0"/>
          <w:caps w:val="0"/>
          <w:lang w:val="nb-NO" w:eastAsia="nb-NO"/>
        </w:rPr>
        <w:commentReference w:id="20"/>
      </w:r>
    </w:p>
    <w:p w14:paraId="62DEFCF6" w14:textId="77777777" w:rsidR="00790ADA" w:rsidRPr="00FB3A86" w:rsidRDefault="00790ADA" w:rsidP="00441B6F">
      <w:pPr>
        <w:pStyle w:val="ReferHead"/>
        <w:spacing w:after="0"/>
        <w:jc w:val="both"/>
        <w:rPr>
          <w:rFonts w:ascii="Arial" w:hAnsi="Arial" w:cs="Arial"/>
        </w:rPr>
      </w:pPr>
    </w:p>
    <w:p w14:paraId="1F9B64C7" w14:textId="77777777" w:rsidR="00790ADA" w:rsidRPr="007C6AAC" w:rsidRDefault="00751BAF" w:rsidP="00C22821">
      <w:pPr>
        <w:pStyle w:val="Body"/>
        <w:spacing w:after="0"/>
        <w:ind w:left="709" w:hanging="709"/>
        <w:rPr>
          <w:rFonts w:ascii="Arial" w:hAnsi="Arial" w:cs="Arial"/>
        </w:rPr>
      </w:pPr>
      <w:r w:rsidRPr="007C6AAC">
        <w:t xml:space="preserve">Abd El-Aleem, W. H., &amp; Hamed, E. S. (2018). Effect of storage on the physical and chemical ingredients of </w:t>
      </w:r>
      <w:proofErr w:type="spellStart"/>
      <w:r w:rsidRPr="007C6AAC">
        <w:t>Siwa</w:t>
      </w:r>
      <w:proofErr w:type="spellEnd"/>
      <w:r w:rsidRPr="007C6AAC">
        <w:t xml:space="preserve"> mint (</w:t>
      </w:r>
      <w:r w:rsidRPr="007C6AAC">
        <w:rPr>
          <w:i/>
          <w:iCs/>
        </w:rPr>
        <w:t>Mentha spicata</w:t>
      </w:r>
      <w:r w:rsidRPr="007C6AAC">
        <w:t xml:space="preserve"> L. cv. </w:t>
      </w:r>
      <w:proofErr w:type="spellStart"/>
      <w:r w:rsidRPr="007C6AAC">
        <w:t>Siwa</w:t>
      </w:r>
      <w:proofErr w:type="spellEnd"/>
      <w:r w:rsidRPr="007C6AAC">
        <w:t xml:space="preserve">) plants. </w:t>
      </w:r>
      <w:r w:rsidRPr="007C6AAC">
        <w:rPr>
          <w:i/>
          <w:iCs/>
        </w:rPr>
        <w:t>International Journal of Herbal Medicine</w:t>
      </w:r>
      <w:r w:rsidRPr="007C6AAC">
        <w:t>, 6 (2),44-50.</w:t>
      </w:r>
    </w:p>
    <w:p w14:paraId="2775DFFD" w14:textId="77777777" w:rsidR="008B459E" w:rsidRPr="007C6AAC" w:rsidRDefault="008B459E" w:rsidP="00C22821">
      <w:pPr>
        <w:pStyle w:val="Body"/>
        <w:spacing w:after="0"/>
        <w:rPr>
          <w:rFonts w:ascii="Arial" w:hAnsi="Arial" w:cs="Arial"/>
        </w:rPr>
      </w:pPr>
    </w:p>
    <w:p w14:paraId="701EC180" w14:textId="77777777" w:rsidR="00751BAF" w:rsidRPr="007C6AAC" w:rsidRDefault="00751BAF" w:rsidP="00C22821">
      <w:pPr>
        <w:pStyle w:val="Default"/>
        <w:ind w:left="709" w:hanging="709"/>
        <w:jc w:val="both"/>
        <w:rPr>
          <w:rFonts w:ascii="Helvetica" w:hAnsi="Helvetica"/>
          <w:color w:val="auto"/>
          <w:sz w:val="20"/>
          <w:szCs w:val="20"/>
        </w:rPr>
      </w:pPr>
      <w:r w:rsidRPr="007C6AAC">
        <w:rPr>
          <w:rFonts w:ascii="Helvetica" w:hAnsi="Helvetica"/>
          <w:color w:val="auto"/>
          <w:sz w:val="20"/>
          <w:szCs w:val="20"/>
        </w:rPr>
        <w:t>Abd El-Wahab, M.</w:t>
      </w:r>
      <w:r w:rsidR="00D6308F" w:rsidRPr="007C6AAC">
        <w:rPr>
          <w:rFonts w:ascii="Helvetica" w:hAnsi="Helvetica"/>
          <w:color w:val="auto"/>
          <w:sz w:val="20"/>
          <w:szCs w:val="20"/>
        </w:rPr>
        <w:t xml:space="preserve"> </w:t>
      </w:r>
      <w:r w:rsidRPr="007C6AAC">
        <w:rPr>
          <w:rFonts w:ascii="Helvetica" w:hAnsi="Helvetica"/>
          <w:color w:val="auto"/>
          <w:sz w:val="20"/>
          <w:szCs w:val="20"/>
        </w:rPr>
        <w:t>A., &amp; Salem, N.</w:t>
      </w:r>
      <w:r w:rsidR="00D6308F" w:rsidRPr="007C6AAC">
        <w:rPr>
          <w:rFonts w:ascii="Helvetica" w:hAnsi="Helvetica"/>
          <w:color w:val="auto"/>
          <w:sz w:val="20"/>
          <w:szCs w:val="20"/>
        </w:rPr>
        <w:t xml:space="preserve"> </w:t>
      </w:r>
      <w:r w:rsidRPr="007C6AAC">
        <w:rPr>
          <w:rFonts w:ascii="Helvetica" w:hAnsi="Helvetica"/>
          <w:color w:val="auto"/>
          <w:sz w:val="20"/>
          <w:szCs w:val="20"/>
        </w:rPr>
        <w:t xml:space="preserve">A. (2008). Effect of packaging materials and storage period on quality of sweet basil. </w:t>
      </w:r>
      <w:r w:rsidRPr="007C6AAC">
        <w:rPr>
          <w:rFonts w:ascii="Helvetica" w:hAnsi="Helvetica"/>
          <w:i/>
          <w:iCs/>
          <w:color w:val="auto"/>
          <w:sz w:val="20"/>
          <w:szCs w:val="20"/>
        </w:rPr>
        <w:t>Science Journal of Education</w:t>
      </w:r>
      <w:r w:rsidRPr="007C6AAC">
        <w:rPr>
          <w:rFonts w:ascii="Helvetica" w:hAnsi="Helvetica"/>
          <w:color w:val="auto"/>
          <w:sz w:val="20"/>
          <w:szCs w:val="20"/>
        </w:rPr>
        <w:t>, 2(2), 44-49.</w:t>
      </w:r>
    </w:p>
    <w:p w14:paraId="66F24E79" w14:textId="77777777" w:rsidR="00C22821" w:rsidRPr="007C6AAC" w:rsidRDefault="00C22821" w:rsidP="00C22821">
      <w:pPr>
        <w:jc w:val="both"/>
        <w:rPr>
          <w:highlight w:val="yellow"/>
        </w:rPr>
      </w:pPr>
    </w:p>
    <w:p w14:paraId="78B96546" w14:textId="77777777" w:rsidR="00751BAF" w:rsidRPr="007C6AAC" w:rsidRDefault="00751BAF" w:rsidP="00C22821">
      <w:pPr>
        <w:ind w:left="709" w:hanging="709"/>
        <w:jc w:val="both"/>
      </w:pPr>
      <w:r w:rsidRPr="007C6AAC">
        <w:t>Ali, A.</w:t>
      </w:r>
      <w:r w:rsidR="00D6308F" w:rsidRPr="007C6AAC">
        <w:t xml:space="preserve"> </w:t>
      </w:r>
      <w:r w:rsidRPr="007C6AAC">
        <w:t>M.</w:t>
      </w:r>
      <w:r w:rsidR="00C22821" w:rsidRPr="007C6AAC">
        <w:t>,</w:t>
      </w:r>
      <w:r w:rsidRPr="007C6AAC">
        <w:t xml:space="preserve"> </w:t>
      </w:r>
      <w:r w:rsidR="00C22821" w:rsidRPr="007C6AAC">
        <w:t>&amp;</w:t>
      </w:r>
      <w:r w:rsidRPr="007C6AAC">
        <w:t xml:space="preserve"> Jumma, H.</w:t>
      </w:r>
      <w:r w:rsidR="00D6308F" w:rsidRPr="007C6AAC">
        <w:t xml:space="preserve"> </w:t>
      </w:r>
      <w:r w:rsidRPr="007C6AAC">
        <w:t>J.</w:t>
      </w:r>
      <w:r w:rsidR="00D6308F" w:rsidRPr="007C6AAC">
        <w:t xml:space="preserve"> </w:t>
      </w:r>
      <w:r w:rsidRPr="007C6AAC">
        <w:t xml:space="preserve">A. (2019). Yield, quality and composition of cumin essential oil as affected by storage period. </w:t>
      </w:r>
      <w:r w:rsidRPr="007C6AAC">
        <w:rPr>
          <w:i/>
          <w:iCs/>
        </w:rPr>
        <w:t>International Journal of Analytical Mass Spectrometry and Chromatography</w:t>
      </w:r>
      <w:r w:rsidRPr="007C6AAC">
        <w:t>, 7(1)</w:t>
      </w:r>
      <w:r w:rsidR="00C22821" w:rsidRPr="007C6AAC">
        <w:t>,</w:t>
      </w:r>
      <w:r w:rsidRPr="007C6AAC">
        <w:t xml:space="preserve"> 9-17.</w:t>
      </w:r>
    </w:p>
    <w:p w14:paraId="7B6F2F27" w14:textId="77777777" w:rsidR="00C22821" w:rsidRPr="007C6AAC" w:rsidRDefault="00C22821" w:rsidP="00C22821">
      <w:pPr>
        <w:ind w:left="709" w:hanging="709"/>
        <w:jc w:val="both"/>
      </w:pPr>
    </w:p>
    <w:p w14:paraId="7370EDC4" w14:textId="77777777" w:rsidR="00751BAF" w:rsidRDefault="00751BAF" w:rsidP="00393651">
      <w:pPr>
        <w:ind w:left="709" w:hanging="709"/>
        <w:jc w:val="both"/>
      </w:pPr>
      <w:proofErr w:type="spellStart"/>
      <w:r w:rsidRPr="007C6AAC">
        <w:t>Badawy</w:t>
      </w:r>
      <w:proofErr w:type="spellEnd"/>
      <w:r w:rsidRPr="007C6AAC">
        <w:t>, F.</w:t>
      </w:r>
      <w:r w:rsidR="00D6308F" w:rsidRPr="007C6AAC">
        <w:t xml:space="preserve"> </w:t>
      </w:r>
      <w:r w:rsidRPr="007C6AAC">
        <w:t>K.</w:t>
      </w:r>
      <w:r w:rsidR="00D6308F" w:rsidRPr="007C6AAC">
        <w:t xml:space="preserve"> </w:t>
      </w:r>
      <w:r w:rsidRPr="007C6AAC">
        <w:t xml:space="preserve">Y. (2010). Effect of </w:t>
      </w:r>
      <w:r w:rsidR="00393651" w:rsidRPr="007C6AAC">
        <w:t>s</w:t>
      </w:r>
      <w:r w:rsidRPr="007C6AAC">
        <w:t>torage on the quality of some fresh herbs. MSc Thesis, Faculty of Agriculture, Mansoura University, Egypt.</w:t>
      </w:r>
    </w:p>
    <w:p w14:paraId="4E5E691F" w14:textId="77777777" w:rsidR="00BF6ED6" w:rsidRDefault="00BF6ED6" w:rsidP="00393651">
      <w:pPr>
        <w:ind w:left="709" w:hanging="709"/>
        <w:jc w:val="both"/>
      </w:pPr>
    </w:p>
    <w:p w14:paraId="16F399EA" w14:textId="77777777" w:rsidR="00BF6ED6" w:rsidRPr="007C6AAC" w:rsidRDefault="00BF6ED6" w:rsidP="00BF6ED6">
      <w:pPr>
        <w:ind w:left="709" w:hanging="709"/>
        <w:jc w:val="both"/>
      </w:pPr>
      <w:proofErr w:type="spellStart"/>
      <w:r w:rsidRPr="007C6AAC">
        <w:t>Badr</w:t>
      </w:r>
      <w:proofErr w:type="spellEnd"/>
      <w:r w:rsidRPr="007C6AAC">
        <w:t xml:space="preserve">, S. E. A., Abdelfattah, M. S., El-Sayed, S. H., El-Aziz, A. S. E. A., &amp; </w:t>
      </w:r>
      <w:proofErr w:type="spellStart"/>
      <w:r w:rsidRPr="007C6AAC">
        <w:t>Sakr</w:t>
      </w:r>
      <w:proofErr w:type="spellEnd"/>
      <w:r w:rsidRPr="007C6AAC">
        <w:t xml:space="preserve">, D. M. (2014). Evaluation of anticancer, </w:t>
      </w:r>
      <w:proofErr w:type="spellStart"/>
      <w:r w:rsidRPr="007C6AAC">
        <w:t>antimycoplasmal</w:t>
      </w:r>
      <w:proofErr w:type="spellEnd"/>
      <w:r w:rsidRPr="007C6AAC">
        <w:t xml:space="preserve"> activities and chemical composition of guar (</w:t>
      </w:r>
      <w:r w:rsidRPr="007C6AAC">
        <w:rPr>
          <w:i/>
          <w:iCs/>
        </w:rPr>
        <w:t xml:space="preserve">Cyamopsis </w:t>
      </w:r>
      <w:proofErr w:type="spellStart"/>
      <w:r w:rsidRPr="007C6AAC">
        <w:rPr>
          <w:i/>
          <w:iCs/>
        </w:rPr>
        <w:t>tetragonoloba</w:t>
      </w:r>
      <w:proofErr w:type="spellEnd"/>
      <w:r w:rsidRPr="007C6AAC">
        <w:t xml:space="preserve">) seeds extract. </w:t>
      </w:r>
      <w:r w:rsidRPr="007C6AAC">
        <w:rPr>
          <w:i/>
          <w:iCs/>
        </w:rPr>
        <w:t>Research Journal of Pharmaceutical, Biological and Chemical Sciences</w:t>
      </w:r>
      <w:r w:rsidRPr="007C6AAC">
        <w:t>, 5(3), 413-423.</w:t>
      </w:r>
    </w:p>
    <w:p w14:paraId="1A645CB5" w14:textId="77777777" w:rsidR="00BF6ED6" w:rsidRPr="007C6AAC" w:rsidRDefault="00BF6ED6" w:rsidP="00393651">
      <w:pPr>
        <w:ind w:left="709" w:hanging="709"/>
        <w:jc w:val="both"/>
      </w:pPr>
    </w:p>
    <w:p w14:paraId="17455629" w14:textId="77777777" w:rsidR="00751BAF" w:rsidRPr="007C6AAC" w:rsidRDefault="00751BAF" w:rsidP="00A45A1C">
      <w:pPr>
        <w:ind w:left="709" w:hanging="709"/>
        <w:jc w:val="both"/>
      </w:pPr>
      <w:proofErr w:type="spellStart"/>
      <w:r w:rsidRPr="007C6AAC">
        <w:t>Badr</w:t>
      </w:r>
      <w:proofErr w:type="spellEnd"/>
      <w:r w:rsidRPr="007C6AAC">
        <w:t xml:space="preserve">, S. E. A., </w:t>
      </w:r>
      <w:proofErr w:type="spellStart"/>
      <w:r w:rsidRPr="007C6AAC">
        <w:t>Sakr</w:t>
      </w:r>
      <w:proofErr w:type="spellEnd"/>
      <w:r w:rsidRPr="007C6AAC">
        <w:t>, D. M., Mahfouz, S. A.</w:t>
      </w:r>
      <w:r w:rsidR="00D6308F" w:rsidRPr="007C6AAC">
        <w:t>,</w:t>
      </w:r>
      <w:r w:rsidRPr="007C6AAC">
        <w:t xml:space="preserve"> </w:t>
      </w:r>
      <w:r w:rsidR="00D6308F" w:rsidRPr="007C6AAC">
        <w:t>&amp;</w:t>
      </w:r>
      <w:r w:rsidRPr="007C6AAC">
        <w:t xml:space="preserve"> Abdelfattah, M. S. (2013). Licorice (</w:t>
      </w:r>
      <w:r w:rsidRPr="007C6AAC">
        <w:rPr>
          <w:i/>
          <w:iCs/>
        </w:rPr>
        <w:t>Glycyrrhiza glabra</w:t>
      </w:r>
      <w:r w:rsidRPr="007C6AAC">
        <w:t xml:space="preserve"> L.): Chemical composition and biological impacts. Research Journal of Pharmaceutical, </w:t>
      </w:r>
      <w:r w:rsidRPr="007C6AAC">
        <w:rPr>
          <w:i/>
          <w:iCs/>
        </w:rPr>
        <w:t>Biological and Chemical Sciences</w:t>
      </w:r>
      <w:r w:rsidRPr="007C6AAC">
        <w:t>, 4</w:t>
      </w:r>
      <w:r w:rsidR="00A45A1C" w:rsidRPr="007C6AAC">
        <w:t>,</w:t>
      </w:r>
      <w:r w:rsidRPr="007C6AAC">
        <w:t xml:space="preserve"> 606-21.</w:t>
      </w:r>
    </w:p>
    <w:p w14:paraId="5A072488" w14:textId="77777777" w:rsidR="00C22821" w:rsidRPr="007C6AAC" w:rsidRDefault="00C22821" w:rsidP="00C22821">
      <w:pPr>
        <w:jc w:val="both"/>
        <w:rPr>
          <w:highlight w:val="yellow"/>
        </w:rPr>
      </w:pPr>
    </w:p>
    <w:p w14:paraId="5F1153BD" w14:textId="77777777" w:rsidR="00751BAF" w:rsidRPr="007C6AAC" w:rsidRDefault="00751BAF" w:rsidP="00A45A1C">
      <w:pPr>
        <w:ind w:left="709" w:hanging="709"/>
        <w:jc w:val="both"/>
      </w:pPr>
      <w:proofErr w:type="spellStart"/>
      <w:r w:rsidRPr="007C6AAC">
        <w:t>Baranová</w:t>
      </w:r>
      <w:proofErr w:type="spellEnd"/>
      <w:r w:rsidRPr="007C6AAC">
        <w:t xml:space="preserve">, B., </w:t>
      </w:r>
      <w:proofErr w:type="spellStart"/>
      <w:r w:rsidRPr="007C6AAC">
        <w:t>Gruľová</w:t>
      </w:r>
      <w:proofErr w:type="spellEnd"/>
      <w:r w:rsidRPr="007C6AAC">
        <w:t xml:space="preserve">, D., </w:t>
      </w:r>
      <w:proofErr w:type="spellStart"/>
      <w:r w:rsidRPr="007C6AAC">
        <w:t>Polito</w:t>
      </w:r>
      <w:proofErr w:type="spellEnd"/>
      <w:r w:rsidRPr="007C6AAC">
        <w:t xml:space="preserve">, F., </w:t>
      </w:r>
      <w:proofErr w:type="spellStart"/>
      <w:r w:rsidRPr="007C6AAC">
        <w:t>Sedlák</w:t>
      </w:r>
      <w:proofErr w:type="spellEnd"/>
      <w:r w:rsidRPr="007C6AAC">
        <w:t xml:space="preserve">, V., </w:t>
      </w:r>
      <w:proofErr w:type="spellStart"/>
      <w:r w:rsidRPr="007C6AAC">
        <w:t>Konečná</w:t>
      </w:r>
      <w:proofErr w:type="spellEnd"/>
      <w:r w:rsidRPr="007C6AAC">
        <w:t xml:space="preserve">, M., </w:t>
      </w:r>
      <w:proofErr w:type="spellStart"/>
      <w:r w:rsidRPr="007C6AAC">
        <w:t>Blaščáková</w:t>
      </w:r>
      <w:proofErr w:type="spellEnd"/>
      <w:r w:rsidRPr="007C6AAC">
        <w:t>, M.</w:t>
      </w:r>
      <w:r w:rsidR="003B7B6B" w:rsidRPr="007C6AAC">
        <w:t xml:space="preserve"> </w:t>
      </w:r>
      <w:r w:rsidRPr="007C6AAC">
        <w:t xml:space="preserve">M., Amri, I., De </w:t>
      </w:r>
      <w:proofErr w:type="spellStart"/>
      <w:r w:rsidRPr="007C6AAC">
        <w:t>Feo</w:t>
      </w:r>
      <w:proofErr w:type="spellEnd"/>
      <w:r w:rsidRPr="007C6AAC">
        <w:t>, V.</w:t>
      </w:r>
      <w:r w:rsidR="00D6308F" w:rsidRPr="007C6AAC">
        <w:t>,</w:t>
      </w:r>
      <w:r w:rsidRPr="007C6AAC">
        <w:t xml:space="preserve"> </w:t>
      </w:r>
      <w:r w:rsidR="00D6308F" w:rsidRPr="007C6AAC">
        <w:t>&amp;</w:t>
      </w:r>
      <w:r w:rsidRPr="007C6AAC">
        <w:t xml:space="preserve"> </w:t>
      </w:r>
      <w:proofErr w:type="spellStart"/>
      <w:r w:rsidRPr="007C6AAC">
        <w:t>Poráčová</w:t>
      </w:r>
      <w:proofErr w:type="spellEnd"/>
      <w:r w:rsidRPr="007C6AAC">
        <w:t xml:space="preserve">, J. (2025). </w:t>
      </w:r>
      <w:r w:rsidRPr="007C6AAC">
        <w:rPr>
          <w:i/>
          <w:iCs/>
        </w:rPr>
        <w:t xml:space="preserve">Artemisia </w:t>
      </w:r>
      <w:proofErr w:type="spellStart"/>
      <w:r w:rsidRPr="007C6AAC">
        <w:rPr>
          <w:i/>
          <w:iCs/>
        </w:rPr>
        <w:t>herba</w:t>
      </w:r>
      <w:proofErr w:type="spellEnd"/>
      <w:r w:rsidRPr="007C6AAC">
        <w:rPr>
          <w:i/>
          <w:iCs/>
        </w:rPr>
        <w:t>-alba</w:t>
      </w:r>
      <w:r w:rsidRPr="007C6AAC">
        <w:t xml:space="preserve"> essential oil: chemical composition, phytotoxic activity and environmental safety. </w:t>
      </w:r>
      <w:r w:rsidRPr="007C6AAC">
        <w:rPr>
          <w:i/>
          <w:iCs/>
        </w:rPr>
        <w:t>Plants</w:t>
      </w:r>
      <w:r w:rsidRPr="007C6AAC">
        <w:t>, 14, 242</w:t>
      </w:r>
      <w:r w:rsidR="00A45A1C" w:rsidRPr="007C6AAC">
        <w:t>,</w:t>
      </w:r>
      <w:r w:rsidRPr="007C6AAC">
        <w:t>1-13.</w:t>
      </w:r>
    </w:p>
    <w:p w14:paraId="36C66DCD" w14:textId="77777777" w:rsidR="00C22821" w:rsidRPr="007C6AAC" w:rsidRDefault="00C22821" w:rsidP="00AA41D0">
      <w:pPr>
        <w:ind w:left="709" w:hanging="709"/>
        <w:jc w:val="both"/>
        <w:rPr>
          <w:highlight w:val="yellow"/>
        </w:rPr>
      </w:pPr>
    </w:p>
    <w:p w14:paraId="756F19C7" w14:textId="77777777" w:rsidR="00751BAF" w:rsidRPr="007C6AAC" w:rsidRDefault="00751BAF" w:rsidP="00A45A1C">
      <w:pPr>
        <w:ind w:left="709" w:hanging="709"/>
        <w:jc w:val="both"/>
      </w:pPr>
      <w:r w:rsidRPr="007C6AAC">
        <w:t>Bora, K.</w:t>
      </w:r>
      <w:r w:rsidR="003B7B6B" w:rsidRPr="007C6AAC">
        <w:t xml:space="preserve"> </w:t>
      </w:r>
      <w:r w:rsidRPr="007C6AAC">
        <w:t>S.</w:t>
      </w:r>
      <w:r w:rsidR="00D6308F" w:rsidRPr="007C6AAC">
        <w:t>,</w:t>
      </w:r>
      <w:r w:rsidRPr="007C6AAC">
        <w:t xml:space="preserve"> </w:t>
      </w:r>
      <w:r w:rsidR="00D6308F" w:rsidRPr="007C6AAC">
        <w:t>&amp;</w:t>
      </w:r>
      <w:r w:rsidRPr="007C6AAC">
        <w:t xml:space="preserve"> Sharma, A. (2011). The genus Artemisia: a comprehensive review. </w:t>
      </w:r>
      <w:r w:rsidRPr="007C6AAC">
        <w:rPr>
          <w:i/>
          <w:iCs/>
        </w:rPr>
        <w:t>Pharmaceutical Biology</w:t>
      </w:r>
      <w:r w:rsidRPr="007C6AAC">
        <w:t>, 49(1)</w:t>
      </w:r>
      <w:r w:rsidR="00A45A1C" w:rsidRPr="007C6AAC">
        <w:t>,</w:t>
      </w:r>
      <w:r w:rsidRPr="007C6AAC">
        <w:t xml:space="preserve"> 101-109.</w:t>
      </w:r>
    </w:p>
    <w:p w14:paraId="423CCBFF" w14:textId="77777777" w:rsidR="00C22821" w:rsidRPr="007C6AAC" w:rsidRDefault="00C22821" w:rsidP="00AA41D0">
      <w:pPr>
        <w:pStyle w:val="ListParagraph"/>
        <w:spacing w:after="0" w:line="240" w:lineRule="auto"/>
        <w:rPr>
          <w:rFonts w:ascii="Helvetica" w:eastAsia="Times New Roman" w:hAnsi="Helvetica" w:cs="Times New Roman"/>
          <w:sz w:val="20"/>
          <w:szCs w:val="20"/>
          <w:highlight w:val="yellow"/>
        </w:rPr>
      </w:pPr>
    </w:p>
    <w:p w14:paraId="316AD446" w14:textId="77777777" w:rsidR="00751BAF" w:rsidRPr="007C6AAC" w:rsidRDefault="00751BAF" w:rsidP="00A45A1C">
      <w:pPr>
        <w:ind w:left="709" w:hanging="709"/>
        <w:jc w:val="both"/>
      </w:pPr>
      <w:proofErr w:type="spellStart"/>
      <w:r w:rsidRPr="007C6AAC">
        <w:t>Bou</w:t>
      </w:r>
      <w:proofErr w:type="spellEnd"/>
      <w:r w:rsidRPr="007C6AAC">
        <w:t xml:space="preserve"> </w:t>
      </w:r>
      <w:proofErr w:type="spellStart"/>
      <w:r w:rsidRPr="007C6AAC">
        <w:t>Malhab</w:t>
      </w:r>
      <w:proofErr w:type="spellEnd"/>
      <w:r w:rsidRPr="007C6AAC">
        <w:t>, L.</w:t>
      </w:r>
      <w:r w:rsidR="003B7B6B" w:rsidRPr="007C6AAC">
        <w:t xml:space="preserve"> </w:t>
      </w:r>
      <w:r w:rsidRPr="007C6AAC">
        <w:t xml:space="preserve">J., </w:t>
      </w:r>
      <w:proofErr w:type="spellStart"/>
      <w:r w:rsidRPr="007C6AAC">
        <w:t>Harb</w:t>
      </w:r>
      <w:proofErr w:type="spellEnd"/>
      <w:r w:rsidRPr="007C6AAC">
        <w:t>, A.</w:t>
      </w:r>
      <w:r w:rsidR="003B7B6B" w:rsidRPr="007C6AAC">
        <w:t xml:space="preserve"> </w:t>
      </w:r>
      <w:r w:rsidRPr="007C6AAC">
        <w:t xml:space="preserve">A., </w:t>
      </w:r>
      <w:proofErr w:type="spellStart"/>
      <w:r w:rsidRPr="007C6AAC">
        <w:t>Eldohaji</w:t>
      </w:r>
      <w:proofErr w:type="spellEnd"/>
      <w:r w:rsidRPr="007C6AAC">
        <w:t xml:space="preserve">, L., </w:t>
      </w:r>
      <w:proofErr w:type="spellStart"/>
      <w:r w:rsidRPr="007C6AAC">
        <w:t>Taneera</w:t>
      </w:r>
      <w:proofErr w:type="spellEnd"/>
      <w:r w:rsidRPr="007C6AAC">
        <w:t>, J., Al</w:t>
      </w:r>
      <w:r w:rsidRPr="007C6AAC">
        <w:rPr>
          <w:rFonts w:ascii="Cambria Math" w:hAnsi="Cambria Math" w:cs="Cambria Math"/>
        </w:rPr>
        <w:t>‐</w:t>
      </w:r>
      <w:proofErr w:type="spellStart"/>
      <w:r w:rsidRPr="007C6AAC">
        <w:t>Hroub</w:t>
      </w:r>
      <w:proofErr w:type="spellEnd"/>
      <w:r w:rsidRPr="007C6AAC">
        <w:t>, H.</w:t>
      </w:r>
      <w:r w:rsidR="003B7B6B" w:rsidRPr="007C6AAC">
        <w:t xml:space="preserve"> </w:t>
      </w:r>
      <w:r w:rsidRPr="007C6AAC">
        <w:t xml:space="preserve">M., </w:t>
      </w:r>
      <w:proofErr w:type="spellStart"/>
      <w:r w:rsidRPr="007C6AAC">
        <w:t>Abuhelwa</w:t>
      </w:r>
      <w:proofErr w:type="spellEnd"/>
      <w:r w:rsidRPr="007C6AAC">
        <w:t xml:space="preserve">, A., </w:t>
      </w:r>
      <w:proofErr w:type="spellStart"/>
      <w:r w:rsidRPr="007C6AAC">
        <w:t>Alzoubi</w:t>
      </w:r>
      <w:proofErr w:type="spellEnd"/>
      <w:r w:rsidRPr="007C6AAC">
        <w:t>, K.</w:t>
      </w:r>
      <w:r w:rsidR="003B7B6B" w:rsidRPr="007C6AAC">
        <w:t xml:space="preserve"> </w:t>
      </w:r>
      <w:r w:rsidRPr="007C6AAC">
        <w:t>H., Abu</w:t>
      </w:r>
      <w:r w:rsidRPr="007C6AAC">
        <w:rPr>
          <w:rFonts w:ascii="Cambria Math" w:hAnsi="Cambria Math" w:cs="Cambria Math"/>
        </w:rPr>
        <w:t>‐</w:t>
      </w:r>
      <w:proofErr w:type="spellStart"/>
      <w:r w:rsidRPr="007C6AAC">
        <w:t>Irmaileh</w:t>
      </w:r>
      <w:proofErr w:type="spellEnd"/>
      <w:r w:rsidRPr="007C6AAC">
        <w:t xml:space="preserve">, B., </w:t>
      </w:r>
      <w:proofErr w:type="spellStart"/>
      <w:r w:rsidRPr="007C6AAC">
        <w:t>Hudaib</w:t>
      </w:r>
      <w:proofErr w:type="spellEnd"/>
      <w:r w:rsidRPr="007C6AAC">
        <w:t xml:space="preserve">, M., </w:t>
      </w:r>
      <w:proofErr w:type="spellStart"/>
      <w:r w:rsidRPr="007C6AAC">
        <w:t>Almaliti</w:t>
      </w:r>
      <w:proofErr w:type="spellEnd"/>
      <w:r w:rsidRPr="007C6AAC">
        <w:t>, J.</w:t>
      </w:r>
      <w:r w:rsidR="00D6308F" w:rsidRPr="007C6AAC">
        <w:t>,</w:t>
      </w:r>
      <w:r w:rsidRPr="007C6AAC">
        <w:t xml:space="preserve"> </w:t>
      </w:r>
      <w:r w:rsidR="00D6308F" w:rsidRPr="007C6AAC">
        <w:t>&amp;</w:t>
      </w:r>
      <w:r w:rsidRPr="007C6AAC">
        <w:t xml:space="preserve"> Abdel</w:t>
      </w:r>
      <w:r w:rsidRPr="007C6AAC">
        <w:rPr>
          <w:rFonts w:ascii="Cambria Math" w:hAnsi="Cambria Math" w:cs="Cambria Math"/>
        </w:rPr>
        <w:t>‐</w:t>
      </w:r>
      <w:r w:rsidRPr="007C6AAC">
        <w:t xml:space="preserve">Rahman, W.M. (2025). Exploring the anticancer effect of </w:t>
      </w:r>
      <w:r w:rsidRPr="007C6AAC">
        <w:rPr>
          <w:i/>
          <w:iCs/>
        </w:rPr>
        <w:t xml:space="preserve">Artemisia </w:t>
      </w:r>
      <w:proofErr w:type="spellStart"/>
      <w:r w:rsidRPr="007C6AAC">
        <w:rPr>
          <w:i/>
          <w:iCs/>
        </w:rPr>
        <w:t>herba</w:t>
      </w:r>
      <w:proofErr w:type="spellEnd"/>
      <w:r w:rsidRPr="007C6AAC">
        <w:rPr>
          <w:rFonts w:ascii="Cambria Math" w:hAnsi="Cambria Math" w:cs="Cambria Math"/>
          <w:i/>
          <w:iCs/>
        </w:rPr>
        <w:t>‐</w:t>
      </w:r>
      <w:r w:rsidRPr="007C6AAC">
        <w:rPr>
          <w:i/>
          <w:iCs/>
        </w:rPr>
        <w:t>alba</w:t>
      </w:r>
      <w:r w:rsidRPr="007C6AAC">
        <w:t xml:space="preserve"> on colorectal cancer: insights from eight colorectal cancer cell lines. </w:t>
      </w:r>
      <w:r w:rsidRPr="007C6AAC">
        <w:rPr>
          <w:i/>
          <w:iCs/>
        </w:rPr>
        <w:t>Food Science &amp; Nutrition</w:t>
      </w:r>
      <w:r w:rsidRPr="007C6AAC">
        <w:t>, 13</w:t>
      </w:r>
      <w:r w:rsidR="00A45A1C" w:rsidRPr="007C6AAC">
        <w:t>,</w:t>
      </w:r>
      <w:r w:rsidRPr="007C6AAC">
        <w:t xml:space="preserve"> e4715.</w:t>
      </w:r>
    </w:p>
    <w:p w14:paraId="6A5E44B7" w14:textId="77777777" w:rsidR="00393651" w:rsidRPr="007C6AAC" w:rsidRDefault="00393651" w:rsidP="00A45A1C">
      <w:pPr>
        <w:ind w:left="709" w:hanging="709"/>
        <w:jc w:val="both"/>
        <w:rPr>
          <w:highlight w:val="yellow"/>
        </w:rPr>
      </w:pPr>
    </w:p>
    <w:p w14:paraId="3D7EFEAA" w14:textId="77777777" w:rsidR="00751BAF" w:rsidRPr="007C6AAC" w:rsidRDefault="00751BAF" w:rsidP="00AA41D0">
      <w:pPr>
        <w:ind w:left="709" w:hanging="709"/>
        <w:jc w:val="both"/>
      </w:pPr>
      <w:r w:rsidRPr="007C6AAC">
        <w:t>British Pharmacopoeia (1963). Determination of Volatile Oil in Drugs. The Ph</w:t>
      </w:r>
      <w:r w:rsidR="00393651" w:rsidRPr="007C6AAC">
        <w:t>armaceutical Press.</w:t>
      </w:r>
    </w:p>
    <w:p w14:paraId="4BFCA5F6" w14:textId="77777777" w:rsidR="00C22821" w:rsidRPr="007C6AAC" w:rsidRDefault="00C22821" w:rsidP="00C22821">
      <w:pPr>
        <w:jc w:val="both"/>
      </w:pPr>
    </w:p>
    <w:p w14:paraId="36779EEA" w14:textId="77777777" w:rsidR="00751BAF" w:rsidRPr="007C6AAC" w:rsidRDefault="00751BAF" w:rsidP="00A45A1C">
      <w:pPr>
        <w:ind w:left="709" w:hanging="709"/>
        <w:jc w:val="both"/>
      </w:pPr>
      <w:r w:rsidRPr="007C6AAC">
        <w:t>Choi, H.</w:t>
      </w:r>
      <w:r w:rsidR="003B7B6B" w:rsidRPr="007C6AAC">
        <w:t xml:space="preserve"> </w:t>
      </w:r>
      <w:r w:rsidRPr="007C6AAC">
        <w:t>S.</w:t>
      </w:r>
      <w:r w:rsidR="00D6308F" w:rsidRPr="007C6AAC">
        <w:t>,</w:t>
      </w:r>
      <w:r w:rsidRPr="007C6AAC">
        <w:t xml:space="preserve"> </w:t>
      </w:r>
      <w:r w:rsidR="00D6308F" w:rsidRPr="007C6AAC">
        <w:t>&amp;</w:t>
      </w:r>
      <w:r w:rsidRPr="007C6AAC">
        <w:t xml:space="preserve"> </w:t>
      </w:r>
      <w:proofErr w:type="spellStart"/>
      <w:r w:rsidRPr="007C6AAC">
        <w:t>Sawamura</w:t>
      </w:r>
      <w:proofErr w:type="spellEnd"/>
      <w:r w:rsidRPr="007C6AAC">
        <w:t xml:space="preserve">, M. (2002). Effects of storage conditions on the composition of </w:t>
      </w:r>
      <w:r w:rsidRPr="007C6AAC">
        <w:rPr>
          <w:i/>
          <w:iCs/>
        </w:rPr>
        <w:t xml:space="preserve">Citrus </w:t>
      </w:r>
      <w:proofErr w:type="spellStart"/>
      <w:r w:rsidRPr="007C6AAC">
        <w:rPr>
          <w:i/>
          <w:iCs/>
        </w:rPr>
        <w:t>tamurana</w:t>
      </w:r>
      <w:proofErr w:type="spellEnd"/>
      <w:r w:rsidRPr="007C6AAC">
        <w:t xml:space="preserve"> Hort. ex Tanaka (</w:t>
      </w:r>
      <w:proofErr w:type="spellStart"/>
      <w:r w:rsidRPr="007C6AAC">
        <w:t>hyuganatsu</w:t>
      </w:r>
      <w:proofErr w:type="spellEnd"/>
      <w:r w:rsidRPr="007C6AAC">
        <w:t xml:space="preserve">) essential oil. </w:t>
      </w:r>
      <w:r w:rsidRPr="007C6AAC">
        <w:rPr>
          <w:i/>
          <w:iCs/>
        </w:rPr>
        <w:t>Bioscience, Biotechnology, and Biochemistry</w:t>
      </w:r>
      <w:r w:rsidRPr="007C6AAC">
        <w:t>, 66(2)</w:t>
      </w:r>
      <w:r w:rsidR="00A45A1C" w:rsidRPr="007C6AAC">
        <w:t>,</w:t>
      </w:r>
      <w:r w:rsidRPr="007C6AAC">
        <w:t xml:space="preserve"> 439-443.</w:t>
      </w:r>
    </w:p>
    <w:p w14:paraId="26185AF7" w14:textId="77777777" w:rsidR="00C22821" w:rsidRPr="007C6AAC" w:rsidRDefault="00C22821" w:rsidP="00C22821">
      <w:pPr>
        <w:pStyle w:val="Default"/>
        <w:tabs>
          <w:tab w:val="left" w:pos="720"/>
        </w:tabs>
        <w:jc w:val="both"/>
        <w:rPr>
          <w:rFonts w:ascii="Helvetica" w:hAnsi="Helvetica"/>
          <w:color w:val="auto"/>
          <w:sz w:val="20"/>
          <w:szCs w:val="20"/>
          <w:highlight w:val="yellow"/>
        </w:rPr>
      </w:pPr>
    </w:p>
    <w:p w14:paraId="0F66750C" w14:textId="77777777" w:rsidR="00751BAF" w:rsidRPr="007C6AAC" w:rsidRDefault="00751BAF" w:rsidP="00A45A1C">
      <w:pPr>
        <w:pStyle w:val="Default"/>
        <w:tabs>
          <w:tab w:val="left" w:pos="720"/>
        </w:tabs>
        <w:ind w:left="709" w:hanging="709"/>
        <w:jc w:val="both"/>
        <w:rPr>
          <w:rFonts w:ascii="Helvetica" w:hAnsi="Helvetica"/>
          <w:color w:val="auto"/>
          <w:sz w:val="20"/>
          <w:szCs w:val="20"/>
        </w:rPr>
      </w:pPr>
      <w:proofErr w:type="spellStart"/>
      <w:r w:rsidRPr="007C6AAC">
        <w:rPr>
          <w:rFonts w:ascii="Helvetica" w:hAnsi="Helvetica"/>
          <w:color w:val="auto"/>
          <w:sz w:val="20"/>
          <w:szCs w:val="20"/>
        </w:rPr>
        <w:t>Ebadi</w:t>
      </w:r>
      <w:proofErr w:type="spellEnd"/>
      <w:r w:rsidRPr="007C6AAC">
        <w:rPr>
          <w:rFonts w:ascii="Helvetica" w:hAnsi="Helvetica"/>
          <w:color w:val="auto"/>
          <w:sz w:val="20"/>
          <w:szCs w:val="20"/>
        </w:rPr>
        <w:t>, M.</w:t>
      </w:r>
      <w:r w:rsidR="003B7B6B" w:rsidRPr="007C6AAC">
        <w:rPr>
          <w:rFonts w:ascii="Helvetica" w:hAnsi="Helvetica"/>
          <w:color w:val="auto"/>
          <w:sz w:val="20"/>
          <w:szCs w:val="20"/>
        </w:rPr>
        <w:t xml:space="preserve"> </w:t>
      </w:r>
      <w:r w:rsidRPr="007C6AAC">
        <w:rPr>
          <w:rFonts w:ascii="Helvetica" w:hAnsi="Helvetica"/>
          <w:color w:val="auto"/>
          <w:sz w:val="20"/>
          <w:szCs w:val="20"/>
        </w:rPr>
        <w:t xml:space="preserve">T., </w:t>
      </w:r>
      <w:proofErr w:type="spellStart"/>
      <w:r w:rsidRPr="007C6AAC">
        <w:rPr>
          <w:rFonts w:ascii="Helvetica" w:hAnsi="Helvetica"/>
          <w:color w:val="auto"/>
          <w:sz w:val="20"/>
          <w:szCs w:val="20"/>
        </w:rPr>
        <w:t>Sefidkon</w:t>
      </w:r>
      <w:proofErr w:type="spellEnd"/>
      <w:r w:rsidRPr="007C6AAC">
        <w:rPr>
          <w:rFonts w:ascii="Helvetica" w:hAnsi="Helvetica"/>
          <w:color w:val="auto"/>
          <w:sz w:val="20"/>
          <w:szCs w:val="20"/>
        </w:rPr>
        <w:t>, F., Azizi, M.</w:t>
      </w:r>
      <w:r w:rsidR="00D6308F" w:rsidRPr="007C6AAC">
        <w:rPr>
          <w:rFonts w:ascii="Helvetica" w:hAnsi="Helvetica"/>
          <w:color w:val="auto"/>
          <w:sz w:val="20"/>
          <w:szCs w:val="20"/>
        </w:rPr>
        <w:t>,</w:t>
      </w:r>
      <w:r w:rsidRPr="007C6AAC">
        <w:rPr>
          <w:rFonts w:ascii="Helvetica" w:hAnsi="Helvetica"/>
          <w:color w:val="auto"/>
          <w:sz w:val="20"/>
          <w:szCs w:val="20"/>
        </w:rPr>
        <w:t xml:space="preserve"> </w:t>
      </w:r>
      <w:r w:rsidR="00D6308F" w:rsidRPr="007C6AAC">
        <w:rPr>
          <w:rFonts w:ascii="Helvetica" w:hAnsi="Helvetica"/>
          <w:color w:val="auto"/>
          <w:sz w:val="20"/>
          <w:szCs w:val="20"/>
        </w:rPr>
        <w:t>&amp;</w:t>
      </w:r>
      <w:r w:rsidRPr="007C6AAC">
        <w:rPr>
          <w:rFonts w:ascii="Helvetica" w:hAnsi="Helvetica"/>
          <w:color w:val="auto"/>
          <w:sz w:val="20"/>
          <w:szCs w:val="20"/>
        </w:rPr>
        <w:t xml:space="preserve"> Ahmadi, N. (2017). Packaging methods and storage duration affect essential oil content and composition of lemon verbena (</w:t>
      </w:r>
      <w:proofErr w:type="spellStart"/>
      <w:r w:rsidRPr="007C6AAC">
        <w:rPr>
          <w:rFonts w:ascii="Helvetica" w:hAnsi="Helvetica"/>
          <w:i/>
          <w:iCs/>
          <w:color w:val="auto"/>
          <w:sz w:val="20"/>
          <w:szCs w:val="20"/>
        </w:rPr>
        <w:t>Lippia</w:t>
      </w:r>
      <w:proofErr w:type="spellEnd"/>
      <w:r w:rsidRPr="007C6AAC">
        <w:rPr>
          <w:rFonts w:ascii="Helvetica" w:hAnsi="Helvetica"/>
          <w:i/>
          <w:iCs/>
          <w:color w:val="auto"/>
          <w:sz w:val="20"/>
          <w:szCs w:val="20"/>
        </w:rPr>
        <w:t xml:space="preserve"> citriodora</w:t>
      </w:r>
      <w:r w:rsidRPr="007C6AAC">
        <w:rPr>
          <w:rFonts w:ascii="Helvetica" w:hAnsi="Helvetica"/>
          <w:color w:val="auto"/>
          <w:sz w:val="20"/>
          <w:szCs w:val="20"/>
        </w:rPr>
        <w:t xml:space="preserve"> </w:t>
      </w:r>
      <w:proofErr w:type="spellStart"/>
      <w:r w:rsidRPr="007C6AAC">
        <w:rPr>
          <w:rFonts w:ascii="Helvetica" w:hAnsi="Helvetica"/>
          <w:color w:val="auto"/>
          <w:sz w:val="20"/>
          <w:szCs w:val="20"/>
        </w:rPr>
        <w:t>Kunth</w:t>
      </w:r>
      <w:proofErr w:type="spellEnd"/>
      <w:r w:rsidRPr="007C6AAC">
        <w:rPr>
          <w:rFonts w:ascii="Helvetica" w:hAnsi="Helvetica"/>
          <w:color w:val="auto"/>
          <w:sz w:val="20"/>
          <w:szCs w:val="20"/>
        </w:rPr>
        <w:t xml:space="preserve">.). </w:t>
      </w:r>
      <w:r w:rsidRPr="007C6AAC">
        <w:rPr>
          <w:rFonts w:ascii="Helvetica" w:hAnsi="Helvetica"/>
          <w:i/>
          <w:iCs/>
          <w:color w:val="auto"/>
          <w:sz w:val="20"/>
          <w:szCs w:val="20"/>
        </w:rPr>
        <w:t>Food Science &amp; Nutrition</w:t>
      </w:r>
      <w:r w:rsidRPr="007C6AAC">
        <w:rPr>
          <w:rFonts w:ascii="Helvetica" w:hAnsi="Helvetica"/>
          <w:color w:val="auto"/>
          <w:sz w:val="20"/>
          <w:szCs w:val="20"/>
        </w:rPr>
        <w:t>, 5(3)</w:t>
      </w:r>
      <w:r w:rsidR="00A45A1C" w:rsidRPr="007C6AAC">
        <w:rPr>
          <w:rFonts w:ascii="Helvetica" w:hAnsi="Helvetica"/>
          <w:color w:val="auto"/>
          <w:sz w:val="20"/>
          <w:szCs w:val="20"/>
        </w:rPr>
        <w:t>,</w:t>
      </w:r>
      <w:r w:rsidRPr="007C6AAC">
        <w:rPr>
          <w:rFonts w:ascii="Helvetica" w:hAnsi="Helvetica"/>
          <w:color w:val="auto"/>
          <w:sz w:val="20"/>
          <w:szCs w:val="20"/>
        </w:rPr>
        <w:t xml:space="preserve"> 588-595.</w:t>
      </w:r>
    </w:p>
    <w:p w14:paraId="68A5137D" w14:textId="77777777" w:rsidR="00C22821" w:rsidRPr="007C6AAC" w:rsidRDefault="00C22821" w:rsidP="00C22821">
      <w:pPr>
        <w:pStyle w:val="Default"/>
        <w:tabs>
          <w:tab w:val="left" w:pos="720"/>
        </w:tabs>
        <w:ind w:left="2160"/>
        <w:jc w:val="both"/>
        <w:rPr>
          <w:rFonts w:ascii="Helvetica" w:hAnsi="Helvetica"/>
          <w:color w:val="auto"/>
          <w:sz w:val="20"/>
          <w:szCs w:val="20"/>
          <w:highlight w:val="yellow"/>
        </w:rPr>
      </w:pPr>
    </w:p>
    <w:p w14:paraId="1FE9A337" w14:textId="77777777" w:rsidR="00751BAF" w:rsidRPr="007C6AAC" w:rsidRDefault="00751BAF" w:rsidP="00D6308F">
      <w:pPr>
        <w:ind w:left="709" w:hanging="709"/>
        <w:jc w:val="both"/>
      </w:pPr>
      <w:proofErr w:type="spellStart"/>
      <w:r w:rsidRPr="007C6AAC">
        <w:t>Fayiah</w:t>
      </w:r>
      <w:proofErr w:type="spellEnd"/>
      <w:r w:rsidRPr="007C6AAC">
        <w:t xml:space="preserve">, M., </w:t>
      </w:r>
      <w:proofErr w:type="spellStart"/>
      <w:r w:rsidRPr="007C6AAC">
        <w:t>Fayiah</w:t>
      </w:r>
      <w:proofErr w:type="spellEnd"/>
      <w:r w:rsidRPr="007C6AAC">
        <w:t>, M.</w:t>
      </w:r>
      <w:r w:rsidR="003B7B6B" w:rsidRPr="007C6AAC">
        <w:t xml:space="preserve"> </w:t>
      </w:r>
      <w:r w:rsidRPr="007C6AAC">
        <w:t xml:space="preserve">S., </w:t>
      </w:r>
      <w:proofErr w:type="spellStart"/>
      <w:r w:rsidRPr="007C6AAC">
        <w:t>Saccoh</w:t>
      </w:r>
      <w:proofErr w:type="spellEnd"/>
      <w:r w:rsidRPr="007C6AAC">
        <w:t>, S.</w:t>
      </w:r>
      <w:r w:rsidR="00D6308F" w:rsidRPr="007C6AAC">
        <w:t>,</w:t>
      </w:r>
      <w:r w:rsidRPr="007C6AAC">
        <w:t xml:space="preserve"> </w:t>
      </w:r>
      <w:r w:rsidR="00D6308F" w:rsidRPr="007C6AAC">
        <w:t>&amp;</w:t>
      </w:r>
      <w:r w:rsidRPr="007C6AAC">
        <w:t xml:space="preserve"> </w:t>
      </w:r>
      <w:proofErr w:type="spellStart"/>
      <w:r w:rsidRPr="007C6AAC">
        <w:t>Kallon</w:t>
      </w:r>
      <w:proofErr w:type="spellEnd"/>
      <w:r w:rsidRPr="007C6AAC">
        <w:t>, M.</w:t>
      </w:r>
      <w:r w:rsidR="003B7B6B" w:rsidRPr="007C6AAC">
        <w:t xml:space="preserve"> </w:t>
      </w:r>
      <w:r w:rsidRPr="007C6AAC">
        <w:t>K. (2024). Value of Herbal Medicine to Sustainable Development. In Herbal Medicine Phytochemistry: Applications and Trends (pp. 1429-1456). Cham: Springer International Publishing.</w:t>
      </w:r>
    </w:p>
    <w:p w14:paraId="612731AC" w14:textId="77777777" w:rsidR="00C22821" w:rsidRPr="007C6AAC" w:rsidRDefault="00C22821" w:rsidP="00C22821">
      <w:pPr>
        <w:jc w:val="both"/>
        <w:rPr>
          <w:highlight w:val="yellow"/>
        </w:rPr>
      </w:pPr>
    </w:p>
    <w:p w14:paraId="37A97245" w14:textId="77777777" w:rsidR="00751BAF" w:rsidRPr="007C6AAC" w:rsidRDefault="00751BAF" w:rsidP="00AA41D0">
      <w:pPr>
        <w:ind w:left="709" w:hanging="709"/>
        <w:jc w:val="both"/>
      </w:pPr>
      <w:r w:rsidRPr="007C6AAC">
        <w:t>Ibrahim, F.</w:t>
      </w:r>
      <w:r w:rsidR="003B7B6B" w:rsidRPr="007C6AAC">
        <w:t xml:space="preserve"> </w:t>
      </w:r>
      <w:r w:rsidRPr="007C6AAC">
        <w:t>R. (2004).</w:t>
      </w:r>
      <w:r w:rsidR="00393651" w:rsidRPr="007C6AAC">
        <w:t xml:space="preserve"> </w:t>
      </w:r>
      <w:r w:rsidRPr="007C6AAC">
        <w:t xml:space="preserve">Agricultural and physiological studies on </w:t>
      </w:r>
      <w:r w:rsidRPr="007C6AAC">
        <w:rPr>
          <w:i/>
          <w:iCs/>
        </w:rPr>
        <w:t>Achillea millefolium</w:t>
      </w:r>
      <w:r w:rsidRPr="007C6AAC">
        <w:t>, L. plants. M.Sc. Thesis, Mansoura University, Egypt.</w:t>
      </w:r>
    </w:p>
    <w:p w14:paraId="7A919249" w14:textId="77777777" w:rsidR="00C22821" w:rsidRPr="007C6AAC" w:rsidRDefault="00C22821" w:rsidP="00C22821">
      <w:pPr>
        <w:jc w:val="both"/>
        <w:rPr>
          <w:highlight w:val="yellow"/>
        </w:rPr>
      </w:pPr>
    </w:p>
    <w:p w14:paraId="3DA5F6D3" w14:textId="77777777" w:rsidR="00751BAF" w:rsidRPr="007C6AAC" w:rsidRDefault="00751BAF" w:rsidP="00BF6ED6">
      <w:pPr>
        <w:ind w:left="709" w:hanging="709"/>
        <w:jc w:val="both"/>
      </w:pPr>
      <w:r w:rsidRPr="007C6AAC">
        <w:t>Ibrahim, H.</w:t>
      </w:r>
      <w:r w:rsidR="003B7B6B" w:rsidRPr="007C6AAC">
        <w:t xml:space="preserve"> </w:t>
      </w:r>
      <w:r w:rsidRPr="007C6AAC">
        <w:t xml:space="preserve">M., Mahdi, </w:t>
      </w:r>
      <w:proofErr w:type="spellStart"/>
      <w:r w:rsidRPr="007C6AAC">
        <w:t>Asmaa</w:t>
      </w:r>
      <w:proofErr w:type="spellEnd"/>
      <w:r w:rsidRPr="007C6AAC">
        <w:t xml:space="preserve"> A., Hamed, E.</w:t>
      </w:r>
      <w:r w:rsidR="003B7B6B" w:rsidRPr="007C6AAC">
        <w:t xml:space="preserve"> </w:t>
      </w:r>
      <w:r w:rsidRPr="007C6AAC">
        <w:t>S.,</w:t>
      </w:r>
      <w:r w:rsidR="00D6308F" w:rsidRPr="007C6AAC">
        <w:t xml:space="preserve"> &amp;</w:t>
      </w:r>
      <w:r w:rsidRPr="007C6AAC">
        <w:t xml:space="preserve"> Adel, Manal M. (2023). Effect of pyruvate and magnetic nanoparticle treatments on growth, bioactive components and biological activity of </w:t>
      </w:r>
      <w:r w:rsidRPr="007C6AAC">
        <w:rPr>
          <w:i/>
          <w:iCs/>
        </w:rPr>
        <w:t xml:space="preserve">Stevia </w:t>
      </w:r>
      <w:proofErr w:type="spellStart"/>
      <w:r w:rsidRPr="007C6AAC">
        <w:rPr>
          <w:i/>
          <w:iCs/>
        </w:rPr>
        <w:t>rebaudiana</w:t>
      </w:r>
      <w:proofErr w:type="spellEnd"/>
      <w:r w:rsidRPr="007C6AAC">
        <w:t xml:space="preserve">. </w:t>
      </w:r>
      <w:r w:rsidRPr="007C6AAC">
        <w:rPr>
          <w:i/>
          <w:iCs/>
        </w:rPr>
        <w:t>Advances in Crop Science and Technology</w:t>
      </w:r>
      <w:r w:rsidRPr="007C6AAC">
        <w:t>, 11 (9)</w:t>
      </w:r>
      <w:r w:rsidR="00A45A1C" w:rsidRPr="007C6AAC">
        <w:t>,</w:t>
      </w:r>
      <w:r w:rsidRPr="007C6AAC">
        <w:t xml:space="preserve"> 1-10.</w:t>
      </w:r>
    </w:p>
    <w:p w14:paraId="22FAE3AE" w14:textId="77777777" w:rsidR="00C22821" w:rsidRPr="007C6AAC" w:rsidRDefault="00C22821" w:rsidP="00C22821">
      <w:pPr>
        <w:jc w:val="both"/>
        <w:rPr>
          <w:highlight w:val="yellow"/>
        </w:rPr>
      </w:pPr>
    </w:p>
    <w:p w14:paraId="0DFD5AB0" w14:textId="77777777" w:rsidR="00751BAF" w:rsidRPr="007C6AAC" w:rsidRDefault="00751BAF" w:rsidP="00A45A1C">
      <w:pPr>
        <w:ind w:left="709" w:hanging="709"/>
        <w:jc w:val="both"/>
      </w:pPr>
      <w:r w:rsidRPr="007C6AAC">
        <w:t>Jennings, W.</w:t>
      </w:r>
      <w:r w:rsidR="00D6308F" w:rsidRPr="007C6AAC">
        <w:t>,</w:t>
      </w:r>
      <w:r w:rsidRPr="007C6AAC">
        <w:t xml:space="preserve"> </w:t>
      </w:r>
      <w:r w:rsidR="00D6308F" w:rsidRPr="007C6AAC">
        <w:t>&amp;</w:t>
      </w:r>
      <w:r w:rsidRPr="007C6AAC">
        <w:t xml:space="preserve"> </w:t>
      </w:r>
      <w:proofErr w:type="spellStart"/>
      <w:r w:rsidRPr="007C6AAC">
        <w:t>Shibamoto</w:t>
      </w:r>
      <w:proofErr w:type="spellEnd"/>
      <w:r w:rsidRPr="007C6AAC">
        <w:t>, T. (1980). Qualitative Analysis of Flavor and Fragrance Volatiles by Glass Capillary Gas Chromatograph. 1</w:t>
      </w:r>
      <w:r w:rsidRPr="007C6AAC">
        <w:rPr>
          <w:vertAlign w:val="superscript"/>
        </w:rPr>
        <w:t>st</w:t>
      </w:r>
      <w:r w:rsidR="00A45A1C" w:rsidRPr="007C6AAC">
        <w:t xml:space="preserve"> </w:t>
      </w:r>
      <w:r w:rsidRPr="007C6AAC">
        <w:t>ed. New York: Academic Press.</w:t>
      </w:r>
    </w:p>
    <w:p w14:paraId="4B8CC88F" w14:textId="77777777" w:rsidR="00C22821" w:rsidRPr="007C6AAC" w:rsidRDefault="00C22821" w:rsidP="00AA41D0">
      <w:pPr>
        <w:ind w:left="709" w:hanging="709"/>
        <w:jc w:val="both"/>
      </w:pPr>
    </w:p>
    <w:p w14:paraId="72F6FFBF" w14:textId="77777777" w:rsidR="00751BAF" w:rsidRPr="007C6AAC" w:rsidRDefault="00751BAF" w:rsidP="00D6308F">
      <w:pPr>
        <w:ind w:left="709" w:hanging="709"/>
        <w:jc w:val="both"/>
      </w:pPr>
      <w:proofErr w:type="spellStart"/>
      <w:r w:rsidRPr="007C6AAC">
        <w:t>Joshee</w:t>
      </w:r>
      <w:proofErr w:type="spellEnd"/>
      <w:r w:rsidRPr="007C6AAC">
        <w:t xml:space="preserve">, N., </w:t>
      </w:r>
      <w:proofErr w:type="spellStart"/>
      <w:r w:rsidRPr="007C6AAC">
        <w:t>Dhekney</w:t>
      </w:r>
      <w:proofErr w:type="spellEnd"/>
      <w:r w:rsidRPr="007C6AAC">
        <w:t>, S.</w:t>
      </w:r>
      <w:r w:rsidR="003B7B6B" w:rsidRPr="007C6AAC">
        <w:t xml:space="preserve"> </w:t>
      </w:r>
      <w:r w:rsidRPr="007C6AAC">
        <w:t>A.</w:t>
      </w:r>
      <w:r w:rsidR="00D6308F" w:rsidRPr="007C6AAC">
        <w:t>,</w:t>
      </w:r>
      <w:r w:rsidRPr="007C6AAC">
        <w:t xml:space="preserve"> </w:t>
      </w:r>
      <w:r w:rsidR="00D6308F" w:rsidRPr="007C6AAC">
        <w:t>&amp;</w:t>
      </w:r>
      <w:r w:rsidRPr="007C6AAC">
        <w:t xml:space="preserve"> Parajuli, P. (2019). Medicinal Plants from Farm to Pharmacy. Springer. </w:t>
      </w:r>
    </w:p>
    <w:p w14:paraId="08BE2E83" w14:textId="77777777" w:rsidR="00C22821" w:rsidRPr="007C6AAC" w:rsidRDefault="00C22821" w:rsidP="00C22821">
      <w:pPr>
        <w:jc w:val="both"/>
        <w:rPr>
          <w:highlight w:val="yellow"/>
        </w:rPr>
      </w:pPr>
    </w:p>
    <w:p w14:paraId="030B0F44" w14:textId="77777777" w:rsidR="00751BAF" w:rsidRPr="007C6AAC" w:rsidRDefault="00751BAF" w:rsidP="00A45A1C">
      <w:pPr>
        <w:pStyle w:val="Default"/>
        <w:ind w:left="709" w:hanging="709"/>
        <w:jc w:val="both"/>
        <w:rPr>
          <w:rFonts w:ascii="Helvetica" w:hAnsi="Helvetica"/>
          <w:color w:val="auto"/>
          <w:sz w:val="20"/>
          <w:szCs w:val="20"/>
        </w:rPr>
      </w:pPr>
      <w:proofErr w:type="spellStart"/>
      <w:r w:rsidRPr="007C6AAC">
        <w:rPr>
          <w:rFonts w:ascii="Helvetica" w:hAnsi="Helvetica"/>
          <w:color w:val="auto"/>
          <w:sz w:val="20"/>
          <w:szCs w:val="20"/>
        </w:rPr>
        <w:t>Leelaphiwat</w:t>
      </w:r>
      <w:proofErr w:type="spellEnd"/>
      <w:r w:rsidRPr="007C6AAC">
        <w:rPr>
          <w:rFonts w:ascii="Helvetica" w:hAnsi="Helvetica"/>
          <w:color w:val="auto"/>
          <w:sz w:val="20"/>
          <w:szCs w:val="20"/>
        </w:rPr>
        <w:t>, P., Harte, J.</w:t>
      </w:r>
      <w:r w:rsidR="003B7B6B" w:rsidRPr="007C6AAC">
        <w:rPr>
          <w:rFonts w:ascii="Helvetica" w:hAnsi="Helvetica"/>
          <w:color w:val="auto"/>
          <w:sz w:val="20"/>
          <w:szCs w:val="20"/>
        </w:rPr>
        <w:t xml:space="preserve"> </w:t>
      </w:r>
      <w:r w:rsidRPr="007C6AAC">
        <w:rPr>
          <w:rFonts w:ascii="Helvetica" w:hAnsi="Helvetica"/>
          <w:color w:val="auto"/>
          <w:sz w:val="20"/>
          <w:szCs w:val="20"/>
        </w:rPr>
        <w:t>B., Auras, R.</w:t>
      </w:r>
      <w:r w:rsidR="003B7B6B" w:rsidRPr="007C6AAC">
        <w:rPr>
          <w:rFonts w:ascii="Helvetica" w:hAnsi="Helvetica"/>
          <w:color w:val="auto"/>
          <w:sz w:val="20"/>
          <w:szCs w:val="20"/>
        </w:rPr>
        <w:t xml:space="preserve"> </w:t>
      </w:r>
      <w:r w:rsidRPr="007C6AAC">
        <w:rPr>
          <w:rFonts w:ascii="Helvetica" w:hAnsi="Helvetica"/>
          <w:color w:val="auto"/>
          <w:sz w:val="20"/>
          <w:szCs w:val="20"/>
        </w:rPr>
        <w:t>A., Ong, P.</w:t>
      </w:r>
      <w:r w:rsidR="003B7B6B" w:rsidRPr="007C6AAC">
        <w:rPr>
          <w:rFonts w:ascii="Helvetica" w:hAnsi="Helvetica"/>
          <w:color w:val="auto"/>
          <w:sz w:val="20"/>
          <w:szCs w:val="20"/>
        </w:rPr>
        <w:t xml:space="preserve"> </w:t>
      </w:r>
      <w:r w:rsidRPr="007C6AAC">
        <w:rPr>
          <w:rFonts w:ascii="Helvetica" w:hAnsi="Helvetica"/>
          <w:color w:val="auto"/>
          <w:sz w:val="20"/>
          <w:szCs w:val="20"/>
        </w:rPr>
        <w:t>K.</w:t>
      </w:r>
      <w:r w:rsidR="00D6308F" w:rsidRPr="007C6AAC">
        <w:rPr>
          <w:rFonts w:ascii="Helvetica" w:hAnsi="Helvetica"/>
          <w:color w:val="auto"/>
          <w:sz w:val="20"/>
          <w:szCs w:val="20"/>
        </w:rPr>
        <w:t>,</w:t>
      </w:r>
      <w:r w:rsidRPr="007C6AAC">
        <w:rPr>
          <w:rFonts w:ascii="Helvetica" w:hAnsi="Helvetica"/>
          <w:color w:val="auto"/>
          <w:sz w:val="20"/>
          <w:szCs w:val="20"/>
        </w:rPr>
        <w:t xml:space="preserve"> </w:t>
      </w:r>
      <w:r w:rsidR="00D6308F" w:rsidRPr="007C6AAC">
        <w:rPr>
          <w:rFonts w:ascii="Helvetica" w:hAnsi="Helvetica"/>
          <w:color w:val="auto"/>
          <w:sz w:val="20"/>
          <w:szCs w:val="20"/>
        </w:rPr>
        <w:t>&amp;</w:t>
      </w:r>
      <w:r w:rsidRPr="007C6AAC">
        <w:rPr>
          <w:rFonts w:ascii="Helvetica" w:hAnsi="Helvetica"/>
          <w:color w:val="auto"/>
          <w:sz w:val="20"/>
          <w:szCs w:val="20"/>
        </w:rPr>
        <w:t xml:space="preserve"> </w:t>
      </w:r>
      <w:proofErr w:type="spellStart"/>
      <w:r w:rsidRPr="007C6AAC">
        <w:rPr>
          <w:rFonts w:ascii="Helvetica" w:hAnsi="Helvetica"/>
          <w:color w:val="auto"/>
          <w:sz w:val="20"/>
          <w:szCs w:val="20"/>
        </w:rPr>
        <w:t>Chonhenchob</w:t>
      </w:r>
      <w:proofErr w:type="spellEnd"/>
      <w:r w:rsidRPr="007C6AAC">
        <w:rPr>
          <w:rFonts w:ascii="Helvetica" w:hAnsi="Helvetica"/>
          <w:color w:val="auto"/>
          <w:sz w:val="20"/>
          <w:szCs w:val="20"/>
        </w:rPr>
        <w:t xml:space="preserve">, V. (2017). Effects of packaging materials on the aroma stability of Thai ‘tom </w:t>
      </w:r>
      <w:proofErr w:type="spellStart"/>
      <w:r w:rsidRPr="007C6AAC">
        <w:rPr>
          <w:rFonts w:ascii="Helvetica" w:hAnsi="Helvetica"/>
          <w:color w:val="auto"/>
          <w:sz w:val="20"/>
          <w:szCs w:val="20"/>
        </w:rPr>
        <w:t>yam’seasoning</w:t>
      </w:r>
      <w:proofErr w:type="spellEnd"/>
      <w:r w:rsidRPr="007C6AAC">
        <w:rPr>
          <w:rFonts w:ascii="Helvetica" w:hAnsi="Helvetica"/>
          <w:color w:val="auto"/>
          <w:sz w:val="20"/>
          <w:szCs w:val="20"/>
        </w:rPr>
        <w:t xml:space="preserve"> powder as determined by descriptive sensory analysis and gas chromatography–mass spectrometry. </w:t>
      </w:r>
      <w:r w:rsidRPr="007C6AAC">
        <w:rPr>
          <w:rFonts w:ascii="Helvetica" w:hAnsi="Helvetica"/>
          <w:i/>
          <w:iCs/>
          <w:color w:val="auto"/>
          <w:sz w:val="20"/>
          <w:szCs w:val="20"/>
        </w:rPr>
        <w:t>Journal of the Science of Food and Agriculture</w:t>
      </w:r>
      <w:r w:rsidRPr="007C6AAC">
        <w:rPr>
          <w:rFonts w:ascii="Helvetica" w:hAnsi="Helvetica"/>
          <w:color w:val="auto"/>
          <w:sz w:val="20"/>
          <w:szCs w:val="20"/>
        </w:rPr>
        <w:t>, 97(6)</w:t>
      </w:r>
      <w:r w:rsidR="00A45A1C" w:rsidRPr="007C6AAC">
        <w:rPr>
          <w:rFonts w:ascii="Helvetica" w:hAnsi="Helvetica"/>
          <w:color w:val="auto"/>
          <w:sz w:val="20"/>
          <w:szCs w:val="20"/>
        </w:rPr>
        <w:t>,</w:t>
      </w:r>
      <w:r w:rsidRPr="007C6AAC">
        <w:rPr>
          <w:rFonts w:ascii="Helvetica" w:hAnsi="Helvetica"/>
          <w:color w:val="auto"/>
          <w:sz w:val="20"/>
          <w:szCs w:val="20"/>
        </w:rPr>
        <w:t xml:space="preserve"> 1854-1860.</w:t>
      </w:r>
    </w:p>
    <w:p w14:paraId="5A55559B" w14:textId="77777777" w:rsidR="00C22821" w:rsidRPr="007C6AAC" w:rsidRDefault="00C22821" w:rsidP="00C22821">
      <w:pPr>
        <w:pStyle w:val="Default"/>
        <w:jc w:val="both"/>
        <w:rPr>
          <w:rFonts w:ascii="Helvetica" w:hAnsi="Helvetica"/>
          <w:color w:val="auto"/>
          <w:sz w:val="20"/>
          <w:szCs w:val="20"/>
          <w:highlight w:val="yellow"/>
        </w:rPr>
      </w:pPr>
    </w:p>
    <w:p w14:paraId="16C1F41B" w14:textId="77777777" w:rsidR="00751BAF" w:rsidRPr="007C6AAC" w:rsidRDefault="00751BAF" w:rsidP="00A45A1C">
      <w:pPr>
        <w:ind w:left="709" w:hanging="709"/>
        <w:jc w:val="both"/>
      </w:pPr>
      <w:r w:rsidRPr="007C6AAC">
        <w:t>Li, X., Ren, J.</w:t>
      </w:r>
      <w:r w:rsidR="00A45A1C" w:rsidRPr="007C6AAC">
        <w:t xml:space="preserve"> </w:t>
      </w:r>
      <w:r w:rsidRPr="007C6AAC">
        <w:t>N., Fan, G.</w:t>
      </w:r>
      <w:r w:rsidR="00D6308F" w:rsidRPr="007C6AAC">
        <w:t>,</w:t>
      </w:r>
      <w:r w:rsidRPr="007C6AAC">
        <w:t xml:space="preserve"> </w:t>
      </w:r>
      <w:r w:rsidR="00D6308F" w:rsidRPr="007C6AAC">
        <w:t>&amp;</w:t>
      </w:r>
      <w:r w:rsidRPr="007C6AAC">
        <w:t xml:space="preserve"> Pan, S.</w:t>
      </w:r>
      <w:r w:rsidR="00A45A1C" w:rsidRPr="007C6AAC">
        <w:t xml:space="preserve"> </w:t>
      </w:r>
      <w:r w:rsidRPr="007C6AAC">
        <w:t xml:space="preserve">Y. (2018) Changes of aroma compounds and qualities of freshly-squeezed orange juice during storage. </w:t>
      </w:r>
      <w:r w:rsidRPr="007C6AAC">
        <w:rPr>
          <w:i/>
          <w:iCs/>
        </w:rPr>
        <w:t>Journal of Food Science and Technology</w:t>
      </w:r>
      <w:r w:rsidRPr="007C6AAC">
        <w:t>, 55(11)</w:t>
      </w:r>
      <w:r w:rsidR="00A45A1C" w:rsidRPr="007C6AAC">
        <w:t xml:space="preserve">, </w:t>
      </w:r>
      <w:r w:rsidRPr="007C6AAC">
        <w:t>4530-4543.</w:t>
      </w:r>
    </w:p>
    <w:p w14:paraId="29BE5D4B" w14:textId="77777777" w:rsidR="00C22821" w:rsidRPr="007C6AAC" w:rsidRDefault="00C22821" w:rsidP="00C22821">
      <w:pPr>
        <w:jc w:val="both"/>
      </w:pPr>
    </w:p>
    <w:p w14:paraId="070DC38B" w14:textId="77777777" w:rsidR="00751BAF" w:rsidRPr="007C6AAC" w:rsidRDefault="00751BAF" w:rsidP="00AA41D0">
      <w:pPr>
        <w:ind w:left="709" w:hanging="709"/>
        <w:jc w:val="both"/>
      </w:pPr>
      <w:proofErr w:type="spellStart"/>
      <w:r w:rsidRPr="007C6AAC">
        <w:t>Massada</w:t>
      </w:r>
      <w:proofErr w:type="spellEnd"/>
      <w:r w:rsidRPr="007C6AAC">
        <w:t>, Y. (1976). Analysis of Essential Oils by Gas Chromatography and Mass Spectrometry. Illustrated ed. New York: Wiley &amp; Sons.</w:t>
      </w:r>
    </w:p>
    <w:p w14:paraId="36134EF0" w14:textId="77777777" w:rsidR="00C22821" w:rsidRPr="007C6AAC" w:rsidRDefault="00C22821" w:rsidP="00C22821">
      <w:pPr>
        <w:jc w:val="both"/>
      </w:pPr>
    </w:p>
    <w:p w14:paraId="1DC823CF" w14:textId="77777777" w:rsidR="00751BAF" w:rsidRPr="007C6AAC" w:rsidRDefault="00751BAF" w:rsidP="00A45A1C">
      <w:pPr>
        <w:ind w:left="709" w:hanging="709"/>
        <w:jc w:val="both"/>
      </w:pPr>
      <w:proofErr w:type="spellStart"/>
      <w:r w:rsidRPr="007C6AAC">
        <w:t>Miththapala</w:t>
      </w:r>
      <w:proofErr w:type="spellEnd"/>
      <w:r w:rsidRPr="007C6AAC">
        <w:t>, S. (2006). Conserving Medicinal Species: Securing a Healthy Future. IUCN.</w:t>
      </w:r>
      <w:r w:rsidR="00AA41D0" w:rsidRPr="007C6AAC">
        <w:t xml:space="preserve"> </w:t>
      </w:r>
      <w:proofErr w:type="spellStart"/>
      <w:r w:rsidRPr="007C6AAC">
        <w:t>Mockutë</w:t>
      </w:r>
      <w:proofErr w:type="spellEnd"/>
      <w:r w:rsidRPr="007C6AAC">
        <w:t xml:space="preserve">, D., </w:t>
      </w:r>
      <w:proofErr w:type="spellStart"/>
      <w:r w:rsidRPr="007C6AAC">
        <w:t>Bernotienë</w:t>
      </w:r>
      <w:proofErr w:type="spellEnd"/>
      <w:r w:rsidRPr="007C6AAC">
        <w:t xml:space="preserve">, G. and </w:t>
      </w:r>
      <w:proofErr w:type="spellStart"/>
      <w:r w:rsidRPr="007C6AAC">
        <w:t>Judþentienë</w:t>
      </w:r>
      <w:proofErr w:type="spellEnd"/>
      <w:r w:rsidRPr="007C6AAC">
        <w:t xml:space="preserve">, A. (2005). Storage-induced changes in essential oil composition of </w:t>
      </w:r>
      <w:r w:rsidRPr="007C6AAC">
        <w:rPr>
          <w:i/>
          <w:iCs/>
        </w:rPr>
        <w:t>Leonurus cardiaca</w:t>
      </w:r>
      <w:r w:rsidRPr="007C6AAC">
        <w:t xml:space="preserve"> L. plants growing wild in Vilnius and of commercial herbs. </w:t>
      </w:r>
      <w:proofErr w:type="spellStart"/>
      <w:r w:rsidRPr="007C6AAC">
        <w:rPr>
          <w:i/>
          <w:iCs/>
        </w:rPr>
        <w:t>Chemija</w:t>
      </w:r>
      <w:proofErr w:type="spellEnd"/>
      <w:r w:rsidRPr="007C6AAC">
        <w:t>, 16(2)</w:t>
      </w:r>
      <w:r w:rsidR="00A45A1C" w:rsidRPr="007C6AAC">
        <w:t>,</w:t>
      </w:r>
      <w:r w:rsidRPr="007C6AAC">
        <w:t xml:space="preserve"> 29-32.</w:t>
      </w:r>
    </w:p>
    <w:p w14:paraId="22126EC7" w14:textId="77777777" w:rsidR="00C22821" w:rsidRPr="007C6AAC" w:rsidRDefault="00C22821" w:rsidP="00C22821"/>
    <w:p w14:paraId="38309312" w14:textId="77777777" w:rsidR="00751BAF" w:rsidRPr="007C6AAC" w:rsidRDefault="00751BAF" w:rsidP="00A45A1C">
      <w:pPr>
        <w:ind w:left="709" w:hanging="709"/>
        <w:jc w:val="both"/>
      </w:pPr>
      <w:proofErr w:type="spellStart"/>
      <w:r w:rsidRPr="007C6AAC">
        <w:t>Moghith</w:t>
      </w:r>
      <w:proofErr w:type="spellEnd"/>
      <w:r w:rsidRPr="007C6AAC">
        <w:t>, W.</w:t>
      </w:r>
      <w:r w:rsidR="00A45A1C" w:rsidRPr="007C6AAC">
        <w:t xml:space="preserve"> </w:t>
      </w:r>
      <w:r w:rsidRPr="007C6AAC">
        <w:t>M., Abd El-Aleem, W.</w:t>
      </w:r>
      <w:r w:rsidR="00A45A1C" w:rsidRPr="007C6AAC">
        <w:t xml:space="preserve"> </w:t>
      </w:r>
      <w:r w:rsidRPr="007C6AAC">
        <w:t>H.</w:t>
      </w:r>
      <w:r w:rsidR="00D6308F" w:rsidRPr="007C6AAC">
        <w:t>,</w:t>
      </w:r>
      <w:r w:rsidRPr="007C6AAC">
        <w:t xml:space="preserve"> </w:t>
      </w:r>
      <w:r w:rsidR="00D6308F" w:rsidRPr="007C6AAC">
        <w:t>&amp;</w:t>
      </w:r>
      <w:r w:rsidRPr="007C6AAC">
        <w:t xml:space="preserve"> Hamed, E.</w:t>
      </w:r>
      <w:r w:rsidR="00A45A1C" w:rsidRPr="007C6AAC">
        <w:t xml:space="preserve"> </w:t>
      </w:r>
      <w:r w:rsidRPr="007C6AAC">
        <w:t>S. (2024). Effect of chemical, organic fertilization and storage time on the yield and quality of the dragon head (</w:t>
      </w:r>
      <w:proofErr w:type="spellStart"/>
      <w:r w:rsidRPr="007C6AAC">
        <w:rPr>
          <w:i/>
          <w:iCs/>
        </w:rPr>
        <w:t>Dracocephalum</w:t>
      </w:r>
      <w:proofErr w:type="spellEnd"/>
      <w:r w:rsidRPr="007C6AAC">
        <w:rPr>
          <w:i/>
          <w:iCs/>
        </w:rPr>
        <w:t xml:space="preserve"> </w:t>
      </w:r>
      <w:proofErr w:type="spellStart"/>
      <w:r w:rsidRPr="007C6AAC">
        <w:rPr>
          <w:i/>
          <w:iCs/>
        </w:rPr>
        <w:t>moldavica</w:t>
      </w:r>
      <w:proofErr w:type="spellEnd"/>
      <w:r w:rsidRPr="007C6AAC">
        <w:t xml:space="preserve"> L.) plant. </w:t>
      </w:r>
      <w:r w:rsidRPr="007C6AAC">
        <w:rPr>
          <w:i/>
          <w:iCs/>
        </w:rPr>
        <w:t>International Journal of Horticulture and Food Science</w:t>
      </w:r>
      <w:r w:rsidRPr="007C6AAC">
        <w:t>, 6(2)</w:t>
      </w:r>
      <w:r w:rsidR="00A45A1C" w:rsidRPr="007C6AAC">
        <w:t>,</w:t>
      </w:r>
      <w:r w:rsidRPr="007C6AAC">
        <w:t xml:space="preserve"> 37-44.</w:t>
      </w:r>
    </w:p>
    <w:p w14:paraId="3A86FE05" w14:textId="77777777" w:rsidR="00C22821" w:rsidRPr="007C6AAC" w:rsidRDefault="00C22821" w:rsidP="00AA41D0">
      <w:pPr>
        <w:ind w:left="709" w:hanging="709"/>
        <w:jc w:val="both"/>
        <w:rPr>
          <w:highlight w:val="yellow"/>
        </w:rPr>
      </w:pPr>
    </w:p>
    <w:p w14:paraId="67CBCF8B" w14:textId="77777777" w:rsidR="00751BAF" w:rsidRPr="007C6AAC" w:rsidRDefault="00751BAF" w:rsidP="00A45A1C">
      <w:pPr>
        <w:ind w:left="709" w:hanging="709"/>
        <w:jc w:val="both"/>
      </w:pPr>
      <w:r w:rsidRPr="007C6AAC">
        <w:t>Mohammed, M.</w:t>
      </w:r>
      <w:r w:rsidR="00A45A1C" w:rsidRPr="007C6AAC">
        <w:t xml:space="preserve"> </w:t>
      </w:r>
      <w:r w:rsidRPr="007C6AAC">
        <w:t xml:space="preserve">J., Anand, U., </w:t>
      </w:r>
      <w:proofErr w:type="spellStart"/>
      <w:r w:rsidRPr="007C6AAC">
        <w:t>Altemimi</w:t>
      </w:r>
      <w:proofErr w:type="spellEnd"/>
      <w:r w:rsidRPr="007C6AAC">
        <w:t>, A.</w:t>
      </w:r>
      <w:r w:rsidR="00A45A1C" w:rsidRPr="007C6AAC">
        <w:t xml:space="preserve"> </w:t>
      </w:r>
      <w:r w:rsidRPr="007C6AAC">
        <w:t>B., Tripathi, V., Guo, Y.</w:t>
      </w:r>
      <w:r w:rsidR="00D6308F" w:rsidRPr="007C6AAC">
        <w:t>,</w:t>
      </w:r>
      <w:r w:rsidRPr="007C6AAC">
        <w:t xml:space="preserve"> </w:t>
      </w:r>
      <w:r w:rsidR="00D6308F" w:rsidRPr="007C6AAC">
        <w:t>&amp;</w:t>
      </w:r>
      <w:r w:rsidRPr="007C6AAC">
        <w:t xml:space="preserve"> Pratap-Singh, A. (2021). Phenolic composition, antioxidant capacity and antibacterial activity of white wormwood (</w:t>
      </w:r>
      <w:r w:rsidRPr="007C6AAC">
        <w:rPr>
          <w:i/>
          <w:iCs/>
        </w:rPr>
        <w:t xml:space="preserve">Artemisia </w:t>
      </w:r>
      <w:proofErr w:type="spellStart"/>
      <w:r w:rsidRPr="007C6AAC">
        <w:rPr>
          <w:i/>
          <w:iCs/>
        </w:rPr>
        <w:t>herba</w:t>
      </w:r>
      <w:proofErr w:type="spellEnd"/>
      <w:r w:rsidRPr="007C6AAC">
        <w:rPr>
          <w:i/>
          <w:iCs/>
        </w:rPr>
        <w:t>-alba</w:t>
      </w:r>
      <w:r w:rsidRPr="007C6AAC">
        <w:t xml:space="preserve">). </w:t>
      </w:r>
      <w:r w:rsidRPr="007C6AAC">
        <w:rPr>
          <w:i/>
          <w:iCs/>
        </w:rPr>
        <w:t>Plants</w:t>
      </w:r>
      <w:r w:rsidRPr="007C6AAC">
        <w:t>, 10, 164</w:t>
      </w:r>
      <w:r w:rsidR="00A45A1C" w:rsidRPr="007C6AAC">
        <w:t>,</w:t>
      </w:r>
      <w:r w:rsidRPr="007C6AAC">
        <w:t>1-13.</w:t>
      </w:r>
    </w:p>
    <w:p w14:paraId="10E5FD83" w14:textId="77777777" w:rsidR="00AA41D0" w:rsidRPr="007C6AAC" w:rsidRDefault="00AA41D0" w:rsidP="00C22821">
      <w:pPr>
        <w:jc w:val="both"/>
        <w:rPr>
          <w:highlight w:val="yellow"/>
        </w:rPr>
      </w:pPr>
    </w:p>
    <w:p w14:paraId="623B4149" w14:textId="77777777" w:rsidR="00751BAF" w:rsidRPr="007C6AAC" w:rsidRDefault="00751BAF" w:rsidP="00A45A1C">
      <w:pPr>
        <w:pStyle w:val="Default"/>
        <w:tabs>
          <w:tab w:val="left" w:pos="720"/>
        </w:tabs>
        <w:ind w:left="709" w:hanging="709"/>
        <w:jc w:val="both"/>
        <w:rPr>
          <w:rFonts w:ascii="Helvetica" w:hAnsi="Helvetica"/>
          <w:color w:val="auto"/>
          <w:sz w:val="20"/>
          <w:szCs w:val="20"/>
        </w:rPr>
      </w:pPr>
      <w:proofErr w:type="spellStart"/>
      <w:r w:rsidRPr="007C6AAC">
        <w:rPr>
          <w:rFonts w:ascii="Helvetica" w:hAnsi="Helvetica"/>
          <w:color w:val="auto"/>
          <w:sz w:val="20"/>
          <w:szCs w:val="20"/>
        </w:rPr>
        <w:t>Orav</w:t>
      </w:r>
      <w:proofErr w:type="spellEnd"/>
      <w:r w:rsidRPr="007C6AAC">
        <w:rPr>
          <w:rFonts w:ascii="Helvetica" w:hAnsi="Helvetica"/>
          <w:color w:val="auto"/>
          <w:sz w:val="20"/>
          <w:szCs w:val="20"/>
        </w:rPr>
        <w:t xml:space="preserve">, A., </w:t>
      </w:r>
      <w:proofErr w:type="spellStart"/>
      <w:r w:rsidRPr="007C6AAC">
        <w:rPr>
          <w:rFonts w:ascii="Helvetica" w:hAnsi="Helvetica"/>
          <w:color w:val="auto"/>
          <w:sz w:val="20"/>
          <w:szCs w:val="20"/>
        </w:rPr>
        <w:t>Stulova</w:t>
      </w:r>
      <w:proofErr w:type="spellEnd"/>
      <w:r w:rsidRPr="007C6AAC">
        <w:rPr>
          <w:rFonts w:ascii="Helvetica" w:hAnsi="Helvetica"/>
          <w:color w:val="auto"/>
          <w:sz w:val="20"/>
          <w:szCs w:val="20"/>
        </w:rPr>
        <w:t>, I., Kailas, T.</w:t>
      </w:r>
      <w:r w:rsidR="00D6308F" w:rsidRPr="007C6AAC">
        <w:rPr>
          <w:rFonts w:ascii="Helvetica" w:hAnsi="Helvetica"/>
          <w:color w:val="auto"/>
          <w:sz w:val="20"/>
          <w:szCs w:val="20"/>
        </w:rPr>
        <w:t>,</w:t>
      </w:r>
      <w:r w:rsidRPr="007C6AAC">
        <w:rPr>
          <w:rFonts w:ascii="Helvetica" w:hAnsi="Helvetica"/>
          <w:color w:val="auto"/>
          <w:sz w:val="20"/>
          <w:szCs w:val="20"/>
        </w:rPr>
        <w:t xml:space="preserve"> </w:t>
      </w:r>
      <w:r w:rsidR="00D6308F" w:rsidRPr="007C6AAC">
        <w:rPr>
          <w:rFonts w:ascii="Helvetica" w:hAnsi="Helvetica"/>
          <w:color w:val="auto"/>
          <w:sz w:val="20"/>
          <w:szCs w:val="20"/>
        </w:rPr>
        <w:t>&amp;</w:t>
      </w:r>
      <w:r w:rsidRPr="007C6AAC">
        <w:rPr>
          <w:rFonts w:ascii="Helvetica" w:hAnsi="Helvetica"/>
          <w:color w:val="auto"/>
          <w:sz w:val="20"/>
          <w:szCs w:val="20"/>
        </w:rPr>
        <w:t xml:space="preserve"> </w:t>
      </w:r>
      <w:proofErr w:type="spellStart"/>
      <w:r w:rsidRPr="007C6AAC">
        <w:rPr>
          <w:rFonts w:ascii="Helvetica" w:hAnsi="Helvetica"/>
          <w:color w:val="auto"/>
          <w:sz w:val="20"/>
          <w:szCs w:val="20"/>
        </w:rPr>
        <w:t>Müürisepp</w:t>
      </w:r>
      <w:proofErr w:type="spellEnd"/>
      <w:r w:rsidRPr="007C6AAC">
        <w:rPr>
          <w:rFonts w:ascii="Helvetica" w:hAnsi="Helvetica"/>
          <w:color w:val="auto"/>
          <w:sz w:val="20"/>
          <w:szCs w:val="20"/>
        </w:rPr>
        <w:t xml:space="preserve">, M. (2004). Effect of storage on the essential oil composition of </w:t>
      </w:r>
      <w:r w:rsidRPr="007C6AAC">
        <w:rPr>
          <w:rFonts w:ascii="Helvetica" w:hAnsi="Helvetica"/>
          <w:i/>
          <w:iCs/>
          <w:color w:val="auto"/>
          <w:sz w:val="20"/>
          <w:szCs w:val="20"/>
        </w:rPr>
        <w:t>Piper nigrum</w:t>
      </w:r>
      <w:r w:rsidRPr="007C6AAC">
        <w:rPr>
          <w:rFonts w:ascii="Helvetica" w:hAnsi="Helvetica"/>
          <w:color w:val="auto"/>
          <w:sz w:val="20"/>
          <w:szCs w:val="20"/>
        </w:rPr>
        <w:t xml:space="preserve"> L. fruits of different ripening states. </w:t>
      </w:r>
      <w:r w:rsidRPr="007C6AAC">
        <w:rPr>
          <w:rFonts w:ascii="Helvetica" w:hAnsi="Helvetica"/>
          <w:i/>
          <w:iCs/>
          <w:color w:val="auto"/>
          <w:sz w:val="20"/>
          <w:szCs w:val="20"/>
        </w:rPr>
        <w:t>Journal of Agricultural and Food Chemistry</w:t>
      </w:r>
      <w:r w:rsidRPr="007C6AAC">
        <w:rPr>
          <w:rFonts w:ascii="Helvetica" w:hAnsi="Helvetica"/>
          <w:color w:val="auto"/>
          <w:sz w:val="20"/>
          <w:szCs w:val="20"/>
        </w:rPr>
        <w:t>, 52(9)</w:t>
      </w:r>
      <w:r w:rsidR="00A45A1C" w:rsidRPr="007C6AAC">
        <w:rPr>
          <w:rFonts w:ascii="Helvetica" w:hAnsi="Helvetica"/>
          <w:color w:val="auto"/>
          <w:sz w:val="20"/>
          <w:szCs w:val="20"/>
        </w:rPr>
        <w:t>,</w:t>
      </w:r>
      <w:r w:rsidRPr="007C6AAC">
        <w:rPr>
          <w:rFonts w:ascii="Helvetica" w:hAnsi="Helvetica"/>
          <w:color w:val="auto"/>
          <w:sz w:val="20"/>
          <w:szCs w:val="20"/>
        </w:rPr>
        <w:t xml:space="preserve"> 2582-2586.</w:t>
      </w:r>
    </w:p>
    <w:p w14:paraId="16447E4A" w14:textId="77777777" w:rsidR="00C22821" w:rsidRPr="007C6AAC" w:rsidRDefault="00C22821" w:rsidP="00C22821">
      <w:pPr>
        <w:pStyle w:val="Default"/>
        <w:tabs>
          <w:tab w:val="left" w:pos="720"/>
        </w:tabs>
        <w:jc w:val="both"/>
        <w:rPr>
          <w:rFonts w:ascii="Helvetica" w:hAnsi="Helvetica"/>
          <w:color w:val="auto"/>
          <w:sz w:val="20"/>
          <w:szCs w:val="20"/>
          <w:highlight w:val="yellow"/>
        </w:rPr>
      </w:pPr>
    </w:p>
    <w:p w14:paraId="5CAD9E85" w14:textId="77777777" w:rsidR="00751BAF" w:rsidRPr="007C6AAC" w:rsidRDefault="00751BAF" w:rsidP="00D6308F">
      <w:pPr>
        <w:ind w:left="709" w:hanging="709"/>
        <w:jc w:val="both"/>
      </w:pPr>
      <w:r w:rsidRPr="007C6AAC">
        <w:t>Parthasarathy, V.</w:t>
      </w:r>
      <w:r w:rsidR="00A45A1C" w:rsidRPr="007C6AAC">
        <w:t xml:space="preserve"> </w:t>
      </w:r>
      <w:r w:rsidRPr="007C6AAC">
        <w:t xml:space="preserve">A., </w:t>
      </w:r>
      <w:proofErr w:type="spellStart"/>
      <w:r w:rsidRPr="007C6AAC">
        <w:t>Chempakam</w:t>
      </w:r>
      <w:proofErr w:type="spellEnd"/>
      <w:r w:rsidRPr="007C6AAC">
        <w:t>, B.</w:t>
      </w:r>
      <w:r w:rsidR="00D6308F" w:rsidRPr="007C6AAC">
        <w:t>,</w:t>
      </w:r>
      <w:r w:rsidRPr="007C6AAC">
        <w:t xml:space="preserve"> </w:t>
      </w:r>
      <w:r w:rsidR="00D6308F" w:rsidRPr="007C6AAC">
        <w:t>&amp;</w:t>
      </w:r>
      <w:r w:rsidRPr="007C6AAC">
        <w:t xml:space="preserve"> Zachariah, T.</w:t>
      </w:r>
      <w:r w:rsidR="00A45A1C" w:rsidRPr="007C6AAC">
        <w:t xml:space="preserve"> </w:t>
      </w:r>
      <w:r w:rsidRPr="007C6AAC">
        <w:t>J. (2008). Chemistry of Spices. CABI Pub.</w:t>
      </w:r>
    </w:p>
    <w:p w14:paraId="0BA732A8" w14:textId="77777777" w:rsidR="00C22821" w:rsidRPr="007C6AAC" w:rsidRDefault="00C22821" w:rsidP="00C22821">
      <w:pPr>
        <w:jc w:val="both"/>
      </w:pPr>
    </w:p>
    <w:p w14:paraId="284EFE72" w14:textId="77777777" w:rsidR="00751BAF" w:rsidRPr="007C6AAC" w:rsidRDefault="00751BAF" w:rsidP="00AA41D0">
      <w:pPr>
        <w:jc w:val="both"/>
      </w:pPr>
      <w:r w:rsidRPr="007C6AAC">
        <w:t>Peter, K.V. (2012). Handbook of Herbs and Spices: 2</w:t>
      </w:r>
      <w:r w:rsidRPr="007C6AAC">
        <w:rPr>
          <w:vertAlign w:val="superscript"/>
        </w:rPr>
        <w:t>nd</w:t>
      </w:r>
      <w:r w:rsidR="00AA41D0" w:rsidRPr="007C6AAC">
        <w:t xml:space="preserve"> </w:t>
      </w:r>
      <w:r w:rsidRPr="007C6AAC">
        <w:t>ed., Vol. 2. Woodhead publishing.</w:t>
      </w:r>
    </w:p>
    <w:p w14:paraId="798423B7" w14:textId="77777777" w:rsidR="00C22821" w:rsidRPr="007C6AAC" w:rsidRDefault="00C22821" w:rsidP="00C22821">
      <w:pPr>
        <w:jc w:val="both"/>
      </w:pPr>
    </w:p>
    <w:p w14:paraId="5D5B2E8C" w14:textId="77777777" w:rsidR="00751BAF" w:rsidRPr="007C6AAC" w:rsidRDefault="00751BAF" w:rsidP="00C22821">
      <w:pPr>
        <w:jc w:val="both"/>
      </w:pPr>
      <w:r w:rsidRPr="007C6AAC">
        <w:t>Raghavan, S. (2006). Handbook of Spices, Seasonings, and Flavorings. CRC press.</w:t>
      </w:r>
    </w:p>
    <w:p w14:paraId="0E158F7F" w14:textId="77777777" w:rsidR="00C22821" w:rsidRPr="007C6AAC" w:rsidRDefault="00C22821" w:rsidP="00C22821">
      <w:pPr>
        <w:jc w:val="both"/>
        <w:rPr>
          <w:highlight w:val="yellow"/>
        </w:rPr>
      </w:pPr>
    </w:p>
    <w:p w14:paraId="6C2EBE6C" w14:textId="77777777" w:rsidR="00751BAF" w:rsidRPr="007C6AAC" w:rsidRDefault="00751BAF" w:rsidP="00A45A1C">
      <w:pPr>
        <w:ind w:left="709" w:hanging="709"/>
        <w:jc w:val="both"/>
      </w:pPr>
      <w:r w:rsidRPr="007C6AAC">
        <w:t>Salim, R., Abu-</w:t>
      </w:r>
      <w:proofErr w:type="spellStart"/>
      <w:r w:rsidRPr="007C6AAC">
        <w:t>Goukh</w:t>
      </w:r>
      <w:proofErr w:type="spellEnd"/>
      <w:r w:rsidRPr="007C6AAC">
        <w:t>, A.</w:t>
      </w:r>
      <w:r w:rsidR="00A45A1C" w:rsidRPr="007C6AAC">
        <w:t xml:space="preserve"> </w:t>
      </w:r>
      <w:r w:rsidRPr="007C6AAC">
        <w:t>A., Khalid, H.</w:t>
      </w:r>
      <w:r w:rsidR="00A45A1C" w:rsidRPr="007C6AAC">
        <w:t xml:space="preserve"> </w:t>
      </w:r>
      <w:r w:rsidRPr="007C6AAC">
        <w:t>E.</w:t>
      </w:r>
      <w:r w:rsidR="00D6308F" w:rsidRPr="007C6AAC">
        <w:t>,</w:t>
      </w:r>
      <w:r w:rsidRPr="007C6AAC">
        <w:t xml:space="preserve"> </w:t>
      </w:r>
      <w:r w:rsidR="00D6308F" w:rsidRPr="007C6AAC">
        <w:t>&amp;</w:t>
      </w:r>
      <w:r w:rsidRPr="007C6AAC">
        <w:t xml:space="preserve"> El Hassan, G.</w:t>
      </w:r>
      <w:r w:rsidR="00A45A1C" w:rsidRPr="007C6AAC">
        <w:t xml:space="preserve"> </w:t>
      </w:r>
      <w:r w:rsidRPr="007C6AAC">
        <w:t>M. (2016). Carvone content and chemical composition in spearmint (</w:t>
      </w:r>
      <w:r w:rsidRPr="007C6AAC">
        <w:rPr>
          <w:i/>
          <w:iCs/>
        </w:rPr>
        <w:t>Mentha spicata</w:t>
      </w:r>
      <w:r w:rsidRPr="007C6AAC">
        <w:t xml:space="preserve"> var. viridis L.) as affected by herb storage under ambient temperature. </w:t>
      </w:r>
      <w:r w:rsidRPr="007C6AAC">
        <w:rPr>
          <w:i/>
          <w:iCs/>
        </w:rPr>
        <w:t>Journal of Food, Nutrition and Population Health</w:t>
      </w:r>
      <w:r w:rsidRPr="007C6AAC">
        <w:t>, 1(5)</w:t>
      </w:r>
      <w:r w:rsidR="00A45A1C" w:rsidRPr="007C6AAC">
        <w:t>,</w:t>
      </w:r>
      <w:r w:rsidRPr="007C6AAC">
        <w:t>1-8.</w:t>
      </w:r>
    </w:p>
    <w:p w14:paraId="584C136B" w14:textId="77777777" w:rsidR="00C22821" w:rsidRPr="007C6AAC" w:rsidRDefault="00C22821" w:rsidP="00C22821">
      <w:pPr>
        <w:jc w:val="both"/>
        <w:rPr>
          <w:highlight w:val="yellow"/>
        </w:rPr>
      </w:pPr>
    </w:p>
    <w:p w14:paraId="7991D625" w14:textId="77777777" w:rsidR="00751BAF" w:rsidRPr="007C6AAC" w:rsidRDefault="00751BAF" w:rsidP="00A45A1C">
      <w:pPr>
        <w:ind w:left="709" w:hanging="709"/>
        <w:jc w:val="both"/>
      </w:pPr>
      <w:r w:rsidRPr="007C6AAC">
        <w:t>Samad, M., Sajid, M., Hussain, I., Samad, N.</w:t>
      </w:r>
      <w:r w:rsidR="00D6308F" w:rsidRPr="007C6AAC">
        <w:t>,</w:t>
      </w:r>
      <w:r w:rsidRPr="007C6AAC">
        <w:t xml:space="preserve"> </w:t>
      </w:r>
      <w:r w:rsidR="00D6308F" w:rsidRPr="007C6AAC">
        <w:t>&amp;</w:t>
      </w:r>
      <w:r w:rsidRPr="007C6AAC">
        <w:t xml:space="preserve"> Jan, N. (2019). Influence of herbal extract and storage duration on fruit quality of China lime. </w:t>
      </w:r>
      <w:r w:rsidRPr="007C6AAC">
        <w:rPr>
          <w:i/>
          <w:iCs/>
        </w:rPr>
        <w:t>Horticulture International Journal</w:t>
      </w:r>
      <w:r w:rsidRPr="007C6AAC">
        <w:t>, 3(3)</w:t>
      </w:r>
      <w:r w:rsidR="00A45A1C" w:rsidRPr="007C6AAC">
        <w:t>,</w:t>
      </w:r>
      <w:r w:rsidRPr="007C6AAC">
        <w:t>153-158.</w:t>
      </w:r>
    </w:p>
    <w:p w14:paraId="6AD14752" w14:textId="77777777" w:rsidR="00C22821" w:rsidRPr="007C6AAC" w:rsidRDefault="00C22821" w:rsidP="00C22821">
      <w:pPr>
        <w:jc w:val="both"/>
      </w:pPr>
    </w:p>
    <w:p w14:paraId="79A9F49F" w14:textId="77777777" w:rsidR="00751BAF" w:rsidRPr="007C6AAC" w:rsidRDefault="00751BAF" w:rsidP="00D6308F">
      <w:pPr>
        <w:ind w:left="709" w:hanging="709"/>
        <w:jc w:val="both"/>
      </w:pPr>
      <w:proofErr w:type="spellStart"/>
      <w:r w:rsidRPr="007C6AAC">
        <w:t>Snedecor</w:t>
      </w:r>
      <w:proofErr w:type="spellEnd"/>
      <w:r w:rsidRPr="007C6AAC">
        <w:t>, G.W.</w:t>
      </w:r>
      <w:r w:rsidR="00D6308F" w:rsidRPr="007C6AAC">
        <w:t>,</w:t>
      </w:r>
      <w:r w:rsidRPr="007C6AAC">
        <w:t xml:space="preserve"> </w:t>
      </w:r>
      <w:r w:rsidR="00D6308F" w:rsidRPr="007C6AAC">
        <w:t>&amp;</w:t>
      </w:r>
      <w:r w:rsidRPr="007C6AAC">
        <w:t xml:space="preserve"> Cochran, W.G. (1982). Statistical Methods. The Iowa State University Press.</w:t>
      </w:r>
    </w:p>
    <w:p w14:paraId="081A5DE5" w14:textId="77777777" w:rsidR="00C22821" w:rsidRPr="007C6AAC" w:rsidRDefault="00C22821" w:rsidP="00C22821">
      <w:pPr>
        <w:jc w:val="both"/>
      </w:pPr>
    </w:p>
    <w:p w14:paraId="7690BD7B" w14:textId="77777777" w:rsidR="00751BAF" w:rsidRPr="007C6AAC" w:rsidRDefault="00751BAF" w:rsidP="00DD2751">
      <w:pPr>
        <w:ind w:left="709" w:hanging="709"/>
        <w:jc w:val="both"/>
      </w:pPr>
      <w:r w:rsidRPr="007C6AAC">
        <w:t xml:space="preserve">Union </w:t>
      </w:r>
      <w:proofErr w:type="spellStart"/>
      <w:r w:rsidRPr="007C6AAC">
        <w:t>Internationale</w:t>
      </w:r>
      <w:proofErr w:type="spellEnd"/>
      <w:r w:rsidRPr="007C6AAC">
        <w:t xml:space="preserve"> pour la Conservation de la Nature et de </w:t>
      </w:r>
      <w:proofErr w:type="spellStart"/>
      <w:r w:rsidRPr="007C6AAC">
        <w:t>ses</w:t>
      </w:r>
      <w:proofErr w:type="spellEnd"/>
      <w:r w:rsidRPr="007C6AAC">
        <w:t xml:space="preserve"> </w:t>
      </w:r>
      <w:proofErr w:type="spellStart"/>
      <w:r w:rsidRPr="007C6AAC">
        <w:t>Ressources</w:t>
      </w:r>
      <w:proofErr w:type="spellEnd"/>
      <w:r w:rsidRPr="007C6AAC">
        <w:t xml:space="preserve"> (2005). A </w:t>
      </w:r>
      <w:r w:rsidR="00DD2751" w:rsidRPr="007C6AAC">
        <w:t>G</w:t>
      </w:r>
      <w:r w:rsidRPr="007C6AAC">
        <w:t xml:space="preserve">uide to </w:t>
      </w:r>
      <w:r w:rsidR="00DD2751" w:rsidRPr="007C6AAC">
        <w:t>M</w:t>
      </w:r>
      <w:r w:rsidRPr="007C6AAC">
        <w:t xml:space="preserve">edicinal </w:t>
      </w:r>
      <w:r w:rsidR="00DD2751" w:rsidRPr="007C6AAC">
        <w:t>P</w:t>
      </w:r>
      <w:r w:rsidRPr="007C6AAC">
        <w:t>lants in North Africa. IUCN.</w:t>
      </w:r>
    </w:p>
    <w:p w14:paraId="29C206BB" w14:textId="77777777" w:rsidR="00C22821" w:rsidRPr="007C6AAC" w:rsidRDefault="00C22821" w:rsidP="00C22821">
      <w:pPr>
        <w:jc w:val="both"/>
      </w:pPr>
    </w:p>
    <w:p w14:paraId="1388EEE8" w14:textId="77777777" w:rsidR="00751BAF" w:rsidRPr="007C6AAC" w:rsidRDefault="00751BAF" w:rsidP="00D6308F">
      <w:pPr>
        <w:ind w:left="709" w:hanging="709"/>
        <w:jc w:val="both"/>
      </w:pPr>
      <w:r w:rsidRPr="007C6AAC">
        <w:t>World Health Organization (1998). Quality Control Methods for Medicinal Plant Materials. World Health Organization.</w:t>
      </w:r>
    </w:p>
    <w:p w14:paraId="0741EBE3" w14:textId="77777777" w:rsidR="00C22821" w:rsidRPr="007C6AAC" w:rsidRDefault="00C22821" w:rsidP="00C22821">
      <w:pPr>
        <w:jc w:val="both"/>
      </w:pPr>
    </w:p>
    <w:p w14:paraId="07032063" w14:textId="77777777" w:rsidR="00751BAF" w:rsidRPr="007C6AAC" w:rsidRDefault="00751BAF" w:rsidP="00C22821">
      <w:pPr>
        <w:jc w:val="both"/>
      </w:pPr>
      <w:r w:rsidRPr="007C6AAC">
        <w:t>Wright, C.W. (2001). Artemisia. CRC Press.</w:t>
      </w:r>
    </w:p>
    <w:p w14:paraId="1DFE1CEE" w14:textId="77777777" w:rsidR="00C22821" w:rsidRPr="007C6AAC" w:rsidRDefault="00C22821" w:rsidP="00C22821">
      <w:pPr>
        <w:jc w:val="both"/>
      </w:pPr>
    </w:p>
    <w:p w14:paraId="38A89B52" w14:textId="77777777" w:rsidR="00751BAF" w:rsidRPr="00C22821" w:rsidRDefault="00751BAF" w:rsidP="00A45A1C">
      <w:pPr>
        <w:ind w:left="709" w:hanging="709"/>
        <w:jc w:val="both"/>
      </w:pPr>
      <w:proofErr w:type="spellStart"/>
      <w:r w:rsidRPr="007C6AAC">
        <w:t>Zámboriné</w:t>
      </w:r>
      <w:proofErr w:type="spellEnd"/>
      <w:r w:rsidRPr="007C6AAC">
        <w:t xml:space="preserve"> </w:t>
      </w:r>
      <w:proofErr w:type="spellStart"/>
      <w:r w:rsidRPr="007C6AAC">
        <w:t>Németh</w:t>
      </w:r>
      <w:proofErr w:type="spellEnd"/>
      <w:r w:rsidRPr="007C6AAC">
        <w:t>, É.</w:t>
      </w:r>
      <w:r w:rsidR="00D6308F" w:rsidRPr="007C6AAC">
        <w:t>,</w:t>
      </w:r>
      <w:r w:rsidRPr="007C6AAC">
        <w:t xml:space="preserve"> </w:t>
      </w:r>
      <w:r w:rsidR="00D6308F" w:rsidRPr="007C6AAC">
        <w:t>&amp;</w:t>
      </w:r>
      <w:r w:rsidRPr="007C6AAC">
        <w:t xml:space="preserve"> </w:t>
      </w:r>
      <w:proofErr w:type="spellStart"/>
      <w:r w:rsidRPr="007C6AAC">
        <w:t>Thi</w:t>
      </w:r>
      <w:proofErr w:type="spellEnd"/>
      <w:r w:rsidRPr="007C6AAC">
        <w:t xml:space="preserve"> Nguyen, H., (2020). Thujone, a widely debated volatile compound: What do we know about </w:t>
      </w:r>
      <w:proofErr w:type="gramStart"/>
      <w:r w:rsidRPr="007C6AAC">
        <w:t>it?.</w:t>
      </w:r>
      <w:proofErr w:type="gramEnd"/>
      <w:r w:rsidRPr="007C6AAC">
        <w:t xml:space="preserve"> </w:t>
      </w:r>
      <w:r w:rsidRPr="007C6AAC">
        <w:rPr>
          <w:i/>
          <w:iCs/>
        </w:rPr>
        <w:t>Phytochemistry Reviews</w:t>
      </w:r>
      <w:r w:rsidRPr="007C6AAC">
        <w:t>, 19(2)</w:t>
      </w:r>
      <w:r w:rsidR="00A45A1C" w:rsidRPr="007C6AAC">
        <w:t>,</w:t>
      </w:r>
      <w:r w:rsidRPr="007C6AAC">
        <w:t xml:space="preserve"> 405-423.</w:t>
      </w:r>
    </w:p>
    <w:p w14:paraId="375B6FDB" w14:textId="77777777" w:rsidR="003763C1" w:rsidRDefault="003763C1" w:rsidP="00441B6F">
      <w:pPr>
        <w:pStyle w:val="Body"/>
        <w:spacing w:after="0"/>
        <w:jc w:val="left"/>
      </w:pPr>
    </w:p>
    <w:p w14:paraId="49DF00F2" w14:textId="77777777" w:rsidR="004D4277" w:rsidRPr="00FB3A86" w:rsidRDefault="004D4277" w:rsidP="00441B6F">
      <w:pPr>
        <w:pStyle w:val="Appendix"/>
        <w:spacing w:after="0"/>
        <w:jc w:val="both"/>
        <w:rPr>
          <w:rFonts w:ascii="Arial" w:hAnsi="Arial" w:cs="Arial"/>
          <w:b w:val="0"/>
        </w:rPr>
        <w:sectPr w:rsidR="004D4277" w:rsidRPr="00FB3A86" w:rsidSect="0091461D">
          <w:headerReference w:type="even" r:id="rId15"/>
          <w:headerReference w:type="default" r:id="rId16"/>
          <w:footerReference w:type="default" r:id="rId17"/>
          <w:headerReference w:type="first" r:id="rId18"/>
          <w:type w:val="continuous"/>
          <w:pgSz w:w="12240" w:h="15840" w:code="1"/>
          <w:pgMar w:top="1440" w:right="2019" w:bottom="2019" w:left="2019" w:header="0" w:footer="0" w:gutter="0"/>
          <w:cols w:space="720"/>
          <w:docGrid w:linePitch="272"/>
        </w:sectPr>
      </w:pPr>
    </w:p>
    <w:p w14:paraId="0B341C55" w14:textId="77777777" w:rsidR="00B01FCD" w:rsidRPr="00FB3A86" w:rsidRDefault="00B01FCD" w:rsidP="00441B6F">
      <w:pPr>
        <w:pStyle w:val="Appendix"/>
        <w:spacing w:after="0"/>
        <w:jc w:val="both"/>
        <w:rPr>
          <w:rFonts w:ascii="Arial" w:hAnsi="Arial" w:cs="Arial"/>
          <w:b w:val="0"/>
        </w:rPr>
      </w:pPr>
    </w:p>
    <w:sectPr w:rsidR="00B01FCD" w:rsidRPr="00FB3A86" w:rsidSect="0091461D">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hakir" w:date="2025-08-08T21:52:00Z" w:initials="S">
    <w:p w14:paraId="63A33D87" w14:textId="4018CA58" w:rsidR="00E337DD" w:rsidRDefault="00E337DD">
      <w:pPr>
        <w:pStyle w:val="CommentText"/>
      </w:pPr>
      <w:r>
        <w:rPr>
          <w:rStyle w:val="CommentReference"/>
        </w:rPr>
        <w:annotationRef/>
      </w:r>
      <w:r>
        <w:t xml:space="preserve">I sugest this title </w:t>
      </w:r>
      <w:r>
        <w:t>Effects of Storage Time on the Quality Attributes of White Wormwood Herb</w:t>
      </w:r>
    </w:p>
  </w:comment>
  <w:comment w:id="2" w:author="Shakir" w:date="2025-08-08T21:52:00Z" w:initials="S">
    <w:p w14:paraId="3CEE4360" w14:textId="376DE876" w:rsidR="00E337DD" w:rsidRDefault="00E337DD">
      <w:pPr>
        <w:pStyle w:val="CommentText"/>
      </w:pPr>
      <w:r>
        <w:rPr>
          <w:rStyle w:val="CommentReference"/>
        </w:rPr>
        <w:annotationRef/>
      </w:r>
      <w:r w:rsidRPr="00435336">
        <w:rPr>
          <w:rFonts w:ascii="Arial" w:eastAsia="Calibri" w:hAnsi="Arial" w:cs="Arial"/>
          <w:szCs w:val="22"/>
        </w:rPr>
        <w:t>White wormwood (</w:t>
      </w:r>
      <w:r w:rsidRPr="00435336">
        <w:rPr>
          <w:rFonts w:ascii="Arial" w:eastAsia="Calibri" w:hAnsi="Arial" w:cs="Arial"/>
          <w:i/>
          <w:iCs/>
          <w:szCs w:val="22"/>
        </w:rPr>
        <w:t>Artemisia herba-alba</w:t>
      </w:r>
      <w:r w:rsidRPr="00435336">
        <w:rPr>
          <w:rFonts w:ascii="Arial" w:eastAsia="Calibri" w:hAnsi="Arial" w:cs="Arial"/>
          <w:szCs w:val="22"/>
        </w:rPr>
        <w:t xml:space="preserve"> Asso.) is </w:t>
      </w:r>
      <w:r>
        <w:rPr>
          <w:rFonts w:ascii="Arial" w:eastAsia="Calibri" w:hAnsi="Arial" w:cs="Arial"/>
          <w:szCs w:val="22"/>
        </w:rPr>
        <w:t xml:space="preserve">a medicinal plant of great importance, </w:t>
      </w:r>
      <w:r w:rsidRPr="00435336">
        <w:rPr>
          <w:rFonts w:ascii="Arial" w:eastAsia="Calibri" w:hAnsi="Arial" w:cs="Arial"/>
          <w:szCs w:val="22"/>
        </w:rPr>
        <w:t xml:space="preserve">widely used for its health benefits. </w:t>
      </w:r>
    </w:p>
  </w:comment>
  <w:comment w:id="4" w:author="Shakir" w:date="2025-08-08T21:53:00Z" w:initials="S">
    <w:p w14:paraId="3B33F1B2" w14:textId="467C2A4A" w:rsidR="00E337DD" w:rsidRDefault="00E337DD">
      <w:pPr>
        <w:pStyle w:val="CommentText"/>
      </w:pPr>
      <w:r>
        <w:rPr>
          <w:rStyle w:val="CommentReference"/>
        </w:rPr>
        <w:annotationRef/>
      </w:r>
      <w:r>
        <w:t>Both compounds declined progressively with prolonged storage, reaching their lowest levels at 12 months. Based on these findings, it is recommended that white wormwood not be stored for more than 3 months at room temperature in order to preserve its quantity and quality attributes."</w:t>
      </w:r>
    </w:p>
  </w:comment>
  <w:comment w:id="5" w:author="Shakir" w:date="2025-08-08T21:53:00Z" w:initials="S">
    <w:p w14:paraId="4F15D960" w14:textId="22CC8310" w:rsidR="00D91C0A" w:rsidRDefault="00D91C0A">
      <w:pPr>
        <w:pStyle w:val="CommentText"/>
      </w:pPr>
      <w:r>
        <w:rPr>
          <w:rStyle w:val="CommentReference"/>
        </w:rPr>
        <w:annotationRef/>
      </w:r>
      <w:r w:rsidRPr="008136F2">
        <w:rPr>
          <w:rFonts w:ascii="Arial" w:hAnsi="Arial" w:cs="Arial"/>
        </w:rPr>
        <w:t xml:space="preserve">Medicinal plants are considered unconventional crops that </w:t>
      </w:r>
      <w:r>
        <w:rPr>
          <w:rFonts w:ascii="Arial" w:hAnsi="Arial" w:cs="Arial"/>
        </w:rPr>
        <w:t>humans have used</w:t>
      </w:r>
      <w:r w:rsidRPr="008136F2">
        <w:rPr>
          <w:rFonts w:ascii="Arial" w:hAnsi="Arial" w:cs="Arial"/>
        </w:rPr>
        <w:t xml:space="preserve"> throughout history to provide remedies for various ailments. Their importance in treating a wide range of human illnesses became particularly evident during the Middle Ages and continues to be recognized today.</w:t>
      </w:r>
    </w:p>
  </w:comment>
  <w:comment w:id="6" w:author="Shakir" w:date="2025-08-08T21:53:00Z" w:initials="S">
    <w:p w14:paraId="7B658C8E" w14:textId="4BE1B7FD" w:rsidR="00D91C0A" w:rsidRDefault="00D91C0A">
      <w:pPr>
        <w:pStyle w:val="CommentText"/>
      </w:pPr>
      <w:r>
        <w:rPr>
          <w:rStyle w:val="CommentReference"/>
        </w:rPr>
        <w:annotationRef/>
      </w:r>
      <w:r w:rsidRPr="00D91C0A">
        <w:rPr>
          <w:rFonts w:ascii="Arial" w:hAnsi="Arial" w:cs="Arial"/>
        </w:rPr>
        <w:t>Direct impact on storage effectiveness.</w:t>
      </w:r>
    </w:p>
  </w:comment>
  <w:comment w:id="7" w:author="Shakir" w:date="2025-08-08T21:54:00Z" w:initials="S">
    <w:p w14:paraId="54677A52" w14:textId="229F9996" w:rsidR="00D91C0A" w:rsidRDefault="00D91C0A">
      <w:pPr>
        <w:pStyle w:val="CommentText"/>
      </w:pPr>
      <w:r>
        <w:rPr>
          <w:rStyle w:val="CommentReference"/>
        </w:rPr>
        <w:annotationRef/>
      </w:r>
      <w:r>
        <w:t xml:space="preserve">The essential oil extracted from </w:t>
      </w:r>
      <w:r>
        <w:rPr>
          <w:rStyle w:val="Emphasis"/>
        </w:rPr>
        <w:t>Artemisia herba-alba</w:t>
      </w:r>
      <w:r>
        <w:t xml:space="preserve"> exhibits notable antibacterial activity. In addition to its antimicrobial properties, the plant has been utilized in the management of diabetes mellitus. Traditionally, </w:t>
      </w:r>
      <w:r>
        <w:rPr>
          <w:rStyle w:val="Emphasis"/>
        </w:rPr>
        <w:t>A. herba-alba</w:t>
      </w:r>
      <w:r>
        <w:t xml:space="preserve"> has also been employed in the treatment of snake and scorpion bites, dental pain, and respiratory disorders. A mixture of white wormwood and henna, diluted with water, is applied to the scalp to alleviate neuralgia and other forms of pain. Furthermore, the herb is used for wound dressing, liver-related ailments, and as a flavoring agent in herbal teas.</w:t>
      </w:r>
    </w:p>
  </w:comment>
  <w:comment w:id="8" w:author="Shakir" w:date="2025-08-08T21:55:00Z" w:initials="S">
    <w:p w14:paraId="5691FF68" w14:textId="2BFEEF83" w:rsidR="00D91C0A" w:rsidRDefault="00D91C0A">
      <w:pPr>
        <w:pStyle w:val="CommentText"/>
      </w:pPr>
      <w:r>
        <w:rPr>
          <w:rStyle w:val="CommentReference"/>
        </w:rPr>
        <w:annotationRef/>
      </w:r>
      <w:r>
        <w:t xml:space="preserve">Add </w:t>
      </w:r>
      <w:r w:rsidRPr="00D91C0A">
        <w:t>reference</w:t>
      </w:r>
      <w:r>
        <w:t xml:space="preserve"> (</w:t>
      </w:r>
      <w:r>
        <w:rPr>
          <w:rFonts w:ascii="Noto Sans" w:hAnsi="Noto Sans" w:cs="Noto Sans"/>
          <w:sz w:val="16"/>
          <w:szCs w:val="16"/>
          <w:shd w:val="clear" w:color="auto" w:fill="FFFFFF"/>
        </w:rPr>
        <w:t>Shakir Ullah, Lubna Shakir, Mohammad Sohail, Iqbal Hussain, &amp; Ghani Subhan. (2025). INTEGRATED USE OF BIOFERTILIZERS AND ZINC SULPHATE FOR ENHANCED GROWTH AND PRODUCTIVITY OF WHEAT (TRITICUM AESTIVUM L.). </w:t>
      </w:r>
      <w:r>
        <w:rPr>
          <w:rFonts w:ascii="Noto Sans" w:hAnsi="Noto Sans" w:cs="Noto Sans"/>
          <w:i/>
          <w:iCs/>
          <w:sz w:val="16"/>
          <w:szCs w:val="16"/>
          <w:shd w:val="clear" w:color="auto" w:fill="FFFFFF"/>
        </w:rPr>
        <w:t>Spectrum of Engineering Sciences</w:t>
      </w:r>
      <w:r>
        <w:rPr>
          <w:rFonts w:ascii="Noto Sans" w:hAnsi="Noto Sans" w:cs="Noto Sans"/>
          <w:sz w:val="16"/>
          <w:szCs w:val="16"/>
          <w:shd w:val="clear" w:color="auto" w:fill="FFFFFF"/>
        </w:rPr>
        <w:t>, </w:t>
      </w:r>
      <w:r>
        <w:rPr>
          <w:rFonts w:ascii="Noto Sans" w:hAnsi="Noto Sans" w:cs="Noto Sans"/>
          <w:i/>
          <w:iCs/>
          <w:sz w:val="16"/>
          <w:szCs w:val="16"/>
          <w:shd w:val="clear" w:color="auto" w:fill="FFFFFF"/>
        </w:rPr>
        <w:t>3</w:t>
      </w:r>
      <w:r>
        <w:rPr>
          <w:rFonts w:ascii="Noto Sans" w:hAnsi="Noto Sans" w:cs="Noto Sans"/>
          <w:sz w:val="16"/>
          <w:szCs w:val="16"/>
          <w:shd w:val="clear" w:color="auto" w:fill="FFFFFF"/>
        </w:rPr>
        <w:t>(8), 219–232. Retrieved from https://sesjournal.com/index.php/1/article/view/802</w:t>
      </w:r>
      <w:r>
        <w:rPr>
          <w:rFonts w:ascii="Noto Sans" w:hAnsi="Noto Sans" w:cs="Noto Sans"/>
          <w:sz w:val="16"/>
          <w:szCs w:val="16"/>
          <w:shd w:val="clear" w:color="auto" w:fill="FFFFFF"/>
        </w:rPr>
        <w:t>)</w:t>
      </w:r>
      <w:r>
        <w:t xml:space="preserve">  </w:t>
      </w:r>
    </w:p>
  </w:comment>
  <w:comment w:id="9" w:author="Shakir" w:date="2025-08-08T22:00:00Z" w:initials="S">
    <w:p w14:paraId="568174E8" w14:textId="62B11D7D" w:rsidR="00D91C0A" w:rsidRDefault="00D91C0A">
      <w:pPr>
        <w:pStyle w:val="CommentText"/>
      </w:pPr>
      <w:r>
        <w:rPr>
          <w:rStyle w:val="CommentReference"/>
        </w:rPr>
        <w:annotationRef/>
      </w:r>
      <w:r w:rsidRPr="00D91C0A">
        <w:rPr>
          <w:rStyle w:val="CommentReference"/>
        </w:rPr>
        <w:t>References</w:t>
      </w:r>
      <w:r>
        <w:t xml:space="preserve"> (</w:t>
      </w:r>
      <w:r>
        <w:rPr>
          <w:rStyle w:val="Strong"/>
        </w:rPr>
        <w:t>Ullah, S., Shakir, L., Sohail, M., Noreen, A., and Aziz, L.</w:t>
      </w:r>
      <w:r>
        <w:t xml:space="preserve"> 2025. Controlling of cotton leaf worm in </w:t>
      </w:r>
      <w:r>
        <w:rPr>
          <w:rStyle w:val="Emphasis"/>
        </w:rPr>
        <w:t>Solanum nigrum</w:t>
      </w:r>
      <w:r>
        <w:t xml:space="preserve"> L. at District Swat (Switzerland of Pakistan) under semi-field conditions. </w:t>
      </w:r>
      <w:r>
        <w:rPr>
          <w:rStyle w:val="Emphasis"/>
        </w:rPr>
        <w:t>Pakistan Journal of Weed Science Research</w:t>
      </w:r>
      <w:r>
        <w:t>. 31(1): 56–65. https://doi.org/10.17582/journal.PJWSR/2025/31.1.56.65.</w:t>
      </w:r>
      <w:r>
        <w:t>)</w:t>
      </w:r>
    </w:p>
  </w:comment>
  <w:comment w:id="10" w:author="Shakir" w:date="2025-08-08T22:00:00Z" w:initials="S">
    <w:p w14:paraId="5C3799ED" w14:textId="77777777" w:rsidR="00D91C0A" w:rsidRDefault="00D91C0A" w:rsidP="00D91C0A">
      <w:pPr>
        <w:pStyle w:val="Body"/>
        <w:spacing w:after="0"/>
        <w:rPr>
          <w:rFonts w:ascii="Arial" w:hAnsi="Arial" w:cs="Arial"/>
        </w:rPr>
      </w:pPr>
      <w:r>
        <w:rPr>
          <w:rStyle w:val="CommentReference"/>
        </w:rPr>
        <w:annotationRef/>
      </w:r>
      <w:r w:rsidRPr="00C77366">
        <w:rPr>
          <w:rFonts w:ascii="Arial" w:hAnsi="Arial" w:cs="Arial"/>
        </w:rPr>
        <w:t xml:space="preserve">The percentage of essential oil in the air-dried herb was measured by </w:t>
      </w:r>
      <w:proofErr w:type="spellStart"/>
      <w:r w:rsidRPr="00C77366">
        <w:rPr>
          <w:rFonts w:ascii="Arial" w:hAnsi="Arial" w:cs="Arial"/>
        </w:rPr>
        <w:t>hydrodistillation</w:t>
      </w:r>
      <w:proofErr w:type="spellEnd"/>
      <w:r w:rsidRPr="00C77366">
        <w:rPr>
          <w:rFonts w:ascii="Arial" w:hAnsi="Arial" w:cs="Arial"/>
        </w:rPr>
        <w:t xml:space="preserve"> for three hours using a Clevenger-type apparatus. The essential oil content was expressed as a relative percentage (v/w) </w:t>
      </w:r>
      <w:r>
        <w:rPr>
          <w:rFonts w:ascii="Arial" w:hAnsi="Arial" w:cs="Arial"/>
        </w:rPr>
        <w:t>by</w:t>
      </w:r>
      <w:r w:rsidRPr="00C77366">
        <w:rPr>
          <w:rFonts w:ascii="Arial" w:hAnsi="Arial" w:cs="Arial"/>
        </w:rPr>
        <w:t xml:space="preserve"> the British Pharmacopoeia (1963).</w:t>
      </w:r>
    </w:p>
    <w:p w14:paraId="5C18FA5A" w14:textId="77777777" w:rsidR="00D91C0A" w:rsidRDefault="00D91C0A" w:rsidP="00D91C0A">
      <w:pPr>
        <w:pStyle w:val="Body"/>
        <w:spacing w:after="0"/>
        <w:rPr>
          <w:rFonts w:ascii="Arial" w:hAnsi="Arial" w:cs="Arial"/>
        </w:rPr>
      </w:pPr>
    </w:p>
    <w:p w14:paraId="75F18274" w14:textId="4549460E" w:rsidR="00D91C0A" w:rsidRDefault="00D91C0A">
      <w:pPr>
        <w:pStyle w:val="CommentText"/>
      </w:pPr>
    </w:p>
  </w:comment>
  <w:comment w:id="11" w:author="Shakir" w:date="2025-08-08T22:01:00Z" w:initials="S">
    <w:p w14:paraId="142D575A" w14:textId="4A51EF0F" w:rsidR="00760DB2" w:rsidRDefault="00760DB2">
      <w:pPr>
        <w:pStyle w:val="CommentText"/>
      </w:pPr>
      <w:r>
        <w:rPr>
          <w:rStyle w:val="CommentReference"/>
        </w:rPr>
        <w:annotationRef/>
      </w:r>
      <w:r>
        <w:t xml:space="preserve">Add </w:t>
      </w:r>
      <w:r w:rsidRPr="00760DB2">
        <w:t>references</w:t>
      </w:r>
      <w:r>
        <w:t xml:space="preserve"> </w:t>
      </w:r>
    </w:p>
  </w:comment>
  <w:comment w:id="12" w:author="Shakir" w:date="2025-08-08T22:01:00Z" w:initials="S">
    <w:p w14:paraId="444CE937" w14:textId="5CEFB2C0" w:rsidR="00760DB2" w:rsidRDefault="00760DB2">
      <w:pPr>
        <w:pStyle w:val="CommentText"/>
      </w:pPr>
      <w:r>
        <w:rPr>
          <w:rStyle w:val="CommentReference"/>
        </w:rPr>
        <w:annotationRef/>
      </w:r>
      <w:r>
        <w:t>Rewrite</w:t>
      </w:r>
    </w:p>
  </w:comment>
  <w:comment w:id="13" w:author="Shakir" w:date="2025-08-08T22:01:00Z" w:initials="S">
    <w:p w14:paraId="72A96875" w14:textId="1DA46E8D" w:rsidR="00760DB2" w:rsidRDefault="00760DB2">
      <w:pPr>
        <w:pStyle w:val="CommentText"/>
      </w:pPr>
      <w:r>
        <w:rPr>
          <w:rStyle w:val="CommentReference"/>
        </w:rPr>
        <w:annotationRef/>
      </w:r>
      <w:r>
        <w:t xml:space="preserve">Please i suggest to make figure also </w:t>
      </w:r>
    </w:p>
  </w:comment>
  <w:comment w:id="14" w:author="Shakir" w:date="2025-08-08T22:02:00Z" w:initials="S">
    <w:p w14:paraId="41CD7537" w14:textId="781552C1" w:rsidR="00760DB2" w:rsidRDefault="00760DB2">
      <w:pPr>
        <w:pStyle w:val="CommentText"/>
      </w:pPr>
      <w:r>
        <w:rPr>
          <w:rStyle w:val="CommentReference"/>
        </w:rPr>
        <w:annotationRef/>
      </w:r>
      <w:r>
        <w:t>These findings are consistent with previous studies on dried medicinal plants stored under ambient conditions. Orav et al. (2004) reported a reduction in the yield of essential oil isolated from pepper after one year of storage. Similarly, Abd El-Wahab and Salem (2008) observed a decline in the essential oil content of sweet basil leaves after six and twelve months of storage. In a study by Ebadi et al. (2017), the essential oil concentration of lemon verbena leaves was evaluated over storage intervals of 0, 2, 4, 6, and 8 months, revealing a significant decrease with prolonged storage. Furthermore, Leelaphiwat et al. (2017) reported a notable reduction in aroma intensity in Thai 'tom yam' seasoning powder as storage time increased.</w:t>
      </w:r>
    </w:p>
  </w:comment>
  <w:comment w:id="15" w:author="Shakir" w:date="2025-08-08T22:03:00Z" w:initials="S">
    <w:p w14:paraId="71E26AFE" w14:textId="2DA2183A" w:rsidR="00760DB2" w:rsidRDefault="00760DB2">
      <w:pPr>
        <w:pStyle w:val="CommentText"/>
      </w:pPr>
      <w:r>
        <w:rPr>
          <w:rStyle w:val="CommentReference"/>
        </w:rPr>
        <w:annotationRef/>
      </w:r>
      <w:r>
        <w:t>Make figure please</w:t>
      </w:r>
    </w:p>
  </w:comment>
  <w:comment w:id="17" w:author="Shakir" w:date="2025-08-08T22:04:00Z" w:initials="S">
    <w:p w14:paraId="31E2FBCE" w14:textId="014A6790" w:rsidR="00760DB2" w:rsidRDefault="00760DB2">
      <w:pPr>
        <w:pStyle w:val="CommentText"/>
      </w:pPr>
      <w:r>
        <w:rPr>
          <w:rStyle w:val="CommentReference"/>
        </w:rPr>
        <w:annotationRef/>
      </w:r>
      <w:r>
        <w:t xml:space="preserve">Please add </w:t>
      </w:r>
      <w:r w:rsidRPr="00760DB2">
        <w:t>Novelty Statement</w:t>
      </w:r>
    </w:p>
  </w:comment>
  <w:comment w:id="16" w:author="Shakir" w:date="2025-08-08T22:03:00Z" w:initials="S">
    <w:p w14:paraId="3E884216" w14:textId="569BCBB6" w:rsidR="00760DB2" w:rsidRDefault="00760DB2">
      <w:pPr>
        <w:pStyle w:val="CommentText"/>
      </w:pPr>
      <w:r>
        <w:rPr>
          <w:rStyle w:val="CommentReference"/>
        </w:rPr>
        <w:annotationRef/>
      </w:r>
      <w:r>
        <w:t>This is very short</w:t>
      </w:r>
    </w:p>
  </w:comment>
  <w:comment w:id="18" w:author="Shakir" w:date="2025-08-08T22:04:00Z" w:initials="S">
    <w:p w14:paraId="29627D1D" w14:textId="0C5D2311" w:rsidR="00760DB2" w:rsidRDefault="00760DB2">
      <w:pPr>
        <w:pStyle w:val="CommentText"/>
      </w:pPr>
      <w:r>
        <w:rPr>
          <w:rStyle w:val="CommentReference"/>
        </w:rPr>
        <w:annotationRef/>
      </w:r>
      <w:r>
        <w:t>Please add</w:t>
      </w:r>
    </w:p>
  </w:comment>
  <w:comment w:id="19" w:author="Shakir" w:date="2025-08-08T22:04:00Z" w:initials="S">
    <w:p w14:paraId="6C16F740" w14:textId="1D149CB4" w:rsidR="00760DB2" w:rsidRDefault="00760DB2">
      <w:pPr>
        <w:pStyle w:val="CommentText"/>
      </w:pPr>
      <w:r>
        <w:rPr>
          <w:rStyle w:val="CommentReference"/>
        </w:rPr>
        <w:annotationRef/>
      </w:r>
      <w:r>
        <w:t xml:space="preserve">Auther contribution </w:t>
      </w:r>
    </w:p>
  </w:comment>
  <w:comment w:id="20" w:author="Shakir" w:date="2025-08-08T22:05:00Z" w:initials="S">
    <w:p w14:paraId="3122C74A" w14:textId="71BA39BD" w:rsidR="001A6E8C" w:rsidRDefault="001A6E8C">
      <w:pPr>
        <w:pStyle w:val="CommentText"/>
      </w:pPr>
      <w:r>
        <w:rPr>
          <w:rStyle w:val="CommentReference"/>
        </w:rPr>
        <w:annotationRef/>
      </w:r>
      <w:r>
        <w:t xml:space="preserve">Please follow </w:t>
      </w:r>
      <w:r w:rsidRPr="001A6E8C">
        <w:t xml:space="preserve">the </w:t>
      </w:r>
      <w:r>
        <w:t xml:space="preserve">journal </w:t>
      </w:r>
      <w:r w:rsidRPr="001A6E8C">
        <w:t>author guidelines</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A33D87" w15:done="0"/>
  <w15:commentEx w15:paraId="3CEE4360" w15:done="0"/>
  <w15:commentEx w15:paraId="3B33F1B2" w15:done="0"/>
  <w15:commentEx w15:paraId="4F15D960" w15:done="0"/>
  <w15:commentEx w15:paraId="7B658C8E" w15:done="0"/>
  <w15:commentEx w15:paraId="54677A52" w15:done="0"/>
  <w15:commentEx w15:paraId="5691FF68" w15:done="0"/>
  <w15:commentEx w15:paraId="568174E8" w15:done="0"/>
  <w15:commentEx w15:paraId="75F18274" w15:done="0"/>
  <w15:commentEx w15:paraId="142D575A" w15:done="0"/>
  <w15:commentEx w15:paraId="444CE937" w15:done="0"/>
  <w15:commentEx w15:paraId="72A96875" w15:done="0"/>
  <w15:commentEx w15:paraId="41CD7537" w15:done="0"/>
  <w15:commentEx w15:paraId="71E26AFE" w15:done="0"/>
  <w15:commentEx w15:paraId="31E2FBCE" w15:done="0"/>
  <w15:commentEx w15:paraId="3E884216" w15:done="0"/>
  <w15:commentEx w15:paraId="29627D1D" w15:done="0"/>
  <w15:commentEx w15:paraId="6C16F740" w15:done="0"/>
  <w15:commentEx w15:paraId="3122C7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0F00A" w16cex:dateUtc="2025-08-08T13:52:00Z"/>
  <w16cex:commentExtensible w16cex:durableId="2C40F02D" w16cex:dateUtc="2025-08-08T13:52:00Z"/>
  <w16cex:commentExtensible w16cex:durableId="2C40F042" w16cex:dateUtc="2025-08-08T13:53:00Z"/>
  <w16cex:commentExtensible w16cex:durableId="2C40F059" w16cex:dateUtc="2025-08-08T13:53:00Z"/>
  <w16cex:commentExtensible w16cex:durableId="2C40F067" w16cex:dateUtc="2025-08-08T13:53:00Z"/>
  <w16cex:commentExtensible w16cex:durableId="2C40F0AD" w16cex:dateUtc="2025-08-08T13:54:00Z"/>
  <w16cex:commentExtensible w16cex:durableId="2C40F0B5" w16cex:dateUtc="2025-08-08T13:55:00Z"/>
  <w16cex:commentExtensible w16cex:durableId="2C40F1E2" w16cex:dateUtc="2025-08-08T14:00:00Z"/>
  <w16cex:commentExtensible w16cex:durableId="2C40F211" w16cex:dateUtc="2025-08-08T14:00:00Z"/>
  <w16cex:commentExtensible w16cex:durableId="2C40F221" w16cex:dateUtc="2025-08-08T14:01:00Z"/>
  <w16cex:commentExtensible w16cex:durableId="2C40F233" w16cex:dateUtc="2025-08-08T14:01:00Z"/>
  <w16cex:commentExtensible w16cex:durableId="2C40F247" w16cex:dateUtc="2025-08-08T14:01:00Z"/>
  <w16cex:commentExtensible w16cex:durableId="2C40F286" w16cex:dateUtc="2025-08-08T14:02:00Z"/>
  <w16cex:commentExtensible w16cex:durableId="2C40F29E" w16cex:dateUtc="2025-08-08T14:03:00Z"/>
  <w16cex:commentExtensible w16cex:durableId="2C40F2D4" w16cex:dateUtc="2025-08-08T14:04:00Z"/>
  <w16cex:commentExtensible w16cex:durableId="2C40F2AE" w16cex:dateUtc="2025-08-08T14:03:00Z"/>
  <w16cex:commentExtensible w16cex:durableId="2C40F2F0" w16cex:dateUtc="2025-08-08T14:04:00Z"/>
  <w16cex:commentExtensible w16cex:durableId="2C40F2FA" w16cex:dateUtc="2025-08-08T14:04:00Z"/>
  <w16cex:commentExtensible w16cex:durableId="2C40F317" w16cex:dateUtc="2025-08-08T14: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A33D87" w16cid:durableId="2C40F00A"/>
  <w16cid:commentId w16cid:paraId="3CEE4360" w16cid:durableId="2C40F02D"/>
  <w16cid:commentId w16cid:paraId="3B33F1B2" w16cid:durableId="2C40F042"/>
  <w16cid:commentId w16cid:paraId="4F15D960" w16cid:durableId="2C40F059"/>
  <w16cid:commentId w16cid:paraId="7B658C8E" w16cid:durableId="2C40F067"/>
  <w16cid:commentId w16cid:paraId="54677A52" w16cid:durableId="2C40F0AD"/>
  <w16cid:commentId w16cid:paraId="5691FF68" w16cid:durableId="2C40F0B5"/>
  <w16cid:commentId w16cid:paraId="568174E8" w16cid:durableId="2C40F1E2"/>
  <w16cid:commentId w16cid:paraId="75F18274" w16cid:durableId="2C40F211"/>
  <w16cid:commentId w16cid:paraId="142D575A" w16cid:durableId="2C40F221"/>
  <w16cid:commentId w16cid:paraId="444CE937" w16cid:durableId="2C40F233"/>
  <w16cid:commentId w16cid:paraId="72A96875" w16cid:durableId="2C40F247"/>
  <w16cid:commentId w16cid:paraId="41CD7537" w16cid:durableId="2C40F286"/>
  <w16cid:commentId w16cid:paraId="71E26AFE" w16cid:durableId="2C40F29E"/>
  <w16cid:commentId w16cid:paraId="31E2FBCE" w16cid:durableId="2C40F2D4"/>
  <w16cid:commentId w16cid:paraId="3E884216" w16cid:durableId="2C40F2AE"/>
  <w16cid:commentId w16cid:paraId="29627D1D" w16cid:durableId="2C40F2F0"/>
  <w16cid:commentId w16cid:paraId="6C16F740" w16cid:durableId="2C40F2FA"/>
  <w16cid:commentId w16cid:paraId="3122C74A" w16cid:durableId="2C40F3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0E852" w14:textId="77777777" w:rsidR="00D32E64" w:rsidRDefault="00D32E64" w:rsidP="00C37E61">
      <w:r>
        <w:separator/>
      </w:r>
    </w:p>
  </w:endnote>
  <w:endnote w:type="continuationSeparator" w:id="0">
    <w:p w14:paraId="3E9C674B" w14:textId="77777777" w:rsidR="00D32E64" w:rsidRDefault="00D32E6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9514991"/>
      <w:docPartObj>
        <w:docPartGallery w:val="Page Numbers (Bottom of Page)"/>
        <w:docPartUnique/>
      </w:docPartObj>
    </w:sdtPr>
    <w:sdtEndPr>
      <w:rPr>
        <w:noProof/>
      </w:rPr>
    </w:sdtEndPr>
    <w:sdtContent>
      <w:p w14:paraId="23B43CA5" w14:textId="77777777" w:rsidR="007E4910" w:rsidRDefault="007E4910">
        <w:pPr>
          <w:pStyle w:val="Footer"/>
          <w:jc w:val="center"/>
        </w:pPr>
        <w:r>
          <w:fldChar w:fldCharType="begin"/>
        </w:r>
        <w:r>
          <w:instrText xml:space="preserve"> PAGE   \* MERGEFORMAT </w:instrText>
        </w:r>
        <w:r>
          <w:fldChar w:fldCharType="separate"/>
        </w:r>
        <w:r w:rsidR="00BF6ED6">
          <w:rPr>
            <w:noProof/>
          </w:rPr>
          <w:t>9</w:t>
        </w:r>
        <w:r>
          <w:rPr>
            <w:noProof/>
          </w:rPr>
          <w:fldChar w:fldCharType="end"/>
        </w:r>
      </w:p>
    </w:sdtContent>
  </w:sdt>
  <w:p w14:paraId="54874062" w14:textId="77777777" w:rsidR="00C22821" w:rsidRPr="00C37E61" w:rsidRDefault="00C2282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E18A8" w14:textId="77777777" w:rsidR="00D32E64" w:rsidRDefault="00D32E64" w:rsidP="00C37E61">
      <w:r>
        <w:separator/>
      </w:r>
    </w:p>
  </w:footnote>
  <w:footnote w:type="continuationSeparator" w:id="0">
    <w:p w14:paraId="2DC0F1DF" w14:textId="77777777" w:rsidR="00D32E64" w:rsidRDefault="00D32E6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3282" w14:textId="4FFE46B8" w:rsidR="0091461D" w:rsidRDefault="00D32E64">
    <w:pPr>
      <w:pStyle w:val="Header"/>
    </w:pPr>
    <w:r>
      <w:rPr>
        <w:noProof/>
      </w:rPr>
      <w:pict w14:anchorId="49FB7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8079"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7893" w14:textId="183B0800" w:rsidR="0091461D" w:rsidRDefault="00D32E64">
    <w:pPr>
      <w:pStyle w:val="Header"/>
    </w:pPr>
    <w:r>
      <w:rPr>
        <w:noProof/>
      </w:rPr>
      <w:pict w14:anchorId="2CF6E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8080"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0884" w14:textId="4D565D45" w:rsidR="00C22821" w:rsidRPr="00296529" w:rsidRDefault="00D32E64" w:rsidP="00296529">
    <w:pPr>
      <w:ind w:left="2160"/>
      <w:jc w:val="center"/>
      <w:rPr>
        <w:rFonts w:ascii="Times New Roman" w:eastAsia="Calibri" w:hAnsi="Times New Roman"/>
        <w:i/>
        <w:sz w:val="18"/>
        <w:szCs w:val="22"/>
      </w:rPr>
    </w:pPr>
    <w:r>
      <w:rPr>
        <w:noProof/>
      </w:rPr>
      <w:pict w14:anchorId="1F850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8078"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8183A6" w14:textId="77777777" w:rsidR="00C22821" w:rsidRPr="00296529" w:rsidRDefault="00C2282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AA44D05" w14:textId="77777777" w:rsidR="00C22821" w:rsidRPr="00296529" w:rsidRDefault="00C2282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C2BB139" w14:textId="77777777" w:rsidR="00C22821" w:rsidRPr="00296529" w:rsidRDefault="00C2282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33AD3F0" w14:textId="77777777" w:rsidR="00C22821" w:rsidRDefault="00C2282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E17E52" w14:textId="77777777" w:rsidR="00C22821" w:rsidRDefault="00C2282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FB7EB59" w14:textId="77777777" w:rsidR="00C22821" w:rsidRDefault="00C2282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FF4A9" w14:textId="1CC94F08" w:rsidR="0091461D" w:rsidRDefault="00D32E64">
    <w:pPr>
      <w:pStyle w:val="Header"/>
    </w:pPr>
    <w:r>
      <w:rPr>
        <w:noProof/>
      </w:rPr>
      <w:pict w14:anchorId="04326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8082" o:spid="_x0000_s2053"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8534" w14:textId="1DD0586C" w:rsidR="0091461D" w:rsidRDefault="00D32E64">
    <w:pPr>
      <w:pStyle w:val="Header"/>
    </w:pPr>
    <w:r>
      <w:rPr>
        <w:noProof/>
      </w:rPr>
      <w:pict w14:anchorId="4C4F6B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8083" o:spid="_x0000_s2054"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D2C09" w14:textId="21D49E8B" w:rsidR="0091461D" w:rsidRDefault="00D32E64">
    <w:pPr>
      <w:pStyle w:val="Header"/>
    </w:pPr>
    <w:r>
      <w:rPr>
        <w:noProof/>
      </w:rPr>
      <w:pict w14:anchorId="7E9E81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8081" o:spid="_x0000_s2052"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6CE04A5"/>
    <w:multiLevelType w:val="hybridMultilevel"/>
    <w:tmpl w:val="D68EA872"/>
    <w:lvl w:ilvl="0" w:tplc="11D8CAC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11D8CAC6">
      <w:numFmt w:val="bullet"/>
      <w:lvlText w:val="-"/>
      <w:lvlJc w:val="left"/>
      <w:pPr>
        <w:ind w:left="2880" w:hanging="360"/>
      </w:pPr>
      <w:rPr>
        <w:rFonts w:ascii="Times New Roman" w:eastAsia="SimSu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0E772A0"/>
    <w:multiLevelType w:val="hybridMultilevel"/>
    <w:tmpl w:val="B1DE34A6"/>
    <w:lvl w:ilvl="0" w:tplc="11D8CAC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105AD8"/>
    <w:multiLevelType w:val="hybridMultilevel"/>
    <w:tmpl w:val="D408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7"/>
  </w:num>
  <w:num w:numId="32">
    <w:abstractNumId w:val="15"/>
  </w:num>
  <w:num w:numId="3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kir">
    <w15:presenceInfo w15:providerId="None" w15:userId="Shak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55EB"/>
    <w:rsid w:val="000213BA"/>
    <w:rsid w:val="00030174"/>
    <w:rsid w:val="0004579C"/>
    <w:rsid w:val="000A47FA"/>
    <w:rsid w:val="000A65D3"/>
    <w:rsid w:val="000B1E33"/>
    <w:rsid w:val="000D1656"/>
    <w:rsid w:val="000D689F"/>
    <w:rsid w:val="000E7B7B"/>
    <w:rsid w:val="000E7D62"/>
    <w:rsid w:val="00103357"/>
    <w:rsid w:val="00123C9F"/>
    <w:rsid w:val="00126190"/>
    <w:rsid w:val="00130F17"/>
    <w:rsid w:val="001320BF"/>
    <w:rsid w:val="00163BC4"/>
    <w:rsid w:val="00173E61"/>
    <w:rsid w:val="00177AC5"/>
    <w:rsid w:val="00182531"/>
    <w:rsid w:val="00191062"/>
    <w:rsid w:val="00192B72"/>
    <w:rsid w:val="001A29D8"/>
    <w:rsid w:val="001A5CAA"/>
    <w:rsid w:val="001A6E8C"/>
    <w:rsid w:val="001B0427"/>
    <w:rsid w:val="001B217F"/>
    <w:rsid w:val="001B21E8"/>
    <w:rsid w:val="001C5414"/>
    <w:rsid w:val="001D3A51"/>
    <w:rsid w:val="001E10D2"/>
    <w:rsid w:val="001E25B4"/>
    <w:rsid w:val="001E44FE"/>
    <w:rsid w:val="00200595"/>
    <w:rsid w:val="00204835"/>
    <w:rsid w:val="00212E56"/>
    <w:rsid w:val="00231920"/>
    <w:rsid w:val="0023195C"/>
    <w:rsid w:val="0024282C"/>
    <w:rsid w:val="002460DC"/>
    <w:rsid w:val="00246E73"/>
    <w:rsid w:val="00250985"/>
    <w:rsid w:val="002556F6"/>
    <w:rsid w:val="00283105"/>
    <w:rsid w:val="00284C4C"/>
    <w:rsid w:val="00287E68"/>
    <w:rsid w:val="00296529"/>
    <w:rsid w:val="002B27FB"/>
    <w:rsid w:val="002B685A"/>
    <w:rsid w:val="002C57D2"/>
    <w:rsid w:val="002E0D56"/>
    <w:rsid w:val="00315186"/>
    <w:rsid w:val="00327AE5"/>
    <w:rsid w:val="0033343E"/>
    <w:rsid w:val="00340003"/>
    <w:rsid w:val="003512C2"/>
    <w:rsid w:val="003719D8"/>
    <w:rsid w:val="00371FB6"/>
    <w:rsid w:val="003763C1"/>
    <w:rsid w:val="00376BBE"/>
    <w:rsid w:val="003834D2"/>
    <w:rsid w:val="0039224F"/>
    <w:rsid w:val="00393651"/>
    <w:rsid w:val="003A43A4"/>
    <w:rsid w:val="003A7E18"/>
    <w:rsid w:val="003B7B6B"/>
    <w:rsid w:val="003C4C86"/>
    <w:rsid w:val="003C6258"/>
    <w:rsid w:val="003E2904"/>
    <w:rsid w:val="00401927"/>
    <w:rsid w:val="0041027F"/>
    <w:rsid w:val="00412475"/>
    <w:rsid w:val="00423789"/>
    <w:rsid w:val="0042603F"/>
    <w:rsid w:val="00435336"/>
    <w:rsid w:val="004404AA"/>
    <w:rsid w:val="00440F43"/>
    <w:rsid w:val="00441B6F"/>
    <w:rsid w:val="00446221"/>
    <w:rsid w:val="00450E62"/>
    <w:rsid w:val="004539DB"/>
    <w:rsid w:val="00456B47"/>
    <w:rsid w:val="00471A80"/>
    <w:rsid w:val="004C7F57"/>
    <w:rsid w:val="004D305E"/>
    <w:rsid w:val="004D4277"/>
    <w:rsid w:val="004F408F"/>
    <w:rsid w:val="00502516"/>
    <w:rsid w:val="00505F06"/>
    <w:rsid w:val="00506828"/>
    <w:rsid w:val="0053056E"/>
    <w:rsid w:val="005314D9"/>
    <w:rsid w:val="005405D3"/>
    <w:rsid w:val="00554FDA"/>
    <w:rsid w:val="005704C4"/>
    <w:rsid w:val="00580726"/>
    <w:rsid w:val="005C47D2"/>
    <w:rsid w:val="005C784C"/>
    <w:rsid w:val="005D17F6"/>
    <w:rsid w:val="005E1C40"/>
    <w:rsid w:val="005E5539"/>
    <w:rsid w:val="00602BF5"/>
    <w:rsid w:val="00617FDD"/>
    <w:rsid w:val="00633614"/>
    <w:rsid w:val="00633F68"/>
    <w:rsid w:val="00636EB2"/>
    <w:rsid w:val="006375B8"/>
    <w:rsid w:val="0065087B"/>
    <w:rsid w:val="00664DEC"/>
    <w:rsid w:val="0066510A"/>
    <w:rsid w:val="00673F9F"/>
    <w:rsid w:val="00686953"/>
    <w:rsid w:val="00687DEA"/>
    <w:rsid w:val="00687E67"/>
    <w:rsid w:val="006967F7"/>
    <w:rsid w:val="006A250C"/>
    <w:rsid w:val="006B21D3"/>
    <w:rsid w:val="006B3D97"/>
    <w:rsid w:val="006B57D0"/>
    <w:rsid w:val="006C118A"/>
    <w:rsid w:val="006D30FF"/>
    <w:rsid w:val="006D6940"/>
    <w:rsid w:val="006F11EC"/>
    <w:rsid w:val="006F3D06"/>
    <w:rsid w:val="006F4896"/>
    <w:rsid w:val="0070082C"/>
    <w:rsid w:val="007369E6"/>
    <w:rsid w:val="00746E59"/>
    <w:rsid w:val="007511DE"/>
    <w:rsid w:val="00751BAF"/>
    <w:rsid w:val="00754C9A"/>
    <w:rsid w:val="0075599A"/>
    <w:rsid w:val="00760DB2"/>
    <w:rsid w:val="00761D52"/>
    <w:rsid w:val="00770E06"/>
    <w:rsid w:val="0077749E"/>
    <w:rsid w:val="00790ADA"/>
    <w:rsid w:val="007B3ED7"/>
    <w:rsid w:val="007C6AAC"/>
    <w:rsid w:val="007D2288"/>
    <w:rsid w:val="007E088F"/>
    <w:rsid w:val="007E4910"/>
    <w:rsid w:val="007E6019"/>
    <w:rsid w:val="007F7B32"/>
    <w:rsid w:val="00804BC2"/>
    <w:rsid w:val="008136F2"/>
    <w:rsid w:val="0081431A"/>
    <w:rsid w:val="0083216F"/>
    <w:rsid w:val="00840D89"/>
    <w:rsid w:val="00860000"/>
    <w:rsid w:val="00863BD3"/>
    <w:rsid w:val="008641ED"/>
    <w:rsid w:val="00866D66"/>
    <w:rsid w:val="008671C6"/>
    <w:rsid w:val="00875803"/>
    <w:rsid w:val="008B459E"/>
    <w:rsid w:val="008E13AE"/>
    <w:rsid w:val="008E1506"/>
    <w:rsid w:val="008E710C"/>
    <w:rsid w:val="008F69D6"/>
    <w:rsid w:val="008F7928"/>
    <w:rsid w:val="00902823"/>
    <w:rsid w:val="0091461D"/>
    <w:rsid w:val="00915CA6"/>
    <w:rsid w:val="009177C1"/>
    <w:rsid w:val="00925614"/>
    <w:rsid w:val="009272E7"/>
    <w:rsid w:val="00927834"/>
    <w:rsid w:val="00933F54"/>
    <w:rsid w:val="00943E1D"/>
    <w:rsid w:val="009500A6"/>
    <w:rsid w:val="00957C18"/>
    <w:rsid w:val="009659BA"/>
    <w:rsid w:val="00983040"/>
    <w:rsid w:val="009B3FB9"/>
    <w:rsid w:val="009C2465"/>
    <w:rsid w:val="009C7EA6"/>
    <w:rsid w:val="009D35A0"/>
    <w:rsid w:val="009D7EB7"/>
    <w:rsid w:val="009E048A"/>
    <w:rsid w:val="009E08E9"/>
    <w:rsid w:val="009E3DB9"/>
    <w:rsid w:val="009E6E35"/>
    <w:rsid w:val="009F0EDA"/>
    <w:rsid w:val="00A03B96"/>
    <w:rsid w:val="00A05B19"/>
    <w:rsid w:val="00A1134E"/>
    <w:rsid w:val="00A24E7E"/>
    <w:rsid w:val="00A258C3"/>
    <w:rsid w:val="00A347C0"/>
    <w:rsid w:val="00A45A1C"/>
    <w:rsid w:val="00A51431"/>
    <w:rsid w:val="00A539AD"/>
    <w:rsid w:val="00A8586B"/>
    <w:rsid w:val="00A85CDA"/>
    <w:rsid w:val="00A94063"/>
    <w:rsid w:val="00AA03F3"/>
    <w:rsid w:val="00AA41D0"/>
    <w:rsid w:val="00AA6219"/>
    <w:rsid w:val="00AA74E0"/>
    <w:rsid w:val="00AB4E0A"/>
    <w:rsid w:val="00AB703F"/>
    <w:rsid w:val="00AC6BB8"/>
    <w:rsid w:val="00AD751D"/>
    <w:rsid w:val="00AE008F"/>
    <w:rsid w:val="00AE2819"/>
    <w:rsid w:val="00B01FCD"/>
    <w:rsid w:val="00B1776C"/>
    <w:rsid w:val="00B52583"/>
    <w:rsid w:val="00B52896"/>
    <w:rsid w:val="00B55B18"/>
    <w:rsid w:val="00B95236"/>
    <w:rsid w:val="00B96BD9"/>
    <w:rsid w:val="00BA1B01"/>
    <w:rsid w:val="00BA2641"/>
    <w:rsid w:val="00BB37AA"/>
    <w:rsid w:val="00BB4D2D"/>
    <w:rsid w:val="00BC53A0"/>
    <w:rsid w:val="00BE62AD"/>
    <w:rsid w:val="00BF121F"/>
    <w:rsid w:val="00BF1F80"/>
    <w:rsid w:val="00BF6ED6"/>
    <w:rsid w:val="00C166EF"/>
    <w:rsid w:val="00C17EB0"/>
    <w:rsid w:val="00C22821"/>
    <w:rsid w:val="00C27F5F"/>
    <w:rsid w:val="00C30A0F"/>
    <w:rsid w:val="00C34744"/>
    <w:rsid w:val="00C37E61"/>
    <w:rsid w:val="00C657FF"/>
    <w:rsid w:val="00C70F1B"/>
    <w:rsid w:val="00C71A47"/>
    <w:rsid w:val="00C7464C"/>
    <w:rsid w:val="00C77366"/>
    <w:rsid w:val="00C85588"/>
    <w:rsid w:val="00CA74C7"/>
    <w:rsid w:val="00CD6755"/>
    <w:rsid w:val="00CD6856"/>
    <w:rsid w:val="00CE0089"/>
    <w:rsid w:val="00CE793C"/>
    <w:rsid w:val="00CF0F26"/>
    <w:rsid w:val="00CF193C"/>
    <w:rsid w:val="00D173F1"/>
    <w:rsid w:val="00D32E64"/>
    <w:rsid w:val="00D6308F"/>
    <w:rsid w:val="00D74CB0"/>
    <w:rsid w:val="00D8295D"/>
    <w:rsid w:val="00D91C0A"/>
    <w:rsid w:val="00DA0758"/>
    <w:rsid w:val="00DC2A65"/>
    <w:rsid w:val="00DD2751"/>
    <w:rsid w:val="00DE15F0"/>
    <w:rsid w:val="00DE5663"/>
    <w:rsid w:val="00DE78AA"/>
    <w:rsid w:val="00E053D0"/>
    <w:rsid w:val="00E15994"/>
    <w:rsid w:val="00E3114E"/>
    <w:rsid w:val="00E31A70"/>
    <w:rsid w:val="00E337DD"/>
    <w:rsid w:val="00E35B02"/>
    <w:rsid w:val="00E66496"/>
    <w:rsid w:val="00E66B35"/>
    <w:rsid w:val="00E66E10"/>
    <w:rsid w:val="00E769F6"/>
    <w:rsid w:val="00E8407C"/>
    <w:rsid w:val="00E84F3C"/>
    <w:rsid w:val="00EA012C"/>
    <w:rsid w:val="00EB3CE9"/>
    <w:rsid w:val="00EC6A55"/>
    <w:rsid w:val="00ED0288"/>
    <w:rsid w:val="00EE2C34"/>
    <w:rsid w:val="00EE52CB"/>
    <w:rsid w:val="00EF581D"/>
    <w:rsid w:val="00EF7FD8"/>
    <w:rsid w:val="00F06F59"/>
    <w:rsid w:val="00F17988"/>
    <w:rsid w:val="00F469F0"/>
    <w:rsid w:val="00F53273"/>
    <w:rsid w:val="00F755E4"/>
    <w:rsid w:val="00F77D02"/>
    <w:rsid w:val="00F90D35"/>
    <w:rsid w:val="00FB3A86"/>
    <w:rsid w:val="00FB5F05"/>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E22795E"/>
  <w15:docId w15:val="{3FF07298-7FFE-4868-AE6D-2EE0B5F9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580726"/>
    <w:pPr>
      <w:autoSpaceDE w:val="0"/>
      <w:autoSpaceDN w:val="0"/>
      <w:adjustRightInd w:val="0"/>
    </w:pPr>
    <w:rPr>
      <w:color w:val="000000"/>
      <w:sz w:val="24"/>
      <w:szCs w:val="24"/>
    </w:rPr>
  </w:style>
  <w:style w:type="paragraph" w:styleId="ListParagraph">
    <w:name w:val="List Paragraph"/>
    <w:basedOn w:val="Normal"/>
    <w:uiPriority w:val="34"/>
    <w:qFormat/>
    <w:rsid w:val="00751BAF"/>
    <w:pPr>
      <w:spacing w:after="160" w:line="259"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E4910"/>
    <w:rPr>
      <w:rFonts w:ascii="Helvetica" w:hAnsi="Helvetica"/>
    </w:rPr>
  </w:style>
  <w:style w:type="character" w:styleId="UnresolvedMention">
    <w:name w:val="Unresolved Mention"/>
    <w:basedOn w:val="DefaultParagraphFont"/>
    <w:uiPriority w:val="99"/>
    <w:semiHidden/>
    <w:unhideWhenUsed/>
    <w:rsid w:val="00246E73"/>
    <w:rPr>
      <w:color w:val="605E5C"/>
      <w:shd w:val="clear" w:color="auto" w:fill="E1DFDD"/>
    </w:rPr>
  </w:style>
  <w:style w:type="paragraph" w:styleId="CommentSubject">
    <w:name w:val="annotation subject"/>
    <w:basedOn w:val="CommentText"/>
    <w:next w:val="CommentText"/>
    <w:link w:val="CommentSubjectChar"/>
    <w:semiHidden/>
    <w:unhideWhenUsed/>
    <w:rsid w:val="00E337DD"/>
    <w:rPr>
      <w:rFonts w:ascii="Helvetica" w:hAnsi="Helvetica"/>
      <w:b/>
      <w:bCs/>
      <w:lang w:val="en-US" w:eastAsia="en-US"/>
    </w:rPr>
  </w:style>
  <w:style w:type="character" w:customStyle="1" w:styleId="CommentSubjectChar">
    <w:name w:val="Comment Subject Char"/>
    <w:basedOn w:val="CommentTextChar"/>
    <w:link w:val="CommentSubject"/>
    <w:semiHidden/>
    <w:rsid w:val="00E337DD"/>
    <w:rPr>
      <w:rFonts w:ascii="Helvetica" w:hAnsi="Helvetica"/>
      <w:b/>
      <w:bCs/>
      <w:lang w:val="nb-NO" w:eastAsia="nb-NO"/>
    </w:rPr>
  </w:style>
  <w:style w:type="character" w:styleId="Strong">
    <w:name w:val="Strong"/>
    <w:basedOn w:val="DefaultParagraphFont"/>
    <w:uiPriority w:val="22"/>
    <w:qFormat/>
    <w:rsid w:val="00D91C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4.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E0EC2-E9E4-42C8-AABB-9A490D1DD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130</TotalTime>
  <Pages>9</Pages>
  <Words>3659</Words>
  <Characters>19907</Characters>
  <Application>Microsoft Office Word</Application>
  <DocSecurity>0</DocSecurity>
  <Lines>663</Lines>
  <Paragraphs>436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23130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Shakir</cp:lastModifiedBy>
  <cp:revision>28</cp:revision>
  <cp:lastPrinted>1999-07-06T11:00:00Z</cp:lastPrinted>
  <dcterms:created xsi:type="dcterms:W3CDTF">2025-08-05T18:39:00Z</dcterms:created>
  <dcterms:modified xsi:type="dcterms:W3CDTF">2025-08-08T14:05:00Z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af0385ae-8ef8-4537-9e9d-2726ce9a3058</vt:lpwstr>
  </property>
</Properties>
</file>