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FC" w:rsidRPr="00962E5B" w:rsidRDefault="007416F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7416FC" w:rsidRPr="00962E5B">
        <w:trPr>
          <w:trHeight w:val="290"/>
        </w:trPr>
        <w:tc>
          <w:tcPr>
            <w:tcW w:w="20934" w:type="dxa"/>
            <w:gridSpan w:val="2"/>
            <w:tcBorders>
              <w:top w:val="nil"/>
              <w:left w:val="nil"/>
              <w:right w:val="nil"/>
            </w:tcBorders>
          </w:tcPr>
          <w:p w:rsidR="007416FC" w:rsidRPr="00962E5B" w:rsidRDefault="007416FC">
            <w:pPr>
              <w:pStyle w:val="Heading2"/>
              <w:jc w:val="left"/>
              <w:rPr>
                <w:rFonts w:ascii="Arial" w:eastAsia="Arial" w:hAnsi="Arial" w:cs="Arial"/>
                <w:b w:val="0"/>
              </w:rPr>
            </w:pPr>
          </w:p>
        </w:tc>
      </w:tr>
      <w:tr w:rsidR="007416FC" w:rsidRPr="00962E5B">
        <w:trPr>
          <w:trHeight w:val="290"/>
        </w:trPr>
        <w:tc>
          <w:tcPr>
            <w:tcW w:w="5167" w:type="dxa"/>
          </w:tcPr>
          <w:p w:rsidR="007416FC" w:rsidRPr="00962E5B" w:rsidRDefault="008A1B1B">
            <w:pPr>
              <w:pBdr>
                <w:top w:val="nil"/>
                <w:left w:val="nil"/>
                <w:bottom w:val="nil"/>
                <w:right w:val="nil"/>
                <w:between w:val="nil"/>
              </w:pBdr>
              <w:ind w:left="90"/>
              <w:rPr>
                <w:rFonts w:ascii="Arial" w:eastAsia="Arial" w:hAnsi="Arial" w:cs="Arial"/>
                <w:color w:val="000000"/>
                <w:sz w:val="20"/>
                <w:szCs w:val="20"/>
              </w:rPr>
            </w:pPr>
            <w:r w:rsidRPr="00962E5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7416FC" w:rsidRPr="00962E5B" w:rsidRDefault="003737BC">
            <w:pPr>
              <w:rPr>
                <w:rFonts w:ascii="Arial" w:eastAsia="Arial" w:hAnsi="Arial" w:cs="Arial"/>
                <w:color w:val="0000FF"/>
                <w:sz w:val="20"/>
                <w:szCs w:val="20"/>
              </w:rPr>
            </w:pPr>
            <w:hyperlink r:id="rId8">
              <w:r w:rsidR="008A1B1B" w:rsidRPr="00962E5B">
                <w:rPr>
                  <w:rFonts w:ascii="Arial" w:eastAsia="Arial" w:hAnsi="Arial" w:cs="Arial"/>
                  <w:b/>
                  <w:color w:val="0000FF"/>
                  <w:sz w:val="20"/>
                  <w:szCs w:val="20"/>
                  <w:u w:val="single"/>
                </w:rPr>
                <w:t>Asian Journal of Research in Surgery</w:t>
              </w:r>
            </w:hyperlink>
            <w:r w:rsidR="008A1B1B" w:rsidRPr="00962E5B">
              <w:rPr>
                <w:rFonts w:ascii="Arial" w:eastAsia="Arial" w:hAnsi="Arial" w:cs="Arial"/>
                <w:b/>
                <w:color w:val="0000FF"/>
                <w:sz w:val="20"/>
                <w:szCs w:val="20"/>
              </w:rPr>
              <w:t xml:space="preserve"> </w:t>
            </w:r>
          </w:p>
        </w:tc>
      </w:tr>
      <w:tr w:rsidR="007416FC" w:rsidRPr="00962E5B">
        <w:trPr>
          <w:trHeight w:val="290"/>
        </w:trPr>
        <w:tc>
          <w:tcPr>
            <w:tcW w:w="5167" w:type="dxa"/>
          </w:tcPr>
          <w:p w:rsidR="007416FC" w:rsidRPr="00962E5B" w:rsidRDefault="008A1B1B">
            <w:pPr>
              <w:pBdr>
                <w:top w:val="nil"/>
                <w:left w:val="nil"/>
                <w:bottom w:val="nil"/>
                <w:right w:val="nil"/>
                <w:between w:val="nil"/>
              </w:pBdr>
              <w:ind w:left="90"/>
              <w:rPr>
                <w:rFonts w:ascii="Arial" w:eastAsia="Arial" w:hAnsi="Arial" w:cs="Arial"/>
                <w:color w:val="000000"/>
                <w:sz w:val="20"/>
                <w:szCs w:val="20"/>
              </w:rPr>
            </w:pPr>
            <w:r w:rsidRPr="00962E5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7416FC" w:rsidRPr="00962E5B" w:rsidRDefault="008A1B1B">
            <w:pPr>
              <w:pBdr>
                <w:top w:val="nil"/>
                <w:left w:val="nil"/>
                <w:bottom w:val="nil"/>
                <w:right w:val="nil"/>
                <w:between w:val="nil"/>
              </w:pBdr>
              <w:rPr>
                <w:rFonts w:ascii="Arial" w:eastAsia="Arial" w:hAnsi="Arial" w:cs="Arial"/>
                <w:color w:val="000000"/>
                <w:sz w:val="20"/>
                <w:szCs w:val="20"/>
              </w:rPr>
            </w:pPr>
            <w:r w:rsidRPr="00962E5B">
              <w:rPr>
                <w:rFonts w:ascii="Arial" w:eastAsia="Arial" w:hAnsi="Arial" w:cs="Arial"/>
                <w:b/>
                <w:color w:val="000000"/>
                <w:sz w:val="20"/>
                <w:szCs w:val="20"/>
              </w:rPr>
              <w:t>Ms_AJRS_141805</w:t>
            </w:r>
          </w:p>
        </w:tc>
      </w:tr>
      <w:tr w:rsidR="007416FC" w:rsidRPr="00962E5B">
        <w:trPr>
          <w:trHeight w:val="650"/>
        </w:trPr>
        <w:tc>
          <w:tcPr>
            <w:tcW w:w="5167" w:type="dxa"/>
          </w:tcPr>
          <w:p w:rsidR="007416FC" w:rsidRPr="00962E5B" w:rsidRDefault="008A1B1B">
            <w:pPr>
              <w:pBdr>
                <w:top w:val="nil"/>
                <w:left w:val="nil"/>
                <w:bottom w:val="nil"/>
                <w:right w:val="nil"/>
                <w:between w:val="nil"/>
              </w:pBdr>
              <w:ind w:left="90"/>
              <w:rPr>
                <w:rFonts w:ascii="Arial" w:eastAsia="Arial" w:hAnsi="Arial" w:cs="Arial"/>
                <w:color w:val="000000"/>
                <w:sz w:val="20"/>
                <w:szCs w:val="20"/>
              </w:rPr>
            </w:pPr>
            <w:r w:rsidRPr="00962E5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7416FC" w:rsidRPr="00962E5B" w:rsidRDefault="008A1B1B">
            <w:pPr>
              <w:pBdr>
                <w:top w:val="nil"/>
                <w:left w:val="nil"/>
                <w:bottom w:val="nil"/>
                <w:right w:val="nil"/>
                <w:between w:val="nil"/>
              </w:pBdr>
              <w:rPr>
                <w:rFonts w:ascii="Arial" w:eastAsia="Arial" w:hAnsi="Arial" w:cs="Arial"/>
                <w:color w:val="000000"/>
                <w:sz w:val="20"/>
                <w:szCs w:val="20"/>
              </w:rPr>
            </w:pPr>
            <w:r w:rsidRPr="00962E5B">
              <w:rPr>
                <w:rFonts w:ascii="Arial" w:eastAsia="Arial" w:hAnsi="Arial" w:cs="Arial"/>
                <w:b/>
                <w:color w:val="000000"/>
                <w:sz w:val="20"/>
                <w:szCs w:val="20"/>
              </w:rPr>
              <w:t>Appendiceal Actinomycosis Revealed in the Postpartum Period: A Case Report and Literature Review</w:t>
            </w:r>
          </w:p>
        </w:tc>
      </w:tr>
      <w:tr w:rsidR="007416FC" w:rsidRPr="00962E5B">
        <w:trPr>
          <w:trHeight w:val="332"/>
        </w:trPr>
        <w:tc>
          <w:tcPr>
            <w:tcW w:w="5167" w:type="dxa"/>
          </w:tcPr>
          <w:p w:rsidR="007416FC" w:rsidRPr="00962E5B" w:rsidRDefault="008A1B1B">
            <w:pPr>
              <w:pBdr>
                <w:top w:val="nil"/>
                <w:left w:val="nil"/>
                <w:bottom w:val="nil"/>
                <w:right w:val="nil"/>
                <w:between w:val="nil"/>
              </w:pBdr>
              <w:ind w:left="90"/>
              <w:rPr>
                <w:rFonts w:ascii="Arial" w:eastAsia="Arial" w:hAnsi="Arial" w:cs="Arial"/>
                <w:color w:val="000000"/>
                <w:sz w:val="20"/>
                <w:szCs w:val="20"/>
              </w:rPr>
            </w:pPr>
            <w:r w:rsidRPr="00962E5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7416FC" w:rsidRPr="00962E5B" w:rsidRDefault="008A1B1B">
            <w:pPr>
              <w:pBdr>
                <w:top w:val="nil"/>
                <w:left w:val="nil"/>
                <w:bottom w:val="nil"/>
                <w:right w:val="nil"/>
                <w:between w:val="nil"/>
              </w:pBdr>
              <w:rPr>
                <w:rFonts w:ascii="Arial" w:eastAsia="Arial" w:hAnsi="Arial" w:cs="Arial"/>
                <w:color w:val="000000"/>
                <w:sz w:val="20"/>
                <w:szCs w:val="20"/>
              </w:rPr>
            </w:pPr>
            <w:r w:rsidRPr="00962E5B">
              <w:rPr>
                <w:rFonts w:ascii="Arial" w:eastAsia="Arial" w:hAnsi="Arial" w:cs="Arial"/>
                <w:b/>
                <w:color w:val="000000"/>
                <w:sz w:val="20"/>
                <w:szCs w:val="20"/>
              </w:rPr>
              <w:t>Case report</w:t>
            </w:r>
          </w:p>
        </w:tc>
      </w:tr>
    </w:tbl>
    <w:p w:rsidR="007416FC" w:rsidRPr="00962E5B" w:rsidRDefault="007416FC">
      <w:pPr>
        <w:rPr>
          <w:rFonts w:ascii="Arial" w:hAnsi="Arial" w:cs="Arial"/>
          <w:sz w:val="20"/>
          <w:szCs w:val="20"/>
        </w:rPr>
      </w:pPr>
      <w:bookmarkStart w:id="0" w:name="_heading=h.f2h4rj2sgz8f"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9495"/>
        <w:gridCol w:w="6435"/>
      </w:tblGrid>
      <w:tr w:rsidR="007416FC" w:rsidRPr="00962E5B">
        <w:tc>
          <w:tcPr>
            <w:tcW w:w="21150" w:type="dxa"/>
            <w:gridSpan w:val="3"/>
            <w:tcBorders>
              <w:top w:val="nil"/>
              <w:left w:val="nil"/>
              <w:right w:val="nil"/>
            </w:tcBorders>
          </w:tcPr>
          <w:p w:rsidR="007416FC" w:rsidRPr="00962E5B" w:rsidRDefault="008A1B1B">
            <w:pPr>
              <w:pStyle w:val="Heading2"/>
              <w:jc w:val="left"/>
              <w:rPr>
                <w:rFonts w:ascii="Arial" w:eastAsia="Times New Roman" w:hAnsi="Arial" w:cs="Arial"/>
              </w:rPr>
            </w:pPr>
            <w:r w:rsidRPr="00962E5B">
              <w:rPr>
                <w:rFonts w:ascii="Arial" w:eastAsia="Times New Roman" w:hAnsi="Arial" w:cs="Arial"/>
                <w:highlight w:val="yellow"/>
              </w:rPr>
              <w:t>PART  1:</w:t>
            </w:r>
            <w:r w:rsidRPr="00962E5B">
              <w:rPr>
                <w:rFonts w:ascii="Arial" w:eastAsia="Times New Roman" w:hAnsi="Arial" w:cs="Arial"/>
              </w:rPr>
              <w:t xml:space="preserve"> Comments</w:t>
            </w:r>
          </w:p>
          <w:p w:rsidR="007416FC" w:rsidRPr="00962E5B" w:rsidRDefault="007416FC">
            <w:pPr>
              <w:rPr>
                <w:rFonts w:ascii="Arial" w:hAnsi="Arial" w:cs="Arial"/>
                <w:sz w:val="20"/>
                <w:szCs w:val="20"/>
              </w:rPr>
            </w:pPr>
          </w:p>
        </w:tc>
      </w:tr>
      <w:tr w:rsidR="007416FC" w:rsidRPr="00962E5B">
        <w:tc>
          <w:tcPr>
            <w:tcW w:w="5220" w:type="dxa"/>
          </w:tcPr>
          <w:p w:rsidR="007416FC" w:rsidRPr="00962E5B" w:rsidRDefault="007416FC">
            <w:pPr>
              <w:pStyle w:val="Heading2"/>
              <w:jc w:val="left"/>
              <w:rPr>
                <w:rFonts w:ascii="Arial" w:eastAsia="Times New Roman" w:hAnsi="Arial" w:cs="Arial"/>
              </w:rPr>
            </w:pPr>
          </w:p>
        </w:tc>
        <w:tc>
          <w:tcPr>
            <w:tcW w:w="9495" w:type="dxa"/>
          </w:tcPr>
          <w:p w:rsidR="007416FC" w:rsidRPr="00962E5B" w:rsidRDefault="008A1B1B">
            <w:pPr>
              <w:pStyle w:val="Heading2"/>
              <w:jc w:val="left"/>
              <w:rPr>
                <w:rFonts w:ascii="Arial" w:eastAsia="Times New Roman" w:hAnsi="Arial" w:cs="Arial"/>
              </w:rPr>
            </w:pPr>
            <w:r w:rsidRPr="00962E5B">
              <w:rPr>
                <w:rFonts w:ascii="Arial" w:eastAsia="Times New Roman" w:hAnsi="Arial" w:cs="Arial"/>
              </w:rPr>
              <w:t>Reviewer’s comment</w:t>
            </w:r>
          </w:p>
          <w:p w:rsidR="007416FC" w:rsidRPr="00962E5B" w:rsidRDefault="008A1B1B">
            <w:pPr>
              <w:rPr>
                <w:rFonts w:ascii="Arial" w:hAnsi="Arial" w:cs="Arial"/>
                <w:sz w:val="20"/>
                <w:szCs w:val="20"/>
              </w:rPr>
            </w:pPr>
            <w:r w:rsidRPr="00962E5B">
              <w:rPr>
                <w:rFonts w:ascii="Arial" w:hAnsi="Arial" w:cs="Arial"/>
                <w:b/>
                <w:sz w:val="20"/>
                <w:szCs w:val="20"/>
                <w:highlight w:val="yellow"/>
              </w:rPr>
              <w:t>Artificial Intelligence (AI) generated or assisted review comments are strictly prohibited during peer review.</w:t>
            </w:r>
          </w:p>
          <w:p w:rsidR="007416FC" w:rsidRPr="00962E5B" w:rsidRDefault="007416FC">
            <w:pPr>
              <w:rPr>
                <w:rFonts w:ascii="Arial" w:hAnsi="Arial" w:cs="Arial"/>
                <w:sz w:val="20"/>
                <w:szCs w:val="20"/>
              </w:rPr>
            </w:pPr>
          </w:p>
        </w:tc>
        <w:tc>
          <w:tcPr>
            <w:tcW w:w="6435" w:type="dxa"/>
          </w:tcPr>
          <w:p w:rsidR="007416FC" w:rsidRPr="00962E5B" w:rsidRDefault="008A1B1B">
            <w:pPr>
              <w:spacing w:after="160" w:line="254" w:lineRule="auto"/>
              <w:rPr>
                <w:rFonts w:ascii="Arial" w:hAnsi="Arial" w:cs="Arial"/>
                <w:sz w:val="20"/>
                <w:szCs w:val="20"/>
              </w:rPr>
            </w:pPr>
            <w:r w:rsidRPr="00962E5B">
              <w:rPr>
                <w:rFonts w:ascii="Arial" w:hAnsi="Arial" w:cs="Arial"/>
                <w:b/>
                <w:sz w:val="20"/>
                <w:szCs w:val="20"/>
              </w:rPr>
              <w:t>Author’s Feedback</w:t>
            </w:r>
            <w:r w:rsidRPr="00962E5B">
              <w:rPr>
                <w:rFonts w:ascii="Arial" w:hAnsi="Arial" w:cs="Arial"/>
                <w:sz w:val="20"/>
                <w:szCs w:val="20"/>
              </w:rPr>
              <w:t xml:space="preserve"> (It is mandatory that authors should write his/her feedback here)</w:t>
            </w:r>
          </w:p>
          <w:p w:rsidR="007416FC" w:rsidRPr="00962E5B" w:rsidRDefault="007416FC">
            <w:pPr>
              <w:pStyle w:val="Heading2"/>
              <w:jc w:val="left"/>
              <w:rPr>
                <w:rFonts w:ascii="Arial" w:eastAsia="Times New Roman" w:hAnsi="Arial" w:cs="Arial"/>
                <w:b w:val="0"/>
              </w:rPr>
            </w:pPr>
          </w:p>
        </w:tc>
      </w:tr>
      <w:tr w:rsidR="007416FC" w:rsidRPr="00962E5B">
        <w:trPr>
          <w:trHeight w:val="1264"/>
        </w:trPr>
        <w:tc>
          <w:tcPr>
            <w:tcW w:w="5220" w:type="dxa"/>
          </w:tcPr>
          <w:p w:rsidR="007416FC" w:rsidRPr="00962E5B" w:rsidRDefault="008A1B1B">
            <w:pPr>
              <w:ind w:left="360"/>
              <w:rPr>
                <w:rFonts w:ascii="Arial" w:hAnsi="Arial" w:cs="Arial"/>
                <w:sz w:val="20"/>
                <w:szCs w:val="20"/>
              </w:rPr>
            </w:pPr>
            <w:r w:rsidRPr="00962E5B">
              <w:rPr>
                <w:rFonts w:ascii="Arial" w:hAnsi="Arial" w:cs="Arial"/>
                <w:b/>
                <w:sz w:val="20"/>
                <w:szCs w:val="20"/>
              </w:rPr>
              <w:t>Please write a few sentences regarding the importance of this manuscript for the scientific community. A minimum of 3-4 sentences may be required for this part.</w:t>
            </w:r>
          </w:p>
          <w:p w:rsidR="007416FC" w:rsidRPr="00962E5B" w:rsidRDefault="007416FC">
            <w:pPr>
              <w:ind w:left="360"/>
              <w:rPr>
                <w:rFonts w:ascii="Arial" w:hAnsi="Arial" w:cs="Arial"/>
                <w:sz w:val="20"/>
                <w:szCs w:val="20"/>
              </w:rPr>
            </w:pPr>
          </w:p>
        </w:tc>
        <w:tc>
          <w:tcPr>
            <w:tcW w:w="9495" w:type="dxa"/>
          </w:tcPr>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 xml:space="preserve">This manuscript holds substantial academic and clinical merit, as it meticulously delineates a diagnostically challenging and infrequently encountered </w:t>
            </w:r>
            <w:proofErr w:type="spellStart"/>
            <w:r w:rsidRPr="00962E5B">
              <w:rPr>
                <w:rFonts w:ascii="Arial" w:eastAsia="Lexend Medium" w:hAnsi="Arial" w:cs="Arial"/>
                <w:sz w:val="20"/>
                <w:szCs w:val="20"/>
              </w:rPr>
              <w:t>entity,appendiceal</w:t>
            </w:r>
            <w:proofErr w:type="spellEnd"/>
            <w:r w:rsidRPr="00962E5B">
              <w:rPr>
                <w:rFonts w:ascii="Arial" w:eastAsia="Lexend Medium" w:hAnsi="Arial" w:cs="Arial"/>
                <w:sz w:val="20"/>
                <w:szCs w:val="20"/>
              </w:rPr>
              <w:t xml:space="preserve"> actinomycosis manifesting during the postpartum period, a temporal window characterized by unique immunological recalibrations and hormonal flux. The report transcends a mere clinical anecdote by exemplifying how ostensibly benign or nonspecific abdominal symptoms, particularly in women with a history of intrauterine device use, may cloak indolent yet invasive pathologies with protean manifestations. In an era where diagnostic minimalism and algorithmic medicine risk eclipsing the value of meticulous differential reasoning, this case reinstates the indispensable role of surgical exploration, histopathologic vigilance, and microbiologic confirmation in unveiling occult infectious processes.</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 xml:space="preserve">Moreover, the manuscript contributes to the evolving </w:t>
            </w:r>
            <w:proofErr w:type="spellStart"/>
            <w:r w:rsidRPr="00962E5B">
              <w:rPr>
                <w:rFonts w:ascii="Arial" w:eastAsia="Lexend Medium" w:hAnsi="Arial" w:cs="Arial"/>
                <w:sz w:val="20"/>
                <w:szCs w:val="20"/>
              </w:rPr>
              <w:t>nosological</w:t>
            </w:r>
            <w:proofErr w:type="spellEnd"/>
            <w:r w:rsidRPr="00962E5B">
              <w:rPr>
                <w:rFonts w:ascii="Arial" w:eastAsia="Lexend Medium" w:hAnsi="Arial" w:cs="Arial"/>
                <w:sz w:val="20"/>
                <w:szCs w:val="20"/>
              </w:rPr>
              <w:t xml:space="preserve"> dialogue on chronic and subacute appendiceal syndromes, a domain often relegated to underdiagnosed clinical </w:t>
            </w:r>
            <w:proofErr w:type="spellStart"/>
            <w:r w:rsidRPr="00962E5B">
              <w:rPr>
                <w:rFonts w:ascii="Arial" w:eastAsia="Lexend Medium" w:hAnsi="Arial" w:cs="Arial"/>
                <w:sz w:val="20"/>
                <w:szCs w:val="20"/>
              </w:rPr>
              <w:t>gray</w:t>
            </w:r>
            <w:proofErr w:type="spellEnd"/>
            <w:r w:rsidRPr="00962E5B">
              <w:rPr>
                <w:rFonts w:ascii="Arial" w:eastAsia="Lexend Medium" w:hAnsi="Arial" w:cs="Arial"/>
                <w:sz w:val="20"/>
                <w:szCs w:val="20"/>
              </w:rPr>
              <w:t xml:space="preserve"> zones. Its didactic value lies not only in elucidating the pathogenic subtleties of Actinomyces </w:t>
            </w:r>
            <w:proofErr w:type="spellStart"/>
            <w:r w:rsidRPr="00962E5B">
              <w:rPr>
                <w:rFonts w:ascii="Arial" w:eastAsia="Lexend Medium" w:hAnsi="Arial" w:cs="Arial"/>
                <w:sz w:val="20"/>
                <w:szCs w:val="20"/>
              </w:rPr>
              <w:t>israelii</w:t>
            </w:r>
            <w:proofErr w:type="spellEnd"/>
            <w:r w:rsidRPr="00962E5B">
              <w:rPr>
                <w:rFonts w:ascii="Arial" w:eastAsia="Lexend Medium" w:hAnsi="Arial" w:cs="Arial"/>
                <w:sz w:val="20"/>
                <w:szCs w:val="20"/>
              </w:rPr>
              <w:t xml:space="preserve"> but also in reinforcing the therapeutic doctrine advocating for an integrated approach of precise surgical debridement followed by prolonged, organism-specific antimicrobial therapy. As such, the report stands as a pertinent addition to the existing literature, </w:t>
            </w:r>
            <w:proofErr w:type="spellStart"/>
            <w:r w:rsidRPr="00962E5B">
              <w:rPr>
                <w:rFonts w:ascii="Arial" w:eastAsia="Lexend Medium" w:hAnsi="Arial" w:cs="Arial"/>
                <w:sz w:val="20"/>
                <w:szCs w:val="20"/>
              </w:rPr>
              <w:t>catalyzing</w:t>
            </w:r>
            <w:proofErr w:type="spellEnd"/>
            <w:r w:rsidRPr="00962E5B">
              <w:rPr>
                <w:rFonts w:ascii="Arial" w:eastAsia="Lexend Medium" w:hAnsi="Arial" w:cs="Arial"/>
                <w:sz w:val="20"/>
                <w:szCs w:val="20"/>
              </w:rPr>
              <w:t xml:space="preserve"> further inquiry into the </w:t>
            </w:r>
            <w:proofErr w:type="spellStart"/>
            <w:r w:rsidRPr="00962E5B">
              <w:rPr>
                <w:rFonts w:ascii="Arial" w:eastAsia="Lexend Medium" w:hAnsi="Arial" w:cs="Arial"/>
                <w:sz w:val="20"/>
                <w:szCs w:val="20"/>
              </w:rPr>
              <w:t>immunoinfectious</w:t>
            </w:r>
            <w:proofErr w:type="spellEnd"/>
            <w:r w:rsidRPr="00962E5B">
              <w:rPr>
                <w:rFonts w:ascii="Arial" w:eastAsia="Lexend Medium" w:hAnsi="Arial" w:cs="Arial"/>
                <w:sz w:val="20"/>
                <w:szCs w:val="20"/>
              </w:rPr>
              <w:t xml:space="preserve"> intersections of postpartum physiology and chronic intra-abdominal infections.</w:t>
            </w:r>
          </w:p>
          <w:p w:rsidR="007416FC" w:rsidRPr="00962E5B" w:rsidRDefault="007416FC">
            <w:pPr>
              <w:rPr>
                <w:rFonts w:ascii="Arial" w:eastAsia="Lexend Medium" w:hAnsi="Arial" w:cs="Arial"/>
                <w:sz w:val="20"/>
                <w:szCs w:val="20"/>
              </w:rPr>
            </w:pPr>
          </w:p>
        </w:tc>
        <w:tc>
          <w:tcPr>
            <w:tcW w:w="6435" w:type="dxa"/>
          </w:tcPr>
          <w:p w:rsidR="007416FC" w:rsidRPr="00962E5B" w:rsidRDefault="007416FC">
            <w:pPr>
              <w:pStyle w:val="Heading2"/>
              <w:jc w:val="left"/>
              <w:rPr>
                <w:rFonts w:ascii="Arial" w:eastAsia="Times New Roman" w:hAnsi="Arial" w:cs="Arial"/>
                <w:b w:val="0"/>
              </w:rPr>
            </w:pPr>
          </w:p>
        </w:tc>
      </w:tr>
      <w:tr w:rsidR="007416FC" w:rsidRPr="00962E5B">
        <w:trPr>
          <w:trHeight w:val="1485"/>
        </w:trPr>
        <w:tc>
          <w:tcPr>
            <w:tcW w:w="5220" w:type="dxa"/>
          </w:tcPr>
          <w:p w:rsidR="007416FC" w:rsidRPr="00962E5B" w:rsidRDefault="008A1B1B">
            <w:pPr>
              <w:ind w:left="360"/>
              <w:rPr>
                <w:rFonts w:ascii="Arial" w:hAnsi="Arial" w:cs="Arial"/>
                <w:sz w:val="20"/>
                <w:szCs w:val="20"/>
              </w:rPr>
            </w:pPr>
            <w:r w:rsidRPr="00962E5B">
              <w:rPr>
                <w:rFonts w:ascii="Arial" w:hAnsi="Arial" w:cs="Arial"/>
                <w:b/>
                <w:sz w:val="20"/>
                <w:szCs w:val="20"/>
              </w:rPr>
              <w:t>Is the title of the article suitable?</w:t>
            </w:r>
          </w:p>
          <w:p w:rsidR="007416FC" w:rsidRPr="00962E5B" w:rsidRDefault="008A1B1B">
            <w:pPr>
              <w:ind w:left="360"/>
              <w:rPr>
                <w:rFonts w:ascii="Arial" w:hAnsi="Arial" w:cs="Arial"/>
                <w:sz w:val="20"/>
                <w:szCs w:val="20"/>
              </w:rPr>
            </w:pPr>
            <w:r w:rsidRPr="00962E5B">
              <w:rPr>
                <w:rFonts w:ascii="Arial" w:hAnsi="Arial" w:cs="Arial"/>
                <w:b/>
                <w:sz w:val="20"/>
                <w:szCs w:val="20"/>
              </w:rPr>
              <w:t>(If not please suggest an alternative title)</w:t>
            </w:r>
          </w:p>
          <w:p w:rsidR="007416FC" w:rsidRPr="00962E5B" w:rsidRDefault="007416FC">
            <w:pPr>
              <w:pStyle w:val="Heading2"/>
              <w:jc w:val="left"/>
              <w:rPr>
                <w:rFonts w:ascii="Arial" w:eastAsia="Times New Roman" w:hAnsi="Arial" w:cs="Arial"/>
                <w:u w:val="single"/>
              </w:rPr>
            </w:pPr>
          </w:p>
        </w:tc>
        <w:tc>
          <w:tcPr>
            <w:tcW w:w="9495" w:type="dxa"/>
          </w:tcPr>
          <w:p w:rsidR="007416FC" w:rsidRPr="00962E5B" w:rsidRDefault="008A1B1B">
            <w:pPr>
              <w:ind w:left="360"/>
              <w:rPr>
                <w:rFonts w:ascii="Arial" w:eastAsia="Lexend Medium" w:hAnsi="Arial" w:cs="Arial"/>
                <w:sz w:val="20"/>
                <w:szCs w:val="20"/>
              </w:rPr>
            </w:pPr>
            <w:r w:rsidRPr="00962E5B">
              <w:rPr>
                <w:rFonts w:ascii="Arial" w:eastAsia="Lexend Medium" w:hAnsi="Arial" w:cs="Arial"/>
                <w:sz w:val="20"/>
                <w:szCs w:val="20"/>
              </w:rPr>
              <w:t xml:space="preserve">The current title is descriptive but lacks the academic sharpness expected for a case report of rare </w:t>
            </w:r>
            <w:proofErr w:type="spellStart"/>
            <w:r w:rsidRPr="00962E5B">
              <w:rPr>
                <w:rFonts w:ascii="Arial" w:eastAsia="Lexend Medium" w:hAnsi="Arial" w:cs="Arial"/>
                <w:sz w:val="20"/>
                <w:szCs w:val="20"/>
              </w:rPr>
              <w:t>nosological</w:t>
            </w:r>
            <w:proofErr w:type="spellEnd"/>
            <w:r w:rsidRPr="00962E5B">
              <w:rPr>
                <w:rFonts w:ascii="Arial" w:eastAsia="Lexend Medium" w:hAnsi="Arial" w:cs="Arial"/>
                <w:sz w:val="20"/>
                <w:szCs w:val="20"/>
              </w:rPr>
              <w:t xml:space="preserve"> significance.</w:t>
            </w:r>
          </w:p>
          <w:p w:rsidR="007416FC" w:rsidRPr="00962E5B" w:rsidRDefault="008A1B1B">
            <w:pPr>
              <w:ind w:left="360"/>
              <w:rPr>
                <w:rFonts w:ascii="Arial" w:eastAsia="Lexend Medium" w:hAnsi="Arial" w:cs="Arial"/>
                <w:sz w:val="20"/>
                <w:szCs w:val="20"/>
              </w:rPr>
            </w:pPr>
            <w:r w:rsidRPr="00962E5B">
              <w:rPr>
                <w:rFonts w:ascii="Arial" w:eastAsia="Lexend Medium" w:hAnsi="Arial" w:cs="Arial"/>
                <w:sz w:val="20"/>
                <w:szCs w:val="20"/>
              </w:rPr>
              <w:t>Suggested alternative title:</w:t>
            </w:r>
          </w:p>
          <w:p w:rsidR="007416FC" w:rsidRPr="00962E5B" w:rsidRDefault="008A1B1B">
            <w:pPr>
              <w:ind w:left="360"/>
              <w:rPr>
                <w:rFonts w:ascii="Arial" w:eastAsia="Lexend Medium" w:hAnsi="Arial" w:cs="Arial"/>
                <w:i/>
                <w:sz w:val="20"/>
                <w:szCs w:val="20"/>
                <w:u w:val="single"/>
              </w:rPr>
            </w:pPr>
            <w:r w:rsidRPr="00962E5B">
              <w:rPr>
                <w:rFonts w:ascii="Arial" w:eastAsia="Lexend Medium" w:hAnsi="Arial" w:cs="Arial"/>
                <w:i/>
                <w:sz w:val="20"/>
                <w:szCs w:val="20"/>
                <w:u w:val="single"/>
              </w:rPr>
              <w:t>“Postpartum Appendiceal Actinomycosis Mimicking Chronic Appendicitis: Diagnostic Pitfalls and Surgical Implications”</w:t>
            </w:r>
          </w:p>
        </w:tc>
        <w:tc>
          <w:tcPr>
            <w:tcW w:w="6435" w:type="dxa"/>
          </w:tcPr>
          <w:p w:rsidR="007416FC" w:rsidRPr="00962E5B" w:rsidRDefault="007416FC">
            <w:pPr>
              <w:pStyle w:val="Heading2"/>
              <w:jc w:val="left"/>
              <w:rPr>
                <w:rFonts w:ascii="Arial" w:eastAsia="Times New Roman" w:hAnsi="Arial" w:cs="Arial"/>
                <w:b w:val="0"/>
              </w:rPr>
            </w:pPr>
          </w:p>
        </w:tc>
      </w:tr>
      <w:tr w:rsidR="007416FC" w:rsidRPr="00962E5B">
        <w:trPr>
          <w:trHeight w:val="4904"/>
        </w:trPr>
        <w:tc>
          <w:tcPr>
            <w:tcW w:w="5220" w:type="dxa"/>
          </w:tcPr>
          <w:p w:rsidR="007416FC" w:rsidRPr="00962E5B" w:rsidRDefault="008A1B1B">
            <w:pPr>
              <w:pStyle w:val="Heading2"/>
              <w:ind w:left="360"/>
              <w:jc w:val="left"/>
              <w:rPr>
                <w:rFonts w:ascii="Arial" w:eastAsia="Times New Roman" w:hAnsi="Arial" w:cs="Arial"/>
              </w:rPr>
            </w:pPr>
            <w:r w:rsidRPr="00962E5B">
              <w:rPr>
                <w:rFonts w:ascii="Arial" w:eastAsia="Times New Roman" w:hAnsi="Arial" w:cs="Arial"/>
              </w:rPr>
              <w:lastRenderedPageBreak/>
              <w:t>Is the abstract of the article comprehensive? Do you suggest the addition (or deletion) of some points in this section? Please write your suggestions here.</w:t>
            </w:r>
          </w:p>
          <w:p w:rsidR="007416FC" w:rsidRPr="00962E5B" w:rsidRDefault="007416FC">
            <w:pPr>
              <w:pStyle w:val="Heading2"/>
              <w:jc w:val="left"/>
              <w:rPr>
                <w:rFonts w:ascii="Arial" w:eastAsia="Times New Roman" w:hAnsi="Arial" w:cs="Arial"/>
                <w:u w:val="single"/>
              </w:rPr>
            </w:pPr>
          </w:p>
        </w:tc>
        <w:tc>
          <w:tcPr>
            <w:tcW w:w="9495" w:type="dxa"/>
          </w:tcPr>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 xml:space="preserve">While the abstract provides an acceptable summary, it lacks nuanced medical framing and academic depth. The term “justifying surgical intervention” is linguistically weak and should be rephrased as “necessitating urgent surgical exploration.” Additionally, the phrase “revealed in the postpartum period” is </w:t>
            </w:r>
            <w:proofErr w:type="spellStart"/>
            <w:r w:rsidR="00BC2B40" w:rsidRPr="00962E5B">
              <w:rPr>
                <w:rFonts w:ascii="Arial" w:eastAsia="Lexend Medium" w:hAnsi="Arial" w:cs="Arial"/>
                <w:sz w:val="20"/>
                <w:szCs w:val="20"/>
              </w:rPr>
              <w:t>unlcear</w:t>
            </w:r>
            <w:proofErr w:type="spellEnd"/>
            <w:r w:rsidRPr="00962E5B">
              <w:rPr>
                <w:rFonts w:ascii="Arial" w:eastAsia="Lexend Medium" w:hAnsi="Arial" w:cs="Arial"/>
                <w:sz w:val="20"/>
                <w:szCs w:val="20"/>
              </w:rPr>
              <w:t>; specificity could be improved by mentioning the 30-day postpartum context and the patient's prior intrauterine device use. Furthermore, the abstract should delineate more clearly the diagnostic dilemma and the crucial postoperative histopathologic findings that pivoted the management trajectory.</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Suggested Additions:</w:t>
            </w:r>
          </w:p>
          <w:p w:rsidR="007416FC" w:rsidRPr="00962E5B" w:rsidRDefault="008A1B1B">
            <w:pPr>
              <w:numPr>
                <w:ilvl w:val="0"/>
                <w:numId w:val="1"/>
              </w:numPr>
              <w:spacing w:before="240"/>
              <w:rPr>
                <w:rFonts w:ascii="Arial" w:eastAsia="Lexend Medium" w:hAnsi="Arial" w:cs="Arial"/>
                <w:sz w:val="20"/>
                <w:szCs w:val="20"/>
              </w:rPr>
            </w:pPr>
            <w:r w:rsidRPr="00962E5B">
              <w:rPr>
                <w:rFonts w:ascii="Arial" w:eastAsia="Lexend Medium" w:hAnsi="Arial" w:cs="Arial"/>
                <w:sz w:val="20"/>
                <w:szCs w:val="20"/>
              </w:rPr>
              <w:t>A line on the differential diagnostic conundrum.</w:t>
            </w:r>
            <w:r w:rsidRPr="00962E5B">
              <w:rPr>
                <w:rFonts w:ascii="Arial" w:eastAsia="Lexend Medium" w:hAnsi="Arial" w:cs="Arial"/>
                <w:sz w:val="20"/>
                <w:szCs w:val="20"/>
              </w:rPr>
              <w:br/>
            </w:r>
          </w:p>
          <w:p w:rsidR="007416FC" w:rsidRPr="00962E5B" w:rsidRDefault="008A1B1B">
            <w:pPr>
              <w:numPr>
                <w:ilvl w:val="0"/>
                <w:numId w:val="1"/>
              </w:numPr>
              <w:spacing w:after="240"/>
              <w:rPr>
                <w:rFonts w:ascii="Arial" w:eastAsia="Lexend Medium" w:hAnsi="Arial" w:cs="Arial"/>
                <w:sz w:val="20"/>
                <w:szCs w:val="20"/>
              </w:rPr>
            </w:pPr>
            <w:r w:rsidRPr="00962E5B">
              <w:rPr>
                <w:rFonts w:ascii="Arial" w:eastAsia="Lexend Medium" w:hAnsi="Arial" w:cs="Arial"/>
                <w:sz w:val="20"/>
                <w:szCs w:val="20"/>
              </w:rPr>
              <w:t>Mention of the histopathological hallmarks (</w:t>
            </w:r>
            <w:proofErr w:type="spellStart"/>
            <w:r w:rsidRPr="00962E5B">
              <w:rPr>
                <w:rFonts w:ascii="Arial" w:eastAsia="Lexend Medium" w:hAnsi="Arial" w:cs="Arial"/>
                <w:sz w:val="20"/>
                <w:szCs w:val="20"/>
              </w:rPr>
              <w:t>sulfur</w:t>
            </w:r>
            <w:proofErr w:type="spellEnd"/>
            <w:r w:rsidRPr="00962E5B">
              <w:rPr>
                <w:rFonts w:ascii="Arial" w:eastAsia="Lexend Medium" w:hAnsi="Arial" w:cs="Arial"/>
                <w:sz w:val="20"/>
                <w:szCs w:val="20"/>
              </w:rPr>
              <w:t xml:space="preserve"> granules, filamentous bacilli).</w:t>
            </w:r>
            <w:r w:rsidRPr="00962E5B">
              <w:rPr>
                <w:rFonts w:ascii="Arial" w:eastAsia="Lexend Medium" w:hAnsi="Arial" w:cs="Arial"/>
                <w:sz w:val="20"/>
                <w:szCs w:val="20"/>
              </w:rPr>
              <w:br/>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Suggested Deletion:</w:t>
            </w:r>
          </w:p>
          <w:p w:rsidR="007416FC" w:rsidRPr="00962E5B" w:rsidRDefault="008A1B1B">
            <w:pPr>
              <w:numPr>
                <w:ilvl w:val="0"/>
                <w:numId w:val="6"/>
              </w:numPr>
              <w:spacing w:before="240" w:after="240"/>
              <w:rPr>
                <w:rFonts w:ascii="Arial" w:eastAsia="Lexend Medium" w:hAnsi="Arial" w:cs="Arial"/>
                <w:sz w:val="20"/>
                <w:szCs w:val="20"/>
              </w:rPr>
            </w:pPr>
            <w:r w:rsidRPr="00962E5B">
              <w:rPr>
                <w:rFonts w:ascii="Arial" w:eastAsia="Lexend Medium" w:hAnsi="Arial" w:cs="Arial"/>
                <w:sz w:val="20"/>
                <w:szCs w:val="20"/>
              </w:rPr>
              <w:t xml:space="preserve">Redundant phrasing such as “confirmed by culture of Actinomyces </w:t>
            </w:r>
            <w:proofErr w:type="spellStart"/>
            <w:r w:rsidRPr="00962E5B">
              <w:rPr>
                <w:rFonts w:ascii="Arial" w:eastAsia="Lexend Medium" w:hAnsi="Arial" w:cs="Arial"/>
                <w:sz w:val="20"/>
                <w:szCs w:val="20"/>
              </w:rPr>
              <w:t>israelii</w:t>
            </w:r>
            <w:proofErr w:type="spellEnd"/>
            <w:r w:rsidRPr="00962E5B">
              <w:rPr>
                <w:rFonts w:ascii="Arial" w:eastAsia="Lexend Medium" w:hAnsi="Arial" w:cs="Arial"/>
                <w:sz w:val="20"/>
                <w:szCs w:val="20"/>
              </w:rPr>
              <w:t>” could be compressed or omitted for brevity.</w:t>
            </w:r>
          </w:p>
          <w:p w:rsidR="007416FC" w:rsidRPr="00962E5B" w:rsidRDefault="007416FC">
            <w:pPr>
              <w:ind w:left="360"/>
              <w:rPr>
                <w:rFonts w:ascii="Arial" w:eastAsia="Lexend Medium" w:hAnsi="Arial" w:cs="Arial"/>
                <w:sz w:val="20"/>
                <w:szCs w:val="20"/>
              </w:rPr>
            </w:pPr>
          </w:p>
        </w:tc>
        <w:tc>
          <w:tcPr>
            <w:tcW w:w="6435" w:type="dxa"/>
          </w:tcPr>
          <w:p w:rsidR="007416FC" w:rsidRPr="00962E5B" w:rsidRDefault="007416FC">
            <w:pPr>
              <w:pStyle w:val="Heading2"/>
              <w:jc w:val="left"/>
              <w:rPr>
                <w:rFonts w:ascii="Arial" w:eastAsia="Times New Roman" w:hAnsi="Arial" w:cs="Arial"/>
                <w:b w:val="0"/>
              </w:rPr>
            </w:pPr>
          </w:p>
        </w:tc>
      </w:tr>
      <w:tr w:rsidR="007416FC" w:rsidRPr="00962E5B">
        <w:trPr>
          <w:trHeight w:val="704"/>
        </w:trPr>
        <w:tc>
          <w:tcPr>
            <w:tcW w:w="5220" w:type="dxa"/>
          </w:tcPr>
          <w:p w:rsidR="007416FC" w:rsidRPr="00962E5B" w:rsidRDefault="008A1B1B">
            <w:pPr>
              <w:pStyle w:val="Heading2"/>
              <w:ind w:left="360"/>
              <w:jc w:val="left"/>
              <w:rPr>
                <w:rFonts w:ascii="Arial" w:hAnsi="Arial" w:cs="Arial"/>
                <w:b w:val="0"/>
                <w:u w:val="single"/>
              </w:rPr>
            </w:pPr>
            <w:r w:rsidRPr="00962E5B">
              <w:rPr>
                <w:rFonts w:ascii="Arial" w:eastAsia="Times New Roman" w:hAnsi="Arial" w:cs="Arial"/>
              </w:rPr>
              <w:lastRenderedPageBreak/>
              <w:t>Is the manuscript scientifically, correct? Please write here.</w:t>
            </w:r>
          </w:p>
        </w:tc>
        <w:tc>
          <w:tcPr>
            <w:tcW w:w="9495" w:type="dxa"/>
          </w:tcPr>
          <w:p w:rsidR="007416FC" w:rsidRPr="00962E5B" w:rsidRDefault="008A1B1B">
            <w:pPr>
              <w:spacing w:before="240" w:after="240"/>
              <w:ind w:left="720"/>
              <w:rPr>
                <w:rFonts w:ascii="Arial" w:eastAsia="Lexend Medium" w:hAnsi="Arial" w:cs="Arial"/>
                <w:sz w:val="20"/>
                <w:szCs w:val="20"/>
              </w:rPr>
            </w:pPr>
            <w:r w:rsidRPr="00962E5B">
              <w:rPr>
                <w:rFonts w:ascii="Arial" w:eastAsia="Lexend Medium" w:hAnsi="Arial" w:cs="Arial"/>
                <w:sz w:val="20"/>
                <w:szCs w:val="20"/>
              </w:rPr>
              <w:t>While the manuscript commendably draws attention to a clinically elusive yet diagnostically consequential infectious entity, it regrettably falls short of the methodological and epistemological standards expected of contemporary medical case literature. The scientific construction, though adequate in its superficial chronology, lacks the requisite granularity, analytical depth, and critical interpretive framework that would render the case truly edifying to its intended scholarly audience.</w:t>
            </w:r>
          </w:p>
          <w:p w:rsidR="007416FC" w:rsidRPr="00962E5B" w:rsidRDefault="007416FC">
            <w:pPr>
              <w:spacing w:before="240" w:after="240"/>
              <w:rPr>
                <w:rFonts w:ascii="Arial" w:eastAsia="Lexend Medium" w:hAnsi="Arial" w:cs="Arial"/>
                <w:sz w:val="20"/>
                <w:szCs w:val="20"/>
              </w:rPr>
            </w:pPr>
          </w:p>
          <w:p w:rsidR="007416FC" w:rsidRPr="00962E5B" w:rsidRDefault="008A1B1B">
            <w:pPr>
              <w:numPr>
                <w:ilvl w:val="0"/>
                <w:numId w:val="4"/>
              </w:numPr>
              <w:spacing w:before="240"/>
              <w:rPr>
                <w:rFonts w:ascii="Arial" w:eastAsia="Lexend Medium" w:hAnsi="Arial" w:cs="Arial"/>
                <w:sz w:val="20"/>
                <w:szCs w:val="20"/>
              </w:rPr>
            </w:pPr>
            <w:r w:rsidRPr="00962E5B">
              <w:rPr>
                <w:rFonts w:ascii="Arial" w:eastAsia="Lexend Medium" w:hAnsi="Arial" w:cs="Arial"/>
                <w:sz w:val="20"/>
                <w:szCs w:val="20"/>
              </w:rPr>
              <w:t xml:space="preserve">The manuscript lacks incorporation of critical laboratory inflammatory indices (e.g., CRP, </w:t>
            </w:r>
            <w:proofErr w:type="spellStart"/>
            <w:r w:rsidRPr="00962E5B">
              <w:rPr>
                <w:rFonts w:ascii="Arial" w:eastAsia="Lexend Medium" w:hAnsi="Arial" w:cs="Arial"/>
                <w:sz w:val="20"/>
                <w:szCs w:val="20"/>
              </w:rPr>
              <w:t>ESR,leukocytic</w:t>
            </w:r>
            <w:proofErr w:type="spellEnd"/>
            <w:r w:rsidRPr="00962E5B">
              <w:rPr>
                <w:rFonts w:ascii="Arial" w:eastAsia="Lexend Medium" w:hAnsi="Arial" w:cs="Arial"/>
                <w:sz w:val="20"/>
                <w:szCs w:val="20"/>
              </w:rPr>
              <w:t xml:space="preserve"> counts), which are fundamental to establishing the systemic inflammatory milieu associated with actinomycotic infection.</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Radiological interpretation is conveyed in a perfunctory and clinically sterile manner; the absence of detailed descriptors such as contrast phases, perilesional stranding, or lymphadenopathy undermines its diagnostic interpretability.</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The microbiological analysis is inadequately interrogated; no mention is made of anaerobic culture protocols, incubation timelines, or possible polymicrobial synergy—factors that are central to the pathogenesis of actinomycosis.</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The surgical narrative is procedurally described but lacks theoretical justification; no differential surgical considerations (e.g., appendectomy vs. ileocecectomy) or intraoperative decision algorithms are presented.</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 xml:space="preserve">Histopathological analysis is reported in a superficial fashion, devoid of comparative diagnostic commentary vis-à-vis mimickers such as </w:t>
            </w:r>
            <w:proofErr w:type="spellStart"/>
            <w:r w:rsidRPr="00962E5B">
              <w:rPr>
                <w:rFonts w:ascii="Arial" w:eastAsia="Lexend Medium" w:hAnsi="Arial" w:cs="Arial"/>
                <w:sz w:val="20"/>
                <w:szCs w:val="20"/>
              </w:rPr>
              <w:t>nocardiosis</w:t>
            </w:r>
            <w:proofErr w:type="spellEnd"/>
            <w:r w:rsidRPr="00962E5B">
              <w:rPr>
                <w:rFonts w:ascii="Arial" w:eastAsia="Lexend Medium" w:hAnsi="Arial" w:cs="Arial"/>
                <w:sz w:val="20"/>
                <w:szCs w:val="20"/>
              </w:rPr>
              <w:t>, botryomycosis, or fungal pseudo-hyphae formations.</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Staining methodology is mentioned without interpretive clarity; the diagnostic yield and specificity of silver staining are not contextualized against alternatives such as Gram stain or PAS, which diminishes histological precision.</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The manuscript omits any meaningful discourse on the host’s immunomodulatory status during the postpartum period, missing an opportunity to correlate hormonal-immune shifts with susceptibility to chronic infections.</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No discussion is made regarding antibiotic stewardship principles, duration tailoring, or potential resistance scenarios—an oversight in light of growing global concerns regarding prolonged empiricism.</w:t>
            </w:r>
            <w:r w:rsidRPr="00962E5B">
              <w:rPr>
                <w:rFonts w:ascii="Arial" w:eastAsia="Lexend Medium" w:hAnsi="Arial" w:cs="Arial"/>
                <w:sz w:val="20"/>
                <w:szCs w:val="20"/>
              </w:rPr>
              <w:br/>
            </w:r>
          </w:p>
          <w:p w:rsidR="007416FC" w:rsidRPr="00962E5B" w:rsidRDefault="008A1B1B">
            <w:pPr>
              <w:numPr>
                <w:ilvl w:val="0"/>
                <w:numId w:val="4"/>
              </w:numPr>
              <w:rPr>
                <w:rFonts w:ascii="Arial" w:eastAsia="Lexend Medium" w:hAnsi="Arial" w:cs="Arial"/>
                <w:sz w:val="20"/>
                <w:szCs w:val="20"/>
              </w:rPr>
            </w:pPr>
            <w:r w:rsidRPr="00962E5B">
              <w:rPr>
                <w:rFonts w:ascii="Arial" w:eastAsia="Lexend Medium" w:hAnsi="Arial" w:cs="Arial"/>
                <w:sz w:val="20"/>
                <w:szCs w:val="20"/>
              </w:rPr>
              <w:t>The discussion fails to extrapolate the case to a broader diagnostic schema; there is a lack of proposed algorithms or red-flag indicators to guide clinicians encountering similar ambiguous presentations.</w:t>
            </w:r>
            <w:r w:rsidRPr="00962E5B">
              <w:rPr>
                <w:rFonts w:ascii="Arial" w:eastAsia="Lexend Medium" w:hAnsi="Arial" w:cs="Arial"/>
                <w:sz w:val="20"/>
                <w:szCs w:val="20"/>
              </w:rPr>
              <w:br/>
            </w:r>
          </w:p>
          <w:p w:rsidR="007416FC" w:rsidRPr="00962E5B" w:rsidRDefault="008A1B1B">
            <w:pPr>
              <w:numPr>
                <w:ilvl w:val="0"/>
                <w:numId w:val="4"/>
              </w:numPr>
              <w:spacing w:after="240"/>
              <w:rPr>
                <w:rFonts w:ascii="Arial" w:eastAsia="Lexend Medium" w:hAnsi="Arial" w:cs="Arial"/>
                <w:sz w:val="20"/>
                <w:szCs w:val="20"/>
              </w:rPr>
            </w:pPr>
            <w:r w:rsidRPr="00962E5B">
              <w:rPr>
                <w:rFonts w:ascii="Arial" w:eastAsia="Lexend Medium" w:hAnsi="Arial" w:cs="Arial"/>
                <w:sz w:val="20"/>
                <w:szCs w:val="20"/>
              </w:rPr>
              <w:t>Overall, the scientific architecture of the manuscript remains observational rather than analytical, lacking the interpretive scaffolding required for impactful academic dissemination.</w:t>
            </w:r>
            <w:r w:rsidRPr="00962E5B">
              <w:rPr>
                <w:rFonts w:ascii="Arial" w:eastAsia="Lexend Medium" w:hAnsi="Arial" w:cs="Arial"/>
                <w:sz w:val="20"/>
                <w:szCs w:val="20"/>
              </w:rPr>
              <w:br/>
            </w:r>
          </w:p>
          <w:p w:rsidR="007416FC" w:rsidRPr="00962E5B" w:rsidRDefault="007416FC">
            <w:pPr>
              <w:spacing w:before="240" w:after="240"/>
              <w:ind w:left="720"/>
              <w:rPr>
                <w:rFonts w:ascii="Arial" w:eastAsia="Lexend Medium" w:hAnsi="Arial" w:cs="Arial"/>
                <w:sz w:val="20"/>
                <w:szCs w:val="20"/>
              </w:rPr>
            </w:pPr>
          </w:p>
          <w:p w:rsidR="007416FC" w:rsidRPr="00962E5B" w:rsidRDefault="007416FC">
            <w:pPr>
              <w:pBdr>
                <w:top w:val="nil"/>
                <w:left w:val="nil"/>
                <w:bottom w:val="nil"/>
                <w:right w:val="nil"/>
                <w:between w:val="nil"/>
              </w:pBdr>
              <w:rPr>
                <w:rFonts w:ascii="Arial" w:eastAsia="Lexend Medium" w:hAnsi="Arial" w:cs="Arial"/>
                <w:sz w:val="20"/>
                <w:szCs w:val="20"/>
              </w:rPr>
            </w:pPr>
          </w:p>
        </w:tc>
        <w:tc>
          <w:tcPr>
            <w:tcW w:w="6435" w:type="dxa"/>
          </w:tcPr>
          <w:p w:rsidR="007416FC" w:rsidRPr="00962E5B" w:rsidRDefault="007416FC">
            <w:pPr>
              <w:pStyle w:val="Heading2"/>
              <w:jc w:val="left"/>
              <w:rPr>
                <w:rFonts w:ascii="Arial" w:eastAsia="Times New Roman" w:hAnsi="Arial" w:cs="Arial"/>
                <w:b w:val="0"/>
              </w:rPr>
            </w:pPr>
          </w:p>
        </w:tc>
      </w:tr>
      <w:tr w:rsidR="007416FC" w:rsidRPr="00962E5B">
        <w:trPr>
          <w:trHeight w:val="703"/>
        </w:trPr>
        <w:tc>
          <w:tcPr>
            <w:tcW w:w="5220" w:type="dxa"/>
          </w:tcPr>
          <w:p w:rsidR="007416FC" w:rsidRPr="00962E5B" w:rsidRDefault="008A1B1B">
            <w:pPr>
              <w:ind w:left="360"/>
              <w:rPr>
                <w:rFonts w:ascii="Arial" w:hAnsi="Arial" w:cs="Arial"/>
                <w:sz w:val="20"/>
                <w:szCs w:val="20"/>
              </w:rPr>
            </w:pPr>
            <w:r w:rsidRPr="00962E5B">
              <w:rPr>
                <w:rFonts w:ascii="Arial" w:hAnsi="Arial" w:cs="Arial"/>
                <w:b/>
                <w:sz w:val="20"/>
                <w:szCs w:val="20"/>
              </w:rPr>
              <w:t>Are the references sufficient and recent? If you have suggestions of additional references, please mention them in the review form.</w:t>
            </w:r>
          </w:p>
        </w:tc>
        <w:tc>
          <w:tcPr>
            <w:tcW w:w="9495" w:type="dxa"/>
          </w:tcPr>
          <w:p w:rsidR="007416FC" w:rsidRPr="00962E5B" w:rsidRDefault="008A1B1B">
            <w:pPr>
              <w:numPr>
                <w:ilvl w:val="0"/>
                <w:numId w:val="3"/>
              </w:numPr>
              <w:spacing w:before="240"/>
              <w:rPr>
                <w:rFonts w:ascii="Arial" w:hAnsi="Arial" w:cs="Arial"/>
                <w:sz w:val="20"/>
                <w:szCs w:val="20"/>
              </w:rPr>
            </w:pPr>
            <w:r w:rsidRPr="00962E5B">
              <w:rPr>
                <w:rFonts w:ascii="Arial" w:eastAsia="Lexend Medium" w:hAnsi="Arial" w:cs="Arial"/>
                <w:sz w:val="20"/>
                <w:szCs w:val="20"/>
              </w:rPr>
              <w:t>The current citation list is heavily weighted toward dated case reports and low-impact observational studies, with minimal inclusion of systematic reviews or evidence-based clinical guidelines.</w:t>
            </w:r>
            <w:r w:rsidRPr="00962E5B">
              <w:rPr>
                <w:rFonts w:ascii="Arial" w:eastAsia="Lexend Medium" w:hAnsi="Arial" w:cs="Arial"/>
                <w:sz w:val="20"/>
                <w:szCs w:val="20"/>
              </w:rPr>
              <w:br/>
            </w:r>
          </w:p>
          <w:p w:rsidR="007416FC" w:rsidRPr="00962E5B" w:rsidRDefault="008A1B1B">
            <w:pPr>
              <w:numPr>
                <w:ilvl w:val="0"/>
                <w:numId w:val="3"/>
              </w:numPr>
              <w:rPr>
                <w:rFonts w:ascii="Arial" w:hAnsi="Arial" w:cs="Arial"/>
                <w:sz w:val="20"/>
                <w:szCs w:val="20"/>
              </w:rPr>
            </w:pPr>
            <w:r w:rsidRPr="00962E5B">
              <w:rPr>
                <w:rFonts w:ascii="Arial" w:eastAsia="Lexend Medium" w:hAnsi="Arial" w:cs="Arial"/>
                <w:sz w:val="20"/>
                <w:szCs w:val="20"/>
              </w:rPr>
              <w:lastRenderedPageBreak/>
              <w:t>Several key references lack temporal proximity to the current state of the field, with many predating the last decade and thereby not reflecting recent advancements in diagnostic imaging, molecular microbiology, or antibiotic stewardship.</w:t>
            </w:r>
            <w:r w:rsidRPr="00962E5B">
              <w:rPr>
                <w:rFonts w:ascii="Arial" w:eastAsia="Lexend Medium" w:hAnsi="Arial" w:cs="Arial"/>
                <w:sz w:val="20"/>
                <w:szCs w:val="20"/>
              </w:rPr>
              <w:br/>
            </w:r>
          </w:p>
          <w:p w:rsidR="007416FC" w:rsidRPr="00962E5B" w:rsidRDefault="008A1B1B">
            <w:pPr>
              <w:numPr>
                <w:ilvl w:val="0"/>
                <w:numId w:val="3"/>
              </w:numPr>
              <w:rPr>
                <w:rFonts w:ascii="Arial" w:hAnsi="Arial" w:cs="Arial"/>
                <w:sz w:val="20"/>
                <w:szCs w:val="20"/>
              </w:rPr>
            </w:pPr>
            <w:r w:rsidRPr="00962E5B">
              <w:rPr>
                <w:rFonts w:ascii="Arial" w:eastAsia="Lexend Medium" w:hAnsi="Arial" w:cs="Arial"/>
                <w:sz w:val="20"/>
                <w:szCs w:val="20"/>
              </w:rPr>
              <w:t>Foundational infectious disease compendia or consensus statements from reputable societies (e.g., ESCMID, IDSA) are conspicuously absent.</w:t>
            </w:r>
            <w:r w:rsidRPr="00962E5B">
              <w:rPr>
                <w:rFonts w:ascii="Arial" w:eastAsia="Lexend Medium" w:hAnsi="Arial" w:cs="Arial"/>
                <w:sz w:val="20"/>
                <w:szCs w:val="20"/>
              </w:rPr>
              <w:br/>
            </w:r>
          </w:p>
          <w:p w:rsidR="007416FC" w:rsidRPr="00962E5B" w:rsidRDefault="008A1B1B">
            <w:pPr>
              <w:numPr>
                <w:ilvl w:val="0"/>
                <w:numId w:val="3"/>
              </w:numPr>
              <w:spacing w:after="240"/>
              <w:rPr>
                <w:rFonts w:ascii="Arial" w:hAnsi="Arial" w:cs="Arial"/>
                <w:sz w:val="20"/>
                <w:szCs w:val="20"/>
              </w:rPr>
            </w:pPr>
            <w:r w:rsidRPr="00962E5B">
              <w:rPr>
                <w:rFonts w:ascii="Arial" w:eastAsia="Lexend Medium" w:hAnsi="Arial" w:cs="Arial"/>
                <w:sz w:val="20"/>
                <w:szCs w:val="20"/>
              </w:rPr>
              <w:t>The discussion fails to incorporate meta-analytic or review-level literature that could have enhanced both the interpretive depth and clinical generalizability of the case.</w:t>
            </w:r>
          </w:p>
          <w:p w:rsidR="007416FC" w:rsidRPr="00962E5B" w:rsidRDefault="007416FC">
            <w:pPr>
              <w:spacing w:before="240" w:after="240"/>
              <w:rPr>
                <w:rFonts w:ascii="Arial" w:eastAsia="Lexend Medium" w:hAnsi="Arial" w:cs="Arial"/>
                <w:sz w:val="20"/>
                <w:szCs w:val="20"/>
              </w:rPr>
            </w:pPr>
          </w:p>
          <w:p w:rsidR="007416FC" w:rsidRPr="00962E5B" w:rsidRDefault="008A1B1B">
            <w:pPr>
              <w:pStyle w:val="Heading3"/>
              <w:keepNext w:val="0"/>
              <w:keepLines w:val="0"/>
              <w:rPr>
                <w:rFonts w:ascii="Arial" w:eastAsia="Lexend Medium" w:hAnsi="Arial" w:cs="Arial"/>
                <w:b w:val="0"/>
                <w:sz w:val="20"/>
                <w:szCs w:val="20"/>
              </w:rPr>
            </w:pPr>
            <w:bookmarkStart w:id="1" w:name="_heading=h.6ui585h0hb" w:colFirst="0" w:colLast="0"/>
            <w:bookmarkEnd w:id="1"/>
            <w:r w:rsidRPr="00962E5B">
              <w:rPr>
                <w:rFonts w:ascii="Arial" w:eastAsia="Lexend Medium" w:hAnsi="Arial" w:cs="Arial"/>
                <w:b w:val="0"/>
                <w:sz w:val="20"/>
                <w:szCs w:val="20"/>
              </w:rPr>
              <w:t>Suggested High-Impact References for Inclusion:</w:t>
            </w:r>
          </w:p>
          <w:p w:rsidR="007416FC" w:rsidRPr="00962E5B" w:rsidRDefault="008A1B1B">
            <w:pPr>
              <w:numPr>
                <w:ilvl w:val="0"/>
                <w:numId w:val="5"/>
              </w:numPr>
              <w:spacing w:before="240"/>
              <w:rPr>
                <w:rFonts w:ascii="Arial" w:hAnsi="Arial" w:cs="Arial"/>
                <w:sz w:val="20"/>
                <w:szCs w:val="20"/>
              </w:rPr>
            </w:pPr>
            <w:r w:rsidRPr="00962E5B">
              <w:rPr>
                <w:rFonts w:ascii="Arial" w:eastAsia="Lexend Medium" w:hAnsi="Arial" w:cs="Arial"/>
                <w:sz w:val="20"/>
                <w:szCs w:val="20"/>
              </w:rPr>
              <w:t xml:space="preserve">Valour F. et al., </w:t>
            </w:r>
            <w:r w:rsidRPr="00962E5B">
              <w:rPr>
                <w:rFonts w:ascii="Arial" w:eastAsia="Lexend Medium" w:hAnsi="Arial" w:cs="Arial"/>
                <w:i/>
                <w:sz w:val="20"/>
                <w:szCs w:val="20"/>
              </w:rPr>
              <w:t>Infection and Drug Resistance</w:t>
            </w:r>
            <w:r w:rsidRPr="00962E5B">
              <w:rPr>
                <w:rFonts w:ascii="Arial" w:eastAsia="Lexend Medium" w:hAnsi="Arial" w:cs="Arial"/>
                <w:sz w:val="20"/>
                <w:szCs w:val="20"/>
              </w:rPr>
              <w:t xml:space="preserve">, 2014 – "Actinomycosis: </w:t>
            </w:r>
            <w:proofErr w:type="spellStart"/>
            <w:r w:rsidRPr="00962E5B">
              <w:rPr>
                <w:rFonts w:ascii="Arial" w:eastAsia="Lexend Medium" w:hAnsi="Arial" w:cs="Arial"/>
                <w:sz w:val="20"/>
                <w:szCs w:val="20"/>
              </w:rPr>
              <w:t>etiology</w:t>
            </w:r>
            <w:proofErr w:type="spellEnd"/>
            <w:r w:rsidRPr="00962E5B">
              <w:rPr>
                <w:rFonts w:ascii="Arial" w:eastAsia="Lexend Medium" w:hAnsi="Arial" w:cs="Arial"/>
                <w:sz w:val="20"/>
                <w:szCs w:val="20"/>
              </w:rPr>
              <w:t>, clinical features, diagnosis, treatment, and management."</w:t>
            </w:r>
            <w:r w:rsidRPr="00962E5B">
              <w:rPr>
                <w:rFonts w:ascii="Arial" w:eastAsia="Lexend Medium" w:hAnsi="Arial" w:cs="Arial"/>
                <w:sz w:val="20"/>
                <w:szCs w:val="20"/>
              </w:rPr>
              <w:br/>
              <w:t xml:space="preserve"> </w:t>
            </w:r>
            <w:r w:rsidRPr="00962E5B">
              <w:rPr>
                <w:rFonts w:ascii="Arial" w:eastAsia="Lexend Medium" w:hAnsi="Arial" w:cs="Arial"/>
                <w:i/>
                <w:sz w:val="20"/>
                <w:szCs w:val="20"/>
              </w:rPr>
              <w:t>(An essential, comprehensive review consolidating microbiological, clinical, and therapeutic aspects.)</w:t>
            </w:r>
            <w:r w:rsidRPr="00962E5B">
              <w:rPr>
                <w:rFonts w:ascii="Arial" w:eastAsia="Lexend Medium" w:hAnsi="Arial" w:cs="Arial"/>
                <w:i/>
                <w:sz w:val="20"/>
                <w:szCs w:val="20"/>
              </w:rPr>
              <w:br/>
            </w:r>
          </w:p>
          <w:p w:rsidR="007416FC" w:rsidRPr="00962E5B" w:rsidRDefault="008A1B1B">
            <w:pPr>
              <w:numPr>
                <w:ilvl w:val="0"/>
                <w:numId w:val="5"/>
              </w:numPr>
              <w:rPr>
                <w:rFonts w:ascii="Arial" w:hAnsi="Arial" w:cs="Arial"/>
                <w:sz w:val="20"/>
                <w:szCs w:val="20"/>
              </w:rPr>
            </w:pPr>
            <w:r w:rsidRPr="00962E5B">
              <w:rPr>
                <w:rFonts w:ascii="Arial" w:eastAsia="Lexend Medium" w:hAnsi="Arial" w:cs="Arial"/>
                <w:sz w:val="20"/>
                <w:szCs w:val="20"/>
              </w:rPr>
              <w:t xml:space="preserve">Brook I., </w:t>
            </w:r>
            <w:r w:rsidRPr="00962E5B">
              <w:rPr>
                <w:rFonts w:ascii="Arial" w:eastAsia="Lexend Medium" w:hAnsi="Arial" w:cs="Arial"/>
                <w:i/>
                <w:sz w:val="20"/>
                <w:szCs w:val="20"/>
              </w:rPr>
              <w:t>Clinical Microbiology Reviews</w:t>
            </w:r>
            <w:r w:rsidRPr="00962E5B">
              <w:rPr>
                <w:rFonts w:ascii="Arial" w:eastAsia="Lexend Medium" w:hAnsi="Arial" w:cs="Arial"/>
                <w:sz w:val="20"/>
                <w:szCs w:val="20"/>
              </w:rPr>
              <w:t>, 2008 – "Actinomycosis: diagnosis and management."</w:t>
            </w:r>
            <w:r w:rsidRPr="00962E5B">
              <w:rPr>
                <w:rFonts w:ascii="Arial" w:eastAsia="Lexend Medium" w:hAnsi="Arial" w:cs="Arial"/>
                <w:sz w:val="20"/>
                <w:szCs w:val="20"/>
              </w:rPr>
              <w:br/>
              <w:t xml:space="preserve"> </w:t>
            </w:r>
            <w:r w:rsidRPr="00962E5B">
              <w:rPr>
                <w:rFonts w:ascii="Arial" w:eastAsia="Lexend Medium" w:hAnsi="Arial" w:cs="Arial"/>
                <w:i/>
                <w:sz w:val="20"/>
                <w:szCs w:val="20"/>
              </w:rPr>
              <w:t>(Authoritative article covering polymicrobial involvement, diagnostic pitfalls, and antimicrobial nuances.)</w:t>
            </w:r>
            <w:r w:rsidRPr="00962E5B">
              <w:rPr>
                <w:rFonts w:ascii="Arial" w:eastAsia="Lexend Medium" w:hAnsi="Arial" w:cs="Arial"/>
                <w:i/>
                <w:sz w:val="20"/>
                <w:szCs w:val="20"/>
              </w:rPr>
              <w:br/>
            </w:r>
          </w:p>
          <w:p w:rsidR="007416FC" w:rsidRPr="00962E5B" w:rsidRDefault="008A1B1B">
            <w:pPr>
              <w:numPr>
                <w:ilvl w:val="0"/>
                <w:numId w:val="5"/>
              </w:numPr>
              <w:rPr>
                <w:rFonts w:ascii="Arial" w:hAnsi="Arial" w:cs="Arial"/>
                <w:sz w:val="20"/>
                <w:szCs w:val="20"/>
              </w:rPr>
            </w:pPr>
            <w:proofErr w:type="spellStart"/>
            <w:r w:rsidRPr="00962E5B">
              <w:rPr>
                <w:rFonts w:ascii="Arial" w:eastAsia="Lexend Medium" w:hAnsi="Arial" w:cs="Arial"/>
                <w:sz w:val="20"/>
                <w:szCs w:val="20"/>
              </w:rPr>
              <w:t>Smego</w:t>
            </w:r>
            <w:proofErr w:type="spellEnd"/>
            <w:r w:rsidRPr="00962E5B">
              <w:rPr>
                <w:rFonts w:ascii="Arial" w:eastAsia="Lexend Medium" w:hAnsi="Arial" w:cs="Arial"/>
                <w:sz w:val="20"/>
                <w:szCs w:val="20"/>
              </w:rPr>
              <w:t xml:space="preserve"> RA, </w:t>
            </w:r>
            <w:proofErr w:type="spellStart"/>
            <w:r w:rsidRPr="00962E5B">
              <w:rPr>
                <w:rFonts w:ascii="Arial" w:eastAsia="Lexend Medium" w:hAnsi="Arial" w:cs="Arial"/>
                <w:sz w:val="20"/>
                <w:szCs w:val="20"/>
              </w:rPr>
              <w:t>Foglia</w:t>
            </w:r>
            <w:proofErr w:type="spellEnd"/>
            <w:r w:rsidRPr="00962E5B">
              <w:rPr>
                <w:rFonts w:ascii="Arial" w:eastAsia="Lexend Medium" w:hAnsi="Arial" w:cs="Arial"/>
                <w:sz w:val="20"/>
                <w:szCs w:val="20"/>
              </w:rPr>
              <w:t xml:space="preserve"> G., </w:t>
            </w:r>
            <w:r w:rsidRPr="00962E5B">
              <w:rPr>
                <w:rFonts w:ascii="Arial" w:eastAsia="Lexend Medium" w:hAnsi="Arial" w:cs="Arial"/>
                <w:i/>
                <w:sz w:val="20"/>
                <w:szCs w:val="20"/>
              </w:rPr>
              <w:t>Clinical Infectious Diseases</w:t>
            </w:r>
            <w:r w:rsidRPr="00962E5B">
              <w:rPr>
                <w:rFonts w:ascii="Arial" w:eastAsia="Lexend Medium" w:hAnsi="Arial" w:cs="Arial"/>
                <w:sz w:val="20"/>
                <w:szCs w:val="20"/>
              </w:rPr>
              <w:t>, 1998 – "Actinomycosis."</w:t>
            </w:r>
            <w:r w:rsidRPr="00962E5B">
              <w:rPr>
                <w:rFonts w:ascii="Arial" w:eastAsia="Lexend Medium" w:hAnsi="Arial" w:cs="Arial"/>
                <w:sz w:val="20"/>
                <w:szCs w:val="20"/>
              </w:rPr>
              <w:br/>
              <w:t xml:space="preserve"> </w:t>
            </w:r>
            <w:r w:rsidRPr="00962E5B">
              <w:rPr>
                <w:rFonts w:ascii="Arial" w:eastAsia="Lexend Medium" w:hAnsi="Arial" w:cs="Arial"/>
                <w:i/>
                <w:sz w:val="20"/>
                <w:szCs w:val="20"/>
              </w:rPr>
              <w:t>(A classical review article often cited for its taxonomy of clinical forms and treatment protocols.)</w:t>
            </w:r>
            <w:r w:rsidRPr="00962E5B">
              <w:rPr>
                <w:rFonts w:ascii="Arial" w:eastAsia="Lexend Medium" w:hAnsi="Arial" w:cs="Arial"/>
                <w:i/>
                <w:sz w:val="20"/>
                <w:szCs w:val="20"/>
              </w:rPr>
              <w:br/>
            </w:r>
          </w:p>
          <w:p w:rsidR="007416FC" w:rsidRPr="00962E5B" w:rsidRDefault="008A1B1B">
            <w:pPr>
              <w:numPr>
                <w:ilvl w:val="0"/>
                <w:numId w:val="5"/>
              </w:numPr>
              <w:rPr>
                <w:rFonts w:ascii="Arial" w:hAnsi="Arial" w:cs="Arial"/>
                <w:sz w:val="20"/>
                <w:szCs w:val="20"/>
              </w:rPr>
            </w:pPr>
            <w:r w:rsidRPr="00962E5B">
              <w:rPr>
                <w:rFonts w:ascii="Arial" w:eastAsia="Lexend Medium" w:hAnsi="Arial" w:cs="Arial"/>
                <w:sz w:val="20"/>
                <w:szCs w:val="20"/>
              </w:rPr>
              <w:t>ESCMID Guidelines on Anaerobic Infections – European Society of Clinical Microbiology and Infectious Diseases.</w:t>
            </w:r>
            <w:r w:rsidRPr="00962E5B">
              <w:rPr>
                <w:rFonts w:ascii="Arial" w:eastAsia="Lexend Medium" w:hAnsi="Arial" w:cs="Arial"/>
                <w:sz w:val="20"/>
                <w:szCs w:val="20"/>
              </w:rPr>
              <w:br/>
              <w:t xml:space="preserve"> </w:t>
            </w:r>
            <w:r w:rsidRPr="00962E5B">
              <w:rPr>
                <w:rFonts w:ascii="Arial" w:eastAsia="Lexend Medium" w:hAnsi="Arial" w:cs="Arial"/>
                <w:i/>
                <w:sz w:val="20"/>
                <w:szCs w:val="20"/>
              </w:rPr>
              <w:t>(Consensus-based guidance on identification, diagnosis, and management of rare anaerobic infections.)</w:t>
            </w:r>
            <w:r w:rsidRPr="00962E5B">
              <w:rPr>
                <w:rFonts w:ascii="Arial" w:eastAsia="Lexend Medium" w:hAnsi="Arial" w:cs="Arial"/>
                <w:i/>
                <w:sz w:val="20"/>
                <w:szCs w:val="20"/>
              </w:rPr>
              <w:br/>
            </w:r>
          </w:p>
          <w:p w:rsidR="007416FC" w:rsidRPr="00962E5B" w:rsidRDefault="008A1B1B">
            <w:pPr>
              <w:numPr>
                <w:ilvl w:val="0"/>
                <w:numId w:val="5"/>
              </w:numPr>
              <w:spacing w:after="240"/>
              <w:rPr>
                <w:rFonts w:ascii="Arial" w:hAnsi="Arial" w:cs="Arial"/>
                <w:sz w:val="20"/>
                <w:szCs w:val="20"/>
              </w:rPr>
            </w:pPr>
            <w:r w:rsidRPr="00962E5B">
              <w:rPr>
                <w:rFonts w:ascii="Arial" w:eastAsia="Lexend Medium" w:hAnsi="Arial" w:cs="Arial"/>
                <w:sz w:val="20"/>
                <w:szCs w:val="20"/>
              </w:rPr>
              <w:t xml:space="preserve">Wong VK. et al., </w:t>
            </w:r>
            <w:r w:rsidRPr="00962E5B">
              <w:rPr>
                <w:rFonts w:ascii="Arial" w:eastAsia="Lexend Medium" w:hAnsi="Arial" w:cs="Arial"/>
                <w:i/>
                <w:sz w:val="20"/>
                <w:szCs w:val="20"/>
              </w:rPr>
              <w:t>BMJ</w:t>
            </w:r>
            <w:r w:rsidRPr="00962E5B">
              <w:rPr>
                <w:rFonts w:ascii="Arial" w:eastAsia="Lexend Medium" w:hAnsi="Arial" w:cs="Arial"/>
                <w:sz w:val="20"/>
                <w:szCs w:val="20"/>
              </w:rPr>
              <w:t>, 2011 – "Actinomycosis."</w:t>
            </w:r>
            <w:r w:rsidRPr="00962E5B">
              <w:rPr>
                <w:rFonts w:ascii="Arial" w:eastAsia="Lexend Medium" w:hAnsi="Arial" w:cs="Arial"/>
                <w:sz w:val="20"/>
                <w:szCs w:val="20"/>
              </w:rPr>
              <w:br/>
              <w:t xml:space="preserve"> </w:t>
            </w:r>
            <w:r w:rsidRPr="00962E5B">
              <w:rPr>
                <w:rFonts w:ascii="Arial" w:eastAsia="Lexend Medium" w:hAnsi="Arial" w:cs="Arial"/>
                <w:i/>
                <w:sz w:val="20"/>
                <w:szCs w:val="20"/>
              </w:rPr>
              <w:t>(Concise clinical overview suitable for high-level synthesis and differential diagnosis discussion.)</w:t>
            </w:r>
          </w:p>
          <w:p w:rsidR="007416FC" w:rsidRPr="00962E5B" w:rsidRDefault="007416FC">
            <w:pPr>
              <w:spacing w:before="240" w:after="240"/>
              <w:rPr>
                <w:rFonts w:ascii="Arial" w:eastAsia="Lexend Medium" w:hAnsi="Arial" w:cs="Arial"/>
                <w:sz w:val="20"/>
                <w:szCs w:val="20"/>
              </w:rPr>
            </w:pPr>
          </w:p>
          <w:p w:rsidR="007416FC" w:rsidRPr="00962E5B" w:rsidRDefault="007416FC">
            <w:pPr>
              <w:spacing w:before="240" w:after="240"/>
              <w:rPr>
                <w:rFonts w:ascii="Arial" w:eastAsia="Lexend Medium" w:hAnsi="Arial" w:cs="Arial"/>
                <w:sz w:val="20"/>
                <w:szCs w:val="20"/>
              </w:rPr>
            </w:pPr>
          </w:p>
        </w:tc>
        <w:tc>
          <w:tcPr>
            <w:tcW w:w="6435" w:type="dxa"/>
          </w:tcPr>
          <w:p w:rsidR="007416FC" w:rsidRPr="00962E5B" w:rsidRDefault="007416FC">
            <w:pPr>
              <w:pStyle w:val="Heading2"/>
              <w:jc w:val="left"/>
              <w:rPr>
                <w:rFonts w:ascii="Arial" w:eastAsia="Times New Roman" w:hAnsi="Arial" w:cs="Arial"/>
                <w:b w:val="0"/>
              </w:rPr>
            </w:pPr>
          </w:p>
        </w:tc>
      </w:tr>
      <w:tr w:rsidR="007416FC" w:rsidRPr="00962E5B">
        <w:trPr>
          <w:trHeight w:val="386"/>
        </w:trPr>
        <w:tc>
          <w:tcPr>
            <w:tcW w:w="5220" w:type="dxa"/>
          </w:tcPr>
          <w:p w:rsidR="007416FC" w:rsidRPr="00962E5B" w:rsidRDefault="008A1B1B">
            <w:pPr>
              <w:pStyle w:val="Heading2"/>
              <w:ind w:left="360"/>
              <w:jc w:val="left"/>
              <w:rPr>
                <w:rFonts w:ascii="Arial" w:eastAsia="Times New Roman" w:hAnsi="Arial" w:cs="Arial"/>
              </w:rPr>
            </w:pPr>
            <w:r w:rsidRPr="00962E5B">
              <w:rPr>
                <w:rFonts w:ascii="Arial" w:eastAsia="Times New Roman" w:hAnsi="Arial" w:cs="Arial"/>
              </w:rPr>
              <w:lastRenderedPageBreak/>
              <w:t>Is the language/English quality of the article suitable for scholarly communications?</w:t>
            </w:r>
          </w:p>
          <w:p w:rsidR="007416FC" w:rsidRPr="00962E5B" w:rsidRDefault="007416FC">
            <w:pPr>
              <w:rPr>
                <w:rFonts w:ascii="Arial" w:hAnsi="Arial" w:cs="Arial"/>
                <w:sz w:val="20"/>
                <w:szCs w:val="20"/>
              </w:rPr>
            </w:pPr>
          </w:p>
        </w:tc>
        <w:tc>
          <w:tcPr>
            <w:tcW w:w="9495" w:type="dxa"/>
          </w:tcPr>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The manuscript, while conveying its intended clinical narrative with a basic degree of semantic clarity, demonstrably falls short of the syntactic sophistication and lexical precision requisite for high-impact scholarly communication. The linguistic architecture is marred by stylistic inconsistencies, lapses into colloquial constructions, and an over-reliance on passive voice, which collectively dilute the rhetorical force of the discourse.</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Grammatical irregularities are intermittently evident, including subject–verb disagreement, suboptimal article usage, and a general absence of syntactic modulation—a critical feature when conveying nuanced clinical phenomena. The text lacks sentence variety, with a preponderance of structurally monotonous clauses that reduce the readability and disrupt narrative cadence.</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 xml:space="preserve">Lexical choices often lack terminological elegance; for instance, phrases such as “justifying surgical intervention” or “revealed in the postpartum period” are simplistic and do not reflect the diagnostic gravity or temporal complexity of the case. The use of generalist descriptors (e.g., “mass,” “pain,” “collection”) in lieu of anatomically and </w:t>
            </w:r>
            <w:proofErr w:type="spellStart"/>
            <w:r w:rsidRPr="00962E5B">
              <w:rPr>
                <w:rFonts w:ascii="Arial" w:eastAsia="Lexend Medium" w:hAnsi="Arial" w:cs="Arial"/>
                <w:sz w:val="20"/>
                <w:szCs w:val="20"/>
              </w:rPr>
              <w:t>pathophysiologically</w:t>
            </w:r>
            <w:proofErr w:type="spellEnd"/>
            <w:r w:rsidRPr="00962E5B">
              <w:rPr>
                <w:rFonts w:ascii="Arial" w:eastAsia="Lexend Medium" w:hAnsi="Arial" w:cs="Arial"/>
                <w:sz w:val="20"/>
                <w:szCs w:val="20"/>
              </w:rPr>
              <w:t xml:space="preserve"> precise terminology further diminishes the manuscript’s academic polish.</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Moreover, the discourse fails to exhibit the density of academic referentiality and inferential phrasing typical of polished medical prose. There is a palpable absence of epistemic modality—essential in articulating degrees of diagnostic certainty or therapeutic speculation—and the narrative frequently assumes an assertive tone where cautious, evidence-weighted articulation would be more appropriate.</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Transitional cohesion is also inadequately maintained. The progression between clinical presentation, imaging findings, surgical intervention, and histopathologic confirmation lacks rhetorical fluidity, with abrupt thematic shifts that compromise the manuscript’s didactic coherence.</w:t>
            </w:r>
          </w:p>
          <w:p w:rsidR="007416FC" w:rsidRPr="00962E5B" w:rsidRDefault="008A1B1B">
            <w:pPr>
              <w:spacing w:before="240" w:after="240"/>
              <w:rPr>
                <w:rFonts w:ascii="Arial" w:eastAsia="Lexend Medium" w:hAnsi="Arial" w:cs="Arial"/>
                <w:sz w:val="20"/>
                <w:szCs w:val="20"/>
              </w:rPr>
            </w:pPr>
            <w:r w:rsidRPr="00962E5B">
              <w:rPr>
                <w:rFonts w:ascii="Arial" w:eastAsia="Lexend Medium" w:hAnsi="Arial" w:cs="Arial"/>
                <w:sz w:val="20"/>
                <w:szCs w:val="20"/>
              </w:rPr>
              <w:t>In its present iteration, the manuscript would benefit from an exhaustive linguistic revision by a subject-matter editor with domain expertise in academic medical writing. Such a revision should aim not only to correct grammatical infelicities but also to elevate the manuscript's stylistic and discursive sophistication to meet the standards of peer-reviewed scholarly communication.</w:t>
            </w:r>
          </w:p>
          <w:p w:rsidR="007416FC" w:rsidRPr="00962E5B" w:rsidRDefault="007416FC">
            <w:pPr>
              <w:rPr>
                <w:rFonts w:ascii="Arial" w:hAnsi="Arial" w:cs="Arial"/>
                <w:sz w:val="20"/>
                <w:szCs w:val="20"/>
              </w:rPr>
            </w:pPr>
          </w:p>
        </w:tc>
        <w:tc>
          <w:tcPr>
            <w:tcW w:w="6435" w:type="dxa"/>
          </w:tcPr>
          <w:p w:rsidR="007416FC" w:rsidRPr="00962E5B" w:rsidRDefault="007416FC">
            <w:pPr>
              <w:rPr>
                <w:rFonts w:ascii="Arial" w:hAnsi="Arial" w:cs="Arial"/>
                <w:sz w:val="20"/>
                <w:szCs w:val="20"/>
              </w:rPr>
            </w:pPr>
          </w:p>
        </w:tc>
      </w:tr>
      <w:tr w:rsidR="007416FC" w:rsidRPr="00962E5B">
        <w:trPr>
          <w:trHeight w:val="3655"/>
        </w:trPr>
        <w:tc>
          <w:tcPr>
            <w:tcW w:w="5220" w:type="dxa"/>
          </w:tcPr>
          <w:p w:rsidR="007416FC" w:rsidRPr="00962E5B" w:rsidRDefault="008A1B1B">
            <w:pPr>
              <w:pStyle w:val="Heading2"/>
              <w:jc w:val="left"/>
              <w:rPr>
                <w:rFonts w:ascii="Arial" w:eastAsia="Times New Roman" w:hAnsi="Arial" w:cs="Arial"/>
                <w:b w:val="0"/>
              </w:rPr>
            </w:pPr>
            <w:r w:rsidRPr="00962E5B">
              <w:rPr>
                <w:rFonts w:ascii="Arial" w:eastAsia="Times New Roman" w:hAnsi="Arial" w:cs="Arial"/>
                <w:u w:val="single"/>
              </w:rPr>
              <w:t>Optional/General</w:t>
            </w:r>
            <w:r w:rsidRPr="00962E5B">
              <w:rPr>
                <w:rFonts w:ascii="Arial" w:eastAsia="Times New Roman" w:hAnsi="Arial" w:cs="Arial"/>
              </w:rPr>
              <w:t xml:space="preserve"> </w:t>
            </w:r>
            <w:r w:rsidRPr="00962E5B">
              <w:rPr>
                <w:rFonts w:ascii="Arial" w:eastAsia="Times New Roman" w:hAnsi="Arial" w:cs="Arial"/>
                <w:b w:val="0"/>
              </w:rPr>
              <w:t>comments</w:t>
            </w:r>
          </w:p>
          <w:p w:rsidR="007416FC" w:rsidRPr="00962E5B" w:rsidRDefault="007416FC">
            <w:pPr>
              <w:pStyle w:val="Heading2"/>
              <w:jc w:val="left"/>
              <w:rPr>
                <w:rFonts w:ascii="Arial" w:eastAsia="Times New Roman" w:hAnsi="Arial" w:cs="Arial"/>
                <w:b w:val="0"/>
              </w:rPr>
            </w:pPr>
          </w:p>
        </w:tc>
        <w:tc>
          <w:tcPr>
            <w:tcW w:w="9495" w:type="dxa"/>
          </w:tcPr>
          <w:p w:rsidR="007416FC" w:rsidRPr="00962E5B" w:rsidRDefault="008A1B1B">
            <w:pPr>
              <w:numPr>
                <w:ilvl w:val="0"/>
                <w:numId w:val="2"/>
              </w:numPr>
              <w:rPr>
                <w:rFonts w:ascii="Arial" w:hAnsi="Arial" w:cs="Arial"/>
                <w:sz w:val="20"/>
                <w:szCs w:val="20"/>
              </w:rPr>
            </w:pPr>
            <w:r w:rsidRPr="00962E5B">
              <w:rPr>
                <w:rFonts w:ascii="Arial" w:eastAsia="Lexend Medium" w:hAnsi="Arial" w:cs="Arial"/>
                <w:sz w:val="20"/>
                <w:szCs w:val="20"/>
              </w:rPr>
              <w:t>The manuscript suffers from formatting inconsistencies: absence of figure legends within the main text, unlinked references, and minimal figure integration.</w:t>
            </w:r>
            <w:r w:rsidRPr="00962E5B">
              <w:rPr>
                <w:rFonts w:ascii="Arial" w:eastAsia="Lexend Medium" w:hAnsi="Arial" w:cs="Arial"/>
                <w:sz w:val="20"/>
                <w:szCs w:val="20"/>
              </w:rPr>
              <w:br/>
            </w:r>
          </w:p>
          <w:p w:rsidR="007416FC" w:rsidRPr="00962E5B" w:rsidRDefault="008A1B1B">
            <w:pPr>
              <w:numPr>
                <w:ilvl w:val="0"/>
                <w:numId w:val="2"/>
              </w:numPr>
              <w:rPr>
                <w:rFonts w:ascii="Arial" w:hAnsi="Arial" w:cs="Arial"/>
                <w:sz w:val="20"/>
                <w:szCs w:val="20"/>
              </w:rPr>
            </w:pPr>
            <w:r w:rsidRPr="00962E5B">
              <w:rPr>
                <w:rFonts w:ascii="Arial" w:eastAsia="Lexend Medium" w:hAnsi="Arial" w:cs="Arial"/>
                <w:sz w:val="20"/>
                <w:szCs w:val="20"/>
              </w:rPr>
              <w:t>There is a need to add a flowchart or timeline summarizing symptom onset, investigation, surgery, histopathology, and follow-up, to enhance reader comprehension.</w:t>
            </w:r>
            <w:r w:rsidRPr="00962E5B">
              <w:rPr>
                <w:rFonts w:ascii="Arial" w:eastAsia="Lexend Medium" w:hAnsi="Arial" w:cs="Arial"/>
                <w:sz w:val="20"/>
                <w:szCs w:val="20"/>
              </w:rPr>
              <w:br/>
            </w:r>
          </w:p>
          <w:p w:rsidR="007416FC" w:rsidRPr="00962E5B" w:rsidRDefault="008A1B1B">
            <w:pPr>
              <w:numPr>
                <w:ilvl w:val="0"/>
                <w:numId w:val="2"/>
              </w:numPr>
              <w:rPr>
                <w:rFonts w:ascii="Arial" w:hAnsi="Arial" w:cs="Arial"/>
                <w:sz w:val="20"/>
                <w:szCs w:val="20"/>
              </w:rPr>
            </w:pPr>
            <w:r w:rsidRPr="00962E5B">
              <w:rPr>
                <w:rFonts w:ascii="Arial" w:eastAsia="Lexend Medium" w:hAnsi="Arial" w:cs="Arial"/>
                <w:sz w:val="20"/>
                <w:szCs w:val="20"/>
              </w:rPr>
              <w:t>The histopathology findings could be augmented with microscopic images, which are crucial for a diagnostic case report.</w:t>
            </w:r>
            <w:r w:rsidRPr="00962E5B">
              <w:rPr>
                <w:rFonts w:ascii="Arial" w:eastAsia="Lexend Medium" w:hAnsi="Arial" w:cs="Arial"/>
                <w:sz w:val="20"/>
                <w:szCs w:val="20"/>
              </w:rPr>
              <w:br/>
            </w:r>
          </w:p>
          <w:p w:rsidR="007416FC" w:rsidRPr="00962E5B" w:rsidRDefault="008A1B1B">
            <w:pPr>
              <w:numPr>
                <w:ilvl w:val="0"/>
                <w:numId w:val="2"/>
              </w:numPr>
              <w:rPr>
                <w:rFonts w:ascii="Arial" w:hAnsi="Arial" w:cs="Arial"/>
                <w:sz w:val="20"/>
                <w:szCs w:val="20"/>
              </w:rPr>
            </w:pPr>
            <w:r w:rsidRPr="00962E5B">
              <w:rPr>
                <w:rFonts w:ascii="Arial" w:eastAsia="Lexend Medium" w:hAnsi="Arial" w:cs="Arial"/>
                <w:sz w:val="20"/>
                <w:szCs w:val="20"/>
              </w:rPr>
              <w:t>A summary table comparing actinomycosis with other differential diagnoses (Crohn’s disease, TB, neoplasm) would offer didactic value.</w:t>
            </w:r>
          </w:p>
          <w:p w:rsidR="007416FC" w:rsidRPr="00962E5B" w:rsidRDefault="007416FC">
            <w:pPr>
              <w:pBdr>
                <w:top w:val="nil"/>
                <w:left w:val="nil"/>
                <w:bottom w:val="nil"/>
                <w:right w:val="nil"/>
                <w:between w:val="nil"/>
              </w:pBdr>
              <w:rPr>
                <w:rFonts w:ascii="Arial" w:eastAsia="Lexend Medium" w:hAnsi="Arial" w:cs="Arial"/>
                <w:sz w:val="20"/>
                <w:szCs w:val="20"/>
              </w:rPr>
            </w:pPr>
          </w:p>
        </w:tc>
        <w:tc>
          <w:tcPr>
            <w:tcW w:w="6435" w:type="dxa"/>
          </w:tcPr>
          <w:p w:rsidR="007416FC" w:rsidRPr="00962E5B" w:rsidRDefault="007416FC">
            <w:pPr>
              <w:rPr>
                <w:rFonts w:ascii="Arial" w:hAnsi="Arial" w:cs="Arial"/>
                <w:sz w:val="20"/>
                <w:szCs w:val="20"/>
              </w:rPr>
            </w:pPr>
          </w:p>
        </w:tc>
      </w:tr>
    </w:tbl>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bookmarkStart w:id="2" w:name="_GoBack"/>
      <w:bookmarkEnd w:id="2"/>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2312E" w:rsidRPr="00962E5B" w:rsidTr="0068334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2312E" w:rsidRPr="00962E5B" w:rsidRDefault="0002312E" w:rsidP="0002312E">
            <w:pPr>
              <w:rPr>
                <w:rFonts w:ascii="Arial" w:eastAsia="Arial Unicode MS" w:hAnsi="Arial" w:cs="Arial"/>
                <w:b/>
                <w:sz w:val="20"/>
                <w:szCs w:val="20"/>
                <w:u w:val="single"/>
                <w:lang w:eastAsia="en-US"/>
              </w:rPr>
            </w:pPr>
            <w:bookmarkStart w:id="3" w:name="_Hlk156057883"/>
            <w:bookmarkStart w:id="4" w:name="_Hlk156057704"/>
            <w:r w:rsidRPr="00962E5B">
              <w:rPr>
                <w:rFonts w:ascii="Arial" w:eastAsia="Arial Unicode MS" w:hAnsi="Arial" w:cs="Arial"/>
                <w:b/>
                <w:sz w:val="20"/>
                <w:szCs w:val="20"/>
                <w:highlight w:val="yellow"/>
                <w:u w:val="single"/>
                <w:lang w:eastAsia="en-US"/>
              </w:rPr>
              <w:t>PART  2:</w:t>
            </w:r>
            <w:r w:rsidRPr="00962E5B">
              <w:rPr>
                <w:rFonts w:ascii="Arial" w:eastAsia="Arial Unicode MS" w:hAnsi="Arial" w:cs="Arial"/>
                <w:b/>
                <w:sz w:val="20"/>
                <w:szCs w:val="20"/>
                <w:u w:val="single"/>
                <w:lang w:eastAsia="en-US"/>
              </w:rPr>
              <w:t xml:space="preserve"> </w:t>
            </w:r>
          </w:p>
          <w:p w:rsidR="0002312E" w:rsidRPr="00962E5B" w:rsidRDefault="0002312E" w:rsidP="0002312E">
            <w:pPr>
              <w:rPr>
                <w:rFonts w:ascii="Arial" w:eastAsia="Arial Unicode MS" w:hAnsi="Arial" w:cs="Arial"/>
                <w:b/>
                <w:sz w:val="20"/>
                <w:szCs w:val="20"/>
                <w:u w:val="single"/>
                <w:lang w:eastAsia="en-US"/>
              </w:rPr>
            </w:pPr>
          </w:p>
        </w:tc>
      </w:tr>
      <w:tr w:rsidR="0002312E" w:rsidRPr="00962E5B" w:rsidTr="0068334D">
        <w:tc>
          <w:tcPr>
            <w:tcW w:w="1615" w:type="pct"/>
            <w:shd w:val="clear" w:color="auto" w:fill="auto"/>
            <w:noWrap/>
            <w:tcMar>
              <w:top w:w="0" w:type="dxa"/>
              <w:left w:w="108" w:type="dxa"/>
              <w:bottom w:w="0" w:type="dxa"/>
              <w:right w:w="108" w:type="dxa"/>
            </w:tcMar>
            <w:vAlign w:val="center"/>
          </w:tcPr>
          <w:p w:rsidR="0002312E" w:rsidRPr="00962E5B" w:rsidRDefault="0002312E" w:rsidP="0002312E">
            <w:pPr>
              <w:rPr>
                <w:rFonts w:ascii="Arial" w:eastAsia="Arial Unicode MS" w:hAnsi="Arial" w:cs="Arial"/>
                <w:sz w:val="20"/>
                <w:szCs w:val="20"/>
                <w:lang w:eastAsia="en-US"/>
              </w:rPr>
            </w:pPr>
          </w:p>
        </w:tc>
        <w:tc>
          <w:tcPr>
            <w:tcW w:w="1694" w:type="pct"/>
            <w:shd w:val="clear" w:color="auto" w:fill="auto"/>
            <w:tcMar>
              <w:top w:w="0" w:type="dxa"/>
              <w:left w:w="108" w:type="dxa"/>
              <w:bottom w:w="0" w:type="dxa"/>
              <w:right w:w="108" w:type="dxa"/>
            </w:tcMar>
          </w:tcPr>
          <w:p w:rsidR="0002312E" w:rsidRPr="00962E5B" w:rsidRDefault="0002312E" w:rsidP="0002312E">
            <w:pPr>
              <w:keepNext/>
              <w:outlineLvl w:val="1"/>
              <w:rPr>
                <w:rFonts w:ascii="Arial" w:eastAsia="MS Mincho" w:hAnsi="Arial" w:cs="Arial"/>
                <w:b/>
                <w:bCs/>
                <w:sz w:val="20"/>
                <w:szCs w:val="20"/>
                <w:lang w:eastAsia="en-US"/>
              </w:rPr>
            </w:pPr>
            <w:r w:rsidRPr="00962E5B">
              <w:rPr>
                <w:rFonts w:ascii="Arial" w:eastAsia="MS Mincho" w:hAnsi="Arial" w:cs="Arial"/>
                <w:b/>
                <w:bCs/>
                <w:sz w:val="20"/>
                <w:szCs w:val="20"/>
                <w:lang w:eastAsia="en-US"/>
              </w:rPr>
              <w:t>Reviewer’s comment</w:t>
            </w:r>
          </w:p>
        </w:tc>
        <w:tc>
          <w:tcPr>
            <w:tcW w:w="1691" w:type="pct"/>
            <w:shd w:val="clear" w:color="auto" w:fill="auto"/>
          </w:tcPr>
          <w:p w:rsidR="0002312E" w:rsidRPr="00962E5B" w:rsidRDefault="0002312E" w:rsidP="0002312E">
            <w:pPr>
              <w:keepNext/>
              <w:outlineLvl w:val="1"/>
              <w:rPr>
                <w:rFonts w:ascii="Arial" w:eastAsia="MS Mincho" w:hAnsi="Arial" w:cs="Arial"/>
                <w:bCs/>
                <w:sz w:val="20"/>
                <w:szCs w:val="20"/>
                <w:lang w:eastAsia="en-US"/>
              </w:rPr>
            </w:pPr>
            <w:r w:rsidRPr="00962E5B">
              <w:rPr>
                <w:rFonts w:ascii="Arial" w:eastAsia="MS Mincho" w:hAnsi="Arial" w:cs="Arial"/>
                <w:b/>
                <w:bCs/>
                <w:sz w:val="20"/>
                <w:szCs w:val="20"/>
                <w:lang w:eastAsia="en-US"/>
              </w:rPr>
              <w:t>Author’s comment</w:t>
            </w:r>
            <w:r w:rsidRPr="00962E5B">
              <w:rPr>
                <w:rFonts w:ascii="Arial" w:eastAsia="MS Mincho" w:hAnsi="Arial" w:cs="Arial"/>
                <w:bCs/>
                <w:sz w:val="20"/>
                <w:szCs w:val="20"/>
                <w:lang w:eastAsia="en-US"/>
              </w:rPr>
              <w:t xml:space="preserve"> </w:t>
            </w:r>
            <w:r w:rsidRPr="00962E5B">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02312E" w:rsidRPr="00962E5B" w:rsidTr="0068334D">
        <w:trPr>
          <w:trHeight w:val="890"/>
        </w:trPr>
        <w:tc>
          <w:tcPr>
            <w:tcW w:w="1615" w:type="pct"/>
            <w:shd w:val="clear" w:color="auto" w:fill="auto"/>
            <w:noWrap/>
            <w:tcMar>
              <w:top w:w="0" w:type="dxa"/>
              <w:left w:w="108" w:type="dxa"/>
              <w:bottom w:w="0" w:type="dxa"/>
              <w:right w:w="108" w:type="dxa"/>
            </w:tcMar>
            <w:vAlign w:val="center"/>
          </w:tcPr>
          <w:p w:rsidR="0002312E" w:rsidRPr="00962E5B" w:rsidRDefault="0002312E" w:rsidP="0002312E">
            <w:pPr>
              <w:rPr>
                <w:rFonts w:ascii="Arial" w:eastAsia="Arial Unicode MS" w:hAnsi="Arial" w:cs="Arial"/>
                <w:b/>
                <w:sz w:val="20"/>
                <w:szCs w:val="20"/>
                <w:lang w:eastAsia="en-US"/>
              </w:rPr>
            </w:pPr>
            <w:r w:rsidRPr="00962E5B">
              <w:rPr>
                <w:rFonts w:ascii="Arial" w:eastAsia="Arial Unicode MS" w:hAnsi="Arial" w:cs="Arial"/>
                <w:b/>
                <w:sz w:val="20"/>
                <w:szCs w:val="20"/>
                <w:lang w:eastAsia="en-US"/>
              </w:rPr>
              <w:t xml:space="preserve">Are there ethical issues in this manuscript? </w:t>
            </w:r>
          </w:p>
          <w:p w:rsidR="0002312E" w:rsidRPr="00962E5B" w:rsidRDefault="0002312E" w:rsidP="0002312E">
            <w:pPr>
              <w:rPr>
                <w:rFonts w:ascii="Arial" w:eastAsia="Arial Unicode MS" w:hAnsi="Arial" w:cs="Arial"/>
                <w:sz w:val="20"/>
                <w:szCs w:val="20"/>
                <w:lang w:eastAsia="en-US"/>
              </w:rPr>
            </w:pPr>
          </w:p>
        </w:tc>
        <w:tc>
          <w:tcPr>
            <w:tcW w:w="1694" w:type="pct"/>
            <w:shd w:val="clear" w:color="auto" w:fill="auto"/>
            <w:tcMar>
              <w:top w:w="0" w:type="dxa"/>
              <w:left w:w="108" w:type="dxa"/>
              <w:bottom w:w="0" w:type="dxa"/>
              <w:right w:w="108" w:type="dxa"/>
            </w:tcMar>
            <w:vAlign w:val="center"/>
          </w:tcPr>
          <w:p w:rsidR="0002312E" w:rsidRPr="00962E5B" w:rsidRDefault="0002312E" w:rsidP="0002312E">
            <w:pPr>
              <w:rPr>
                <w:rFonts w:ascii="Arial" w:eastAsia="Arial Unicode MS" w:hAnsi="Arial" w:cs="Arial"/>
                <w:i/>
                <w:iCs/>
                <w:sz w:val="20"/>
                <w:szCs w:val="20"/>
                <w:u w:val="single"/>
                <w:lang w:eastAsia="en-US"/>
              </w:rPr>
            </w:pPr>
            <w:r w:rsidRPr="00962E5B">
              <w:rPr>
                <w:rFonts w:ascii="Arial" w:eastAsia="Arial Unicode MS" w:hAnsi="Arial" w:cs="Arial"/>
                <w:i/>
                <w:iCs/>
                <w:sz w:val="20"/>
                <w:szCs w:val="20"/>
                <w:u w:val="single"/>
                <w:lang w:eastAsia="en-US"/>
              </w:rPr>
              <w:t>(If yes, Kindly please write down the ethical issues here in details)</w:t>
            </w:r>
          </w:p>
          <w:p w:rsidR="0002312E" w:rsidRPr="00962E5B" w:rsidRDefault="0002312E" w:rsidP="0002312E">
            <w:pPr>
              <w:rPr>
                <w:rFonts w:ascii="Arial" w:eastAsia="Arial Unicode MS" w:hAnsi="Arial" w:cs="Arial"/>
                <w:sz w:val="20"/>
                <w:szCs w:val="20"/>
                <w:lang w:eastAsia="en-US"/>
              </w:rPr>
            </w:pPr>
          </w:p>
          <w:p w:rsidR="0002312E" w:rsidRPr="00962E5B" w:rsidRDefault="0002312E" w:rsidP="0002312E">
            <w:pPr>
              <w:rPr>
                <w:rFonts w:ascii="Arial" w:eastAsia="Arial Unicode MS" w:hAnsi="Arial" w:cs="Arial"/>
                <w:sz w:val="20"/>
                <w:szCs w:val="20"/>
                <w:lang w:eastAsia="en-US"/>
              </w:rPr>
            </w:pPr>
          </w:p>
        </w:tc>
        <w:tc>
          <w:tcPr>
            <w:tcW w:w="1691" w:type="pct"/>
            <w:shd w:val="clear" w:color="auto" w:fill="auto"/>
            <w:vAlign w:val="center"/>
          </w:tcPr>
          <w:p w:rsidR="0002312E" w:rsidRPr="00962E5B" w:rsidRDefault="0002312E" w:rsidP="0002312E">
            <w:pPr>
              <w:rPr>
                <w:rFonts w:ascii="Arial" w:eastAsia="Arial Unicode MS" w:hAnsi="Arial" w:cs="Arial"/>
                <w:sz w:val="20"/>
                <w:szCs w:val="20"/>
                <w:lang w:eastAsia="en-US"/>
              </w:rPr>
            </w:pPr>
          </w:p>
          <w:p w:rsidR="0002312E" w:rsidRPr="00962E5B" w:rsidRDefault="0002312E" w:rsidP="0002312E">
            <w:pPr>
              <w:rPr>
                <w:rFonts w:ascii="Arial" w:eastAsia="Arial Unicode MS" w:hAnsi="Arial" w:cs="Arial"/>
                <w:sz w:val="20"/>
                <w:szCs w:val="20"/>
                <w:lang w:eastAsia="en-US"/>
              </w:rPr>
            </w:pPr>
          </w:p>
          <w:p w:rsidR="0002312E" w:rsidRPr="00962E5B" w:rsidRDefault="0002312E" w:rsidP="0002312E">
            <w:pPr>
              <w:rPr>
                <w:rFonts w:ascii="Arial" w:eastAsia="Arial Unicode MS" w:hAnsi="Arial" w:cs="Arial"/>
                <w:sz w:val="20"/>
                <w:szCs w:val="20"/>
                <w:lang w:eastAsia="en-US"/>
              </w:rPr>
            </w:pPr>
          </w:p>
        </w:tc>
      </w:tr>
      <w:bookmarkEnd w:id="3"/>
    </w:tbl>
    <w:p w:rsidR="0002312E" w:rsidRPr="00962E5B" w:rsidRDefault="0002312E" w:rsidP="0002312E">
      <w:pPr>
        <w:rPr>
          <w:rFonts w:ascii="Arial" w:hAnsi="Arial" w:cs="Arial"/>
          <w:sz w:val="20"/>
          <w:szCs w:val="20"/>
          <w:lang w:val="en-US" w:eastAsia="en-US"/>
        </w:rPr>
      </w:pPr>
    </w:p>
    <w:bookmarkEnd w:id="4"/>
    <w:p w:rsidR="0002312E" w:rsidRPr="00962E5B" w:rsidRDefault="0002312E" w:rsidP="0002312E">
      <w:pPr>
        <w:rPr>
          <w:rFonts w:ascii="Arial" w:hAnsi="Arial" w:cs="Arial"/>
          <w:sz w:val="20"/>
          <w:szCs w:val="20"/>
          <w:lang w:val="en-US" w:eastAsia="en-US"/>
        </w:rPr>
      </w:pPr>
    </w:p>
    <w:p w:rsidR="00962E5B" w:rsidRPr="00962E5B" w:rsidRDefault="00962E5B" w:rsidP="00962E5B">
      <w:pPr>
        <w:pStyle w:val="Affiliation"/>
        <w:spacing w:after="0" w:line="240" w:lineRule="auto"/>
        <w:jc w:val="left"/>
        <w:rPr>
          <w:rFonts w:ascii="Arial" w:hAnsi="Arial" w:cs="Arial"/>
          <w:b/>
          <w:u w:val="single"/>
        </w:rPr>
      </w:pPr>
      <w:r w:rsidRPr="00962E5B">
        <w:rPr>
          <w:rFonts w:ascii="Arial" w:hAnsi="Arial" w:cs="Arial"/>
          <w:b/>
          <w:u w:val="single"/>
        </w:rPr>
        <w:t>Reviewer details:</w:t>
      </w:r>
    </w:p>
    <w:p w:rsidR="00962E5B" w:rsidRPr="00962E5B" w:rsidRDefault="00962E5B" w:rsidP="00962E5B">
      <w:pPr>
        <w:pStyle w:val="Affiliation"/>
        <w:spacing w:after="0" w:line="240" w:lineRule="auto"/>
        <w:jc w:val="left"/>
        <w:rPr>
          <w:rFonts w:ascii="Arial" w:hAnsi="Arial" w:cs="Arial"/>
        </w:rPr>
      </w:pPr>
    </w:p>
    <w:p w:rsidR="00962E5B" w:rsidRPr="00962E5B" w:rsidRDefault="00962E5B" w:rsidP="00962E5B">
      <w:pPr>
        <w:rPr>
          <w:rFonts w:ascii="Arial" w:hAnsi="Arial" w:cs="Arial"/>
          <w:sz w:val="20"/>
          <w:szCs w:val="20"/>
        </w:rPr>
      </w:pPr>
      <w:proofErr w:type="spellStart"/>
      <w:r w:rsidRPr="00962E5B">
        <w:rPr>
          <w:rFonts w:ascii="Arial" w:hAnsi="Arial" w:cs="Arial"/>
          <w:b/>
          <w:color w:val="000000"/>
          <w:sz w:val="20"/>
          <w:szCs w:val="20"/>
        </w:rPr>
        <w:t>Birupaksha</w:t>
      </w:r>
      <w:proofErr w:type="spellEnd"/>
      <w:r w:rsidRPr="00962E5B">
        <w:rPr>
          <w:rFonts w:ascii="Arial" w:hAnsi="Arial" w:cs="Arial"/>
          <w:b/>
          <w:color w:val="000000"/>
          <w:sz w:val="20"/>
          <w:szCs w:val="20"/>
        </w:rPr>
        <w:t xml:space="preserve"> </w:t>
      </w:r>
      <w:proofErr w:type="spellStart"/>
      <w:r w:rsidRPr="00962E5B">
        <w:rPr>
          <w:rFonts w:ascii="Arial" w:hAnsi="Arial" w:cs="Arial"/>
          <w:b/>
          <w:color w:val="000000"/>
          <w:sz w:val="20"/>
          <w:szCs w:val="20"/>
        </w:rPr>
        <w:t>Biswas,Burdwan</w:t>
      </w:r>
      <w:proofErr w:type="spellEnd"/>
      <w:r w:rsidRPr="00962E5B">
        <w:rPr>
          <w:rFonts w:ascii="Arial" w:hAnsi="Arial" w:cs="Arial"/>
          <w:b/>
          <w:color w:val="000000"/>
          <w:sz w:val="20"/>
          <w:szCs w:val="20"/>
        </w:rPr>
        <w:t xml:space="preserve"> Medical College &amp; Hospital, India</w:t>
      </w:r>
      <w:r w:rsidRPr="00962E5B">
        <w:rPr>
          <w:rFonts w:ascii="Arial" w:hAnsi="Arial" w:cs="Arial"/>
          <w:b/>
          <w:color w:val="000000"/>
          <w:sz w:val="20"/>
          <w:szCs w:val="20"/>
        </w:rPr>
        <w:br/>
      </w:r>
    </w:p>
    <w:p w:rsidR="007416FC" w:rsidRPr="00962E5B" w:rsidRDefault="007416FC">
      <w:pPr>
        <w:pBdr>
          <w:top w:val="nil"/>
          <w:left w:val="nil"/>
          <w:bottom w:val="nil"/>
          <w:right w:val="nil"/>
          <w:between w:val="nil"/>
        </w:pBdr>
        <w:jc w:val="both"/>
        <w:rPr>
          <w:rFonts w:ascii="Arial" w:hAnsi="Arial" w:cs="Arial"/>
          <w:color w:val="000000"/>
          <w:sz w:val="20"/>
          <w:szCs w:val="20"/>
          <w:u w:val="single"/>
        </w:rPr>
      </w:pPr>
    </w:p>
    <w:sectPr w:rsidR="007416FC" w:rsidRPr="00962E5B">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7BC" w:rsidRDefault="003737BC">
      <w:r>
        <w:separator/>
      </w:r>
    </w:p>
  </w:endnote>
  <w:endnote w:type="continuationSeparator" w:id="0">
    <w:p w:rsidR="003737BC" w:rsidRDefault="0037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xend 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6FC" w:rsidRDefault="008A1B1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7BC" w:rsidRDefault="003737BC">
      <w:r>
        <w:separator/>
      </w:r>
    </w:p>
  </w:footnote>
  <w:footnote w:type="continuationSeparator" w:id="0">
    <w:p w:rsidR="003737BC" w:rsidRDefault="0037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6FC" w:rsidRDefault="007416FC">
    <w:pPr>
      <w:spacing w:after="280"/>
      <w:jc w:val="center"/>
      <w:rPr>
        <w:rFonts w:ascii="Arial" w:eastAsia="Arial" w:hAnsi="Arial" w:cs="Arial"/>
        <w:color w:val="003399"/>
        <w:u w:val="single"/>
      </w:rPr>
    </w:pPr>
  </w:p>
  <w:p w:rsidR="007416FC" w:rsidRDefault="008A1B1B">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9A"/>
    <w:multiLevelType w:val="multilevel"/>
    <w:tmpl w:val="71567E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683F60"/>
    <w:multiLevelType w:val="multilevel"/>
    <w:tmpl w:val="08CE11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C96B70"/>
    <w:multiLevelType w:val="multilevel"/>
    <w:tmpl w:val="01A428E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D77834"/>
    <w:multiLevelType w:val="multilevel"/>
    <w:tmpl w:val="83282A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510AA6"/>
    <w:multiLevelType w:val="multilevel"/>
    <w:tmpl w:val="8D3A8A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5212FA"/>
    <w:multiLevelType w:val="multilevel"/>
    <w:tmpl w:val="4592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FC"/>
    <w:rsid w:val="0002312E"/>
    <w:rsid w:val="003737BC"/>
    <w:rsid w:val="004A72D7"/>
    <w:rsid w:val="007416FC"/>
    <w:rsid w:val="008A1B1B"/>
    <w:rsid w:val="00962E5B"/>
    <w:rsid w:val="009A56E8"/>
    <w:rsid w:val="00BC2B40"/>
    <w:rsid w:val="00C966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1424A-7E33-4A5F-A7F3-4C1AEC8B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lang w:val="en-US" w:eastAsia="en-US"/>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eastAsia="en-US"/>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962E5B"/>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ajrs.com/index.php/AJ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PYuobAxvh/NACEmR4axwhmRtQ==">CgMxLjAyDmguZjJoNHJqMnNnejhmMg5oLjVvYTR1bGthaDVibTIMaC42dWk1ODVoMGhiMg5oLm5na3NtcXhvNHE4YzgAciExTURMaFZzM2JGeHEwRnlheU1LVnI4LUtmOEJUandvaXg=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1757</Words>
  <Characters>10021</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2011-08-01T09:21:00Z</dcterms:created>
  <dcterms:modified xsi:type="dcterms:W3CDTF">2025-08-08T06:43:00Z</dcterms:modified>
</cp:coreProperties>
</file>